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79153756" w:displacedByCustomXml="next"/>
    <w:sdt>
      <w:sdtPr>
        <w:id w:val="9390045"/>
        <w:docPartObj>
          <w:docPartGallery w:val="Cover Pages"/>
          <w:docPartUnique/>
        </w:docPartObj>
      </w:sdtPr>
      <w:sdtContent>
        <w:p w:rsidR="00A32E13" w:rsidRPr="00B20172" w:rsidRDefault="00A32E13" w:rsidP="000901A8"/>
        <w:tbl>
          <w:tblPr>
            <w:tblpPr w:leftFromText="187" w:rightFromText="187" w:horzAnchor="margin" w:tblpXSpec="right" w:tblpYSpec="center"/>
            <w:tblW w:w="2431" w:type="pct"/>
            <w:tblBorders>
              <w:top w:val="single" w:sz="36" w:space="0" w:color="215868" w:themeColor="accent5" w:themeShade="80"/>
              <w:bottom w:val="single" w:sz="36" w:space="0" w:color="215868" w:themeColor="accent5" w:themeShade="80"/>
              <w:insideH w:val="single" w:sz="36" w:space="0" w:color="215868" w:themeColor="accent5" w:themeShade="80"/>
            </w:tblBorders>
            <w:tblCellMar>
              <w:top w:w="360" w:type="dxa"/>
              <w:left w:w="115" w:type="dxa"/>
              <w:bottom w:w="360" w:type="dxa"/>
              <w:right w:w="115" w:type="dxa"/>
            </w:tblCellMar>
            <w:tblLook w:val="04A0" w:firstRow="1" w:lastRow="0" w:firstColumn="1" w:lastColumn="0" w:noHBand="0" w:noVBand="1"/>
          </w:tblPr>
          <w:tblGrid>
            <w:gridCol w:w="4522"/>
          </w:tblGrid>
          <w:tr w:rsidR="00A32E13" w:rsidRPr="00B20172" w:rsidTr="00D61C4E">
            <w:tc>
              <w:tcPr>
                <w:tcW w:w="5000" w:type="pct"/>
              </w:tcPr>
              <w:p w:rsidR="00B44229" w:rsidRPr="00B20172" w:rsidRDefault="00C65B00" w:rsidP="00B44229">
                <w:pPr>
                  <w:pStyle w:val="NoSpacing"/>
                  <w:rPr>
                    <w:rFonts w:ascii="Tahoma" w:eastAsiaTheme="majorEastAsia" w:hAnsi="Tahoma" w:cs="Tahoma"/>
                    <w:sz w:val="44"/>
                    <w:szCs w:val="56"/>
                    <w:lang w:val="en-AU"/>
                  </w:rPr>
                </w:pPr>
                <w:r w:rsidRPr="00B20172">
                  <w:rPr>
                    <w:rFonts w:ascii="Tahoma" w:eastAsiaTheme="majorEastAsia" w:hAnsi="Tahoma" w:cs="Tahoma"/>
                    <w:sz w:val="44"/>
                    <w:szCs w:val="56"/>
                    <w:lang w:val="en-AU"/>
                  </w:rPr>
                  <w:t>1234</w:t>
                </w:r>
              </w:p>
              <w:p w:rsidR="00B44229" w:rsidRPr="00B20172" w:rsidRDefault="00B44229" w:rsidP="00D61C4E">
                <w:pPr>
                  <w:pStyle w:val="NoSpacing"/>
                  <w:rPr>
                    <w:rFonts w:ascii="Tahoma" w:eastAsiaTheme="majorEastAsia" w:hAnsi="Tahoma" w:cs="Tahoma"/>
                    <w:sz w:val="44"/>
                    <w:szCs w:val="56"/>
                    <w:lang w:val="en-AU"/>
                  </w:rPr>
                </w:pPr>
              </w:p>
              <w:p w:rsidR="003F5D96" w:rsidRPr="00B20172" w:rsidRDefault="00523A3A" w:rsidP="00523A3A">
                <w:pPr>
                  <w:pStyle w:val="NoSpacing"/>
                  <w:rPr>
                    <w:rFonts w:ascii="Tahoma" w:eastAsiaTheme="majorEastAsia" w:hAnsi="Tahoma" w:cs="Tahoma"/>
                    <w:sz w:val="48"/>
                    <w:szCs w:val="56"/>
                  </w:rPr>
                </w:pPr>
                <w:r w:rsidRPr="00B20172">
                  <w:rPr>
                    <w:rFonts w:ascii="Tahoma" w:eastAsiaTheme="majorEastAsia" w:hAnsi="Tahoma" w:cs="Tahoma"/>
                    <w:sz w:val="44"/>
                    <w:szCs w:val="56"/>
                    <w:lang w:val="en-AU"/>
                  </w:rPr>
                  <w:t>Consultation</w:t>
                </w:r>
                <w:r w:rsidR="00DE409C" w:rsidRPr="00B20172">
                  <w:rPr>
                    <w:rFonts w:ascii="Tahoma" w:eastAsiaTheme="majorEastAsia" w:hAnsi="Tahoma" w:cs="Tahoma"/>
                    <w:sz w:val="44"/>
                    <w:szCs w:val="56"/>
                    <w:lang w:val="en-AU"/>
                  </w:rPr>
                  <w:t xml:space="preserve"> P</w:t>
                </w:r>
                <w:r w:rsidR="009D7B0D" w:rsidRPr="00B20172">
                  <w:rPr>
                    <w:rFonts w:ascii="Tahoma" w:eastAsiaTheme="majorEastAsia" w:hAnsi="Tahoma" w:cs="Tahoma"/>
                    <w:sz w:val="44"/>
                    <w:szCs w:val="56"/>
                    <w:lang w:val="en-AU"/>
                  </w:rPr>
                  <w:t>rotocol</w:t>
                </w:r>
                <w:r w:rsidR="00DE409C" w:rsidRPr="00B20172">
                  <w:rPr>
                    <w:rFonts w:ascii="Tahoma" w:eastAsiaTheme="majorEastAsia" w:hAnsi="Tahoma" w:cs="Tahoma"/>
                    <w:sz w:val="44"/>
                    <w:szCs w:val="56"/>
                    <w:lang w:val="en-AU"/>
                  </w:rPr>
                  <w:t xml:space="preserve"> </w:t>
                </w:r>
                <w:r w:rsidR="009D7B0D" w:rsidRPr="00B20172">
                  <w:rPr>
                    <w:rFonts w:ascii="Tahoma" w:eastAsiaTheme="majorEastAsia" w:hAnsi="Tahoma" w:cs="Tahoma"/>
                    <w:sz w:val="44"/>
                    <w:szCs w:val="56"/>
                    <w:lang w:val="en-AU"/>
                  </w:rPr>
                  <w:t xml:space="preserve">to guide the assessment of </w:t>
                </w:r>
                <w:r w:rsidR="00D61C4E" w:rsidRPr="00B20172">
                  <w:rPr>
                    <w:sz w:val="16"/>
                  </w:rPr>
                  <w:t xml:space="preserve"> </w:t>
                </w:r>
                <w:r w:rsidR="00621D49" w:rsidRPr="00B20172">
                  <w:rPr>
                    <w:rFonts w:ascii="Tahoma" w:eastAsiaTheme="majorEastAsia" w:hAnsi="Tahoma" w:cs="Tahoma"/>
                    <w:sz w:val="44"/>
                    <w:szCs w:val="56"/>
                    <w:lang w:val="en-AU"/>
                  </w:rPr>
                  <w:t>Nucleic Acid Amplification</w:t>
                </w:r>
                <w:r w:rsidR="00005664" w:rsidRPr="00B20172">
                  <w:rPr>
                    <w:rFonts w:ascii="Tahoma" w:eastAsiaTheme="majorEastAsia" w:hAnsi="Tahoma" w:cs="Tahoma"/>
                    <w:sz w:val="44"/>
                    <w:szCs w:val="56"/>
                    <w:lang w:val="en-AU"/>
                  </w:rPr>
                  <w:t xml:space="preserve"> Test for Active Mycobacterial Infection</w:t>
                </w:r>
              </w:p>
            </w:tc>
          </w:tr>
          <w:tr w:rsidR="00A32E13" w:rsidRPr="00B20172" w:rsidTr="00D61C4E">
            <w:tc>
              <w:tcPr>
                <w:tcW w:w="5000" w:type="pct"/>
              </w:tcPr>
              <w:p w:rsidR="00A32E13" w:rsidRPr="00B20172" w:rsidRDefault="00621D49" w:rsidP="00005664">
                <w:pPr>
                  <w:pStyle w:val="NoSpacing"/>
                  <w:rPr>
                    <w:rFonts w:ascii="Tahoma" w:hAnsi="Tahoma" w:cs="Tahoma"/>
                    <w:sz w:val="32"/>
                    <w:szCs w:val="40"/>
                  </w:rPr>
                </w:pPr>
                <w:r w:rsidRPr="00B20172">
                  <w:rPr>
                    <w:rFonts w:ascii="Tahoma" w:hAnsi="Tahoma" w:cs="Tahoma"/>
                    <w:sz w:val="32"/>
                    <w:szCs w:val="40"/>
                    <w:lang w:val="en-AU"/>
                  </w:rPr>
                  <w:t xml:space="preserve">January </w:t>
                </w:r>
                <w:r w:rsidR="00005664" w:rsidRPr="00B20172">
                  <w:rPr>
                    <w:rFonts w:ascii="Tahoma" w:hAnsi="Tahoma" w:cs="Tahoma"/>
                    <w:sz w:val="32"/>
                    <w:szCs w:val="40"/>
                    <w:lang w:val="en-AU"/>
                  </w:rPr>
                  <w:t>201</w:t>
                </w:r>
                <w:r w:rsidRPr="00B20172">
                  <w:rPr>
                    <w:rFonts w:ascii="Tahoma" w:hAnsi="Tahoma" w:cs="Tahoma"/>
                    <w:sz w:val="32"/>
                    <w:szCs w:val="40"/>
                    <w:lang w:val="en-AU"/>
                  </w:rPr>
                  <w:t>4</w:t>
                </w:r>
              </w:p>
            </w:tc>
          </w:tr>
        </w:tbl>
        <w:p w:rsidR="00A32E13" w:rsidRPr="00B20172" w:rsidRDefault="00A32E13" w:rsidP="000901A8"/>
        <w:p w:rsidR="00A32E13" w:rsidRPr="00B20172" w:rsidRDefault="00A32E13" w:rsidP="000901A8">
          <w:pPr>
            <w:rPr>
              <w:rFonts w:asciiTheme="majorHAnsi" w:eastAsiaTheme="majorEastAsia" w:hAnsiTheme="majorHAnsi" w:cstheme="majorBidi"/>
              <w:b/>
              <w:i/>
              <w:color w:val="365F91" w:themeColor="accent1" w:themeShade="BF"/>
              <w:sz w:val="22"/>
              <w:szCs w:val="28"/>
              <w:lang w:val="en-US" w:eastAsia="en-US"/>
            </w:rPr>
          </w:pPr>
          <w:r w:rsidRPr="00B20172">
            <w:br w:type="page"/>
          </w:r>
        </w:p>
      </w:sdtContent>
    </w:sdt>
    <w:sdt>
      <w:sdtPr>
        <w:rPr>
          <w:rFonts w:eastAsia="SimSun"/>
          <w:b w:val="0"/>
          <w:color w:val="auto"/>
          <w:sz w:val="20"/>
          <w:szCs w:val="20"/>
          <w:lang w:val="en-AU" w:eastAsia="zh-CN"/>
        </w:rPr>
        <w:id w:val="9390012"/>
        <w:docPartObj>
          <w:docPartGallery w:val="Table of Contents"/>
          <w:docPartUnique/>
        </w:docPartObj>
      </w:sdtPr>
      <w:sdtContent>
        <w:p w:rsidR="00B4562F" w:rsidRPr="00B20172" w:rsidRDefault="00B4562F" w:rsidP="000901A8">
          <w:pPr>
            <w:pStyle w:val="TOCHeading0"/>
          </w:pPr>
          <w:r w:rsidRPr="00B20172">
            <w:t>Table of Contents</w:t>
          </w:r>
        </w:p>
        <w:p w:rsidR="00720D9B" w:rsidRPr="00B20172" w:rsidRDefault="001325DB">
          <w:pPr>
            <w:pStyle w:val="TOC1"/>
            <w:rPr>
              <w:rFonts w:asciiTheme="minorHAnsi" w:eastAsiaTheme="minorEastAsia" w:hAnsiTheme="minorHAnsi" w:cstheme="minorBidi"/>
              <w:b w:val="0"/>
              <w:sz w:val="22"/>
              <w:szCs w:val="22"/>
              <w:lang w:eastAsia="en-AU"/>
            </w:rPr>
          </w:pPr>
          <w:r w:rsidRPr="00B20172">
            <w:fldChar w:fldCharType="begin"/>
          </w:r>
          <w:r w:rsidR="00B4562F" w:rsidRPr="00B20172">
            <w:instrText xml:space="preserve"> TOC \o "1-3" \h \z \u </w:instrText>
          </w:r>
          <w:r w:rsidRPr="00B20172">
            <w:fldChar w:fldCharType="separate"/>
          </w:r>
          <w:hyperlink w:anchor="_Toc289854367" w:history="1">
            <w:r w:rsidR="00720D9B" w:rsidRPr="00B20172">
              <w:rPr>
                <w:rStyle w:val="Hyperlink"/>
              </w:rPr>
              <w:t>MSAC and PASC</w:t>
            </w:r>
            <w:r w:rsidR="00720D9B" w:rsidRPr="00B20172">
              <w:rPr>
                <w:webHidden/>
              </w:rPr>
              <w:tab/>
            </w:r>
            <w:r w:rsidRPr="00B20172">
              <w:rPr>
                <w:webHidden/>
              </w:rPr>
              <w:fldChar w:fldCharType="begin"/>
            </w:r>
            <w:r w:rsidR="00720D9B" w:rsidRPr="00B20172">
              <w:rPr>
                <w:webHidden/>
              </w:rPr>
              <w:instrText xml:space="preserve"> PAGEREF _Toc289854367 \h </w:instrText>
            </w:r>
            <w:r w:rsidRPr="00B20172">
              <w:rPr>
                <w:webHidden/>
              </w:rPr>
            </w:r>
            <w:r w:rsidRPr="00B20172">
              <w:rPr>
                <w:webHidden/>
              </w:rPr>
              <w:fldChar w:fldCharType="separate"/>
            </w:r>
            <w:r w:rsidR="006233C0" w:rsidRPr="00B20172">
              <w:rPr>
                <w:webHidden/>
              </w:rPr>
              <w:t>2</w:t>
            </w:r>
            <w:r w:rsidRPr="00B20172">
              <w:rPr>
                <w:webHidden/>
              </w:rPr>
              <w:fldChar w:fldCharType="end"/>
            </w:r>
          </w:hyperlink>
        </w:p>
        <w:p w:rsidR="00720D9B" w:rsidRPr="00B20172" w:rsidRDefault="006233C0">
          <w:pPr>
            <w:pStyle w:val="TOC2"/>
            <w:rPr>
              <w:rFonts w:asciiTheme="minorHAnsi" w:eastAsiaTheme="minorEastAsia" w:hAnsiTheme="minorHAnsi" w:cstheme="minorBidi"/>
              <w:sz w:val="22"/>
              <w:szCs w:val="22"/>
              <w:lang w:val="en-AU" w:eastAsia="en-AU"/>
            </w:rPr>
          </w:pPr>
          <w:hyperlink w:anchor="_Toc289854368" w:history="1">
            <w:r w:rsidR="00720D9B" w:rsidRPr="00B20172">
              <w:rPr>
                <w:rStyle w:val="Hyperlink"/>
              </w:rPr>
              <w:t>Purpose of this document</w:t>
            </w:r>
            <w:r w:rsidR="00720D9B" w:rsidRPr="00B20172">
              <w:rPr>
                <w:webHidden/>
              </w:rPr>
              <w:tab/>
            </w:r>
            <w:r w:rsidR="001325DB" w:rsidRPr="00B20172">
              <w:rPr>
                <w:webHidden/>
              </w:rPr>
              <w:fldChar w:fldCharType="begin"/>
            </w:r>
            <w:r w:rsidR="00720D9B" w:rsidRPr="00B20172">
              <w:rPr>
                <w:webHidden/>
              </w:rPr>
              <w:instrText xml:space="preserve"> PAGEREF _Toc289854368 \h </w:instrText>
            </w:r>
            <w:r w:rsidR="001325DB" w:rsidRPr="00B20172">
              <w:rPr>
                <w:webHidden/>
              </w:rPr>
            </w:r>
            <w:r w:rsidR="001325DB" w:rsidRPr="00B20172">
              <w:rPr>
                <w:webHidden/>
              </w:rPr>
              <w:fldChar w:fldCharType="separate"/>
            </w:r>
            <w:r w:rsidRPr="00B20172">
              <w:rPr>
                <w:webHidden/>
              </w:rPr>
              <w:t>2</w:t>
            </w:r>
            <w:r w:rsidR="001325DB" w:rsidRPr="00B20172">
              <w:rPr>
                <w:webHidden/>
              </w:rPr>
              <w:fldChar w:fldCharType="end"/>
            </w:r>
          </w:hyperlink>
        </w:p>
        <w:p w:rsidR="00720D9B" w:rsidRPr="00B20172" w:rsidRDefault="006233C0">
          <w:pPr>
            <w:pStyle w:val="TOC1"/>
            <w:rPr>
              <w:rFonts w:asciiTheme="minorHAnsi" w:eastAsiaTheme="minorEastAsia" w:hAnsiTheme="minorHAnsi" w:cstheme="minorBidi"/>
              <w:b w:val="0"/>
              <w:sz w:val="22"/>
              <w:szCs w:val="22"/>
              <w:lang w:eastAsia="en-AU"/>
            </w:rPr>
          </w:pPr>
          <w:hyperlink w:anchor="_Toc289854369" w:history="1">
            <w:r w:rsidR="00720D9B" w:rsidRPr="00B20172">
              <w:rPr>
                <w:rStyle w:val="Hyperlink"/>
              </w:rPr>
              <w:t>Purpose of application</w:t>
            </w:r>
            <w:r w:rsidR="00720D9B" w:rsidRPr="00B20172">
              <w:rPr>
                <w:webHidden/>
              </w:rPr>
              <w:tab/>
            </w:r>
            <w:r w:rsidR="001325DB" w:rsidRPr="00B20172">
              <w:rPr>
                <w:webHidden/>
              </w:rPr>
              <w:fldChar w:fldCharType="begin"/>
            </w:r>
            <w:r w:rsidR="00720D9B" w:rsidRPr="00B20172">
              <w:rPr>
                <w:webHidden/>
              </w:rPr>
              <w:instrText xml:space="preserve"> PAGEREF _Toc289854369 \h </w:instrText>
            </w:r>
            <w:r w:rsidR="001325DB" w:rsidRPr="00B20172">
              <w:rPr>
                <w:webHidden/>
              </w:rPr>
            </w:r>
            <w:r w:rsidR="001325DB" w:rsidRPr="00B20172">
              <w:rPr>
                <w:webHidden/>
              </w:rPr>
              <w:fldChar w:fldCharType="separate"/>
            </w:r>
            <w:r w:rsidRPr="00B20172">
              <w:rPr>
                <w:webHidden/>
              </w:rPr>
              <w:t>4</w:t>
            </w:r>
            <w:r w:rsidR="001325DB" w:rsidRPr="00B20172">
              <w:rPr>
                <w:webHidden/>
              </w:rPr>
              <w:fldChar w:fldCharType="end"/>
            </w:r>
          </w:hyperlink>
        </w:p>
        <w:p w:rsidR="00720D9B" w:rsidRPr="00B20172" w:rsidRDefault="006233C0">
          <w:pPr>
            <w:pStyle w:val="TOC1"/>
            <w:rPr>
              <w:rFonts w:asciiTheme="minorHAnsi" w:eastAsiaTheme="minorEastAsia" w:hAnsiTheme="minorHAnsi" w:cstheme="minorBidi"/>
              <w:b w:val="0"/>
              <w:sz w:val="22"/>
              <w:szCs w:val="22"/>
              <w:lang w:eastAsia="en-AU"/>
            </w:rPr>
          </w:pPr>
          <w:hyperlink w:anchor="_Toc289854370" w:history="1">
            <w:r w:rsidR="00720D9B" w:rsidRPr="00B20172">
              <w:rPr>
                <w:rStyle w:val="Hyperlink"/>
              </w:rPr>
              <w:t>Background</w:t>
            </w:r>
            <w:r w:rsidR="00720D9B" w:rsidRPr="00B20172">
              <w:rPr>
                <w:webHidden/>
              </w:rPr>
              <w:tab/>
            </w:r>
            <w:r w:rsidR="001325DB" w:rsidRPr="00B20172">
              <w:rPr>
                <w:webHidden/>
              </w:rPr>
              <w:fldChar w:fldCharType="begin"/>
            </w:r>
            <w:r w:rsidR="00720D9B" w:rsidRPr="00B20172">
              <w:rPr>
                <w:webHidden/>
              </w:rPr>
              <w:instrText xml:space="preserve"> PAGEREF _Toc289854370 \h </w:instrText>
            </w:r>
            <w:r w:rsidR="001325DB" w:rsidRPr="00B20172">
              <w:rPr>
                <w:webHidden/>
              </w:rPr>
            </w:r>
            <w:r w:rsidR="001325DB" w:rsidRPr="00B20172">
              <w:rPr>
                <w:webHidden/>
              </w:rPr>
              <w:fldChar w:fldCharType="separate"/>
            </w:r>
            <w:r w:rsidRPr="00B20172">
              <w:rPr>
                <w:webHidden/>
              </w:rPr>
              <w:t>4</w:t>
            </w:r>
            <w:r w:rsidR="001325DB" w:rsidRPr="00B20172">
              <w:rPr>
                <w:webHidden/>
              </w:rPr>
              <w:fldChar w:fldCharType="end"/>
            </w:r>
          </w:hyperlink>
        </w:p>
        <w:p w:rsidR="00720D9B" w:rsidRPr="00B20172" w:rsidRDefault="006233C0">
          <w:pPr>
            <w:pStyle w:val="TOC2"/>
            <w:rPr>
              <w:rFonts w:asciiTheme="minorHAnsi" w:eastAsiaTheme="minorEastAsia" w:hAnsiTheme="minorHAnsi" w:cstheme="minorBidi"/>
              <w:sz w:val="22"/>
              <w:szCs w:val="22"/>
              <w:lang w:val="en-AU" w:eastAsia="en-AU"/>
            </w:rPr>
          </w:pPr>
          <w:hyperlink w:anchor="_Toc289854371" w:history="1">
            <w:r w:rsidR="00720D9B" w:rsidRPr="00B20172">
              <w:rPr>
                <w:rStyle w:val="Hyperlink"/>
              </w:rPr>
              <w:t>Current arrangements for public reimbursement</w:t>
            </w:r>
            <w:r w:rsidR="00720D9B" w:rsidRPr="00B20172">
              <w:rPr>
                <w:webHidden/>
              </w:rPr>
              <w:tab/>
            </w:r>
            <w:r w:rsidR="001325DB" w:rsidRPr="00B20172">
              <w:rPr>
                <w:webHidden/>
              </w:rPr>
              <w:fldChar w:fldCharType="begin"/>
            </w:r>
            <w:r w:rsidR="00720D9B" w:rsidRPr="00B20172">
              <w:rPr>
                <w:webHidden/>
              </w:rPr>
              <w:instrText xml:space="preserve"> PAGEREF _Toc289854371 \h </w:instrText>
            </w:r>
            <w:r w:rsidR="001325DB" w:rsidRPr="00B20172">
              <w:rPr>
                <w:webHidden/>
              </w:rPr>
            </w:r>
            <w:r w:rsidR="001325DB" w:rsidRPr="00B20172">
              <w:rPr>
                <w:webHidden/>
              </w:rPr>
              <w:fldChar w:fldCharType="separate"/>
            </w:r>
            <w:r w:rsidRPr="00B20172">
              <w:rPr>
                <w:webHidden/>
              </w:rPr>
              <w:t>4</w:t>
            </w:r>
            <w:r w:rsidR="001325DB" w:rsidRPr="00B20172">
              <w:rPr>
                <w:webHidden/>
              </w:rPr>
              <w:fldChar w:fldCharType="end"/>
            </w:r>
          </w:hyperlink>
        </w:p>
        <w:p w:rsidR="00720D9B" w:rsidRPr="00B20172" w:rsidRDefault="006233C0">
          <w:pPr>
            <w:pStyle w:val="TOC2"/>
            <w:rPr>
              <w:rFonts w:asciiTheme="minorHAnsi" w:eastAsiaTheme="minorEastAsia" w:hAnsiTheme="minorHAnsi" w:cstheme="minorBidi"/>
              <w:sz w:val="22"/>
              <w:szCs w:val="22"/>
              <w:lang w:val="en-AU" w:eastAsia="en-AU"/>
            </w:rPr>
          </w:pPr>
          <w:hyperlink w:anchor="_Toc289854372" w:history="1">
            <w:r w:rsidR="00720D9B" w:rsidRPr="00B20172">
              <w:rPr>
                <w:rStyle w:val="Hyperlink"/>
              </w:rPr>
              <w:t>Regulatory status</w:t>
            </w:r>
            <w:r w:rsidR="00720D9B" w:rsidRPr="00B20172">
              <w:rPr>
                <w:webHidden/>
              </w:rPr>
              <w:tab/>
            </w:r>
            <w:r w:rsidR="001325DB" w:rsidRPr="00B20172">
              <w:rPr>
                <w:webHidden/>
              </w:rPr>
              <w:fldChar w:fldCharType="begin"/>
            </w:r>
            <w:r w:rsidR="00720D9B" w:rsidRPr="00B20172">
              <w:rPr>
                <w:webHidden/>
              </w:rPr>
              <w:instrText xml:space="preserve"> PAGEREF _Toc289854372 \h </w:instrText>
            </w:r>
            <w:r w:rsidR="001325DB" w:rsidRPr="00B20172">
              <w:rPr>
                <w:webHidden/>
              </w:rPr>
            </w:r>
            <w:r w:rsidR="001325DB" w:rsidRPr="00B20172">
              <w:rPr>
                <w:webHidden/>
              </w:rPr>
              <w:fldChar w:fldCharType="separate"/>
            </w:r>
            <w:r w:rsidRPr="00B20172">
              <w:rPr>
                <w:webHidden/>
              </w:rPr>
              <w:t>7</w:t>
            </w:r>
            <w:r w:rsidR="001325DB" w:rsidRPr="00B20172">
              <w:rPr>
                <w:webHidden/>
              </w:rPr>
              <w:fldChar w:fldCharType="end"/>
            </w:r>
          </w:hyperlink>
        </w:p>
        <w:p w:rsidR="00720D9B" w:rsidRPr="00B20172" w:rsidRDefault="006233C0">
          <w:pPr>
            <w:pStyle w:val="TOC1"/>
            <w:rPr>
              <w:rFonts w:asciiTheme="minorHAnsi" w:eastAsiaTheme="minorEastAsia" w:hAnsiTheme="minorHAnsi" w:cstheme="minorBidi"/>
              <w:b w:val="0"/>
              <w:sz w:val="22"/>
              <w:szCs w:val="22"/>
              <w:lang w:eastAsia="en-AU"/>
            </w:rPr>
          </w:pPr>
          <w:hyperlink w:anchor="_Toc289854373" w:history="1">
            <w:r w:rsidR="00720D9B" w:rsidRPr="00B20172">
              <w:rPr>
                <w:rStyle w:val="Hyperlink"/>
              </w:rPr>
              <w:t>Intervention</w:t>
            </w:r>
            <w:r w:rsidR="00720D9B" w:rsidRPr="00B20172">
              <w:rPr>
                <w:webHidden/>
              </w:rPr>
              <w:tab/>
            </w:r>
            <w:r w:rsidR="001325DB" w:rsidRPr="00B20172">
              <w:rPr>
                <w:webHidden/>
              </w:rPr>
              <w:fldChar w:fldCharType="begin"/>
            </w:r>
            <w:r w:rsidR="00720D9B" w:rsidRPr="00B20172">
              <w:rPr>
                <w:webHidden/>
              </w:rPr>
              <w:instrText xml:space="preserve"> PAGEREF _Toc289854373 \h </w:instrText>
            </w:r>
            <w:r w:rsidR="001325DB" w:rsidRPr="00B20172">
              <w:rPr>
                <w:webHidden/>
              </w:rPr>
            </w:r>
            <w:r w:rsidR="001325DB" w:rsidRPr="00B20172">
              <w:rPr>
                <w:webHidden/>
              </w:rPr>
              <w:fldChar w:fldCharType="separate"/>
            </w:r>
            <w:r w:rsidRPr="00B20172">
              <w:rPr>
                <w:webHidden/>
              </w:rPr>
              <w:t>8</w:t>
            </w:r>
            <w:r w:rsidR="001325DB" w:rsidRPr="00B20172">
              <w:rPr>
                <w:webHidden/>
              </w:rPr>
              <w:fldChar w:fldCharType="end"/>
            </w:r>
          </w:hyperlink>
        </w:p>
        <w:p w:rsidR="00720D9B" w:rsidRPr="00B20172" w:rsidRDefault="006233C0">
          <w:pPr>
            <w:pStyle w:val="TOC2"/>
            <w:rPr>
              <w:rFonts w:asciiTheme="minorHAnsi" w:eastAsiaTheme="minorEastAsia" w:hAnsiTheme="minorHAnsi" w:cstheme="minorBidi"/>
              <w:sz w:val="22"/>
              <w:szCs w:val="22"/>
              <w:lang w:val="en-AU" w:eastAsia="en-AU"/>
            </w:rPr>
          </w:pPr>
          <w:hyperlink w:anchor="_Toc289854374" w:history="1">
            <w:r w:rsidR="00720D9B" w:rsidRPr="00B20172">
              <w:rPr>
                <w:rStyle w:val="Hyperlink"/>
              </w:rPr>
              <w:t>Description</w:t>
            </w:r>
            <w:r w:rsidR="00720D9B" w:rsidRPr="00B20172">
              <w:rPr>
                <w:webHidden/>
              </w:rPr>
              <w:tab/>
            </w:r>
            <w:r w:rsidR="001325DB" w:rsidRPr="00B20172">
              <w:rPr>
                <w:webHidden/>
              </w:rPr>
              <w:fldChar w:fldCharType="begin"/>
            </w:r>
            <w:r w:rsidR="00720D9B" w:rsidRPr="00B20172">
              <w:rPr>
                <w:webHidden/>
              </w:rPr>
              <w:instrText xml:space="preserve"> PAGEREF _Toc289854374 \h </w:instrText>
            </w:r>
            <w:r w:rsidR="001325DB" w:rsidRPr="00B20172">
              <w:rPr>
                <w:webHidden/>
              </w:rPr>
            </w:r>
            <w:r w:rsidR="001325DB" w:rsidRPr="00B20172">
              <w:rPr>
                <w:webHidden/>
              </w:rPr>
              <w:fldChar w:fldCharType="separate"/>
            </w:r>
            <w:r w:rsidRPr="00B20172">
              <w:rPr>
                <w:webHidden/>
              </w:rPr>
              <w:t>8</w:t>
            </w:r>
            <w:r w:rsidR="001325DB" w:rsidRPr="00B20172">
              <w:rPr>
                <w:webHidden/>
              </w:rPr>
              <w:fldChar w:fldCharType="end"/>
            </w:r>
          </w:hyperlink>
        </w:p>
        <w:p w:rsidR="00720D9B" w:rsidRPr="00B20172" w:rsidRDefault="006233C0">
          <w:pPr>
            <w:pStyle w:val="TOC2"/>
            <w:rPr>
              <w:rFonts w:asciiTheme="minorHAnsi" w:eastAsiaTheme="minorEastAsia" w:hAnsiTheme="minorHAnsi" w:cstheme="minorBidi"/>
              <w:sz w:val="22"/>
              <w:szCs w:val="22"/>
              <w:lang w:val="en-AU" w:eastAsia="en-AU"/>
            </w:rPr>
          </w:pPr>
          <w:hyperlink w:anchor="_Toc289854375" w:history="1">
            <w:r w:rsidR="00720D9B" w:rsidRPr="00B20172">
              <w:rPr>
                <w:rStyle w:val="Hyperlink"/>
              </w:rPr>
              <w:t>Delivery of the intervention</w:t>
            </w:r>
            <w:r w:rsidR="00720D9B" w:rsidRPr="00B20172">
              <w:rPr>
                <w:webHidden/>
              </w:rPr>
              <w:tab/>
            </w:r>
            <w:r w:rsidR="001325DB" w:rsidRPr="00B20172">
              <w:rPr>
                <w:webHidden/>
              </w:rPr>
              <w:fldChar w:fldCharType="begin"/>
            </w:r>
            <w:r w:rsidR="00720D9B" w:rsidRPr="00B20172">
              <w:rPr>
                <w:webHidden/>
              </w:rPr>
              <w:instrText xml:space="preserve"> PAGEREF _Toc289854375 \h </w:instrText>
            </w:r>
            <w:r w:rsidR="001325DB" w:rsidRPr="00B20172">
              <w:rPr>
                <w:webHidden/>
              </w:rPr>
            </w:r>
            <w:r w:rsidR="001325DB" w:rsidRPr="00B20172">
              <w:rPr>
                <w:webHidden/>
              </w:rPr>
              <w:fldChar w:fldCharType="separate"/>
            </w:r>
            <w:r w:rsidRPr="00B20172">
              <w:rPr>
                <w:webHidden/>
              </w:rPr>
              <w:t>15</w:t>
            </w:r>
            <w:r w:rsidR="001325DB" w:rsidRPr="00B20172">
              <w:rPr>
                <w:webHidden/>
              </w:rPr>
              <w:fldChar w:fldCharType="end"/>
            </w:r>
          </w:hyperlink>
        </w:p>
        <w:p w:rsidR="00720D9B" w:rsidRPr="00B20172" w:rsidRDefault="006233C0">
          <w:pPr>
            <w:pStyle w:val="TOC2"/>
            <w:rPr>
              <w:rFonts w:asciiTheme="minorHAnsi" w:eastAsiaTheme="minorEastAsia" w:hAnsiTheme="minorHAnsi" w:cstheme="minorBidi"/>
              <w:sz w:val="22"/>
              <w:szCs w:val="22"/>
              <w:lang w:val="en-AU" w:eastAsia="en-AU"/>
            </w:rPr>
          </w:pPr>
          <w:hyperlink w:anchor="_Toc289854376" w:history="1">
            <w:r w:rsidR="00720D9B" w:rsidRPr="00B20172">
              <w:rPr>
                <w:rStyle w:val="Hyperlink"/>
              </w:rPr>
              <w:t>Prerequisites</w:t>
            </w:r>
            <w:r w:rsidR="00720D9B" w:rsidRPr="00B20172">
              <w:rPr>
                <w:webHidden/>
              </w:rPr>
              <w:tab/>
            </w:r>
            <w:r w:rsidR="001325DB" w:rsidRPr="00B20172">
              <w:rPr>
                <w:webHidden/>
              </w:rPr>
              <w:fldChar w:fldCharType="begin"/>
            </w:r>
            <w:r w:rsidR="00720D9B" w:rsidRPr="00B20172">
              <w:rPr>
                <w:webHidden/>
              </w:rPr>
              <w:instrText xml:space="preserve"> PAGEREF _Toc289854376 \h </w:instrText>
            </w:r>
            <w:r w:rsidR="001325DB" w:rsidRPr="00B20172">
              <w:rPr>
                <w:webHidden/>
              </w:rPr>
            </w:r>
            <w:r w:rsidR="001325DB" w:rsidRPr="00B20172">
              <w:rPr>
                <w:webHidden/>
              </w:rPr>
              <w:fldChar w:fldCharType="separate"/>
            </w:r>
            <w:r w:rsidRPr="00B20172">
              <w:rPr>
                <w:webHidden/>
              </w:rPr>
              <w:t>16</w:t>
            </w:r>
            <w:r w:rsidR="001325DB" w:rsidRPr="00B20172">
              <w:rPr>
                <w:webHidden/>
              </w:rPr>
              <w:fldChar w:fldCharType="end"/>
            </w:r>
          </w:hyperlink>
        </w:p>
        <w:p w:rsidR="00720D9B" w:rsidRPr="00B20172" w:rsidRDefault="006233C0">
          <w:pPr>
            <w:pStyle w:val="TOC2"/>
            <w:rPr>
              <w:rFonts w:asciiTheme="minorHAnsi" w:eastAsiaTheme="minorEastAsia" w:hAnsiTheme="minorHAnsi" w:cstheme="minorBidi"/>
              <w:sz w:val="22"/>
              <w:szCs w:val="22"/>
              <w:lang w:val="en-AU" w:eastAsia="en-AU"/>
            </w:rPr>
          </w:pPr>
          <w:hyperlink w:anchor="_Toc289854377" w:history="1">
            <w:r w:rsidR="00720D9B" w:rsidRPr="00B20172">
              <w:rPr>
                <w:rStyle w:val="Hyperlink"/>
              </w:rPr>
              <w:t>Co-administered and associated interventions</w:t>
            </w:r>
            <w:r w:rsidR="00720D9B" w:rsidRPr="00B20172">
              <w:rPr>
                <w:webHidden/>
              </w:rPr>
              <w:tab/>
            </w:r>
            <w:r w:rsidR="001325DB" w:rsidRPr="00B20172">
              <w:rPr>
                <w:webHidden/>
              </w:rPr>
              <w:fldChar w:fldCharType="begin"/>
            </w:r>
            <w:r w:rsidR="00720D9B" w:rsidRPr="00B20172">
              <w:rPr>
                <w:webHidden/>
              </w:rPr>
              <w:instrText xml:space="preserve"> PAGEREF _Toc289854377 \h </w:instrText>
            </w:r>
            <w:r w:rsidR="001325DB" w:rsidRPr="00B20172">
              <w:rPr>
                <w:webHidden/>
              </w:rPr>
            </w:r>
            <w:r w:rsidR="001325DB" w:rsidRPr="00B20172">
              <w:rPr>
                <w:webHidden/>
              </w:rPr>
              <w:fldChar w:fldCharType="separate"/>
            </w:r>
            <w:r w:rsidRPr="00B20172">
              <w:rPr>
                <w:webHidden/>
              </w:rPr>
              <w:t>17</w:t>
            </w:r>
            <w:r w:rsidR="001325DB" w:rsidRPr="00B20172">
              <w:rPr>
                <w:webHidden/>
              </w:rPr>
              <w:fldChar w:fldCharType="end"/>
            </w:r>
          </w:hyperlink>
        </w:p>
        <w:p w:rsidR="00720D9B" w:rsidRPr="00B20172" w:rsidRDefault="006233C0">
          <w:pPr>
            <w:pStyle w:val="TOC1"/>
            <w:rPr>
              <w:rFonts w:asciiTheme="minorHAnsi" w:eastAsiaTheme="minorEastAsia" w:hAnsiTheme="minorHAnsi" w:cstheme="minorBidi"/>
              <w:b w:val="0"/>
              <w:sz w:val="22"/>
              <w:szCs w:val="22"/>
              <w:lang w:eastAsia="en-AU"/>
            </w:rPr>
          </w:pPr>
          <w:hyperlink w:anchor="_Toc289854378" w:history="1">
            <w:r w:rsidR="00720D9B" w:rsidRPr="00B20172">
              <w:rPr>
                <w:rStyle w:val="Hyperlink"/>
              </w:rPr>
              <w:t>Listing proposed and options for MSAC consideration</w:t>
            </w:r>
            <w:r w:rsidR="00720D9B" w:rsidRPr="00B20172">
              <w:rPr>
                <w:webHidden/>
              </w:rPr>
              <w:tab/>
            </w:r>
            <w:r w:rsidR="001325DB" w:rsidRPr="00B20172">
              <w:rPr>
                <w:webHidden/>
              </w:rPr>
              <w:fldChar w:fldCharType="begin"/>
            </w:r>
            <w:r w:rsidR="00720D9B" w:rsidRPr="00B20172">
              <w:rPr>
                <w:webHidden/>
              </w:rPr>
              <w:instrText xml:space="preserve"> PAGEREF _Toc289854378 \h </w:instrText>
            </w:r>
            <w:r w:rsidR="001325DB" w:rsidRPr="00B20172">
              <w:rPr>
                <w:webHidden/>
              </w:rPr>
            </w:r>
            <w:r w:rsidR="001325DB" w:rsidRPr="00B20172">
              <w:rPr>
                <w:webHidden/>
              </w:rPr>
              <w:fldChar w:fldCharType="separate"/>
            </w:r>
            <w:r w:rsidRPr="00B20172">
              <w:rPr>
                <w:webHidden/>
              </w:rPr>
              <w:t>17</w:t>
            </w:r>
            <w:r w:rsidR="001325DB" w:rsidRPr="00B20172">
              <w:rPr>
                <w:webHidden/>
              </w:rPr>
              <w:fldChar w:fldCharType="end"/>
            </w:r>
          </w:hyperlink>
        </w:p>
        <w:p w:rsidR="00720D9B" w:rsidRPr="00B20172" w:rsidRDefault="006233C0">
          <w:pPr>
            <w:pStyle w:val="TOC2"/>
            <w:rPr>
              <w:rFonts w:asciiTheme="minorHAnsi" w:eastAsiaTheme="minorEastAsia" w:hAnsiTheme="minorHAnsi" w:cstheme="minorBidi"/>
              <w:sz w:val="22"/>
              <w:szCs w:val="22"/>
              <w:lang w:val="en-AU" w:eastAsia="en-AU"/>
            </w:rPr>
          </w:pPr>
          <w:hyperlink w:anchor="_Toc289854379" w:history="1">
            <w:r w:rsidR="00720D9B" w:rsidRPr="00B20172">
              <w:rPr>
                <w:rStyle w:val="Hyperlink"/>
              </w:rPr>
              <w:t>Proposed MBS listing</w:t>
            </w:r>
            <w:r w:rsidR="00720D9B" w:rsidRPr="00B20172">
              <w:rPr>
                <w:webHidden/>
              </w:rPr>
              <w:tab/>
            </w:r>
            <w:r w:rsidR="001325DB" w:rsidRPr="00B20172">
              <w:rPr>
                <w:webHidden/>
              </w:rPr>
              <w:fldChar w:fldCharType="begin"/>
            </w:r>
            <w:r w:rsidR="00720D9B" w:rsidRPr="00B20172">
              <w:rPr>
                <w:webHidden/>
              </w:rPr>
              <w:instrText xml:space="preserve"> PAGEREF _Toc289854379 \h </w:instrText>
            </w:r>
            <w:r w:rsidR="001325DB" w:rsidRPr="00B20172">
              <w:rPr>
                <w:webHidden/>
              </w:rPr>
            </w:r>
            <w:r w:rsidR="001325DB" w:rsidRPr="00B20172">
              <w:rPr>
                <w:webHidden/>
              </w:rPr>
              <w:fldChar w:fldCharType="separate"/>
            </w:r>
            <w:r w:rsidRPr="00B20172">
              <w:rPr>
                <w:webHidden/>
              </w:rPr>
              <w:t>17</w:t>
            </w:r>
            <w:r w:rsidR="001325DB" w:rsidRPr="00B20172">
              <w:rPr>
                <w:webHidden/>
              </w:rPr>
              <w:fldChar w:fldCharType="end"/>
            </w:r>
          </w:hyperlink>
        </w:p>
        <w:p w:rsidR="00720D9B" w:rsidRPr="00B20172" w:rsidRDefault="006233C0">
          <w:pPr>
            <w:pStyle w:val="TOC2"/>
            <w:rPr>
              <w:rFonts w:asciiTheme="minorHAnsi" w:eastAsiaTheme="minorEastAsia" w:hAnsiTheme="minorHAnsi" w:cstheme="minorBidi"/>
              <w:sz w:val="22"/>
              <w:szCs w:val="22"/>
              <w:lang w:val="en-AU" w:eastAsia="en-AU"/>
            </w:rPr>
          </w:pPr>
          <w:hyperlink w:anchor="_Toc289854380" w:history="1">
            <w:r w:rsidR="00720D9B" w:rsidRPr="00B20172">
              <w:rPr>
                <w:rStyle w:val="Hyperlink"/>
              </w:rPr>
              <w:t>Clinical place for proposed intervention</w:t>
            </w:r>
            <w:r w:rsidR="00720D9B" w:rsidRPr="00B20172">
              <w:rPr>
                <w:webHidden/>
              </w:rPr>
              <w:tab/>
            </w:r>
            <w:r w:rsidR="001325DB" w:rsidRPr="00B20172">
              <w:rPr>
                <w:webHidden/>
              </w:rPr>
              <w:fldChar w:fldCharType="begin"/>
            </w:r>
            <w:r w:rsidR="00720D9B" w:rsidRPr="00B20172">
              <w:rPr>
                <w:webHidden/>
              </w:rPr>
              <w:instrText xml:space="preserve"> PAGEREF _Toc289854380 \h </w:instrText>
            </w:r>
            <w:r w:rsidR="001325DB" w:rsidRPr="00B20172">
              <w:rPr>
                <w:webHidden/>
              </w:rPr>
            </w:r>
            <w:r w:rsidR="001325DB" w:rsidRPr="00B20172">
              <w:rPr>
                <w:webHidden/>
              </w:rPr>
              <w:fldChar w:fldCharType="separate"/>
            </w:r>
            <w:r w:rsidRPr="00B20172">
              <w:rPr>
                <w:webHidden/>
              </w:rPr>
              <w:t>18</w:t>
            </w:r>
            <w:r w:rsidR="001325DB" w:rsidRPr="00B20172">
              <w:rPr>
                <w:webHidden/>
              </w:rPr>
              <w:fldChar w:fldCharType="end"/>
            </w:r>
          </w:hyperlink>
        </w:p>
        <w:p w:rsidR="00720D9B" w:rsidRPr="00B20172" w:rsidRDefault="006233C0">
          <w:pPr>
            <w:pStyle w:val="TOC1"/>
            <w:rPr>
              <w:rFonts w:asciiTheme="minorHAnsi" w:eastAsiaTheme="minorEastAsia" w:hAnsiTheme="minorHAnsi" w:cstheme="minorBidi"/>
              <w:b w:val="0"/>
              <w:sz w:val="22"/>
              <w:szCs w:val="22"/>
              <w:lang w:eastAsia="en-AU"/>
            </w:rPr>
          </w:pPr>
          <w:hyperlink w:anchor="_Toc289854381" w:history="1">
            <w:r w:rsidR="00720D9B" w:rsidRPr="00B20172">
              <w:rPr>
                <w:rStyle w:val="Hyperlink"/>
              </w:rPr>
              <w:t>Comparator</w:t>
            </w:r>
            <w:r w:rsidR="00720D9B" w:rsidRPr="00B20172">
              <w:rPr>
                <w:webHidden/>
              </w:rPr>
              <w:tab/>
            </w:r>
            <w:r w:rsidR="001325DB" w:rsidRPr="00B20172">
              <w:rPr>
                <w:webHidden/>
              </w:rPr>
              <w:fldChar w:fldCharType="begin"/>
            </w:r>
            <w:r w:rsidR="00720D9B" w:rsidRPr="00B20172">
              <w:rPr>
                <w:webHidden/>
              </w:rPr>
              <w:instrText xml:space="preserve"> PAGEREF _Toc289854381 \h </w:instrText>
            </w:r>
            <w:r w:rsidR="001325DB" w:rsidRPr="00B20172">
              <w:rPr>
                <w:webHidden/>
              </w:rPr>
            </w:r>
            <w:r w:rsidR="001325DB" w:rsidRPr="00B20172">
              <w:rPr>
                <w:webHidden/>
              </w:rPr>
              <w:fldChar w:fldCharType="separate"/>
            </w:r>
            <w:r w:rsidRPr="00B20172">
              <w:rPr>
                <w:webHidden/>
              </w:rPr>
              <w:t>0</w:t>
            </w:r>
            <w:r w:rsidR="001325DB" w:rsidRPr="00B20172">
              <w:rPr>
                <w:webHidden/>
              </w:rPr>
              <w:fldChar w:fldCharType="end"/>
            </w:r>
          </w:hyperlink>
        </w:p>
        <w:p w:rsidR="00720D9B" w:rsidRPr="00B20172" w:rsidRDefault="006233C0">
          <w:pPr>
            <w:pStyle w:val="TOC1"/>
            <w:rPr>
              <w:rFonts w:asciiTheme="minorHAnsi" w:eastAsiaTheme="minorEastAsia" w:hAnsiTheme="minorHAnsi" w:cstheme="minorBidi"/>
              <w:b w:val="0"/>
              <w:sz w:val="22"/>
              <w:szCs w:val="22"/>
              <w:lang w:eastAsia="en-AU"/>
            </w:rPr>
          </w:pPr>
          <w:hyperlink w:anchor="_Toc289854382" w:history="1">
            <w:r w:rsidR="00720D9B" w:rsidRPr="00B20172">
              <w:rPr>
                <w:rStyle w:val="Hyperlink"/>
              </w:rPr>
              <w:t>Clinical claim</w:t>
            </w:r>
            <w:r w:rsidR="00720D9B" w:rsidRPr="00B20172">
              <w:rPr>
                <w:webHidden/>
              </w:rPr>
              <w:tab/>
            </w:r>
            <w:r w:rsidR="001325DB" w:rsidRPr="00B20172">
              <w:rPr>
                <w:webHidden/>
              </w:rPr>
              <w:fldChar w:fldCharType="begin"/>
            </w:r>
            <w:r w:rsidR="00720D9B" w:rsidRPr="00B20172">
              <w:rPr>
                <w:webHidden/>
              </w:rPr>
              <w:instrText xml:space="preserve"> PAGEREF _Toc289854382 \h </w:instrText>
            </w:r>
            <w:r w:rsidR="001325DB" w:rsidRPr="00B20172">
              <w:rPr>
                <w:webHidden/>
              </w:rPr>
            </w:r>
            <w:r w:rsidR="001325DB" w:rsidRPr="00B20172">
              <w:rPr>
                <w:webHidden/>
              </w:rPr>
              <w:fldChar w:fldCharType="separate"/>
            </w:r>
            <w:r w:rsidRPr="00B20172">
              <w:rPr>
                <w:webHidden/>
              </w:rPr>
              <w:t>2</w:t>
            </w:r>
            <w:r w:rsidR="001325DB" w:rsidRPr="00B20172">
              <w:rPr>
                <w:webHidden/>
              </w:rPr>
              <w:fldChar w:fldCharType="end"/>
            </w:r>
          </w:hyperlink>
        </w:p>
        <w:p w:rsidR="00720D9B" w:rsidRPr="00B20172" w:rsidRDefault="006233C0">
          <w:pPr>
            <w:pStyle w:val="TOC1"/>
            <w:rPr>
              <w:rFonts w:asciiTheme="minorHAnsi" w:eastAsiaTheme="minorEastAsia" w:hAnsiTheme="minorHAnsi" w:cstheme="minorBidi"/>
              <w:b w:val="0"/>
              <w:sz w:val="22"/>
              <w:szCs w:val="22"/>
              <w:lang w:eastAsia="en-AU"/>
            </w:rPr>
          </w:pPr>
          <w:hyperlink w:anchor="_Toc289854383" w:history="1">
            <w:r w:rsidR="00720D9B" w:rsidRPr="00B20172">
              <w:rPr>
                <w:rStyle w:val="Hyperlink"/>
              </w:rPr>
              <w:t>Outcomes and health care resources affected by introduction of proposed intervention</w:t>
            </w:r>
            <w:r w:rsidR="00720D9B" w:rsidRPr="00B20172">
              <w:rPr>
                <w:webHidden/>
              </w:rPr>
              <w:tab/>
            </w:r>
            <w:r w:rsidR="001325DB" w:rsidRPr="00B20172">
              <w:rPr>
                <w:webHidden/>
              </w:rPr>
              <w:fldChar w:fldCharType="begin"/>
            </w:r>
            <w:r w:rsidR="00720D9B" w:rsidRPr="00B20172">
              <w:rPr>
                <w:webHidden/>
              </w:rPr>
              <w:instrText xml:space="preserve"> PAGEREF _Toc289854383 \h </w:instrText>
            </w:r>
            <w:r w:rsidR="001325DB" w:rsidRPr="00B20172">
              <w:rPr>
                <w:webHidden/>
              </w:rPr>
            </w:r>
            <w:r w:rsidR="001325DB" w:rsidRPr="00B20172">
              <w:rPr>
                <w:webHidden/>
              </w:rPr>
              <w:fldChar w:fldCharType="separate"/>
            </w:r>
            <w:r w:rsidRPr="00B20172">
              <w:rPr>
                <w:webHidden/>
              </w:rPr>
              <w:t>3</w:t>
            </w:r>
            <w:r w:rsidR="001325DB" w:rsidRPr="00B20172">
              <w:rPr>
                <w:webHidden/>
              </w:rPr>
              <w:fldChar w:fldCharType="end"/>
            </w:r>
          </w:hyperlink>
        </w:p>
        <w:p w:rsidR="00720D9B" w:rsidRPr="00B20172" w:rsidRDefault="006233C0">
          <w:pPr>
            <w:pStyle w:val="TOC2"/>
            <w:rPr>
              <w:rFonts w:asciiTheme="minorHAnsi" w:eastAsiaTheme="minorEastAsia" w:hAnsiTheme="minorHAnsi" w:cstheme="minorBidi"/>
              <w:sz w:val="22"/>
              <w:szCs w:val="22"/>
              <w:lang w:val="en-AU" w:eastAsia="en-AU"/>
            </w:rPr>
          </w:pPr>
          <w:hyperlink w:anchor="_Toc289854384" w:history="1">
            <w:r w:rsidR="00720D9B" w:rsidRPr="00B20172">
              <w:rPr>
                <w:rStyle w:val="Hyperlink"/>
              </w:rPr>
              <w:t>Clinical outcomes</w:t>
            </w:r>
            <w:r w:rsidR="00720D9B" w:rsidRPr="00B20172">
              <w:rPr>
                <w:webHidden/>
              </w:rPr>
              <w:tab/>
            </w:r>
            <w:r w:rsidR="001325DB" w:rsidRPr="00B20172">
              <w:rPr>
                <w:webHidden/>
              </w:rPr>
              <w:fldChar w:fldCharType="begin"/>
            </w:r>
            <w:r w:rsidR="00720D9B" w:rsidRPr="00B20172">
              <w:rPr>
                <w:webHidden/>
              </w:rPr>
              <w:instrText xml:space="preserve"> PAGEREF _Toc289854384 \h </w:instrText>
            </w:r>
            <w:r w:rsidR="001325DB" w:rsidRPr="00B20172">
              <w:rPr>
                <w:webHidden/>
              </w:rPr>
            </w:r>
            <w:r w:rsidR="001325DB" w:rsidRPr="00B20172">
              <w:rPr>
                <w:webHidden/>
              </w:rPr>
              <w:fldChar w:fldCharType="separate"/>
            </w:r>
            <w:r w:rsidRPr="00B20172">
              <w:rPr>
                <w:webHidden/>
              </w:rPr>
              <w:t>3</w:t>
            </w:r>
            <w:r w:rsidR="001325DB" w:rsidRPr="00B20172">
              <w:rPr>
                <w:webHidden/>
              </w:rPr>
              <w:fldChar w:fldCharType="end"/>
            </w:r>
          </w:hyperlink>
        </w:p>
        <w:p w:rsidR="00720D9B" w:rsidRPr="00B20172" w:rsidRDefault="006233C0">
          <w:pPr>
            <w:pStyle w:val="TOC2"/>
            <w:rPr>
              <w:rFonts w:asciiTheme="minorHAnsi" w:eastAsiaTheme="minorEastAsia" w:hAnsiTheme="minorHAnsi" w:cstheme="minorBidi"/>
              <w:sz w:val="22"/>
              <w:szCs w:val="22"/>
              <w:lang w:val="en-AU" w:eastAsia="en-AU"/>
            </w:rPr>
          </w:pPr>
          <w:hyperlink w:anchor="_Toc289854385" w:history="1">
            <w:r w:rsidR="00720D9B" w:rsidRPr="00B20172">
              <w:rPr>
                <w:rStyle w:val="Hyperlink"/>
              </w:rPr>
              <w:t>Health care resources</w:t>
            </w:r>
            <w:r w:rsidR="00720D9B" w:rsidRPr="00B20172">
              <w:rPr>
                <w:webHidden/>
              </w:rPr>
              <w:tab/>
            </w:r>
            <w:r w:rsidR="001325DB" w:rsidRPr="00B20172">
              <w:rPr>
                <w:webHidden/>
              </w:rPr>
              <w:fldChar w:fldCharType="begin"/>
            </w:r>
            <w:r w:rsidR="00720D9B" w:rsidRPr="00B20172">
              <w:rPr>
                <w:webHidden/>
              </w:rPr>
              <w:instrText xml:space="preserve"> PAGEREF _Toc289854385 \h </w:instrText>
            </w:r>
            <w:r w:rsidR="001325DB" w:rsidRPr="00B20172">
              <w:rPr>
                <w:webHidden/>
              </w:rPr>
            </w:r>
            <w:r w:rsidR="001325DB" w:rsidRPr="00B20172">
              <w:rPr>
                <w:webHidden/>
              </w:rPr>
              <w:fldChar w:fldCharType="separate"/>
            </w:r>
            <w:r w:rsidRPr="00B20172">
              <w:rPr>
                <w:webHidden/>
              </w:rPr>
              <w:t>4</w:t>
            </w:r>
            <w:r w:rsidR="001325DB" w:rsidRPr="00B20172">
              <w:rPr>
                <w:webHidden/>
              </w:rPr>
              <w:fldChar w:fldCharType="end"/>
            </w:r>
          </w:hyperlink>
        </w:p>
        <w:p w:rsidR="00720D9B" w:rsidRPr="00B20172" w:rsidRDefault="006233C0">
          <w:pPr>
            <w:pStyle w:val="TOC1"/>
            <w:rPr>
              <w:rFonts w:asciiTheme="minorHAnsi" w:eastAsiaTheme="minorEastAsia" w:hAnsiTheme="minorHAnsi" w:cstheme="minorBidi"/>
              <w:b w:val="0"/>
              <w:sz w:val="22"/>
              <w:szCs w:val="22"/>
              <w:lang w:eastAsia="en-AU"/>
            </w:rPr>
          </w:pPr>
          <w:hyperlink w:anchor="_Toc289854386" w:history="1">
            <w:r w:rsidR="00720D9B" w:rsidRPr="00B20172">
              <w:rPr>
                <w:rStyle w:val="Hyperlink"/>
              </w:rPr>
              <w:t>Proposed structure of economic evaluation (decision-analytic)</w:t>
            </w:r>
            <w:r w:rsidR="00720D9B" w:rsidRPr="00B20172">
              <w:rPr>
                <w:webHidden/>
              </w:rPr>
              <w:tab/>
            </w:r>
            <w:r w:rsidR="001325DB" w:rsidRPr="00B20172">
              <w:rPr>
                <w:webHidden/>
              </w:rPr>
              <w:fldChar w:fldCharType="begin"/>
            </w:r>
            <w:r w:rsidR="00720D9B" w:rsidRPr="00B20172">
              <w:rPr>
                <w:webHidden/>
              </w:rPr>
              <w:instrText xml:space="preserve"> PAGEREF _Toc289854386 \h </w:instrText>
            </w:r>
            <w:r w:rsidR="001325DB" w:rsidRPr="00B20172">
              <w:rPr>
                <w:webHidden/>
              </w:rPr>
            </w:r>
            <w:r w:rsidR="001325DB" w:rsidRPr="00B20172">
              <w:rPr>
                <w:webHidden/>
              </w:rPr>
              <w:fldChar w:fldCharType="separate"/>
            </w:r>
            <w:r w:rsidRPr="00B20172">
              <w:rPr>
                <w:webHidden/>
              </w:rPr>
              <w:t>4</w:t>
            </w:r>
            <w:r w:rsidR="001325DB" w:rsidRPr="00B20172">
              <w:rPr>
                <w:webHidden/>
              </w:rPr>
              <w:fldChar w:fldCharType="end"/>
            </w:r>
          </w:hyperlink>
        </w:p>
        <w:p w:rsidR="00B4562F" w:rsidRPr="00B20172" w:rsidRDefault="001325DB" w:rsidP="000901A8">
          <w:r w:rsidRPr="00B20172">
            <w:fldChar w:fldCharType="end"/>
          </w:r>
        </w:p>
      </w:sdtContent>
    </w:sdt>
    <w:p w:rsidR="00B4562F" w:rsidRPr="00B20172" w:rsidRDefault="00B4562F" w:rsidP="000901A8">
      <w:r w:rsidRPr="00B20172">
        <w:br w:type="page"/>
      </w:r>
    </w:p>
    <w:p w:rsidR="00D61C4E" w:rsidRPr="00B20172" w:rsidRDefault="00D61C4E" w:rsidP="000901A8">
      <w:pPr>
        <w:pStyle w:val="Heading1"/>
      </w:pPr>
      <w:bookmarkStart w:id="1" w:name="_Toc289854367"/>
      <w:bookmarkEnd w:id="0"/>
      <w:r w:rsidRPr="00B20172">
        <w:lastRenderedPageBreak/>
        <w:t>MSAC and PASC</w:t>
      </w:r>
      <w:bookmarkEnd w:id="1"/>
    </w:p>
    <w:p w:rsidR="00DB3780" w:rsidRPr="00B20172" w:rsidRDefault="00DB3780" w:rsidP="000901A8">
      <w:r w:rsidRPr="00B20172">
        <w:t>The Medical Services Advisory Committee (MSAC) is an independent expert committee appointed by the Minister for Health and Ageing (the Minister) to strengthen the role of evidence in health financing decisions in Australia. MSAC advises the Minister on the evidence relating to the safety, effectiveness, and cost-effectiveness of new and existing medical technologies and procedures and under what circumstances public funding should be supported.</w:t>
      </w:r>
    </w:p>
    <w:p w:rsidR="00D61C4E" w:rsidRPr="00B20172" w:rsidRDefault="00D61C4E" w:rsidP="000901A8">
      <w:r w:rsidRPr="00B20172">
        <w:t xml:space="preserve">The Protocol Advisory Sub-Committee (PASC) is a standing sub-committee of MSAC. Its </w:t>
      </w:r>
      <w:r w:rsidR="008A1615" w:rsidRPr="00B20172">
        <w:t>primary objective</w:t>
      </w:r>
      <w:r w:rsidRPr="00B20172">
        <w:t xml:space="preserve"> is the determination of protocols to guide </w:t>
      </w:r>
      <w:r w:rsidR="008A1615" w:rsidRPr="00B20172">
        <w:t xml:space="preserve">clinical and economic </w:t>
      </w:r>
      <w:r w:rsidRPr="00B20172">
        <w:t>assessments of medical interventions proposed for public funding.</w:t>
      </w:r>
    </w:p>
    <w:p w:rsidR="00D61C4E" w:rsidRPr="00B20172" w:rsidRDefault="00D61C4E" w:rsidP="000901A8">
      <w:pPr>
        <w:pStyle w:val="Heading2"/>
      </w:pPr>
      <w:bookmarkStart w:id="2" w:name="_Toc289854368"/>
      <w:r w:rsidRPr="00B20172">
        <w:t>Purpose of this document</w:t>
      </w:r>
      <w:bookmarkEnd w:id="2"/>
    </w:p>
    <w:p w:rsidR="00D61C4E" w:rsidRPr="00B20172" w:rsidRDefault="00D61C4E" w:rsidP="000901A8">
      <w:r w:rsidRPr="00B20172">
        <w:t xml:space="preserve">This document is intended to provide </w:t>
      </w:r>
      <w:r w:rsidR="00947922" w:rsidRPr="00B20172">
        <w:t>a draft decision analytic</w:t>
      </w:r>
      <w:r w:rsidR="000E037B" w:rsidRPr="00B20172">
        <w:t xml:space="preserve"> protocol that </w:t>
      </w:r>
      <w:r w:rsidR="00947922" w:rsidRPr="00B20172">
        <w:t>will</w:t>
      </w:r>
      <w:r w:rsidR="000E037B" w:rsidRPr="00B20172">
        <w:t xml:space="preserve"> be used to guide the assessment of </w:t>
      </w:r>
      <w:r w:rsidR="00947922" w:rsidRPr="00B20172">
        <w:t>an intervention for a particular population of patients</w:t>
      </w:r>
      <w:r w:rsidR="000E037B" w:rsidRPr="00B20172">
        <w:t xml:space="preserve">. </w:t>
      </w:r>
      <w:r w:rsidR="00947922" w:rsidRPr="00B20172">
        <w:t>The</w:t>
      </w:r>
      <w:r w:rsidRPr="00B20172">
        <w:t xml:space="preserve"> draft </w:t>
      </w:r>
      <w:r w:rsidR="000E037B" w:rsidRPr="00B20172">
        <w:t>protocol will be finalised after inviting relevant stakeholders to provide input to the protocol. The final protocol will provide</w:t>
      </w:r>
      <w:r w:rsidRPr="00B20172">
        <w:t xml:space="preserve"> the basis for </w:t>
      </w:r>
      <w:r w:rsidR="000E037B" w:rsidRPr="00B20172">
        <w:t xml:space="preserve">the assessment of </w:t>
      </w:r>
      <w:r w:rsidR="00947922" w:rsidRPr="00B20172">
        <w:t>the intervention</w:t>
      </w:r>
      <w:r w:rsidRPr="00B20172">
        <w:t>.</w:t>
      </w:r>
    </w:p>
    <w:p w:rsidR="00C0738D" w:rsidRPr="00B20172" w:rsidRDefault="00C0738D" w:rsidP="000901A8">
      <w:r w:rsidRPr="00B20172">
        <w:t xml:space="preserve">The protocol guiding the assessment of the health intervention </w:t>
      </w:r>
      <w:r w:rsidR="00947922" w:rsidRPr="00B20172">
        <w:t>has been</w:t>
      </w:r>
      <w:r w:rsidRPr="00B20172">
        <w:t xml:space="preserve"> developed using the widely accepted “PICO” approach. The PICO approach involves a clear articulation of the following aspects of the </w:t>
      </w:r>
      <w:r w:rsidR="007D3154" w:rsidRPr="00B20172">
        <w:t>question for public funding</w:t>
      </w:r>
      <w:r w:rsidRPr="00B20172">
        <w:t xml:space="preserve"> the assessment is intended to answer:</w:t>
      </w:r>
    </w:p>
    <w:p w:rsidR="00DB3780" w:rsidRPr="00B20172" w:rsidRDefault="00DB3780" w:rsidP="00DB3780">
      <w:pPr>
        <w:pStyle w:val="ListParagraph"/>
        <w:ind w:left="2127" w:hanging="1407"/>
      </w:pPr>
      <w:r w:rsidRPr="00B20172">
        <w:rPr>
          <w:b/>
          <w:u w:val="single"/>
        </w:rPr>
        <w:t>P</w:t>
      </w:r>
      <w:r w:rsidRPr="00B20172">
        <w:t xml:space="preserve">atients – </w:t>
      </w:r>
      <w:r w:rsidRPr="00B20172">
        <w:tab/>
        <w:t>specification of the characteristics of the patients in whom the intervention is to be considered for use</w:t>
      </w:r>
    </w:p>
    <w:p w:rsidR="00DB3780" w:rsidRPr="00B20172" w:rsidRDefault="00DB3780" w:rsidP="00DB3780">
      <w:pPr>
        <w:pStyle w:val="ListParagraph"/>
        <w:ind w:left="2127" w:hanging="1407"/>
      </w:pPr>
      <w:r w:rsidRPr="00B20172">
        <w:rPr>
          <w:b/>
          <w:u w:val="single"/>
        </w:rPr>
        <w:t>I</w:t>
      </w:r>
      <w:r w:rsidRPr="00B20172">
        <w:t>ntervention –</w:t>
      </w:r>
      <w:r w:rsidRPr="00B20172">
        <w:tab/>
        <w:t>specification of the proposed intervention and how it is delivered</w:t>
      </w:r>
    </w:p>
    <w:p w:rsidR="00DB3780" w:rsidRPr="00B20172" w:rsidRDefault="00DB3780" w:rsidP="00DB3780">
      <w:pPr>
        <w:pStyle w:val="ListParagraph"/>
        <w:ind w:left="2127" w:hanging="1407"/>
      </w:pPr>
      <w:r w:rsidRPr="00B20172">
        <w:rPr>
          <w:b/>
          <w:u w:val="single"/>
        </w:rPr>
        <w:t>C</w:t>
      </w:r>
      <w:r w:rsidRPr="00B20172">
        <w:t>omparator –</w:t>
      </w:r>
      <w:r w:rsidRPr="00B20172">
        <w:tab/>
        <w:t>specification of the therapy most likely to be replaced by the proposed intervention</w:t>
      </w:r>
    </w:p>
    <w:p w:rsidR="00DB3780" w:rsidRPr="00B20172" w:rsidRDefault="00DB3780" w:rsidP="00DB3780">
      <w:pPr>
        <w:pStyle w:val="ListParagraph"/>
        <w:ind w:left="2127" w:hanging="1407"/>
      </w:pPr>
      <w:r w:rsidRPr="00B20172">
        <w:rPr>
          <w:b/>
          <w:u w:val="single"/>
        </w:rPr>
        <w:t>O</w:t>
      </w:r>
      <w:r w:rsidRPr="00B20172">
        <w:t>utcomes –</w:t>
      </w:r>
      <w:r w:rsidRPr="00B20172">
        <w:tab/>
        <w:t>specification of the health outcomes and the healthcare resources likely to be affected by the introduction of the proposed intervention</w:t>
      </w:r>
    </w:p>
    <w:p w:rsidR="00DB3780" w:rsidRPr="00B20172" w:rsidRDefault="00DB3780">
      <w:pPr>
        <w:spacing w:after="200" w:line="276" w:lineRule="auto"/>
        <w:jc w:val="left"/>
      </w:pPr>
      <w:r w:rsidRPr="00B20172">
        <w:br w:type="page"/>
      </w:r>
    </w:p>
    <w:p w:rsidR="00937F40" w:rsidRPr="00B20172" w:rsidRDefault="00722EA6" w:rsidP="00722EA6">
      <w:pPr>
        <w:pStyle w:val="Default"/>
        <w:spacing w:before="360" w:after="160"/>
        <w:jc w:val="both"/>
        <w:rPr>
          <w:b/>
          <w:bCs/>
          <w:color w:val="1F5667"/>
          <w:sz w:val="28"/>
          <w:szCs w:val="28"/>
        </w:rPr>
      </w:pPr>
      <w:r w:rsidRPr="00B20172">
        <w:rPr>
          <w:b/>
          <w:bCs/>
          <w:color w:val="1F5667"/>
          <w:sz w:val="28"/>
          <w:szCs w:val="28"/>
        </w:rPr>
        <w:lastRenderedPageBreak/>
        <w:t xml:space="preserve">Summary of matters for </w:t>
      </w:r>
      <w:r w:rsidR="00BE7B4C" w:rsidRPr="00B20172">
        <w:rPr>
          <w:b/>
          <w:bCs/>
          <w:color w:val="1F5667"/>
          <w:sz w:val="28"/>
          <w:szCs w:val="28"/>
        </w:rPr>
        <w:t xml:space="preserve">consultation </w:t>
      </w:r>
      <w:r w:rsidRPr="00B20172">
        <w:rPr>
          <w:b/>
          <w:bCs/>
          <w:color w:val="1F5667"/>
          <w:sz w:val="28"/>
          <w:szCs w:val="28"/>
        </w:rPr>
        <w:t>by PASC</w:t>
      </w:r>
    </w:p>
    <w:p w:rsidR="00937F40" w:rsidRPr="00B20172" w:rsidRDefault="00937F40" w:rsidP="00722EA6">
      <w:pPr>
        <w:pStyle w:val="Default"/>
        <w:spacing w:before="360" w:after="160"/>
        <w:jc w:val="both"/>
        <w:rPr>
          <w:b/>
          <w:bCs/>
          <w:color w:val="1F5667"/>
          <w:sz w:val="28"/>
          <w:szCs w:val="28"/>
        </w:rPr>
      </w:pPr>
      <w:r w:rsidRPr="00B20172">
        <w:t>PASC requests consultation advice about the following matters in relation to nucleic acid amplification tests in patients with the active signs and symptoms of TB and in patients with a tissue biopsy with histopathology consistent with mycobacteria</w:t>
      </w:r>
    </w:p>
    <w:p w:rsidR="000D007F" w:rsidRPr="00B20172" w:rsidRDefault="000D007F" w:rsidP="00937F40">
      <w:pPr>
        <w:pStyle w:val="ListParagraph"/>
        <w:numPr>
          <w:ilvl w:val="0"/>
          <w:numId w:val="26"/>
        </w:numPr>
        <w:rPr>
          <w:i/>
        </w:rPr>
      </w:pPr>
      <w:r w:rsidRPr="00B20172">
        <w:rPr>
          <w:i/>
        </w:rPr>
        <w:t xml:space="preserve">There is a paucity of information about the types of mycobacterial infection responsible for pulmonary disease in Australia. Extrapolation from overseas populations will probably be required to estimate the proportion of patients in this clinical algorithm.  Consultation is requested on the collection of data in Australia (or failing that overseas) on different types of non-TB mycobacterial infection, their prevalence, incidence and sequelae and pathology tests (other than NAAT) used for testing. </w:t>
      </w:r>
    </w:p>
    <w:p w:rsidR="000D007F" w:rsidRPr="00B20172" w:rsidRDefault="000D007F" w:rsidP="000D007F">
      <w:pPr>
        <w:pStyle w:val="ListParagraph"/>
        <w:numPr>
          <w:ilvl w:val="0"/>
          <w:numId w:val="26"/>
        </w:numPr>
        <w:rPr>
          <w:i/>
          <w:lang w:val="en-GB" w:eastAsia="ja-JP"/>
        </w:rPr>
      </w:pPr>
      <w:r w:rsidRPr="00B20172">
        <w:rPr>
          <w:i/>
          <w:lang w:val="en-GB" w:eastAsia="ja-JP"/>
        </w:rPr>
        <w:t xml:space="preserve">The assessment should present any limitation in evaluating the evidence of the effectiveness of NAAT in detecting NTMB.  These limitations are likely to be that there may be no reliable reference standard available for diagnosing NTMB and secondly, NAAT testing in NTMB usually relies on “in-house” assays with limited validation.  It may therefore be difficult to interpret results.  For example, where the NAAT is negative and an “in-house” assay has been used, the evidence many not be available to ascertain the ability of this assay to differentiate for different types of MB, as well, as the types of MB tested for by this “in-house” assay.  In addition, where the NAAT is positive this result may not be sufficient to convince clinicians that this is the cause of symptoms (with the exception of MTB) because of the ubiquity of mycobacteria and </w:t>
      </w:r>
      <w:proofErr w:type="gramStart"/>
      <w:r w:rsidRPr="00B20172">
        <w:rPr>
          <w:i/>
          <w:lang w:val="en-GB" w:eastAsia="ja-JP"/>
        </w:rPr>
        <w:t>its</w:t>
      </w:r>
      <w:proofErr w:type="gramEnd"/>
      <w:r w:rsidRPr="00B20172">
        <w:rPr>
          <w:i/>
          <w:lang w:val="en-GB" w:eastAsia="ja-JP"/>
        </w:rPr>
        <w:t xml:space="preserve"> potential to contaminate a specimen.  Expert advice is that currently, clinicians often require two positive cultures of MB before the result is considered to have clinical relevance. </w:t>
      </w:r>
      <w:r w:rsidRPr="00B20172">
        <w:rPr>
          <w:b/>
          <w:i/>
          <w:lang w:val="en-GB" w:eastAsia="ja-JP"/>
        </w:rPr>
        <w:t>Consultation is required</w:t>
      </w:r>
      <w:r w:rsidRPr="00B20172">
        <w:rPr>
          <w:i/>
          <w:lang w:val="en-GB" w:eastAsia="ja-JP"/>
        </w:rPr>
        <w:t xml:space="preserve"> </w:t>
      </w:r>
      <w:r w:rsidRPr="00B20172">
        <w:rPr>
          <w:b/>
          <w:i/>
          <w:lang w:val="en-GB" w:eastAsia="ja-JP"/>
        </w:rPr>
        <w:t xml:space="preserve">on situations where </w:t>
      </w:r>
      <w:r w:rsidR="00497EB5" w:rsidRPr="00B20172">
        <w:rPr>
          <w:b/>
          <w:i/>
          <w:lang w:val="en-GB" w:eastAsia="ja-JP"/>
        </w:rPr>
        <w:t xml:space="preserve">MC&amp;S </w:t>
      </w:r>
      <w:r w:rsidRPr="00B20172">
        <w:rPr>
          <w:b/>
          <w:i/>
          <w:lang w:val="en-GB" w:eastAsia="ja-JP"/>
        </w:rPr>
        <w:t>is not able to be obtained whether a metric of additional benefit to clinicians in diagnosing the MB infections, if available, should be presented.</w:t>
      </w:r>
      <w:r w:rsidRPr="00B20172">
        <w:rPr>
          <w:i/>
          <w:lang w:val="en-GB" w:eastAsia="ja-JP"/>
        </w:rPr>
        <w:t xml:space="preserve"> </w:t>
      </w:r>
    </w:p>
    <w:p w:rsidR="000D007F" w:rsidRPr="00B20172" w:rsidRDefault="00906AA0" w:rsidP="000D007F">
      <w:pPr>
        <w:pStyle w:val="ListParagraph"/>
        <w:numPr>
          <w:ilvl w:val="0"/>
          <w:numId w:val="26"/>
        </w:numPr>
        <w:rPr>
          <w:lang w:val="en-GB" w:eastAsia="ja-JP"/>
        </w:rPr>
      </w:pPr>
      <w:r w:rsidRPr="00B20172">
        <w:rPr>
          <w:i/>
          <w:lang w:val="en-GB" w:eastAsia="ja-JP"/>
        </w:rPr>
        <w:t>Cost of hospitalisation for TB treatment and any isolation required</w:t>
      </w:r>
      <w:r w:rsidR="000D007F" w:rsidRPr="00B20172">
        <w:rPr>
          <w:lang w:val="en-GB" w:eastAsia="ja-JP"/>
        </w:rPr>
        <w:t xml:space="preserve"> </w:t>
      </w:r>
      <w:r w:rsidR="000D007F" w:rsidRPr="00B20172">
        <w:rPr>
          <w:i/>
          <w:lang w:val="en-GB" w:eastAsia="ja-JP"/>
        </w:rPr>
        <w:t>(data will be required as an input to the model of the proportion of patients treated in the hospital, how long they are hospitalised for, and what clinical factors decide if a patient is no longer infectious if AFB smear cannot guide a clinician). Consultation is requested on these model parameters.</w:t>
      </w:r>
    </w:p>
    <w:p w:rsidR="0017780C" w:rsidRPr="00B20172" w:rsidRDefault="0017780C" w:rsidP="004A5882">
      <w:pPr>
        <w:pStyle w:val="ListParagraph"/>
        <w:rPr>
          <w:i/>
        </w:rPr>
      </w:pPr>
    </w:p>
    <w:p w:rsidR="000D007F" w:rsidRPr="00B20172" w:rsidRDefault="000D007F" w:rsidP="00722EA6">
      <w:pPr>
        <w:pStyle w:val="Default"/>
        <w:spacing w:before="360" w:after="160"/>
        <w:jc w:val="both"/>
        <w:rPr>
          <w:color w:val="1F5667"/>
          <w:sz w:val="28"/>
          <w:szCs w:val="28"/>
        </w:rPr>
      </w:pPr>
    </w:p>
    <w:p w:rsidR="004120EF" w:rsidRPr="00B20172" w:rsidRDefault="004120EF" w:rsidP="00DB3780">
      <w:r w:rsidRPr="00B20172">
        <w:br w:type="page"/>
      </w:r>
    </w:p>
    <w:p w:rsidR="00947922" w:rsidRPr="00B20172" w:rsidRDefault="00947922" w:rsidP="000901A8">
      <w:pPr>
        <w:pStyle w:val="Heading1"/>
      </w:pPr>
      <w:bookmarkStart w:id="3" w:name="_Toc289854369"/>
      <w:r w:rsidRPr="00B20172">
        <w:lastRenderedPageBreak/>
        <w:t>Purpose of application</w:t>
      </w:r>
      <w:bookmarkEnd w:id="3"/>
    </w:p>
    <w:p w:rsidR="008B7894" w:rsidRPr="00B20172" w:rsidRDefault="009E4296" w:rsidP="000901A8">
      <w:r w:rsidRPr="00B20172">
        <w:t xml:space="preserve">A proposal for an application requesting MBS listing of </w:t>
      </w:r>
      <w:r w:rsidR="008B7894" w:rsidRPr="00B20172">
        <w:t>pathology testing</w:t>
      </w:r>
      <w:r w:rsidRPr="00B20172">
        <w:t xml:space="preserve"> for </w:t>
      </w:r>
      <w:r w:rsidR="008B7894" w:rsidRPr="00B20172">
        <w:t>active mycobacterial infections</w:t>
      </w:r>
      <w:r w:rsidRPr="00B20172">
        <w:t xml:space="preserve"> was received from </w:t>
      </w:r>
      <w:r w:rsidR="008B7894" w:rsidRPr="00B20172">
        <w:t>Douglass Hanly Moir Pathology Pty Ltd</w:t>
      </w:r>
      <w:r w:rsidRPr="00B20172">
        <w:t xml:space="preserve"> by the Department of Health and Ageing in </w:t>
      </w:r>
      <w:r w:rsidR="00EE5360" w:rsidRPr="00B20172">
        <w:t>28 September 2009</w:t>
      </w:r>
      <w:r w:rsidR="003A7613" w:rsidRPr="00B20172">
        <w:t xml:space="preserve">. </w:t>
      </w:r>
    </w:p>
    <w:p w:rsidR="00EA56F8" w:rsidRPr="00B20172" w:rsidRDefault="008B7894" w:rsidP="000901A8">
      <w:r w:rsidRPr="00B20172">
        <w:t xml:space="preserve">The application is for Nucleic Acid Amplification Tests (NAAT) </w:t>
      </w:r>
      <w:r w:rsidR="00A931EA" w:rsidRPr="00B20172">
        <w:t>for the</w:t>
      </w:r>
      <w:r w:rsidRPr="00B20172">
        <w:t xml:space="preserve"> </w:t>
      </w:r>
      <w:r w:rsidR="008231B0" w:rsidRPr="00B20172">
        <w:t xml:space="preserve">1) </w:t>
      </w:r>
      <w:r w:rsidRPr="00B20172">
        <w:t xml:space="preserve">diagnosis </w:t>
      </w:r>
      <w:r w:rsidR="00A931EA" w:rsidRPr="00B20172">
        <w:t xml:space="preserve">and management </w:t>
      </w:r>
      <w:r w:rsidRPr="00B20172">
        <w:t>of tuberculosis</w:t>
      </w:r>
      <w:r w:rsidR="00A931EA" w:rsidRPr="00B20172">
        <w:t xml:space="preserve"> infection in a person with clinical signs and symptoms of TB</w:t>
      </w:r>
      <w:r w:rsidR="008231B0" w:rsidRPr="00B20172">
        <w:t>;</w:t>
      </w:r>
      <w:r w:rsidRPr="00B20172">
        <w:rPr>
          <w:i/>
        </w:rPr>
        <w:t xml:space="preserve"> </w:t>
      </w:r>
      <w:r w:rsidRPr="00B20172">
        <w:t xml:space="preserve">or </w:t>
      </w:r>
      <w:r w:rsidR="008231B0" w:rsidRPr="00B20172">
        <w:t xml:space="preserve">2) </w:t>
      </w:r>
      <w:r w:rsidR="00A931EA" w:rsidRPr="00B20172">
        <w:t xml:space="preserve">NAAT for the diagnosis and management of mycobacterial infection other than TB in tissue biopsy with consistent histopathology. </w:t>
      </w:r>
    </w:p>
    <w:p w:rsidR="00B44229" w:rsidRPr="00B20172" w:rsidRDefault="00B44229" w:rsidP="000901A8">
      <w:r w:rsidRPr="00B20172">
        <w:t xml:space="preserve">The Deakin Health Technology Assessment Group, under its contract with the Department of Health and Ageing, drafted this decision analytical protocol to guide the preparation of an assessment of the safety, effectiveness and cost-effectiveness of </w:t>
      </w:r>
      <w:r w:rsidR="004D12A5" w:rsidRPr="00B20172">
        <w:t>pathology testing</w:t>
      </w:r>
      <w:r w:rsidRPr="00B20172">
        <w:t xml:space="preserve"> for </w:t>
      </w:r>
      <w:r w:rsidR="004D12A5" w:rsidRPr="00B20172">
        <w:t>active TB infection and non-TB mycobacterial infection</w:t>
      </w:r>
      <w:r w:rsidRPr="00B20172">
        <w:t xml:space="preserve"> to inform MSAC’s decision-making regarding public funding of the intervention.</w:t>
      </w:r>
    </w:p>
    <w:p w:rsidR="00AC07F7" w:rsidRPr="00B20172" w:rsidRDefault="00AC07F7" w:rsidP="00AC07F7">
      <w:pPr>
        <w:pStyle w:val="Heading1"/>
      </w:pPr>
      <w:bookmarkStart w:id="4" w:name="_Toc289854370"/>
      <w:r w:rsidRPr="00B20172">
        <w:t>Background</w:t>
      </w:r>
      <w:bookmarkEnd w:id="4"/>
    </w:p>
    <w:p w:rsidR="00AC07F7" w:rsidRPr="00B20172" w:rsidRDefault="00AC07F7" w:rsidP="00AC07F7">
      <w:pPr>
        <w:pStyle w:val="Heading2"/>
      </w:pPr>
      <w:bookmarkStart w:id="5" w:name="_Toc289854371"/>
      <w:r w:rsidRPr="00B20172">
        <w:t>Current arrangements for public reimbursement</w:t>
      </w:r>
      <w:bookmarkEnd w:id="5"/>
    </w:p>
    <w:p w:rsidR="00254235" w:rsidRPr="00B20172" w:rsidRDefault="00254235" w:rsidP="00254235">
      <w:r w:rsidRPr="00B20172">
        <w:t xml:space="preserve">Treatment for tuberculosis is provided free of charge </w:t>
      </w:r>
      <w:r w:rsidR="001D1CBB" w:rsidRPr="00B20172">
        <w:t xml:space="preserve">to patients </w:t>
      </w:r>
      <w:r w:rsidRPr="00B20172">
        <w:t>in Australia</w:t>
      </w:r>
      <w:r w:rsidR="00531C9B" w:rsidRPr="00B20172">
        <w:t>.</w:t>
      </w:r>
      <w:r w:rsidRPr="00B20172">
        <w:t xml:space="preserve"> </w:t>
      </w:r>
      <w:r w:rsidR="00531C9B" w:rsidRPr="00B20172">
        <w:t>T</w:t>
      </w:r>
      <w:r w:rsidR="001D1CBB" w:rsidRPr="00B20172">
        <w:t xml:space="preserve">he test to confirm active mycobacterial infection </w:t>
      </w:r>
      <w:r w:rsidR="00315FFC" w:rsidRPr="00B20172">
        <w:t xml:space="preserve">is only covered if the patient is a public patient in a public hospital or </w:t>
      </w:r>
      <w:r w:rsidRPr="00B20172">
        <w:t xml:space="preserve">if the test </w:t>
      </w:r>
      <w:r w:rsidR="00315FFC" w:rsidRPr="00B20172">
        <w:t xml:space="preserve">performed </w:t>
      </w:r>
      <w:r w:rsidR="001D1CBB" w:rsidRPr="00B20172">
        <w:t xml:space="preserve">is covered by </w:t>
      </w:r>
      <w:r w:rsidRPr="00B20172">
        <w:t>a Medicare item number.</w:t>
      </w:r>
      <w:r w:rsidR="00516BCF" w:rsidRPr="00B20172">
        <w:t xml:space="preserve"> </w:t>
      </w:r>
      <w:r w:rsidRPr="00B20172">
        <w:t xml:space="preserve"> Standard microbial testing for tuberculosis in people with signs and symptoms of active disease in Australia comprises microscopy </w:t>
      </w:r>
      <w:r w:rsidR="00315FFC" w:rsidRPr="00B20172">
        <w:t xml:space="preserve">of a smear </w:t>
      </w:r>
      <w:r w:rsidRPr="00B20172">
        <w:t xml:space="preserve">(for acid fast bacilli - AFB) and </w:t>
      </w:r>
      <w:r w:rsidR="00497EB5" w:rsidRPr="00B20172">
        <w:t>MC&amp;S</w:t>
      </w:r>
      <w:r w:rsidR="00531C9B" w:rsidRPr="00B20172">
        <w:t xml:space="preserve"> (Microscopy, Culture and Sensitivity)</w:t>
      </w:r>
      <w:r w:rsidR="00497EB5" w:rsidRPr="00B20172">
        <w:t xml:space="preserve"> </w:t>
      </w:r>
      <w:r w:rsidRPr="00B20172">
        <w:t xml:space="preserve">of suitable specimens. </w:t>
      </w:r>
    </w:p>
    <w:p w:rsidR="00AB67C7" w:rsidRPr="00B20172" w:rsidRDefault="008F6D09" w:rsidP="00AC07F7">
      <w:r w:rsidRPr="00B20172">
        <w:t xml:space="preserve">Testing for </w:t>
      </w:r>
      <w:r w:rsidR="00254235" w:rsidRPr="00B20172">
        <w:t>Mycoba</w:t>
      </w:r>
      <w:r w:rsidRPr="00B20172">
        <w:t xml:space="preserve">cteria is </w:t>
      </w:r>
      <w:r w:rsidR="004C5F2E" w:rsidRPr="00B20172">
        <w:t xml:space="preserve">currently </w:t>
      </w:r>
      <w:r w:rsidR="00254235" w:rsidRPr="00B20172">
        <w:t xml:space="preserve">listed </w:t>
      </w:r>
      <w:r w:rsidR="004C5F2E" w:rsidRPr="00B20172">
        <w:t xml:space="preserve">on the MBS.  Table 1 lists the tests that are currently available for the diagnosis of Tuberculosis and non-TB mycobacteria.  </w:t>
      </w:r>
      <w:r w:rsidR="00AB67C7" w:rsidRPr="00B20172">
        <w:t xml:space="preserve">Acid Fast Bacilli (AFB) smear and </w:t>
      </w:r>
      <w:r w:rsidR="00497EB5" w:rsidRPr="00B20172">
        <w:t xml:space="preserve">MC&amp;S </w:t>
      </w:r>
      <w:r w:rsidR="00AB67C7" w:rsidRPr="00B20172">
        <w:t>are two separate tests usually performed together</w:t>
      </w:r>
      <w:r w:rsidR="00315FFC" w:rsidRPr="00B20172">
        <w:t xml:space="preserve"> on the same specimen</w:t>
      </w:r>
      <w:r w:rsidR="00AB67C7" w:rsidRPr="00B20172">
        <w:t xml:space="preserve">.  </w:t>
      </w:r>
      <w:r w:rsidR="00EA055E" w:rsidRPr="00B20172">
        <w:t xml:space="preserve">However, the results for these two tests are separated in time; AFB results are reported within 24-48 hours, but culture and </w:t>
      </w:r>
      <w:r w:rsidR="00531C9B" w:rsidRPr="00B20172">
        <w:t xml:space="preserve">sensitivity </w:t>
      </w:r>
      <w:r w:rsidR="00EA055E" w:rsidRPr="00B20172">
        <w:t>results</w:t>
      </w:r>
      <w:r w:rsidR="00497EB5" w:rsidRPr="00B20172">
        <w:t xml:space="preserve"> are</w:t>
      </w:r>
      <w:r w:rsidR="00EA055E" w:rsidRPr="00B20172">
        <w:t xml:space="preserve"> reported at 6-8 weeks. </w:t>
      </w:r>
    </w:p>
    <w:p w:rsidR="004C5F2E" w:rsidRPr="00B20172" w:rsidRDefault="004C5F2E" w:rsidP="004C5F2E">
      <w:r w:rsidRPr="00B20172">
        <w:t xml:space="preserve">Other tests </w:t>
      </w:r>
      <w:r w:rsidR="001B6ABE" w:rsidRPr="00B20172">
        <w:t xml:space="preserve">available </w:t>
      </w:r>
      <w:r w:rsidRPr="00B20172">
        <w:t xml:space="preserve">on the MBS are </w:t>
      </w:r>
      <w:r w:rsidR="001B6ABE" w:rsidRPr="00B20172">
        <w:t xml:space="preserve">used </w:t>
      </w:r>
      <w:r w:rsidRPr="00B20172">
        <w:t xml:space="preserve">to determine if a patient has been infected with the </w:t>
      </w:r>
      <w:r w:rsidR="001B6ABE" w:rsidRPr="00B20172">
        <w:rPr>
          <w:i/>
        </w:rPr>
        <w:t>Mycobacterium tuberculosis</w:t>
      </w:r>
      <w:r w:rsidRPr="00B20172">
        <w:t xml:space="preserve">, </w:t>
      </w:r>
      <w:r w:rsidR="001B6ABE" w:rsidRPr="00B20172">
        <w:t xml:space="preserve">but </w:t>
      </w:r>
      <w:r w:rsidRPr="00B20172">
        <w:t>not whether they have progressed to TB disease.</w:t>
      </w:r>
      <w:r w:rsidR="001B6ABE" w:rsidRPr="00B20172">
        <w:t xml:space="preserve"> The diagnosis of</w:t>
      </w:r>
      <w:r w:rsidRPr="00B20172">
        <w:t xml:space="preserve"> Latent TB</w:t>
      </w:r>
      <w:r w:rsidR="008C7B1D" w:rsidRPr="00B20172">
        <w:t xml:space="preserve"> infection</w:t>
      </w:r>
      <w:r w:rsidR="00DF732D" w:rsidRPr="00B20172">
        <w:t xml:space="preserve"> </w:t>
      </w:r>
      <w:r w:rsidR="008C7B1D" w:rsidRPr="00B20172">
        <w:t>(LTBI)</w:t>
      </w:r>
      <w:r w:rsidRPr="00B20172">
        <w:t xml:space="preserve"> is where </w:t>
      </w:r>
      <w:r w:rsidR="00EA055E" w:rsidRPr="00B20172">
        <w:t xml:space="preserve">a person is infected with </w:t>
      </w:r>
      <w:r w:rsidRPr="00B20172">
        <w:rPr>
          <w:i/>
        </w:rPr>
        <w:t>Mycobacterium tuberculosis</w:t>
      </w:r>
      <w:r w:rsidRPr="00B20172">
        <w:t xml:space="preserve"> </w:t>
      </w:r>
      <w:r w:rsidR="00EA055E" w:rsidRPr="00B20172">
        <w:t>but does not have TB disease.</w:t>
      </w:r>
      <w:r w:rsidR="001B6ABE" w:rsidRPr="00B20172">
        <w:t xml:space="preserve">  These people are not infectious and cannot spread TB to others however they are at risk of developing active TB if their health circumstances change</w:t>
      </w:r>
      <w:r w:rsidR="008C7B1D" w:rsidRPr="00B20172">
        <w:t xml:space="preserve"> which is why knowledge of their status is desirable</w:t>
      </w:r>
      <w:r w:rsidR="001B6ABE" w:rsidRPr="00B20172">
        <w:t>.</w:t>
      </w:r>
      <w:r w:rsidR="008C7B1D" w:rsidRPr="00B20172">
        <w:t xml:space="preserve"> A person with LTBI </w:t>
      </w:r>
      <w:r w:rsidR="00A931EA" w:rsidRPr="00B20172">
        <w:t>is able to be</w:t>
      </w:r>
      <w:r w:rsidR="008C7B1D" w:rsidRPr="00B20172">
        <w:t xml:space="preserve"> treated </w:t>
      </w:r>
      <w:r w:rsidR="00A931EA" w:rsidRPr="00B20172">
        <w:t>for</w:t>
      </w:r>
      <w:r w:rsidR="008C7B1D" w:rsidRPr="00B20172">
        <w:t xml:space="preserve"> </w:t>
      </w:r>
      <w:r w:rsidR="00A26254" w:rsidRPr="00B20172">
        <w:t xml:space="preserve">latent </w:t>
      </w:r>
      <w:r w:rsidR="008C7B1D" w:rsidRPr="00B20172">
        <w:t>TB</w:t>
      </w:r>
      <w:r w:rsidR="00A931EA" w:rsidRPr="00B20172">
        <w:t xml:space="preserve"> if considered necessary by their </w:t>
      </w:r>
      <w:r w:rsidR="00DF732D" w:rsidRPr="00B20172">
        <w:t>clinician</w:t>
      </w:r>
      <w:r w:rsidR="00A931EA" w:rsidRPr="00B20172">
        <w:t>.</w:t>
      </w:r>
      <w:r w:rsidR="008C7B1D" w:rsidRPr="00B20172">
        <w:t xml:space="preserve"> </w:t>
      </w:r>
      <w:r w:rsidR="001B6ABE" w:rsidRPr="00B20172">
        <w:t>In Australia, these tests are routinely used for screening people such as health care workers, recent immigrants f</w:t>
      </w:r>
      <w:r w:rsidR="00DF732D" w:rsidRPr="00B20172">
        <w:t>rom high incidence countries,</w:t>
      </w:r>
      <w:r w:rsidR="001B6ABE" w:rsidRPr="00B20172">
        <w:t xml:space="preserve"> a person </w:t>
      </w:r>
      <w:r w:rsidR="00DF732D" w:rsidRPr="00B20172">
        <w:t xml:space="preserve">who </w:t>
      </w:r>
      <w:r w:rsidR="001B6ABE" w:rsidRPr="00B20172">
        <w:t>has had recent cont</w:t>
      </w:r>
      <w:r w:rsidR="00DF732D" w:rsidRPr="00B20172">
        <w:t>act with someone with active TB</w:t>
      </w:r>
      <w:r w:rsidR="001B6ABE" w:rsidRPr="00B20172">
        <w:t xml:space="preserve"> and p</w:t>
      </w:r>
      <w:r w:rsidR="000B4395" w:rsidRPr="00B20172">
        <w:t>eople</w:t>
      </w:r>
      <w:r w:rsidR="00DF732D" w:rsidRPr="00B20172">
        <w:t xml:space="preserve"> who are immunosuppressed</w:t>
      </w:r>
      <w:r w:rsidR="001B6ABE" w:rsidRPr="00B20172">
        <w:t xml:space="preserve"> due </w:t>
      </w:r>
      <w:r w:rsidR="00DF732D" w:rsidRPr="00B20172">
        <w:t xml:space="preserve">either </w:t>
      </w:r>
      <w:r w:rsidR="001B6ABE" w:rsidRPr="00B20172">
        <w:t xml:space="preserve">to disease or as a result of medical treatment. </w:t>
      </w:r>
      <w:r w:rsidRPr="00B20172">
        <w:t xml:space="preserve"> </w:t>
      </w:r>
      <w:r w:rsidR="00160B1F" w:rsidRPr="00B20172">
        <w:t>Testing for th</w:t>
      </w:r>
      <w:r w:rsidR="0054378C" w:rsidRPr="00B20172">
        <w:t>ese</w:t>
      </w:r>
      <w:r w:rsidR="00160B1F" w:rsidRPr="00B20172">
        <w:t xml:space="preserve"> population</w:t>
      </w:r>
      <w:r w:rsidR="0054378C" w:rsidRPr="00B20172">
        <w:t>s</w:t>
      </w:r>
      <w:r w:rsidR="00160B1F" w:rsidRPr="00B20172">
        <w:t xml:space="preserve"> was covered in a recent MSAC application </w:t>
      </w:r>
      <w:r w:rsidR="00654683" w:rsidRPr="00B20172">
        <w:t>1144</w:t>
      </w:r>
      <w:r w:rsidR="00160B1F" w:rsidRPr="00B20172">
        <w:t xml:space="preserve"> and will not be considered further as part of this application.  Tests for latent TB infection (LTBI)</w:t>
      </w:r>
      <w:r w:rsidR="001B6ABE" w:rsidRPr="00B20172">
        <w:t xml:space="preserve"> are n</w:t>
      </w:r>
      <w:r w:rsidR="000B4395" w:rsidRPr="00B20172">
        <w:t>ot relevant to this application but are provided in</w:t>
      </w:r>
      <w:r w:rsidR="000B4395" w:rsidRPr="00B20172">
        <w:rPr>
          <w:i/>
        </w:rPr>
        <w:t xml:space="preserve"> </w:t>
      </w:r>
      <w:r w:rsidR="001B6ABE" w:rsidRPr="00B20172">
        <w:t xml:space="preserve">Table 2 </w:t>
      </w:r>
      <w:r w:rsidR="00160B1F" w:rsidRPr="00B20172">
        <w:t>for information only.</w:t>
      </w:r>
      <w:r w:rsidR="001B6ABE" w:rsidRPr="00B20172">
        <w:t xml:space="preserve"> </w:t>
      </w:r>
    </w:p>
    <w:p w:rsidR="00AC07F7" w:rsidRPr="00B20172" w:rsidRDefault="00AC07F7" w:rsidP="00AC07F7">
      <w:pPr>
        <w:pStyle w:val="Caption"/>
      </w:pPr>
      <w:bookmarkStart w:id="6" w:name="_Ref283049171"/>
      <w:r w:rsidRPr="00B20172">
        <w:lastRenderedPageBreak/>
        <w:t xml:space="preserve">Table </w:t>
      </w:r>
      <w:r w:rsidR="001325DB" w:rsidRPr="00B20172">
        <w:fldChar w:fldCharType="begin"/>
      </w:r>
      <w:r w:rsidR="00696CC7" w:rsidRPr="00B20172">
        <w:instrText xml:space="preserve"> SEQ Table \* ARABIC </w:instrText>
      </w:r>
      <w:r w:rsidR="001325DB" w:rsidRPr="00B20172">
        <w:fldChar w:fldCharType="separate"/>
      </w:r>
      <w:r w:rsidR="006233C0" w:rsidRPr="00B20172">
        <w:rPr>
          <w:noProof/>
        </w:rPr>
        <w:t>1</w:t>
      </w:r>
      <w:r w:rsidR="001325DB" w:rsidRPr="00B20172">
        <w:rPr>
          <w:noProof/>
        </w:rPr>
        <w:fldChar w:fldCharType="end"/>
      </w:r>
      <w:bookmarkEnd w:id="6"/>
      <w:r w:rsidRPr="00B20172">
        <w:t>:</w:t>
      </w:r>
      <w:r w:rsidRPr="00B20172">
        <w:tab/>
        <w:t xml:space="preserve">Current MBS item descriptor for </w:t>
      </w:r>
      <w:r w:rsidR="001B6ABE" w:rsidRPr="00B20172">
        <w:t>diagnosing active mycobacterial infection.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4"/>
      </w:tblGrid>
      <w:tr w:rsidR="00AC07F7" w:rsidRPr="00B20172" w:rsidTr="006C741F">
        <w:tc>
          <w:tcPr>
            <w:tcW w:w="9134" w:type="dxa"/>
          </w:tcPr>
          <w:p w:rsidR="00AC07F7" w:rsidRPr="00B20172" w:rsidRDefault="00AC07F7" w:rsidP="004D12A5">
            <w:pPr>
              <w:keepNext/>
              <w:spacing w:after="120" w:line="240" w:lineRule="auto"/>
              <w:jc w:val="right"/>
              <w:rPr>
                <w:rFonts w:ascii="Arial Narrow" w:hAnsi="Arial Narrow"/>
                <w:lang w:eastAsia="ja-JP"/>
              </w:rPr>
            </w:pPr>
            <w:r w:rsidRPr="00B20172">
              <w:rPr>
                <w:rFonts w:ascii="Arial Narrow" w:hAnsi="Arial Narrow"/>
                <w:lang w:eastAsia="ja-JP"/>
              </w:rPr>
              <w:t xml:space="preserve">Category </w:t>
            </w:r>
            <w:r w:rsidR="004D12A5" w:rsidRPr="00B20172">
              <w:rPr>
                <w:rFonts w:ascii="Arial Narrow" w:hAnsi="Arial Narrow"/>
                <w:lang w:eastAsia="ja-JP"/>
              </w:rPr>
              <w:t>6</w:t>
            </w:r>
            <w:r w:rsidRPr="00B20172">
              <w:rPr>
                <w:rFonts w:ascii="Arial Narrow" w:hAnsi="Arial Narrow"/>
                <w:lang w:eastAsia="ja-JP"/>
              </w:rPr>
              <w:t xml:space="preserve"> – </w:t>
            </w:r>
            <w:r w:rsidR="004D12A5" w:rsidRPr="00B20172">
              <w:rPr>
                <w:rFonts w:ascii="Arial Narrow" w:hAnsi="Arial Narrow"/>
                <w:lang w:eastAsia="ja-JP"/>
              </w:rPr>
              <w:t>Pathology Services</w:t>
            </w:r>
          </w:p>
        </w:tc>
      </w:tr>
      <w:tr w:rsidR="00AC07F7" w:rsidRPr="00B20172" w:rsidTr="006C741F">
        <w:tc>
          <w:tcPr>
            <w:tcW w:w="9134" w:type="dxa"/>
          </w:tcPr>
          <w:p w:rsidR="00AC07F7" w:rsidRPr="00B20172" w:rsidRDefault="004D12A5" w:rsidP="004D12A5">
            <w:pPr>
              <w:keepNext/>
              <w:spacing w:after="120" w:line="240" w:lineRule="auto"/>
              <w:rPr>
                <w:rFonts w:ascii="Arial Narrow" w:hAnsi="Arial Narrow"/>
                <w:lang w:val="en-US" w:eastAsia="ja-JP"/>
              </w:rPr>
            </w:pPr>
            <w:r w:rsidRPr="00B20172">
              <w:rPr>
                <w:rFonts w:ascii="Arial Narrow" w:hAnsi="Arial Narrow"/>
                <w:lang w:val="en-US" w:eastAsia="ja-JP"/>
              </w:rPr>
              <w:t>69324</w:t>
            </w:r>
          </w:p>
          <w:p w:rsidR="004D12A5" w:rsidRPr="00B20172" w:rsidRDefault="004D12A5" w:rsidP="004D12A5">
            <w:pPr>
              <w:keepNext/>
              <w:spacing w:after="0" w:line="240" w:lineRule="auto"/>
              <w:rPr>
                <w:rFonts w:ascii="Arial Narrow" w:hAnsi="Arial Narrow"/>
                <w:lang w:val="en-US" w:eastAsia="ja-JP"/>
              </w:rPr>
            </w:pPr>
            <w:r w:rsidRPr="00B20172">
              <w:rPr>
                <w:rFonts w:ascii="Arial Narrow" w:hAnsi="Arial Narrow"/>
                <w:lang w:val="en-US" w:eastAsia="ja-JP"/>
              </w:rPr>
              <w:t>Microscopy (with appropriate stains) and culture for mycobacteria - 1 specimen of sputum, urine, or other body fluid or 1 operative or biopsy specimen, including (if performed):</w:t>
            </w:r>
          </w:p>
          <w:p w:rsidR="004D12A5" w:rsidRPr="00B20172" w:rsidRDefault="004D12A5" w:rsidP="004D12A5">
            <w:pPr>
              <w:keepNext/>
              <w:spacing w:after="0" w:line="240" w:lineRule="auto"/>
              <w:rPr>
                <w:rFonts w:ascii="Arial Narrow" w:hAnsi="Arial Narrow"/>
                <w:lang w:val="en-US" w:eastAsia="ja-JP"/>
              </w:rPr>
            </w:pPr>
            <w:r w:rsidRPr="00B20172">
              <w:rPr>
                <w:rFonts w:ascii="Arial Narrow" w:hAnsi="Arial Narrow"/>
                <w:lang w:val="en-US" w:eastAsia="ja-JP"/>
              </w:rPr>
              <w:t>(a)</w:t>
            </w:r>
            <w:r w:rsidR="00A5648F" w:rsidRPr="00B20172">
              <w:rPr>
                <w:rFonts w:ascii="Arial Narrow" w:hAnsi="Arial Narrow"/>
                <w:lang w:val="en-US" w:eastAsia="ja-JP"/>
              </w:rPr>
              <w:t xml:space="preserve"> </w:t>
            </w:r>
            <w:r w:rsidRPr="00B20172">
              <w:rPr>
                <w:rFonts w:ascii="Arial Narrow" w:hAnsi="Arial Narrow"/>
                <w:lang w:val="en-US" w:eastAsia="ja-JP"/>
              </w:rPr>
              <w:t>microscopy and culture of other bacterial pathogens isolated as a result of this procedure; or</w:t>
            </w:r>
          </w:p>
          <w:p w:rsidR="004D12A5" w:rsidRPr="00B20172" w:rsidRDefault="004D12A5" w:rsidP="004D12A5">
            <w:pPr>
              <w:keepNext/>
              <w:spacing w:after="0" w:line="240" w:lineRule="auto"/>
              <w:rPr>
                <w:rFonts w:ascii="Arial Narrow" w:hAnsi="Arial Narrow"/>
                <w:lang w:val="en-US" w:eastAsia="ja-JP"/>
              </w:rPr>
            </w:pPr>
            <w:r w:rsidRPr="00B20172">
              <w:rPr>
                <w:rFonts w:ascii="Arial Narrow" w:hAnsi="Arial Narrow"/>
                <w:lang w:val="en-US" w:eastAsia="ja-JP"/>
              </w:rPr>
              <w:t>(b)</w:t>
            </w:r>
            <w:r w:rsidR="00A5648F" w:rsidRPr="00B20172">
              <w:rPr>
                <w:rFonts w:ascii="Arial Narrow" w:hAnsi="Arial Narrow"/>
                <w:lang w:val="en-US" w:eastAsia="ja-JP"/>
              </w:rPr>
              <w:t xml:space="preserve"> </w:t>
            </w:r>
            <w:r w:rsidRPr="00B20172">
              <w:rPr>
                <w:rFonts w:ascii="Arial Narrow" w:hAnsi="Arial Narrow"/>
                <w:lang w:val="en-US" w:eastAsia="ja-JP"/>
              </w:rPr>
              <w:t>pathogen identification and antibiotic susceptibility testing;</w:t>
            </w:r>
          </w:p>
          <w:p w:rsidR="004D12A5" w:rsidRPr="00B20172" w:rsidRDefault="004D12A5" w:rsidP="004D12A5">
            <w:pPr>
              <w:keepNext/>
              <w:spacing w:after="0" w:line="240" w:lineRule="auto"/>
              <w:rPr>
                <w:rFonts w:ascii="Arial Narrow" w:hAnsi="Arial Narrow"/>
                <w:lang w:val="en-US" w:eastAsia="ja-JP"/>
              </w:rPr>
            </w:pPr>
            <w:r w:rsidRPr="00B20172">
              <w:rPr>
                <w:rFonts w:ascii="Arial Narrow" w:hAnsi="Arial Narrow"/>
                <w:lang w:val="en-US" w:eastAsia="ja-JP"/>
              </w:rPr>
              <w:t>including a service mentioned in item 69300</w:t>
            </w:r>
          </w:p>
          <w:p w:rsidR="004D12A5" w:rsidRPr="00B20172" w:rsidRDefault="004D12A5" w:rsidP="004D12A5">
            <w:pPr>
              <w:keepNext/>
              <w:spacing w:after="0" w:line="240" w:lineRule="auto"/>
              <w:rPr>
                <w:rFonts w:ascii="Arial Narrow" w:hAnsi="Arial Narrow"/>
                <w:lang w:val="en-US" w:eastAsia="ja-JP"/>
              </w:rPr>
            </w:pPr>
          </w:p>
          <w:p w:rsidR="00AC07F7" w:rsidRPr="00B20172" w:rsidRDefault="004D12A5" w:rsidP="004D12A5">
            <w:pPr>
              <w:keepNext/>
              <w:spacing w:after="0" w:line="240" w:lineRule="auto"/>
              <w:rPr>
                <w:rFonts w:ascii="Arial Narrow" w:hAnsi="Arial Narrow"/>
                <w:lang w:val="en-US" w:eastAsia="ja-JP"/>
              </w:rPr>
            </w:pPr>
            <w:r w:rsidRPr="00B20172">
              <w:rPr>
                <w:rFonts w:ascii="Arial Narrow" w:hAnsi="Arial Narrow"/>
                <w:lang w:val="en-US" w:eastAsia="ja-JP"/>
              </w:rPr>
              <w:t>Fee: $43.00 Benefit: 75% = $32.25 85% = $36.55</w:t>
            </w:r>
          </w:p>
        </w:tc>
      </w:tr>
      <w:tr w:rsidR="004D12A5" w:rsidRPr="00B20172" w:rsidTr="006C741F">
        <w:tc>
          <w:tcPr>
            <w:tcW w:w="9134" w:type="dxa"/>
          </w:tcPr>
          <w:p w:rsidR="004D12A5" w:rsidRPr="00B20172" w:rsidRDefault="004D12A5" w:rsidP="004D12A5">
            <w:pPr>
              <w:keepNext/>
              <w:spacing w:after="120" w:line="240" w:lineRule="auto"/>
              <w:rPr>
                <w:rFonts w:ascii="Arial Narrow" w:hAnsi="Arial Narrow"/>
                <w:lang w:val="en-US" w:eastAsia="ja-JP"/>
              </w:rPr>
            </w:pPr>
            <w:r w:rsidRPr="00B20172">
              <w:rPr>
                <w:rFonts w:ascii="Arial Narrow" w:hAnsi="Arial Narrow"/>
                <w:lang w:val="en-US" w:eastAsia="ja-JP"/>
              </w:rPr>
              <w:t>69325</w:t>
            </w:r>
          </w:p>
          <w:p w:rsidR="004D12A5" w:rsidRPr="00B20172" w:rsidRDefault="004D12A5" w:rsidP="004D12A5">
            <w:pPr>
              <w:keepNext/>
              <w:spacing w:after="0" w:line="240" w:lineRule="auto"/>
              <w:rPr>
                <w:rFonts w:ascii="Arial Narrow" w:hAnsi="Arial Narrow"/>
                <w:lang w:val="en-US" w:eastAsia="ja-JP"/>
              </w:rPr>
            </w:pPr>
            <w:r w:rsidRPr="00B20172">
              <w:rPr>
                <w:rFonts w:ascii="Arial Narrow" w:hAnsi="Arial Narrow"/>
                <w:lang w:val="en-US" w:eastAsia="ja-JP"/>
              </w:rPr>
              <w:t>A test described in item 69324 if rendered by a receiving APP</w:t>
            </w:r>
            <w:r w:rsidR="00205E44" w:rsidRPr="00B20172">
              <w:rPr>
                <w:rFonts w:ascii="Arial Narrow" w:hAnsi="Arial Narrow"/>
                <w:lang w:val="en-US" w:eastAsia="ja-JP"/>
              </w:rPr>
              <w:t>*</w:t>
            </w:r>
          </w:p>
          <w:p w:rsidR="004D12A5" w:rsidRPr="00B20172" w:rsidRDefault="004D12A5" w:rsidP="004D12A5">
            <w:pPr>
              <w:keepNext/>
              <w:spacing w:after="0" w:line="240" w:lineRule="auto"/>
              <w:rPr>
                <w:rFonts w:ascii="Arial Narrow" w:hAnsi="Arial Narrow"/>
                <w:lang w:val="en-US" w:eastAsia="ja-JP"/>
              </w:rPr>
            </w:pPr>
            <w:r w:rsidRPr="00B20172">
              <w:rPr>
                <w:rFonts w:ascii="Arial Narrow" w:hAnsi="Arial Narrow"/>
                <w:lang w:val="en-US" w:eastAsia="ja-JP"/>
              </w:rPr>
              <w:t>(Item is subject to rule 18)</w:t>
            </w:r>
          </w:p>
          <w:p w:rsidR="004D12A5" w:rsidRPr="00B20172" w:rsidRDefault="004D12A5" w:rsidP="004D12A5">
            <w:pPr>
              <w:keepNext/>
              <w:spacing w:after="0" w:line="240" w:lineRule="auto"/>
              <w:rPr>
                <w:rFonts w:ascii="Arial Narrow" w:hAnsi="Arial Narrow"/>
                <w:lang w:val="en-US" w:eastAsia="ja-JP"/>
              </w:rPr>
            </w:pPr>
          </w:p>
          <w:p w:rsidR="004D12A5" w:rsidRPr="00B20172" w:rsidRDefault="004D12A5" w:rsidP="004D12A5">
            <w:pPr>
              <w:keepNext/>
              <w:spacing w:after="0" w:line="240" w:lineRule="auto"/>
              <w:rPr>
                <w:rFonts w:ascii="Arial Narrow" w:hAnsi="Arial Narrow"/>
                <w:lang w:val="en-US" w:eastAsia="ja-JP"/>
              </w:rPr>
            </w:pPr>
            <w:r w:rsidRPr="00B20172">
              <w:rPr>
                <w:rFonts w:ascii="Arial Narrow" w:hAnsi="Arial Narrow"/>
                <w:lang w:val="en-US" w:eastAsia="ja-JP"/>
              </w:rPr>
              <w:t>Fee: $43.00 Benefit: 75% = $32.25 85% = $36.55</w:t>
            </w:r>
          </w:p>
        </w:tc>
      </w:tr>
      <w:tr w:rsidR="004D12A5" w:rsidRPr="00B20172" w:rsidTr="006C741F">
        <w:tc>
          <w:tcPr>
            <w:tcW w:w="9134" w:type="dxa"/>
          </w:tcPr>
          <w:p w:rsidR="004D12A5" w:rsidRPr="00B20172" w:rsidRDefault="004D12A5" w:rsidP="004D12A5">
            <w:pPr>
              <w:keepNext/>
              <w:spacing w:after="120" w:line="240" w:lineRule="auto"/>
              <w:rPr>
                <w:rFonts w:ascii="Arial Narrow" w:hAnsi="Arial Narrow"/>
                <w:lang w:val="en-US" w:eastAsia="ja-JP"/>
              </w:rPr>
            </w:pPr>
            <w:r w:rsidRPr="00B20172">
              <w:rPr>
                <w:rFonts w:ascii="Arial Narrow" w:hAnsi="Arial Narrow"/>
                <w:lang w:val="en-US" w:eastAsia="ja-JP"/>
              </w:rPr>
              <w:t>69327</w:t>
            </w:r>
          </w:p>
          <w:p w:rsidR="004D12A5" w:rsidRPr="00B20172" w:rsidRDefault="004D12A5" w:rsidP="004D12A5">
            <w:pPr>
              <w:keepNext/>
              <w:spacing w:after="0" w:line="240" w:lineRule="auto"/>
              <w:rPr>
                <w:rFonts w:ascii="Arial Narrow" w:hAnsi="Arial Narrow"/>
                <w:lang w:val="en-US" w:eastAsia="ja-JP"/>
              </w:rPr>
            </w:pPr>
            <w:r w:rsidRPr="00B20172">
              <w:rPr>
                <w:rFonts w:ascii="Arial Narrow" w:hAnsi="Arial Narrow"/>
                <w:lang w:val="en-US" w:eastAsia="ja-JP"/>
              </w:rPr>
              <w:t>Microscopy (with appropriate stains) and culture for mycobacteria - 2 specimens of sputum, urine, or other body fluid or 2 operative or biopsy specimens, including (if performed):</w:t>
            </w:r>
          </w:p>
          <w:p w:rsidR="004D12A5" w:rsidRPr="00B20172" w:rsidRDefault="004D12A5" w:rsidP="004D12A5">
            <w:pPr>
              <w:keepNext/>
              <w:spacing w:after="0" w:line="240" w:lineRule="auto"/>
              <w:rPr>
                <w:rFonts w:ascii="Arial Narrow" w:hAnsi="Arial Narrow"/>
                <w:lang w:val="en-US" w:eastAsia="ja-JP"/>
              </w:rPr>
            </w:pPr>
            <w:r w:rsidRPr="00B20172">
              <w:rPr>
                <w:rFonts w:ascii="Arial Narrow" w:hAnsi="Arial Narrow"/>
                <w:lang w:val="en-US" w:eastAsia="ja-JP"/>
              </w:rPr>
              <w:t>(a) microscopy and culture of other bacterial pathogens isolated as a result of this procedure; or</w:t>
            </w:r>
          </w:p>
          <w:p w:rsidR="004D12A5" w:rsidRPr="00B20172" w:rsidRDefault="004D12A5" w:rsidP="004D12A5">
            <w:pPr>
              <w:keepNext/>
              <w:spacing w:after="0" w:line="240" w:lineRule="auto"/>
              <w:rPr>
                <w:rFonts w:ascii="Arial Narrow" w:hAnsi="Arial Narrow"/>
                <w:lang w:val="en-US" w:eastAsia="ja-JP"/>
              </w:rPr>
            </w:pPr>
            <w:r w:rsidRPr="00B20172">
              <w:rPr>
                <w:rFonts w:ascii="Arial Narrow" w:hAnsi="Arial Narrow"/>
                <w:lang w:val="en-US" w:eastAsia="ja-JP"/>
              </w:rPr>
              <w:t>(b) pathogen identification and antibiotic susceptibility testing;</w:t>
            </w:r>
          </w:p>
          <w:p w:rsidR="004D12A5" w:rsidRPr="00B20172" w:rsidRDefault="004D12A5" w:rsidP="004D12A5">
            <w:pPr>
              <w:keepNext/>
              <w:spacing w:after="0" w:line="240" w:lineRule="auto"/>
              <w:rPr>
                <w:rFonts w:ascii="Arial Narrow" w:hAnsi="Arial Narrow"/>
                <w:lang w:val="en-US" w:eastAsia="ja-JP"/>
              </w:rPr>
            </w:pPr>
            <w:r w:rsidRPr="00B20172">
              <w:rPr>
                <w:rFonts w:ascii="Arial Narrow" w:hAnsi="Arial Narrow"/>
                <w:lang w:val="en-US" w:eastAsia="ja-JP"/>
              </w:rPr>
              <w:t>including a service mentioned in item 69300</w:t>
            </w:r>
          </w:p>
          <w:p w:rsidR="004D12A5" w:rsidRPr="00B20172" w:rsidRDefault="004D12A5" w:rsidP="004D12A5">
            <w:pPr>
              <w:keepNext/>
              <w:spacing w:after="0" w:line="240" w:lineRule="auto"/>
              <w:rPr>
                <w:rFonts w:ascii="Arial Narrow" w:hAnsi="Arial Narrow"/>
                <w:lang w:val="en-US" w:eastAsia="ja-JP"/>
              </w:rPr>
            </w:pPr>
          </w:p>
          <w:p w:rsidR="004D12A5" w:rsidRPr="00B20172" w:rsidRDefault="004D12A5" w:rsidP="004D12A5">
            <w:pPr>
              <w:keepNext/>
              <w:spacing w:after="0" w:line="240" w:lineRule="auto"/>
              <w:rPr>
                <w:rFonts w:ascii="Arial Narrow" w:hAnsi="Arial Narrow"/>
                <w:lang w:val="en-US" w:eastAsia="ja-JP"/>
              </w:rPr>
            </w:pPr>
            <w:r w:rsidRPr="00B20172">
              <w:rPr>
                <w:rFonts w:ascii="Arial Narrow" w:hAnsi="Arial Narrow"/>
                <w:lang w:val="en-US" w:eastAsia="ja-JP"/>
              </w:rPr>
              <w:t>Fee: $85.00 Benefit: 75% = $63.75 85% = $72.25</w:t>
            </w:r>
          </w:p>
        </w:tc>
      </w:tr>
      <w:tr w:rsidR="004D12A5" w:rsidRPr="00B20172" w:rsidTr="006C741F">
        <w:tc>
          <w:tcPr>
            <w:tcW w:w="9134" w:type="dxa"/>
          </w:tcPr>
          <w:p w:rsidR="004D12A5" w:rsidRPr="00B20172" w:rsidRDefault="004D12A5" w:rsidP="004D12A5">
            <w:pPr>
              <w:keepNext/>
              <w:spacing w:after="120" w:line="240" w:lineRule="auto"/>
              <w:rPr>
                <w:rFonts w:ascii="Arial Narrow" w:hAnsi="Arial Narrow"/>
                <w:lang w:val="en-US" w:eastAsia="ja-JP"/>
              </w:rPr>
            </w:pPr>
            <w:r w:rsidRPr="00B20172">
              <w:rPr>
                <w:rFonts w:ascii="Arial Narrow" w:hAnsi="Arial Narrow"/>
                <w:lang w:val="en-US" w:eastAsia="ja-JP"/>
              </w:rPr>
              <w:t>69328</w:t>
            </w:r>
          </w:p>
          <w:p w:rsidR="004D12A5" w:rsidRPr="00B20172" w:rsidRDefault="004D12A5" w:rsidP="004D12A5">
            <w:pPr>
              <w:keepNext/>
              <w:spacing w:after="0" w:line="240" w:lineRule="auto"/>
              <w:rPr>
                <w:rFonts w:ascii="Arial Narrow" w:hAnsi="Arial Narrow"/>
                <w:lang w:val="en-US" w:eastAsia="ja-JP"/>
              </w:rPr>
            </w:pPr>
            <w:r w:rsidRPr="00B20172">
              <w:rPr>
                <w:rFonts w:ascii="Arial Narrow" w:hAnsi="Arial Narrow"/>
                <w:lang w:val="en-US" w:eastAsia="ja-JP"/>
              </w:rPr>
              <w:t>A test described in item 69327 if rendered by a receiving APP</w:t>
            </w:r>
          </w:p>
          <w:p w:rsidR="004D12A5" w:rsidRPr="00B20172" w:rsidRDefault="004D12A5" w:rsidP="004D12A5">
            <w:pPr>
              <w:keepNext/>
              <w:spacing w:after="0" w:line="240" w:lineRule="auto"/>
              <w:rPr>
                <w:rFonts w:ascii="Arial Narrow" w:hAnsi="Arial Narrow"/>
                <w:lang w:val="en-US" w:eastAsia="ja-JP"/>
              </w:rPr>
            </w:pPr>
            <w:r w:rsidRPr="00B20172">
              <w:rPr>
                <w:rFonts w:ascii="Arial Narrow" w:hAnsi="Arial Narrow"/>
                <w:lang w:val="en-US" w:eastAsia="ja-JP"/>
              </w:rPr>
              <w:t>(Item is subject to rule 18)</w:t>
            </w:r>
          </w:p>
          <w:p w:rsidR="004D12A5" w:rsidRPr="00B20172" w:rsidRDefault="004D12A5" w:rsidP="004D12A5">
            <w:pPr>
              <w:keepNext/>
              <w:spacing w:after="0" w:line="240" w:lineRule="auto"/>
              <w:rPr>
                <w:rFonts w:ascii="Arial Narrow" w:hAnsi="Arial Narrow"/>
                <w:lang w:val="en-US" w:eastAsia="ja-JP"/>
              </w:rPr>
            </w:pPr>
          </w:p>
          <w:p w:rsidR="004D12A5" w:rsidRPr="00B20172" w:rsidRDefault="004D12A5" w:rsidP="004D12A5">
            <w:pPr>
              <w:keepNext/>
              <w:spacing w:after="0" w:line="240" w:lineRule="auto"/>
              <w:rPr>
                <w:rFonts w:ascii="Arial Narrow" w:hAnsi="Arial Narrow"/>
                <w:lang w:val="en-US" w:eastAsia="ja-JP"/>
              </w:rPr>
            </w:pPr>
            <w:r w:rsidRPr="00B20172">
              <w:rPr>
                <w:rFonts w:ascii="Arial Narrow" w:hAnsi="Arial Narrow"/>
                <w:lang w:val="en-US" w:eastAsia="ja-JP"/>
              </w:rPr>
              <w:t>Fee: $85.00 Benefit: 75% = $63.75 85% = $72.25</w:t>
            </w:r>
          </w:p>
        </w:tc>
      </w:tr>
      <w:tr w:rsidR="004D12A5" w:rsidRPr="00B20172" w:rsidTr="006C741F">
        <w:tc>
          <w:tcPr>
            <w:tcW w:w="9134" w:type="dxa"/>
          </w:tcPr>
          <w:p w:rsidR="004D12A5" w:rsidRPr="00B20172" w:rsidRDefault="004D12A5" w:rsidP="004D12A5">
            <w:pPr>
              <w:keepNext/>
              <w:spacing w:after="120" w:line="240" w:lineRule="auto"/>
              <w:rPr>
                <w:rFonts w:ascii="Arial Narrow" w:hAnsi="Arial Narrow"/>
                <w:lang w:val="en-US" w:eastAsia="ja-JP"/>
              </w:rPr>
            </w:pPr>
            <w:r w:rsidRPr="00B20172">
              <w:rPr>
                <w:rFonts w:ascii="Arial Narrow" w:hAnsi="Arial Narrow"/>
                <w:lang w:val="en-US" w:eastAsia="ja-JP"/>
              </w:rPr>
              <w:t>69330</w:t>
            </w:r>
          </w:p>
          <w:p w:rsidR="004D12A5" w:rsidRPr="00B20172" w:rsidRDefault="004D12A5" w:rsidP="004D12A5">
            <w:pPr>
              <w:keepNext/>
              <w:spacing w:after="0" w:line="240" w:lineRule="auto"/>
              <w:rPr>
                <w:rFonts w:ascii="Arial Narrow" w:hAnsi="Arial Narrow"/>
                <w:lang w:val="en-US" w:eastAsia="ja-JP"/>
              </w:rPr>
            </w:pPr>
            <w:r w:rsidRPr="00B20172">
              <w:rPr>
                <w:rFonts w:ascii="Arial Narrow" w:hAnsi="Arial Narrow"/>
                <w:lang w:val="en-US" w:eastAsia="ja-JP"/>
              </w:rPr>
              <w:t>Microscopy (with appropriate stains) and culture for mycobacteria - 3 specimens of sputum, urine, or other body fluid or 3 operative or biopsy specimens, including (if performed):</w:t>
            </w:r>
          </w:p>
          <w:p w:rsidR="004D12A5" w:rsidRPr="00B20172" w:rsidRDefault="004D12A5" w:rsidP="004D12A5">
            <w:pPr>
              <w:keepNext/>
              <w:spacing w:after="0" w:line="240" w:lineRule="auto"/>
              <w:rPr>
                <w:rFonts w:ascii="Arial Narrow" w:hAnsi="Arial Narrow"/>
                <w:lang w:val="en-US" w:eastAsia="ja-JP"/>
              </w:rPr>
            </w:pPr>
            <w:r w:rsidRPr="00B20172">
              <w:rPr>
                <w:rFonts w:ascii="Arial Narrow" w:hAnsi="Arial Narrow"/>
                <w:lang w:val="en-US" w:eastAsia="ja-JP"/>
              </w:rPr>
              <w:t>(a) microscopy and culture of other bacterial pathogens isolated as a result of this procedure; or</w:t>
            </w:r>
          </w:p>
          <w:p w:rsidR="004D12A5" w:rsidRPr="00B20172" w:rsidRDefault="004D12A5" w:rsidP="004D12A5">
            <w:pPr>
              <w:keepNext/>
              <w:spacing w:after="0" w:line="240" w:lineRule="auto"/>
              <w:rPr>
                <w:rFonts w:ascii="Arial Narrow" w:hAnsi="Arial Narrow"/>
                <w:lang w:val="en-US" w:eastAsia="ja-JP"/>
              </w:rPr>
            </w:pPr>
            <w:r w:rsidRPr="00B20172">
              <w:rPr>
                <w:rFonts w:ascii="Arial Narrow" w:hAnsi="Arial Narrow"/>
                <w:lang w:val="en-US" w:eastAsia="ja-JP"/>
              </w:rPr>
              <w:t>(b) pathogen identification and antibiotic susceptibility testing;</w:t>
            </w:r>
          </w:p>
          <w:p w:rsidR="004D12A5" w:rsidRPr="00B20172" w:rsidRDefault="004D12A5" w:rsidP="004D12A5">
            <w:pPr>
              <w:keepNext/>
              <w:spacing w:after="0" w:line="240" w:lineRule="auto"/>
              <w:rPr>
                <w:rFonts w:ascii="Arial Narrow" w:hAnsi="Arial Narrow"/>
                <w:lang w:val="en-US" w:eastAsia="ja-JP"/>
              </w:rPr>
            </w:pPr>
            <w:r w:rsidRPr="00B20172">
              <w:rPr>
                <w:rFonts w:ascii="Arial Narrow" w:hAnsi="Arial Narrow"/>
                <w:lang w:val="en-US" w:eastAsia="ja-JP"/>
              </w:rPr>
              <w:t>including a service mentioned in item 69300</w:t>
            </w:r>
          </w:p>
          <w:p w:rsidR="004D12A5" w:rsidRPr="00B20172" w:rsidRDefault="004D12A5" w:rsidP="004D12A5">
            <w:pPr>
              <w:keepNext/>
              <w:spacing w:after="0" w:line="240" w:lineRule="auto"/>
              <w:rPr>
                <w:rFonts w:ascii="Arial Narrow" w:hAnsi="Arial Narrow"/>
                <w:lang w:val="en-US" w:eastAsia="ja-JP"/>
              </w:rPr>
            </w:pPr>
          </w:p>
          <w:p w:rsidR="004D12A5" w:rsidRPr="00B20172" w:rsidRDefault="004D12A5" w:rsidP="004D12A5">
            <w:pPr>
              <w:keepNext/>
              <w:spacing w:after="0" w:line="240" w:lineRule="auto"/>
              <w:rPr>
                <w:rFonts w:ascii="Arial Narrow" w:hAnsi="Arial Narrow"/>
                <w:lang w:val="en-US" w:eastAsia="ja-JP"/>
              </w:rPr>
            </w:pPr>
            <w:r w:rsidRPr="00B20172">
              <w:rPr>
                <w:rFonts w:ascii="Arial Narrow" w:hAnsi="Arial Narrow"/>
                <w:lang w:val="en-US" w:eastAsia="ja-JP"/>
              </w:rPr>
              <w:t>Fee: $128.00 Benefit: 75% = $96.00 85% = $108.80</w:t>
            </w:r>
          </w:p>
        </w:tc>
      </w:tr>
      <w:tr w:rsidR="00C4555F" w:rsidRPr="00B20172" w:rsidTr="006C741F">
        <w:tc>
          <w:tcPr>
            <w:tcW w:w="9134" w:type="dxa"/>
          </w:tcPr>
          <w:p w:rsidR="00C4555F" w:rsidRPr="00B20172" w:rsidRDefault="00C4555F" w:rsidP="004D12A5">
            <w:pPr>
              <w:keepNext/>
              <w:spacing w:after="120" w:line="240" w:lineRule="auto"/>
              <w:rPr>
                <w:rFonts w:ascii="Arial Narrow" w:hAnsi="Arial Narrow"/>
                <w:lang w:val="en-US" w:eastAsia="ja-JP"/>
              </w:rPr>
            </w:pPr>
            <w:r w:rsidRPr="00B20172">
              <w:rPr>
                <w:rFonts w:ascii="Arial Narrow" w:hAnsi="Arial Narrow"/>
                <w:lang w:val="en-US" w:eastAsia="ja-JP"/>
              </w:rPr>
              <w:t>69331</w:t>
            </w:r>
          </w:p>
          <w:p w:rsidR="00C4555F" w:rsidRPr="00B20172" w:rsidRDefault="00C4555F" w:rsidP="00C4555F">
            <w:pPr>
              <w:keepNext/>
              <w:spacing w:after="0" w:line="240" w:lineRule="auto"/>
              <w:rPr>
                <w:rFonts w:ascii="Arial Narrow" w:hAnsi="Arial Narrow"/>
                <w:lang w:val="en-US" w:eastAsia="ja-JP"/>
              </w:rPr>
            </w:pPr>
            <w:r w:rsidRPr="00B20172">
              <w:rPr>
                <w:rFonts w:ascii="Arial Narrow" w:hAnsi="Arial Narrow"/>
                <w:lang w:val="en-US" w:eastAsia="ja-JP"/>
              </w:rPr>
              <w:t>A test described in item 69330 if rendered by a receiving APP</w:t>
            </w:r>
          </w:p>
          <w:p w:rsidR="00C4555F" w:rsidRPr="00B20172" w:rsidRDefault="00C4555F" w:rsidP="00C4555F">
            <w:pPr>
              <w:keepNext/>
              <w:spacing w:after="0" w:line="240" w:lineRule="auto"/>
              <w:rPr>
                <w:rFonts w:ascii="Arial Narrow" w:hAnsi="Arial Narrow"/>
                <w:lang w:val="en-US" w:eastAsia="ja-JP"/>
              </w:rPr>
            </w:pPr>
            <w:r w:rsidRPr="00B20172">
              <w:rPr>
                <w:rFonts w:ascii="Arial Narrow" w:hAnsi="Arial Narrow"/>
                <w:lang w:val="en-US" w:eastAsia="ja-JP"/>
              </w:rPr>
              <w:t>(Item is subject to rule 18)</w:t>
            </w:r>
          </w:p>
          <w:p w:rsidR="00C4555F" w:rsidRPr="00B20172" w:rsidRDefault="00C4555F" w:rsidP="00C4555F">
            <w:pPr>
              <w:keepNext/>
              <w:spacing w:after="0" w:line="240" w:lineRule="auto"/>
              <w:rPr>
                <w:rFonts w:ascii="Arial Narrow" w:hAnsi="Arial Narrow"/>
                <w:lang w:val="en-US" w:eastAsia="ja-JP"/>
              </w:rPr>
            </w:pPr>
          </w:p>
          <w:p w:rsidR="00C4555F" w:rsidRPr="00B20172" w:rsidRDefault="00C4555F" w:rsidP="00C4555F">
            <w:pPr>
              <w:keepNext/>
              <w:spacing w:after="0" w:line="240" w:lineRule="auto"/>
              <w:rPr>
                <w:rFonts w:ascii="Arial Narrow" w:hAnsi="Arial Narrow"/>
                <w:lang w:val="en-US" w:eastAsia="ja-JP"/>
              </w:rPr>
            </w:pPr>
            <w:r w:rsidRPr="00B20172">
              <w:rPr>
                <w:rFonts w:ascii="Arial Narrow" w:hAnsi="Arial Narrow"/>
                <w:lang w:val="en-US" w:eastAsia="ja-JP"/>
              </w:rPr>
              <w:t>Fee: $128.00 Benefit: 75% = $96.00 85% = $108.80</w:t>
            </w:r>
          </w:p>
        </w:tc>
      </w:tr>
      <w:tr w:rsidR="00864D16" w:rsidRPr="00B20172" w:rsidTr="006C741F">
        <w:tc>
          <w:tcPr>
            <w:tcW w:w="9134" w:type="dxa"/>
          </w:tcPr>
          <w:p w:rsidR="00864D16" w:rsidRPr="00B20172" w:rsidRDefault="00864D16" w:rsidP="00864D16">
            <w:pPr>
              <w:keepNext/>
              <w:spacing w:after="0" w:line="240" w:lineRule="auto"/>
              <w:rPr>
                <w:rFonts w:ascii="Arial Narrow" w:hAnsi="Arial Narrow"/>
                <w:lang w:val="en-US" w:eastAsia="ja-JP"/>
              </w:rPr>
            </w:pPr>
          </w:p>
        </w:tc>
      </w:tr>
    </w:tbl>
    <w:p w:rsidR="00AC07F7" w:rsidRPr="00B20172" w:rsidRDefault="00205E44" w:rsidP="00AC07F7">
      <w:pPr>
        <w:rPr>
          <w:rFonts w:ascii="Arial Narrow" w:hAnsi="Arial Narrow"/>
          <w:lang w:val="en-US" w:eastAsia="ja-JP"/>
        </w:rPr>
      </w:pPr>
      <w:r w:rsidRPr="00B20172">
        <w:rPr>
          <w:rFonts w:ascii="Arial Narrow" w:hAnsi="Arial Narrow"/>
          <w:lang w:val="en-US" w:eastAsia="ja-JP"/>
        </w:rPr>
        <w:t>*APP=approved pathology practitioner</w:t>
      </w:r>
    </w:p>
    <w:p w:rsidR="00AB67C7" w:rsidRPr="00B20172" w:rsidRDefault="00AB67C7" w:rsidP="00AC07F7"/>
    <w:p w:rsidR="001B6ABE" w:rsidRPr="00B20172" w:rsidRDefault="001B6ABE" w:rsidP="00864D16">
      <w:pPr>
        <w:pStyle w:val="Caption"/>
      </w:pPr>
      <w:r w:rsidRPr="00B20172">
        <w:lastRenderedPageBreak/>
        <w:t xml:space="preserve">Table 2: </w:t>
      </w:r>
      <w:r w:rsidR="008C7B1D" w:rsidRPr="00B20172">
        <w:t>Current MBS item descriptors for detecting mycobacterium tuberculosis.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4"/>
      </w:tblGrid>
      <w:tr w:rsidR="001B6ABE" w:rsidRPr="00B20172" w:rsidTr="001B6ABE">
        <w:tc>
          <w:tcPr>
            <w:tcW w:w="9134" w:type="dxa"/>
          </w:tcPr>
          <w:p w:rsidR="001B6ABE" w:rsidRPr="00B20172" w:rsidRDefault="008C7B1D" w:rsidP="008C7B1D">
            <w:pPr>
              <w:keepNext/>
              <w:spacing w:after="0" w:line="240" w:lineRule="auto"/>
              <w:jc w:val="right"/>
              <w:rPr>
                <w:rFonts w:ascii="Arial Narrow" w:hAnsi="Arial Narrow"/>
                <w:lang w:val="en-US" w:eastAsia="ja-JP"/>
              </w:rPr>
            </w:pPr>
            <w:r w:rsidRPr="00B20172">
              <w:rPr>
                <w:rFonts w:ascii="Arial Narrow" w:hAnsi="Arial Narrow"/>
                <w:lang w:eastAsia="ja-JP"/>
              </w:rPr>
              <w:t>Category 6 – Pathology Services</w:t>
            </w:r>
          </w:p>
        </w:tc>
      </w:tr>
      <w:tr w:rsidR="008C7B1D" w:rsidRPr="00B20172" w:rsidTr="001B6ABE">
        <w:tc>
          <w:tcPr>
            <w:tcW w:w="9134" w:type="dxa"/>
          </w:tcPr>
          <w:p w:rsidR="008C7B1D" w:rsidRPr="00B20172" w:rsidRDefault="008C7B1D" w:rsidP="008C7B1D">
            <w:pPr>
              <w:keepNext/>
              <w:spacing w:after="120" w:line="240" w:lineRule="auto"/>
              <w:rPr>
                <w:rFonts w:ascii="Arial Narrow" w:hAnsi="Arial Narrow"/>
                <w:lang w:val="en-US" w:eastAsia="ja-JP"/>
              </w:rPr>
            </w:pPr>
            <w:r w:rsidRPr="00B20172">
              <w:rPr>
                <w:rFonts w:ascii="Arial Narrow" w:hAnsi="Arial Narrow"/>
                <w:lang w:val="en-US" w:eastAsia="ja-JP"/>
              </w:rPr>
              <w:t>73811</w:t>
            </w:r>
          </w:p>
          <w:p w:rsidR="008C7B1D" w:rsidRPr="00B20172" w:rsidRDefault="008C7B1D" w:rsidP="008C7B1D">
            <w:pPr>
              <w:keepNext/>
              <w:spacing w:after="0" w:line="240" w:lineRule="auto"/>
              <w:rPr>
                <w:rFonts w:ascii="Arial Narrow" w:hAnsi="Arial Narrow"/>
                <w:lang w:val="en-US" w:eastAsia="ja-JP"/>
              </w:rPr>
            </w:pPr>
            <w:r w:rsidRPr="00B20172">
              <w:rPr>
                <w:rFonts w:ascii="Arial Narrow" w:hAnsi="Arial Narrow"/>
                <w:lang w:val="en-US" w:eastAsia="ja-JP"/>
              </w:rPr>
              <w:t>Mantoux test</w:t>
            </w:r>
          </w:p>
          <w:p w:rsidR="008C7B1D" w:rsidRPr="00B20172" w:rsidRDefault="008C7B1D" w:rsidP="008C7B1D">
            <w:pPr>
              <w:keepNext/>
              <w:spacing w:after="0" w:line="240" w:lineRule="auto"/>
              <w:rPr>
                <w:rFonts w:ascii="Arial Narrow" w:hAnsi="Arial Narrow"/>
                <w:lang w:val="en-US" w:eastAsia="ja-JP"/>
              </w:rPr>
            </w:pPr>
          </w:p>
          <w:p w:rsidR="008C7B1D" w:rsidRPr="00B20172" w:rsidRDefault="008C7B1D" w:rsidP="008C7B1D">
            <w:pPr>
              <w:keepNext/>
              <w:spacing w:after="0" w:line="240" w:lineRule="auto"/>
              <w:rPr>
                <w:rFonts w:ascii="Arial Narrow" w:hAnsi="Arial Narrow"/>
                <w:lang w:val="en-US" w:eastAsia="ja-JP"/>
              </w:rPr>
            </w:pPr>
            <w:r w:rsidRPr="00B20172">
              <w:rPr>
                <w:rFonts w:ascii="Arial Narrow" w:hAnsi="Arial Narrow"/>
                <w:lang w:val="en-US" w:eastAsia="ja-JP"/>
              </w:rPr>
              <w:t>Fee: $11.20 Benefit: 75% = $8.40 85% = $9.55</w:t>
            </w:r>
          </w:p>
        </w:tc>
      </w:tr>
      <w:tr w:rsidR="008C7B1D" w:rsidRPr="00B20172" w:rsidTr="001B6ABE">
        <w:tc>
          <w:tcPr>
            <w:tcW w:w="9134" w:type="dxa"/>
          </w:tcPr>
          <w:p w:rsidR="008C7B1D" w:rsidRPr="00B20172" w:rsidRDefault="008C7B1D" w:rsidP="008C7B1D">
            <w:pPr>
              <w:keepNext/>
              <w:spacing w:after="120" w:line="240" w:lineRule="auto"/>
              <w:rPr>
                <w:rFonts w:ascii="Arial Narrow" w:hAnsi="Arial Narrow"/>
                <w:lang w:val="en-US" w:eastAsia="ja-JP"/>
              </w:rPr>
            </w:pPr>
            <w:r w:rsidRPr="00B20172">
              <w:rPr>
                <w:rFonts w:ascii="Arial Narrow" w:hAnsi="Arial Narrow"/>
                <w:lang w:val="en-US" w:eastAsia="ja-JP"/>
              </w:rPr>
              <w:t>69471</w:t>
            </w:r>
          </w:p>
          <w:p w:rsidR="008C7B1D" w:rsidRPr="00B20172" w:rsidRDefault="008C7B1D" w:rsidP="008C7B1D">
            <w:pPr>
              <w:keepNext/>
              <w:spacing w:after="0" w:line="240" w:lineRule="auto"/>
              <w:rPr>
                <w:rFonts w:ascii="Arial Narrow" w:hAnsi="Arial Narrow"/>
                <w:lang w:val="en-US" w:eastAsia="ja-JP"/>
              </w:rPr>
            </w:pPr>
            <w:r w:rsidRPr="00B20172">
              <w:rPr>
                <w:rFonts w:ascii="Arial Narrow" w:hAnsi="Arial Narrow"/>
                <w:lang w:val="en-US" w:eastAsia="ja-JP"/>
              </w:rPr>
              <w:t>Test of cell-mediated immunity in blood for the detection of latent tuberculosis in an immunosuppressed or immunocompromised patient - 1 test</w:t>
            </w:r>
          </w:p>
          <w:p w:rsidR="008C7B1D" w:rsidRPr="00B20172" w:rsidRDefault="008C7B1D" w:rsidP="008C7B1D">
            <w:pPr>
              <w:keepNext/>
              <w:spacing w:after="0" w:line="240" w:lineRule="auto"/>
              <w:rPr>
                <w:rFonts w:ascii="Arial Narrow" w:hAnsi="Arial Narrow"/>
                <w:lang w:val="en-US" w:eastAsia="ja-JP"/>
              </w:rPr>
            </w:pPr>
          </w:p>
          <w:p w:rsidR="008C7B1D" w:rsidRPr="00B20172" w:rsidRDefault="008C7B1D" w:rsidP="008C7B1D">
            <w:pPr>
              <w:keepNext/>
              <w:spacing w:after="0" w:line="240" w:lineRule="auto"/>
              <w:rPr>
                <w:rFonts w:ascii="Arial Narrow" w:hAnsi="Arial Narrow"/>
                <w:lang w:val="en-US" w:eastAsia="ja-JP"/>
              </w:rPr>
            </w:pPr>
            <w:r w:rsidRPr="00B20172">
              <w:rPr>
                <w:rFonts w:ascii="Arial Narrow" w:hAnsi="Arial Narrow"/>
                <w:lang w:val="en-US" w:eastAsia="ja-JP"/>
              </w:rPr>
              <w:t>Fee: $34.90 Benefit: 75% = $26.20 85% = $29.70</w:t>
            </w:r>
          </w:p>
        </w:tc>
      </w:tr>
    </w:tbl>
    <w:p w:rsidR="00AB67C7" w:rsidRPr="00B20172" w:rsidRDefault="00AB67C7" w:rsidP="00AC07F7"/>
    <w:p w:rsidR="00864D16" w:rsidRPr="00B20172" w:rsidRDefault="00F30CD0" w:rsidP="00C837BB">
      <w:pPr>
        <w:pStyle w:val="Caption"/>
      </w:pPr>
      <w:r w:rsidRPr="00B20172">
        <w:t>Table 3: Utilisation data for MBS items</w:t>
      </w:r>
      <w:r w:rsidR="0089474B" w:rsidRPr="00B20172">
        <w:t>—July 2012 to June 2013</w:t>
      </w:r>
    </w:p>
    <w:p w:rsidR="0089474B" w:rsidRPr="00B20172" w:rsidRDefault="0089474B" w:rsidP="00AC07F7">
      <w:r w:rsidRPr="00B20172">
        <w:rPr>
          <w:noProof/>
          <w:lang w:eastAsia="en-AU"/>
        </w:rPr>
        <w:drawing>
          <wp:inline distT="0" distB="0" distL="0" distR="0" wp14:anchorId="3F10B3AA" wp14:editId="7EC94A7C">
            <wp:extent cx="5759450" cy="1605003"/>
            <wp:effectExtent l="0" t="0" r="0" b="0"/>
            <wp:docPr id="9" name="Picture 9" title="Utilisation data for MBS items—July 2012 to June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1605003"/>
                    </a:xfrm>
                    <a:prstGeom prst="rect">
                      <a:avLst/>
                    </a:prstGeom>
                    <a:noFill/>
                    <a:ln>
                      <a:noFill/>
                    </a:ln>
                  </pic:spPr>
                </pic:pic>
              </a:graphicData>
            </a:graphic>
          </wp:inline>
        </w:drawing>
      </w:r>
    </w:p>
    <w:p w:rsidR="00AC07F7" w:rsidRPr="00B20172" w:rsidRDefault="00472659" w:rsidP="00AC07F7">
      <w:r w:rsidRPr="00B20172">
        <w:t xml:space="preserve">Table 3 shows that the </w:t>
      </w:r>
      <w:r w:rsidR="00705AA8" w:rsidRPr="00B20172">
        <w:t>six items listed for microscopy and culture for mycobac</w:t>
      </w:r>
      <w:r w:rsidR="00570580" w:rsidRPr="00B20172">
        <w:t>teria (69324</w:t>
      </w:r>
      <w:r w:rsidR="00705AA8" w:rsidRPr="00B20172">
        <w:t>,</w:t>
      </w:r>
      <w:r w:rsidR="00570580" w:rsidRPr="00B20172">
        <w:t xml:space="preserve"> </w:t>
      </w:r>
      <w:r w:rsidR="00705AA8" w:rsidRPr="00B20172">
        <w:t>69325</w:t>
      </w:r>
      <w:r w:rsidR="00570580" w:rsidRPr="00B20172">
        <w:t>, 69327 69328, 69330, 69331) total 41,463</w:t>
      </w:r>
      <w:r w:rsidR="000B4395" w:rsidRPr="00B20172">
        <w:t xml:space="preserve"> services</w:t>
      </w:r>
      <w:r w:rsidR="00570580" w:rsidRPr="00B20172">
        <w:t xml:space="preserve">. It is not possible to separate these items into </w:t>
      </w:r>
      <w:r w:rsidR="000B4395" w:rsidRPr="00B20172">
        <w:t xml:space="preserve">investigations for </w:t>
      </w:r>
      <w:r w:rsidR="00570580" w:rsidRPr="00B20172">
        <w:t>mycobacterium tuberculosis (</w:t>
      </w:r>
      <w:r w:rsidR="001C3815" w:rsidRPr="00B20172">
        <w:t>MTB</w:t>
      </w:r>
      <w:r w:rsidR="00570580" w:rsidRPr="00B20172">
        <w:t xml:space="preserve">) </w:t>
      </w:r>
      <w:r w:rsidR="000B4395" w:rsidRPr="00B20172">
        <w:t xml:space="preserve">or </w:t>
      </w:r>
      <w:r w:rsidR="00570580" w:rsidRPr="00B20172">
        <w:t>non-tuberculous mycobacteria (NTMB). Item</w:t>
      </w:r>
      <w:r w:rsidR="00EA6638" w:rsidRPr="00B20172">
        <w:t>s</w:t>
      </w:r>
      <w:r w:rsidR="00570580" w:rsidRPr="00B20172">
        <w:t xml:space="preserve"> 69330 &amp; 69331 </w:t>
      </w:r>
      <w:r w:rsidR="00EA6638" w:rsidRPr="00B20172">
        <w:t xml:space="preserve">are </w:t>
      </w:r>
      <w:r w:rsidR="0054378C" w:rsidRPr="00B20172">
        <w:t xml:space="preserve">more </w:t>
      </w:r>
      <w:r w:rsidR="00570580" w:rsidRPr="00B20172">
        <w:t xml:space="preserve">likely to refer to </w:t>
      </w:r>
      <w:r w:rsidR="0089474B" w:rsidRPr="00B20172">
        <w:t xml:space="preserve">MTB </w:t>
      </w:r>
      <w:r w:rsidR="00570580" w:rsidRPr="00B20172">
        <w:t xml:space="preserve">as it is reimbursement for 3 specimens of sputum, urine or other body fluid which is the recommendation </w:t>
      </w:r>
      <w:r w:rsidR="000B4395" w:rsidRPr="00B20172">
        <w:t xml:space="preserve">for increasing the likelihood of detecting MTB. </w:t>
      </w:r>
      <w:r w:rsidR="00685740" w:rsidRPr="00B20172">
        <w:t>The combined</w:t>
      </w:r>
      <w:r w:rsidR="00570580" w:rsidRPr="00B20172">
        <w:t xml:space="preserve"> number of services covered by the two items, </w:t>
      </w:r>
      <w:r w:rsidR="00685740" w:rsidRPr="00B20172">
        <w:t xml:space="preserve">69330 and 69331, equals </w:t>
      </w:r>
      <w:proofErr w:type="gramStart"/>
      <w:r w:rsidR="00570580" w:rsidRPr="00B20172">
        <w:t>7</w:t>
      </w:r>
      <w:r w:rsidR="002F13A9" w:rsidRPr="00B20172">
        <w:t>,</w:t>
      </w:r>
      <w:r w:rsidR="00570580" w:rsidRPr="00B20172">
        <w:t>319,</w:t>
      </w:r>
      <w:proofErr w:type="gramEnd"/>
      <w:r w:rsidR="00570580" w:rsidRPr="00B20172">
        <w:t xml:space="preserve"> </w:t>
      </w:r>
      <w:r w:rsidR="00685740" w:rsidRPr="00B20172">
        <w:t xml:space="preserve">this </w:t>
      </w:r>
      <w:r w:rsidR="00570580" w:rsidRPr="00B20172">
        <w:t xml:space="preserve">is likely to </w:t>
      </w:r>
      <w:r w:rsidR="000B4395" w:rsidRPr="00B20172">
        <w:t>represent a</w:t>
      </w:r>
      <w:r w:rsidR="00570580" w:rsidRPr="00B20172">
        <w:t xml:space="preserve"> minimum </w:t>
      </w:r>
      <w:r w:rsidR="000B4395" w:rsidRPr="00B20172">
        <w:t xml:space="preserve">of the </w:t>
      </w:r>
      <w:r w:rsidR="00570580" w:rsidRPr="00B20172">
        <w:t xml:space="preserve">number of services that would be utilised by NAAT testing for </w:t>
      </w:r>
      <w:r w:rsidR="001C3815" w:rsidRPr="00B20172">
        <w:t>MTB</w:t>
      </w:r>
      <w:r w:rsidR="00570580" w:rsidRPr="00B20172">
        <w:t>.</w:t>
      </w:r>
    </w:p>
    <w:p w:rsidR="00BD41A0" w:rsidRPr="00B20172" w:rsidRDefault="00BD41A0" w:rsidP="00AC07F7">
      <w:r w:rsidRPr="00B20172">
        <w:t xml:space="preserve">The control of TB in Australia is achieved through strong </w:t>
      </w:r>
      <w:r w:rsidR="007A6152" w:rsidRPr="00B20172">
        <w:t xml:space="preserve">State </w:t>
      </w:r>
      <w:r w:rsidRPr="00B20172">
        <w:t xml:space="preserve">and </w:t>
      </w:r>
      <w:r w:rsidR="007A6152" w:rsidRPr="00B20172">
        <w:t xml:space="preserve">Territory </w:t>
      </w:r>
      <w:r w:rsidRPr="00B20172">
        <w:t xml:space="preserve">based TB programs, </w:t>
      </w:r>
      <w:r w:rsidR="000B4395" w:rsidRPr="00B20172">
        <w:t>with</w:t>
      </w:r>
      <w:r w:rsidRPr="00B20172">
        <w:t xml:space="preserve"> a close working relationship between public health, laboratory, and clinical services, with strategic advice provided by the National Tuberculosis Advisory Committee (NTAC).  The NTAC provides expert strategic advice to the Communicable Diseases Network Australia (CDNA), a sub-committee of the Australian Health Protection Principal Committee (AHPPC)</w:t>
      </w:r>
      <w:bookmarkStart w:id="7" w:name="_Ref372555211"/>
      <w:r w:rsidR="00C80687" w:rsidRPr="00B20172">
        <w:rPr>
          <w:rStyle w:val="EndnoteReference"/>
        </w:rPr>
        <w:endnoteReference w:id="1"/>
      </w:r>
      <w:bookmarkEnd w:id="7"/>
      <w:r w:rsidRPr="00B20172">
        <w:t>.</w:t>
      </w:r>
    </w:p>
    <w:p w:rsidR="00BD41A0" w:rsidRPr="00B20172" w:rsidRDefault="00BD41A0" w:rsidP="00BD41A0">
      <w:r w:rsidRPr="00B20172">
        <w:t>The Commonwealth, together with NTAC, monitors the incidence of TB on a national basis using agreed enhanced data provided by State and Territory health authorities and laboratories, in conjunction with the National Notifiable Diseases Surveillance System (NNDSS).</w:t>
      </w:r>
    </w:p>
    <w:p w:rsidR="00BD41A0" w:rsidRPr="00B20172" w:rsidRDefault="00BD41A0" w:rsidP="00BD41A0">
      <w:r w:rsidRPr="00B20172">
        <w:t>The key elements of TB surveillance include:</w:t>
      </w:r>
    </w:p>
    <w:p w:rsidR="00BD41A0" w:rsidRPr="00B20172" w:rsidRDefault="00BD41A0" w:rsidP="00BD41A0">
      <w:pPr>
        <w:pStyle w:val="ListParagraph"/>
        <w:numPr>
          <w:ilvl w:val="0"/>
          <w:numId w:val="22"/>
        </w:numPr>
      </w:pPr>
      <w:r w:rsidRPr="00B20172">
        <w:t>maintenance of the NNDSS and enhanced data systems; and</w:t>
      </w:r>
    </w:p>
    <w:p w:rsidR="00BD41A0" w:rsidRPr="00B20172" w:rsidRDefault="00BD41A0" w:rsidP="00BD41A0">
      <w:pPr>
        <w:pStyle w:val="ListParagraph"/>
        <w:numPr>
          <w:ilvl w:val="0"/>
          <w:numId w:val="22"/>
        </w:numPr>
      </w:pPr>
      <w:proofErr w:type="gramStart"/>
      <w:r w:rsidRPr="00B20172">
        <w:t>reporting</w:t>
      </w:r>
      <w:proofErr w:type="gramEnd"/>
      <w:r w:rsidRPr="00B20172">
        <w:t xml:space="preserve"> to </w:t>
      </w:r>
      <w:r w:rsidR="000B4395" w:rsidRPr="00B20172">
        <w:t>the World Health Organisation (</w:t>
      </w:r>
      <w:r w:rsidRPr="00B20172">
        <w:t>WHO</w:t>
      </w:r>
      <w:r w:rsidR="000B4395" w:rsidRPr="00B20172">
        <w:t>)</w:t>
      </w:r>
      <w:r w:rsidRPr="00B20172">
        <w:t>.</w:t>
      </w:r>
    </w:p>
    <w:p w:rsidR="00AC07F7" w:rsidRPr="00B20172" w:rsidRDefault="000B4395" w:rsidP="00BD41A0">
      <w:r w:rsidRPr="00B20172">
        <w:lastRenderedPageBreak/>
        <w:t>The g</w:t>
      </w:r>
      <w:r w:rsidR="00BD41A0" w:rsidRPr="00B20172">
        <w:t>overnments of Australia need to maintain national TB surveillance in order to inform TB policy. This requires close working relationships with the States and Territories and national bodies, including NTAC, the Department of Immigration and Citizenship, and the Public Health Laboratory Network (PHLN).</w:t>
      </w:r>
    </w:p>
    <w:p w:rsidR="0017780C" w:rsidRPr="00B20172" w:rsidRDefault="0005234D" w:rsidP="00685740">
      <w:r w:rsidRPr="00B20172">
        <w:t xml:space="preserve">Routine </w:t>
      </w:r>
      <w:r w:rsidR="00692A20" w:rsidRPr="00B20172">
        <w:t xml:space="preserve">mycobacterium culture is performed by most large pathology laboratories.  Positive isolates are referred to </w:t>
      </w:r>
      <w:r w:rsidR="00BD41A0" w:rsidRPr="00B20172">
        <w:t xml:space="preserve">State TB reference laboratories </w:t>
      </w:r>
      <w:r w:rsidR="00692A20" w:rsidRPr="00B20172">
        <w:t xml:space="preserve">for </w:t>
      </w:r>
      <w:r w:rsidR="00E02415" w:rsidRPr="00B20172">
        <w:t>identification and</w:t>
      </w:r>
      <w:r w:rsidR="00BD41A0" w:rsidRPr="00B20172">
        <w:t xml:space="preserve"> antibiotic susceptibility testing. The five </w:t>
      </w:r>
      <w:r w:rsidR="007A6152" w:rsidRPr="00B20172">
        <w:t xml:space="preserve">State Mycobacterium Reference Laboratories </w:t>
      </w:r>
      <w:r w:rsidR="00BD41A0" w:rsidRPr="00B20172">
        <w:t>(MRLs) undertake the following functions:</w:t>
      </w:r>
    </w:p>
    <w:p w:rsidR="00BD41A0" w:rsidRPr="00B20172" w:rsidRDefault="00BD41A0" w:rsidP="00BD41A0">
      <w:pPr>
        <w:pStyle w:val="ListParagraph"/>
        <w:numPr>
          <w:ilvl w:val="0"/>
          <w:numId w:val="23"/>
        </w:numPr>
      </w:pPr>
      <w:r w:rsidRPr="00B20172">
        <w:t>provision of basic TB diagnostic services in cooperation with other public and private laboratories;</w:t>
      </w:r>
    </w:p>
    <w:p w:rsidR="00BD41A0" w:rsidRPr="00B20172" w:rsidRDefault="00BD41A0" w:rsidP="00BD41A0">
      <w:pPr>
        <w:pStyle w:val="ListParagraph"/>
        <w:numPr>
          <w:ilvl w:val="0"/>
          <w:numId w:val="23"/>
        </w:numPr>
      </w:pPr>
      <w:r w:rsidRPr="00B20172">
        <w:t>provision of specialised TB diagnostic services, such as mycobacterial identification, drug susceptibility testing, and rapid molecular detection of drug resistance;</w:t>
      </w:r>
    </w:p>
    <w:p w:rsidR="00BD41A0" w:rsidRPr="00B20172" w:rsidRDefault="00BD41A0" w:rsidP="00BD41A0">
      <w:pPr>
        <w:pStyle w:val="ListParagraph"/>
        <w:numPr>
          <w:ilvl w:val="0"/>
          <w:numId w:val="23"/>
        </w:numPr>
      </w:pPr>
      <w:r w:rsidRPr="00B20172">
        <w:t>provision of molecular epidemiological typing by a nationally-approved method;</w:t>
      </w:r>
    </w:p>
    <w:p w:rsidR="00BD41A0" w:rsidRPr="00B20172" w:rsidRDefault="00BD41A0" w:rsidP="00BD41A0">
      <w:pPr>
        <w:pStyle w:val="ListParagraph"/>
        <w:numPr>
          <w:ilvl w:val="0"/>
          <w:numId w:val="23"/>
        </w:numPr>
      </w:pPr>
      <w:r w:rsidRPr="00B20172">
        <w:t>provision of specialised diagnostic services for the investigation of clinically-significant non-tuberculous mycobacteria (NTM) infections;</w:t>
      </w:r>
    </w:p>
    <w:p w:rsidR="00BD41A0" w:rsidRPr="00B20172" w:rsidRDefault="00BD41A0" w:rsidP="00BD41A0">
      <w:pPr>
        <w:pStyle w:val="ListParagraph"/>
        <w:numPr>
          <w:ilvl w:val="0"/>
          <w:numId w:val="23"/>
        </w:numPr>
      </w:pPr>
      <w:r w:rsidRPr="00B20172">
        <w:t>delivery of national quality assurance programs; and</w:t>
      </w:r>
    </w:p>
    <w:p w:rsidR="00BD41A0" w:rsidRPr="00B20172" w:rsidRDefault="00BD41A0" w:rsidP="00BD41A0">
      <w:pPr>
        <w:pStyle w:val="ListParagraph"/>
        <w:numPr>
          <w:ilvl w:val="0"/>
          <w:numId w:val="23"/>
        </w:numPr>
      </w:pPr>
      <w:proofErr w:type="gramStart"/>
      <w:r w:rsidRPr="00B20172">
        <w:t>training</w:t>
      </w:r>
      <w:proofErr w:type="gramEnd"/>
      <w:r w:rsidRPr="00B20172">
        <w:t xml:space="preserve"> of clinical, public health and laboratory personnel to maintain expertise in mycobacterial diagnostics in both the public and private sectors</w:t>
      </w:r>
      <w:r w:rsidR="001325DB" w:rsidRPr="00B20172">
        <w:fldChar w:fldCharType="begin"/>
      </w:r>
      <w:r w:rsidR="00C80687" w:rsidRPr="00B20172">
        <w:instrText xml:space="preserve"> NOTEREF _Ref372555211 \f \h </w:instrText>
      </w:r>
      <w:r w:rsidR="00B20172">
        <w:instrText xml:space="preserve"> \* MERGEFORMAT </w:instrText>
      </w:r>
      <w:r w:rsidR="001325DB" w:rsidRPr="00B20172">
        <w:fldChar w:fldCharType="separate"/>
      </w:r>
      <w:r w:rsidR="006233C0" w:rsidRPr="00B20172">
        <w:rPr>
          <w:rStyle w:val="EndnoteReference"/>
        </w:rPr>
        <w:t>1</w:t>
      </w:r>
      <w:r w:rsidR="001325DB" w:rsidRPr="00B20172">
        <w:fldChar w:fldCharType="end"/>
      </w:r>
      <w:r w:rsidRPr="00B20172">
        <w:t>.</w:t>
      </w:r>
    </w:p>
    <w:p w:rsidR="00705AA8" w:rsidRPr="00B20172" w:rsidRDefault="00705AA8" w:rsidP="00705AA8">
      <w:r w:rsidRPr="00B20172">
        <w:t>State public health bodies would absorb the majority of the costs associated with the treatment of TB</w:t>
      </w:r>
      <w:r w:rsidR="000B4395" w:rsidRPr="00B20172">
        <w:t xml:space="preserve"> as patient are most likely to be treated in tertiary public teaching hospital with infectious disease specialists. </w:t>
      </w:r>
      <w:r w:rsidRPr="00B20172">
        <w:t>This is aside from the costs associated with surveillance and screening of populations at risk of active TB and LTBI.</w:t>
      </w:r>
      <w:r w:rsidR="000B4395" w:rsidRPr="00B20172">
        <w:t xml:space="preserve"> </w:t>
      </w:r>
    </w:p>
    <w:p w:rsidR="00AC07F7" w:rsidRPr="00B20172" w:rsidRDefault="00AC07F7" w:rsidP="00AC07F7">
      <w:pPr>
        <w:pStyle w:val="Heading2"/>
      </w:pPr>
      <w:bookmarkStart w:id="8" w:name="_Toc289854372"/>
      <w:r w:rsidRPr="00B20172">
        <w:t>Regulatory status</w:t>
      </w:r>
      <w:bookmarkEnd w:id="8"/>
    </w:p>
    <w:p w:rsidR="00D224B5" w:rsidRPr="00B20172" w:rsidRDefault="00692A20" w:rsidP="009E7F1A">
      <w:pPr>
        <w:rPr>
          <w:lang w:val="en-US" w:eastAsia="ja-JP"/>
        </w:rPr>
      </w:pPr>
      <w:r w:rsidRPr="00B20172">
        <w:rPr>
          <w:lang w:val="en-US" w:eastAsia="ja-JP"/>
        </w:rPr>
        <w:t>The n</w:t>
      </w:r>
      <w:r w:rsidR="009E7F1A" w:rsidRPr="00B20172">
        <w:rPr>
          <w:lang w:val="en-US" w:eastAsia="ja-JP"/>
        </w:rPr>
        <w:t>ucleic acid amplification test</w:t>
      </w:r>
      <w:r w:rsidR="00D224B5" w:rsidRPr="00B20172">
        <w:rPr>
          <w:lang w:val="en-US" w:eastAsia="ja-JP"/>
        </w:rPr>
        <w:t xml:space="preserve"> for the detection of mycobacteria</w:t>
      </w:r>
      <w:r w:rsidR="009E7F1A" w:rsidRPr="00B20172">
        <w:rPr>
          <w:lang w:val="en-US" w:eastAsia="ja-JP"/>
        </w:rPr>
        <w:t xml:space="preserve"> </w:t>
      </w:r>
      <w:r w:rsidRPr="00B20172">
        <w:rPr>
          <w:lang w:val="en-US" w:eastAsia="ja-JP"/>
        </w:rPr>
        <w:t xml:space="preserve">may </w:t>
      </w:r>
      <w:r w:rsidR="002F13A9" w:rsidRPr="00B20172">
        <w:rPr>
          <w:lang w:val="en-US" w:eastAsia="ja-JP"/>
        </w:rPr>
        <w:t>be an</w:t>
      </w:r>
      <w:r w:rsidR="009E7F1A" w:rsidRPr="00B20172">
        <w:rPr>
          <w:lang w:val="en-US" w:eastAsia="ja-JP"/>
        </w:rPr>
        <w:t xml:space="preserve"> in-house assay </w:t>
      </w:r>
      <w:r w:rsidRPr="00B20172">
        <w:rPr>
          <w:lang w:val="en-US" w:eastAsia="ja-JP"/>
        </w:rPr>
        <w:t xml:space="preserve">or a </w:t>
      </w:r>
      <w:r w:rsidR="009E7F1A" w:rsidRPr="00B20172">
        <w:rPr>
          <w:lang w:val="en-US" w:eastAsia="ja-JP"/>
        </w:rPr>
        <w:t>commercial</w:t>
      </w:r>
      <w:r w:rsidRPr="00B20172">
        <w:rPr>
          <w:lang w:val="en-US" w:eastAsia="ja-JP"/>
        </w:rPr>
        <w:t xml:space="preserve"> kit</w:t>
      </w:r>
      <w:r w:rsidR="009E7F1A" w:rsidRPr="00B20172">
        <w:rPr>
          <w:lang w:val="en-US" w:eastAsia="ja-JP"/>
        </w:rPr>
        <w:t xml:space="preserve">.  </w:t>
      </w:r>
      <w:r w:rsidR="00570580" w:rsidRPr="00B20172">
        <w:rPr>
          <w:lang w:val="en-US" w:eastAsia="ja-JP"/>
        </w:rPr>
        <w:t>There is only one NAAT registered on the TGA</w:t>
      </w:r>
      <w:r w:rsidR="00D224B5" w:rsidRPr="00B20172">
        <w:rPr>
          <w:lang w:val="en-US" w:eastAsia="ja-JP"/>
        </w:rPr>
        <w:t xml:space="preserve"> the</w:t>
      </w:r>
      <w:r w:rsidR="009E7F1A" w:rsidRPr="00B20172">
        <w:rPr>
          <w:lang w:val="en-US" w:eastAsia="ja-JP"/>
        </w:rPr>
        <w:t xml:space="preserve"> Xpert</w:t>
      </w:r>
      <w:r w:rsidR="004B156D" w:rsidRPr="00B20172">
        <w:rPr>
          <w:vertAlign w:val="superscript"/>
          <w:lang w:val="en-US" w:eastAsia="ja-JP"/>
        </w:rPr>
        <w:t>®</w:t>
      </w:r>
      <w:r w:rsidR="009E7F1A" w:rsidRPr="00B20172">
        <w:rPr>
          <w:lang w:val="en-US" w:eastAsia="ja-JP"/>
        </w:rPr>
        <w:t xml:space="preserve"> MTB/RIF Assay for use with the Cepheid GeneXpert system</w:t>
      </w:r>
      <w:r w:rsidR="00D224B5" w:rsidRPr="00B20172">
        <w:rPr>
          <w:lang w:val="en-US" w:eastAsia="ja-JP"/>
        </w:rPr>
        <w:t xml:space="preserve">. This is a semi-quantitative, nested </w:t>
      </w:r>
      <w:r w:rsidR="009E7F1A" w:rsidRPr="00B20172">
        <w:rPr>
          <w:lang w:val="en-US" w:eastAsia="ja-JP"/>
        </w:rPr>
        <w:t xml:space="preserve">real-time PCR </w:t>
      </w:r>
      <w:r w:rsidR="00780CDD" w:rsidRPr="00B20172">
        <w:rPr>
          <w:lang w:val="en-US" w:eastAsia="ja-JP"/>
        </w:rPr>
        <w:t xml:space="preserve">(polymerase chain reaction) </w:t>
      </w:r>
      <w:r w:rsidR="009E7F1A" w:rsidRPr="00B20172">
        <w:rPr>
          <w:lang w:val="en-US" w:eastAsia="ja-JP"/>
        </w:rPr>
        <w:t>in-vitro diagno</w:t>
      </w:r>
      <w:r w:rsidR="00D224B5" w:rsidRPr="00B20172">
        <w:rPr>
          <w:lang w:val="en-US" w:eastAsia="ja-JP"/>
        </w:rPr>
        <w:t>stic test for the detection of:</w:t>
      </w:r>
    </w:p>
    <w:p w:rsidR="009E7F1A" w:rsidRPr="00B20172" w:rsidRDefault="009E7F1A" w:rsidP="003A7D78">
      <w:pPr>
        <w:pStyle w:val="ListParagraph"/>
        <w:numPr>
          <w:ilvl w:val="0"/>
          <w:numId w:val="14"/>
        </w:numPr>
        <w:rPr>
          <w:lang w:val="en-US" w:eastAsia="ja-JP"/>
        </w:rPr>
      </w:pPr>
      <w:r w:rsidRPr="00B20172">
        <w:rPr>
          <w:lang w:val="en-US" w:eastAsia="ja-JP"/>
        </w:rPr>
        <w:t>Mycobacterium tuberculosis complex DNA in sputum samples or conce</w:t>
      </w:r>
      <w:r w:rsidR="00D224B5" w:rsidRPr="00B20172">
        <w:rPr>
          <w:lang w:val="en-US" w:eastAsia="ja-JP"/>
        </w:rPr>
        <w:t xml:space="preserve">ntrated sediments prepared from </w:t>
      </w:r>
      <w:r w:rsidRPr="00B20172">
        <w:rPr>
          <w:lang w:val="en-US" w:eastAsia="ja-JP"/>
        </w:rPr>
        <w:t>induced or expectorated sputa that are either acid-fast bacilli (AFB) smear positive or negative</w:t>
      </w:r>
    </w:p>
    <w:p w:rsidR="009E7F1A" w:rsidRPr="00B20172" w:rsidRDefault="00570580" w:rsidP="003A7D78">
      <w:pPr>
        <w:pStyle w:val="ListParagraph"/>
        <w:numPr>
          <w:ilvl w:val="0"/>
          <w:numId w:val="14"/>
        </w:numPr>
        <w:rPr>
          <w:lang w:val="en-US" w:eastAsia="ja-JP"/>
        </w:rPr>
      </w:pPr>
      <w:r w:rsidRPr="00B20172">
        <w:rPr>
          <w:lang w:val="en-US" w:eastAsia="ja-JP"/>
        </w:rPr>
        <w:t>Rifampicin</w:t>
      </w:r>
      <w:r w:rsidR="009E7F1A" w:rsidRPr="00B20172">
        <w:rPr>
          <w:lang w:val="en-US" w:eastAsia="ja-JP"/>
        </w:rPr>
        <w:t>-resistance associated mutations of the rpoB gene in samples from patients at risk for rifamp</w:t>
      </w:r>
      <w:r w:rsidRPr="00B20172">
        <w:rPr>
          <w:lang w:val="en-US" w:eastAsia="ja-JP"/>
        </w:rPr>
        <w:t>ic</w:t>
      </w:r>
      <w:r w:rsidR="009E7F1A" w:rsidRPr="00B20172">
        <w:rPr>
          <w:lang w:val="en-US" w:eastAsia="ja-JP"/>
        </w:rPr>
        <w:t>in</w:t>
      </w:r>
      <w:r w:rsidR="00D224B5" w:rsidRPr="00B20172">
        <w:rPr>
          <w:lang w:val="en-US" w:eastAsia="ja-JP"/>
        </w:rPr>
        <w:t xml:space="preserve"> </w:t>
      </w:r>
      <w:r w:rsidR="009E7F1A" w:rsidRPr="00B20172">
        <w:rPr>
          <w:lang w:val="en-US" w:eastAsia="ja-JP"/>
        </w:rPr>
        <w:t>resistance</w:t>
      </w:r>
    </w:p>
    <w:p w:rsidR="00AC07F7" w:rsidRPr="00B20172" w:rsidRDefault="009E7F1A" w:rsidP="009E7F1A">
      <w:pPr>
        <w:rPr>
          <w:lang w:val="en-US" w:eastAsia="ja-JP"/>
        </w:rPr>
      </w:pPr>
      <w:r w:rsidRPr="00B20172">
        <w:rPr>
          <w:lang w:val="en-US" w:eastAsia="ja-JP"/>
        </w:rPr>
        <w:t>The Xpert</w:t>
      </w:r>
      <w:r w:rsidR="004B156D" w:rsidRPr="00B20172">
        <w:rPr>
          <w:vertAlign w:val="superscript"/>
          <w:lang w:val="en-US" w:eastAsia="ja-JP"/>
        </w:rPr>
        <w:t>®</w:t>
      </w:r>
      <w:r w:rsidRPr="00B20172">
        <w:rPr>
          <w:lang w:val="en-US" w:eastAsia="ja-JP"/>
        </w:rPr>
        <w:t xml:space="preserve"> MTB/RIF Assay is intended for use with specimens from untreated patients for who</w:t>
      </w:r>
      <w:r w:rsidR="00D224B5" w:rsidRPr="00B20172">
        <w:rPr>
          <w:lang w:val="en-US" w:eastAsia="ja-JP"/>
        </w:rPr>
        <w:t xml:space="preserve">m there is </w:t>
      </w:r>
      <w:r w:rsidRPr="00B20172">
        <w:rPr>
          <w:lang w:val="en-US" w:eastAsia="ja-JP"/>
        </w:rPr>
        <w:t>clinica</w:t>
      </w:r>
      <w:r w:rsidR="00570580" w:rsidRPr="00B20172">
        <w:rPr>
          <w:lang w:val="en-US" w:eastAsia="ja-JP"/>
        </w:rPr>
        <w:t>l suspicion of tuberculosis.</w:t>
      </w:r>
    </w:p>
    <w:p w:rsidR="004A1A78" w:rsidRPr="00B20172" w:rsidRDefault="004A1A78" w:rsidP="009E7F1A">
      <w:pPr>
        <w:rPr>
          <w:lang w:val="en-US" w:eastAsia="ja-JP"/>
        </w:rPr>
      </w:pPr>
      <w:r w:rsidRPr="00B20172">
        <w:rPr>
          <w:lang w:val="en-US" w:eastAsia="ja-JP"/>
        </w:rPr>
        <w:t xml:space="preserve">The </w:t>
      </w:r>
      <w:r w:rsidR="00570580" w:rsidRPr="00B20172">
        <w:rPr>
          <w:lang w:val="en-US" w:eastAsia="ja-JP"/>
        </w:rPr>
        <w:t xml:space="preserve">US </w:t>
      </w:r>
      <w:r w:rsidRPr="00B20172">
        <w:rPr>
          <w:lang w:val="en-US" w:eastAsia="ja-JP"/>
        </w:rPr>
        <w:t xml:space="preserve">Food and Drug Administration </w:t>
      </w:r>
      <w:r w:rsidR="00A068EE" w:rsidRPr="00B20172">
        <w:rPr>
          <w:lang w:val="en-US" w:eastAsia="ja-JP"/>
        </w:rPr>
        <w:t xml:space="preserve">(FDA) </w:t>
      </w:r>
      <w:r w:rsidRPr="00B20172">
        <w:rPr>
          <w:lang w:val="en-US" w:eastAsia="ja-JP"/>
        </w:rPr>
        <w:t xml:space="preserve">currently </w:t>
      </w:r>
      <w:proofErr w:type="gramStart"/>
      <w:r w:rsidRPr="00B20172">
        <w:rPr>
          <w:lang w:val="en-US" w:eastAsia="ja-JP"/>
        </w:rPr>
        <w:t>lists</w:t>
      </w:r>
      <w:proofErr w:type="gramEnd"/>
      <w:r w:rsidRPr="00B20172">
        <w:rPr>
          <w:lang w:val="en-US" w:eastAsia="ja-JP"/>
        </w:rPr>
        <w:t xml:space="preserve"> </w:t>
      </w:r>
      <w:r w:rsidR="00A068EE" w:rsidRPr="00B20172">
        <w:rPr>
          <w:lang w:val="en-US" w:eastAsia="ja-JP"/>
        </w:rPr>
        <w:t>eight commercial</w:t>
      </w:r>
      <w:r w:rsidR="00A27265" w:rsidRPr="00B20172">
        <w:rPr>
          <w:lang w:val="en-US" w:eastAsia="ja-JP"/>
        </w:rPr>
        <w:t>ly available</w:t>
      </w:r>
      <w:r w:rsidRPr="00B20172">
        <w:rPr>
          <w:lang w:val="en-US" w:eastAsia="ja-JP"/>
        </w:rPr>
        <w:t xml:space="preserve"> nucleic acid based tests for mycobacterium tuberculosis on their site</w:t>
      </w:r>
      <w:r w:rsidR="00A068EE" w:rsidRPr="00B20172">
        <w:rPr>
          <w:rStyle w:val="EndnoteReference"/>
          <w:lang w:val="en-US" w:eastAsia="ja-JP"/>
        </w:rPr>
        <w:endnoteReference w:id="2"/>
      </w:r>
      <w:r w:rsidRPr="00B20172">
        <w:rPr>
          <w:lang w:val="en-US" w:eastAsia="ja-JP"/>
        </w:rPr>
        <w:t>.</w:t>
      </w:r>
      <w:r w:rsidR="00A068EE" w:rsidRPr="00B20172">
        <w:rPr>
          <w:lang w:val="en-US" w:eastAsia="ja-JP"/>
        </w:rPr>
        <w:t xml:space="preserve"> Four of the tests are produced by Gen-Probe Inc, with one each from Syngene Inc, Roche Molecular System Inc, Becton, Dickinson &amp; Co and Cepheid. </w:t>
      </w:r>
    </w:p>
    <w:p w:rsidR="004A1A78" w:rsidRPr="00B20172" w:rsidRDefault="00A068EE" w:rsidP="009E7F1A">
      <w:pPr>
        <w:rPr>
          <w:lang w:val="en-US" w:eastAsia="ja-JP"/>
        </w:rPr>
      </w:pPr>
      <w:r w:rsidRPr="00B20172">
        <w:rPr>
          <w:lang w:val="en-US" w:eastAsia="ja-JP"/>
        </w:rPr>
        <w:lastRenderedPageBreak/>
        <w:t xml:space="preserve">NAAT tests appear to have been first approved by the FDA in 1995. </w:t>
      </w:r>
      <w:r w:rsidR="004A1A78" w:rsidRPr="00B20172">
        <w:rPr>
          <w:lang w:val="en-US" w:eastAsia="ja-JP"/>
        </w:rPr>
        <w:t xml:space="preserve">The Amplified Mycobacterium tuberculosis Direct Test (MTD, Gen-Probe, </w:t>
      </w:r>
      <w:proofErr w:type="gramStart"/>
      <w:r w:rsidR="004A1A78" w:rsidRPr="00B20172">
        <w:rPr>
          <w:lang w:val="en-US" w:eastAsia="ja-JP"/>
        </w:rPr>
        <w:t>San</w:t>
      </w:r>
      <w:proofErr w:type="gramEnd"/>
      <w:r w:rsidR="004A1A78" w:rsidRPr="00B20172">
        <w:rPr>
          <w:lang w:val="en-US" w:eastAsia="ja-JP"/>
        </w:rPr>
        <w:t xml:space="preserve"> Diego, California) was approved by the </w:t>
      </w:r>
      <w:r w:rsidRPr="00B20172">
        <w:rPr>
          <w:lang w:val="en-US" w:eastAsia="ja-JP"/>
        </w:rPr>
        <w:t>FDA</w:t>
      </w:r>
      <w:r w:rsidR="004A1A78" w:rsidRPr="00B20172">
        <w:rPr>
          <w:lang w:val="en-US" w:eastAsia="ja-JP"/>
        </w:rPr>
        <w:t xml:space="preserve"> in 1995 for use with AFB-smear-positive respiratory specimens, and in a supplement application, an enhanced MTD test was approved in 1999 for use with AFB smear-negative respiratory specimens from patients suspected to have TB. Additionally, Amplicor Mycobacterium tuberculosis Test (Amplicor, Roche Diagnostics, </w:t>
      </w:r>
      <w:proofErr w:type="gramStart"/>
      <w:r w:rsidR="004A1A78" w:rsidRPr="00B20172">
        <w:rPr>
          <w:lang w:val="en-US" w:eastAsia="ja-JP"/>
        </w:rPr>
        <w:t>Basel</w:t>
      </w:r>
      <w:proofErr w:type="gramEnd"/>
      <w:r w:rsidR="004A1A78" w:rsidRPr="00B20172">
        <w:rPr>
          <w:lang w:val="en-US" w:eastAsia="ja-JP"/>
        </w:rPr>
        <w:t>, Switzerland) was approved by FDA in 1996 for use with AFB smear-</w:t>
      </w:r>
      <w:r w:rsidR="00A27265" w:rsidRPr="00B20172">
        <w:rPr>
          <w:lang w:val="en-US" w:eastAsia="ja-JP"/>
        </w:rPr>
        <w:t>positive</w:t>
      </w:r>
      <w:r w:rsidR="004A1A78" w:rsidRPr="00B20172">
        <w:rPr>
          <w:lang w:val="en-US" w:eastAsia="ja-JP"/>
        </w:rPr>
        <w:t xml:space="preserve"> respiratory specimens from patients suspected of TB</w:t>
      </w:r>
      <w:bookmarkStart w:id="9" w:name="_Ref371884157"/>
      <w:r w:rsidRPr="00B20172">
        <w:rPr>
          <w:rStyle w:val="EndnoteReference"/>
          <w:lang w:val="en-US" w:eastAsia="ja-JP"/>
        </w:rPr>
        <w:endnoteReference w:id="3"/>
      </w:r>
      <w:bookmarkEnd w:id="9"/>
      <w:r w:rsidR="004A1A78" w:rsidRPr="00B20172">
        <w:rPr>
          <w:lang w:val="en-US" w:eastAsia="ja-JP"/>
        </w:rPr>
        <w:t xml:space="preserve">. </w:t>
      </w:r>
    </w:p>
    <w:p w:rsidR="00CD2C92" w:rsidRPr="00B20172" w:rsidRDefault="00CD2C92" w:rsidP="009E7F1A">
      <w:pPr>
        <w:rPr>
          <w:lang w:val="en-US" w:eastAsia="ja-JP"/>
        </w:rPr>
      </w:pPr>
      <w:r w:rsidRPr="00B20172">
        <w:rPr>
          <w:lang w:val="en-US" w:eastAsia="ja-JP"/>
        </w:rPr>
        <w:t xml:space="preserve">There are no commercially available </w:t>
      </w:r>
      <w:r w:rsidR="003E3F0B" w:rsidRPr="00B20172">
        <w:rPr>
          <w:lang w:val="en-US" w:eastAsia="ja-JP"/>
        </w:rPr>
        <w:t xml:space="preserve">nucleic acid based </w:t>
      </w:r>
      <w:r w:rsidRPr="00B20172">
        <w:rPr>
          <w:lang w:val="en-US" w:eastAsia="ja-JP"/>
        </w:rPr>
        <w:t xml:space="preserve">kits for diagnosing non-TB mycobacteria registered with the TGA. </w:t>
      </w:r>
      <w:r w:rsidR="00A27265" w:rsidRPr="00B20172">
        <w:rPr>
          <w:lang w:val="en-US" w:eastAsia="ja-JP"/>
        </w:rPr>
        <w:t xml:space="preserve"> </w:t>
      </w:r>
      <w:r w:rsidRPr="00B20172">
        <w:rPr>
          <w:lang w:val="en-US" w:eastAsia="ja-JP"/>
        </w:rPr>
        <w:t xml:space="preserve">The </w:t>
      </w:r>
      <w:r w:rsidR="00A27265" w:rsidRPr="00B20172">
        <w:rPr>
          <w:lang w:val="en-US" w:eastAsia="ja-JP"/>
        </w:rPr>
        <w:t xml:space="preserve">US </w:t>
      </w:r>
      <w:r w:rsidRPr="00B20172">
        <w:rPr>
          <w:lang w:val="en-US" w:eastAsia="ja-JP"/>
        </w:rPr>
        <w:t xml:space="preserve">FDA has nine commercially available kits listed, of these three kits are specific for the detection of </w:t>
      </w:r>
      <w:r w:rsidR="003E3F0B" w:rsidRPr="00B20172">
        <w:rPr>
          <w:i/>
          <w:lang w:val="en-US" w:eastAsia="ja-JP"/>
        </w:rPr>
        <w:t xml:space="preserve">Mycobacterium avium, </w:t>
      </w:r>
      <w:r w:rsidR="003E3F0B" w:rsidRPr="00B20172">
        <w:rPr>
          <w:lang w:val="en-US" w:eastAsia="ja-JP"/>
        </w:rPr>
        <w:t>one kit each for</w:t>
      </w:r>
      <w:r w:rsidR="003E3F0B" w:rsidRPr="00B20172">
        <w:rPr>
          <w:i/>
          <w:lang w:val="en-US" w:eastAsia="ja-JP"/>
        </w:rPr>
        <w:t xml:space="preserve"> Mycobacterium kansasii, Mycobacterium gordonae, Mycobacterium intracellulare </w:t>
      </w:r>
      <w:r w:rsidR="003E3F0B" w:rsidRPr="00B20172">
        <w:rPr>
          <w:lang w:val="en-US" w:eastAsia="ja-JP"/>
        </w:rPr>
        <w:t>and 3 kits for rapid diagnosis system for mycobacteria</w:t>
      </w:r>
      <w:r w:rsidR="001325DB" w:rsidRPr="00B20172">
        <w:rPr>
          <w:lang w:val="en-US" w:eastAsia="ja-JP"/>
        </w:rPr>
        <w:fldChar w:fldCharType="begin"/>
      </w:r>
      <w:r w:rsidR="003E3F0B" w:rsidRPr="00B20172">
        <w:rPr>
          <w:lang w:val="en-US" w:eastAsia="ja-JP"/>
        </w:rPr>
        <w:instrText xml:space="preserve"> NOTEREF _Ref371539546 \f \h </w:instrText>
      </w:r>
      <w:r w:rsidR="001325DB" w:rsidRPr="00B20172">
        <w:rPr>
          <w:lang w:val="en-US" w:eastAsia="ja-JP"/>
        </w:rPr>
      </w:r>
      <w:r w:rsidR="00B20172">
        <w:rPr>
          <w:lang w:val="en-US" w:eastAsia="ja-JP"/>
        </w:rPr>
        <w:instrText xml:space="preserve"> \* MERGEFORMAT </w:instrText>
      </w:r>
      <w:r w:rsidR="001325DB" w:rsidRPr="00B20172">
        <w:rPr>
          <w:lang w:val="en-US" w:eastAsia="ja-JP"/>
        </w:rPr>
        <w:fldChar w:fldCharType="separate"/>
      </w:r>
      <w:r w:rsidR="006233C0" w:rsidRPr="00B20172">
        <w:rPr>
          <w:rStyle w:val="EndnoteReference"/>
        </w:rPr>
        <w:t>4</w:t>
      </w:r>
      <w:r w:rsidR="001325DB" w:rsidRPr="00B20172">
        <w:rPr>
          <w:lang w:val="en-US" w:eastAsia="ja-JP"/>
        </w:rPr>
        <w:fldChar w:fldCharType="end"/>
      </w:r>
      <w:r w:rsidR="003E3F0B" w:rsidRPr="00B20172">
        <w:rPr>
          <w:lang w:val="en-US" w:eastAsia="ja-JP"/>
        </w:rPr>
        <w:t>.</w:t>
      </w:r>
      <w:r w:rsidR="00A27265" w:rsidRPr="00B20172">
        <w:rPr>
          <w:lang w:val="en-US" w:eastAsia="ja-JP"/>
        </w:rPr>
        <w:t xml:space="preserve"> </w:t>
      </w:r>
    </w:p>
    <w:p w:rsidR="008A1615" w:rsidRPr="00B20172" w:rsidRDefault="008A1615" w:rsidP="000901A8">
      <w:pPr>
        <w:pStyle w:val="Heading1"/>
      </w:pPr>
      <w:bookmarkStart w:id="10" w:name="_Toc289854373"/>
      <w:r w:rsidRPr="00B20172">
        <w:t>Intervention</w:t>
      </w:r>
      <w:bookmarkEnd w:id="10"/>
    </w:p>
    <w:p w:rsidR="00485C3A" w:rsidRPr="00B20172" w:rsidRDefault="009E0790" w:rsidP="000901A8">
      <w:pPr>
        <w:pStyle w:val="Heading2"/>
      </w:pPr>
      <w:bookmarkStart w:id="11" w:name="_Toc289854374"/>
      <w:r w:rsidRPr="00B20172">
        <w:t>Description</w:t>
      </w:r>
      <w:bookmarkEnd w:id="11"/>
    </w:p>
    <w:p w:rsidR="001B0049" w:rsidRPr="00B20172" w:rsidRDefault="001B0049" w:rsidP="001067B8">
      <w:r w:rsidRPr="00B20172">
        <w:t xml:space="preserve">NAAT tests provide a qualitative result—yes or no to the presence of the mycobacteria strain being tested for. </w:t>
      </w:r>
    </w:p>
    <w:p w:rsidR="001067B8" w:rsidRPr="00B20172" w:rsidRDefault="003A6881" w:rsidP="001067B8">
      <w:r w:rsidRPr="00B20172">
        <w:t>There is n</w:t>
      </w:r>
      <w:r w:rsidR="001067B8" w:rsidRPr="00B20172">
        <w:t xml:space="preserve">o description of the </w:t>
      </w:r>
      <w:r w:rsidRPr="00B20172">
        <w:t xml:space="preserve">commercially available tests or </w:t>
      </w:r>
      <w:r w:rsidR="001067B8" w:rsidRPr="00B20172">
        <w:t xml:space="preserve">in-house assays </w:t>
      </w:r>
      <w:r w:rsidR="00A27265" w:rsidRPr="00B20172">
        <w:t xml:space="preserve">used </w:t>
      </w:r>
      <w:r w:rsidR="001067B8" w:rsidRPr="00B20172">
        <w:t>for detection of Mycobacteria provided with the application.</w:t>
      </w:r>
    </w:p>
    <w:p w:rsidR="004B156D" w:rsidRPr="00B20172" w:rsidRDefault="004B156D" w:rsidP="000901A8">
      <w:r w:rsidRPr="00B20172">
        <w:t>The following is a description of the co</w:t>
      </w:r>
      <w:r w:rsidR="001067B8" w:rsidRPr="00B20172">
        <w:t>mmercially available NAAT test</w:t>
      </w:r>
      <w:r w:rsidRPr="00B20172">
        <w:t xml:space="preserve"> for </w:t>
      </w:r>
      <w:r w:rsidR="000B4395" w:rsidRPr="00B20172">
        <w:rPr>
          <w:i/>
        </w:rPr>
        <w:t>MTB</w:t>
      </w:r>
      <w:r w:rsidR="00C80687" w:rsidRPr="00B20172">
        <w:rPr>
          <w:i/>
        </w:rPr>
        <w:t xml:space="preserve">, </w:t>
      </w:r>
      <w:r w:rsidR="00C80687" w:rsidRPr="00B20172">
        <w:t>listed on the ARTG</w:t>
      </w:r>
      <w:r w:rsidR="001067B8" w:rsidRPr="00B20172">
        <w:t>.</w:t>
      </w:r>
      <w:r w:rsidRPr="00B20172">
        <w:t xml:space="preserve"> </w:t>
      </w:r>
      <w:r w:rsidR="000B4395" w:rsidRPr="00B20172">
        <w:t xml:space="preserve"> </w:t>
      </w:r>
      <w:r w:rsidRPr="00B20172">
        <w:t xml:space="preserve">Xpert® MTB/RIF Assay is an automated </w:t>
      </w:r>
      <w:r w:rsidRPr="00B20172">
        <w:rPr>
          <w:i/>
        </w:rPr>
        <w:t xml:space="preserve">in vitro </w:t>
      </w:r>
      <w:r w:rsidRPr="00B20172">
        <w:t xml:space="preserve">diagnostic test for the qualitative detection of </w:t>
      </w:r>
      <w:r w:rsidRPr="00B20172">
        <w:rPr>
          <w:i/>
        </w:rPr>
        <w:t xml:space="preserve">Mycobacterium tuberculosis </w:t>
      </w:r>
      <w:r w:rsidRPr="00B20172">
        <w:t>(MTB)-complex DNA and the genetic mutations associated with rifamp</w:t>
      </w:r>
      <w:r w:rsidR="003A6881" w:rsidRPr="00B20172">
        <w:t>ic</w:t>
      </w:r>
      <w:r w:rsidRPr="00B20172">
        <w:t xml:space="preserve">in (rif) resistance in raw sputum samples or concentrated sputum sediments from patients for whom there is clinical suspicion of TB and who have received no antituberculosis therapy, or less than 3 days of therapy. The primers in this test amplify a portion of the </w:t>
      </w:r>
      <w:r w:rsidRPr="00B20172">
        <w:rPr>
          <w:i/>
        </w:rPr>
        <w:t>rpoB</w:t>
      </w:r>
      <w:r w:rsidRPr="00B20172">
        <w:t xml:space="preserve"> gene containing the 8q1 base pair core region. The probes are designed to differentiate between the conserved wild-type sequence and mutations in the core region </w:t>
      </w:r>
      <w:r w:rsidR="003A6881" w:rsidRPr="00B20172">
        <w:t xml:space="preserve">that are associated with </w:t>
      </w:r>
      <w:proofErr w:type="gramStart"/>
      <w:r w:rsidR="003A6881" w:rsidRPr="00B20172">
        <w:t>r</w:t>
      </w:r>
      <w:r w:rsidRPr="00B20172">
        <w:t>if</w:t>
      </w:r>
      <w:proofErr w:type="gramEnd"/>
      <w:r w:rsidRPr="00B20172">
        <w:t xml:space="preserve"> resistance. The assay is performed on Cepheid GeneXpert® Instrument Systems</w:t>
      </w:r>
      <w:bookmarkStart w:id="12" w:name="_Ref371539546"/>
      <w:r w:rsidR="00A548E3" w:rsidRPr="00B20172">
        <w:rPr>
          <w:rStyle w:val="EndnoteReference"/>
        </w:rPr>
        <w:endnoteReference w:id="4"/>
      </w:r>
      <w:bookmarkEnd w:id="12"/>
      <w:r w:rsidRPr="00B20172">
        <w:t>.</w:t>
      </w:r>
    </w:p>
    <w:p w:rsidR="004B156D" w:rsidRPr="00B20172" w:rsidRDefault="00880E69" w:rsidP="000901A8">
      <w:r w:rsidRPr="00B20172">
        <w:t>The Xpert MTB/Rif Assay simultaneously detects MTB-complex and the genetic mutations associate</w:t>
      </w:r>
      <w:r w:rsidR="003A6881" w:rsidRPr="00B20172">
        <w:t xml:space="preserve">d with </w:t>
      </w:r>
      <w:r w:rsidR="00044B52" w:rsidRPr="00B20172">
        <w:t>rifampicin</w:t>
      </w:r>
      <w:r w:rsidR="003A6881" w:rsidRPr="00B20172">
        <w:t xml:space="preserve"> resistance b</w:t>
      </w:r>
      <w:r w:rsidRPr="00B20172">
        <w:t xml:space="preserve">y amplifying a MTB-complex </w:t>
      </w:r>
      <w:r w:rsidR="00393590" w:rsidRPr="00B20172">
        <w:t xml:space="preserve">specific sequence of the </w:t>
      </w:r>
      <w:r w:rsidR="00393590" w:rsidRPr="00B20172">
        <w:rPr>
          <w:i/>
        </w:rPr>
        <w:t>rpoB</w:t>
      </w:r>
      <w:r w:rsidR="00393590" w:rsidRPr="00B20172">
        <w:t xml:space="preserve"> gene.</w:t>
      </w:r>
    </w:p>
    <w:p w:rsidR="003A6881" w:rsidRPr="00B20172" w:rsidRDefault="00137414" w:rsidP="000901A8">
      <w:pPr>
        <w:rPr>
          <w:i/>
        </w:rPr>
      </w:pPr>
      <w:r w:rsidRPr="00B20172">
        <w:rPr>
          <w:i/>
        </w:rPr>
        <w:t xml:space="preserve">For the purposes of estimating usage, it is likely </w:t>
      </w:r>
      <w:r w:rsidR="003A6881" w:rsidRPr="00B20172">
        <w:rPr>
          <w:i/>
        </w:rPr>
        <w:t>that a NAAT test would only be required to be performed once per patient</w:t>
      </w:r>
      <w:r w:rsidR="00132F7E" w:rsidRPr="00B20172">
        <w:rPr>
          <w:i/>
        </w:rPr>
        <w:t>. It</w:t>
      </w:r>
      <w:r w:rsidR="005F686D" w:rsidRPr="00B20172">
        <w:rPr>
          <w:i/>
        </w:rPr>
        <w:t xml:space="preserve"> </w:t>
      </w:r>
      <w:r w:rsidR="007472D4" w:rsidRPr="00B20172">
        <w:rPr>
          <w:i/>
        </w:rPr>
        <w:t xml:space="preserve">is recommended that </w:t>
      </w:r>
      <w:r w:rsidR="005F686D" w:rsidRPr="00B20172">
        <w:rPr>
          <w:i/>
        </w:rPr>
        <w:t>a follow</w:t>
      </w:r>
      <w:r w:rsidR="0054378C" w:rsidRPr="00B20172">
        <w:rPr>
          <w:i/>
        </w:rPr>
        <w:t>-up</w:t>
      </w:r>
      <w:r w:rsidR="005F686D" w:rsidRPr="00B20172">
        <w:rPr>
          <w:i/>
        </w:rPr>
        <w:t xml:space="preserve"> test </w:t>
      </w:r>
      <w:r w:rsidR="007472D4" w:rsidRPr="00B20172">
        <w:rPr>
          <w:i/>
        </w:rPr>
        <w:t xml:space="preserve">not </w:t>
      </w:r>
      <w:r w:rsidR="005F686D" w:rsidRPr="00B20172">
        <w:rPr>
          <w:i/>
        </w:rPr>
        <w:t xml:space="preserve">be performed </w:t>
      </w:r>
      <w:r w:rsidR="007472D4" w:rsidRPr="00B20172">
        <w:rPr>
          <w:i/>
        </w:rPr>
        <w:t xml:space="preserve">within </w:t>
      </w:r>
      <w:r w:rsidR="00132F7E" w:rsidRPr="00B20172">
        <w:rPr>
          <w:i/>
        </w:rPr>
        <w:t>a minimum re-test period</w:t>
      </w:r>
      <w:r w:rsidR="007472D4" w:rsidRPr="00B20172">
        <w:rPr>
          <w:i/>
        </w:rPr>
        <w:t xml:space="preserve"> </w:t>
      </w:r>
      <w:r w:rsidR="005F686D" w:rsidRPr="00B20172">
        <w:rPr>
          <w:i/>
        </w:rPr>
        <w:t>if a patient has been treated for TB</w:t>
      </w:r>
      <w:r w:rsidR="00044B52" w:rsidRPr="00B20172">
        <w:rPr>
          <w:i/>
        </w:rPr>
        <w:t>.</w:t>
      </w:r>
      <w:r w:rsidRPr="00B20172">
        <w:rPr>
          <w:i/>
        </w:rPr>
        <w:t xml:space="preserve">  </w:t>
      </w:r>
    </w:p>
    <w:p w:rsidR="00A27265" w:rsidRPr="00B20172" w:rsidRDefault="00A27265" w:rsidP="00A27265">
      <w:r w:rsidRPr="00B20172">
        <w:t>The National Pathology Accreditation Advisory Council has published standards and guidelines for</w:t>
      </w:r>
      <w:r w:rsidR="003A6881" w:rsidRPr="00B20172">
        <w:t xml:space="preserve"> laboratories performing NAAT</w:t>
      </w:r>
      <w:r w:rsidR="001325DB" w:rsidRPr="00B20172">
        <w:fldChar w:fldCharType="begin"/>
      </w:r>
      <w:r w:rsidR="003A6881" w:rsidRPr="00B20172">
        <w:instrText xml:space="preserve"> NOTEREF _Ref371884157 \f \h </w:instrText>
      </w:r>
      <w:r w:rsidR="00B20172">
        <w:instrText xml:space="preserve"> \* MERGEFORMAT </w:instrText>
      </w:r>
      <w:r w:rsidR="001325DB" w:rsidRPr="00B20172">
        <w:fldChar w:fldCharType="separate"/>
      </w:r>
      <w:r w:rsidR="006233C0" w:rsidRPr="00B20172">
        <w:rPr>
          <w:rStyle w:val="EndnoteReference"/>
        </w:rPr>
        <w:t>3</w:t>
      </w:r>
      <w:r w:rsidR="001325DB" w:rsidRPr="00B20172">
        <w:fldChar w:fldCharType="end"/>
      </w:r>
      <w:r w:rsidR="003A6881" w:rsidRPr="00B20172">
        <w:t>.</w:t>
      </w:r>
      <w:r w:rsidRPr="00B20172">
        <w:t xml:space="preserve"> The NPAAC document addresses specimen collection, transportation, reagent preparation, nucleic acid extraction, amplification, product detection, data recording, reporting, sample storage and quality assurance. Laboratories performing NAAT for TB diagnosis must </w:t>
      </w:r>
      <w:r w:rsidRPr="00B20172">
        <w:lastRenderedPageBreak/>
        <w:t xml:space="preserve">comply with these NPAAC recommendations. Some of the standards and guidelines of particular relevance to TB NAAT are highlighted below. </w:t>
      </w:r>
    </w:p>
    <w:p w:rsidR="00A27265" w:rsidRPr="00B20172" w:rsidRDefault="00A27265" w:rsidP="00A27265">
      <w:r w:rsidRPr="00B20172">
        <w:t>1.</w:t>
      </w:r>
      <w:r w:rsidRPr="00B20172">
        <w:tab/>
        <w:t xml:space="preserve">Samples that have been used for other tests prior to NAAT are at increased risk of cross-contamination. Wherever possible, NAAT should be performed on dedicated samples or on aliquots taken before other tests are performed. </w:t>
      </w:r>
    </w:p>
    <w:p w:rsidR="00A27265" w:rsidRPr="00B20172" w:rsidRDefault="00A27265" w:rsidP="00A27265">
      <w:r w:rsidRPr="00B20172">
        <w:t>2.</w:t>
      </w:r>
      <w:r w:rsidRPr="00B20172">
        <w:tab/>
        <w:t xml:space="preserve">The efficiency and quality of DNA extraction impacts greatly on the final test result. The extraction methods performed on various specimen types must be documented in the laboratory manuals and validated. </w:t>
      </w:r>
    </w:p>
    <w:p w:rsidR="00A27265" w:rsidRPr="00B20172" w:rsidRDefault="00A27265" w:rsidP="00A27265">
      <w:r w:rsidRPr="00B20172">
        <w:t>3.</w:t>
      </w:r>
      <w:r w:rsidRPr="00B20172">
        <w:tab/>
        <w:t xml:space="preserve">All NAAT methods must be properly validated before routine use. When a commercial test is used according to the manufacturer's instructions, no re-validation is required. Modified commercial tests and 'in house' methodologies must be validated as outlined in the NPAAC publication Requirements for the validation of in-house in vitro diagnostic devices (IVDs). </w:t>
      </w:r>
    </w:p>
    <w:p w:rsidR="00A27265" w:rsidRPr="00B20172" w:rsidRDefault="00A27265" w:rsidP="00A27265">
      <w:r w:rsidRPr="00B20172">
        <w:t>4.</w:t>
      </w:r>
      <w:r w:rsidRPr="00B20172">
        <w:tab/>
        <w:t xml:space="preserve">NAATs are capable of detecting very small quantities of nucleic acid and are therefore liable to false-positive results due to contamination events. Staff competence, laboratory design and routine use of controls limit and detect these contamination events. Three physically-separated areas are required in a NAAT laboratory for: DNA extraction, reagent preparation, and amplification/product detection. The movement of specimens and equipment shall be unidirectional from pre- to post-amplification areas. At least one negative control and a weak positive control must be subject to the whole test process including DNA extraction. </w:t>
      </w:r>
    </w:p>
    <w:p w:rsidR="00A27265" w:rsidRPr="00B20172" w:rsidRDefault="00A27265" w:rsidP="00A27265">
      <w:r w:rsidRPr="00B20172">
        <w:t xml:space="preserve">External quality assurance programs in the USA have demonstrated that laboratories performing NAAT </w:t>
      </w:r>
      <w:r w:rsidR="00C80687" w:rsidRPr="00B20172">
        <w:t xml:space="preserve">for detecting TB </w:t>
      </w:r>
      <w:r w:rsidRPr="00B20172">
        <w:t>but not conforming to these basic requirements have higher rates of false-positive reactions despite using FDA-</w:t>
      </w:r>
      <w:r w:rsidR="003A6881" w:rsidRPr="00B20172">
        <w:t>approved commercial assays.</w:t>
      </w:r>
    </w:p>
    <w:p w:rsidR="00AC4856" w:rsidRPr="00B20172" w:rsidRDefault="005F686D" w:rsidP="00A27265">
      <w:pPr>
        <w:rPr>
          <w:b/>
          <w:i/>
        </w:rPr>
      </w:pPr>
      <w:r w:rsidRPr="00B20172">
        <w:rPr>
          <w:b/>
          <w:i/>
        </w:rPr>
        <w:t>PASC agreed that the submission should provide evidence</w:t>
      </w:r>
      <w:r w:rsidR="00041D12" w:rsidRPr="00B20172">
        <w:rPr>
          <w:b/>
          <w:i/>
        </w:rPr>
        <w:t>, in patients with the signs and symptoms of active TB,</w:t>
      </w:r>
      <w:r w:rsidRPr="00B20172">
        <w:rPr>
          <w:b/>
          <w:i/>
        </w:rPr>
        <w:t xml:space="preserve"> </w:t>
      </w:r>
      <w:r w:rsidR="00041D12" w:rsidRPr="00B20172">
        <w:rPr>
          <w:b/>
          <w:i/>
        </w:rPr>
        <w:t>of</w:t>
      </w:r>
      <w:r w:rsidRPr="00B20172">
        <w:rPr>
          <w:b/>
          <w:i/>
        </w:rPr>
        <w:t xml:space="preserve"> the analytical and clinical sensitivity</w:t>
      </w:r>
      <w:r w:rsidR="00041D12" w:rsidRPr="00B20172">
        <w:rPr>
          <w:b/>
          <w:i/>
        </w:rPr>
        <w:t xml:space="preserve"> </w:t>
      </w:r>
      <w:r w:rsidRPr="00B20172">
        <w:rPr>
          <w:b/>
          <w:i/>
        </w:rPr>
        <w:t xml:space="preserve">and specificity of both commercially available and in-house </w:t>
      </w:r>
      <w:r w:rsidR="00041D12" w:rsidRPr="00B20172">
        <w:rPr>
          <w:b/>
          <w:i/>
        </w:rPr>
        <w:t xml:space="preserve">NAAT </w:t>
      </w:r>
      <w:r w:rsidRPr="00B20172">
        <w:rPr>
          <w:b/>
          <w:i/>
        </w:rPr>
        <w:t>assay</w:t>
      </w:r>
      <w:r w:rsidR="00041D12" w:rsidRPr="00B20172">
        <w:rPr>
          <w:b/>
          <w:i/>
        </w:rPr>
        <w:t>s</w:t>
      </w:r>
      <w:r w:rsidRPr="00B20172">
        <w:rPr>
          <w:b/>
          <w:i/>
        </w:rPr>
        <w:t>.</w:t>
      </w:r>
      <w:r w:rsidR="00AC4856" w:rsidRPr="00B20172">
        <w:rPr>
          <w:b/>
          <w:i/>
        </w:rPr>
        <w:t xml:space="preserve"> </w:t>
      </w:r>
      <w:r w:rsidR="00041D12" w:rsidRPr="00B20172">
        <w:rPr>
          <w:b/>
          <w:i/>
        </w:rPr>
        <w:t xml:space="preserve">In addition </w:t>
      </w:r>
      <w:r w:rsidR="002B7257" w:rsidRPr="00B20172">
        <w:rPr>
          <w:b/>
          <w:i/>
        </w:rPr>
        <w:t>a comparative</w:t>
      </w:r>
      <w:r w:rsidR="00041D12" w:rsidRPr="00B20172">
        <w:rPr>
          <w:b/>
          <w:i/>
        </w:rPr>
        <w:t xml:space="preserve"> analysis between in-house assays and commercial kits, </w:t>
      </w:r>
      <w:r w:rsidR="002B7257" w:rsidRPr="00B20172">
        <w:rPr>
          <w:b/>
          <w:i/>
        </w:rPr>
        <w:t xml:space="preserve">in the diagnosis of TB in patients with the signs and symptoms of active TB, </w:t>
      </w:r>
      <w:r w:rsidR="00041D12" w:rsidRPr="00B20172">
        <w:rPr>
          <w:b/>
          <w:i/>
        </w:rPr>
        <w:t xml:space="preserve">if evidence is available should be presented. </w:t>
      </w:r>
    </w:p>
    <w:p w:rsidR="008F4EB7" w:rsidRPr="00B20172" w:rsidRDefault="00041D12" w:rsidP="00A27265">
      <w:pPr>
        <w:rPr>
          <w:b/>
          <w:i/>
        </w:rPr>
      </w:pPr>
      <w:r w:rsidRPr="00B20172">
        <w:rPr>
          <w:b/>
          <w:i/>
        </w:rPr>
        <w:t xml:space="preserve">PASC agreed that evidence </w:t>
      </w:r>
      <w:r w:rsidR="001C3815" w:rsidRPr="00B20172">
        <w:rPr>
          <w:b/>
          <w:i/>
        </w:rPr>
        <w:t xml:space="preserve">should </w:t>
      </w:r>
      <w:r w:rsidRPr="00B20172">
        <w:rPr>
          <w:b/>
          <w:i/>
        </w:rPr>
        <w:t>be presented for NAAT testing in patients with the signs and symptoms of active TB, for both assays that include or exclude antibiotic mutation testing</w:t>
      </w:r>
      <w:r w:rsidR="008F4EB7" w:rsidRPr="00B20172">
        <w:rPr>
          <w:b/>
          <w:i/>
        </w:rPr>
        <w:t>.</w:t>
      </w:r>
      <w:r w:rsidRPr="00B20172">
        <w:rPr>
          <w:b/>
          <w:i/>
        </w:rPr>
        <w:t xml:space="preserve"> </w:t>
      </w:r>
      <w:r w:rsidR="008F4EB7" w:rsidRPr="00B20172">
        <w:rPr>
          <w:b/>
          <w:i/>
        </w:rPr>
        <w:t xml:space="preserve"> </w:t>
      </w:r>
    </w:p>
    <w:p w:rsidR="00041D12" w:rsidRPr="00B20172" w:rsidRDefault="00041D12" w:rsidP="00A27265">
      <w:pPr>
        <w:rPr>
          <w:b/>
          <w:i/>
        </w:rPr>
      </w:pPr>
      <w:r w:rsidRPr="00B20172">
        <w:rPr>
          <w:b/>
          <w:i/>
        </w:rPr>
        <w:t xml:space="preserve">PASC agreed that the submission </w:t>
      </w:r>
      <w:r w:rsidR="001C3815" w:rsidRPr="00B20172">
        <w:rPr>
          <w:b/>
          <w:i/>
        </w:rPr>
        <w:t xml:space="preserve">should </w:t>
      </w:r>
      <w:r w:rsidRPr="00B20172">
        <w:rPr>
          <w:b/>
          <w:i/>
        </w:rPr>
        <w:t xml:space="preserve">provide evidence of the analytical and clinical sensitivity and specificity of both commercially available and in-house NAAT testing of tissue biopsy with histopathology consistent with mycobacteria. </w:t>
      </w:r>
    </w:p>
    <w:p w:rsidR="004F2695" w:rsidRPr="00B20172" w:rsidRDefault="004F2695" w:rsidP="00870FFA">
      <w:pPr>
        <w:rPr>
          <w:i/>
          <w:u w:val="single"/>
        </w:rPr>
      </w:pPr>
      <w:r w:rsidRPr="00B20172">
        <w:rPr>
          <w:i/>
          <w:u w:val="single"/>
        </w:rPr>
        <w:t>Tuberculosis</w:t>
      </w:r>
    </w:p>
    <w:p w:rsidR="00F521A8" w:rsidRPr="00B20172" w:rsidRDefault="00F521A8" w:rsidP="00F521A8">
      <w:r w:rsidRPr="00B20172">
        <w:lastRenderedPageBreak/>
        <w:t>Tuberculosis remains a major global health problem, in 2012, an estimated 8.6 million people developed TB and 1.3 million died from the disease including 320,000 deaths among HIV-positive people</w:t>
      </w:r>
      <w:bookmarkStart w:id="13" w:name="_Ref371608860"/>
      <w:r w:rsidRPr="00B20172">
        <w:rPr>
          <w:rStyle w:val="EndnoteReference"/>
        </w:rPr>
        <w:endnoteReference w:id="5"/>
      </w:r>
      <w:bookmarkEnd w:id="13"/>
      <w:r w:rsidRPr="00B20172">
        <w:t>.</w:t>
      </w:r>
    </w:p>
    <w:p w:rsidR="00EA2D18" w:rsidRPr="00B20172" w:rsidRDefault="00EA2D18" w:rsidP="00870FFA">
      <w:r w:rsidRPr="00B20172">
        <w:t xml:space="preserve">Tuberculosis is a notifiable disease in Australia and the focus of public health guidelines for monitoring, tracing and treating the disease.  </w:t>
      </w:r>
      <w:r w:rsidR="00BA57F0" w:rsidRPr="00B20172">
        <w:t xml:space="preserve">Much of the </w:t>
      </w:r>
      <w:r w:rsidRPr="00B20172">
        <w:t xml:space="preserve">following has been </w:t>
      </w:r>
      <w:r w:rsidR="00BA57F0" w:rsidRPr="00B20172">
        <w:t>sourced from</w:t>
      </w:r>
      <w:r w:rsidRPr="00B20172">
        <w:t xml:space="preserve"> the Communicable Disease N</w:t>
      </w:r>
      <w:r w:rsidR="00BA57F0" w:rsidRPr="00B20172">
        <w:t>etwork Australia guidelines on tuberculosis</w:t>
      </w:r>
      <w:r w:rsidR="00BA57F0" w:rsidRPr="00B20172">
        <w:rPr>
          <w:rStyle w:val="EndnoteReference"/>
        </w:rPr>
        <w:endnoteReference w:id="6"/>
      </w:r>
      <w:r w:rsidR="00BA57F0" w:rsidRPr="00B20172">
        <w:t xml:space="preserve">. </w:t>
      </w:r>
    </w:p>
    <w:p w:rsidR="0019513F" w:rsidRPr="00B20172" w:rsidRDefault="0019513F" w:rsidP="0019513F">
      <w:pPr>
        <w:ind w:left="68"/>
      </w:pPr>
      <w:r w:rsidRPr="00B20172">
        <w:t xml:space="preserve">Tuberculosis usually attacks the lungs but can also affect other parts of the body. TB is transmitted mainly by inhalation of infectious droplets produced by persons with pulmonary or laryngeal tuberculosis during coughing, laughing, shouting, singing or sneezing. Rarely, invasion of </w:t>
      </w:r>
      <w:r w:rsidRPr="00B20172">
        <w:rPr>
          <w:i/>
        </w:rPr>
        <w:t>M. tuberculosis</w:t>
      </w:r>
      <w:r w:rsidRPr="00B20172">
        <w:t xml:space="preserve"> may occur through mucous membranes or damaged skin. Extra-pulmonary tuberculosis, other than laryngeal, is generally not communicable, although can be associated with pulmonary tuberculosis.</w:t>
      </w:r>
    </w:p>
    <w:p w:rsidR="00EA2D18" w:rsidRPr="00B20172" w:rsidRDefault="00EA2D18" w:rsidP="00EA2D18">
      <w:r w:rsidRPr="00B20172">
        <w:t xml:space="preserve">TB is caused by the M. tuberculosis complex. </w:t>
      </w:r>
      <w:r w:rsidRPr="00B20172">
        <w:rPr>
          <w:i/>
        </w:rPr>
        <w:t>M. tuberculosis</w:t>
      </w:r>
      <w:r w:rsidRPr="00B20172">
        <w:t xml:space="preserve"> is responsible for most cases. </w:t>
      </w:r>
      <w:r w:rsidRPr="00B20172">
        <w:rPr>
          <w:i/>
        </w:rPr>
        <w:t>Mycobacterium bovis</w:t>
      </w:r>
      <w:r w:rsidRPr="00B20172">
        <w:t xml:space="preserve"> (</w:t>
      </w:r>
      <w:r w:rsidRPr="00B20172">
        <w:rPr>
          <w:i/>
        </w:rPr>
        <w:t>M. bovis)*, M. africanum, M. canetii and M. caprae</w:t>
      </w:r>
      <w:r w:rsidRPr="00B20172">
        <w:t xml:space="preserve"> also cause a small number of TB cases in Australia. Humans are the primary reservoir for M. tuberculosis complex, although it is also found in other animals, predominantly primates</w:t>
      </w:r>
      <w:bookmarkStart w:id="14" w:name="_Ref371714199"/>
      <w:r w:rsidRPr="00B20172">
        <w:rPr>
          <w:rStyle w:val="EndnoteReference"/>
        </w:rPr>
        <w:endnoteReference w:id="7"/>
      </w:r>
      <w:bookmarkEnd w:id="14"/>
      <w:r w:rsidRPr="00B20172">
        <w:t xml:space="preserve">. </w:t>
      </w:r>
      <w:r w:rsidRPr="00B20172">
        <w:rPr>
          <w:i/>
        </w:rPr>
        <w:t>M. bovis</w:t>
      </w:r>
      <w:r w:rsidRPr="00B20172">
        <w:t xml:space="preserve"> particularly is found in cattle and other mammals.</w:t>
      </w:r>
    </w:p>
    <w:p w:rsidR="00EA2D18" w:rsidRPr="00B20172" w:rsidRDefault="00EA2D18" w:rsidP="00EA2D18">
      <w:r w:rsidRPr="00B20172">
        <w:rPr>
          <w:i/>
        </w:rPr>
        <w:t>M. bovis</w:t>
      </w:r>
      <w:r w:rsidRPr="00B20172">
        <w:t xml:space="preserve"> tuberculosis results mainly from ingestion of unpasteurised milk and dairy products. However, aerosol transmission of </w:t>
      </w:r>
      <w:r w:rsidRPr="00B20172">
        <w:rPr>
          <w:i/>
        </w:rPr>
        <w:t>M. bovis</w:t>
      </w:r>
      <w:r w:rsidRPr="00B20172">
        <w:t xml:space="preserve"> has been reported among abattoir and dairy workers and other workers butchering or cutting infected animals (e.g. cattlemen, veterinarians).</w:t>
      </w:r>
    </w:p>
    <w:p w:rsidR="00EA2D18" w:rsidRPr="00B20172" w:rsidRDefault="0019513F" w:rsidP="0019513F">
      <w:pPr>
        <w:ind w:left="68"/>
      </w:pPr>
      <w:r w:rsidRPr="00B20172">
        <w:t xml:space="preserve">Most infections in humans result in an asymptomatic, latent infection. </w:t>
      </w:r>
      <w:r w:rsidR="00EA2D18" w:rsidRPr="00B20172">
        <w:t>The time from infection to the primary lesion or measurable significant immunological reaction e.g. response to tuberculin Purified Protein Derivative (PPD), can vary from 2-10 weeks</w:t>
      </w:r>
      <w:r w:rsidR="001325DB" w:rsidRPr="00B20172">
        <w:fldChar w:fldCharType="begin"/>
      </w:r>
      <w:r w:rsidR="00EA2D18" w:rsidRPr="00B20172">
        <w:instrText xml:space="preserve"> NOTEREF _Ref371714199 \f \h </w:instrText>
      </w:r>
      <w:r w:rsidR="00B20172">
        <w:instrText xml:space="preserve"> \* MERGEFORMAT </w:instrText>
      </w:r>
      <w:r w:rsidR="001325DB" w:rsidRPr="00B20172">
        <w:fldChar w:fldCharType="separate"/>
      </w:r>
      <w:r w:rsidR="006233C0" w:rsidRPr="00B20172">
        <w:rPr>
          <w:rStyle w:val="EndnoteReference"/>
        </w:rPr>
        <w:t>7</w:t>
      </w:r>
      <w:r w:rsidR="001325DB" w:rsidRPr="00B20172">
        <w:fldChar w:fldCharType="end"/>
      </w:r>
      <w:r w:rsidR="00EA2D18" w:rsidRPr="00B20172">
        <w:t>. In the immunocompetent host, subsequent progression to active TB occurs in only 5–10 per cent of those infected. This progression can occur from weeks to decades later although half will occur within 2 years from initial infection. Infection with the M. tuberc</w:t>
      </w:r>
      <w:r w:rsidR="002F1B6A" w:rsidRPr="00B20172">
        <w:t>ulosis complex without disease</w:t>
      </w:r>
      <w:r w:rsidR="00EA2D18" w:rsidRPr="00B20172">
        <w:t xml:space="preserve"> can persist for a lifetime.</w:t>
      </w:r>
      <w:r w:rsidRPr="00B20172">
        <w:t xml:space="preserve"> Active disease if left untreated kills more than 50% of those infected.</w:t>
      </w:r>
    </w:p>
    <w:p w:rsidR="00EA2D18" w:rsidRPr="00B20172" w:rsidRDefault="00EA2D18" w:rsidP="00EA2D18">
      <w:r w:rsidRPr="00B20172">
        <w:t>A person is infectious as long as viable bacilli are being discharged from the sputum. In practice, the greatest risk of transmitting infection is in the period prior to diagnosis and effective treatment of a pulmonary TB case. The risk of transmitting infection is reduced within days to two weeks after commencing appropriate TB treatment providing there is no drug resistant TB. A sputum smear positive case is more infectious than a case that is only culture positive.</w:t>
      </w:r>
    </w:p>
    <w:p w:rsidR="00EA2D18" w:rsidRPr="00B20172" w:rsidRDefault="00EA2D18" w:rsidP="00EA2D18">
      <w:r w:rsidRPr="00B20172">
        <w:t>The degree of communicability depends on:</w:t>
      </w:r>
    </w:p>
    <w:p w:rsidR="00EA2D18" w:rsidRPr="00B20172" w:rsidRDefault="00EA2D18" w:rsidP="003A7D78">
      <w:pPr>
        <w:pStyle w:val="ListParagraph"/>
        <w:numPr>
          <w:ilvl w:val="0"/>
          <w:numId w:val="14"/>
        </w:numPr>
      </w:pPr>
      <w:r w:rsidRPr="00B20172">
        <w:t>intimacy and duration of exposure</w:t>
      </w:r>
    </w:p>
    <w:p w:rsidR="00EA2D18" w:rsidRPr="00B20172" w:rsidRDefault="00EA2D18" w:rsidP="003A7D78">
      <w:pPr>
        <w:pStyle w:val="ListParagraph"/>
        <w:numPr>
          <w:ilvl w:val="0"/>
          <w:numId w:val="14"/>
        </w:numPr>
      </w:pPr>
      <w:r w:rsidRPr="00B20172">
        <w:t>number of bacilli discharged, infectivity of bacilli</w:t>
      </w:r>
    </w:p>
    <w:p w:rsidR="00EA2D18" w:rsidRPr="00B20172" w:rsidRDefault="00EA2D18" w:rsidP="003A7D78">
      <w:pPr>
        <w:pStyle w:val="ListParagraph"/>
        <w:numPr>
          <w:ilvl w:val="0"/>
          <w:numId w:val="14"/>
        </w:numPr>
      </w:pPr>
      <w:r w:rsidRPr="00B20172">
        <w:t>adequacy of ventilation and exposure of bacilli to sun or UV light</w:t>
      </w:r>
    </w:p>
    <w:p w:rsidR="00EA2D18" w:rsidRPr="00B20172" w:rsidRDefault="00EA2D18" w:rsidP="003A7D78">
      <w:pPr>
        <w:pStyle w:val="ListParagraph"/>
        <w:numPr>
          <w:ilvl w:val="0"/>
          <w:numId w:val="14"/>
        </w:numPr>
      </w:pPr>
      <w:proofErr w:type="gramStart"/>
      <w:r w:rsidRPr="00B20172">
        <w:t>op</w:t>
      </w:r>
      <w:r w:rsidR="00BA57F0" w:rsidRPr="00B20172">
        <w:t>portunities</w:t>
      </w:r>
      <w:proofErr w:type="gramEnd"/>
      <w:r w:rsidR="00BA57F0" w:rsidRPr="00B20172">
        <w:t xml:space="preserve"> for aerosoli</w:t>
      </w:r>
      <w:r w:rsidR="001C3815" w:rsidRPr="00B20172">
        <w:t>s</w:t>
      </w:r>
      <w:r w:rsidR="00BA57F0" w:rsidRPr="00B20172">
        <w:t>ation</w:t>
      </w:r>
      <w:r w:rsidR="001325DB" w:rsidRPr="00B20172">
        <w:fldChar w:fldCharType="begin"/>
      </w:r>
      <w:r w:rsidR="00BA57F0" w:rsidRPr="00B20172">
        <w:instrText xml:space="preserve"> NOTEREF _Ref371714199 \f \h </w:instrText>
      </w:r>
      <w:r w:rsidR="00B20172">
        <w:instrText xml:space="preserve"> \* MERGEFORMAT </w:instrText>
      </w:r>
      <w:r w:rsidR="001325DB" w:rsidRPr="00B20172">
        <w:fldChar w:fldCharType="separate"/>
      </w:r>
      <w:r w:rsidR="006233C0" w:rsidRPr="00B20172">
        <w:rPr>
          <w:rStyle w:val="EndnoteReference"/>
        </w:rPr>
        <w:t>7</w:t>
      </w:r>
      <w:r w:rsidR="001325DB" w:rsidRPr="00B20172">
        <w:fldChar w:fldCharType="end"/>
      </w:r>
      <w:r w:rsidR="001325DB" w:rsidRPr="00B20172">
        <w:fldChar w:fldCharType="begin"/>
      </w:r>
      <w:r w:rsidR="00BA57F0" w:rsidRPr="00B20172">
        <w:instrText xml:space="preserve"> NOTEREF _Ref371714199 \f \h </w:instrText>
      </w:r>
      <w:r w:rsidR="00B20172">
        <w:instrText xml:space="preserve"> \* MERGEFORMAT </w:instrText>
      </w:r>
      <w:r w:rsidR="001325DB" w:rsidRPr="00B20172">
        <w:fldChar w:fldCharType="separate"/>
      </w:r>
      <w:r w:rsidR="006233C0" w:rsidRPr="00B20172">
        <w:rPr>
          <w:rStyle w:val="EndnoteReference"/>
        </w:rPr>
        <w:t>7</w:t>
      </w:r>
      <w:r w:rsidR="001325DB" w:rsidRPr="00B20172">
        <w:fldChar w:fldCharType="end"/>
      </w:r>
      <w:r w:rsidR="00BA57F0" w:rsidRPr="00B20172">
        <w:t>.</w:t>
      </w:r>
    </w:p>
    <w:p w:rsidR="00EA2D18" w:rsidRPr="00B20172" w:rsidRDefault="00EA2D18" w:rsidP="00EA2D18">
      <w:r w:rsidRPr="00B20172">
        <w:lastRenderedPageBreak/>
        <w:t>Over half of all cases in Australia present with pulmonary TB (disease involving the lungs) and can have the following common symptoms:</w:t>
      </w:r>
    </w:p>
    <w:p w:rsidR="00EA2D18" w:rsidRPr="00B20172" w:rsidRDefault="00EA2D18" w:rsidP="003A7D78">
      <w:pPr>
        <w:pStyle w:val="ListParagraph"/>
        <w:numPr>
          <w:ilvl w:val="0"/>
          <w:numId w:val="14"/>
        </w:numPr>
      </w:pPr>
      <w:r w:rsidRPr="00B20172">
        <w:t>A chronic cough, sometimes accompanied by haemoptysis</w:t>
      </w:r>
    </w:p>
    <w:p w:rsidR="00EA2D18" w:rsidRPr="00B20172" w:rsidRDefault="00EA2D18" w:rsidP="003A7D78">
      <w:pPr>
        <w:pStyle w:val="ListParagraph"/>
        <w:numPr>
          <w:ilvl w:val="0"/>
          <w:numId w:val="14"/>
        </w:numPr>
      </w:pPr>
      <w:r w:rsidRPr="00B20172">
        <w:t>Fever and night sweats</w:t>
      </w:r>
    </w:p>
    <w:p w:rsidR="00EA2D18" w:rsidRPr="00B20172" w:rsidRDefault="00EA2D18" w:rsidP="003A7D78">
      <w:pPr>
        <w:pStyle w:val="ListParagraph"/>
        <w:numPr>
          <w:ilvl w:val="0"/>
          <w:numId w:val="14"/>
        </w:numPr>
      </w:pPr>
      <w:r w:rsidRPr="00B20172">
        <w:t>Loss of weight</w:t>
      </w:r>
    </w:p>
    <w:p w:rsidR="00EA2D18" w:rsidRPr="00B20172" w:rsidRDefault="00EA2D18" w:rsidP="003A7D78">
      <w:pPr>
        <w:pStyle w:val="ListParagraph"/>
        <w:numPr>
          <w:ilvl w:val="0"/>
          <w:numId w:val="14"/>
        </w:numPr>
      </w:pPr>
      <w:r w:rsidRPr="00B20172">
        <w:t>Feeling generally tired and unwell.</w:t>
      </w:r>
    </w:p>
    <w:p w:rsidR="00EA2D18" w:rsidRPr="00B20172" w:rsidRDefault="00EA2D18" w:rsidP="00EA2D18">
      <w:r w:rsidRPr="00B20172">
        <w:t xml:space="preserve">Clinical suspicion of TB should be high in any person with exposure </w:t>
      </w:r>
      <w:r w:rsidR="00AA0162" w:rsidRPr="00B20172">
        <w:t xml:space="preserve">to </w:t>
      </w:r>
      <w:r w:rsidRPr="00B20172">
        <w:t>risk factors and a respiratory infection unresponsive to standard treatments or an unexplained non-respiratory illness. This particularly includes:</w:t>
      </w:r>
    </w:p>
    <w:p w:rsidR="00EA2D18" w:rsidRPr="00B20172" w:rsidRDefault="00EA2D18" w:rsidP="003A7D78">
      <w:pPr>
        <w:pStyle w:val="ListParagraph"/>
        <w:numPr>
          <w:ilvl w:val="0"/>
          <w:numId w:val="14"/>
        </w:numPr>
      </w:pPr>
      <w:r w:rsidRPr="00B20172">
        <w:t>new arrivals and recently returned travellers from high incidence countries</w:t>
      </w:r>
    </w:p>
    <w:p w:rsidR="00EA2D18" w:rsidRPr="00B20172" w:rsidRDefault="00EA2D18" w:rsidP="003A7D78">
      <w:pPr>
        <w:pStyle w:val="ListParagraph"/>
        <w:numPr>
          <w:ilvl w:val="0"/>
          <w:numId w:val="14"/>
        </w:numPr>
      </w:pPr>
      <w:r w:rsidRPr="00B20172">
        <w:t>contacts of an active case within the past 5 years</w:t>
      </w:r>
    </w:p>
    <w:p w:rsidR="00EA2D18" w:rsidRPr="00B20172" w:rsidRDefault="00EA2D18" w:rsidP="003A7D78">
      <w:pPr>
        <w:pStyle w:val="ListParagraph"/>
        <w:numPr>
          <w:ilvl w:val="0"/>
          <w:numId w:val="14"/>
        </w:numPr>
      </w:pPr>
      <w:r w:rsidRPr="00B20172">
        <w:t>those with a history of previous TB treatment</w:t>
      </w:r>
    </w:p>
    <w:p w:rsidR="00EA2D18" w:rsidRPr="00B20172" w:rsidRDefault="00EA2D18" w:rsidP="003A7D78">
      <w:pPr>
        <w:pStyle w:val="ListParagraph"/>
        <w:numPr>
          <w:ilvl w:val="0"/>
          <w:numId w:val="14"/>
        </w:numPr>
      </w:pPr>
      <w:r w:rsidRPr="00B20172">
        <w:t>Indigenous Australians in localised areas (e</w:t>
      </w:r>
      <w:r w:rsidR="00EA055E" w:rsidRPr="00B20172">
        <w:t>.</w:t>
      </w:r>
      <w:r w:rsidRPr="00B20172">
        <w:t>g</w:t>
      </w:r>
      <w:r w:rsidR="00EA055E" w:rsidRPr="00B20172">
        <w:t>.</w:t>
      </w:r>
      <w:r w:rsidRPr="00B20172">
        <w:t xml:space="preserve"> Northern Territory, Queensland)</w:t>
      </w:r>
    </w:p>
    <w:p w:rsidR="00EA2D18" w:rsidRPr="00B20172" w:rsidRDefault="00EA2D18" w:rsidP="003A7D78">
      <w:pPr>
        <w:pStyle w:val="ListParagraph"/>
        <w:numPr>
          <w:ilvl w:val="0"/>
          <w:numId w:val="14"/>
        </w:numPr>
      </w:pPr>
      <w:r w:rsidRPr="00B20172">
        <w:t>HIV positive patients.</w:t>
      </w:r>
    </w:p>
    <w:p w:rsidR="00EA2D18" w:rsidRPr="00B20172" w:rsidRDefault="00EA2D18" w:rsidP="00EA2D18">
      <w:r w:rsidRPr="00B20172">
        <w:t>Non-pulmonary TB (disease involving organs other than lungs) can present with a wide range of symptoms dependant on the site of disease and is often accompanied by int</w:t>
      </w:r>
      <w:r w:rsidR="00BA57F0" w:rsidRPr="00B20172">
        <w:t xml:space="preserve">ermittent fever or weight loss.  </w:t>
      </w:r>
    </w:p>
    <w:p w:rsidR="00EA2D18" w:rsidRPr="00B20172" w:rsidRDefault="00EA2D18" w:rsidP="00EA2D18">
      <w:r w:rsidRPr="00B20172">
        <w:t>The use of standardised TB treatment for an appropriate period of time will result in cure rates over 98 per cent in drug sensitive disease</w:t>
      </w:r>
      <w:r w:rsidR="00BA57F0" w:rsidRPr="00B20172">
        <w:rPr>
          <w:rStyle w:val="EndnoteReference"/>
        </w:rPr>
        <w:endnoteReference w:id="8"/>
      </w:r>
      <w:r w:rsidR="00BA57F0" w:rsidRPr="00B20172">
        <w:t>.</w:t>
      </w:r>
      <w:r w:rsidRPr="00B20172">
        <w:t xml:space="preserve"> Deaths from TB in the Australian setting </w:t>
      </w:r>
      <w:r w:rsidR="002F1B6A" w:rsidRPr="00B20172">
        <w:t>are</w:t>
      </w:r>
      <w:r w:rsidRPr="00B20172">
        <w:t xml:space="preserve"> a rare occurrence and usually reflect co-morbidities and delayed or missed diagnosis and treatment. The success of treatment relies heavily on health care provider compliance, ensuring the right treatment is prescribed i.e. the right dose, drug combination and duration with the capacity to deliver the drugs without supply interruption, and patient adherence. Health care provider compliance and patient adherence are important to prevent the development of drug resistance and relapse. The disease does not always confer protective immunity as reinfection can occur.</w:t>
      </w:r>
    </w:p>
    <w:p w:rsidR="00EA2D18" w:rsidRPr="00B20172" w:rsidRDefault="00BA57F0" w:rsidP="00EA2D18">
      <w:r w:rsidRPr="00B20172">
        <w:t>People</w:t>
      </w:r>
      <w:r w:rsidR="00EA2D18" w:rsidRPr="00B20172">
        <w:t xml:space="preserve"> at increased risk of infection due to risk of exposure include:</w:t>
      </w:r>
    </w:p>
    <w:p w:rsidR="00EA2D18" w:rsidRPr="00B20172" w:rsidRDefault="00EA2D18" w:rsidP="003A7D78">
      <w:pPr>
        <w:pStyle w:val="ListParagraph"/>
        <w:numPr>
          <w:ilvl w:val="0"/>
          <w:numId w:val="14"/>
        </w:numPr>
      </w:pPr>
      <w:r w:rsidRPr="00B20172">
        <w:t>those in close contact with a case of TB (including household members)</w:t>
      </w:r>
    </w:p>
    <w:p w:rsidR="00EA2D18" w:rsidRPr="00B20172" w:rsidRDefault="00EA2D18" w:rsidP="003A7D78">
      <w:pPr>
        <w:pStyle w:val="ListParagraph"/>
        <w:numPr>
          <w:ilvl w:val="0"/>
          <w:numId w:val="14"/>
        </w:numPr>
      </w:pPr>
      <w:r w:rsidRPr="00B20172">
        <w:t>overseas-born health care workers (HCW) and HCW returning from working in high incidence countries</w:t>
      </w:r>
    </w:p>
    <w:p w:rsidR="00BA57F0" w:rsidRPr="00B20172" w:rsidRDefault="00EA2D18" w:rsidP="003A7D78">
      <w:pPr>
        <w:pStyle w:val="ListParagraph"/>
        <w:numPr>
          <w:ilvl w:val="0"/>
          <w:numId w:val="14"/>
        </w:numPr>
      </w:pPr>
      <w:r w:rsidRPr="00B20172">
        <w:t>new arrivals from countries (e.g. South Africa, Philippines, Vietnam, India, South Korea, Malaysia and China) or areas (e.g. in Africa or Pacific Islands) with a high incidence of TB</w:t>
      </w:r>
    </w:p>
    <w:p w:rsidR="00EA2D18" w:rsidRPr="00B20172" w:rsidRDefault="00EA2D18" w:rsidP="003A7D78">
      <w:pPr>
        <w:pStyle w:val="ListParagraph"/>
        <w:numPr>
          <w:ilvl w:val="0"/>
          <w:numId w:val="14"/>
        </w:numPr>
      </w:pPr>
      <w:proofErr w:type="gramStart"/>
      <w:r w:rsidRPr="00B20172">
        <w:t>people</w:t>
      </w:r>
      <w:proofErr w:type="gramEnd"/>
      <w:r w:rsidRPr="00B20172">
        <w:t xml:space="preserve"> living in overcrowded conditions (e.g. some Indigenous Australians communities) or in institutions.</w:t>
      </w:r>
    </w:p>
    <w:p w:rsidR="00EA2D18" w:rsidRPr="00B20172" w:rsidRDefault="00EA2D18" w:rsidP="00EA2D18">
      <w:r w:rsidRPr="00B20172">
        <w:t xml:space="preserve">Almost everyone is susceptible to </w:t>
      </w:r>
      <w:proofErr w:type="gramStart"/>
      <w:r w:rsidRPr="00B20172">
        <w:t>infection,</w:t>
      </w:r>
      <w:proofErr w:type="gramEnd"/>
      <w:r w:rsidRPr="00B20172">
        <w:t xml:space="preserve"> however some groups are more susceptible to infection and progression to active TB than others. Those at increased risk of infection due to clinical vulnerability include those with HIV infection and other forms of immuno-suppression.</w:t>
      </w:r>
    </w:p>
    <w:p w:rsidR="00EA2D18" w:rsidRPr="00B20172" w:rsidRDefault="00EA2D18" w:rsidP="00EA2D18">
      <w:r w:rsidRPr="00B20172">
        <w:t>The risk of developing the disease once infected is high in the following groups of people</w:t>
      </w:r>
      <w:r w:rsidR="00BA57F0" w:rsidRPr="00B20172">
        <w:rPr>
          <w:rStyle w:val="EndnoteReference"/>
        </w:rPr>
        <w:endnoteReference w:id="9"/>
      </w:r>
      <w:r w:rsidRPr="00B20172">
        <w:t>:</w:t>
      </w:r>
    </w:p>
    <w:p w:rsidR="00EA2D18" w:rsidRPr="00B20172" w:rsidRDefault="00EA2D18" w:rsidP="003A7D78">
      <w:pPr>
        <w:pStyle w:val="ListParagraph"/>
        <w:numPr>
          <w:ilvl w:val="0"/>
          <w:numId w:val="14"/>
        </w:numPr>
      </w:pPr>
      <w:r w:rsidRPr="00B20172">
        <w:lastRenderedPageBreak/>
        <w:t>children under 5 years of age, adolescents and the elderly</w:t>
      </w:r>
    </w:p>
    <w:p w:rsidR="00EA2D18" w:rsidRPr="00B20172" w:rsidRDefault="00EA2D18" w:rsidP="003A7D78">
      <w:pPr>
        <w:pStyle w:val="ListParagraph"/>
        <w:numPr>
          <w:ilvl w:val="0"/>
          <w:numId w:val="14"/>
        </w:numPr>
      </w:pPr>
      <w:r w:rsidRPr="00B20172">
        <w:t>those who are malnourished</w:t>
      </w:r>
    </w:p>
    <w:p w:rsidR="00EA2D18" w:rsidRPr="00B20172" w:rsidRDefault="00EA2D18" w:rsidP="003A7D78">
      <w:pPr>
        <w:pStyle w:val="ListParagraph"/>
        <w:numPr>
          <w:ilvl w:val="0"/>
          <w:numId w:val="14"/>
        </w:numPr>
      </w:pPr>
      <w:r w:rsidRPr="00B20172">
        <w:t>those immuno-compromised by disease, such as people living with HIV, diabetes and renal failure</w:t>
      </w:r>
    </w:p>
    <w:p w:rsidR="00EA2D18" w:rsidRPr="00B20172" w:rsidRDefault="00EA2D18" w:rsidP="003A7D78">
      <w:pPr>
        <w:pStyle w:val="ListParagraph"/>
        <w:numPr>
          <w:ilvl w:val="0"/>
          <w:numId w:val="14"/>
        </w:numPr>
      </w:pPr>
      <w:proofErr w:type="gramStart"/>
      <w:r w:rsidRPr="00B20172">
        <w:t>those</w:t>
      </w:r>
      <w:proofErr w:type="gramEnd"/>
      <w:r w:rsidRPr="00B20172">
        <w:t xml:space="preserve"> on immuno-modulating therapies such as corticosteroids, anti-TNF inhibitors and anti-cancer treatments.</w:t>
      </w:r>
    </w:p>
    <w:p w:rsidR="00EA2D18" w:rsidRPr="00B20172" w:rsidRDefault="00EA2D18" w:rsidP="00EA2D18">
      <w:r w:rsidRPr="00B20172">
        <w:t>People with features consistent with inactive TB on CXR (e.g. fibrotic areas, apical scarring or blunted costo-phrenic angles) are at increased risk of progression to disease.</w:t>
      </w:r>
    </w:p>
    <w:p w:rsidR="00EA2D18" w:rsidRPr="00B20172" w:rsidRDefault="00EA2D18" w:rsidP="00EA2D18">
      <w:r w:rsidRPr="00B20172">
        <w:t>Aboriginal people and Torres Strait Islanders in some parts of Australia are at increased risk of TB due to adverse social and health factors. These include overcrowding and high rates of chronic diseases that increase the risk of reactivation of TB and some that can confound the diagnosis of TB such as the presence of chronic lung disease</w:t>
      </w:r>
      <w:r w:rsidR="001C4CDC" w:rsidRPr="00B20172">
        <w:rPr>
          <w:rStyle w:val="EndnoteReference"/>
        </w:rPr>
        <w:endnoteReference w:id="10"/>
      </w:r>
      <w:r w:rsidR="001C4CDC" w:rsidRPr="00B20172">
        <w:t>.</w:t>
      </w:r>
    </w:p>
    <w:p w:rsidR="002F1B6A" w:rsidRPr="00B20172" w:rsidRDefault="002B7257" w:rsidP="00EA2D18">
      <w:pPr>
        <w:rPr>
          <w:b/>
          <w:i/>
        </w:rPr>
      </w:pPr>
      <w:r w:rsidRPr="00B20172">
        <w:rPr>
          <w:b/>
          <w:i/>
        </w:rPr>
        <w:t>PASC agreed that due to the different sensitivity</w:t>
      </w:r>
      <w:r w:rsidR="00132F7E" w:rsidRPr="00B20172">
        <w:rPr>
          <w:b/>
          <w:i/>
        </w:rPr>
        <w:t xml:space="preserve"> and specificity</w:t>
      </w:r>
      <w:r w:rsidRPr="00B20172">
        <w:rPr>
          <w:b/>
          <w:i/>
        </w:rPr>
        <w:t xml:space="preserve"> of </w:t>
      </w:r>
      <w:r w:rsidR="00132F7E" w:rsidRPr="00B20172">
        <w:rPr>
          <w:b/>
          <w:i/>
        </w:rPr>
        <w:t xml:space="preserve">clinical </w:t>
      </w:r>
      <w:r w:rsidRPr="00B20172">
        <w:rPr>
          <w:b/>
          <w:i/>
        </w:rPr>
        <w:t>testing in patients with HIV compared to patients without HIV, a separate analysis in these two populations should be presented.</w:t>
      </w:r>
      <w:r w:rsidR="002F1B6A" w:rsidRPr="00B20172">
        <w:rPr>
          <w:b/>
          <w:i/>
        </w:rPr>
        <w:t xml:space="preserve"> </w:t>
      </w:r>
    </w:p>
    <w:p w:rsidR="00DC2B12" w:rsidRPr="00B20172" w:rsidRDefault="00DC2B12" w:rsidP="00870FFA">
      <w:r w:rsidRPr="00B20172">
        <w:t>Australia has one of the lowest rates of TB in the world</w:t>
      </w:r>
      <w:r w:rsidR="00D62C38" w:rsidRPr="00B20172">
        <w:t xml:space="preserve">, 4.7 cases per 100,000 </w:t>
      </w:r>
      <w:proofErr w:type="gramStart"/>
      <w:r w:rsidR="00D62C38" w:rsidRPr="00B20172">
        <w:t>population</w:t>
      </w:r>
      <w:proofErr w:type="gramEnd"/>
      <w:r w:rsidR="00D62C38" w:rsidRPr="00B20172">
        <w:t xml:space="preserve"> in 2010</w:t>
      </w:r>
      <w:bookmarkStart w:id="15" w:name="_Ref371715345"/>
      <w:r w:rsidR="003A48C0" w:rsidRPr="00B20172">
        <w:rPr>
          <w:rStyle w:val="EndnoteReference"/>
        </w:rPr>
        <w:endnoteReference w:id="11"/>
      </w:r>
      <w:bookmarkEnd w:id="15"/>
      <w:r w:rsidR="00D62C38" w:rsidRPr="00B20172">
        <w:t xml:space="preserve">. </w:t>
      </w:r>
      <w:r w:rsidRPr="00B20172">
        <w:t>Nevertheless, TB continues to pose ongoing challenges, reflecting the ongoing global problem.  These challenges include an increasing incidence of multi-drug-resistant TB (MDR-TB), the development of extensively drug-resistant TB (XDR-TB), the human immunodeficiency virus (HIV) pandemic, and immigration to Australia, particularly from countries with high rates of TB</w:t>
      </w:r>
      <w:r w:rsidR="0019513F" w:rsidRPr="00B20172">
        <w:t>.</w:t>
      </w:r>
      <w:r w:rsidRPr="00B20172">
        <w:t xml:space="preserve"> Australia faces a particular threat through the porous nature of our borders between the Torres Strait and Papua New Guinea (PNG).</w:t>
      </w:r>
    </w:p>
    <w:p w:rsidR="00F521A8" w:rsidRPr="00B20172" w:rsidRDefault="00F521A8" w:rsidP="00F521A8">
      <w:r w:rsidRPr="00B20172">
        <w:t>In Australia 2 to 3% of cases are resistant to at least isoniazid and rifampicin (defined as MDR-TB)</w:t>
      </w:r>
      <w:r w:rsidR="001325DB" w:rsidRPr="00B20172">
        <w:fldChar w:fldCharType="begin"/>
      </w:r>
      <w:r w:rsidRPr="00B20172">
        <w:instrText xml:space="preserve"> NOTEREF _Ref371715345 \f \h </w:instrText>
      </w:r>
      <w:r w:rsidR="00B20172">
        <w:instrText xml:space="preserve"> \* MERGEFORMAT </w:instrText>
      </w:r>
      <w:r w:rsidR="001325DB" w:rsidRPr="00B20172">
        <w:fldChar w:fldCharType="separate"/>
      </w:r>
      <w:r w:rsidR="006233C0" w:rsidRPr="00B20172">
        <w:rPr>
          <w:rStyle w:val="EndnoteReference"/>
        </w:rPr>
        <w:t>11</w:t>
      </w:r>
      <w:r w:rsidR="001325DB" w:rsidRPr="00B20172">
        <w:fldChar w:fldCharType="end"/>
      </w:r>
      <w:r w:rsidRPr="00B20172">
        <w:t xml:space="preserve">. Extensively drug-resistant TB (XDR-TB) </w:t>
      </w:r>
      <w:r w:rsidR="001C3815" w:rsidRPr="00B20172">
        <w:t xml:space="preserve">refers to </w:t>
      </w:r>
      <w:r w:rsidRPr="00B20172">
        <w:t>MDR-TB with resistance also to any fluoroquinolone and any of the second-line anti-TB injectable drugs, amikacin, kanamycin or capreomycin. Although XDR-TB is uncommon in Australia, approximately 25,000 XDR-TB cases are estimated to emerge globally every year and are associated with high mortality</w:t>
      </w:r>
      <w:r w:rsidRPr="00B20172">
        <w:rPr>
          <w:rStyle w:val="EndnoteReference"/>
        </w:rPr>
        <w:endnoteReference w:id="12"/>
      </w:r>
      <w:r w:rsidRPr="00B20172">
        <w:t>. Compared to the treatment of drug-sensitive disease, the treatment of MDR-TB and XDR-TB takes considerably longer (up to 2 years or more to complete), requires multiple drugs that are less potent and more toxic, and outcomes are poorer.</w:t>
      </w:r>
    </w:p>
    <w:p w:rsidR="00482F81" w:rsidRPr="00B20172" w:rsidRDefault="00482F81" w:rsidP="00870FFA">
      <w:r w:rsidRPr="00B20172">
        <w:t>Two sets of data on TB are collected in Australia, the Australian Mycobacterium Reference Laboratory (AMRLN) Network compile data on cases of bacteriologically-confirmed tuberculosis whereas the National Notifiable Diseases Su</w:t>
      </w:r>
      <w:r w:rsidR="00F521A8" w:rsidRPr="00B20172">
        <w:t xml:space="preserve">rveillance system (NNDSS) also </w:t>
      </w:r>
      <w:r w:rsidRPr="00B20172">
        <w:t xml:space="preserve">includes cases that have been identified on the basis of clinical and epidemiological information, or on non-bacteriological laboratory </w:t>
      </w:r>
      <w:r w:rsidR="00635C08" w:rsidRPr="00B20172">
        <w:t>investigations</w:t>
      </w:r>
      <w:r w:rsidRPr="00B20172">
        <w:t xml:space="preserve">. </w:t>
      </w:r>
      <w:r w:rsidR="002D0DBD" w:rsidRPr="00B20172">
        <w:t>In 2010, t</w:t>
      </w:r>
      <w:r w:rsidR="00635C08" w:rsidRPr="00B20172">
        <w:t xml:space="preserve">he AMRLN reports 1051 bacteriologically confirmed cases </w:t>
      </w:r>
      <w:r w:rsidR="002D0DBD" w:rsidRPr="00B20172">
        <w:t xml:space="preserve">(4.7 cases per 100,000) </w:t>
      </w:r>
      <w:r w:rsidR="00635C08" w:rsidRPr="00B20172">
        <w:t>versus the 1,327</w:t>
      </w:r>
      <w:r w:rsidR="002D0DBD" w:rsidRPr="00B20172">
        <w:t xml:space="preserve"> (5.9 rate per 100,000)</w:t>
      </w:r>
      <w:r w:rsidR="00635C08" w:rsidRPr="00B20172">
        <w:t xml:space="preserve"> </w:t>
      </w:r>
      <w:r w:rsidR="002D0DBD" w:rsidRPr="00B20172">
        <w:t>notified</w:t>
      </w:r>
      <w:r w:rsidR="00635C08" w:rsidRPr="00B20172">
        <w:t xml:space="preserve"> </w:t>
      </w:r>
      <w:r w:rsidR="002D0DBD" w:rsidRPr="00B20172">
        <w:t>c</w:t>
      </w:r>
      <w:r w:rsidR="00635C08" w:rsidRPr="00B20172">
        <w:t>ommunicable disease as reported by the NNDSS</w:t>
      </w:r>
      <w:r w:rsidR="00635C08" w:rsidRPr="00B20172">
        <w:rPr>
          <w:rStyle w:val="EndnoteReference"/>
        </w:rPr>
        <w:endnoteReference w:id="13"/>
      </w:r>
      <w:r w:rsidR="00635C08" w:rsidRPr="00B20172">
        <w:t xml:space="preserve">. </w:t>
      </w:r>
    </w:p>
    <w:p w:rsidR="003C10EB" w:rsidRPr="00B20172" w:rsidRDefault="003C10EB" w:rsidP="00870FFA">
      <w:r w:rsidRPr="00B20172">
        <w:t>The World Health Organisation (WHO), 2013 report on tuberc</w:t>
      </w:r>
      <w:r w:rsidR="00C837BB" w:rsidRPr="00B20172">
        <w:t>ulosis, reports Australian</w:t>
      </w:r>
      <w:r w:rsidR="002D6686" w:rsidRPr="00B20172">
        <w:t xml:space="preserve"> TB data in much greater detail, Table 4.</w:t>
      </w:r>
    </w:p>
    <w:p w:rsidR="003C10EB" w:rsidRPr="00B20172" w:rsidRDefault="00C837BB" w:rsidP="00C837BB">
      <w:pPr>
        <w:pStyle w:val="Caption"/>
      </w:pPr>
      <w:r w:rsidRPr="00B20172">
        <w:lastRenderedPageBreak/>
        <w:t>Table 4</w:t>
      </w:r>
      <w:r w:rsidR="003C10EB" w:rsidRPr="00B20172">
        <w:t xml:space="preserve">: Case notifications, </w:t>
      </w:r>
      <w:r w:rsidRPr="00B20172">
        <w:t>incidence, and case detection rates all forms, 1990-</w:t>
      </w:r>
      <w:r w:rsidR="003C10EB" w:rsidRPr="00B20172">
        <w:t>2012 Australia</w:t>
      </w:r>
    </w:p>
    <w:tbl>
      <w:tblPr>
        <w:tblStyle w:val="TableGrid"/>
        <w:tblW w:w="9152" w:type="dxa"/>
        <w:tblBorders>
          <w:insideH w:val="single" w:sz="4" w:space="0" w:color="auto"/>
        </w:tblBorders>
        <w:tblLook w:val="04A0" w:firstRow="1" w:lastRow="0" w:firstColumn="1" w:lastColumn="0" w:noHBand="0" w:noVBand="1"/>
        <w:tblCaption w:val="Case notifications, incidence, and case detection rates all forms, 1990-2012 Australia"/>
      </w:tblPr>
      <w:tblGrid>
        <w:gridCol w:w="1127"/>
        <w:gridCol w:w="1403"/>
        <w:gridCol w:w="946"/>
        <w:gridCol w:w="946"/>
        <w:gridCol w:w="946"/>
        <w:gridCol w:w="946"/>
        <w:gridCol w:w="946"/>
        <w:gridCol w:w="946"/>
        <w:gridCol w:w="946"/>
      </w:tblGrid>
      <w:tr w:rsidR="00F37D7F" w:rsidRPr="00B20172" w:rsidTr="00A5648F">
        <w:trPr>
          <w:cantSplit/>
          <w:tblHeader/>
        </w:trPr>
        <w:tc>
          <w:tcPr>
            <w:tcW w:w="1127" w:type="dxa"/>
            <w:tcBorders>
              <w:bottom w:val="single" w:sz="4" w:space="0" w:color="auto"/>
            </w:tcBorders>
          </w:tcPr>
          <w:p w:rsidR="00F37D7F" w:rsidRPr="00B20172" w:rsidRDefault="00F37D7F" w:rsidP="00302B59">
            <w:pPr>
              <w:spacing w:before="0" w:after="0" w:line="240" w:lineRule="auto"/>
              <w:rPr>
                <w:rFonts w:ascii="Arial" w:hAnsi="Arial" w:cs="Arial"/>
                <w:b/>
                <w:sz w:val="18"/>
                <w:szCs w:val="18"/>
              </w:rPr>
            </w:pPr>
            <w:r w:rsidRPr="00B20172">
              <w:rPr>
                <w:rFonts w:ascii="Arial" w:hAnsi="Arial" w:cs="Arial"/>
                <w:b/>
                <w:sz w:val="18"/>
                <w:szCs w:val="18"/>
              </w:rPr>
              <w:t>Year</w:t>
            </w:r>
          </w:p>
        </w:tc>
        <w:tc>
          <w:tcPr>
            <w:tcW w:w="1403" w:type="dxa"/>
            <w:tcBorders>
              <w:bottom w:val="single" w:sz="4" w:space="0" w:color="auto"/>
            </w:tcBorders>
          </w:tcPr>
          <w:p w:rsidR="00F37D7F" w:rsidRPr="00B20172" w:rsidRDefault="00F37D7F" w:rsidP="00377AC1">
            <w:pPr>
              <w:spacing w:before="0" w:after="0" w:line="240" w:lineRule="auto"/>
              <w:jc w:val="left"/>
              <w:rPr>
                <w:rFonts w:ascii="Arial" w:hAnsi="Arial" w:cs="Arial"/>
                <w:b/>
                <w:sz w:val="18"/>
                <w:szCs w:val="18"/>
              </w:rPr>
            </w:pPr>
          </w:p>
        </w:tc>
        <w:tc>
          <w:tcPr>
            <w:tcW w:w="946" w:type="dxa"/>
            <w:tcBorders>
              <w:bottom w:val="single" w:sz="4" w:space="0" w:color="auto"/>
            </w:tcBorders>
          </w:tcPr>
          <w:p w:rsidR="00F37D7F" w:rsidRPr="00B20172" w:rsidRDefault="00F37D7F" w:rsidP="004800E3">
            <w:pPr>
              <w:spacing w:before="0" w:after="0" w:line="240" w:lineRule="auto"/>
              <w:jc w:val="center"/>
              <w:rPr>
                <w:rFonts w:ascii="Arial" w:hAnsi="Arial" w:cs="Arial"/>
                <w:b/>
                <w:sz w:val="18"/>
                <w:szCs w:val="18"/>
              </w:rPr>
            </w:pPr>
            <w:r w:rsidRPr="00B20172">
              <w:rPr>
                <w:rFonts w:ascii="Arial" w:hAnsi="Arial" w:cs="Arial"/>
                <w:b/>
                <w:sz w:val="18"/>
                <w:szCs w:val="18"/>
              </w:rPr>
              <w:t>1990</w:t>
            </w:r>
          </w:p>
        </w:tc>
        <w:tc>
          <w:tcPr>
            <w:tcW w:w="946" w:type="dxa"/>
            <w:tcBorders>
              <w:bottom w:val="single" w:sz="4" w:space="0" w:color="auto"/>
            </w:tcBorders>
          </w:tcPr>
          <w:p w:rsidR="00F37D7F" w:rsidRPr="00B20172" w:rsidRDefault="00F37D7F" w:rsidP="004800E3">
            <w:pPr>
              <w:spacing w:before="0" w:after="0" w:line="240" w:lineRule="auto"/>
              <w:jc w:val="center"/>
              <w:rPr>
                <w:rFonts w:ascii="Arial" w:hAnsi="Arial" w:cs="Arial"/>
                <w:b/>
                <w:sz w:val="18"/>
                <w:szCs w:val="18"/>
              </w:rPr>
            </w:pPr>
            <w:r w:rsidRPr="00B20172">
              <w:rPr>
                <w:rFonts w:ascii="Arial" w:hAnsi="Arial" w:cs="Arial"/>
                <w:b/>
                <w:sz w:val="18"/>
                <w:szCs w:val="18"/>
              </w:rPr>
              <w:t>1995</w:t>
            </w:r>
          </w:p>
        </w:tc>
        <w:tc>
          <w:tcPr>
            <w:tcW w:w="946" w:type="dxa"/>
            <w:tcBorders>
              <w:bottom w:val="single" w:sz="4" w:space="0" w:color="auto"/>
            </w:tcBorders>
          </w:tcPr>
          <w:p w:rsidR="00F37D7F" w:rsidRPr="00B20172" w:rsidRDefault="00F37D7F" w:rsidP="004800E3">
            <w:pPr>
              <w:spacing w:before="0" w:after="0" w:line="240" w:lineRule="auto"/>
              <w:jc w:val="center"/>
              <w:rPr>
                <w:rFonts w:ascii="Arial" w:hAnsi="Arial" w:cs="Arial"/>
                <w:b/>
                <w:sz w:val="18"/>
                <w:szCs w:val="18"/>
              </w:rPr>
            </w:pPr>
            <w:r w:rsidRPr="00B20172">
              <w:rPr>
                <w:rFonts w:ascii="Arial" w:hAnsi="Arial" w:cs="Arial"/>
                <w:b/>
                <w:sz w:val="18"/>
                <w:szCs w:val="18"/>
              </w:rPr>
              <w:t>2000</w:t>
            </w:r>
          </w:p>
        </w:tc>
        <w:tc>
          <w:tcPr>
            <w:tcW w:w="946" w:type="dxa"/>
            <w:tcBorders>
              <w:bottom w:val="single" w:sz="4" w:space="0" w:color="auto"/>
            </w:tcBorders>
          </w:tcPr>
          <w:p w:rsidR="00F37D7F" w:rsidRPr="00B20172" w:rsidRDefault="00F37D7F" w:rsidP="004800E3">
            <w:pPr>
              <w:spacing w:before="0" w:after="0" w:line="240" w:lineRule="auto"/>
              <w:jc w:val="center"/>
              <w:rPr>
                <w:rFonts w:ascii="Arial" w:hAnsi="Arial" w:cs="Arial"/>
                <w:b/>
                <w:sz w:val="18"/>
                <w:szCs w:val="18"/>
              </w:rPr>
            </w:pPr>
            <w:r w:rsidRPr="00B20172">
              <w:rPr>
                <w:rFonts w:ascii="Arial" w:hAnsi="Arial" w:cs="Arial"/>
                <w:b/>
                <w:sz w:val="18"/>
                <w:szCs w:val="18"/>
              </w:rPr>
              <w:t>2005</w:t>
            </w:r>
          </w:p>
        </w:tc>
        <w:tc>
          <w:tcPr>
            <w:tcW w:w="946" w:type="dxa"/>
            <w:tcBorders>
              <w:bottom w:val="single" w:sz="4" w:space="0" w:color="auto"/>
            </w:tcBorders>
          </w:tcPr>
          <w:p w:rsidR="00F37D7F" w:rsidRPr="00B20172" w:rsidRDefault="00F37D7F" w:rsidP="004800E3">
            <w:pPr>
              <w:spacing w:before="0" w:after="0" w:line="240" w:lineRule="auto"/>
              <w:jc w:val="center"/>
              <w:rPr>
                <w:rFonts w:ascii="Arial" w:hAnsi="Arial" w:cs="Arial"/>
                <w:b/>
                <w:sz w:val="18"/>
                <w:szCs w:val="18"/>
              </w:rPr>
            </w:pPr>
            <w:r w:rsidRPr="00B20172">
              <w:rPr>
                <w:rFonts w:ascii="Arial" w:hAnsi="Arial" w:cs="Arial"/>
                <w:b/>
                <w:sz w:val="18"/>
                <w:szCs w:val="18"/>
              </w:rPr>
              <w:t>2010</w:t>
            </w:r>
          </w:p>
        </w:tc>
        <w:tc>
          <w:tcPr>
            <w:tcW w:w="946" w:type="dxa"/>
            <w:tcBorders>
              <w:bottom w:val="single" w:sz="4" w:space="0" w:color="auto"/>
            </w:tcBorders>
          </w:tcPr>
          <w:p w:rsidR="00F37D7F" w:rsidRPr="00B20172" w:rsidRDefault="00F37D7F" w:rsidP="004800E3">
            <w:pPr>
              <w:spacing w:before="0" w:after="0" w:line="240" w:lineRule="auto"/>
              <w:jc w:val="center"/>
              <w:rPr>
                <w:rFonts w:ascii="Arial" w:hAnsi="Arial" w:cs="Arial"/>
                <w:b/>
                <w:sz w:val="18"/>
                <w:szCs w:val="18"/>
              </w:rPr>
            </w:pPr>
            <w:r w:rsidRPr="00B20172">
              <w:rPr>
                <w:rFonts w:ascii="Arial" w:hAnsi="Arial" w:cs="Arial"/>
                <w:b/>
                <w:sz w:val="18"/>
                <w:szCs w:val="18"/>
              </w:rPr>
              <w:t>2011</w:t>
            </w:r>
          </w:p>
        </w:tc>
        <w:tc>
          <w:tcPr>
            <w:tcW w:w="946" w:type="dxa"/>
            <w:tcBorders>
              <w:bottom w:val="single" w:sz="4" w:space="0" w:color="auto"/>
            </w:tcBorders>
          </w:tcPr>
          <w:p w:rsidR="00F37D7F" w:rsidRPr="00B20172" w:rsidRDefault="00F37D7F" w:rsidP="004800E3">
            <w:pPr>
              <w:spacing w:before="0" w:after="0" w:line="240" w:lineRule="auto"/>
              <w:jc w:val="center"/>
              <w:rPr>
                <w:rFonts w:ascii="Arial" w:hAnsi="Arial" w:cs="Arial"/>
                <w:b/>
                <w:sz w:val="18"/>
                <w:szCs w:val="18"/>
              </w:rPr>
            </w:pPr>
            <w:r w:rsidRPr="00B20172">
              <w:rPr>
                <w:rFonts w:ascii="Arial" w:hAnsi="Arial" w:cs="Arial"/>
                <w:b/>
                <w:sz w:val="18"/>
                <w:szCs w:val="18"/>
              </w:rPr>
              <w:t>2012</w:t>
            </w:r>
          </w:p>
        </w:tc>
      </w:tr>
      <w:tr w:rsidR="00302B59" w:rsidRPr="00B20172" w:rsidTr="002D6686">
        <w:tc>
          <w:tcPr>
            <w:tcW w:w="1127" w:type="dxa"/>
            <w:vMerge w:val="restart"/>
            <w:tcBorders>
              <w:right w:val="single" w:sz="18" w:space="0" w:color="auto"/>
            </w:tcBorders>
            <w:textDirection w:val="btLr"/>
            <w:vAlign w:val="center"/>
          </w:tcPr>
          <w:p w:rsidR="00302B59" w:rsidRPr="00B20172" w:rsidRDefault="00302B59" w:rsidP="00302B59">
            <w:pPr>
              <w:spacing w:before="0" w:after="0" w:line="240" w:lineRule="auto"/>
              <w:ind w:left="113" w:right="113"/>
              <w:jc w:val="center"/>
              <w:rPr>
                <w:rFonts w:ascii="Arial" w:hAnsi="Arial" w:cs="Arial"/>
                <w:b/>
                <w:sz w:val="18"/>
                <w:szCs w:val="18"/>
              </w:rPr>
            </w:pPr>
            <w:r w:rsidRPr="00B20172">
              <w:rPr>
                <w:rFonts w:ascii="Arial" w:hAnsi="Arial" w:cs="Arial"/>
                <w:b/>
                <w:sz w:val="18"/>
                <w:szCs w:val="18"/>
              </w:rPr>
              <w:t>New cases</w:t>
            </w:r>
          </w:p>
        </w:tc>
        <w:tc>
          <w:tcPr>
            <w:tcW w:w="1403" w:type="dxa"/>
            <w:tcBorders>
              <w:left w:val="single" w:sz="18" w:space="0" w:color="auto"/>
              <w:bottom w:val="nil"/>
            </w:tcBorders>
          </w:tcPr>
          <w:p w:rsidR="00302B59" w:rsidRPr="00B20172" w:rsidRDefault="00302B59" w:rsidP="00377AC1">
            <w:pPr>
              <w:spacing w:before="0" w:after="0" w:line="240" w:lineRule="auto"/>
              <w:jc w:val="left"/>
              <w:rPr>
                <w:rFonts w:ascii="Arial" w:hAnsi="Arial" w:cs="Arial"/>
                <w:sz w:val="18"/>
                <w:szCs w:val="18"/>
              </w:rPr>
            </w:pPr>
            <w:r w:rsidRPr="00B20172">
              <w:rPr>
                <w:rFonts w:ascii="Arial" w:hAnsi="Arial" w:cs="Arial"/>
                <w:sz w:val="18"/>
                <w:szCs w:val="18"/>
              </w:rPr>
              <w:t>New and relapse</w:t>
            </w:r>
          </w:p>
        </w:tc>
        <w:tc>
          <w:tcPr>
            <w:tcW w:w="946" w:type="dxa"/>
            <w:tcBorders>
              <w:bottom w:val="nil"/>
            </w:tcBorders>
          </w:tcPr>
          <w:p w:rsidR="00302B59" w:rsidRPr="00B20172" w:rsidRDefault="00302B59" w:rsidP="004800E3">
            <w:pPr>
              <w:spacing w:before="0" w:after="0" w:line="240" w:lineRule="auto"/>
              <w:jc w:val="center"/>
              <w:rPr>
                <w:rFonts w:ascii="Arial" w:hAnsi="Arial" w:cs="Arial"/>
                <w:sz w:val="18"/>
                <w:szCs w:val="18"/>
              </w:rPr>
            </w:pPr>
            <w:r w:rsidRPr="00B20172">
              <w:rPr>
                <w:rFonts w:ascii="Arial" w:hAnsi="Arial" w:cs="Arial"/>
                <w:sz w:val="18"/>
                <w:szCs w:val="18"/>
              </w:rPr>
              <w:t>1016</w:t>
            </w:r>
          </w:p>
        </w:tc>
        <w:tc>
          <w:tcPr>
            <w:tcW w:w="946" w:type="dxa"/>
            <w:tcBorders>
              <w:bottom w:val="nil"/>
            </w:tcBorders>
          </w:tcPr>
          <w:p w:rsidR="00302B59" w:rsidRPr="00B20172" w:rsidRDefault="00302B59" w:rsidP="004800E3">
            <w:pPr>
              <w:spacing w:before="0" w:after="0" w:line="240" w:lineRule="auto"/>
              <w:jc w:val="center"/>
              <w:rPr>
                <w:rFonts w:ascii="Arial" w:hAnsi="Arial" w:cs="Arial"/>
                <w:sz w:val="18"/>
                <w:szCs w:val="18"/>
              </w:rPr>
            </w:pPr>
            <w:r w:rsidRPr="00B20172">
              <w:rPr>
                <w:rFonts w:ascii="Arial" w:hAnsi="Arial" w:cs="Arial"/>
                <w:sz w:val="18"/>
                <w:szCs w:val="18"/>
              </w:rPr>
              <w:t>1073</w:t>
            </w:r>
          </w:p>
        </w:tc>
        <w:tc>
          <w:tcPr>
            <w:tcW w:w="946" w:type="dxa"/>
            <w:tcBorders>
              <w:bottom w:val="nil"/>
            </w:tcBorders>
          </w:tcPr>
          <w:p w:rsidR="00302B59" w:rsidRPr="00B20172" w:rsidRDefault="00302B59" w:rsidP="004800E3">
            <w:pPr>
              <w:spacing w:before="0" w:after="0" w:line="240" w:lineRule="auto"/>
              <w:jc w:val="center"/>
              <w:rPr>
                <w:rFonts w:ascii="Arial" w:hAnsi="Arial" w:cs="Arial"/>
                <w:sz w:val="18"/>
                <w:szCs w:val="18"/>
              </w:rPr>
            </w:pPr>
            <w:r w:rsidRPr="00B20172">
              <w:rPr>
                <w:rFonts w:ascii="Arial" w:hAnsi="Arial" w:cs="Arial"/>
                <w:sz w:val="18"/>
                <w:szCs w:val="18"/>
              </w:rPr>
              <w:t>1043</w:t>
            </w:r>
          </w:p>
        </w:tc>
        <w:tc>
          <w:tcPr>
            <w:tcW w:w="946" w:type="dxa"/>
            <w:tcBorders>
              <w:bottom w:val="nil"/>
            </w:tcBorders>
          </w:tcPr>
          <w:p w:rsidR="00302B59" w:rsidRPr="00B20172" w:rsidRDefault="00302B59" w:rsidP="004800E3">
            <w:pPr>
              <w:spacing w:before="0" w:after="0" w:line="240" w:lineRule="auto"/>
              <w:jc w:val="center"/>
              <w:rPr>
                <w:rFonts w:ascii="Arial" w:hAnsi="Arial" w:cs="Arial"/>
                <w:sz w:val="18"/>
                <w:szCs w:val="18"/>
              </w:rPr>
            </w:pPr>
            <w:r w:rsidRPr="00B20172">
              <w:rPr>
                <w:rFonts w:ascii="Arial" w:hAnsi="Arial" w:cs="Arial"/>
                <w:sz w:val="18"/>
                <w:szCs w:val="18"/>
              </w:rPr>
              <w:t>1046</w:t>
            </w:r>
          </w:p>
        </w:tc>
        <w:tc>
          <w:tcPr>
            <w:tcW w:w="946" w:type="dxa"/>
            <w:tcBorders>
              <w:bottom w:val="nil"/>
            </w:tcBorders>
          </w:tcPr>
          <w:p w:rsidR="00302B59" w:rsidRPr="00B20172" w:rsidRDefault="00302B59" w:rsidP="004800E3">
            <w:pPr>
              <w:spacing w:before="0" w:after="0" w:line="240" w:lineRule="auto"/>
              <w:jc w:val="center"/>
              <w:rPr>
                <w:rFonts w:ascii="Arial" w:hAnsi="Arial" w:cs="Arial"/>
                <w:sz w:val="18"/>
                <w:szCs w:val="18"/>
              </w:rPr>
            </w:pPr>
            <w:r w:rsidRPr="00B20172">
              <w:rPr>
                <w:rFonts w:ascii="Arial" w:hAnsi="Arial" w:cs="Arial"/>
                <w:sz w:val="18"/>
                <w:szCs w:val="18"/>
              </w:rPr>
              <w:t>1257</w:t>
            </w:r>
          </w:p>
        </w:tc>
        <w:tc>
          <w:tcPr>
            <w:tcW w:w="946" w:type="dxa"/>
            <w:tcBorders>
              <w:bottom w:val="nil"/>
            </w:tcBorders>
          </w:tcPr>
          <w:p w:rsidR="00302B59" w:rsidRPr="00B20172" w:rsidRDefault="00302B59" w:rsidP="004800E3">
            <w:pPr>
              <w:spacing w:before="0" w:after="0" w:line="240" w:lineRule="auto"/>
              <w:jc w:val="center"/>
              <w:rPr>
                <w:rFonts w:ascii="Arial" w:hAnsi="Arial" w:cs="Arial"/>
                <w:sz w:val="18"/>
                <w:szCs w:val="18"/>
              </w:rPr>
            </w:pPr>
            <w:r w:rsidRPr="00B20172">
              <w:rPr>
                <w:rFonts w:ascii="Arial" w:hAnsi="Arial" w:cs="Arial"/>
                <w:sz w:val="18"/>
                <w:szCs w:val="18"/>
              </w:rPr>
              <w:t>1239</w:t>
            </w:r>
          </w:p>
        </w:tc>
        <w:tc>
          <w:tcPr>
            <w:tcW w:w="946" w:type="dxa"/>
            <w:tcBorders>
              <w:bottom w:val="nil"/>
            </w:tcBorders>
          </w:tcPr>
          <w:p w:rsidR="00302B59" w:rsidRPr="00B20172" w:rsidRDefault="00302B59" w:rsidP="004800E3">
            <w:pPr>
              <w:spacing w:before="0" w:after="0" w:line="240" w:lineRule="auto"/>
              <w:jc w:val="center"/>
              <w:rPr>
                <w:rFonts w:ascii="Arial" w:hAnsi="Arial" w:cs="Arial"/>
                <w:sz w:val="18"/>
                <w:szCs w:val="18"/>
              </w:rPr>
            </w:pPr>
            <w:r w:rsidRPr="00B20172">
              <w:rPr>
                <w:rFonts w:ascii="Arial" w:hAnsi="Arial" w:cs="Arial"/>
                <w:sz w:val="18"/>
                <w:szCs w:val="18"/>
              </w:rPr>
              <w:t>1305</w:t>
            </w:r>
          </w:p>
        </w:tc>
      </w:tr>
      <w:tr w:rsidR="00302B59" w:rsidRPr="00B20172" w:rsidTr="002D6686">
        <w:tc>
          <w:tcPr>
            <w:tcW w:w="1127" w:type="dxa"/>
            <w:vMerge/>
            <w:tcBorders>
              <w:right w:val="single" w:sz="18" w:space="0" w:color="auto"/>
            </w:tcBorders>
          </w:tcPr>
          <w:p w:rsidR="00302B59" w:rsidRPr="00B20172" w:rsidRDefault="00302B59" w:rsidP="00302B59">
            <w:pPr>
              <w:spacing w:before="0" w:after="0" w:line="240" w:lineRule="auto"/>
              <w:rPr>
                <w:rFonts w:ascii="Arial" w:hAnsi="Arial" w:cs="Arial"/>
                <w:sz w:val="18"/>
                <w:szCs w:val="18"/>
              </w:rPr>
            </w:pPr>
          </w:p>
        </w:tc>
        <w:tc>
          <w:tcPr>
            <w:tcW w:w="1403" w:type="dxa"/>
            <w:tcBorders>
              <w:top w:val="nil"/>
              <w:left w:val="single" w:sz="18" w:space="0" w:color="auto"/>
              <w:bottom w:val="nil"/>
            </w:tcBorders>
          </w:tcPr>
          <w:p w:rsidR="00302B59" w:rsidRPr="00B20172" w:rsidRDefault="00302B59" w:rsidP="00377AC1">
            <w:pPr>
              <w:spacing w:before="0" w:after="0" w:line="240" w:lineRule="auto"/>
              <w:jc w:val="left"/>
              <w:rPr>
                <w:rFonts w:ascii="Arial" w:hAnsi="Arial" w:cs="Arial"/>
                <w:sz w:val="18"/>
                <w:szCs w:val="18"/>
              </w:rPr>
            </w:pPr>
            <w:r w:rsidRPr="00B20172">
              <w:rPr>
                <w:rFonts w:ascii="Arial" w:hAnsi="Arial" w:cs="Arial"/>
                <w:sz w:val="18"/>
                <w:szCs w:val="18"/>
              </w:rPr>
              <w:t>Smear +ve</w:t>
            </w:r>
          </w:p>
        </w:tc>
        <w:tc>
          <w:tcPr>
            <w:tcW w:w="946" w:type="dxa"/>
            <w:tcBorders>
              <w:top w:val="nil"/>
              <w:bottom w:val="nil"/>
            </w:tcBorders>
          </w:tcPr>
          <w:p w:rsidR="00302B59" w:rsidRPr="00B20172" w:rsidRDefault="00302B59" w:rsidP="004800E3">
            <w:pPr>
              <w:spacing w:before="0" w:after="0" w:line="240" w:lineRule="auto"/>
              <w:jc w:val="center"/>
              <w:rPr>
                <w:rFonts w:ascii="Arial" w:hAnsi="Arial" w:cs="Arial"/>
                <w:sz w:val="18"/>
                <w:szCs w:val="18"/>
              </w:rPr>
            </w:pPr>
          </w:p>
        </w:tc>
        <w:tc>
          <w:tcPr>
            <w:tcW w:w="946" w:type="dxa"/>
            <w:tcBorders>
              <w:top w:val="nil"/>
              <w:bottom w:val="nil"/>
            </w:tcBorders>
          </w:tcPr>
          <w:p w:rsidR="00302B59" w:rsidRPr="00B20172" w:rsidRDefault="00302B59" w:rsidP="004800E3">
            <w:pPr>
              <w:spacing w:before="0" w:after="0" w:line="240" w:lineRule="auto"/>
              <w:jc w:val="center"/>
              <w:rPr>
                <w:rFonts w:ascii="Arial" w:hAnsi="Arial" w:cs="Arial"/>
                <w:sz w:val="18"/>
                <w:szCs w:val="18"/>
              </w:rPr>
            </w:pPr>
          </w:p>
        </w:tc>
        <w:tc>
          <w:tcPr>
            <w:tcW w:w="946" w:type="dxa"/>
            <w:tcBorders>
              <w:top w:val="nil"/>
              <w:bottom w:val="nil"/>
            </w:tcBorders>
          </w:tcPr>
          <w:p w:rsidR="00302B59" w:rsidRPr="00B20172" w:rsidRDefault="00302B59" w:rsidP="004800E3">
            <w:pPr>
              <w:spacing w:before="0" w:after="0" w:line="240" w:lineRule="auto"/>
              <w:jc w:val="center"/>
              <w:rPr>
                <w:rFonts w:ascii="Arial" w:hAnsi="Arial" w:cs="Arial"/>
                <w:sz w:val="18"/>
                <w:szCs w:val="18"/>
              </w:rPr>
            </w:pPr>
            <w:r w:rsidRPr="00B20172">
              <w:rPr>
                <w:rFonts w:ascii="Arial" w:hAnsi="Arial" w:cs="Arial"/>
                <w:sz w:val="18"/>
                <w:szCs w:val="18"/>
              </w:rPr>
              <w:t>251</w:t>
            </w:r>
          </w:p>
        </w:tc>
        <w:tc>
          <w:tcPr>
            <w:tcW w:w="946" w:type="dxa"/>
            <w:tcBorders>
              <w:top w:val="nil"/>
              <w:bottom w:val="nil"/>
            </w:tcBorders>
          </w:tcPr>
          <w:p w:rsidR="00302B59" w:rsidRPr="00B20172" w:rsidRDefault="00302B59" w:rsidP="004800E3">
            <w:pPr>
              <w:spacing w:before="0" w:after="0" w:line="240" w:lineRule="auto"/>
              <w:jc w:val="center"/>
              <w:rPr>
                <w:rFonts w:ascii="Arial" w:hAnsi="Arial" w:cs="Arial"/>
                <w:sz w:val="18"/>
                <w:szCs w:val="18"/>
              </w:rPr>
            </w:pPr>
            <w:r w:rsidRPr="00B20172">
              <w:rPr>
                <w:rFonts w:ascii="Arial" w:hAnsi="Arial" w:cs="Arial"/>
                <w:sz w:val="18"/>
                <w:szCs w:val="18"/>
              </w:rPr>
              <w:t>241</w:t>
            </w:r>
          </w:p>
        </w:tc>
        <w:tc>
          <w:tcPr>
            <w:tcW w:w="946" w:type="dxa"/>
            <w:tcBorders>
              <w:top w:val="nil"/>
              <w:bottom w:val="nil"/>
            </w:tcBorders>
          </w:tcPr>
          <w:p w:rsidR="00302B59" w:rsidRPr="00B20172" w:rsidRDefault="00302B59" w:rsidP="004800E3">
            <w:pPr>
              <w:spacing w:before="0" w:after="0" w:line="240" w:lineRule="auto"/>
              <w:jc w:val="center"/>
              <w:rPr>
                <w:rFonts w:ascii="Arial" w:hAnsi="Arial" w:cs="Arial"/>
                <w:sz w:val="18"/>
                <w:szCs w:val="18"/>
              </w:rPr>
            </w:pPr>
            <w:r w:rsidRPr="00B20172">
              <w:rPr>
                <w:rFonts w:ascii="Arial" w:hAnsi="Arial" w:cs="Arial"/>
                <w:sz w:val="18"/>
                <w:szCs w:val="18"/>
              </w:rPr>
              <w:t>274</w:t>
            </w:r>
          </w:p>
        </w:tc>
        <w:tc>
          <w:tcPr>
            <w:tcW w:w="946" w:type="dxa"/>
            <w:tcBorders>
              <w:top w:val="nil"/>
              <w:bottom w:val="nil"/>
            </w:tcBorders>
          </w:tcPr>
          <w:p w:rsidR="00302B59" w:rsidRPr="00B20172" w:rsidRDefault="00302B59" w:rsidP="004800E3">
            <w:pPr>
              <w:spacing w:before="0" w:after="0" w:line="240" w:lineRule="auto"/>
              <w:jc w:val="center"/>
              <w:rPr>
                <w:rFonts w:ascii="Arial" w:hAnsi="Arial" w:cs="Arial"/>
                <w:sz w:val="18"/>
                <w:szCs w:val="18"/>
              </w:rPr>
            </w:pPr>
            <w:r w:rsidRPr="00B20172">
              <w:rPr>
                <w:rFonts w:ascii="Arial" w:hAnsi="Arial" w:cs="Arial"/>
                <w:sz w:val="18"/>
                <w:szCs w:val="18"/>
              </w:rPr>
              <w:t>301</w:t>
            </w:r>
          </w:p>
        </w:tc>
        <w:tc>
          <w:tcPr>
            <w:tcW w:w="946" w:type="dxa"/>
            <w:tcBorders>
              <w:top w:val="nil"/>
              <w:bottom w:val="nil"/>
            </w:tcBorders>
          </w:tcPr>
          <w:p w:rsidR="00302B59" w:rsidRPr="00B20172" w:rsidRDefault="00302B59" w:rsidP="004800E3">
            <w:pPr>
              <w:spacing w:before="0" w:after="0" w:line="240" w:lineRule="auto"/>
              <w:jc w:val="center"/>
              <w:rPr>
                <w:rFonts w:ascii="Arial" w:hAnsi="Arial" w:cs="Arial"/>
                <w:sz w:val="18"/>
                <w:szCs w:val="18"/>
              </w:rPr>
            </w:pPr>
            <w:r w:rsidRPr="00B20172">
              <w:rPr>
                <w:rFonts w:ascii="Arial" w:hAnsi="Arial" w:cs="Arial"/>
                <w:sz w:val="18"/>
                <w:szCs w:val="18"/>
              </w:rPr>
              <w:t>290</w:t>
            </w:r>
          </w:p>
        </w:tc>
      </w:tr>
      <w:tr w:rsidR="00302B59" w:rsidRPr="00B20172" w:rsidTr="002D6686">
        <w:tc>
          <w:tcPr>
            <w:tcW w:w="1127" w:type="dxa"/>
            <w:vMerge/>
            <w:tcBorders>
              <w:right w:val="single" w:sz="18" w:space="0" w:color="auto"/>
            </w:tcBorders>
          </w:tcPr>
          <w:p w:rsidR="00302B59" w:rsidRPr="00B20172" w:rsidRDefault="00302B59" w:rsidP="00302B59">
            <w:pPr>
              <w:spacing w:before="0" w:after="0" w:line="240" w:lineRule="auto"/>
              <w:rPr>
                <w:rFonts w:ascii="Arial" w:hAnsi="Arial" w:cs="Arial"/>
                <w:sz w:val="18"/>
                <w:szCs w:val="18"/>
              </w:rPr>
            </w:pPr>
          </w:p>
        </w:tc>
        <w:tc>
          <w:tcPr>
            <w:tcW w:w="1403" w:type="dxa"/>
            <w:tcBorders>
              <w:top w:val="nil"/>
              <w:left w:val="single" w:sz="18" w:space="0" w:color="auto"/>
              <w:bottom w:val="nil"/>
            </w:tcBorders>
          </w:tcPr>
          <w:p w:rsidR="00302B59" w:rsidRPr="00B20172" w:rsidRDefault="00302B59" w:rsidP="00377AC1">
            <w:pPr>
              <w:spacing w:before="0" w:after="0" w:line="240" w:lineRule="auto"/>
              <w:jc w:val="left"/>
              <w:rPr>
                <w:rFonts w:ascii="Arial" w:hAnsi="Arial" w:cs="Arial"/>
                <w:sz w:val="18"/>
                <w:szCs w:val="18"/>
              </w:rPr>
            </w:pPr>
            <w:r w:rsidRPr="00B20172">
              <w:rPr>
                <w:rFonts w:ascii="Arial" w:hAnsi="Arial" w:cs="Arial"/>
                <w:sz w:val="18"/>
                <w:szCs w:val="18"/>
              </w:rPr>
              <w:t>Smear –ve/unknown</w:t>
            </w:r>
          </w:p>
        </w:tc>
        <w:tc>
          <w:tcPr>
            <w:tcW w:w="946" w:type="dxa"/>
            <w:tcBorders>
              <w:top w:val="nil"/>
              <w:bottom w:val="nil"/>
            </w:tcBorders>
          </w:tcPr>
          <w:p w:rsidR="00302B59" w:rsidRPr="00B20172" w:rsidRDefault="00302B59" w:rsidP="004800E3">
            <w:pPr>
              <w:spacing w:before="0" w:after="0" w:line="240" w:lineRule="auto"/>
              <w:jc w:val="center"/>
              <w:rPr>
                <w:rFonts w:ascii="Arial" w:hAnsi="Arial" w:cs="Arial"/>
                <w:sz w:val="18"/>
                <w:szCs w:val="18"/>
              </w:rPr>
            </w:pPr>
          </w:p>
        </w:tc>
        <w:tc>
          <w:tcPr>
            <w:tcW w:w="946" w:type="dxa"/>
            <w:tcBorders>
              <w:top w:val="nil"/>
              <w:bottom w:val="nil"/>
            </w:tcBorders>
          </w:tcPr>
          <w:p w:rsidR="00302B59" w:rsidRPr="00B20172" w:rsidRDefault="00302B59" w:rsidP="004800E3">
            <w:pPr>
              <w:spacing w:before="0" w:after="0" w:line="240" w:lineRule="auto"/>
              <w:jc w:val="center"/>
              <w:rPr>
                <w:rFonts w:ascii="Arial" w:hAnsi="Arial" w:cs="Arial"/>
                <w:sz w:val="18"/>
                <w:szCs w:val="18"/>
              </w:rPr>
            </w:pPr>
          </w:p>
        </w:tc>
        <w:tc>
          <w:tcPr>
            <w:tcW w:w="946" w:type="dxa"/>
            <w:tcBorders>
              <w:top w:val="nil"/>
              <w:bottom w:val="nil"/>
            </w:tcBorders>
          </w:tcPr>
          <w:p w:rsidR="00302B59" w:rsidRPr="00B20172" w:rsidRDefault="00302B59" w:rsidP="004800E3">
            <w:pPr>
              <w:spacing w:before="0" w:after="0" w:line="240" w:lineRule="auto"/>
              <w:jc w:val="center"/>
              <w:rPr>
                <w:rFonts w:ascii="Arial" w:hAnsi="Arial" w:cs="Arial"/>
                <w:sz w:val="18"/>
                <w:szCs w:val="18"/>
              </w:rPr>
            </w:pPr>
            <w:r w:rsidRPr="00B20172">
              <w:rPr>
                <w:rFonts w:ascii="Arial" w:hAnsi="Arial" w:cs="Arial"/>
                <w:sz w:val="18"/>
                <w:szCs w:val="18"/>
              </w:rPr>
              <w:t>362</w:t>
            </w:r>
          </w:p>
        </w:tc>
        <w:tc>
          <w:tcPr>
            <w:tcW w:w="946" w:type="dxa"/>
            <w:tcBorders>
              <w:top w:val="nil"/>
              <w:bottom w:val="nil"/>
            </w:tcBorders>
          </w:tcPr>
          <w:p w:rsidR="00302B59" w:rsidRPr="00B20172" w:rsidRDefault="00302B59" w:rsidP="004800E3">
            <w:pPr>
              <w:spacing w:before="0" w:after="0" w:line="240" w:lineRule="auto"/>
              <w:jc w:val="center"/>
              <w:rPr>
                <w:rFonts w:ascii="Arial" w:hAnsi="Arial" w:cs="Arial"/>
                <w:sz w:val="18"/>
                <w:szCs w:val="18"/>
              </w:rPr>
            </w:pPr>
            <w:r w:rsidRPr="00B20172">
              <w:rPr>
                <w:rFonts w:ascii="Arial" w:hAnsi="Arial" w:cs="Arial"/>
                <w:sz w:val="18"/>
                <w:szCs w:val="18"/>
              </w:rPr>
              <w:t>339</w:t>
            </w:r>
          </w:p>
        </w:tc>
        <w:tc>
          <w:tcPr>
            <w:tcW w:w="946" w:type="dxa"/>
            <w:tcBorders>
              <w:top w:val="nil"/>
              <w:bottom w:val="nil"/>
            </w:tcBorders>
          </w:tcPr>
          <w:p w:rsidR="00302B59" w:rsidRPr="00B20172" w:rsidRDefault="00302B59" w:rsidP="004800E3">
            <w:pPr>
              <w:spacing w:before="0" w:after="0" w:line="240" w:lineRule="auto"/>
              <w:jc w:val="center"/>
              <w:rPr>
                <w:rFonts w:ascii="Arial" w:hAnsi="Arial" w:cs="Arial"/>
                <w:sz w:val="18"/>
                <w:szCs w:val="18"/>
              </w:rPr>
            </w:pPr>
            <w:r w:rsidRPr="00B20172">
              <w:rPr>
                <w:rFonts w:ascii="Arial" w:hAnsi="Arial" w:cs="Arial"/>
                <w:sz w:val="18"/>
                <w:szCs w:val="18"/>
              </w:rPr>
              <w:t>410</w:t>
            </w:r>
          </w:p>
        </w:tc>
        <w:tc>
          <w:tcPr>
            <w:tcW w:w="946" w:type="dxa"/>
            <w:tcBorders>
              <w:top w:val="nil"/>
              <w:bottom w:val="nil"/>
            </w:tcBorders>
          </w:tcPr>
          <w:p w:rsidR="00302B59" w:rsidRPr="00B20172" w:rsidRDefault="00302B59" w:rsidP="004800E3">
            <w:pPr>
              <w:spacing w:before="0" w:after="0" w:line="240" w:lineRule="auto"/>
              <w:jc w:val="center"/>
              <w:rPr>
                <w:rFonts w:ascii="Arial" w:hAnsi="Arial" w:cs="Arial"/>
                <w:sz w:val="18"/>
                <w:szCs w:val="18"/>
              </w:rPr>
            </w:pPr>
            <w:r w:rsidRPr="00B20172">
              <w:rPr>
                <w:rFonts w:ascii="Arial" w:hAnsi="Arial" w:cs="Arial"/>
                <w:sz w:val="18"/>
                <w:szCs w:val="18"/>
              </w:rPr>
              <w:t>436</w:t>
            </w:r>
          </w:p>
        </w:tc>
        <w:tc>
          <w:tcPr>
            <w:tcW w:w="946" w:type="dxa"/>
            <w:tcBorders>
              <w:top w:val="nil"/>
              <w:bottom w:val="nil"/>
            </w:tcBorders>
          </w:tcPr>
          <w:p w:rsidR="00302B59" w:rsidRPr="00B20172" w:rsidRDefault="00302B59" w:rsidP="004800E3">
            <w:pPr>
              <w:spacing w:before="0" w:after="0" w:line="240" w:lineRule="auto"/>
              <w:jc w:val="center"/>
              <w:rPr>
                <w:rFonts w:ascii="Arial" w:hAnsi="Arial" w:cs="Arial"/>
                <w:sz w:val="18"/>
                <w:szCs w:val="18"/>
              </w:rPr>
            </w:pPr>
            <w:r w:rsidRPr="00B20172">
              <w:rPr>
                <w:rFonts w:ascii="Arial" w:hAnsi="Arial" w:cs="Arial"/>
                <w:sz w:val="18"/>
                <w:szCs w:val="18"/>
              </w:rPr>
              <w:t>408</w:t>
            </w:r>
          </w:p>
        </w:tc>
      </w:tr>
      <w:tr w:rsidR="00302B59" w:rsidRPr="00B20172" w:rsidTr="002D6686">
        <w:tc>
          <w:tcPr>
            <w:tcW w:w="1127" w:type="dxa"/>
            <w:vMerge/>
            <w:tcBorders>
              <w:right w:val="single" w:sz="18" w:space="0" w:color="auto"/>
            </w:tcBorders>
          </w:tcPr>
          <w:p w:rsidR="00302B59" w:rsidRPr="00B20172" w:rsidRDefault="00302B59" w:rsidP="00302B59">
            <w:pPr>
              <w:spacing w:before="0" w:after="0" w:line="240" w:lineRule="auto"/>
              <w:rPr>
                <w:rFonts w:ascii="Arial" w:hAnsi="Arial" w:cs="Arial"/>
                <w:sz w:val="18"/>
                <w:szCs w:val="18"/>
              </w:rPr>
            </w:pPr>
          </w:p>
        </w:tc>
        <w:tc>
          <w:tcPr>
            <w:tcW w:w="1403" w:type="dxa"/>
            <w:tcBorders>
              <w:top w:val="nil"/>
              <w:left w:val="single" w:sz="18" w:space="0" w:color="auto"/>
              <w:bottom w:val="nil"/>
            </w:tcBorders>
          </w:tcPr>
          <w:p w:rsidR="00302B59" w:rsidRPr="00B20172" w:rsidRDefault="00302B59" w:rsidP="00377AC1">
            <w:pPr>
              <w:spacing w:before="0" w:after="0" w:line="240" w:lineRule="auto"/>
              <w:jc w:val="left"/>
              <w:rPr>
                <w:rFonts w:ascii="Arial" w:hAnsi="Arial" w:cs="Arial"/>
                <w:sz w:val="18"/>
                <w:szCs w:val="18"/>
              </w:rPr>
            </w:pPr>
            <w:r w:rsidRPr="00B20172">
              <w:rPr>
                <w:rFonts w:ascii="Arial" w:hAnsi="Arial" w:cs="Arial"/>
                <w:sz w:val="18"/>
                <w:szCs w:val="18"/>
              </w:rPr>
              <w:t>Extra-pulmonary</w:t>
            </w:r>
          </w:p>
        </w:tc>
        <w:tc>
          <w:tcPr>
            <w:tcW w:w="946" w:type="dxa"/>
            <w:tcBorders>
              <w:top w:val="nil"/>
              <w:bottom w:val="nil"/>
            </w:tcBorders>
          </w:tcPr>
          <w:p w:rsidR="00302B59" w:rsidRPr="00B20172" w:rsidRDefault="00302B59" w:rsidP="004800E3">
            <w:pPr>
              <w:spacing w:before="0" w:after="0" w:line="240" w:lineRule="auto"/>
              <w:jc w:val="center"/>
              <w:rPr>
                <w:rFonts w:ascii="Arial" w:hAnsi="Arial" w:cs="Arial"/>
                <w:sz w:val="18"/>
                <w:szCs w:val="18"/>
              </w:rPr>
            </w:pPr>
          </w:p>
        </w:tc>
        <w:tc>
          <w:tcPr>
            <w:tcW w:w="946" w:type="dxa"/>
            <w:tcBorders>
              <w:top w:val="nil"/>
              <w:bottom w:val="nil"/>
            </w:tcBorders>
          </w:tcPr>
          <w:p w:rsidR="00302B59" w:rsidRPr="00B20172" w:rsidRDefault="00302B59" w:rsidP="004800E3">
            <w:pPr>
              <w:spacing w:before="0" w:after="0" w:line="240" w:lineRule="auto"/>
              <w:jc w:val="center"/>
              <w:rPr>
                <w:rFonts w:ascii="Arial" w:hAnsi="Arial" w:cs="Arial"/>
                <w:sz w:val="18"/>
                <w:szCs w:val="18"/>
              </w:rPr>
            </w:pPr>
          </w:p>
        </w:tc>
        <w:tc>
          <w:tcPr>
            <w:tcW w:w="946" w:type="dxa"/>
            <w:tcBorders>
              <w:top w:val="nil"/>
              <w:bottom w:val="nil"/>
            </w:tcBorders>
          </w:tcPr>
          <w:p w:rsidR="00302B59" w:rsidRPr="00B20172" w:rsidRDefault="00302B59" w:rsidP="004800E3">
            <w:pPr>
              <w:spacing w:before="0" w:after="0" w:line="240" w:lineRule="auto"/>
              <w:jc w:val="center"/>
              <w:rPr>
                <w:rFonts w:ascii="Arial" w:hAnsi="Arial" w:cs="Arial"/>
                <w:sz w:val="18"/>
                <w:szCs w:val="18"/>
              </w:rPr>
            </w:pPr>
            <w:r w:rsidRPr="00B20172">
              <w:rPr>
                <w:rFonts w:ascii="Arial" w:hAnsi="Arial" w:cs="Arial"/>
                <w:sz w:val="18"/>
                <w:szCs w:val="18"/>
              </w:rPr>
              <w:t>369</w:t>
            </w:r>
          </w:p>
        </w:tc>
        <w:tc>
          <w:tcPr>
            <w:tcW w:w="946" w:type="dxa"/>
            <w:tcBorders>
              <w:top w:val="nil"/>
              <w:bottom w:val="nil"/>
            </w:tcBorders>
          </w:tcPr>
          <w:p w:rsidR="00302B59" w:rsidRPr="00B20172" w:rsidRDefault="00302B59" w:rsidP="004800E3">
            <w:pPr>
              <w:spacing w:before="0" w:after="0" w:line="240" w:lineRule="auto"/>
              <w:jc w:val="center"/>
              <w:rPr>
                <w:rFonts w:ascii="Arial" w:hAnsi="Arial" w:cs="Arial"/>
                <w:sz w:val="18"/>
                <w:szCs w:val="18"/>
              </w:rPr>
            </w:pPr>
            <w:r w:rsidRPr="00B20172">
              <w:rPr>
                <w:rFonts w:ascii="Arial" w:hAnsi="Arial" w:cs="Arial"/>
                <w:sz w:val="18"/>
                <w:szCs w:val="18"/>
              </w:rPr>
              <w:t>450</w:t>
            </w:r>
          </w:p>
        </w:tc>
        <w:tc>
          <w:tcPr>
            <w:tcW w:w="946" w:type="dxa"/>
            <w:tcBorders>
              <w:top w:val="nil"/>
              <w:bottom w:val="nil"/>
            </w:tcBorders>
          </w:tcPr>
          <w:p w:rsidR="00302B59" w:rsidRPr="00B20172" w:rsidRDefault="00302B59" w:rsidP="004800E3">
            <w:pPr>
              <w:spacing w:before="0" w:after="0" w:line="240" w:lineRule="auto"/>
              <w:jc w:val="center"/>
              <w:rPr>
                <w:rFonts w:ascii="Arial" w:hAnsi="Arial" w:cs="Arial"/>
                <w:sz w:val="18"/>
                <w:szCs w:val="18"/>
              </w:rPr>
            </w:pPr>
            <w:r w:rsidRPr="00B20172">
              <w:rPr>
                <w:rFonts w:ascii="Arial" w:hAnsi="Arial" w:cs="Arial"/>
                <w:sz w:val="18"/>
                <w:szCs w:val="18"/>
              </w:rPr>
              <w:t>457</w:t>
            </w:r>
          </w:p>
        </w:tc>
        <w:tc>
          <w:tcPr>
            <w:tcW w:w="946" w:type="dxa"/>
            <w:tcBorders>
              <w:top w:val="nil"/>
              <w:bottom w:val="nil"/>
            </w:tcBorders>
          </w:tcPr>
          <w:p w:rsidR="00302B59" w:rsidRPr="00B20172" w:rsidRDefault="00302B59" w:rsidP="004800E3">
            <w:pPr>
              <w:spacing w:before="0" w:after="0" w:line="240" w:lineRule="auto"/>
              <w:jc w:val="center"/>
              <w:rPr>
                <w:rFonts w:ascii="Arial" w:hAnsi="Arial" w:cs="Arial"/>
                <w:sz w:val="18"/>
                <w:szCs w:val="18"/>
              </w:rPr>
            </w:pPr>
            <w:r w:rsidRPr="00B20172">
              <w:rPr>
                <w:rFonts w:ascii="Arial" w:hAnsi="Arial" w:cs="Arial"/>
                <w:sz w:val="18"/>
                <w:szCs w:val="18"/>
              </w:rPr>
              <w:t>463</w:t>
            </w:r>
          </w:p>
        </w:tc>
        <w:tc>
          <w:tcPr>
            <w:tcW w:w="946" w:type="dxa"/>
            <w:tcBorders>
              <w:top w:val="nil"/>
              <w:bottom w:val="nil"/>
            </w:tcBorders>
          </w:tcPr>
          <w:p w:rsidR="00302B59" w:rsidRPr="00B20172" w:rsidRDefault="00302B59" w:rsidP="004800E3">
            <w:pPr>
              <w:spacing w:before="0" w:after="0" w:line="240" w:lineRule="auto"/>
              <w:jc w:val="center"/>
              <w:rPr>
                <w:rFonts w:ascii="Arial" w:hAnsi="Arial" w:cs="Arial"/>
                <w:sz w:val="18"/>
                <w:szCs w:val="18"/>
              </w:rPr>
            </w:pPr>
            <w:r w:rsidRPr="00B20172">
              <w:rPr>
                <w:rFonts w:ascii="Arial" w:hAnsi="Arial" w:cs="Arial"/>
                <w:sz w:val="18"/>
                <w:szCs w:val="18"/>
              </w:rPr>
              <w:t>498</w:t>
            </w:r>
          </w:p>
        </w:tc>
      </w:tr>
      <w:tr w:rsidR="00302B59" w:rsidRPr="00B20172" w:rsidTr="002D6686">
        <w:tc>
          <w:tcPr>
            <w:tcW w:w="1127" w:type="dxa"/>
            <w:vMerge/>
            <w:tcBorders>
              <w:bottom w:val="nil"/>
              <w:right w:val="single" w:sz="18" w:space="0" w:color="auto"/>
            </w:tcBorders>
          </w:tcPr>
          <w:p w:rsidR="00302B59" w:rsidRPr="00B20172" w:rsidRDefault="00302B59" w:rsidP="00302B59">
            <w:pPr>
              <w:spacing w:before="0" w:after="0" w:line="240" w:lineRule="auto"/>
              <w:rPr>
                <w:rFonts w:ascii="Arial" w:hAnsi="Arial" w:cs="Arial"/>
                <w:sz w:val="18"/>
                <w:szCs w:val="18"/>
              </w:rPr>
            </w:pPr>
          </w:p>
        </w:tc>
        <w:tc>
          <w:tcPr>
            <w:tcW w:w="1403" w:type="dxa"/>
            <w:tcBorders>
              <w:top w:val="nil"/>
              <w:left w:val="single" w:sz="18" w:space="0" w:color="auto"/>
              <w:bottom w:val="single" w:sz="4" w:space="0" w:color="auto"/>
            </w:tcBorders>
          </w:tcPr>
          <w:p w:rsidR="00302B59" w:rsidRPr="00B20172" w:rsidRDefault="00302B59" w:rsidP="00377AC1">
            <w:pPr>
              <w:spacing w:before="0" w:after="0" w:line="240" w:lineRule="auto"/>
              <w:jc w:val="left"/>
              <w:rPr>
                <w:rFonts w:ascii="Arial" w:hAnsi="Arial" w:cs="Arial"/>
                <w:sz w:val="18"/>
                <w:szCs w:val="18"/>
              </w:rPr>
            </w:pPr>
            <w:r w:rsidRPr="00B20172">
              <w:rPr>
                <w:rFonts w:ascii="Arial" w:hAnsi="Arial" w:cs="Arial"/>
                <w:sz w:val="18"/>
                <w:szCs w:val="18"/>
              </w:rPr>
              <w:t>Other</w:t>
            </w:r>
          </w:p>
        </w:tc>
        <w:tc>
          <w:tcPr>
            <w:tcW w:w="946" w:type="dxa"/>
            <w:tcBorders>
              <w:top w:val="nil"/>
              <w:bottom w:val="single" w:sz="4" w:space="0" w:color="auto"/>
            </w:tcBorders>
          </w:tcPr>
          <w:p w:rsidR="00302B59" w:rsidRPr="00B20172" w:rsidRDefault="00302B59" w:rsidP="004800E3">
            <w:pPr>
              <w:spacing w:before="0" w:after="0" w:line="240" w:lineRule="auto"/>
              <w:jc w:val="center"/>
              <w:rPr>
                <w:rFonts w:ascii="Arial" w:hAnsi="Arial" w:cs="Arial"/>
                <w:sz w:val="18"/>
                <w:szCs w:val="18"/>
              </w:rPr>
            </w:pPr>
          </w:p>
        </w:tc>
        <w:tc>
          <w:tcPr>
            <w:tcW w:w="946" w:type="dxa"/>
            <w:tcBorders>
              <w:top w:val="nil"/>
              <w:bottom w:val="single" w:sz="4" w:space="0" w:color="auto"/>
            </w:tcBorders>
          </w:tcPr>
          <w:p w:rsidR="00302B59" w:rsidRPr="00B20172" w:rsidRDefault="00302B59" w:rsidP="004800E3">
            <w:pPr>
              <w:spacing w:before="0" w:after="0" w:line="240" w:lineRule="auto"/>
              <w:jc w:val="center"/>
              <w:rPr>
                <w:rFonts w:ascii="Arial" w:hAnsi="Arial" w:cs="Arial"/>
                <w:sz w:val="18"/>
                <w:szCs w:val="18"/>
              </w:rPr>
            </w:pPr>
          </w:p>
        </w:tc>
        <w:tc>
          <w:tcPr>
            <w:tcW w:w="946" w:type="dxa"/>
            <w:tcBorders>
              <w:top w:val="nil"/>
              <w:bottom w:val="single" w:sz="4" w:space="0" w:color="auto"/>
            </w:tcBorders>
          </w:tcPr>
          <w:p w:rsidR="00302B59" w:rsidRPr="00B20172" w:rsidRDefault="00302B59" w:rsidP="004800E3">
            <w:pPr>
              <w:spacing w:before="0" w:after="0" w:line="240" w:lineRule="auto"/>
              <w:jc w:val="center"/>
              <w:rPr>
                <w:rFonts w:ascii="Arial" w:hAnsi="Arial" w:cs="Arial"/>
                <w:sz w:val="18"/>
                <w:szCs w:val="18"/>
              </w:rPr>
            </w:pPr>
          </w:p>
        </w:tc>
        <w:tc>
          <w:tcPr>
            <w:tcW w:w="946" w:type="dxa"/>
            <w:tcBorders>
              <w:top w:val="nil"/>
              <w:bottom w:val="single" w:sz="4" w:space="0" w:color="auto"/>
            </w:tcBorders>
          </w:tcPr>
          <w:p w:rsidR="00302B59" w:rsidRPr="00B20172" w:rsidRDefault="00302B59" w:rsidP="004800E3">
            <w:pPr>
              <w:spacing w:before="0" w:after="0" w:line="240" w:lineRule="auto"/>
              <w:jc w:val="center"/>
              <w:rPr>
                <w:rFonts w:ascii="Arial" w:hAnsi="Arial" w:cs="Arial"/>
                <w:sz w:val="18"/>
                <w:szCs w:val="18"/>
              </w:rPr>
            </w:pPr>
          </w:p>
        </w:tc>
        <w:tc>
          <w:tcPr>
            <w:tcW w:w="946" w:type="dxa"/>
            <w:tcBorders>
              <w:top w:val="nil"/>
              <w:bottom w:val="single" w:sz="4" w:space="0" w:color="auto"/>
            </w:tcBorders>
          </w:tcPr>
          <w:p w:rsidR="00302B59" w:rsidRPr="00B20172" w:rsidRDefault="00302B59" w:rsidP="004800E3">
            <w:pPr>
              <w:spacing w:before="0" w:after="0" w:line="240" w:lineRule="auto"/>
              <w:jc w:val="center"/>
              <w:rPr>
                <w:rFonts w:ascii="Arial" w:hAnsi="Arial" w:cs="Arial"/>
                <w:sz w:val="18"/>
                <w:szCs w:val="18"/>
              </w:rPr>
            </w:pPr>
            <w:r w:rsidRPr="00B20172">
              <w:rPr>
                <w:rFonts w:ascii="Arial" w:hAnsi="Arial" w:cs="Arial"/>
                <w:sz w:val="18"/>
                <w:szCs w:val="18"/>
              </w:rPr>
              <w:t>5</w:t>
            </w:r>
          </w:p>
        </w:tc>
        <w:tc>
          <w:tcPr>
            <w:tcW w:w="946" w:type="dxa"/>
            <w:tcBorders>
              <w:top w:val="nil"/>
              <w:bottom w:val="single" w:sz="4" w:space="0" w:color="auto"/>
            </w:tcBorders>
          </w:tcPr>
          <w:p w:rsidR="00302B59" w:rsidRPr="00B20172" w:rsidRDefault="00302B59" w:rsidP="004800E3">
            <w:pPr>
              <w:spacing w:before="0" w:after="0" w:line="240" w:lineRule="auto"/>
              <w:jc w:val="center"/>
              <w:rPr>
                <w:rFonts w:ascii="Arial" w:hAnsi="Arial" w:cs="Arial"/>
                <w:sz w:val="18"/>
                <w:szCs w:val="18"/>
              </w:rPr>
            </w:pPr>
            <w:r w:rsidRPr="00B20172">
              <w:rPr>
                <w:rFonts w:ascii="Arial" w:hAnsi="Arial" w:cs="Arial"/>
                <w:sz w:val="18"/>
                <w:szCs w:val="18"/>
              </w:rPr>
              <w:t>2</w:t>
            </w:r>
          </w:p>
        </w:tc>
        <w:tc>
          <w:tcPr>
            <w:tcW w:w="946" w:type="dxa"/>
            <w:tcBorders>
              <w:top w:val="nil"/>
              <w:bottom w:val="single" w:sz="4" w:space="0" w:color="auto"/>
            </w:tcBorders>
          </w:tcPr>
          <w:p w:rsidR="00302B59" w:rsidRPr="00B20172" w:rsidRDefault="00302B59" w:rsidP="004800E3">
            <w:pPr>
              <w:spacing w:before="0" w:after="0" w:line="240" w:lineRule="auto"/>
              <w:jc w:val="center"/>
              <w:rPr>
                <w:rFonts w:ascii="Arial" w:hAnsi="Arial" w:cs="Arial"/>
                <w:sz w:val="18"/>
                <w:szCs w:val="18"/>
              </w:rPr>
            </w:pPr>
            <w:r w:rsidRPr="00B20172">
              <w:rPr>
                <w:rFonts w:ascii="Arial" w:hAnsi="Arial" w:cs="Arial"/>
                <w:sz w:val="18"/>
                <w:szCs w:val="18"/>
              </w:rPr>
              <w:t>63</w:t>
            </w:r>
          </w:p>
        </w:tc>
      </w:tr>
      <w:tr w:rsidR="00F37D7F" w:rsidRPr="00B20172" w:rsidTr="002D6686">
        <w:tc>
          <w:tcPr>
            <w:tcW w:w="1127" w:type="dxa"/>
            <w:tcBorders>
              <w:top w:val="nil"/>
              <w:left w:val="single" w:sz="4" w:space="0" w:color="auto"/>
              <w:bottom w:val="nil"/>
              <w:right w:val="single" w:sz="4" w:space="0" w:color="auto"/>
            </w:tcBorders>
          </w:tcPr>
          <w:p w:rsidR="00F37D7F" w:rsidRPr="00B20172" w:rsidRDefault="00F37D7F" w:rsidP="00302B59">
            <w:pPr>
              <w:spacing w:before="0" w:after="0" w:line="240" w:lineRule="auto"/>
              <w:rPr>
                <w:rFonts w:ascii="Arial" w:hAnsi="Arial" w:cs="Arial"/>
                <w:sz w:val="18"/>
                <w:szCs w:val="18"/>
              </w:rPr>
            </w:pPr>
          </w:p>
        </w:tc>
        <w:tc>
          <w:tcPr>
            <w:tcW w:w="1403" w:type="dxa"/>
            <w:tcBorders>
              <w:left w:val="single" w:sz="4" w:space="0" w:color="auto"/>
              <w:bottom w:val="nil"/>
            </w:tcBorders>
          </w:tcPr>
          <w:p w:rsidR="00F37D7F" w:rsidRPr="00B20172" w:rsidRDefault="00F37D7F" w:rsidP="00377AC1">
            <w:pPr>
              <w:spacing w:before="0" w:after="0" w:line="240" w:lineRule="auto"/>
              <w:jc w:val="left"/>
              <w:rPr>
                <w:rFonts w:ascii="Arial" w:hAnsi="Arial" w:cs="Arial"/>
                <w:sz w:val="18"/>
                <w:szCs w:val="18"/>
              </w:rPr>
            </w:pPr>
            <w:r w:rsidRPr="00B20172">
              <w:rPr>
                <w:rFonts w:ascii="Arial" w:hAnsi="Arial" w:cs="Arial"/>
                <w:sz w:val="18"/>
                <w:szCs w:val="18"/>
              </w:rPr>
              <w:t>relapse</w:t>
            </w:r>
          </w:p>
        </w:tc>
        <w:tc>
          <w:tcPr>
            <w:tcW w:w="946" w:type="dxa"/>
            <w:tcBorders>
              <w:bottom w:val="nil"/>
            </w:tcBorders>
          </w:tcPr>
          <w:p w:rsidR="00F37D7F" w:rsidRPr="00B20172" w:rsidRDefault="00F37D7F" w:rsidP="004800E3">
            <w:pPr>
              <w:spacing w:before="0" w:after="0" w:line="240" w:lineRule="auto"/>
              <w:jc w:val="center"/>
              <w:rPr>
                <w:rFonts w:ascii="Arial" w:hAnsi="Arial" w:cs="Arial"/>
                <w:sz w:val="18"/>
                <w:szCs w:val="18"/>
              </w:rPr>
            </w:pPr>
          </w:p>
        </w:tc>
        <w:tc>
          <w:tcPr>
            <w:tcW w:w="946" w:type="dxa"/>
            <w:tcBorders>
              <w:bottom w:val="nil"/>
            </w:tcBorders>
          </w:tcPr>
          <w:p w:rsidR="00F37D7F" w:rsidRPr="00B20172" w:rsidRDefault="00F37D7F" w:rsidP="004800E3">
            <w:pPr>
              <w:spacing w:before="0" w:after="0" w:line="240" w:lineRule="auto"/>
              <w:jc w:val="center"/>
              <w:rPr>
                <w:rFonts w:ascii="Arial" w:hAnsi="Arial" w:cs="Arial"/>
                <w:sz w:val="18"/>
                <w:szCs w:val="18"/>
              </w:rPr>
            </w:pPr>
          </w:p>
        </w:tc>
        <w:tc>
          <w:tcPr>
            <w:tcW w:w="946" w:type="dxa"/>
            <w:tcBorders>
              <w:bottom w:val="nil"/>
            </w:tcBorders>
          </w:tcPr>
          <w:p w:rsidR="00F37D7F" w:rsidRPr="00B20172" w:rsidRDefault="00F37D7F" w:rsidP="004800E3">
            <w:pPr>
              <w:spacing w:before="0" w:after="0" w:line="240" w:lineRule="auto"/>
              <w:jc w:val="center"/>
              <w:rPr>
                <w:rFonts w:ascii="Arial" w:hAnsi="Arial" w:cs="Arial"/>
                <w:sz w:val="18"/>
                <w:szCs w:val="18"/>
              </w:rPr>
            </w:pPr>
            <w:r w:rsidRPr="00B20172">
              <w:rPr>
                <w:rFonts w:ascii="Arial" w:hAnsi="Arial" w:cs="Arial"/>
                <w:sz w:val="18"/>
                <w:szCs w:val="18"/>
              </w:rPr>
              <w:t>17</w:t>
            </w:r>
          </w:p>
        </w:tc>
        <w:tc>
          <w:tcPr>
            <w:tcW w:w="946" w:type="dxa"/>
            <w:tcBorders>
              <w:bottom w:val="nil"/>
            </w:tcBorders>
          </w:tcPr>
          <w:p w:rsidR="00F37D7F" w:rsidRPr="00B20172" w:rsidRDefault="00F37D7F" w:rsidP="004800E3">
            <w:pPr>
              <w:spacing w:before="0" w:after="0" w:line="240" w:lineRule="auto"/>
              <w:jc w:val="center"/>
              <w:rPr>
                <w:rFonts w:ascii="Arial" w:hAnsi="Arial" w:cs="Arial"/>
                <w:sz w:val="18"/>
                <w:szCs w:val="18"/>
              </w:rPr>
            </w:pPr>
            <w:r w:rsidRPr="00B20172">
              <w:rPr>
                <w:rFonts w:ascii="Arial" w:hAnsi="Arial" w:cs="Arial"/>
                <w:sz w:val="18"/>
                <w:szCs w:val="18"/>
              </w:rPr>
              <w:t>16</w:t>
            </w:r>
          </w:p>
        </w:tc>
        <w:tc>
          <w:tcPr>
            <w:tcW w:w="946" w:type="dxa"/>
            <w:tcBorders>
              <w:bottom w:val="nil"/>
            </w:tcBorders>
          </w:tcPr>
          <w:p w:rsidR="00F37D7F" w:rsidRPr="00B20172" w:rsidRDefault="00F37D7F" w:rsidP="004800E3">
            <w:pPr>
              <w:spacing w:before="0" w:after="0" w:line="240" w:lineRule="auto"/>
              <w:jc w:val="center"/>
              <w:rPr>
                <w:rFonts w:ascii="Arial" w:hAnsi="Arial" w:cs="Arial"/>
                <w:sz w:val="18"/>
                <w:szCs w:val="18"/>
              </w:rPr>
            </w:pPr>
            <w:r w:rsidRPr="00B20172">
              <w:rPr>
                <w:rFonts w:ascii="Arial" w:hAnsi="Arial" w:cs="Arial"/>
                <w:sz w:val="18"/>
                <w:szCs w:val="18"/>
              </w:rPr>
              <w:t>41</w:t>
            </w:r>
          </w:p>
        </w:tc>
        <w:tc>
          <w:tcPr>
            <w:tcW w:w="946" w:type="dxa"/>
            <w:tcBorders>
              <w:bottom w:val="nil"/>
            </w:tcBorders>
          </w:tcPr>
          <w:p w:rsidR="00F37D7F" w:rsidRPr="00B20172" w:rsidRDefault="00F37D7F" w:rsidP="004800E3">
            <w:pPr>
              <w:spacing w:before="0" w:after="0" w:line="240" w:lineRule="auto"/>
              <w:jc w:val="center"/>
              <w:rPr>
                <w:rFonts w:ascii="Arial" w:hAnsi="Arial" w:cs="Arial"/>
                <w:sz w:val="18"/>
                <w:szCs w:val="18"/>
              </w:rPr>
            </w:pPr>
            <w:r w:rsidRPr="00B20172">
              <w:rPr>
                <w:rFonts w:ascii="Arial" w:hAnsi="Arial" w:cs="Arial"/>
                <w:sz w:val="18"/>
                <w:szCs w:val="18"/>
              </w:rPr>
              <w:t>20</w:t>
            </w:r>
          </w:p>
        </w:tc>
        <w:tc>
          <w:tcPr>
            <w:tcW w:w="946" w:type="dxa"/>
            <w:tcBorders>
              <w:bottom w:val="nil"/>
            </w:tcBorders>
          </w:tcPr>
          <w:p w:rsidR="00F37D7F" w:rsidRPr="00B20172" w:rsidRDefault="00F37D7F" w:rsidP="004800E3">
            <w:pPr>
              <w:spacing w:before="0" w:after="0" w:line="240" w:lineRule="auto"/>
              <w:jc w:val="center"/>
              <w:rPr>
                <w:rFonts w:ascii="Arial" w:hAnsi="Arial" w:cs="Arial"/>
                <w:sz w:val="18"/>
                <w:szCs w:val="18"/>
              </w:rPr>
            </w:pPr>
            <w:r w:rsidRPr="00B20172">
              <w:rPr>
                <w:rFonts w:ascii="Arial" w:hAnsi="Arial" w:cs="Arial"/>
                <w:sz w:val="18"/>
                <w:szCs w:val="18"/>
              </w:rPr>
              <w:t>26</w:t>
            </w:r>
          </w:p>
        </w:tc>
      </w:tr>
      <w:tr w:rsidR="00F37D7F" w:rsidRPr="00B20172" w:rsidTr="002D6686">
        <w:tc>
          <w:tcPr>
            <w:tcW w:w="1127" w:type="dxa"/>
            <w:tcBorders>
              <w:top w:val="nil"/>
              <w:left w:val="single" w:sz="4" w:space="0" w:color="auto"/>
              <w:bottom w:val="nil"/>
              <w:right w:val="single" w:sz="4" w:space="0" w:color="auto"/>
            </w:tcBorders>
          </w:tcPr>
          <w:p w:rsidR="00F37D7F" w:rsidRPr="00B20172" w:rsidRDefault="00F37D7F" w:rsidP="00302B59">
            <w:pPr>
              <w:spacing w:before="0" w:after="0" w:line="240" w:lineRule="auto"/>
              <w:rPr>
                <w:rFonts w:ascii="Arial" w:hAnsi="Arial" w:cs="Arial"/>
                <w:sz w:val="18"/>
                <w:szCs w:val="18"/>
              </w:rPr>
            </w:pPr>
          </w:p>
        </w:tc>
        <w:tc>
          <w:tcPr>
            <w:tcW w:w="1403" w:type="dxa"/>
            <w:tcBorders>
              <w:top w:val="nil"/>
              <w:left w:val="single" w:sz="4" w:space="0" w:color="auto"/>
              <w:bottom w:val="nil"/>
            </w:tcBorders>
          </w:tcPr>
          <w:p w:rsidR="004800E3" w:rsidRPr="00B20172" w:rsidRDefault="00F37D7F" w:rsidP="00377AC1">
            <w:pPr>
              <w:spacing w:before="0" w:after="0" w:line="240" w:lineRule="auto"/>
              <w:jc w:val="left"/>
              <w:rPr>
                <w:rFonts w:ascii="Arial" w:hAnsi="Arial" w:cs="Arial"/>
                <w:sz w:val="18"/>
                <w:szCs w:val="18"/>
              </w:rPr>
            </w:pPr>
            <w:r w:rsidRPr="00B20172">
              <w:rPr>
                <w:rFonts w:ascii="Arial" w:hAnsi="Arial" w:cs="Arial"/>
                <w:sz w:val="18"/>
                <w:szCs w:val="18"/>
              </w:rPr>
              <w:t xml:space="preserve">Re-treat </w:t>
            </w:r>
          </w:p>
          <w:p w:rsidR="00F37D7F" w:rsidRPr="00B20172" w:rsidRDefault="00F37D7F" w:rsidP="00377AC1">
            <w:pPr>
              <w:spacing w:before="0" w:after="0" w:line="240" w:lineRule="auto"/>
              <w:jc w:val="left"/>
              <w:rPr>
                <w:rFonts w:ascii="Arial" w:hAnsi="Arial" w:cs="Arial"/>
                <w:sz w:val="18"/>
                <w:szCs w:val="18"/>
              </w:rPr>
            </w:pPr>
            <w:r w:rsidRPr="00B20172">
              <w:rPr>
                <w:rFonts w:ascii="Arial" w:hAnsi="Arial" w:cs="Arial"/>
                <w:sz w:val="18"/>
                <w:szCs w:val="18"/>
              </w:rPr>
              <w:t>Excl relapse</w:t>
            </w:r>
          </w:p>
        </w:tc>
        <w:tc>
          <w:tcPr>
            <w:tcW w:w="946" w:type="dxa"/>
            <w:tcBorders>
              <w:top w:val="nil"/>
              <w:bottom w:val="nil"/>
            </w:tcBorders>
          </w:tcPr>
          <w:p w:rsidR="00F37D7F" w:rsidRPr="00B20172" w:rsidRDefault="00F37D7F" w:rsidP="004800E3">
            <w:pPr>
              <w:spacing w:before="0" w:after="0" w:line="240" w:lineRule="auto"/>
              <w:jc w:val="center"/>
              <w:rPr>
                <w:rFonts w:ascii="Arial" w:hAnsi="Arial" w:cs="Arial"/>
                <w:sz w:val="18"/>
                <w:szCs w:val="18"/>
              </w:rPr>
            </w:pPr>
          </w:p>
        </w:tc>
        <w:tc>
          <w:tcPr>
            <w:tcW w:w="946" w:type="dxa"/>
            <w:tcBorders>
              <w:top w:val="nil"/>
              <w:bottom w:val="nil"/>
            </w:tcBorders>
          </w:tcPr>
          <w:p w:rsidR="00F37D7F" w:rsidRPr="00B20172" w:rsidRDefault="00F37D7F" w:rsidP="004800E3">
            <w:pPr>
              <w:spacing w:before="0" w:after="0" w:line="240" w:lineRule="auto"/>
              <w:jc w:val="center"/>
              <w:rPr>
                <w:rFonts w:ascii="Arial" w:hAnsi="Arial" w:cs="Arial"/>
                <w:sz w:val="18"/>
                <w:szCs w:val="18"/>
              </w:rPr>
            </w:pPr>
          </w:p>
        </w:tc>
        <w:tc>
          <w:tcPr>
            <w:tcW w:w="946" w:type="dxa"/>
            <w:tcBorders>
              <w:top w:val="nil"/>
              <w:bottom w:val="nil"/>
            </w:tcBorders>
          </w:tcPr>
          <w:p w:rsidR="00F37D7F" w:rsidRPr="00B20172" w:rsidRDefault="00F37D7F" w:rsidP="004800E3">
            <w:pPr>
              <w:spacing w:before="0" w:after="0" w:line="240" w:lineRule="auto"/>
              <w:jc w:val="center"/>
              <w:rPr>
                <w:rFonts w:ascii="Arial" w:hAnsi="Arial" w:cs="Arial"/>
                <w:sz w:val="18"/>
                <w:szCs w:val="18"/>
              </w:rPr>
            </w:pPr>
          </w:p>
        </w:tc>
        <w:tc>
          <w:tcPr>
            <w:tcW w:w="946" w:type="dxa"/>
            <w:tcBorders>
              <w:top w:val="nil"/>
              <w:bottom w:val="nil"/>
            </w:tcBorders>
          </w:tcPr>
          <w:p w:rsidR="00F37D7F" w:rsidRPr="00B20172" w:rsidRDefault="00F37D7F" w:rsidP="004800E3">
            <w:pPr>
              <w:spacing w:before="0" w:after="0" w:line="240" w:lineRule="auto"/>
              <w:jc w:val="center"/>
              <w:rPr>
                <w:rFonts w:ascii="Arial" w:hAnsi="Arial" w:cs="Arial"/>
                <w:sz w:val="18"/>
                <w:szCs w:val="18"/>
              </w:rPr>
            </w:pPr>
            <w:r w:rsidRPr="00B20172">
              <w:rPr>
                <w:rFonts w:ascii="Arial" w:hAnsi="Arial" w:cs="Arial"/>
                <w:sz w:val="18"/>
                <w:szCs w:val="18"/>
              </w:rPr>
              <w:t>27</w:t>
            </w:r>
          </w:p>
        </w:tc>
        <w:tc>
          <w:tcPr>
            <w:tcW w:w="946" w:type="dxa"/>
            <w:tcBorders>
              <w:top w:val="nil"/>
              <w:bottom w:val="nil"/>
            </w:tcBorders>
          </w:tcPr>
          <w:p w:rsidR="00F37D7F" w:rsidRPr="00B20172" w:rsidRDefault="00F37D7F" w:rsidP="004800E3">
            <w:pPr>
              <w:spacing w:before="0" w:after="0" w:line="240" w:lineRule="auto"/>
              <w:jc w:val="center"/>
              <w:rPr>
                <w:rFonts w:ascii="Arial" w:hAnsi="Arial" w:cs="Arial"/>
                <w:sz w:val="18"/>
                <w:szCs w:val="18"/>
              </w:rPr>
            </w:pPr>
            <w:r w:rsidRPr="00B20172">
              <w:rPr>
                <w:rFonts w:ascii="Arial" w:hAnsi="Arial" w:cs="Arial"/>
                <w:sz w:val="18"/>
                <w:szCs w:val="18"/>
              </w:rPr>
              <w:t>24</w:t>
            </w:r>
          </w:p>
        </w:tc>
        <w:tc>
          <w:tcPr>
            <w:tcW w:w="946" w:type="dxa"/>
            <w:tcBorders>
              <w:top w:val="nil"/>
              <w:bottom w:val="nil"/>
            </w:tcBorders>
          </w:tcPr>
          <w:p w:rsidR="00F37D7F" w:rsidRPr="00B20172" w:rsidRDefault="00F37D7F" w:rsidP="004800E3">
            <w:pPr>
              <w:spacing w:before="0" w:after="0" w:line="240" w:lineRule="auto"/>
              <w:jc w:val="center"/>
              <w:rPr>
                <w:rFonts w:ascii="Arial" w:hAnsi="Arial" w:cs="Arial"/>
                <w:sz w:val="18"/>
                <w:szCs w:val="18"/>
              </w:rPr>
            </w:pPr>
            <w:r w:rsidRPr="00B20172">
              <w:rPr>
                <w:rFonts w:ascii="Arial" w:hAnsi="Arial" w:cs="Arial"/>
                <w:sz w:val="18"/>
                <w:szCs w:val="18"/>
              </w:rPr>
              <w:t>29</w:t>
            </w:r>
          </w:p>
        </w:tc>
        <w:tc>
          <w:tcPr>
            <w:tcW w:w="946" w:type="dxa"/>
            <w:tcBorders>
              <w:top w:val="nil"/>
              <w:bottom w:val="nil"/>
            </w:tcBorders>
          </w:tcPr>
          <w:p w:rsidR="00F37D7F" w:rsidRPr="00B20172" w:rsidRDefault="00F37D7F" w:rsidP="004800E3">
            <w:pPr>
              <w:spacing w:before="0" w:after="0" w:line="240" w:lineRule="auto"/>
              <w:jc w:val="center"/>
              <w:rPr>
                <w:rFonts w:ascii="Arial" w:hAnsi="Arial" w:cs="Arial"/>
                <w:sz w:val="18"/>
                <w:szCs w:val="18"/>
              </w:rPr>
            </w:pPr>
            <w:r w:rsidRPr="00B20172">
              <w:rPr>
                <w:rFonts w:ascii="Arial" w:hAnsi="Arial" w:cs="Arial"/>
                <w:sz w:val="18"/>
                <w:szCs w:val="18"/>
              </w:rPr>
              <w:t>20</w:t>
            </w:r>
          </w:p>
        </w:tc>
      </w:tr>
      <w:tr w:rsidR="00F37D7F" w:rsidRPr="00B20172" w:rsidTr="002D6686">
        <w:tc>
          <w:tcPr>
            <w:tcW w:w="1127" w:type="dxa"/>
            <w:tcBorders>
              <w:top w:val="nil"/>
              <w:left w:val="single" w:sz="4" w:space="0" w:color="auto"/>
              <w:bottom w:val="nil"/>
              <w:right w:val="single" w:sz="4" w:space="0" w:color="auto"/>
            </w:tcBorders>
          </w:tcPr>
          <w:p w:rsidR="00F37D7F" w:rsidRPr="00B20172" w:rsidRDefault="00F37D7F" w:rsidP="00302B59">
            <w:pPr>
              <w:spacing w:before="0" w:after="0" w:line="240" w:lineRule="auto"/>
              <w:rPr>
                <w:rFonts w:ascii="Arial" w:hAnsi="Arial" w:cs="Arial"/>
                <w:sz w:val="18"/>
                <w:szCs w:val="18"/>
              </w:rPr>
            </w:pPr>
          </w:p>
        </w:tc>
        <w:tc>
          <w:tcPr>
            <w:tcW w:w="1403" w:type="dxa"/>
            <w:tcBorders>
              <w:top w:val="nil"/>
              <w:left w:val="single" w:sz="4" w:space="0" w:color="auto"/>
              <w:bottom w:val="nil"/>
            </w:tcBorders>
          </w:tcPr>
          <w:p w:rsidR="00F37D7F" w:rsidRPr="00B20172" w:rsidRDefault="00F37D7F" w:rsidP="00377AC1">
            <w:pPr>
              <w:spacing w:before="0" w:after="0" w:line="240" w:lineRule="auto"/>
              <w:jc w:val="left"/>
              <w:rPr>
                <w:rFonts w:ascii="Arial" w:hAnsi="Arial" w:cs="Arial"/>
                <w:sz w:val="18"/>
                <w:szCs w:val="18"/>
              </w:rPr>
            </w:pPr>
            <w:r w:rsidRPr="00B20172">
              <w:rPr>
                <w:rFonts w:ascii="Arial" w:hAnsi="Arial" w:cs="Arial"/>
                <w:sz w:val="18"/>
                <w:szCs w:val="18"/>
              </w:rPr>
              <w:t>Total retreat</w:t>
            </w:r>
          </w:p>
        </w:tc>
        <w:tc>
          <w:tcPr>
            <w:tcW w:w="946" w:type="dxa"/>
            <w:tcBorders>
              <w:top w:val="nil"/>
              <w:bottom w:val="nil"/>
            </w:tcBorders>
          </w:tcPr>
          <w:p w:rsidR="00F37D7F" w:rsidRPr="00B20172" w:rsidRDefault="00F37D7F" w:rsidP="004800E3">
            <w:pPr>
              <w:spacing w:before="0" w:after="0" w:line="240" w:lineRule="auto"/>
              <w:jc w:val="center"/>
              <w:rPr>
                <w:rFonts w:ascii="Arial" w:hAnsi="Arial" w:cs="Arial"/>
                <w:sz w:val="18"/>
                <w:szCs w:val="18"/>
              </w:rPr>
            </w:pPr>
          </w:p>
        </w:tc>
        <w:tc>
          <w:tcPr>
            <w:tcW w:w="946" w:type="dxa"/>
            <w:tcBorders>
              <w:top w:val="nil"/>
              <w:bottom w:val="nil"/>
            </w:tcBorders>
          </w:tcPr>
          <w:p w:rsidR="00F37D7F" w:rsidRPr="00B20172" w:rsidRDefault="00F37D7F" w:rsidP="004800E3">
            <w:pPr>
              <w:spacing w:before="0" w:after="0" w:line="240" w:lineRule="auto"/>
              <w:jc w:val="center"/>
              <w:rPr>
                <w:rFonts w:ascii="Arial" w:hAnsi="Arial" w:cs="Arial"/>
                <w:sz w:val="18"/>
                <w:szCs w:val="18"/>
              </w:rPr>
            </w:pPr>
          </w:p>
        </w:tc>
        <w:tc>
          <w:tcPr>
            <w:tcW w:w="946" w:type="dxa"/>
            <w:tcBorders>
              <w:top w:val="nil"/>
              <w:bottom w:val="nil"/>
            </w:tcBorders>
          </w:tcPr>
          <w:p w:rsidR="00F37D7F" w:rsidRPr="00B20172" w:rsidRDefault="00F37D7F" w:rsidP="004800E3">
            <w:pPr>
              <w:spacing w:before="0" w:after="0" w:line="240" w:lineRule="auto"/>
              <w:jc w:val="center"/>
              <w:rPr>
                <w:rFonts w:ascii="Arial" w:hAnsi="Arial" w:cs="Arial"/>
                <w:sz w:val="18"/>
                <w:szCs w:val="18"/>
              </w:rPr>
            </w:pPr>
            <w:r w:rsidRPr="00B20172">
              <w:rPr>
                <w:rFonts w:ascii="Arial" w:hAnsi="Arial" w:cs="Arial"/>
                <w:sz w:val="18"/>
                <w:szCs w:val="18"/>
              </w:rPr>
              <w:t>17</w:t>
            </w:r>
          </w:p>
        </w:tc>
        <w:tc>
          <w:tcPr>
            <w:tcW w:w="946" w:type="dxa"/>
            <w:tcBorders>
              <w:top w:val="nil"/>
              <w:bottom w:val="nil"/>
            </w:tcBorders>
          </w:tcPr>
          <w:p w:rsidR="00F37D7F" w:rsidRPr="00B20172" w:rsidRDefault="00F37D7F" w:rsidP="004800E3">
            <w:pPr>
              <w:spacing w:before="0" w:after="0" w:line="240" w:lineRule="auto"/>
              <w:jc w:val="center"/>
              <w:rPr>
                <w:rFonts w:ascii="Arial" w:hAnsi="Arial" w:cs="Arial"/>
                <w:sz w:val="18"/>
                <w:szCs w:val="18"/>
              </w:rPr>
            </w:pPr>
            <w:r w:rsidRPr="00B20172">
              <w:rPr>
                <w:rFonts w:ascii="Arial" w:hAnsi="Arial" w:cs="Arial"/>
                <w:sz w:val="18"/>
                <w:szCs w:val="18"/>
              </w:rPr>
              <w:t>43</w:t>
            </w:r>
          </w:p>
        </w:tc>
        <w:tc>
          <w:tcPr>
            <w:tcW w:w="946" w:type="dxa"/>
            <w:tcBorders>
              <w:top w:val="nil"/>
              <w:bottom w:val="nil"/>
            </w:tcBorders>
          </w:tcPr>
          <w:p w:rsidR="00F37D7F" w:rsidRPr="00B20172" w:rsidRDefault="00F37D7F" w:rsidP="004800E3">
            <w:pPr>
              <w:spacing w:before="0" w:after="0" w:line="240" w:lineRule="auto"/>
              <w:jc w:val="center"/>
              <w:rPr>
                <w:rFonts w:ascii="Arial" w:hAnsi="Arial" w:cs="Arial"/>
                <w:sz w:val="18"/>
                <w:szCs w:val="18"/>
              </w:rPr>
            </w:pPr>
            <w:r w:rsidRPr="00B20172">
              <w:rPr>
                <w:rFonts w:ascii="Arial" w:hAnsi="Arial" w:cs="Arial"/>
                <w:sz w:val="18"/>
                <w:szCs w:val="18"/>
              </w:rPr>
              <w:t>65</w:t>
            </w:r>
          </w:p>
        </w:tc>
        <w:tc>
          <w:tcPr>
            <w:tcW w:w="946" w:type="dxa"/>
            <w:tcBorders>
              <w:top w:val="nil"/>
              <w:bottom w:val="nil"/>
            </w:tcBorders>
          </w:tcPr>
          <w:p w:rsidR="00F37D7F" w:rsidRPr="00B20172" w:rsidRDefault="00F37D7F" w:rsidP="004800E3">
            <w:pPr>
              <w:spacing w:before="0" w:after="0" w:line="240" w:lineRule="auto"/>
              <w:jc w:val="center"/>
              <w:rPr>
                <w:rFonts w:ascii="Arial" w:hAnsi="Arial" w:cs="Arial"/>
                <w:sz w:val="18"/>
                <w:szCs w:val="18"/>
              </w:rPr>
            </w:pPr>
            <w:r w:rsidRPr="00B20172">
              <w:rPr>
                <w:rFonts w:ascii="Arial" w:hAnsi="Arial" w:cs="Arial"/>
                <w:sz w:val="18"/>
                <w:szCs w:val="18"/>
              </w:rPr>
              <w:t>49</w:t>
            </w:r>
          </w:p>
        </w:tc>
        <w:tc>
          <w:tcPr>
            <w:tcW w:w="946" w:type="dxa"/>
            <w:tcBorders>
              <w:top w:val="nil"/>
              <w:bottom w:val="nil"/>
            </w:tcBorders>
          </w:tcPr>
          <w:p w:rsidR="00F37D7F" w:rsidRPr="00B20172" w:rsidRDefault="00F37D7F" w:rsidP="004800E3">
            <w:pPr>
              <w:spacing w:before="0" w:after="0" w:line="240" w:lineRule="auto"/>
              <w:jc w:val="center"/>
              <w:rPr>
                <w:rFonts w:ascii="Arial" w:hAnsi="Arial" w:cs="Arial"/>
                <w:sz w:val="18"/>
                <w:szCs w:val="18"/>
              </w:rPr>
            </w:pPr>
            <w:r w:rsidRPr="00B20172">
              <w:rPr>
                <w:rFonts w:ascii="Arial" w:hAnsi="Arial" w:cs="Arial"/>
                <w:sz w:val="18"/>
                <w:szCs w:val="18"/>
              </w:rPr>
              <w:t>46</w:t>
            </w:r>
          </w:p>
        </w:tc>
      </w:tr>
      <w:tr w:rsidR="00F37D7F" w:rsidRPr="00B20172" w:rsidTr="002D6686">
        <w:tc>
          <w:tcPr>
            <w:tcW w:w="1127" w:type="dxa"/>
            <w:tcBorders>
              <w:top w:val="nil"/>
              <w:left w:val="single" w:sz="4" w:space="0" w:color="auto"/>
              <w:bottom w:val="nil"/>
              <w:right w:val="single" w:sz="4" w:space="0" w:color="auto"/>
            </w:tcBorders>
          </w:tcPr>
          <w:p w:rsidR="00F37D7F" w:rsidRPr="00B20172" w:rsidRDefault="00F37D7F" w:rsidP="00302B59">
            <w:pPr>
              <w:spacing w:before="0" w:after="0" w:line="240" w:lineRule="auto"/>
              <w:rPr>
                <w:rFonts w:ascii="Arial" w:hAnsi="Arial" w:cs="Arial"/>
                <w:sz w:val="18"/>
                <w:szCs w:val="18"/>
              </w:rPr>
            </w:pPr>
          </w:p>
        </w:tc>
        <w:tc>
          <w:tcPr>
            <w:tcW w:w="1403" w:type="dxa"/>
            <w:tcBorders>
              <w:top w:val="nil"/>
              <w:left w:val="single" w:sz="4" w:space="0" w:color="auto"/>
              <w:bottom w:val="single" w:sz="4" w:space="0" w:color="auto"/>
            </w:tcBorders>
          </w:tcPr>
          <w:p w:rsidR="00F37D7F" w:rsidRPr="00B20172" w:rsidRDefault="00F37D7F" w:rsidP="00377AC1">
            <w:pPr>
              <w:spacing w:before="0" w:after="0" w:line="240" w:lineRule="auto"/>
              <w:jc w:val="left"/>
              <w:rPr>
                <w:rFonts w:ascii="Arial" w:hAnsi="Arial" w:cs="Arial"/>
                <w:sz w:val="18"/>
                <w:szCs w:val="18"/>
              </w:rPr>
            </w:pPr>
            <w:r w:rsidRPr="00B20172">
              <w:rPr>
                <w:rFonts w:ascii="Arial" w:hAnsi="Arial" w:cs="Arial"/>
                <w:sz w:val="18"/>
                <w:szCs w:val="18"/>
              </w:rPr>
              <w:t>History Unknown</w:t>
            </w:r>
          </w:p>
        </w:tc>
        <w:tc>
          <w:tcPr>
            <w:tcW w:w="946" w:type="dxa"/>
            <w:tcBorders>
              <w:top w:val="nil"/>
              <w:bottom w:val="single" w:sz="4" w:space="0" w:color="auto"/>
            </w:tcBorders>
          </w:tcPr>
          <w:p w:rsidR="00F37D7F" w:rsidRPr="00B20172" w:rsidRDefault="00F37D7F" w:rsidP="004800E3">
            <w:pPr>
              <w:spacing w:before="0" w:after="0" w:line="240" w:lineRule="auto"/>
              <w:jc w:val="center"/>
              <w:rPr>
                <w:rFonts w:ascii="Arial" w:hAnsi="Arial" w:cs="Arial"/>
                <w:sz w:val="18"/>
                <w:szCs w:val="18"/>
              </w:rPr>
            </w:pPr>
          </w:p>
        </w:tc>
        <w:tc>
          <w:tcPr>
            <w:tcW w:w="946" w:type="dxa"/>
            <w:tcBorders>
              <w:top w:val="nil"/>
              <w:bottom w:val="single" w:sz="4" w:space="0" w:color="auto"/>
            </w:tcBorders>
          </w:tcPr>
          <w:p w:rsidR="00F37D7F" w:rsidRPr="00B20172" w:rsidRDefault="00F37D7F" w:rsidP="004800E3">
            <w:pPr>
              <w:spacing w:before="0" w:after="0" w:line="240" w:lineRule="auto"/>
              <w:jc w:val="center"/>
              <w:rPr>
                <w:rFonts w:ascii="Arial" w:hAnsi="Arial" w:cs="Arial"/>
                <w:sz w:val="18"/>
                <w:szCs w:val="18"/>
              </w:rPr>
            </w:pPr>
          </w:p>
        </w:tc>
        <w:tc>
          <w:tcPr>
            <w:tcW w:w="946" w:type="dxa"/>
            <w:tcBorders>
              <w:top w:val="nil"/>
              <w:bottom w:val="single" w:sz="4" w:space="0" w:color="auto"/>
            </w:tcBorders>
          </w:tcPr>
          <w:p w:rsidR="00F37D7F" w:rsidRPr="00B20172" w:rsidRDefault="00F37D7F" w:rsidP="004800E3">
            <w:pPr>
              <w:spacing w:before="0" w:after="0" w:line="240" w:lineRule="auto"/>
              <w:jc w:val="center"/>
              <w:rPr>
                <w:rFonts w:ascii="Arial" w:hAnsi="Arial" w:cs="Arial"/>
                <w:sz w:val="18"/>
                <w:szCs w:val="18"/>
              </w:rPr>
            </w:pPr>
          </w:p>
        </w:tc>
        <w:tc>
          <w:tcPr>
            <w:tcW w:w="946" w:type="dxa"/>
            <w:tcBorders>
              <w:top w:val="nil"/>
              <w:bottom w:val="single" w:sz="4" w:space="0" w:color="auto"/>
            </w:tcBorders>
          </w:tcPr>
          <w:p w:rsidR="00F37D7F" w:rsidRPr="00B20172" w:rsidRDefault="00F37D7F" w:rsidP="004800E3">
            <w:pPr>
              <w:spacing w:before="0" w:after="0" w:line="240" w:lineRule="auto"/>
              <w:jc w:val="center"/>
              <w:rPr>
                <w:rFonts w:ascii="Arial" w:hAnsi="Arial" w:cs="Arial"/>
                <w:sz w:val="18"/>
                <w:szCs w:val="18"/>
              </w:rPr>
            </w:pPr>
          </w:p>
        </w:tc>
        <w:tc>
          <w:tcPr>
            <w:tcW w:w="946" w:type="dxa"/>
            <w:tcBorders>
              <w:top w:val="nil"/>
              <w:bottom w:val="single" w:sz="4" w:space="0" w:color="auto"/>
            </w:tcBorders>
          </w:tcPr>
          <w:p w:rsidR="00F37D7F" w:rsidRPr="00B20172" w:rsidRDefault="00F37D7F" w:rsidP="004800E3">
            <w:pPr>
              <w:spacing w:before="0" w:after="0" w:line="240" w:lineRule="auto"/>
              <w:jc w:val="center"/>
              <w:rPr>
                <w:rFonts w:ascii="Arial" w:hAnsi="Arial" w:cs="Arial"/>
                <w:sz w:val="18"/>
                <w:szCs w:val="18"/>
              </w:rPr>
            </w:pPr>
            <w:r w:rsidRPr="00B20172">
              <w:rPr>
                <w:rFonts w:ascii="Arial" w:hAnsi="Arial" w:cs="Arial"/>
                <w:sz w:val="18"/>
                <w:szCs w:val="18"/>
              </w:rPr>
              <w:t>70</w:t>
            </w:r>
          </w:p>
        </w:tc>
        <w:tc>
          <w:tcPr>
            <w:tcW w:w="946" w:type="dxa"/>
            <w:tcBorders>
              <w:top w:val="nil"/>
              <w:bottom w:val="single" w:sz="4" w:space="0" w:color="auto"/>
            </w:tcBorders>
          </w:tcPr>
          <w:p w:rsidR="00F37D7F" w:rsidRPr="00B20172" w:rsidRDefault="00F37D7F" w:rsidP="004800E3">
            <w:pPr>
              <w:spacing w:before="0" w:after="0" w:line="240" w:lineRule="auto"/>
              <w:jc w:val="center"/>
              <w:rPr>
                <w:rFonts w:ascii="Arial" w:hAnsi="Arial" w:cs="Arial"/>
                <w:sz w:val="18"/>
                <w:szCs w:val="18"/>
              </w:rPr>
            </w:pPr>
            <w:r w:rsidRPr="00B20172">
              <w:rPr>
                <w:rFonts w:ascii="Arial" w:hAnsi="Arial" w:cs="Arial"/>
                <w:sz w:val="18"/>
                <w:szCs w:val="18"/>
              </w:rPr>
              <w:t>17</w:t>
            </w:r>
          </w:p>
        </w:tc>
        <w:tc>
          <w:tcPr>
            <w:tcW w:w="946" w:type="dxa"/>
            <w:tcBorders>
              <w:top w:val="nil"/>
              <w:bottom w:val="single" w:sz="4" w:space="0" w:color="auto"/>
            </w:tcBorders>
          </w:tcPr>
          <w:p w:rsidR="00F37D7F" w:rsidRPr="00B20172" w:rsidRDefault="00F37D7F" w:rsidP="004800E3">
            <w:pPr>
              <w:spacing w:before="0" w:after="0" w:line="240" w:lineRule="auto"/>
              <w:jc w:val="center"/>
              <w:rPr>
                <w:rFonts w:ascii="Arial" w:hAnsi="Arial" w:cs="Arial"/>
                <w:sz w:val="18"/>
                <w:szCs w:val="18"/>
              </w:rPr>
            </w:pPr>
            <w:r w:rsidRPr="00B20172">
              <w:rPr>
                <w:rFonts w:ascii="Arial" w:hAnsi="Arial" w:cs="Arial"/>
                <w:sz w:val="18"/>
                <w:szCs w:val="18"/>
              </w:rPr>
              <w:t>20</w:t>
            </w:r>
          </w:p>
        </w:tc>
      </w:tr>
      <w:tr w:rsidR="00F37D7F" w:rsidRPr="00B20172" w:rsidTr="002D6686">
        <w:tc>
          <w:tcPr>
            <w:tcW w:w="1127" w:type="dxa"/>
            <w:tcBorders>
              <w:top w:val="nil"/>
              <w:left w:val="single" w:sz="4" w:space="0" w:color="auto"/>
              <w:bottom w:val="single" w:sz="12" w:space="0" w:color="auto"/>
              <w:right w:val="single" w:sz="4" w:space="0" w:color="auto"/>
            </w:tcBorders>
          </w:tcPr>
          <w:p w:rsidR="00F37D7F" w:rsidRPr="00B20172" w:rsidRDefault="00F37D7F" w:rsidP="00302B59">
            <w:pPr>
              <w:spacing w:before="0" w:after="0" w:line="240" w:lineRule="auto"/>
              <w:rPr>
                <w:rFonts w:ascii="Arial" w:hAnsi="Arial" w:cs="Arial"/>
                <w:sz w:val="18"/>
                <w:szCs w:val="18"/>
              </w:rPr>
            </w:pPr>
          </w:p>
        </w:tc>
        <w:tc>
          <w:tcPr>
            <w:tcW w:w="1403" w:type="dxa"/>
            <w:tcBorders>
              <w:top w:val="single" w:sz="4" w:space="0" w:color="auto"/>
              <w:left w:val="single" w:sz="4" w:space="0" w:color="auto"/>
              <w:bottom w:val="single" w:sz="12" w:space="0" w:color="auto"/>
            </w:tcBorders>
          </w:tcPr>
          <w:p w:rsidR="00F37D7F" w:rsidRPr="00B20172" w:rsidRDefault="00F37D7F" w:rsidP="00377AC1">
            <w:pPr>
              <w:spacing w:before="0" w:after="0" w:line="240" w:lineRule="auto"/>
              <w:jc w:val="left"/>
              <w:rPr>
                <w:rFonts w:ascii="Arial" w:hAnsi="Arial" w:cs="Arial"/>
                <w:sz w:val="18"/>
                <w:szCs w:val="18"/>
              </w:rPr>
            </w:pPr>
            <w:r w:rsidRPr="00B20172">
              <w:rPr>
                <w:rFonts w:ascii="Arial" w:hAnsi="Arial" w:cs="Arial"/>
                <w:sz w:val="18"/>
                <w:szCs w:val="18"/>
              </w:rPr>
              <w:t>% Smear POS among New PULM</w:t>
            </w:r>
          </w:p>
        </w:tc>
        <w:tc>
          <w:tcPr>
            <w:tcW w:w="946" w:type="dxa"/>
            <w:tcBorders>
              <w:top w:val="single" w:sz="4" w:space="0" w:color="auto"/>
              <w:bottom w:val="single" w:sz="12" w:space="0" w:color="auto"/>
            </w:tcBorders>
          </w:tcPr>
          <w:p w:rsidR="00F37D7F" w:rsidRPr="00B20172" w:rsidRDefault="00F37D7F" w:rsidP="004800E3">
            <w:pPr>
              <w:spacing w:before="0" w:after="0" w:line="240" w:lineRule="auto"/>
              <w:jc w:val="center"/>
              <w:rPr>
                <w:rFonts w:ascii="Arial" w:hAnsi="Arial" w:cs="Arial"/>
                <w:sz w:val="18"/>
                <w:szCs w:val="18"/>
              </w:rPr>
            </w:pPr>
          </w:p>
        </w:tc>
        <w:tc>
          <w:tcPr>
            <w:tcW w:w="946" w:type="dxa"/>
            <w:tcBorders>
              <w:top w:val="single" w:sz="4" w:space="0" w:color="auto"/>
              <w:bottom w:val="single" w:sz="12" w:space="0" w:color="auto"/>
            </w:tcBorders>
          </w:tcPr>
          <w:p w:rsidR="00F37D7F" w:rsidRPr="00B20172" w:rsidRDefault="00F37D7F" w:rsidP="004800E3">
            <w:pPr>
              <w:spacing w:before="0" w:after="0" w:line="240" w:lineRule="auto"/>
              <w:jc w:val="center"/>
              <w:rPr>
                <w:rFonts w:ascii="Arial" w:hAnsi="Arial" w:cs="Arial"/>
                <w:sz w:val="18"/>
                <w:szCs w:val="18"/>
              </w:rPr>
            </w:pPr>
          </w:p>
        </w:tc>
        <w:tc>
          <w:tcPr>
            <w:tcW w:w="946" w:type="dxa"/>
            <w:tcBorders>
              <w:top w:val="single" w:sz="4" w:space="0" w:color="auto"/>
              <w:bottom w:val="single" w:sz="12" w:space="0" w:color="auto"/>
            </w:tcBorders>
          </w:tcPr>
          <w:p w:rsidR="00F37D7F" w:rsidRPr="00B20172" w:rsidRDefault="00F37D7F" w:rsidP="004800E3">
            <w:pPr>
              <w:spacing w:before="0" w:after="0" w:line="240" w:lineRule="auto"/>
              <w:jc w:val="center"/>
              <w:rPr>
                <w:rFonts w:ascii="Arial" w:hAnsi="Arial" w:cs="Arial"/>
                <w:sz w:val="18"/>
                <w:szCs w:val="18"/>
              </w:rPr>
            </w:pPr>
            <w:r w:rsidRPr="00B20172">
              <w:rPr>
                <w:rFonts w:ascii="Arial" w:hAnsi="Arial" w:cs="Arial"/>
                <w:sz w:val="18"/>
                <w:szCs w:val="18"/>
              </w:rPr>
              <w:t>41</w:t>
            </w:r>
          </w:p>
        </w:tc>
        <w:tc>
          <w:tcPr>
            <w:tcW w:w="946" w:type="dxa"/>
            <w:tcBorders>
              <w:top w:val="single" w:sz="4" w:space="0" w:color="auto"/>
              <w:bottom w:val="single" w:sz="12" w:space="0" w:color="auto"/>
            </w:tcBorders>
          </w:tcPr>
          <w:p w:rsidR="00F37D7F" w:rsidRPr="00B20172" w:rsidRDefault="00F37D7F" w:rsidP="004800E3">
            <w:pPr>
              <w:spacing w:before="0" w:after="0" w:line="240" w:lineRule="auto"/>
              <w:jc w:val="center"/>
              <w:rPr>
                <w:rFonts w:ascii="Arial" w:hAnsi="Arial" w:cs="Arial"/>
                <w:sz w:val="18"/>
                <w:szCs w:val="18"/>
              </w:rPr>
            </w:pPr>
            <w:r w:rsidRPr="00B20172">
              <w:rPr>
                <w:rFonts w:ascii="Arial" w:hAnsi="Arial" w:cs="Arial"/>
                <w:sz w:val="18"/>
                <w:szCs w:val="18"/>
              </w:rPr>
              <w:t>42</w:t>
            </w:r>
          </w:p>
        </w:tc>
        <w:tc>
          <w:tcPr>
            <w:tcW w:w="946" w:type="dxa"/>
            <w:tcBorders>
              <w:top w:val="single" w:sz="4" w:space="0" w:color="auto"/>
              <w:bottom w:val="single" w:sz="12" w:space="0" w:color="auto"/>
            </w:tcBorders>
          </w:tcPr>
          <w:p w:rsidR="00F37D7F" w:rsidRPr="00B20172" w:rsidRDefault="00F37D7F" w:rsidP="004800E3">
            <w:pPr>
              <w:spacing w:before="0" w:after="0" w:line="240" w:lineRule="auto"/>
              <w:jc w:val="center"/>
              <w:rPr>
                <w:rFonts w:ascii="Arial" w:hAnsi="Arial" w:cs="Arial"/>
                <w:sz w:val="18"/>
                <w:szCs w:val="18"/>
              </w:rPr>
            </w:pPr>
            <w:r w:rsidRPr="00B20172">
              <w:rPr>
                <w:rFonts w:ascii="Arial" w:hAnsi="Arial" w:cs="Arial"/>
                <w:sz w:val="18"/>
                <w:szCs w:val="18"/>
              </w:rPr>
              <w:t>40</w:t>
            </w:r>
          </w:p>
        </w:tc>
        <w:tc>
          <w:tcPr>
            <w:tcW w:w="946" w:type="dxa"/>
            <w:tcBorders>
              <w:top w:val="single" w:sz="4" w:space="0" w:color="auto"/>
              <w:bottom w:val="single" w:sz="12" w:space="0" w:color="auto"/>
            </w:tcBorders>
          </w:tcPr>
          <w:p w:rsidR="00F37D7F" w:rsidRPr="00B20172" w:rsidRDefault="00F37D7F" w:rsidP="004800E3">
            <w:pPr>
              <w:spacing w:before="0" w:after="0" w:line="240" w:lineRule="auto"/>
              <w:jc w:val="center"/>
              <w:rPr>
                <w:rFonts w:ascii="Arial" w:hAnsi="Arial" w:cs="Arial"/>
                <w:sz w:val="18"/>
                <w:szCs w:val="18"/>
              </w:rPr>
            </w:pPr>
            <w:r w:rsidRPr="00B20172">
              <w:rPr>
                <w:rFonts w:ascii="Arial" w:hAnsi="Arial" w:cs="Arial"/>
                <w:sz w:val="18"/>
                <w:szCs w:val="18"/>
              </w:rPr>
              <w:t>41</w:t>
            </w:r>
          </w:p>
        </w:tc>
        <w:tc>
          <w:tcPr>
            <w:tcW w:w="946" w:type="dxa"/>
            <w:tcBorders>
              <w:top w:val="single" w:sz="4" w:space="0" w:color="auto"/>
              <w:bottom w:val="single" w:sz="12" w:space="0" w:color="auto"/>
            </w:tcBorders>
          </w:tcPr>
          <w:p w:rsidR="00F37D7F" w:rsidRPr="00B20172" w:rsidRDefault="00F37D7F" w:rsidP="004800E3">
            <w:pPr>
              <w:spacing w:before="0" w:after="0" w:line="240" w:lineRule="auto"/>
              <w:jc w:val="center"/>
              <w:rPr>
                <w:rFonts w:ascii="Arial" w:hAnsi="Arial" w:cs="Arial"/>
                <w:sz w:val="18"/>
                <w:szCs w:val="18"/>
              </w:rPr>
            </w:pPr>
            <w:r w:rsidRPr="00B20172">
              <w:rPr>
                <w:rFonts w:ascii="Arial" w:hAnsi="Arial" w:cs="Arial"/>
                <w:sz w:val="18"/>
                <w:szCs w:val="18"/>
              </w:rPr>
              <w:t>42</w:t>
            </w:r>
          </w:p>
        </w:tc>
      </w:tr>
      <w:tr w:rsidR="00F37D7F" w:rsidRPr="00B20172" w:rsidTr="002D6686">
        <w:tc>
          <w:tcPr>
            <w:tcW w:w="1127" w:type="dxa"/>
            <w:tcBorders>
              <w:top w:val="single" w:sz="12" w:space="0" w:color="auto"/>
              <w:left w:val="single" w:sz="4" w:space="0" w:color="auto"/>
              <w:bottom w:val="nil"/>
              <w:right w:val="single" w:sz="4" w:space="0" w:color="auto"/>
            </w:tcBorders>
          </w:tcPr>
          <w:p w:rsidR="00F37D7F" w:rsidRPr="00B20172" w:rsidRDefault="00F37D7F" w:rsidP="00302B59">
            <w:pPr>
              <w:spacing w:before="0" w:after="0" w:line="240" w:lineRule="auto"/>
              <w:rPr>
                <w:rFonts w:ascii="Arial" w:hAnsi="Arial" w:cs="Arial"/>
                <w:sz w:val="18"/>
                <w:szCs w:val="18"/>
              </w:rPr>
            </w:pPr>
          </w:p>
        </w:tc>
        <w:tc>
          <w:tcPr>
            <w:tcW w:w="1403" w:type="dxa"/>
            <w:tcBorders>
              <w:top w:val="single" w:sz="12" w:space="0" w:color="auto"/>
              <w:left w:val="single" w:sz="4" w:space="0" w:color="auto"/>
              <w:bottom w:val="single" w:sz="4" w:space="0" w:color="auto"/>
            </w:tcBorders>
          </w:tcPr>
          <w:p w:rsidR="00F37D7F" w:rsidRPr="00B20172" w:rsidRDefault="00F37D7F" w:rsidP="00377AC1">
            <w:pPr>
              <w:spacing w:before="0" w:after="0" w:line="240" w:lineRule="auto"/>
              <w:jc w:val="left"/>
              <w:rPr>
                <w:rFonts w:ascii="Arial" w:hAnsi="Arial" w:cs="Arial"/>
                <w:sz w:val="18"/>
                <w:szCs w:val="18"/>
              </w:rPr>
            </w:pPr>
            <w:r w:rsidRPr="00B20172">
              <w:rPr>
                <w:rFonts w:ascii="Arial" w:hAnsi="Arial" w:cs="Arial"/>
                <w:sz w:val="18"/>
                <w:szCs w:val="18"/>
              </w:rPr>
              <w:t>Population</w:t>
            </w:r>
          </w:p>
          <w:p w:rsidR="00F37D7F" w:rsidRPr="00B20172" w:rsidRDefault="00F37D7F" w:rsidP="00377AC1">
            <w:pPr>
              <w:spacing w:before="0" w:after="0" w:line="240" w:lineRule="auto"/>
              <w:jc w:val="left"/>
              <w:rPr>
                <w:rFonts w:ascii="Arial" w:hAnsi="Arial" w:cs="Arial"/>
                <w:sz w:val="18"/>
                <w:szCs w:val="18"/>
              </w:rPr>
            </w:pPr>
            <w:r w:rsidRPr="00B20172">
              <w:rPr>
                <w:rFonts w:ascii="Arial" w:hAnsi="Arial" w:cs="Arial"/>
                <w:sz w:val="18"/>
                <w:szCs w:val="18"/>
              </w:rPr>
              <w:t>(Millions)</w:t>
            </w:r>
          </w:p>
        </w:tc>
        <w:tc>
          <w:tcPr>
            <w:tcW w:w="946" w:type="dxa"/>
            <w:tcBorders>
              <w:top w:val="single" w:sz="12" w:space="0" w:color="auto"/>
              <w:bottom w:val="single" w:sz="4" w:space="0" w:color="auto"/>
            </w:tcBorders>
          </w:tcPr>
          <w:p w:rsidR="00F37D7F" w:rsidRPr="00B20172" w:rsidRDefault="004800E3" w:rsidP="004800E3">
            <w:pPr>
              <w:spacing w:before="0" w:after="0" w:line="240" w:lineRule="auto"/>
              <w:jc w:val="center"/>
              <w:rPr>
                <w:rFonts w:ascii="Arial" w:hAnsi="Arial" w:cs="Arial"/>
                <w:sz w:val="18"/>
                <w:szCs w:val="18"/>
              </w:rPr>
            </w:pPr>
            <w:r w:rsidRPr="00B20172">
              <w:rPr>
                <w:rFonts w:ascii="Arial" w:hAnsi="Arial" w:cs="Arial"/>
                <w:sz w:val="18"/>
                <w:szCs w:val="18"/>
              </w:rPr>
              <w:t>17</w:t>
            </w:r>
          </w:p>
        </w:tc>
        <w:tc>
          <w:tcPr>
            <w:tcW w:w="946" w:type="dxa"/>
            <w:tcBorders>
              <w:top w:val="single" w:sz="12" w:space="0" w:color="auto"/>
              <w:bottom w:val="single" w:sz="4" w:space="0" w:color="auto"/>
            </w:tcBorders>
          </w:tcPr>
          <w:p w:rsidR="00F37D7F" w:rsidRPr="00B20172" w:rsidRDefault="004800E3" w:rsidP="004800E3">
            <w:pPr>
              <w:spacing w:before="0" w:after="0" w:line="240" w:lineRule="auto"/>
              <w:jc w:val="center"/>
              <w:rPr>
                <w:rFonts w:ascii="Arial" w:hAnsi="Arial" w:cs="Arial"/>
                <w:sz w:val="18"/>
                <w:szCs w:val="18"/>
              </w:rPr>
            </w:pPr>
            <w:r w:rsidRPr="00B20172">
              <w:rPr>
                <w:rFonts w:ascii="Arial" w:hAnsi="Arial" w:cs="Arial"/>
                <w:sz w:val="18"/>
                <w:szCs w:val="18"/>
              </w:rPr>
              <w:t>18</w:t>
            </w:r>
          </w:p>
        </w:tc>
        <w:tc>
          <w:tcPr>
            <w:tcW w:w="946" w:type="dxa"/>
            <w:tcBorders>
              <w:top w:val="single" w:sz="12" w:space="0" w:color="auto"/>
              <w:bottom w:val="single" w:sz="4" w:space="0" w:color="auto"/>
            </w:tcBorders>
          </w:tcPr>
          <w:p w:rsidR="00F37D7F" w:rsidRPr="00B20172" w:rsidRDefault="004800E3" w:rsidP="004800E3">
            <w:pPr>
              <w:spacing w:before="0" w:after="0" w:line="240" w:lineRule="auto"/>
              <w:jc w:val="center"/>
              <w:rPr>
                <w:rFonts w:ascii="Arial" w:hAnsi="Arial" w:cs="Arial"/>
                <w:sz w:val="18"/>
                <w:szCs w:val="18"/>
              </w:rPr>
            </w:pPr>
            <w:r w:rsidRPr="00B20172">
              <w:rPr>
                <w:rFonts w:ascii="Arial" w:hAnsi="Arial" w:cs="Arial"/>
                <w:sz w:val="18"/>
                <w:szCs w:val="18"/>
              </w:rPr>
              <w:t>19</w:t>
            </w:r>
          </w:p>
        </w:tc>
        <w:tc>
          <w:tcPr>
            <w:tcW w:w="946" w:type="dxa"/>
            <w:tcBorders>
              <w:top w:val="single" w:sz="12" w:space="0" w:color="auto"/>
              <w:bottom w:val="single" w:sz="4" w:space="0" w:color="auto"/>
            </w:tcBorders>
          </w:tcPr>
          <w:p w:rsidR="00F37D7F" w:rsidRPr="00B20172" w:rsidRDefault="004800E3" w:rsidP="004800E3">
            <w:pPr>
              <w:spacing w:before="0" w:after="0" w:line="240" w:lineRule="auto"/>
              <w:jc w:val="center"/>
              <w:rPr>
                <w:rFonts w:ascii="Arial" w:hAnsi="Arial" w:cs="Arial"/>
                <w:sz w:val="18"/>
                <w:szCs w:val="18"/>
              </w:rPr>
            </w:pPr>
            <w:r w:rsidRPr="00B20172">
              <w:rPr>
                <w:rFonts w:ascii="Arial" w:hAnsi="Arial" w:cs="Arial"/>
                <w:sz w:val="18"/>
                <w:szCs w:val="18"/>
              </w:rPr>
              <w:t>21</w:t>
            </w:r>
          </w:p>
        </w:tc>
        <w:tc>
          <w:tcPr>
            <w:tcW w:w="946" w:type="dxa"/>
            <w:tcBorders>
              <w:top w:val="single" w:sz="12" w:space="0" w:color="auto"/>
              <w:bottom w:val="single" w:sz="4" w:space="0" w:color="auto"/>
            </w:tcBorders>
          </w:tcPr>
          <w:p w:rsidR="00F37D7F" w:rsidRPr="00B20172" w:rsidRDefault="004800E3" w:rsidP="004800E3">
            <w:pPr>
              <w:spacing w:before="0" w:after="0" w:line="240" w:lineRule="auto"/>
              <w:jc w:val="center"/>
              <w:rPr>
                <w:rFonts w:ascii="Arial" w:hAnsi="Arial" w:cs="Arial"/>
                <w:sz w:val="18"/>
                <w:szCs w:val="18"/>
              </w:rPr>
            </w:pPr>
            <w:r w:rsidRPr="00B20172">
              <w:rPr>
                <w:rFonts w:ascii="Arial" w:hAnsi="Arial" w:cs="Arial"/>
                <w:sz w:val="18"/>
                <w:szCs w:val="18"/>
              </w:rPr>
              <w:t>22</w:t>
            </w:r>
          </w:p>
        </w:tc>
        <w:tc>
          <w:tcPr>
            <w:tcW w:w="946" w:type="dxa"/>
            <w:tcBorders>
              <w:top w:val="single" w:sz="12" w:space="0" w:color="auto"/>
              <w:bottom w:val="single" w:sz="4" w:space="0" w:color="auto"/>
            </w:tcBorders>
          </w:tcPr>
          <w:p w:rsidR="00F37D7F" w:rsidRPr="00B20172" w:rsidRDefault="004800E3" w:rsidP="004800E3">
            <w:pPr>
              <w:spacing w:before="0" w:after="0" w:line="240" w:lineRule="auto"/>
              <w:jc w:val="center"/>
              <w:rPr>
                <w:rFonts w:ascii="Arial" w:hAnsi="Arial" w:cs="Arial"/>
                <w:sz w:val="18"/>
                <w:szCs w:val="18"/>
              </w:rPr>
            </w:pPr>
            <w:r w:rsidRPr="00B20172">
              <w:rPr>
                <w:rFonts w:ascii="Arial" w:hAnsi="Arial" w:cs="Arial"/>
                <w:sz w:val="18"/>
                <w:szCs w:val="18"/>
              </w:rPr>
              <w:t>23</w:t>
            </w:r>
          </w:p>
        </w:tc>
        <w:tc>
          <w:tcPr>
            <w:tcW w:w="946" w:type="dxa"/>
            <w:tcBorders>
              <w:top w:val="single" w:sz="12" w:space="0" w:color="auto"/>
              <w:bottom w:val="single" w:sz="4" w:space="0" w:color="auto"/>
            </w:tcBorders>
          </w:tcPr>
          <w:p w:rsidR="00F37D7F" w:rsidRPr="00B20172" w:rsidRDefault="004800E3" w:rsidP="004800E3">
            <w:pPr>
              <w:spacing w:before="0" w:after="0" w:line="240" w:lineRule="auto"/>
              <w:jc w:val="center"/>
              <w:rPr>
                <w:rFonts w:ascii="Arial" w:hAnsi="Arial" w:cs="Arial"/>
                <w:sz w:val="18"/>
                <w:szCs w:val="18"/>
              </w:rPr>
            </w:pPr>
            <w:r w:rsidRPr="00B20172">
              <w:rPr>
                <w:rFonts w:ascii="Arial" w:hAnsi="Arial" w:cs="Arial"/>
                <w:sz w:val="18"/>
                <w:szCs w:val="18"/>
              </w:rPr>
              <w:t>23</w:t>
            </w:r>
          </w:p>
        </w:tc>
      </w:tr>
      <w:tr w:rsidR="00302B59" w:rsidRPr="00B20172" w:rsidTr="002D6686">
        <w:tc>
          <w:tcPr>
            <w:tcW w:w="1127" w:type="dxa"/>
            <w:vMerge w:val="restart"/>
            <w:tcBorders>
              <w:top w:val="nil"/>
              <w:right w:val="single" w:sz="18" w:space="0" w:color="auto"/>
            </w:tcBorders>
          </w:tcPr>
          <w:p w:rsidR="00302B59" w:rsidRPr="00B20172" w:rsidRDefault="00302B59" w:rsidP="00302B59">
            <w:pPr>
              <w:spacing w:before="0" w:after="0" w:line="240" w:lineRule="auto"/>
              <w:rPr>
                <w:rFonts w:ascii="Arial" w:hAnsi="Arial" w:cs="Arial"/>
                <w:sz w:val="18"/>
                <w:szCs w:val="18"/>
              </w:rPr>
            </w:pPr>
            <w:r w:rsidRPr="00B20172">
              <w:rPr>
                <w:rFonts w:ascii="Arial" w:hAnsi="Arial" w:cs="Arial"/>
                <w:sz w:val="18"/>
                <w:szCs w:val="18"/>
              </w:rPr>
              <w:t>Incidence (including HIV)</w:t>
            </w:r>
          </w:p>
        </w:tc>
        <w:tc>
          <w:tcPr>
            <w:tcW w:w="1403" w:type="dxa"/>
            <w:tcBorders>
              <w:left w:val="single" w:sz="18" w:space="0" w:color="auto"/>
              <w:bottom w:val="nil"/>
            </w:tcBorders>
          </w:tcPr>
          <w:p w:rsidR="00302B59" w:rsidRPr="00B20172" w:rsidRDefault="00302B59" w:rsidP="00377AC1">
            <w:pPr>
              <w:spacing w:before="0" w:after="0" w:line="240" w:lineRule="auto"/>
              <w:jc w:val="left"/>
              <w:rPr>
                <w:rFonts w:ascii="Arial" w:hAnsi="Arial" w:cs="Arial"/>
                <w:sz w:val="18"/>
                <w:szCs w:val="18"/>
              </w:rPr>
            </w:pPr>
            <w:r w:rsidRPr="00B20172">
              <w:rPr>
                <w:rFonts w:ascii="Arial" w:hAnsi="Arial" w:cs="Arial"/>
                <w:sz w:val="18"/>
                <w:szCs w:val="18"/>
              </w:rPr>
              <w:t>Number (thousands)</w:t>
            </w:r>
          </w:p>
        </w:tc>
        <w:tc>
          <w:tcPr>
            <w:tcW w:w="946" w:type="dxa"/>
            <w:tcBorders>
              <w:bottom w:val="nil"/>
            </w:tcBorders>
          </w:tcPr>
          <w:p w:rsidR="00302B59" w:rsidRPr="00B20172" w:rsidRDefault="004800E3" w:rsidP="004800E3">
            <w:pPr>
              <w:spacing w:before="0" w:after="0" w:line="240" w:lineRule="auto"/>
              <w:jc w:val="center"/>
              <w:rPr>
                <w:rFonts w:ascii="Arial" w:hAnsi="Arial" w:cs="Arial"/>
                <w:sz w:val="18"/>
                <w:szCs w:val="18"/>
              </w:rPr>
            </w:pPr>
            <w:r w:rsidRPr="00B20172">
              <w:rPr>
                <w:rFonts w:ascii="Arial" w:hAnsi="Arial" w:cs="Arial"/>
                <w:sz w:val="18"/>
                <w:szCs w:val="18"/>
              </w:rPr>
              <w:t>1.2</w:t>
            </w:r>
          </w:p>
          <w:p w:rsidR="004800E3" w:rsidRPr="00B20172" w:rsidRDefault="004800E3" w:rsidP="004800E3">
            <w:pPr>
              <w:spacing w:before="0" w:after="0" w:line="240" w:lineRule="auto"/>
              <w:jc w:val="center"/>
              <w:rPr>
                <w:rFonts w:ascii="Arial" w:hAnsi="Arial" w:cs="Arial"/>
                <w:sz w:val="18"/>
                <w:szCs w:val="18"/>
              </w:rPr>
            </w:pPr>
            <w:r w:rsidRPr="00B20172">
              <w:rPr>
                <w:rFonts w:ascii="Arial" w:hAnsi="Arial" w:cs="Arial"/>
                <w:sz w:val="18"/>
                <w:szCs w:val="18"/>
              </w:rPr>
              <w:t>(1.0-1.3)</w:t>
            </w:r>
          </w:p>
        </w:tc>
        <w:tc>
          <w:tcPr>
            <w:tcW w:w="946" w:type="dxa"/>
            <w:tcBorders>
              <w:bottom w:val="nil"/>
            </w:tcBorders>
          </w:tcPr>
          <w:p w:rsidR="004800E3" w:rsidRPr="00B20172" w:rsidRDefault="004800E3" w:rsidP="004800E3">
            <w:pPr>
              <w:spacing w:before="0" w:after="0" w:line="240" w:lineRule="auto"/>
              <w:jc w:val="center"/>
              <w:rPr>
                <w:rFonts w:ascii="Arial" w:hAnsi="Arial" w:cs="Arial"/>
                <w:sz w:val="18"/>
                <w:szCs w:val="18"/>
              </w:rPr>
            </w:pPr>
            <w:r w:rsidRPr="00B20172">
              <w:rPr>
                <w:rFonts w:ascii="Arial" w:hAnsi="Arial" w:cs="Arial"/>
                <w:sz w:val="18"/>
                <w:szCs w:val="18"/>
              </w:rPr>
              <w:t>1.2</w:t>
            </w:r>
          </w:p>
          <w:p w:rsidR="00302B59" w:rsidRPr="00B20172" w:rsidRDefault="004800E3" w:rsidP="004800E3">
            <w:pPr>
              <w:spacing w:before="0" w:after="0" w:line="240" w:lineRule="auto"/>
              <w:jc w:val="center"/>
              <w:rPr>
                <w:rFonts w:ascii="Arial" w:hAnsi="Arial" w:cs="Arial"/>
                <w:sz w:val="18"/>
                <w:szCs w:val="18"/>
              </w:rPr>
            </w:pPr>
            <w:r w:rsidRPr="00B20172">
              <w:rPr>
                <w:rFonts w:ascii="Arial" w:hAnsi="Arial" w:cs="Arial"/>
                <w:sz w:val="18"/>
                <w:szCs w:val="18"/>
              </w:rPr>
              <w:t>(1.1-1.4)</w:t>
            </w:r>
          </w:p>
        </w:tc>
        <w:tc>
          <w:tcPr>
            <w:tcW w:w="946" w:type="dxa"/>
            <w:tcBorders>
              <w:bottom w:val="nil"/>
            </w:tcBorders>
          </w:tcPr>
          <w:p w:rsidR="004800E3" w:rsidRPr="00B20172" w:rsidRDefault="004800E3" w:rsidP="004800E3">
            <w:pPr>
              <w:spacing w:before="0" w:after="0" w:line="240" w:lineRule="auto"/>
              <w:jc w:val="center"/>
              <w:rPr>
                <w:rFonts w:ascii="Arial" w:hAnsi="Arial" w:cs="Arial"/>
                <w:sz w:val="18"/>
                <w:szCs w:val="18"/>
              </w:rPr>
            </w:pPr>
            <w:r w:rsidRPr="00B20172">
              <w:rPr>
                <w:rFonts w:ascii="Arial" w:hAnsi="Arial" w:cs="Arial"/>
                <w:sz w:val="18"/>
                <w:szCs w:val="18"/>
              </w:rPr>
              <w:t>1.2</w:t>
            </w:r>
          </w:p>
          <w:p w:rsidR="00302B59" w:rsidRPr="00B20172" w:rsidRDefault="004800E3" w:rsidP="004800E3">
            <w:pPr>
              <w:spacing w:before="0" w:after="0" w:line="240" w:lineRule="auto"/>
              <w:jc w:val="center"/>
              <w:rPr>
                <w:rFonts w:ascii="Arial" w:hAnsi="Arial" w:cs="Arial"/>
                <w:sz w:val="18"/>
                <w:szCs w:val="18"/>
              </w:rPr>
            </w:pPr>
            <w:r w:rsidRPr="00B20172">
              <w:rPr>
                <w:rFonts w:ascii="Arial" w:hAnsi="Arial" w:cs="Arial"/>
                <w:sz w:val="18"/>
                <w:szCs w:val="18"/>
              </w:rPr>
              <w:t>(1.1-1.4)</w:t>
            </w:r>
          </w:p>
        </w:tc>
        <w:tc>
          <w:tcPr>
            <w:tcW w:w="946" w:type="dxa"/>
            <w:tcBorders>
              <w:bottom w:val="nil"/>
            </w:tcBorders>
          </w:tcPr>
          <w:p w:rsidR="004800E3" w:rsidRPr="00B20172" w:rsidRDefault="004800E3" w:rsidP="004800E3">
            <w:pPr>
              <w:spacing w:before="0" w:after="0" w:line="240" w:lineRule="auto"/>
              <w:jc w:val="center"/>
              <w:rPr>
                <w:rFonts w:ascii="Arial" w:hAnsi="Arial" w:cs="Arial"/>
                <w:sz w:val="18"/>
                <w:szCs w:val="18"/>
              </w:rPr>
            </w:pPr>
            <w:r w:rsidRPr="00B20172">
              <w:rPr>
                <w:rFonts w:ascii="Arial" w:hAnsi="Arial" w:cs="Arial"/>
                <w:sz w:val="18"/>
                <w:szCs w:val="18"/>
              </w:rPr>
              <w:t>1.2</w:t>
            </w:r>
          </w:p>
          <w:p w:rsidR="00302B59" w:rsidRPr="00B20172" w:rsidRDefault="004800E3" w:rsidP="004800E3">
            <w:pPr>
              <w:spacing w:before="0" w:after="0" w:line="240" w:lineRule="auto"/>
              <w:jc w:val="center"/>
              <w:rPr>
                <w:rFonts w:ascii="Arial" w:hAnsi="Arial" w:cs="Arial"/>
                <w:sz w:val="18"/>
                <w:szCs w:val="18"/>
              </w:rPr>
            </w:pPr>
            <w:r w:rsidRPr="00B20172">
              <w:rPr>
                <w:rFonts w:ascii="Arial" w:hAnsi="Arial" w:cs="Arial"/>
                <w:sz w:val="18"/>
                <w:szCs w:val="18"/>
              </w:rPr>
              <w:t>(1.1-1.4)</w:t>
            </w:r>
          </w:p>
        </w:tc>
        <w:tc>
          <w:tcPr>
            <w:tcW w:w="946" w:type="dxa"/>
            <w:tcBorders>
              <w:bottom w:val="nil"/>
            </w:tcBorders>
          </w:tcPr>
          <w:p w:rsidR="004800E3" w:rsidRPr="00B20172" w:rsidRDefault="004800E3" w:rsidP="004800E3">
            <w:pPr>
              <w:spacing w:before="0" w:after="0" w:line="240" w:lineRule="auto"/>
              <w:jc w:val="center"/>
              <w:rPr>
                <w:rFonts w:ascii="Arial" w:hAnsi="Arial" w:cs="Arial"/>
                <w:sz w:val="18"/>
                <w:szCs w:val="18"/>
              </w:rPr>
            </w:pPr>
            <w:r w:rsidRPr="00B20172">
              <w:rPr>
                <w:rFonts w:ascii="Arial" w:hAnsi="Arial" w:cs="Arial"/>
                <w:sz w:val="18"/>
                <w:szCs w:val="18"/>
              </w:rPr>
              <w:t>1.4</w:t>
            </w:r>
          </w:p>
          <w:p w:rsidR="00302B59" w:rsidRPr="00B20172" w:rsidRDefault="004800E3" w:rsidP="004800E3">
            <w:pPr>
              <w:spacing w:before="0" w:after="0" w:line="240" w:lineRule="auto"/>
              <w:jc w:val="center"/>
              <w:rPr>
                <w:rFonts w:ascii="Arial" w:hAnsi="Arial" w:cs="Arial"/>
                <w:sz w:val="18"/>
                <w:szCs w:val="18"/>
              </w:rPr>
            </w:pPr>
            <w:r w:rsidRPr="00B20172">
              <w:rPr>
                <w:rFonts w:ascii="Arial" w:hAnsi="Arial" w:cs="Arial"/>
                <w:sz w:val="18"/>
                <w:szCs w:val="18"/>
              </w:rPr>
              <w:t>(1.3-1.6)</w:t>
            </w:r>
          </w:p>
        </w:tc>
        <w:tc>
          <w:tcPr>
            <w:tcW w:w="946" w:type="dxa"/>
            <w:tcBorders>
              <w:bottom w:val="nil"/>
            </w:tcBorders>
          </w:tcPr>
          <w:p w:rsidR="004800E3" w:rsidRPr="00B20172" w:rsidRDefault="004800E3" w:rsidP="004800E3">
            <w:pPr>
              <w:spacing w:before="0" w:after="0" w:line="240" w:lineRule="auto"/>
              <w:jc w:val="center"/>
              <w:rPr>
                <w:rFonts w:ascii="Arial" w:hAnsi="Arial" w:cs="Arial"/>
                <w:sz w:val="18"/>
                <w:szCs w:val="18"/>
              </w:rPr>
            </w:pPr>
            <w:r w:rsidRPr="00B20172">
              <w:rPr>
                <w:rFonts w:ascii="Arial" w:hAnsi="Arial" w:cs="Arial"/>
                <w:sz w:val="18"/>
                <w:szCs w:val="18"/>
              </w:rPr>
              <w:t>1.2</w:t>
            </w:r>
          </w:p>
          <w:p w:rsidR="00302B59" w:rsidRPr="00B20172" w:rsidRDefault="004800E3" w:rsidP="004800E3">
            <w:pPr>
              <w:spacing w:before="0" w:after="0" w:line="240" w:lineRule="auto"/>
              <w:jc w:val="center"/>
              <w:rPr>
                <w:rFonts w:ascii="Arial" w:hAnsi="Arial" w:cs="Arial"/>
                <w:sz w:val="18"/>
                <w:szCs w:val="18"/>
              </w:rPr>
            </w:pPr>
            <w:r w:rsidRPr="00B20172">
              <w:rPr>
                <w:rFonts w:ascii="Arial" w:hAnsi="Arial" w:cs="Arial"/>
                <w:sz w:val="18"/>
                <w:szCs w:val="18"/>
              </w:rPr>
              <w:t>(1.2-1.6)</w:t>
            </w:r>
          </w:p>
        </w:tc>
        <w:tc>
          <w:tcPr>
            <w:tcW w:w="946" w:type="dxa"/>
            <w:tcBorders>
              <w:bottom w:val="nil"/>
            </w:tcBorders>
          </w:tcPr>
          <w:p w:rsidR="004800E3" w:rsidRPr="00B20172" w:rsidRDefault="004800E3" w:rsidP="004800E3">
            <w:pPr>
              <w:spacing w:before="0" w:after="0" w:line="240" w:lineRule="auto"/>
              <w:jc w:val="center"/>
              <w:rPr>
                <w:rFonts w:ascii="Arial" w:hAnsi="Arial" w:cs="Arial"/>
                <w:sz w:val="18"/>
                <w:szCs w:val="18"/>
              </w:rPr>
            </w:pPr>
            <w:r w:rsidRPr="00B20172">
              <w:rPr>
                <w:rFonts w:ascii="Arial" w:hAnsi="Arial" w:cs="Arial"/>
                <w:sz w:val="18"/>
                <w:szCs w:val="18"/>
              </w:rPr>
              <w:t>1.5</w:t>
            </w:r>
          </w:p>
          <w:p w:rsidR="00302B59" w:rsidRPr="00B20172" w:rsidRDefault="004800E3" w:rsidP="004800E3">
            <w:pPr>
              <w:spacing w:before="0" w:after="0" w:line="240" w:lineRule="auto"/>
              <w:jc w:val="center"/>
              <w:rPr>
                <w:rFonts w:ascii="Arial" w:hAnsi="Arial" w:cs="Arial"/>
                <w:sz w:val="18"/>
                <w:szCs w:val="18"/>
              </w:rPr>
            </w:pPr>
            <w:r w:rsidRPr="00B20172">
              <w:rPr>
                <w:rFonts w:ascii="Arial" w:hAnsi="Arial" w:cs="Arial"/>
                <w:sz w:val="18"/>
                <w:szCs w:val="18"/>
              </w:rPr>
              <w:t>(1.3-1.7)</w:t>
            </w:r>
          </w:p>
        </w:tc>
      </w:tr>
      <w:tr w:rsidR="00302B59" w:rsidRPr="00B20172" w:rsidTr="00621D49">
        <w:tc>
          <w:tcPr>
            <w:tcW w:w="1127" w:type="dxa"/>
            <w:vMerge/>
            <w:tcBorders>
              <w:bottom w:val="nil"/>
              <w:right w:val="single" w:sz="18" w:space="0" w:color="auto"/>
            </w:tcBorders>
          </w:tcPr>
          <w:p w:rsidR="00302B59" w:rsidRPr="00B20172" w:rsidRDefault="00302B59" w:rsidP="00302B59">
            <w:pPr>
              <w:spacing w:before="0" w:after="0" w:line="240" w:lineRule="auto"/>
              <w:rPr>
                <w:rFonts w:ascii="Arial" w:hAnsi="Arial" w:cs="Arial"/>
                <w:sz w:val="18"/>
                <w:szCs w:val="18"/>
              </w:rPr>
            </w:pPr>
          </w:p>
        </w:tc>
        <w:tc>
          <w:tcPr>
            <w:tcW w:w="1403" w:type="dxa"/>
            <w:tcBorders>
              <w:top w:val="nil"/>
              <w:left w:val="single" w:sz="18" w:space="0" w:color="auto"/>
              <w:bottom w:val="nil"/>
            </w:tcBorders>
            <w:vAlign w:val="center"/>
          </w:tcPr>
          <w:p w:rsidR="00302B59" w:rsidRPr="00B20172" w:rsidRDefault="00302B59" w:rsidP="00C837BB">
            <w:pPr>
              <w:spacing w:before="0" w:after="0" w:line="240" w:lineRule="auto"/>
              <w:jc w:val="left"/>
              <w:rPr>
                <w:rFonts w:ascii="Arial" w:hAnsi="Arial" w:cs="Arial"/>
                <w:sz w:val="18"/>
                <w:szCs w:val="18"/>
              </w:rPr>
            </w:pPr>
            <w:r w:rsidRPr="00B20172">
              <w:rPr>
                <w:rFonts w:ascii="Arial" w:hAnsi="Arial" w:cs="Arial"/>
                <w:sz w:val="18"/>
                <w:szCs w:val="18"/>
              </w:rPr>
              <w:t>Rate</w:t>
            </w:r>
            <w:r w:rsidR="00C837BB" w:rsidRPr="00B20172">
              <w:rPr>
                <w:rFonts w:ascii="Arial" w:hAnsi="Arial" w:cs="Arial"/>
                <w:sz w:val="18"/>
                <w:szCs w:val="18"/>
                <w:vertAlign w:val="superscript"/>
              </w:rPr>
              <w:t>a</w:t>
            </w:r>
          </w:p>
        </w:tc>
        <w:tc>
          <w:tcPr>
            <w:tcW w:w="946" w:type="dxa"/>
            <w:tcBorders>
              <w:top w:val="nil"/>
              <w:bottom w:val="nil"/>
            </w:tcBorders>
          </w:tcPr>
          <w:p w:rsidR="00302B59" w:rsidRPr="00B20172" w:rsidRDefault="004800E3" w:rsidP="004800E3">
            <w:pPr>
              <w:spacing w:before="0" w:after="0" w:line="240" w:lineRule="auto"/>
              <w:jc w:val="center"/>
              <w:rPr>
                <w:rFonts w:ascii="Arial" w:hAnsi="Arial" w:cs="Arial"/>
                <w:sz w:val="18"/>
                <w:szCs w:val="18"/>
              </w:rPr>
            </w:pPr>
            <w:r w:rsidRPr="00B20172">
              <w:rPr>
                <w:rFonts w:ascii="Arial" w:hAnsi="Arial" w:cs="Arial"/>
                <w:sz w:val="18"/>
                <w:szCs w:val="18"/>
              </w:rPr>
              <w:t xml:space="preserve">6.8 </w:t>
            </w:r>
          </w:p>
          <w:p w:rsidR="004800E3" w:rsidRPr="00B20172" w:rsidRDefault="004800E3" w:rsidP="004800E3">
            <w:pPr>
              <w:spacing w:before="0" w:after="0" w:line="240" w:lineRule="auto"/>
              <w:jc w:val="center"/>
              <w:rPr>
                <w:rFonts w:ascii="Arial" w:hAnsi="Arial" w:cs="Arial"/>
                <w:sz w:val="18"/>
                <w:szCs w:val="18"/>
              </w:rPr>
            </w:pPr>
            <w:r w:rsidRPr="00B20172">
              <w:rPr>
                <w:rFonts w:ascii="Arial" w:hAnsi="Arial" w:cs="Arial"/>
                <w:sz w:val="18"/>
                <w:szCs w:val="18"/>
              </w:rPr>
              <w:t>(6.0-7.7)</w:t>
            </w:r>
          </w:p>
        </w:tc>
        <w:tc>
          <w:tcPr>
            <w:tcW w:w="946" w:type="dxa"/>
            <w:tcBorders>
              <w:top w:val="nil"/>
              <w:bottom w:val="nil"/>
            </w:tcBorders>
          </w:tcPr>
          <w:p w:rsidR="004800E3" w:rsidRPr="00B20172" w:rsidRDefault="004800E3" w:rsidP="004800E3">
            <w:pPr>
              <w:spacing w:before="0" w:after="0" w:line="240" w:lineRule="auto"/>
              <w:jc w:val="center"/>
              <w:rPr>
                <w:rFonts w:ascii="Arial" w:hAnsi="Arial" w:cs="Arial"/>
                <w:sz w:val="18"/>
                <w:szCs w:val="18"/>
              </w:rPr>
            </w:pPr>
            <w:r w:rsidRPr="00B20172">
              <w:rPr>
                <w:rFonts w:ascii="Arial" w:hAnsi="Arial" w:cs="Arial"/>
                <w:sz w:val="18"/>
                <w:szCs w:val="18"/>
              </w:rPr>
              <w:t xml:space="preserve">6.8 </w:t>
            </w:r>
          </w:p>
          <w:p w:rsidR="00302B59" w:rsidRPr="00B20172" w:rsidRDefault="004800E3" w:rsidP="004800E3">
            <w:pPr>
              <w:spacing w:before="0" w:after="0" w:line="240" w:lineRule="auto"/>
              <w:jc w:val="center"/>
              <w:rPr>
                <w:rFonts w:ascii="Arial" w:hAnsi="Arial" w:cs="Arial"/>
                <w:sz w:val="18"/>
                <w:szCs w:val="18"/>
              </w:rPr>
            </w:pPr>
            <w:r w:rsidRPr="00B20172">
              <w:rPr>
                <w:rFonts w:ascii="Arial" w:hAnsi="Arial" w:cs="Arial"/>
                <w:sz w:val="18"/>
                <w:szCs w:val="18"/>
              </w:rPr>
              <w:t>(6.0-7.7)</w:t>
            </w:r>
          </w:p>
        </w:tc>
        <w:tc>
          <w:tcPr>
            <w:tcW w:w="946" w:type="dxa"/>
            <w:tcBorders>
              <w:top w:val="nil"/>
              <w:bottom w:val="nil"/>
            </w:tcBorders>
          </w:tcPr>
          <w:p w:rsidR="004800E3" w:rsidRPr="00B20172" w:rsidRDefault="004800E3" w:rsidP="004800E3">
            <w:pPr>
              <w:spacing w:before="0" w:after="0" w:line="240" w:lineRule="auto"/>
              <w:jc w:val="center"/>
              <w:rPr>
                <w:rFonts w:ascii="Arial" w:hAnsi="Arial" w:cs="Arial"/>
                <w:sz w:val="18"/>
                <w:szCs w:val="18"/>
              </w:rPr>
            </w:pPr>
            <w:r w:rsidRPr="00B20172">
              <w:rPr>
                <w:rFonts w:ascii="Arial" w:hAnsi="Arial" w:cs="Arial"/>
                <w:sz w:val="18"/>
                <w:szCs w:val="18"/>
              </w:rPr>
              <w:t xml:space="preserve">6.2 </w:t>
            </w:r>
          </w:p>
          <w:p w:rsidR="00302B59" w:rsidRPr="00B20172" w:rsidRDefault="004800E3" w:rsidP="004800E3">
            <w:pPr>
              <w:spacing w:before="0" w:after="0" w:line="240" w:lineRule="auto"/>
              <w:jc w:val="center"/>
              <w:rPr>
                <w:rFonts w:ascii="Arial" w:hAnsi="Arial" w:cs="Arial"/>
                <w:sz w:val="18"/>
                <w:szCs w:val="18"/>
              </w:rPr>
            </w:pPr>
            <w:r w:rsidRPr="00B20172">
              <w:rPr>
                <w:rFonts w:ascii="Arial" w:hAnsi="Arial" w:cs="Arial"/>
                <w:sz w:val="18"/>
                <w:szCs w:val="18"/>
              </w:rPr>
              <w:t>(5.5-7.0)</w:t>
            </w:r>
          </w:p>
        </w:tc>
        <w:tc>
          <w:tcPr>
            <w:tcW w:w="946" w:type="dxa"/>
            <w:tcBorders>
              <w:top w:val="nil"/>
              <w:bottom w:val="nil"/>
            </w:tcBorders>
          </w:tcPr>
          <w:p w:rsidR="004800E3" w:rsidRPr="00B20172" w:rsidRDefault="004800E3" w:rsidP="004800E3">
            <w:pPr>
              <w:spacing w:before="0" w:after="0" w:line="240" w:lineRule="auto"/>
              <w:jc w:val="center"/>
              <w:rPr>
                <w:rFonts w:ascii="Arial" w:hAnsi="Arial" w:cs="Arial"/>
                <w:sz w:val="18"/>
                <w:szCs w:val="18"/>
              </w:rPr>
            </w:pPr>
            <w:r w:rsidRPr="00B20172">
              <w:rPr>
                <w:rFonts w:ascii="Arial" w:hAnsi="Arial" w:cs="Arial"/>
                <w:sz w:val="18"/>
                <w:szCs w:val="18"/>
              </w:rPr>
              <w:t>5.9</w:t>
            </w:r>
          </w:p>
          <w:p w:rsidR="00302B59" w:rsidRPr="00B20172" w:rsidRDefault="004800E3" w:rsidP="004800E3">
            <w:pPr>
              <w:spacing w:before="0" w:after="0" w:line="240" w:lineRule="auto"/>
              <w:jc w:val="center"/>
              <w:rPr>
                <w:rFonts w:ascii="Arial" w:hAnsi="Arial" w:cs="Arial"/>
                <w:sz w:val="18"/>
                <w:szCs w:val="18"/>
              </w:rPr>
            </w:pPr>
            <w:r w:rsidRPr="00B20172">
              <w:rPr>
                <w:rFonts w:ascii="Arial" w:hAnsi="Arial" w:cs="Arial"/>
                <w:sz w:val="18"/>
                <w:szCs w:val="18"/>
              </w:rPr>
              <w:t>(5.1-6.6)</w:t>
            </w:r>
          </w:p>
        </w:tc>
        <w:tc>
          <w:tcPr>
            <w:tcW w:w="946" w:type="dxa"/>
            <w:tcBorders>
              <w:top w:val="nil"/>
              <w:bottom w:val="nil"/>
            </w:tcBorders>
          </w:tcPr>
          <w:p w:rsidR="004800E3" w:rsidRPr="00B20172" w:rsidRDefault="004800E3" w:rsidP="004800E3">
            <w:pPr>
              <w:spacing w:before="0" w:after="0" w:line="240" w:lineRule="auto"/>
              <w:jc w:val="center"/>
              <w:rPr>
                <w:rFonts w:ascii="Arial" w:hAnsi="Arial" w:cs="Arial"/>
                <w:sz w:val="18"/>
                <w:szCs w:val="18"/>
              </w:rPr>
            </w:pPr>
            <w:r w:rsidRPr="00B20172">
              <w:rPr>
                <w:rFonts w:ascii="Arial" w:hAnsi="Arial" w:cs="Arial"/>
                <w:sz w:val="18"/>
                <w:szCs w:val="18"/>
              </w:rPr>
              <w:t xml:space="preserve">6.5 </w:t>
            </w:r>
          </w:p>
          <w:p w:rsidR="00302B59" w:rsidRPr="00B20172" w:rsidRDefault="004800E3" w:rsidP="004800E3">
            <w:pPr>
              <w:spacing w:before="0" w:after="0" w:line="240" w:lineRule="auto"/>
              <w:jc w:val="center"/>
              <w:rPr>
                <w:rFonts w:ascii="Arial" w:hAnsi="Arial" w:cs="Arial"/>
                <w:sz w:val="18"/>
                <w:szCs w:val="18"/>
              </w:rPr>
            </w:pPr>
            <w:r w:rsidRPr="00B20172">
              <w:rPr>
                <w:rFonts w:ascii="Arial" w:hAnsi="Arial" w:cs="Arial"/>
                <w:sz w:val="18"/>
                <w:szCs w:val="18"/>
              </w:rPr>
              <w:t>(5.7-7.3)</w:t>
            </w:r>
          </w:p>
        </w:tc>
        <w:tc>
          <w:tcPr>
            <w:tcW w:w="946" w:type="dxa"/>
            <w:tcBorders>
              <w:top w:val="nil"/>
              <w:bottom w:val="nil"/>
            </w:tcBorders>
          </w:tcPr>
          <w:p w:rsidR="004800E3" w:rsidRPr="00B20172" w:rsidRDefault="004800E3" w:rsidP="004800E3">
            <w:pPr>
              <w:spacing w:before="0" w:after="0" w:line="240" w:lineRule="auto"/>
              <w:jc w:val="center"/>
              <w:rPr>
                <w:rFonts w:ascii="Arial" w:hAnsi="Arial" w:cs="Arial"/>
                <w:sz w:val="18"/>
                <w:szCs w:val="18"/>
              </w:rPr>
            </w:pPr>
            <w:r w:rsidRPr="00B20172">
              <w:rPr>
                <w:rFonts w:ascii="Arial" w:hAnsi="Arial" w:cs="Arial"/>
                <w:sz w:val="18"/>
                <w:szCs w:val="18"/>
              </w:rPr>
              <w:t xml:space="preserve">6.3 </w:t>
            </w:r>
          </w:p>
          <w:p w:rsidR="00302B59" w:rsidRPr="00B20172" w:rsidRDefault="004800E3" w:rsidP="004800E3">
            <w:pPr>
              <w:spacing w:before="0" w:after="0" w:line="240" w:lineRule="auto"/>
              <w:jc w:val="center"/>
              <w:rPr>
                <w:rFonts w:ascii="Arial" w:hAnsi="Arial" w:cs="Arial"/>
                <w:sz w:val="18"/>
                <w:szCs w:val="18"/>
              </w:rPr>
            </w:pPr>
            <w:r w:rsidRPr="00B20172">
              <w:rPr>
                <w:rFonts w:ascii="Arial" w:hAnsi="Arial" w:cs="Arial"/>
                <w:sz w:val="18"/>
                <w:szCs w:val="18"/>
              </w:rPr>
              <w:t>(5.5-7.1)</w:t>
            </w:r>
          </w:p>
        </w:tc>
        <w:tc>
          <w:tcPr>
            <w:tcW w:w="946" w:type="dxa"/>
            <w:tcBorders>
              <w:top w:val="nil"/>
              <w:bottom w:val="nil"/>
            </w:tcBorders>
          </w:tcPr>
          <w:p w:rsidR="004800E3" w:rsidRPr="00B20172" w:rsidRDefault="004800E3" w:rsidP="004800E3">
            <w:pPr>
              <w:spacing w:before="0" w:after="0" w:line="240" w:lineRule="auto"/>
              <w:jc w:val="center"/>
              <w:rPr>
                <w:rFonts w:ascii="Arial" w:hAnsi="Arial" w:cs="Arial"/>
                <w:sz w:val="18"/>
                <w:szCs w:val="18"/>
              </w:rPr>
            </w:pPr>
            <w:r w:rsidRPr="00B20172">
              <w:rPr>
                <w:rFonts w:ascii="Arial" w:hAnsi="Arial" w:cs="Arial"/>
                <w:sz w:val="18"/>
                <w:szCs w:val="18"/>
              </w:rPr>
              <w:t xml:space="preserve">6.5 </w:t>
            </w:r>
          </w:p>
          <w:p w:rsidR="00302B59" w:rsidRPr="00B20172" w:rsidRDefault="004800E3" w:rsidP="004800E3">
            <w:pPr>
              <w:spacing w:before="0" w:after="0" w:line="240" w:lineRule="auto"/>
              <w:jc w:val="center"/>
              <w:rPr>
                <w:rFonts w:ascii="Arial" w:hAnsi="Arial" w:cs="Arial"/>
                <w:sz w:val="18"/>
                <w:szCs w:val="18"/>
              </w:rPr>
            </w:pPr>
            <w:r w:rsidRPr="00B20172">
              <w:rPr>
                <w:rFonts w:ascii="Arial" w:hAnsi="Arial" w:cs="Arial"/>
                <w:sz w:val="18"/>
                <w:szCs w:val="18"/>
              </w:rPr>
              <w:t>(5.7-7.4)</w:t>
            </w:r>
          </w:p>
        </w:tc>
      </w:tr>
      <w:tr w:rsidR="00302B59" w:rsidRPr="00B20172" w:rsidTr="002D6686">
        <w:tc>
          <w:tcPr>
            <w:tcW w:w="1127" w:type="dxa"/>
            <w:vMerge w:val="restart"/>
            <w:tcBorders>
              <w:top w:val="nil"/>
              <w:right w:val="single" w:sz="18" w:space="0" w:color="auto"/>
            </w:tcBorders>
          </w:tcPr>
          <w:p w:rsidR="00302B59" w:rsidRPr="00B20172" w:rsidRDefault="00302B59" w:rsidP="00302B59">
            <w:pPr>
              <w:spacing w:before="0" w:after="0" w:line="240" w:lineRule="auto"/>
              <w:rPr>
                <w:rFonts w:ascii="Arial" w:hAnsi="Arial" w:cs="Arial"/>
                <w:sz w:val="18"/>
                <w:szCs w:val="18"/>
              </w:rPr>
            </w:pPr>
            <w:r w:rsidRPr="00B20172">
              <w:rPr>
                <w:rFonts w:ascii="Arial" w:hAnsi="Arial" w:cs="Arial"/>
                <w:sz w:val="18"/>
                <w:szCs w:val="18"/>
              </w:rPr>
              <w:t>Incidence HIV-positive</w:t>
            </w:r>
          </w:p>
        </w:tc>
        <w:tc>
          <w:tcPr>
            <w:tcW w:w="1403" w:type="dxa"/>
            <w:tcBorders>
              <w:top w:val="nil"/>
              <w:left w:val="single" w:sz="18" w:space="0" w:color="auto"/>
              <w:bottom w:val="nil"/>
            </w:tcBorders>
          </w:tcPr>
          <w:p w:rsidR="00302B59" w:rsidRPr="00B20172" w:rsidRDefault="00302B59" w:rsidP="00377AC1">
            <w:pPr>
              <w:spacing w:before="0" w:after="0" w:line="240" w:lineRule="auto"/>
              <w:jc w:val="left"/>
              <w:rPr>
                <w:rFonts w:ascii="Arial" w:hAnsi="Arial" w:cs="Arial"/>
                <w:sz w:val="18"/>
                <w:szCs w:val="18"/>
              </w:rPr>
            </w:pPr>
            <w:r w:rsidRPr="00B20172">
              <w:rPr>
                <w:rFonts w:ascii="Arial" w:hAnsi="Arial" w:cs="Arial"/>
                <w:sz w:val="18"/>
                <w:szCs w:val="18"/>
              </w:rPr>
              <w:t>Number (thousands)</w:t>
            </w:r>
          </w:p>
        </w:tc>
        <w:tc>
          <w:tcPr>
            <w:tcW w:w="946" w:type="dxa"/>
            <w:tcBorders>
              <w:top w:val="nil"/>
              <w:bottom w:val="nil"/>
            </w:tcBorders>
          </w:tcPr>
          <w:p w:rsidR="00302B59" w:rsidRPr="00B20172" w:rsidRDefault="00377AC1" w:rsidP="004800E3">
            <w:pPr>
              <w:spacing w:before="0" w:after="0" w:line="240" w:lineRule="auto"/>
              <w:jc w:val="center"/>
              <w:rPr>
                <w:rFonts w:ascii="Arial" w:hAnsi="Arial" w:cs="Arial"/>
                <w:sz w:val="18"/>
                <w:szCs w:val="18"/>
              </w:rPr>
            </w:pPr>
            <w:r w:rsidRPr="00B20172">
              <w:rPr>
                <w:rFonts w:ascii="Arial" w:hAnsi="Arial" w:cs="Arial"/>
                <w:sz w:val="18"/>
                <w:szCs w:val="18"/>
              </w:rPr>
              <w:t>0.028</w:t>
            </w:r>
          </w:p>
          <w:p w:rsidR="00377AC1" w:rsidRPr="00B20172" w:rsidRDefault="00377AC1" w:rsidP="004800E3">
            <w:pPr>
              <w:spacing w:before="0" w:after="0" w:line="240" w:lineRule="auto"/>
              <w:jc w:val="center"/>
              <w:rPr>
                <w:rFonts w:ascii="Arial" w:hAnsi="Arial" w:cs="Arial"/>
                <w:sz w:val="12"/>
                <w:szCs w:val="12"/>
              </w:rPr>
            </w:pPr>
            <w:r w:rsidRPr="00B20172">
              <w:rPr>
                <w:rFonts w:ascii="Arial" w:hAnsi="Arial" w:cs="Arial"/>
                <w:sz w:val="12"/>
                <w:szCs w:val="12"/>
              </w:rPr>
              <w:t>(0.024-0.031)</w:t>
            </w:r>
          </w:p>
        </w:tc>
        <w:tc>
          <w:tcPr>
            <w:tcW w:w="946" w:type="dxa"/>
            <w:tcBorders>
              <w:top w:val="nil"/>
              <w:bottom w:val="nil"/>
            </w:tcBorders>
          </w:tcPr>
          <w:p w:rsidR="00377AC1" w:rsidRPr="00B20172" w:rsidRDefault="00377AC1" w:rsidP="00377AC1">
            <w:pPr>
              <w:spacing w:before="0" w:after="0" w:line="240" w:lineRule="auto"/>
              <w:jc w:val="center"/>
              <w:rPr>
                <w:rFonts w:ascii="Arial" w:hAnsi="Arial" w:cs="Arial"/>
                <w:sz w:val="18"/>
                <w:szCs w:val="18"/>
              </w:rPr>
            </w:pPr>
            <w:r w:rsidRPr="00B20172">
              <w:rPr>
                <w:rFonts w:ascii="Arial" w:hAnsi="Arial" w:cs="Arial"/>
                <w:sz w:val="18"/>
                <w:szCs w:val="18"/>
              </w:rPr>
              <w:t>0.047</w:t>
            </w:r>
          </w:p>
          <w:p w:rsidR="00302B59" w:rsidRPr="00B20172" w:rsidRDefault="00377AC1" w:rsidP="00377AC1">
            <w:pPr>
              <w:spacing w:before="0" w:after="0" w:line="240" w:lineRule="auto"/>
              <w:jc w:val="center"/>
              <w:rPr>
                <w:rFonts w:ascii="Arial" w:hAnsi="Arial" w:cs="Arial"/>
                <w:sz w:val="18"/>
                <w:szCs w:val="18"/>
              </w:rPr>
            </w:pPr>
            <w:r w:rsidRPr="00B20172">
              <w:rPr>
                <w:rFonts w:ascii="Arial" w:hAnsi="Arial" w:cs="Arial"/>
                <w:sz w:val="12"/>
                <w:szCs w:val="12"/>
              </w:rPr>
              <w:t>(0.041-0.053)</w:t>
            </w:r>
          </w:p>
        </w:tc>
        <w:tc>
          <w:tcPr>
            <w:tcW w:w="946" w:type="dxa"/>
            <w:tcBorders>
              <w:top w:val="nil"/>
              <w:bottom w:val="nil"/>
            </w:tcBorders>
          </w:tcPr>
          <w:p w:rsidR="00377AC1" w:rsidRPr="00B20172" w:rsidRDefault="00377AC1" w:rsidP="00377AC1">
            <w:pPr>
              <w:spacing w:before="0" w:after="0" w:line="240" w:lineRule="auto"/>
              <w:jc w:val="center"/>
              <w:rPr>
                <w:rFonts w:ascii="Arial" w:hAnsi="Arial" w:cs="Arial"/>
                <w:sz w:val="18"/>
                <w:szCs w:val="18"/>
              </w:rPr>
            </w:pPr>
            <w:r w:rsidRPr="00B20172">
              <w:rPr>
                <w:rFonts w:ascii="Arial" w:hAnsi="Arial" w:cs="Arial"/>
                <w:sz w:val="18"/>
                <w:szCs w:val="18"/>
              </w:rPr>
              <w:t>0.029</w:t>
            </w:r>
          </w:p>
          <w:p w:rsidR="00302B59" w:rsidRPr="00B20172" w:rsidRDefault="00377AC1" w:rsidP="00377AC1">
            <w:pPr>
              <w:spacing w:before="0" w:after="0" w:line="240" w:lineRule="auto"/>
              <w:jc w:val="center"/>
              <w:rPr>
                <w:rFonts w:ascii="Arial" w:hAnsi="Arial" w:cs="Arial"/>
                <w:sz w:val="18"/>
                <w:szCs w:val="18"/>
              </w:rPr>
            </w:pPr>
            <w:r w:rsidRPr="00B20172">
              <w:rPr>
                <w:rFonts w:ascii="Arial" w:hAnsi="Arial" w:cs="Arial"/>
                <w:sz w:val="12"/>
                <w:szCs w:val="12"/>
              </w:rPr>
              <w:t>(0.026-0.033)</w:t>
            </w:r>
          </w:p>
        </w:tc>
        <w:tc>
          <w:tcPr>
            <w:tcW w:w="946" w:type="dxa"/>
            <w:tcBorders>
              <w:top w:val="nil"/>
              <w:bottom w:val="nil"/>
            </w:tcBorders>
          </w:tcPr>
          <w:p w:rsidR="00377AC1" w:rsidRPr="00B20172" w:rsidRDefault="00377AC1" w:rsidP="00377AC1">
            <w:pPr>
              <w:spacing w:before="0" w:after="0" w:line="240" w:lineRule="auto"/>
              <w:jc w:val="center"/>
              <w:rPr>
                <w:rFonts w:ascii="Arial" w:hAnsi="Arial" w:cs="Arial"/>
                <w:sz w:val="18"/>
                <w:szCs w:val="18"/>
              </w:rPr>
            </w:pPr>
            <w:r w:rsidRPr="00B20172">
              <w:rPr>
                <w:rFonts w:ascii="Arial" w:hAnsi="Arial" w:cs="Arial"/>
                <w:sz w:val="18"/>
                <w:szCs w:val="18"/>
              </w:rPr>
              <w:t>0.028</w:t>
            </w:r>
          </w:p>
          <w:p w:rsidR="00302B59" w:rsidRPr="00B20172" w:rsidRDefault="00377AC1" w:rsidP="00377AC1">
            <w:pPr>
              <w:spacing w:before="0" w:after="0" w:line="240" w:lineRule="auto"/>
              <w:jc w:val="center"/>
              <w:rPr>
                <w:rFonts w:ascii="Arial" w:hAnsi="Arial" w:cs="Arial"/>
                <w:sz w:val="18"/>
                <w:szCs w:val="18"/>
              </w:rPr>
            </w:pPr>
            <w:r w:rsidRPr="00B20172">
              <w:rPr>
                <w:rFonts w:ascii="Arial" w:hAnsi="Arial" w:cs="Arial"/>
                <w:sz w:val="12"/>
                <w:szCs w:val="12"/>
              </w:rPr>
              <w:t>(0.025-0.032)</w:t>
            </w:r>
          </w:p>
        </w:tc>
        <w:tc>
          <w:tcPr>
            <w:tcW w:w="946" w:type="dxa"/>
            <w:tcBorders>
              <w:top w:val="nil"/>
              <w:bottom w:val="nil"/>
            </w:tcBorders>
          </w:tcPr>
          <w:p w:rsidR="00377AC1" w:rsidRPr="00B20172" w:rsidRDefault="00377AC1" w:rsidP="00377AC1">
            <w:pPr>
              <w:spacing w:before="0" w:after="0" w:line="240" w:lineRule="auto"/>
              <w:jc w:val="center"/>
              <w:rPr>
                <w:rFonts w:ascii="Arial" w:hAnsi="Arial" w:cs="Arial"/>
                <w:sz w:val="18"/>
                <w:szCs w:val="18"/>
              </w:rPr>
            </w:pPr>
            <w:r w:rsidRPr="00B20172">
              <w:rPr>
                <w:rFonts w:ascii="Arial" w:hAnsi="Arial" w:cs="Arial"/>
                <w:sz w:val="18"/>
                <w:szCs w:val="18"/>
              </w:rPr>
              <w:t>0.036</w:t>
            </w:r>
          </w:p>
          <w:p w:rsidR="00302B59" w:rsidRPr="00B20172" w:rsidRDefault="00377AC1" w:rsidP="00377AC1">
            <w:pPr>
              <w:spacing w:before="0" w:after="0" w:line="240" w:lineRule="auto"/>
              <w:jc w:val="center"/>
              <w:rPr>
                <w:rFonts w:ascii="Arial" w:hAnsi="Arial" w:cs="Arial"/>
                <w:sz w:val="18"/>
                <w:szCs w:val="18"/>
              </w:rPr>
            </w:pPr>
            <w:r w:rsidRPr="00B20172">
              <w:rPr>
                <w:rFonts w:ascii="Arial" w:hAnsi="Arial" w:cs="Arial"/>
                <w:sz w:val="12"/>
                <w:szCs w:val="12"/>
              </w:rPr>
              <w:t>(0.031-0.041)</w:t>
            </w:r>
          </w:p>
        </w:tc>
        <w:tc>
          <w:tcPr>
            <w:tcW w:w="946" w:type="dxa"/>
            <w:tcBorders>
              <w:top w:val="nil"/>
              <w:bottom w:val="nil"/>
            </w:tcBorders>
          </w:tcPr>
          <w:p w:rsidR="00377AC1" w:rsidRPr="00B20172" w:rsidRDefault="00377AC1" w:rsidP="00377AC1">
            <w:pPr>
              <w:spacing w:before="0" w:after="0" w:line="240" w:lineRule="auto"/>
              <w:jc w:val="center"/>
              <w:rPr>
                <w:rFonts w:ascii="Arial" w:hAnsi="Arial" w:cs="Arial"/>
                <w:sz w:val="18"/>
                <w:szCs w:val="18"/>
              </w:rPr>
            </w:pPr>
            <w:r w:rsidRPr="00B20172">
              <w:rPr>
                <w:rFonts w:ascii="Arial" w:hAnsi="Arial" w:cs="Arial"/>
                <w:sz w:val="18"/>
                <w:szCs w:val="18"/>
              </w:rPr>
              <w:t>0.036</w:t>
            </w:r>
          </w:p>
          <w:p w:rsidR="00302B59" w:rsidRPr="00B20172" w:rsidRDefault="00377AC1" w:rsidP="00377AC1">
            <w:pPr>
              <w:spacing w:before="0" w:after="0" w:line="240" w:lineRule="auto"/>
              <w:jc w:val="center"/>
              <w:rPr>
                <w:rFonts w:ascii="Arial" w:hAnsi="Arial" w:cs="Arial"/>
                <w:sz w:val="18"/>
                <w:szCs w:val="18"/>
              </w:rPr>
            </w:pPr>
            <w:r w:rsidRPr="00B20172">
              <w:rPr>
                <w:rFonts w:ascii="Arial" w:hAnsi="Arial" w:cs="Arial"/>
                <w:sz w:val="12"/>
                <w:szCs w:val="12"/>
              </w:rPr>
              <w:t>(0.031-0.040)</w:t>
            </w:r>
          </w:p>
        </w:tc>
        <w:tc>
          <w:tcPr>
            <w:tcW w:w="946" w:type="dxa"/>
            <w:tcBorders>
              <w:top w:val="nil"/>
              <w:bottom w:val="nil"/>
            </w:tcBorders>
          </w:tcPr>
          <w:p w:rsidR="00377AC1" w:rsidRPr="00B20172" w:rsidRDefault="00377AC1" w:rsidP="00377AC1">
            <w:pPr>
              <w:spacing w:before="0" w:after="0" w:line="240" w:lineRule="auto"/>
              <w:jc w:val="center"/>
              <w:rPr>
                <w:rFonts w:ascii="Arial" w:hAnsi="Arial" w:cs="Arial"/>
                <w:sz w:val="18"/>
                <w:szCs w:val="18"/>
              </w:rPr>
            </w:pPr>
            <w:r w:rsidRPr="00B20172">
              <w:rPr>
                <w:rFonts w:ascii="Arial" w:hAnsi="Arial" w:cs="Arial"/>
                <w:sz w:val="18"/>
                <w:szCs w:val="18"/>
              </w:rPr>
              <w:t>0.038</w:t>
            </w:r>
          </w:p>
          <w:p w:rsidR="00302B59" w:rsidRPr="00B20172" w:rsidRDefault="00377AC1" w:rsidP="00377AC1">
            <w:pPr>
              <w:spacing w:before="0" w:after="0" w:line="240" w:lineRule="auto"/>
              <w:jc w:val="center"/>
              <w:rPr>
                <w:rFonts w:ascii="Arial" w:hAnsi="Arial" w:cs="Arial"/>
                <w:sz w:val="18"/>
                <w:szCs w:val="18"/>
              </w:rPr>
            </w:pPr>
            <w:r w:rsidRPr="00B20172">
              <w:rPr>
                <w:rFonts w:ascii="Arial" w:hAnsi="Arial" w:cs="Arial"/>
                <w:sz w:val="12"/>
                <w:szCs w:val="12"/>
              </w:rPr>
              <w:t>(0.033-0.043)</w:t>
            </w:r>
          </w:p>
        </w:tc>
      </w:tr>
      <w:tr w:rsidR="00302B59" w:rsidRPr="00B20172" w:rsidTr="00621D49">
        <w:tc>
          <w:tcPr>
            <w:tcW w:w="1127" w:type="dxa"/>
            <w:vMerge/>
            <w:tcBorders>
              <w:bottom w:val="nil"/>
              <w:right w:val="single" w:sz="18" w:space="0" w:color="auto"/>
            </w:tcBorders>
          </w:tcPr>
          <w:p w:rsidR="00302B59" w:rsidRPr="00B20172" w:rsidRDefault="00302B59" w:rsidP="00302B59">
            <w:pPr>
              <w:spacing w:before="0" w:after="0" w:line="240" w:lineRule="auto"/>
              <w:rPr>
                <w:rFonts w:ascii="Arial" w:hAnsi="Arial" w:cs="Arial"/>
                <w:sz w:val="18"/>
                <w:szCs w:val="18"/>
              </w:rPr>
            </w:pPr>
          </w:p>
        </w:tc>
        <w:tc>
          <w:tcPr>
            <w:tcW w:w="1403" w:type="dxa"/>
            <w:tcBorders>
              <w:top w:val="nil"/>
              <w:left w:val="single" w:sz="18" w:space="0" w:color="auto"/>
              <w:bottom w:val="nil"/>
            </w:tcBorders>
            <w:vAlign w:val="center"/>
          </w:tcPr>
          <w:p w:rsidR="00302B59" w:rsidRPr="00B20172" w:rsidRDefault="00302B59" w:rsidP="00C837BB">
            <w:pPr>
              <w:spacing w:before="0" w:after="0" w:line="240" w:lineRule="auto"/>
              <w:jc w:val="left"/>
              <w:rPr>
                <w:rFonts w:ascii="Arial" w:hAnsi="Arial" w:cs="Arial"/>
                <w:sz w:val="18"/>
                <w:szCs w:val="18"/>
              </w:rPr>
            </w:pPr>
            <w:r w:rsidRPr="00B20172">
              <w:rPr>
                <w:rFonts w:ascii="Arial" w:hAnsi="Arial" w:cs="Arial"/>
                <w:sz w:val="18"/>
                <w:szCs w:val="18"/>
              </w:rPr>
              <w:t>Rate</w:t>
            </w:r>
            <w:r w:rsidR="00C837BB" w:rsidRPr="00B20172">
              <w:rPr>
                <w:rFonts w:ascii="Arial" w:hAnsi="Arial" w:cs="Arial"/>
                <w:sz w:val="18"/>
                <w:szCs w:val="18"/>
                <w:vertAlign w:val="superscript"/>
              </w:rPr>
              <w:t>a</w:t>
            </w:r>
          </w:p>
        </w:tc>
        <w:tc>
          <w:tcPr>
            <w:tcW w:w="946" w:type="dxa"/>
            <w:tcBorders>
              <w:top w:val="nil"/>
              <w:bottom w:val="nil"/>
            </w:tcBorders>
          </w:tcPr>
          <w:p w:rsidR="00302B59" w:rsidRPr="00B20172" w:rsidRDefault="00377AC1" w:rsidP="004800E3">
            <w:pPr>
              <w:spacing w:before="0" w:after="0" w:line="240" w:lineRule="auto"/>
              <w:jc w:val="center"/>
              <w:rPr>
                <w:rFonts w:ascii="Arial" w:hAnsi="Arial" w:cs="Arial"/>
                <w:sz w:val="18"/>
                <w:szCs w:val="18"/>
              </w:rPr>
            </w:pPr>
            <w:r w:rsidRPr="00B20172">
              <w:rPr>
                <w:rFonts w:ascii="Arial" w:hAnsi="Arial" w:cs="Arial"/>
                <w:sz w:val="18"/>
                <w:szCs w:val="18"/>
              </w:rPr>
              <w:t xml:space="preserve">0.2 </w:t>
            </w:r>
          </w:p>
          <w:p w:rsidR="00377AC1" w:rsidRPr="00B20172" w:rsidRDefault="00377AC1" w:rsidP="004800E3">
            <w:pPr>
              <w:spacing w:before="0" w:after="0" w:line="240" w:lineRule="auto"/>
              <w:jc w:val="center"/>
              <w:rPr>
                <w:rFonts w:ascii="Arial" w:hAnsi="Arial" w:cs="Arial"/>
                <w:sz w:val="12"/>
                <w:szCs w:val="12"/>
              </w:rPr>
            </w:pPr>
            <w:r w:rsidRPr="00B20172">
              <w:rPr>
                <w:rFonts w:ascii="Arial" w:hAnsi="Arial" w:cs="Arial"/>
                <w:sz w:val="12"/>
                <w:szCs w:val="12"/>
              </w:rPr>
              <w:t>(0.14-0.18)</w:t>
            </w:r>
          </w:p>
        </w:tc>
        <w:tc>
          <w:tcPr>
            <w:tcW w:w="946" w:type="dxa"/>
            <w:tcBorders>
              <w:top w:val="nil"/>
              <w:bottom w:val="nil"/>
            </w:tcBorders>
          </w:tcPr>
          <w:p w:rsidR="00377AC1" w:rsidRPr="00B20172" w:rsidRDefault="00377AC1" w:rsidP="00377AC1">
            <w:pPr>
              <w:spacing w:before="0" w:after="0" w:line="240" w:lineRule="auto"/>
              <w:jc w:val="center"/>
              <w:rPr>
                <w:rFonts w:ascii="Arial" w:hAnsi="Arial" w:cs="Arial"/>
                <w:sz w:val="18"/>
                <w:szCs w:val="18"/>
              </w:rPr>
            </w:pPr>
            <w:r w:rsidRPr="00B20172">
              <w:rPr>
                <w:rFonts w:ascii="Arial" w:hAnsi="Arial" w:cs="Arial"/>
                <w:sz w:val="18"/>
                <w:szCs w:val="18"/>
              </w:rPr>
              <w:t xml:space="preserve">0.3 </w:t>
            </w:r>
          </w:p>
          <w:p w:rsidR="00302B59" w:rsidRPr="00B20172" w:rsidRDefault="00377AC1" w:rsidP="00377AC1">
            <w:pPr>
              <w:spacing w:before="0" w:after="0" w:line="240" w:lineRule="auto"/>
              <w:jc w:val="center"/>
              <w:rPr>
                <w:rFonts w:ascii="Arial" w:hAnsi="Arial" w:cs="Arial"/>
                <w:sz w:val="18"/>
                <w:szCs w:val="18"/>
              </w:rPr>
            </w:pPr>
            <w:r w:rsidRPr="00B20172">
              <w:rPr>
                <w:rFonts w:ascii="Arial" w:hAnsi="Arial" w:cs="Arial"/>
                <w:sz w:val="12"/>
                <w:szCs w:val="12"/>
              </w:rPr>
              <w:t>(0.23-0.29)</w:t>
            </w:r>
          </w:p>
        </w:tc>
        <w:tc>
          <w:tcPr>
            <w:tcW w:w="946" w:type="dxa"/>
            <w:tcBorders>
              <w:top w:val="nil"/>
              <w:bottom w:val="nil"/>
            </w:tcBorders>
          </w:tcPr>
          <w:p w:rsidR="00377AC1" w:rsidRPr="00B20172" w:rsidRDefault="00377AC1" w:rsidP="00377AC1">
            <w:pPr>
              <w:spacing w:before="0" w:after="0" w:line="240" w:lineRule="auto"/>
              <w:jc w:val="center"/>
              <w:rPr>
                <w:rFonts w:ascii="Arial" w:hAnsi="Arial" w:cs="Arial"/>
                <w:sz w:val="18"/>
                <w:szCs w:val="18"/>
              </w:rPr>
            </w:pPr>
            <w:r w:rsidRPr="00B20172">
              <w:rPr>
                <w:rFonts w:ascii="Arial" w:hAnsi="Arial" w:cs="Arial"/>
                <w:sz w:val="18"/>
                <w:szCs w:val="18"/>
              </w:rPr>
              <w:t xml:space="preserve">0.2 </w:t>
            </w:r>
          </w:p>
          <w:p w:rsidR="00302B59" w:rsidRPr="00B20172" w:rsidRDefault="00377AC1" w:rsidP="00377AC1">
            <w:pPr>
              <w:spacing w:before="0" w:after="0" w:line="240" w:lineRule="auto"/>
              <w:jc w:val="center"/>
              <w:rPr>
                <w:rFonts w:ascii="Arial" w:hAnsi="Arial" w:cs="Arial"/>
                <w:sz w:val="18"/>
                <w:szCs w:val="18"/>
              </w:rPr>
            </w:pPr>
            <w:r w:rsidRPr="00B20172">
              <w:rPr>
                <w:rFonts w:ascii="Arial" w:hAnsi="Arial" w:cs="Arial"/>
                <w:sz w:val="12"/>
                <w:szCs w:val="12"/>
              </w:rPr>
              <w:t>(0.13-0.17)</w:t>
            </w:r>
          </w:p>
        </w:tc>
        <w:tc>
          <w:tcPr>
            <w:tcW w:w="946" w:type="dxa"/>
            <w:tcBorders>
              <w:top w:val="nil"/>
              <w:bottom w:val="nil"/>
            </w:tcBorders>
          </w:tcPr>
          <w:p w:rsidR="00377AC1" w:rsidRPr="00B20172" w:rsidRDefault="00377AC1" w:rsidP="00377AC1">
            <w:pPr>
              <w:spacing w:before="0" w:after="0" w:line="240" w:lineRule="auto"/>
              <w:jc w:val="center"/>
              <w:rPr>
                <w:rFonts w:ascii="Arial" w:hAnsi="Arial" w:cs="Arial"/>
                <w:sz w:val="18"/>
                <w:szCs w:val="18"/>
              </w:rPr>
            </w:pPr>
            <w:r w:rsidRPr="00B20172">
              <w:rPr>
                <w:rFonts w:ascii="Arial" w:hAnsi="Arial" w:cs="Arial"/>
                <w:sz w:val="18"/>
                <w:szCs w:val="18"/>
              </w:rPr>
              <w:t xml:space="preserve">0.1 </w:t>
            </w:r>
          </w:p>
          <w:p w:rsidR="00302B59" w:rsidRPr="00B20172" w:rsidRDefault="00377AC1" w:rsidP="00377AC1">
            <w:pPr>
              <w:spacing w:before="0" w:after="0" w:line="240" w:lineRule="auto"/>
              <w:jc w:val="center"/>
              <w:rPr>
                <w:rFonts w:ascii="Arial" w:hAnsi="Arial" w:cs="Arial"/>
                <w:sz w:val="18"/>
                <w:szCs w:val="18"/>
              </w:rPr>
            </w:pPr>
            <w:r w:rsidRPr="00B20172">
              <w:rPr>
                <w:rFonts w:ascii="Arial" w:hAnsi="Arial" w:cs="Arial"/>
                <w:sz w:val="12"/>
                <w:szCs w:val="12"/>
              </w:rPr>
              <w:t>(0.12-0.16)</w:t>
            </w:r>
          </w:p>
        </w:tc>
        <w:tc>
          <w:tcPr>
            <w:tcW w:w="946" w:type="dxa"/>
            <w:tcBorders>
              <w:top w:val="nil"/>
              <w:bottom w:val="nil"/>
            </w:tcBorders>
          </w:tcPr>
          <w:p w:rsidR="00377AC1" w:rsidRPr="00B20172" w:rsidRDefault="00377AC1" w:rsidP="00377AC1">
            <w:pPr>
              <w:spacing w:before="0" w:after="0" w:line="240" w:lineRule="auto"/>
              <w:jc w:val="center"/>
              <w:rPr>
                <w:rFonts w:ascii="Arial" w:hAnsi="Arial" w:cs="Arial"/>
                <w:sz w:val="18"/>
                <w:szCs w:val="18"/>
              </w:rPr>
            </w:pPr>
            <w:r w:rsidRPr="00B20172">
              <w:rPr>
                <w:rFonts w:ascii="Arial" w:hAnsi="Arial" w:cs="Arial"/>
                <w:sz w:val="18"/>
                <w:szCs w:val="18"/>
              </w:rPr>
              <w:t xml:space="preserve">0.2 </w:t>
            </w:r>
          </w:p>
          <w:p w:rsidR="00302B59" w:rsidRPr="00B20172" w:rsidRDefault="00377AC1" w:rsidP="00377AC1">
            <w:pPr>
              <w:spacing w:before="0" w:after="0" w:line="240" w:lineRule="auto"/>
              <w:jc w:val="center"/>
              <w:rPr>
                <w:rFonts w:ascii="Arial" w:hAnsi="Arial" w:cs="Arial"/>
                <w:sz w:val="18"/>
                <w:szCs w:val="18"/>
              </w:rPr>
            </w:pPr>
            <w:r w:rsidRPr="00B20172">
              <w:rPr>
                <w:rFonts w:ascii="Arial" w:hAnsi="Arial" w:cs="Arial"/>
                <w:sz w:val="12"/>
                <w:szCs w:val="12"/>
              </w:rPr>
              <w:t>(0.14-0.18)</w:t>
            </w:r>
          </w:p>
        </w:tc>
        <w:tc>
          <w:tcPr>
            <w:tcW w:w="946" w:type="dxa"/>
            <w:tcBorders>
              <w:top w:val="nil"/>
              <w:bottom w:val="nil"/>
            </w:tcBorders>
          </w:tcPr>
          <w:p w:rsidR="00377AC1" w:rsidRPr="00B20172" w:rsidRDefault="00377AC1" w:rsidP="00377AC1">
            <w:pPr>
              <w:spacing w:before="0" w:after="0" w:line="240" w:lineRule="auto"/>
              <w:jc w:val="center"/>
              <w:rPr>
                <w:rFonts w:ascii="Arial" w:hAnsi="Arial" w:cs="Arial"/>
                <w:sz w:val="18"/>
                <w:szCs w:val="18"/>
              </w:rPr>
            </w:pPr>
            <w:r w:rsidRPr="00B20172">
              <w:rPr>
                <w:rFonts w:ascii="Arial" w:hAnsi="Arial" w:cs="Arial"/>
                <w:sz w:val="18"/>
                <w:szCs w:val="18"/>
              </w:rPr>
              <w:t xml:space="preserve">0.2 </w:t>
            </w:r>
          </w:p>
          <w:p w:rsidR="00302B59" w:rsidRPr="00B20172" w:rsidRDefault="00377AC1" w:rsidP="00377AC1">
            <w:pPr>
              <w:spacing w:before="0" w:after="0" w:line="240" w:lineRule="auto"/>
              <w:rPr>
                <w:rFonts w:ascii="Arial" w:hAnsi="Arial" w:cs="Arial"/>
                <w:sz w:val="18"/>
                <w:szCs w:val="18"/>
              </w:rPr>
            </w:pPr>
            <w:r w:rsidRPr="00B20172">
              <w:rPr>
                <w:rFonts w:ascii="Arial" w:hAnsi="Arial" w:cs="Arial"/>
                <w:sz w:val="12"/>
                <w:szCs w:val="12"/>
              </w:rPr>
              <w:t>(0.14-0.18)</w:t>
            </w:r>
          </w:p>
        </w:tc>
        <w:tc>
          <w:tcPr>
            <w:tcW w:w="946" w:type="dxa"/>
            <w:tcBorders>
              <w:top w:val="nil"/>
              <w:bottom w:val="nil"/>
            </w:tcBorders>
          </w:tcPr>
          <w:p w:rsidR="00377AC1" w:rsidRPr="00B20172" w:rsidRDefault="00377AC1" w:rsidP="00377AC1">
            <w:pPr>
              <w:spacing w:before="0" w:after="0" w:line="240" w:lineRule="auto"/>
              <w:jc w:val="center"/>
              <w:rPr>
                <w:rFonts w:ascii="Arial" w:hAnsi="Arial" w:cs="Arial"/>
                <w:sz w:val="18"/>
                <w:szCs w:val="18"/>
              </w:rPr>
            </w:pPr>
            <w:r w:rsidRPr="00B20172">
              <w:rPr>
                <w:rFonts w:ascii="Arial" w:hAnsi="Arial" w:cs="Arial"/>
                <w:sz w:val="18"/>
                <w:szCs w:val="18"/>
              </w:rPr>
              <w:t xml:space="preserve">0.2 </w:t>
            </w:r>
          </w:p>
          <w:p w:rsidR="00302B59" w:rsidRPr="00B20172" w:rsidRDefault="00377AC1" w:rsidP="00377AC1">
            <w:pPr>
              <w:spacing w:before="0" w:after="0" w:line="240" w:lineRule="auto"/>
              <w:jc w:val="center"/>
              <w:rPr>
                <w:rFonts w:ascii="Arial" w:hAnsi="Arial" w:cs="Arial"/>
                <w:sz w:val="18"/>
                <w:szCs w:val="18"/>
              </w:rPr>
            </w:pPr>
            <w:r w:rsidRPr="00B20172">
              <w:rPr>
                <w:rFonts w:ascii="Arial" w:hAnsi="Arial" w:cs="Arial"/>
                <w:sz w:val="12"/>
                <w:szCs w:val="12"/>
              </w:rPr>
              <w:t>(0.14-0.19)</w:t>
            </w:r>
          </w:p>
        </w:tc>
      </w:tr>
      <w:tr w:rsidR="00302B59" w:rsidRPr="00B20172" w:rsidTr="002D6686">
        <w:tc>
          <w:tcPr>
            <w:tcW w:w="1127" w:type="dxa"/>
            <w:vMerge w:val="restart"/>
            <w:tcBorders>
              <w:top w:val="nil"/>
              <w:right w:val="single" w:sz="18" w:space="0" w:color="auto"/>
            </w:tcBorders>
          </w:tcPr>
          <w:p w:rsidR="00302B59" w:rsidRPr="00B20172" w:rsidRDefault="00C837BB" w:rsidP="00302B59">
            <w:pPr>
              <w:spacing w:before="0" w:after="0" w:line="240" w:lineRule="auto"/>
              <w:rPr>
                <w:rFonts w:ascii="Arial" w:hAnsi="Arial" w:cs="Arial"/>
                <w:sz w:val="18"/>
                <w:szCs w:val="18"/>
              </w:rPr>
            </w:pPr>
            <w:r w:rsidRPr="00B20172">
              <w:rPr>
                <w:rFonts w:ascii="Arial" w:hAnsi="Arial" w:cs="Arial"/>
                <w:sz w:val="18"/>
                <w:szCs w:val="18"/>
              </w:rPr>
              <w:t>NOTIFIED NEW AND RELAPSE</w:t>
            </w:r>
            <w:r w:rsidRPr="00B20172">
              <w:rPr>
                <w:rFonts w:ascii="Arial" w:hAnsi="Arial" w:cs="Arial"/>
                <w:sz w:val="18"/>
                <w:szCs w:val="18"/>
                <w:vertAlign w:val="superscript"/>
              </w:rPr>
              <w:t>B</w:t>
            </w:r>
          </w:p>
        </w:tc>
        <w:tc>
          <w:tcPr>
            <w:tcW w:w="1403" w:type="dxa"/>
            <w:tcBorders>
              <w:top w:val="nil"/>
              <w:left w:val="single" w:sz="18" w:space="0" w:color="auto"/>
              <w:bottom w:val="nil"/>
            </w:tcBorders>
          </w:tcPr>
          <w:p w:rsidR="00302B59" w:rsidRPr="00B20172" w:rsidRDefault="00302B59" w:rsidP="00377AC1">
            <w:pPr>
              <w:spacing w:before="0" w:after="0" w:line="240" w:lineRule="auto"/>
              <w:jc w:val="left"/>
              <w:rPr>
                <w:rFonts w:ascii="Arial" w:hAnsi="Arial" w:cs="Arial"/>
                <w:sz w:val="18"/>
                <w:szCs w:val="18"/>
              </w:rPr>
            </w:pPr>
            <w:r w:rsidRPr="00B20172">
              <w:rPr>
                <w:rFonts w:ascii="Arial" w:hAnsi="Arial" w:cs="Arial"/>
                <w:sz w:val="18"/>
                <w:szCs w:val="18"/>
              </w:rPr>
              <w:t>Number</w:t>
            </w:r>
          </w:p>
        </w:tc>
        <w:tc>
          <w:tcPr>
            <w:tcW w:w="946" w:type="dxa"/>
            <w:tcBorders>
              <w:top w:val="nil"/>
              <w:bottom w:val="nil"/>
            </w:tcBorders>
          </w:tcPr>
          <w:p w:rsidR="00302B59" w:rsidRPr="00B20172" w:rsidRDefault="00377AC1" w:rsidP="004800E3">
            <w:pPr>
              <w:spacing w:before="0" w:after="0" w:line="240" w:lineRule="auto"/>
              <w:jc w:val="center"/>
              <w:rPr>
                <w:rFonts w:ascii="Arial" w:hAnsi="Arial" w:cs="Arial"/>
                <w:sz w:val="18"/>
                <w:szCs w:val="18"/>
              </w:rPr>
            </w:pPr>
            <w:r w:rsidRPr="00B20172">
              <w:rPr>
                <w:rFonts w:ascii="Arial" w:hAnsi="Arial" w:cs="Arial"/>
                <w:sz w:val="18"/>
                <w:szCs w:val="18"/>
              </w:rPr>
              <w:t>1016</w:t>
            </w:r>
          </w:p>
        </w:tc>
        <w:tc>
          <w:tcPr>
            <w:tcW w:w="946" w:type="dxa"/>
            <w:tcBorders>
              <w:top w:val="nil"/>
              <w:bottom w:val="nil"/>
            </w:tcBorders>
          </w:tcPr>
          <w:p w:rsidR="00302B59" w:rsidRPr="00B20172" w:rsidRDefault="00377AC1" w:rsidP="004800E3">
            <w:pPr>
              <w:spacing w:before="0" w:after="0" w:line="240" w:lineRule="auto"/>
              <w:jc w:val="center"/>
              <w:rPr>
                <w:rFonts w:ascii="Arial" w:hAnsi="Arial" w:cs="Arial"/>
                <w:sz w:val="18"/>
                <w:szCs w:val="18"/>
              </w:rPr>
            </w:pPr>
            <w:r w:rsidRPr="00B20172">
              <w:rPr>
                <w:rFonts w:ascii="Arial" w:hAnsi="Arial" w:cs="Arial"/>
                <w:sz w:val="18"/>
                <w:szCs w:val="18"/>
              </w:rPr>
              <w:t>1073</w:t>
            </w:r>
          </w:p>
        </w:tc>
        <w:tc>
          <w:tcPr>
            <w:tcW w:w="946" w:type="dxa"/>
            <w:tcBorders>
              <w:top w:val="nil"/>
              <w:bottom w:val="nil"/>
            </w:tcBorders>
          </w:tcPr>
          <w:p w:rsidR="00302B59" w:rsidRPr="00B20172" w:rsidRDefault="00377AC1" w:rsidP="004800E3">
            <w:pPr>
              <w:spacing w:before="0" w:after="0" w:line="240" w:lineRule="auto"/>
              <w:jc w:val="center"/>
              <w:rPr>
                <w:rFonts w:ascii="Arial" w:hAnsi="Arial" w:cs="Arial"/>
                <w:sz w:val="18"/>
                <w:szCs w:val="18"/>
              </w:rPr>
            </w:pPr>
            <w:r w:rsidRPr="00B20172">
              <w:rPr>
                <w:rFonts w:ascii="Arial" w:hAnsi="Arial" w:cs="Arial"/>
                <w:sz w:val="18"/>
                <w:szCs w:val="18"/>
              </w:rPr>
              <w:t>1043</w:t>
            </w:r>
          </w:p>
        </w:tc>
        <w:tc>
          <w:tcPr>
            <w:tcW w:w="946" w:type="dxa"/>
            <w:tcBorders>
              <w:top w:val="nil"/>
              <w:bottom w:val="nil"/>
            </w:tcBorders>
          </w:tcPr>
          <w:p w:rsidR="00302B59" w:rsidRPr="00B20172" w:rsidRDefault="00377AC1" w:rsidP="004800E3">
            <w:pPr>
              <w:spacing w:before="0" w:after="0" w:line="240" w:lineRule="auto"/>
              <w:jc w:val="center"/>
              <w:rPr>
                <w:rFonts w:ascii="Arial" w:hAnsi="Arial" w:cs="Arial"/>
                <w:sz w:val="18"/>
                <w:szCs w:val="18"/>
              </w:rPr>
            </w:pPr>
            <w:r w:rsidRPr="00B20172">
              <w:rPr>
                <w:rFonts w:ascii="Arial" w:hAnsi="Arial" w:cs="Arial"/>
                <w:sz w:val="18"/>
                <w:szCs w:val="18"/>
              </w:rPr>
              <w:t>1046</w:t>
            </w:r>
          </w:p>
        </w:tc>
        <w:tc>
          <w:tcPr>
            <w:tcW w:w="946" w:type="dxa"/>
            <w:tcBorders>
              <w:top w:val="nil"/>
              <w:bottom w:val="nil"/>
            </w:tcBorders>
          </w:tcPr>
          <w:p w:rsidR="00302B59" w:rsidRPr="00B20172" w:rsidRDefault="00377AC1" w:rsidP="004800E3">
            <w:pPr>
              <w:spacing w:before="0" w:after="0" w:line="240" w:lineRule="auto"/>
              <w:jc w:val="center"/>
              <w:rPr>
                <w:rFonts w:ascii="Arial" w:hAnsi="Arial" w:cs="Arial"/>
                <w:sz w:val="18"/>
                <w:szCs w:val="18"/>
              </w:rPr>
            </w:pPr>
            <w:r w:rsidRPr="00B20172">
              <w:rPr>
                <w:rFonts w:ascii="Arial" w:hAnsi="Arial" w:cs="Arial"/>
                <w:sz w:val="18"/>
                <w:szCs w:val="18"/>
              </w:rPr>
              <w:t>1257</w:t>
            </w:r>
          </w:p>
        </w:tc>
        <w:tc>
          <w:tcPr>
            <w:tcW w:w="946" w:type="dxa"/>
            <w:tcBorders>
              <w:top w:val="nil"/>
              <w:bottom w:val="nil"/>
            </w:tcBorders>
          </w:tcPr>
          <w:p w:rsidR="00302B59" w:rsidRPr="00B20172" w:rsidRDefault="00377AC1" w:rsidP="004800E3">
            <w:pPr>
              <w:spacing w:before="0" w:after="0" w:line="240" w:lineRule="auto"/>
              <w:jc w:val="center"/>
              <w:rPr>
                <w:rFonts w:ascii="Arial" w:hAnsi="Arial" w:cs="Arial"/>
                <w:sz w:val="18"/>
                <w:szCs w:val="18"/>
              </w:rPr>
            </w:pPr>
            <w:r w:rsidRPr="00B20172">
              <w:rPr>
                <w:rFonts w:ascii="Arial" w:hAnsi="Arial" w:cs="Arial"/>
                <w:sz w:val="18"/>
                <w:szCs w:val="18"/>
              </w:rPr>
              <w:t>1239</w:t>
            </w:r>
          </w:p>
        </w:tc>
        <w:tc>
          <w:tcPr>
            <w:tcW w:w="946" w:type="dxa"/>
            <w:tcBorders>
              <w:top w:val="nil"/>
              <w:bottom w:val="nil"/>
            </w:tcBorders>
          </w:tcPr>
          <w:p w:rsidR="00302B59" w:rsidRPr="00B20172" w:rsidRDefault="00377AC1" w:rsidP="004800E3">
            <w:pPr>
              <w:spacing w:before="0" w:after="0" w:line="240" w:lineRule="auto"/>
              <w:jc w:val="center"/>
              <w:rPr>
                <w:rFonts w:ascii="Arial" w:hAnsi="Arial" w:cs="Arial"/>
                <w:sz w:val="18"/>
                <w:szCs w:val="18"/>
              </w:rPr>
            </w:pPr>
            <w:r w:rsidRPr="00B20172">
              <w:rPr>
                <w:rFonts w:ascii="Arial" w:hAnsi="Arial" w:cs="Arial"/>
                <w:sz w:val="18"/>
                <w:szCs w:val="18"/>
              </w:rPr>
              <w:t>1305</w:t>
            </w:r>
          </w:p>
        </w:tc>
      </w:tr>
      <w:tr w:rsidR="00302B59" w:rsidRPr="00B20172" w:rsidTr="00621D49">
        <w:tc>
          <w:tcPr>
            <w:tcW w:w="1127" w:type="dxa"/>
            <w:vMerge/>
            <w:tcBorders>
              <w:bottom w:val="nil"/>
              <w:right w:val="single" w:sz="18" w:space="0" w:color="auto"/>
            </w:tcBorders>
          </w:tcPr>
          <w:p w:rsidR="00302B59" w:rsidRPr="00B20172" w:rsidRDefault="00302B59" w:rsidP="00302B59">
            <w:pPr>
              <w:spacing w:before="0" w:after="0" w:line="240" w:lineRule="auto"/>
              <w:rPr>
                <w:rFonts w:ascii="Arial" w:hAnsi="Arial" w:cs="Arial"/>
                <w:sz w:val="18"/>
                <w:szCs w:val="18"/>
              </w:rPr>
            </w:pPr>
          </w:p>
        </w:tc>
        <w:tc>
          <w:tcPr>
            <w:tcW w:w="1403" w:type="dxa"/>
            <w:tcBorders>
              <w:top w:val="nil"/>
              <w:left w:val="single" w:sz="18" w:space="0" w:color="auto"/>
              <w:bottom w:val="nil"/>
            </w:tcBorders>
            <w:vAlign w:val="center"/>
          </w:tcPr>
          <w:p w:rsidR="00302B59" w:rsidRPr="00B20172" w:rsidRDefault="00302B59" w:rsidP="00C837BB">
            <w:pPr>
              <w:spacing w:before="0" w:after="0" w:line="240" w:lineRule="auto"/>
              <w:jc w:val="left"/>
              <w:rPr>
                <w:rFonts w:ascii="Arial" w:hAnsi="Arial" w:cs="Arial"/>
                <w:sz w:val="18"/>
                <w:szCs w:val="18"/>
                <w:vertAlign w:val="superscript"/>
              </w:rPr>
            </w:pPr>
            <w:r w:rsidRPr="00B20172">
              <w:rPr>
                <w:rFonts w:ascii="Arial" w:hAnsi="Arial" w:cs="Arial"/>
                <w:sz w:val="18"/>
                <w:szCs w:val="18"/>
              </w:rPr>
              <w:t>Rate</w:t>
            </w:r>
            <w:r w:rsidR="00C837BB" w:rsidRPr="00B20172">
              <w:rPr>
                <w:rFonts w:ascii="Arial" w:hAnsi="Arial" w:cs="Arial"/>
                <w:sz w:val="18"/>
                <w:szCs w:val="18"/>
                <w:vertAlign w:val="superscript"/>
              </w:rPr>
              <w:t>a</w:t>
            </w:r>
          </w:p>
        </w:tc>
        <w:tc>
          <w:tcPr>
            <w:tcW w:w="946" w:type="dxa"/>
            <w:tcBorders>
              <w:top w:val="nil"/>
              <w:bottom w:val="nil"/>
            </w:tcBorders>
          </w:tcPr>
          <w:p w:rsidR="00302B59" w:rsidRPr="00B20172" w:rsidRDefault="00377AC1" w:rsidP="004800E3">
            <w:pPr>
              <w:spacing w:before="0" w:after="0" w:line="240" w:lineRule="auto"/>
              <w:jc w:val="center"/>
              <w:rPr>
                <w:rFonts w:ascii="Arial" w:hAnsi="Arial" w:cs="Arial"/>
                <w:sz w:val="18"/>
                <w:szCs w:val="18"/>
              </w:rPr>
            </w:pPr>
            <w:r w:rsidRPr="00B20172">
              <w:rPr>
                <w:rFonts w:ascii="Arial" w:hAnsi="Arial" w:cs="Arial"/>
                <w:sz w:val="18"/>
                <w:szCs w:val="18"/>
              </w:rPr>
              <w:t>5.9</w:t>
            </w:r>
          </w:p>
        </w:tc>
        <w:tc>
          <w:tcPr>
            <w:tcW w:w="946" w:type="dxa"/>
            <w:tcBorders>
              <w:top w:val="nil"/>
              <w:bottom w:val="nil"/>
            </w:tcBorders>
          </w:tcPr>
          <w:p w:rsidR="00302B59" w:rsidRPr="00B20172" w:rsidRDefault="00377AC1" w:rsidP="004800E3">
            <w:pPr>
              <w:spacing w:before="0" w:after="0" w:line="240" w:lineRule="auto"/>
              <w:jc w:val="center"/>
              <w:rPr>
                <w:rFonts w:ascii="Arial" w:hAnsi="Arial" w:cs="Arial"/>
                <w:sz w:val="18"/>
                <w:szCs w:val="18"/>
              </w:rPr>
            </w:pPr>
            <w:r w:rsidRPr="00B20172">
              <w:rPr>
                <w:rFonts w:ascii="Arial" w:hAnsi="Arial" w:cs="Arial"/>
                <w:sz w:val="18"/>
                <w:szCs w:val="18"/>
              </w:rPr>
              <w:t>5.9</w:t>
            </w:r>
          </w:p>
        </w:tc>
        <w:tc>
          <w:tcPr>
            <w:tcW w:w="946" w:type="dxa"/>
            <w:tcBorders>
              <w:top w:val="nil"/>
              <w:bottom w:val="nil"/>
            </w:tcBorders>
          </w:tcPr>
          <w:p w:rsidR="00302B59" w:rsidRPr="00B20172" w:rsidRDefault="00377AC1" w:rsidP="004800E3">
            <w:pPr>
              <w:spacing w:before="0" w:after="0" w:line="240" w:lineRule="auto"/>
              <w:jc w:val="center"/>
              <w:rPr>
                <w:rFonts w:ascii="Arial" w:hAnsi="Arial" w:cs="Arial"/>
                <w:sz w:val="18"/>
                <w:szCs w:val="18"/>
              </w:rPr>
            </w:pPr>
            <w:r w:rsidRPr="00B20172">
              <w:rPr>
                <w:rFonts w:ascii="Arial" w:hAnsi="Arial" w:cs="Arial"/>
                <w:sz w:val="18"/>
                <w:szCs w:val="18"/>
              </w:rPr>
              <w:t>5.4</w:t>
            </w:r>
          </w:p>
        </w:tc>
        <w:tc>
          <w:tcPr>
            <w:tcW w:w="946" w:type="dxa"/>
            <w:tcBorders>
              <w:top w:val="nil"/>
              <w:bottom w:val="nil"/>
            </w:tcBorders>
          </w:tcPr>
          <w:p w:rsidR="00302B59" w:rsidRPr="00B20172" w:rsidRDefault="00377AC1" w:rsidP="004800E3">
            <w:pPr>
              <w:spacing w:before="0" w:after="0" w:line="240" w:lineRule="auto"/>
              <w:jc w:val="center"/>
              <w:rPr>
                <w:rFonts w:ascii="Arial" w:hAnsi="Arial" w:cs="Arial"/>
                <w:sz w:val="18"/>
                <w:szCs w:val="18"/>
              </w:rPr>
            </w:pPr>
            <w:r w:rsidRPr="00B20172">
              <w:rPr>
                <w:rFonts w:ascii="Arial" w:hAnsi="Arial" w:cs="Arial"/>
                <w:sz w:val="18"/>
                <w:szCs w:val="18"/>
              </w:rPr>
              <w:t>5.1</w:t>
            </w:r>
          </w:p>
        </w:tc>
        <w:tc>
          <w:tcPr>
            <w:tcW w:w="946" w:type="dxa"/>
            <w:tcBorders>
              <w:top w:val="nil"/>
              <w:bottom w:val="nil"/>
            </w:tcBorders>
          </w:tcPr>
          <w:p w:rsidR="00302B59" w:rsidRPr="00B20172" w:rsidRDefault="00377AC1" w:rsidP="004800E3">
            <w:pPr>
              <w:spacing w:before="0" w:after="0" w:line="240" w:lineRule="auto"/>
              <w:jc w:val="center"/>
              <w:rPr>
                <w:rFonts w:ascii="Arial" w:hAnsi="Arial" w:cs="Arial"/>
                <w:sz w:val="18"/>
                <w:szCs w:val="18"/>
              </w:rPr>
            </w:pPr>
            <w:r w:rsidRPr="00B20172">
              <w:rPr>
                <w:rFonts w:ascii="Arial" w:hAnsi="Arial" w:cs="Arial"/>
                <w:sz w:val="18"/>
                <w:szCs w:val="18"/>
              </w:rPr>
              <w:t>5.6</w:t>
            </w:r>
          </w:p>
        </w:tc>
        <w:tc>
          <w:tcPr>
            <w:tcW w:w="946" w:type="dxa"/>
            <w:tcBorders>
              <w:top w:val="nil"/>
              <w:bottom w:val="nil"/>
            </w:tcBorders>
          </w:tcPr>
          <w:p w:rsidR="00302B59" w:rsidRPr="00B20172" w:rsidRDefault="00377AC1" w:rsidP="004800E3">
            <w:pPr>
              <w:spacing w:before="0" w:after="0" w:line="240" w:lineRule="auto"/>
              <w:jc w:val="center"/>
              <w:rPr>
                <w:rFonts w:ascii="Arial" w:hAnsi="Arial" w:cs="Arial"/>
                <w:sz w:val="18"/>
                <w:szCs w:val="18"/>
              </w:rPr>
            </w:pPr>
            <w:r w:rsidRPr="00B20172">
              <w:rPr>
                <w:rFonts w:ascii="Arial" w:hAnsi="Arial" w:cs="Arial"/>
                <w:sz w:val="18"/>
                <w:szCs w:val="18"/>
              </w:rPr>
              <w:t>5.4</w:t>
            </w:r>
          </w:p>
        </w:tc>
        <w:tc>
          <w:tcPr>
            <w:tcW w:w="946" w:type="dxa"/>
            <w:tcBorders>
              <w:top w:val="nil"/>
              <w:bottom w:val="nil"/>
            </w:tcBorders>
          </w:tcPr>
          <w:p w:rsidR="00302B59" w:rsidRPr="00B20172" w:rsidRDefault="00377AC1" w:rsidP="004800E3">
            <w:pPr>
              <w:spacing w:before="0" w:after="0" w:line="240" w:lineRule="auto"/>
              <w:jc w:val="center"/>
              <w:rPr>
                <w:rFonts w:ascii="Arial" w:hAnsi="Arial" w:cs="Arial"/>
                <w:sz w:val="18"/>
                <w:szCs w:val="18"/>
              </w:rPr>
            </w:pPr>
            <w:r w:rsidRPr="00B20172">
              <w:rPr>
                <w:rFonts w:ascii="Arial" w:hAnsi="Arial" w:cs="Arial"/>
                <w:sz w:val="18"/>
                <w:szCs w:val="18"/>
              </w:rPr>
              <w:t>5.7</w:t>
            </w:r>
          </w:p>
        </w:tc>
      </w:tr>
      <w:tr w:rsidR="00302B59" w:rsidRPr="00B20172" w:rsidTr="002D6686">
        <w:tc>
          <w:tcPr>
            <w:tcW w:w="1127" w:type="dxa"/>
            <w:tcBorders>
              <w:top w:val="nil"/>
              <w:bottom w:val="nil"/>
              <w:right w:val="single" w:sz="18" w:space="0" w:color="auto"/>
            </w:tcBorders>
          </w:tcPr>
          <w:p w:rsidR="00302B59" w:rsidRPr="00B20172" w:rsidRDefault="00302B59" w:rsidP="00302B59">
            <w:pPr>
              <w:spacing w:after="0" w:line="240" w:lineRule="auto"/>
              <w:rPr>
                <w:rFonts w:ascii="Arial" w:hAnsi="Arial" w:cs="Arial"/>
                <w:sz w:val="18"/>
                <w:szCs w:val="18"/>
              </w:rPr>
            </w:pPr>
            <w:r w:rsidRPr="00B20172">
              <w:rPr>
                <w:rFonts w:ascii="Arial" w:hAnsi="Arial" w:cs="Arial"/>
                <w:sz w:val="18"/>
                <w:szCs w:val="18"/>
              </w:rPr>
              <w:t>Case detection</w:t>
            </w:r>
          </w:p>
        </w:tc>
        <w:tc>
          <w:tcPr>
            <w:tcW w:w="1403" w:type="dxa"/>
            <w:tcBorders>
              <w:top w:val="nil"/>
              <w:left w:val="single" w:sz="18" w:space="0" w:color="auto"/>
              <w:bottom w:val="nil"/>
            </w:tcBorders>
            <w:vAlign w:val="center"/>
          </w:tcPr>
          <w:p w:rsidR="00302B59" w:rsidRPr="00B20172" w:rsidRDefault="00302B59" w:rsidP="00C837BB">
            <w:pPr>
              <w:spacing w:after="0" w:line="240" w:lineRule="auto"/>
              <w:jc w:val="left"/>
              <w:rPr>
                <w:rFonts w:ascii="Arial" w:hAnsi="Arial" w:cs="Arial"/>
                <w:sz w:val="18"/>
                <w:szCs w:val="18"/>
              </w:rPr>
            </w:pPr>
            <w:r w:rsidRPr="00B20172">
              <w:rPr>
                <w:rFonts w:ascii="Arial" w:hAnsi="Arial" w:cs="Arial"/>
                <w:sz w:val="18"/>
                <w:szCs w:val="18"/>
              </w:rPr>
              <w:t>Percent</w:t>
            </w:r>
          </w:p>
        </w:tc>
        <w:tc>
          <w:tcPr>
            <w:tcW w:w="946" w:type="dxa"/>
            <w:tcBorders>
              <w:top w:val="nil"/>
              <w:bottom w:val="nil"/>
            </w:tcBorders>
          </w:tcPr>
          <w:p w:rsidR="00377AC1" w:rsidRPr="00B20172" w:rsidRDefault="00377AC1" w:rsidP="004800E3">
            <w:pPr>
              <w:spacing w:after="0" w:line="240" w:lineRule="auto"/>
              <w:jc w:val="center"/>
              <w:rPr>
                <w:rFonts w:ascii="Arial" w:hAnsi="Arial" w:cs="Arial"/>
                <w:sz w:val="18"/>
                <w:szCs w:val="18"/>
              </w:rPr>
            </w:pPr>
            <w:r w:rsidRPr="00B20172">
              <w:rPr>
                <w:rFonts w:ascii="Arial" w:hAnsi="Arial" w:cs="Arial"/>
                <w:sz w:val="18"/>
                <w:szCs w:val="18"/>
              </w:rPr>
              <w:t xml:space="preserve">87 </w:t>
            </w:r>
          </w:p>
          <w:p w:rsidR="00302B59" w:rsidRPr="00B20172" w:rsidRDefault="00377AC1" w:rsidP="004800E3">
            <w:pPr>
              <w:spacing w:after="0" w:line="240" w:lineRule="auto"/>
              <w:jc w:val="center"/>
              <w:rPr>
                <w:rFonts w:ascii="Arial" w:hAnsi="Arial" w:cs="Arial"/>
                <w:sz w:val="18"/>
                <w:szCs w:val="18"/>
              </w:rPr>
            </w:pPr>
            <w:r w:rsidRPr="00B20172">
              <w:rPr>
                <w:rFonts w:ascii="Arial" w:hAnsi="Arial" w:cs="Arial"/>
                <w:sz w:val="18"/>
                <w:szCs w:val="18"/>
              </w:rPr>
              <w:t>(77-99)</w:t>
            </w:r>
          </w:p>
        </w:tc>
        <w:tc>
          <w:tcPr>
            <w:tcW w:w="946" w:type="dxa"/>
            <w:tcBorders>
              <w:top w:val="nil"/>
              <w:bottom w:val="nil"/>
            </w:tcBorders>
          </w:tcPr>
          <w:p w:rsidR="00377AC1" w:rsidRPr="00B20172" w:rsidRDefault="00377AC1" w:rsidP="00377AC1">
            <w:pPr>
              <w:spacing w:after="0" w:line="240" w:lineRule="auto"/>
              <w:jc w:val="center"/>
              <w:rPr>
                <w:rFonts w:ascii="Arial" w:hAnsi="Arial" w:cs="Arial"/>
                <w:sz w:val="18"/>
                <w:szCs w:val="18"/>
              </w:rPr>
            </w:pPr>
            <w:r w:rsidRPr="00B20172">
              <w:rPr>
                <w:rFonts w:ascii="Arial" w:hAnsi="Arial" w:cs="Arial"/>
                <w:sz w:val="18"/>
                <w:szCs w:val="18"/>
              </w:rPr>
              <w:t xml:space="preserve">87 </w:t>
            </w:r>
          </w:p>
          <w:p w:rsidR="00302B59" w:rsidRPr="00B20172" w:rsidRDefault="00377AC1" w:rsidP="00377AC1">
            <w:pPr>
              <w:spacing w:after="0" w:line="240" w:lineRule="auto"/>
              <w:jc w:val="center"/>
              <w:rPr>
                <w:rFonts w:ascii="Arial" w:hAnsi="Arial" w:cs="Arial"/>
                <w:sz w:val="18"/>
                <w:szCs w:val="18"/>
              </w:rPr>
            </w:pPr>
            <w:r w:rsidRPr="00B20172">
              <w:rPr>
                <w:rFonts w:ascii="Arial" w:hAnsi="Arial" w:cs="Arial"/>
                <w:sz w:val="18"/>
                <w:szCs w:val="18"/>
              </w:rPr>
              <w:t>(77-99)</w:t>
            </w:r>
          </w:p>
        </w:tc>
        <w:tc>
          <w:tcPr>
            <w:tcW w:w="946" w:type="dxa"/>
            <w:tcBorders>
              <w:top w:val="nil"/>
              <w:bottom w:val="nil"/>
            </w:tcBorders>
          </w:tcPr>
          <w:p w:rsidR="00377AC1" w:rsidRPr="00B20172" w:rsidRDefault="00377AC1" w:rsidP="00377AC1">
            <w:pPr>
              <w:spacing w:after="0" w:line="240" w:lineRule="auto"/>
              <w:jc w:val="center"/>
              <w:rPr>
                <w:rFonts w:ascii="Arial" w:hAnsi="Arial" w:cs="Arial"/>
                <w:sz w:val="18"/>
                <w:szCs w:val="18"/>
              </w:rPr>
            </w:pPr>
            <w:r w:rsidRPr="00B20172">
              <w:rPr>
                <w:rFonts w:ascii="Arial" w:hAnsi="Arial" w:cs="Arial"/>
                <w:sz w:val="18"/>
                <w:szCs w:val="18"/>
              </w:rPr>
              <w:t xml:space="preserve">87 </w:t>
            </w:r>
          </w:p>
          <w:p w:rsidR="00302B59" w:rsidRPr="00B20172" w:rsidRDefault="00377AC1" w:rsidP="00377AC1">
            <w:pPr>
              <w:spacing w:after="0" w:line="240" w:lineRule="auto"/>
              <w:jc w:val="center"/>
              <w:rPr>
                <w:rFonts w:ascii="Arial" w:hAnsi="Arial" w:cs="Arial"/>
                <w:sz w:val="18"/>
                <w:szCs w:val="18"/>
              </w:rPr>
            </w:pPr>
            <w:r w:rsidRPr="00B20172">
              <w:rPr>
                <w:rFonts w:ascii="Arial" w:hAnsi="Arial" w:cs="Arial"/>
                <w:sz w:val="18"/>
                <w:szCs w:val="18"/>
              </w:rPr>
              <w:t>(77-99)</w:t>
            </w:r>
          </w:p>
        </w:tc>
        <w:tc>
          <w:tcPr>
            <w:tcW w:w="946" w:type="dxa"/>
            <w:tcBorders>
              <w:top w:val="nil"/>
              <w:bottom w:val="nil"/>
            </w:tcBorders>
          </w:tcPr>
          <w:p w:rsidR="00377AC1" w:rsidRPr="00B20172" w:rsidRDefault="00377AC1" w:rsidP="00377AC1">
            <w:pPr>
              <w:spacing w:after="0" w:line="240" w:lineRule="auto"/>
              <w:jc w:val="center"/>
              <w:rPr>
                <w:rFonts w:ascii="Arial" w:hAnsi="Arial" w:cs="Arial"/>
                <w:sz w:val="18"/>
                <w:szCs w:val="18"/>
              </w:rPr>
            </w:pPr>
            <w:r w:rsidRPr="00B20172">
              <w:rPr>
                <w:rFonts w:ascii="Arial" w:hAnsi="Arial" w:cs="Arial"/>
                <w:sz w:val="18"/>
                <w:szCs w:val="18"/>
              </w:rPr>
              <w:t xml:space="preserve">87 </w:t>
            </w:r>
          </w:p>
          <w:p w:rsidR="00302B59" w:rsidRPr="00B20172" w:rsidRDefault="00377AC1" w:rsidP="00377AC1">
            <w:pPr>
              <w:spacing w:after="0" w:line="240" w:lineRule="auto"/>
              <w:jc w:val="center"/>
              <w:rPr>
                <w:rFonts w:ascii="Arial" w:hAnsi="Arial" w:cs="Arial"/>
                <w:sz w:val="18"/>
                <w:szCs w:val="18"/>
              </w:rPr>
            </w:pPr>
            <w:r w:rsidRPr="00B20172">
              <w:rPr>
                <w:rFonts w:ascii="Arial" w:hAnsi="Arial" w:cs="Arial"/>
                <w:sz w:val="18"/>
                <w:szCs w:val="18"/>
              </w:rPr>
              <w:t>(77-99)</w:t>
            </w:r>
          </w:p>
        </w:tc>
        <w:tc>
          <w:tcPr>
            <w:tcW w:w="946" w:type="dxa"/>
            <w:tcBorders>
              <w:top w:val="nil"/>
              <w:bottom w:val="nil"/>
            </w:tcBorders>
          </w:tcPr>
          <w:p w:rsidR="00377AC1" w:rsidRPr="00B20172" w:rsidRDefault="00377AC1" w:rsidP="00377AC1">
            <w:pPr>
              <w:spacing w:after="0" w:line="240" w:lineRule="auto"/>
              <w:jc w:val="center"/>
              <w:rPr>
                <w:rFonts w:ascii="Arial" w:hAnsi="Arial" w:cs="Arial"/>
                <w:sz w:val="18"/>
                <w:szCs w:val="18"/>
              </w:rPr>
            </w:pPr>
            <w:r w:rsidRPr="00B20172">
              <w:rPr>
                <w:rFonts w:ascii="Arial" w:hAnsi="Arial" w:cs="Arial"/>
                <w:sz w:val="18"/>
                <w:szCs w:val="18"/>
              </w:rPr>
              <w:t xml:space="preserve">87 </w:t>
            </w:r>
          </w:p>
          <w:p w:rsidR="00302B59" w:rsidRPr="00B20172" w:rsidRDefault="00377AC1" w:rsidP="00377AC1">
            <w:pPr>
              <w:spacing w:after="0" w:line="240" w:lineRule="auto"/>
              <w:jc w:val="center"/>
              <w:rPr>
                <w:rFonts w:ascii="Arial" w:hAnsi="Arial" w:cs="Arial"/>
                <w:sz w:val="18"/>
                <w:szCs w:val="18"/>
              </w:rPr>
            </w:pPr>
            <w:r w:rsidRPr="00B20172">
              <w:rPr>
                <w:rFonts w:ascii="Arial" w:hAnsi="Arial" w:cs="Arial"/>
                <w:sz w:val="18"/>
                <w:szCs w:val="18"/>
              </w:rPr>
              <w:t>(77-99)</w:t>
            </w:r>
          </w:p>
        </w:tc>
        <w:tc>
          <w:tcPr>
            <w:tcW w:w="946" w:type="dxa"/>
            <w:tcBorders>
              <w:top w:val="nil"/>
              <w:bottom w:val="nil"/>
            </w:tcBorders>
          </w:tcPr>
          <w:p w:rsidR="00377AC1" w:rsidRPr="00B20172" w:rsidRDefault="00377AC1" w:rsidP="00377AC1">
            <w:pPr>
              <w:spacing w:after="0" w:line="240" w:lineRule="auto"/>
              <w:jc w:val="center"/>
              <w:rPr>
                <w:rFonts w:ascii="Arial" w:hAnsi="Arial" w:cs="Arial"/>
                <w:sz w:val="18"/>
                <w:szCs w:val="18"/>
              </w:rPr>
            </w:pPr>
            <w:r w:rsidRPr="00B20172">
              <w:rPr>
                <w:rFonts w:ascii="Arial" w:hAnsi="Arial" w:cs="Arial"/>
                <w:sz w:val="18"/>
                <w:szCs w:val="18"/>
              </w:rPr>
              <w:t xml:space="preserve">87 </w:t>
            </w:r>
          </w:p>
          <w:p w:rsidR="00302B59" w:rsidRPr="00B20172" w:rsidRDefault="00377AC1" w:rsidP="00377AC1">
            <w:pPr>
              <w:spacing w:after="0" w:line="240" w:lineRule="auto"/>
              <w:jc w:val="center"/>
              <w:rPr>
                <w:rFonts w:ascii="Arial" w:hAnsi="Arial" w:cs="Arial"/>
                <w:sz w:val="18"/>
                <w:szCs w:val="18"/>
              </w:rPr>
            </w:pPr>
            <w:r w:rsidRPr="00B20172">
              <w:rPr>
                <w:rFonts w:ascii="Arial" w:hAnsi="Arial" w:cs="Arial"/>
                <w:sz w:val="18"/>
                <w:szCs w:val="18"/>
              </w:rPr>
              <w:t>(77-99)</w:t>
            </w:r>
          </w:p>
        </w:tc>
        <w:tc>
          <w:tcPr>
            <w:tcW w:w="946" w:type="dxa"/>
            <w:tcBorders>
              <w:top w:val="nil"/>
              <w:bottom w:val="nil"/>
            </w:tcBorders>
          </w:tcPr>
          <w:p w:rsidR="00377AC1" w:rsidRPr="00B20172" w:rsidRDefault="00377AC1" w:rsidP="00377AC1">
            <w:pPr>
              <w:spacing w:after="0" w:line="240" w:lineRule="auto"/>
              <w:jc w:val="center"/>
              <w:rPr>
                <w:rFonts w:ascii="Arial" w:hAnsi="Arial" w:cs="Arial"/>
                <w:sz w:val="18"/>
                <w:szCs w:val="18"/>
              </w:rPr>
            </w:pPr>
            <w:r w:rsidRPr="00B20172">
              <w:rPr>
                <w:rFonts w:ascii="Arial" w:hAnsi="Arial" w:cs="Arial"/>
                <w:sz w:val="18"/>
                <w:szCs w:val="18"/>
              </w:rPr>
              <w:t xml:space="preserve">87 </w:t>
            </w:r>
          </w:p>
          <w:p w:rsidR="00302B59" w:rsidRPr="00B20172" w:rsidRDefault="00377AC1" w:rsidP="00377AC1">
            <w:pPr>
              <w:spacing w:after="0" w:line="240" w:lineRule="auto"/>
              <w:jc w:val="center"/>
              <w:rPr>
                <w:rFonts w:ascii="Arial" w:hAnsi="Arial" w:cs="Arial"/>
                <w:sz w:val="18"/>
                <w:szCs w:val="18"/>
              </w:rPr>
            </w:pPr>
            <w:r w:rsidRPr="00B20172">
              <w:rPr>
                <w:rFonts w:ascii="Arial" w:hAnsi="Arial" w:cs="Arial"/>
                <w:sz w:val="18"/>
                <w:szCs w:val="18"/>
              </w:rPr>
              <w:t>(77-99)</w:t>
            </w:r>
          </w:p>
        </w:tc>
      </w:tr>
      <w:tr w:rsidR="002D6686" w:rsidRPr="00B20172" w:rsidTr="002D6686">
        <w:tc>
          <w:tcPr>
            <w:tcW w:w="1127" w:type="dxa"/>
            <w:vMerge w:val="restart"/>
            <w:tcBorders>
              <w:top w:val="nil"/>
              <w:right w:val="single" w:sz="18" w:space="0" w:color="auto"/>
            </w:tcBorders>
          </w:tcPr>
          <w:p w:rsidR="002D6686" w:rsidRPr="00B20172" w:rsidRDefault="002D6686" w:rsidP="00302B59">
            <w:pPr>
              <w:spacing w:after="0" w:line="240" w:lineRule="auto"/>
              <w:rPr>
                <w:rFonts w:ascii="Arial" w:hAnsi="Arial" w:cs="Arial"/>
                <w:sz w:val="18"/>
                <w:szCs w:val="18"/>
              </w:rPr>
            </w:pPr>
            <w:r w:rsidRPr="00B20172">
              <w:rPr>
                <w:rFonts w:ascii="Arial" w:hAnsi="Arial" w:cs="Arial"/>
                <w:sz w:val="18"/>
                <w:szCs w:val="18"/>
              </w:rPr>
              <w:t>Mortality (excluding HIV)</w:t>
            </w:r>
          </w:p>
        </w:tc>
        <w:tc>
          <w:tcPr>
            <w:tcW w:w="1403" w:type="dxa"/>
            <w:tcBorders>
              <w:top w:val="nil"/>
              <w:left w:val="single" w:sz="18" w:space="0" w:color="auto"/>
              <w:bottom w:val="nil"/>
            </w:tcBorders>
            <w:vAlign w:val="center"/>
          </w:tcPr>
          <w:p w:rsidR="002D6686" w:rsidRPr="00B20172" w:rsidRDefault="002D6686" w:rsidP="00C837BB">
            <w:pPr>
              <w:spacing w:after="0" w:line="240" w:lineRule="auto"/>
              <w:jc w:val="left"/>
              <w:rPr>
                <w:rFonts w:ascii="Arial" w:hAnsi="Arial" w:cs="Arial"/>
                <w:sz w:val="18"/>
                <w:szCs w:val="18"/>
              </w:rPr>
            </w:pPr>
            <w:r w:rsidRPr="00B20172">
              <w:rPr>
                <w:rFonts w:ascii="Arial" w:hAnsi="Arial" w:cs="Arial"/>
                <w:sz w:val="18"/>
                <w:szCs w:val="18"/>
              </w:rPr>
              <w:t>Number (thousands)</w:t>
            </w:r>
          </w:p>
        </w:tc>
        <w:tc>
          <w:tcPr>
            <w:tcW w:w="946" w:type="dxa"/>
            <w:tcBorders>
              <w:top w:val="nil"/>
              <w:bottom w:val="nil"/>
            </w:tcBorders>
          </w:tcPr>
          <w:p w:rsidR="002D6686" w:rsidRPr="00B20172" w:rsidRDefault="002D6686" w:rsidP="002D6686">
            <w:pPr>
              <w:spacing w:after="0" w:line="240" w:lineRule="auto"/>
              <w:jc w:val="center"/>
              <w:rPr>
                <w:rFonts w:ascii="Arial" w:hAnsi="Arial" w:cs="Arial"/>
                <w:sz w:val="18"/>
                <w:szCs w:val="18"/>
              </w:rPr>
            </w:pPr>
            <w:r w:rsidRPr="00B20172">
              <w:rPr>
                <w:rFonts w:ascii="Arial" w:hAnsi="Arial" w:cs="Arial"/>
                <w:sz w:val="18"/>
                <w:szCs w:val="18"/>
              </w:rPr>
              <w:t xml:space="preserve">0.061 </w:t>
            </w:r>
          </w:p>
        </w:tc>
        <w:tc>
          <w:tcPr>
            <w:tcW w:w="946" w:type="dxa"/>
            <w:tcBorders>
              <w:top w:val="nil"/>
              <w:bottom w:val="nil"/>
            </w:tcBorders>
          </w:tcPr>
          <w:p w:rsidR="002D6686" w:rsidRPr="00B20172" w:rsidRDefault="002D6686" w:rsidP="002D6686">
            <w:pPr>
              <w:spacing w:after="0" w:line="240" w:lineRule="auto"/>
              <w:jc w:val="center"/>
              <w:rPr>
                <w:rFonts w:ascii="Arial" w:hAnsi="Arial" w:cs="Arial"/>
                <w:sz w:val="18"/>
                <w:szCs w:val="18"/>
              </w:rPr>
            </w:pPr>
            <w:r w:rsidRPr="00B20172">
              <w:rPr>
                <w:rFonts w:ascii="Arial" w:hAnsi="Arial" w:cs="Arial"/>
                <w:sz w:val="18"/>
                <w:szCs w:val="18"/>
              </w:rPr>
              <w:t xml:space="preserve">0.027 </w:t>
            </w:r>
          </w:p>
        </w:tc>
        <w:tc>
          <w:tcPr>
            <w:tcW w:w="946" w:type="dxa"/>
            <w:tcBorders>
              <w:top w:val="nil"/>
              <w:bottom w:val="nil"/>
            </w:tcBorders>
          </w:tcPr>
          <w:p w:rsidR="002D6686" w:rsidRPr="00B20172" w:rsidRDefault="002D6686" w:rsidP="002D6686">
            <w:pPr>
              <w:spacing w:after="0" w:line="240" w:lineRule="auto"/>
              <w:jc w:val="center"/>
              <w:rPr>
                <w:rFonts w:ascii="Arial" w:hAnsi="Arial" w:cs="Arial"/>
                <w:sz w:val="18"/>
                <w:szCs w:val="18"/>
              </w:rPr>
            </w:pPr>
            <w:r w:rsidRPr="00B20172">
              <w:rPr>
                <w:rFonts w:ascii="Arial" w:hAnsi="Arial" w:cs="Arial"/>
                <w:sz w:val="18"/>
                <w:szCs w:val="18"/>
              </w:rPr>
              <w:t>0.036</w:t>
            </w:r>
            <w:r w:rsidRPr="00B20172">
              <w:rPr>
                <w:rFonts w:ascii="Arial" w:hAnsi="Arial" w:cs="Arial"/>
                <w:sz w:val="12"/>
                <w:szCs w:val="12"/>
              </w:rPr>
              <w:t>)</w:t>
            </w:r>
          </w:p>
        </w:tc>
        <w:tc>
          <w:tcPr>
            <w:tcW w:w="946" w:type="dxa"/>
            <w:tcBorders>
              <w:top w:val="nil"/>
              <w:bottom w:val="nil"/>
            </w:tcBorders>
          </w:tcPr>
          <w:p w:rsidR="002D6686" w:rsidRPr="00B20172" w:rsidRDefault="002D6686" w:rsidP="002D6686">
            <w:pPr>
              <w:spacing w:after="0" w:line="240" w:lineRule="auto"/>
              <w:jc w:val="center"/>
              <w:rPr>
                <w:rFonts w:ascii="Arial" w:hAnsi="Arial" w:cs="Arial"/>
                <w:sz w:val="18"/>
                <w:szCs w:val="18"/>
              </w:rPr>
            </w:pPr>
            <w:r w:rsidRPr="00B20172">
              <w:rPr>
                <w:rFonts w:ascii="Arial" w:hAnsi="Arial" w:cs="Arial"/>
                <w:sz w:val="18"/>
                <w:szCs w:val="18"/>
              </w:rPr>
              <w:t xml:space="preserve">0.041 </w:t>
            </w:r>
          </w:p>
        </w:tc>
        <w:tc>
          <w:tcPr>
            <w:tcW w:w="946" w:type="dxa"/>
            <w:tcBorders>
              <w:top w:val="nil"/>
              <w:bottom w:val="nil"/>
            </w:tcBorders>
          </w:tcPr>
          <w:p w:rsidR="002D6686" w:rsidRPr="00B20172" w:rsidRDefault="002D6686" w:rsidP="002D6686">
            <w:pPr>
              <w:spacing w:after="0" w:line="240" w:lineRule="auto"/>
              <w:jc w:val="center"/>
              <w:rPr>
                <w:rFonts w:ascii="Arial" w:hAnsi="Arial" w:cs="Arial"/>
                <w:sz w:val="18"/>
                <w:szCs w:val="18"/>
              </w:rPr>
            </w:pPr>
            <w:r w:rsidRPr="00B20172">
              <w:rPr>
                <w:rFonts w:ascii="Arial" w:hAnsi="Arial" w:cs="Arial"/>
                <w:sz w:val="18"/>
                <w:szCs w:val="18"/>
              </w:rPr>
              <w:t xml:space="preserve">0.051 </w:t>
            </w:r>
          </w:p>
        </w:tc>
        <w:tc>
          <w:tcPr>
            <w:tcW w:w="946" w:type="dxa"/>
            <w:tcBorders>
              <w:top w:val="nil"/>
              <w:bottom w:val="nil"/>
            </w:tcBorders>
          </w:tcPr>
          <w:p w:rsidR="002D6686" w:rsidRPr="00B20172" w:rsidRDefault="002D6686" w:rsidP="002D6686">
            <w:pPr>
              <w:spacing w:after="0" w:line="240" w:lineRule="auto"/>
              <w:jc w:val="center"/>
              <w:rPr>
                <w:rFonts w:ascii="Arial" w:hAnsi="Arial" w:cs="Arial"/>
                <w:sz w:val="18"/>
                <w:szCs w:val="18"/>
              </w:rPr>
            </w:pPr>
            <w:r w:rsidRPr="00B20172">
              <w:rPr>
                <w:rFonts w:ascii="Arial" w:hAnsi="Arial" w:cs="Arial"/>
                <w:sz w:val="18"/>
                <w:szCs w:val="18"/>
              </w:rPr>
              <w:t xml:space="preserve">0.04 </w:t>
            </w:r>
          </w:p>
        </w:tc>
        <w:tc>
          <w:tcPr>
            <w:tcW w:w="946" w:type="dxa"/>
            <w:tcBorders>
              <w:top w:val="nil"/>
              <w:bottom w:val="nil"/>
            </w:tcBorders>
          </w:tcPr>
          <w:p w:rsidR="002D6686" w:rsidRPr="00B20172" w:rsidRDefault="002D6686" w:rsidP="002D6686">
            <w:pPr>
              <w:spacing w:after="0" w:line="240" w:lineRule="auto"/>
              <w:jc w:val="center"/>
              <w:rPr>
                <w:rFonts w:ascii="Arial" w:hAnsi="Arial" w:cs="Arial"/>
                <w:sz w:val="18"/>
                <w:szCs w:val="18"/>
              </w:rPr>
            </w:pPr>
            <w:r w:rsidRPr="00B20172">
              <w:rPr>
                <w:rFonts w:ascii="Arial" w:hAnsi="Arial" w:cs="Arial"/>
                <w:sz w:val="18"/>
                <w:szCs w:val="18"/>
              </w:rPr>
              <w:t xml:space="preserve">0.045 </w:t>
            </w:r>
          </w:p>
        </w:tc>
      </w:tr>
      <w:tr w:rsidR="002D6686" w:rsidRPr="00B20172" w:rsidTr="002D6686">
        <w:tc>
          <w:tcPr>
            <w:tcW w:w="1127" w:type="dxa"/>
            <w:vMerge/>
            <w:tcBorders>
              <w:right w:val="single" w:sz="18" w:space="0" w:color="auto"/>
            </w:tcBorders>
          </w:tcPr>
          <w:p w:rsidR="002D6686" w:rsidRPr="00B20172" w:rsidRDefault="002D6686" w:rsidP="00302B59">
            <w:pPr>
              <w:spacing w:after="0" w:line="240" w:lineRule="auto"/>
              <w:rPr>
                <w:rFonts w:ascii="Arial" w:hAnsi="Arial" w:cs="Arial"/>
                <w:sz w:val="18"/>
                <w:szCs w:val="18"/>
              </w:rPr>
            </w:pPr>
          </w:p>
        </w:tc>
        <w:tc>
          <w:tcPr>
            <w:tcW w:w="1403" w:type="dxa"/>
            <w:tcBorders>
              <w:top w:val="nil"/>
              <w:left w:val="single" w:sz="18" w:space="0" w:color="auto"/>
              <w:bottom w:val="nil"/>
            </w:tcBorders>
            <w:vAlign w:val="center"/>
          </w:tcPr>
          <w:p w:rsidR="002D6686" w:rsidRPr="00B20172" w:rsidRDefault="002D6686" w:rsidP="00C837BB">
            <w:pPr>
              <w:spacing w:after="0" w:line="240" w:lineRule="auto"/>
              <w:jc w:val="left"/>
              <w:rPr>
                <w:rFonts w:ascii="Arial" w:hAnsi="Arial" w:cs="Arial"/>
                <w:sz w:val="18"/>
                <w:szCs w:val="18"/>
              </w:rPr>
            </w:pPr>
            <w:r w:rsidRPr="00B20172">
              <w:rPr>
                <w:rFonts w:ascii="Arial" w:hAnsi="Arial" w:cs="Arial"/>
                <w:sz w:val="18"/>
                <w:szCs w:val="18"/>
              </w:rPr>
              <w:t>Rate</w:t>
            </w:r>
            <w:r w:rsidRPr="00B20172">
              <w:rPr>
                <w:rFonts w:ascii="Arial" w:hAnsi="Arial" w:cs="Arial"/>
                <w:sz w:val="18"/>
                <w:szCs w:val="18"/>
                <w:vertAlign w:val="superscript"/>
              </w:rPr>
              <w:t>a</w:t>
            </w:r>
          </w:p>
        </w:tc>
        <w:tc>
          <w:tcPr>
            <w:tcW w:w="946" w:type="dxa"/>
            <w:tcBorders>
              <w:top w:val="nil"/>
              <w:bottom w:val="nil"/>
            </w:tcBorders>
          </w:tcPr>
          <w:p w:rsidR="002D6686" w:rsidRPr="00B20172" w:rsidRDefault="002D6686" w:rsidP="004800E3">
            <w:pPr>
              <w:spacing w:after="0" w:line="240" w:lineRule="auto"/>
              <w:jc w:val="center"/>
              <w:rPr>
                <w:rFonts w:ascii="Arial" w:hAnsi="Arial" w:cs="Arial"/>
                <w:sz w:val="18"/>
                <w:szCs w:val="18"/>
              </w:rPr>
            </w:pPr>
            <w:r w:rsidRPr="00B20172">
              <w:rPr>
                <w:rFonts w:ascii="Arial" w:hAnsi="Arial" w:cs="Arial"/>
                <w:sz w:val="18"/>
                <w:szCs w:val="18"/>
              </w:rPr>
              <w:t>0.36</w:t>
            </w:r>
          </w:p>
        </w:tc>
        <w:tc>
          <w:tcPr>
            <w:tcW w:w="946" w:type="dxa"/>
            <w:tcBorders>
              <w:top w:val="nil"/>
              <w:bottom w:val="nil"/>
            </w:tcBorders>
          </w:tcPr>
          <w:p w:rsidR="002D6686" w:rsidRPr="00B20172" w:rsidRDefault="002D6686" w:rsidP="00377AC1">
            <w:pPr>
              <w:spacing w:after="0" w:line="240" w:lineRule="auto"/>
              <w:jc w:val="center"/>
              <w:rPr>
                <w:rFonts w:ascii="Arial" w:hAnsi="Arial" w:cs="Arial"/>
                <w:sz w:val="18"/>
                <w:szCs w:val="18"/>
              </w:rPr>
            </w:pPr>
            <w:r w:rsidRPr="00B20172">
              <w:rPr>
                <w:rFonts w:ascii="Arial" w:hAnsi="Arial" w:cs="Arial"/>
                <w:sz w:val="18"/>
                <w:szCs w:val="18"/>
              </w:rPr>
              <w:t>0.15</w:t>
            </w:r>
          </w:p>
        </w:tc>
        <w:tc>
          <w:tcPr>
            <w:tcW w:w="946" w:type="dxa"/>
            <w:tcBorders>
              <w:top w:val="nil"/>
              <w:bottom w:val="nil"/>
            </w:tcBorders>
          </w:tcPr>
          <w:p w:rsidR="002D6686" w:rsidRPr="00B20172" w:rsidRDefault="002D6686" w:rsidP="00377AC1">
            <w:pPr>
              <w:spacing w:after="0" w:line="240" w:lineRule="auto"/>
              <w:jc w:val="center"/>
              <w:rPr>
                <w:rFonts w:ascii="Arial" w:hAnsi="Arial" w:cs="Arial"/>
                <w:sz w:val="18"/>
                <w:szCs w:val="18"/>
              </w:rPr>
            </w:pPr>
            <w:r w:rsidRPr="00B20172">
              <w:rPr>
                <w:rFonts w:ascii="Arial" w:hAnsi="Arial" w:cs="Arial"/>
                <w:sz w:val="18"/>
                <w:szCs w:val="18"/>
              </w:rPr>
              <w:t>0.19</w:t>
            </w:r>
          </w:p>
        </w:tc>
        <w:tc>
          <w:tcPr>
            <w:tcW w:w="946" w:type="dxa"/>
            <w:tcBorders>
              <w:top w:val="nil"/>
              <w:bottom w:val="nil"/>
            </w:tcBorders>
          </w:tcPr>
          <w:p w:rsidR="002D6686" w:rsidRPr="00B20172" w:rsidRDefault="002D6686" w:rsidP="00377AC1">
            <w:pPr>
              <w:spacing w:after="0" w:line="240" w:lineRule="auto"/>
              <w:jc w:val="center"/>
              <w:rPr>
                <w:rFonts w:ascii="Arial" w:hAnsi="Arial" w:cs="Arial"/>
                <w:sz w:val="18"/>
                <w:szCs w:val="18"/>
              </w:rPr>
            </w:pPr>
            <w:r w:rsidRPr="00B20172">
              <w:rPr>
                <w:rFonts w:ascii="Arial" w:hAnsi="Arial" w:cs="Arial"/>
                <w:sz w:val="18"/>
                <w:szCs w:val="18"/>
              </w:rPr>
              <w:t>0.2</w:t>
            </w:r>
          </w:p>
        </w:tc>
        <w:tc>
          <w:tcPr>
            <w:tcW w:w="946" w:type="dxa"/>
            <w:tcBorders>
              <w:top w:val="nil"/>
              <w:bottom w:val="nil"/>
            </w:tcBorders>
          </w:tcPr>
          <w:p w:rsidR="002D6686" w:rsidRPr="00B20172" w:rsidRDefault="002D6686" w:rsidP="00377AC1">
            <w:pPr>
              <w:spacing w:after="0" w:line="240" w:lineRule="auto"/>
              <w:jc w:val="center"/>
              <w:rPr>
                <w:rFonts w:ascii="Arial" w:hAnsi="Arial" w:cs="Arial"/>
                <w:sz w:val="18"/>
                <w:szCs w:val="18"/>
              </w:rPr>
            </w:pPr>
            <w:r w:rsidRPr="00B20172">
              <w:rPr>
                <w:rFonts w:ascii="Arial" w:hAnsi="Arial" w:cs="Arial"/>
                <w:sz w:val="18"/>
                <w:szCs w:val="18"/>
              </w:rPr>
              <w:t>0.23</w:t>
            </w:r>
          </w:p>
        </w:tc>
        <w:tc>
          <w:tcPr>
            <w:tcW w:w="946" w:type="dxa"/>
            <w:tcBorders>
              <w:top w:val="nil"/>
              <w:bottom w:val="nil"/>
            </w:tcBorders>
          </w:tcPr>
          <w:p w:rsidR="002D6686" w:rsidRPr="00B20172" w:rsidRDefault="002D6686" w:rsidP="00377AC1">
            <w:pPr>
              <w:spacing w:after="0" w:line="240" w:lineRule="auto"/>
              <w:jc w:val="center"/>
              <w:rPr>
                <w:rFonts w:ascii="Arial" w:hAnsi="Arial" w:cs="Arial"/>
                <w:sz w:val="18"/>
                <w:szCs w:val="18"/>
              </w:rPr>
            </w:pPr>
            <w:r w:rsidRPr="00B20172">
              <w:rPr>
                <w:rFonts w:ascii="Arial" w:hAnsi="Arial" w:cs="Arial"/>
                <w:sz w:val="18"/>
                <w:szCs w:val="18"/>
              </w:rPr>
              <w:t>0.18</w:t>
            </w:r>
          </w:p>
        </w:tc>
        <w:tc>
          <w:tcPr>
            <w:tcW w:w="946" w:type="dxa"/>
            <w:tcBorders>
              <w:top w:val="nil"/>
              <w:bottom w:val="nil"/>
            </w:tcBorders>
          </w:tcPr>
          <w:p w:rsidR="002D6686" w:rsidRPr="00B20172" w:rsidRDefault="002D6686" w:rsidP="00377AC1">
            <w:pPr>
              <w:spacing w:after="0" w:line="240" w:lineRule="auto"/>
              <w:jc w:val="center"/>
              <w:rPr>
                <w:rFonts w:ascii="Arial" w:hAnsi="Arial" w:cs="Arial"/>
                <w:sz w:val="18"/>
                <w:szCs w:val="18"/>
              </w:rPr>
            </w:pPr>
            <w:r w:rsidRPr="00B20172">
              <w:rPr>
                <w:rFonts w:ascii="Arial" w:hAnsi="Arial" w:cs="Arial"/>
                <w:sz w:val="18"/>
                <w:szCs w:val="18"/>
              </w:rPr>
              <w:t>0.19</w:t>
            </w:r>
          </w:p>
        </w:tc>
      </w:tr>
      <w:tr w:rsidR="005303F5" w:rsidRPr="00B20172" w:rsidTr="00621D49">
        <w:tc>
          <w:tcPr>
            <w:tcW w:w="1127" w:type="dxa"/>
            <w:vMerge w:val="restart"/>
            <w:tcBorders>
              <w:right w:val="single" w:sz="18" w:space="0" w:color="auto"/>
            </w:tcBorders>
            <w:vAlign w:val="center"/>
          </w:tcPr>
          <w:p w:rsidR="005303F5" w:rsidRPr="00B20172" w:rsidRDefault="005303F5" w:rsidP="005303F5">
            <w:pPr>
              <w:spacing w:after="0" w:line="240" w:lineRule="auto"/>
              <w:jc w:val="left"/>
              <w:rPr>
                <w:rFonts w:ascii="Arial" w:hAnsi="Arial" w:cs="Arial"/>
                <w:sz w:val="18"/>
                <w:szCs w:val="18"/>
              </w:rPr>
            </w:pPr>
            <w:r w:rsidRPr="00B20172">
              <w:rPr>
                <w:rFonts w:ascii="Arial" w:hAnsi="Arial" w:cs="Arial"/>
                <w:sz w:val="18"/>
                <w:szCs w:val="18"/>
              </w:rPr>
              <w:t>Prevalence (including HIV)</w:t>
            </w:r>
          </w:p>
        </w:tc>
        <w:tc>
          <w:tcPr>
            <w:tcW w:w="1403" w:type="dxa"/>
            <w:tcBorders>
              <w:top w:val="nil"/>
              <w:left w:val="single" w:sz="18" w:space="0" w:color="auto"/>
              <w:bottom w:val="nil"/>
            </w:tcBorders>
            <w:vAlign w:val="center"/>
          </w:tcPr>
          <w:p w:rsidR="005303F5" w:rsidRPr="00B20172" w:rsidRDefault="005303F5" w:rsidP="00C837BB">
            <w:pPr>
              <w:spacing w:after="0" w:line="240" w:lineRule="auto"/>
              <w:jc w:val="left"/>
              <w:rPr>
                <w:rFonts w:ascii="Arial" w:hAnsi="Arial" w:cs="Arial"/>
                <w:sz w:val="18"/>
                <w:szCs w:val="18"/>
              </w:rPr>
            </w:pPr>
            <w:r w:rsidRPr="00B20172">
              <w:rPr>
                <w:rFonts w:ascii="Arial" w:hAnsi="Arial" w:cs="Arial"/>
                <w:sz w:val="18"/>
                <w:szCs w:val="18"/>
              </w:rPr>
              <w:t>Number (thousands)</w:t>
            </w:r>
          </w:p>
        </w:tc>
        <w:tc>
          <w:tcPr>
            <w:tcW w:w="946" w:type="dxa"/>
            <w:tcBorders>
              <w:top w:val="nil"/>
              <w:bottom w:val="nil"/>
            </w:tcBorders>
          </w:tcPr>
          <w:p w:rsidR="005303F5" w:rsidRPr="00B20172" w:rsidRDefault="005303F5" w:rsidP="004800E3">
            <w:pPr>
              <w:spacing w:after="0" w:line="240" w:lineRule="auto"/>
              <w:jc w:val="center"/>
              <w:rPr>
                <w:rFonts w:ascii="Arial" w:hAnsi="Arial" w:cs="Arial"/>
                <w:sz w:val="18"/>
                <w:szCs w:val="18"/>
              </w:rPr>
            </w:pPr>
            <w:r w:rsidRPr="00B20172">
              <w:rPr>
                <w:rFonts w:ascii="Arial" w:hAnsi="Arial" w:cs="Arial"/>
                <w:sz w:val="18"/>
                <w:szCs w:val="18"/>
              </w:rPr>
              <w:t>1.7</w:t>
            </w:r>
          </w:p>
          <w:p w:rsidR="005303F5" w:rsidRPr="00B20172" w:rsidRDefault="005303F5" w:rsidP="004800E3">
            <w:pPr>
              <w:spacing w:after="0" w:line="240" w:lineRule="auto"/>
              <w:jc w:val="center"/>
              <w:rPr>
                <w:rFonts w:ascii="Arial" w:hAnsi="Arial" w:cs="Arial"/>
                <w:sz w:val="12"/>
                <w:szCs w:val="12"/>
              </w:rPr>
            </w:pPr>
            <w:r w:rsidRPr="00B20172">
              <w:rPr>
                <w:rFonts w:ascii="Arial" w:hAnsi="Arial" w:cs="Arial"/>
                <w:sz w:val="12"/>
                <w:szCs w:val="12"/>
              </w:rPr>
              <w:t>(0.750-2.9)</w:t>
            </w:r>
          </w:p>
        </w:tc>
        <w:tc>
          <w:tcPr>
            <w:tcW w:w="946" w:type="dxa"/>
            <w:tcBorders>
              <w:top w:val="nil"/>
              <w:bottom w:val="nil"/>
            </w:tcBorders>
          </w:tcPr>
          <w:p w:rsidR="005303F5" w:rsidRPr="00B20172" w:rsidRDefault="005303F5" w:rsidP="005303F5">
            <w:pPr>
              <w:spacing w:after="0" w:line="240" w:lineRule="auto"/>
              <w:jc w:val="center"/>
              <w:rPr>
                <w:rFonts w:ascii="Arial" w:hAnsi="Arial" w:cs="Arial"/>
                <w:sz w:val="18"/>
                <w:szCs w:val="18"/>
              </w:rPr>
            </w:pPr>
            <w:r w:rsidRPr="00B20172">
              <w:rPr>
                <w:rFonts w:ascii="Arial" w:hAnsi="Arial" w:cs="Arial"/>
                <w:sz w:val="18"/>
                <w:szCs w:val="18"/>
              </w:rPr>
              <w:t>1.7</w:t>
            </w:r>
          </w:p>
          <w:p w:rsidR="005303F5" w:rsidRPr="00B20172" w:rsidRDefault="005303F5" w:rsidP="005303F5">
            <w:pPr>
              <w:spacing w:after="0" w:line="240" w:lineRule="auto"/>
              <w:jc w:val="center"/>
              <w:rPr>
                <w:rFonts w:ascii="Arial" w:hAnsi="Arial" w:cs="Arial"/>
                <w:sz w:val="18"/>
                <w:szCs w:val="18"/>
              </w:rPr>
            </w:pPr>
            <w:r w:rsidRPr="00B20172">
              <w:rPr>
                <w:rFonts w:ascii="Arial" w:hAnsi="Arial" w:cs="Arial"/>
                <w:sz w:val="12"/>
                <w:szCs w:val="12"/>
              </w:rPr>
              <w:t>(0.740-3.0)</w:t>
            </w:r>
          </w:p>
        </w:tc>
        <w:tc>
          <w:tcPr>
            <w:tcW w:w="946" w:type="dxa"/>
            <w:tcBorders>
              <w:top w:val="nil"/>
              <w:bottom w:val="nil"/>
            </w:tcBorders>
          </w:tcPr>
          <w:p w:rsidR="005303F5" w:rsidRPr="00B20172" w:rsidRDefault="005303F5" w:rsidP="005303F5">
            <w:pPr>
              <w:spacing w:after="0" w:line="240" w:lineRule="auto"/>
              <w:jc w:val="center"/>
              <w:rPr>
                <w:rFonts w:ascii="Arial" w:hAnsi="Arial" w:cs="Arial"/>
                <w:sz w:val="18"/>
                <w:szCs w:val="18"/>
              </w:rPr>
            </w:pPr>
            <w:r w:rsidRPr="00B20172">
              <w:rPr>
                <w:rFonts w:ascii="Arial" w:hAnsi="Arial" w:cs="Arial"/>
                <w:sz w:val="18"/>
                <w:szCs w:val="18"/>
              </w:rPr>
              <w:t>1.7</w:t>
            </w:r>
          </w:p>
          <w:p w:rsidR="005303F5" w:rsidRPr="00B20172" w:rsidRDefault="005303F5" w:rsidP="005303F5">
            <w:pPr>
              <w:spacing w:after="0" w:line="240" w:lineRule="auto"/>
              <w:jc w:val="center"/>
              <w:rPr>
                <w:rFonts w:ascii="Arial" w:hAnsi="Arial" w:cs="Arial"/>
                <w:sz w:val="18"/>
                <w:szCs w:val="18"/>
              </w:rPr>
            </w:pPr>
            <w:r w:rsidRPr="00B20172">
              <w:rPr>
                <w:rFonts w:ascii="Arial" w:hAnsi="Arial" w:cs="Arial"/>
                <w:sz w:val="12"/>
                <w:szCs w:val="12"/>
              </w:rPr>
              <w:t>(0.740-3.0)</w:t>
            </w:r>
          </w:p>
        </w:tc>
        <w:tc>
          <w:tcPr>
            <w:tcW w:w="946" w:type="dxa"/>
            <w:tcBorders>
              <w:top w:val="nil"/>
              <w:bottom w:val="nil"/>
            </w:tcBorders>
          </w:tcPr>
          <w:p w:rsidR="005303F5" w:rsidRPr="00B20172" w:rsidRDefault="005303F5" w:rsidP="005303F5">
            <w:pPr>
              <w:spacing w:after="0" w:line="240" w:lineRule="auto"/>
              <w:jc w:val="center"/>
              <w:rPr>
                <w:rFonts w:ascii="Arial" w:hAnsi="Arial" w:cs="Arial"/>
                <w:sz w:val="18"/>
                <w:szCs w:val="18"/>
              </w:rPr>
            </w:pPr>
            <w:r w:rsidRPr="00B20172">
              <w:rPr>
                <w:rFonts w:ascii="Arial" w:hAnsi="Arial" w:cs="Arial"/>
                <w:sz w:val="18"/>
                <w:szCs w:val="18"/>
              </w:rPr>
              <w:t>1.6</w:t>
            </w:r>
          </w:p>
          <w:p w:rsidR="005303F5" w:rsidRPr="00B20172" w:rsidRDefault="005303F5" w:rsidP="005303F5">
            <w:pPr>
              <w:spacing w:after="0" w:line="240" w:lineRule="auto"/>
              <w:jc w:val="center"/>
              <w:rPr>
                <w:rFonts w:ascii="Arial" w:hAnsi="Arial" w:cs="Arial"/>
                <w:sz w:val="18"/>
                <w:szCs w:val="18"/>
              </w:rPr>
            </w:pPr>
            <w:r w:rsidRPr="00B20172">
              <w:rPr>
                <w:rFonts w:ascii="Arial" w:hAnsi="Arial" w:cs="Arial"/>
                <w:sz w:val="12"/>
                <w:szCs w:val="12"/>
              </w:rPr>
              <w:t>(0.650-3.0)</w:t>
            </w:r>
          </w:p>
        </w:tc>
        <w:tc>
          <w:tcPr>
            <w:tcW w:w="946" w:type="dxa"/>
            <w:tcBorders>
              <w:top w:val="nil"/>
              <w:bottom w:val="nil"/>
            </w:tcBorders>
          </w:tcPr>
          <w:p w:rsidR="005303F5" w:rsidRPr="00B20172" w:rsidRDefault="005303F5" w:rsidP="005303F5">
            <w:pPr>
              <w:spacing w:after="0" w:line="240" w:lineRule="auto"/>
              <w:jc w:val="center"/>
              <w:rPr>
                <w:rFonts w:ascii="Arial" w:hAnsi="Arial" w:cs="Arial"/>
                <w:sz w:val="18"/>
                <w:szCs w:val="18"/>
              </w:rPr>
            </w:pPr>
            <w:r w:rsidRPr="00B20172">
              <w:rPr>
                <w:rFonts w:ascii="Arial" w:hAnsi="Arial" w:cs="Arial"/>
                <w:sz w:val="18"/>
                <w:szCs w:val="18"/>
              </w:rPr>
              <w:t>2.0</w:t>
            </w:r>
          </w:p>
          <w:p w:rsidR="005303F5" w:rsidRPr="00B20172" w:rsidRDefault="005303F5" w:rsidP="005303F5">
            <w:pPr>
              <w:spacing w:after="0" w:line="240" w:lineRule="auto"/>
              <w:jc w:val="center"/>
              <w:rPr>
                <w:rFonts w:ascii="Arial" w:hAnsi="Arial" w:cs="Arial"/>
                <w:sz w:val="18"/>
                <w:szCs w:val="18"/>
              </w:rPr>
            </w:pPr>
            <w:r w:rsidRPr="00B20172">
              <w:rPr>
                <w:rFonts w:ascii="Arial" w:hAnsi="Arial" w:cs="Arial"/>
                <w:sz w:val="12"/>
                <w:szCs w:val="12"/>
              </w:rPr>
              <w:t>(0.830-3.6)</w:t>
            </w:r>
          </w:p>
        </w:tc>
        <w:tc>
          <w:tcPr>
            <w:tcW w:w="946" w:type="dxa"/>
            <w:tcBorders>
              <w:top w:val="nil"/>
              <w:bottom w:val="nil"/>
            </w:tcBorders>
          </w:tcPr>
          <w:p w:rsidR="005303F5" w:rsidRPr="00B20172" w:rsidRDefault="005303F5" w:rsidP="005303F5">
            <w:pPr>
              <w:spacing w:after="0" w:line="240" w:lineRule="auto"/>
              <w:jc w:val="center"/>
              <w:rPr>
                <w:rFonts w:ascii="Arial" w:hAnsi="Arial" w:cs="Arial"/>
                <w:sz w:val="18"/>
                <w:szCs w:val="18"/>
              </w:rPr>
            </w:pPr>
            <w:r w:rsidRPr="00B20172">
              <w:rPr>
                <w:rFonts w:ascii="Arial" w:hAnsi="Arial" w:cs="Arial"/>
                <w:sz w:val="18"/>
                <w:szCs w:val="18"/>
              </w:rPr>
              <w:t>1.9</w:t>
            </w:r>
          </w:p>
          <w:p w:rsidR="005303F5" w:rsidRPr="00B20172" w:rsidRDefault="005303F5" w:rsidP="005303F5">
            <w:pPr>
              <w:spacing w:after="0" w:line="240" w:lineRule="auto"/>
              <w:jc w:val="center"/>
              <w:rPr>
                <w:rFonts w:ascii="Arial" w:hAnsi="Arial" w:cs="Arial"/>
                <w:sz w:val="18"/>
                <w:szCs w:val="18"/>
              </w:rPr>
            </w:pPr>
            <w:r w:rsidRPr="00B20172">
              <w:rPr>
                <w:rFonts w:ascii="Arial" w:hAnsi="Arial" w:cs="Arial"/>
                <w:sz w:val="12"/>
                <w:szCs w:val="12"/>
              </w:rPr>
              <w:t>(0.740-3.0)</w:t>
            </w:r>
          </w:p>
        </w:tc>
        <w:tc>
          <w:tcPr>
            <w:tcW w:w="946" w:type="dxa"/>
            <w:tcBorders>
              <w:top w:val="nil"/>
              <w:bottom w:val="nil"/>
            </w:tcBorders>
          </w:tcPr>
          <w:p w:rsidR="005303F5" w:rsidRPr="00B20172" w:rsidRDefault="005303F5" w:rsidP="005303F5">
            <w:pPr>
              <w:spacing w:after="0" w:line="240" w:lineRule="auto"/>
              <w:jc w:val="center"/>
              <w:rPr>
                <w:rFonts w:ascii="Arial" w:hAnsi="Arial" w:cs="Arial"/>
                <w:sz w:val="18"/>
                <w:szCs w:val="18"/>
              </w:rPr>
            </w:pPr>
            <w:r w:rsidRPr="00B20172">
              <w:rPr>
                <w:rFonts w:ascii="Arial" w:hAnsi="Arial" w:cs="Arial"/>
                <w:sz w:val="18"/>
                <w:szCs w:val="18"/>
              </w:rPr>
              <w:t>2.0</w:t>
            </w:r>
          </w:p>
          <w:p w:rsidR="005303F5" w:rsidRPr="00B20172" w:rsidRDefault="005303F5" w:rsidP="005303F5">
            <w:pPr>
              <w:spacing w:after="0" w:line="240" w:lineRule="auto"/>
              <w:jc w:val="center"/>
              <w:rPr>
                <w:rFonts w:ascii="Arial" w:hAnsi="Arial" w:cs="Arial"/>
                <w:sz w:val="18"/>
                <w:szCs w:val="18"/>
              </w:rPr>
            </w:pPr>
            <w:r w:rsidRPr="00B20172">
              <w:rPr>
                <w:rFonts w:ascii="Arial" w:hAnsi="Arial" w:cs="Arial"/>
                <w:sz w:val="12"/>
                <w:szCs w:val="12"/>
              </w:rPr>
              <w:t>(0.860-3.7)</w:t>
            </w:r>
          </w:p>
        </w:tc>
      </w:tr>
      <w:tr w:rsidR="005303F5" w:rsidRPr="00B20172" w:rsidTr="00621D49">
        <w:tc>
          <w:tcPr>
            <w:tcW w:w="1127" w:type="dxa"/>
            <w:vMerge/>
            <w:tcBorders>
              <w:right w:val="single" w:sz="18" w:space="0" w:color="auto"/>
            </w:tcBorders>
          </w:tcPr>
          <w:p w:rsidR="005303F5" w:rsidRPr="00B20172" w:rsidRDefault="005303F5" w:rsidP="00302B59">
            <w:pPr>
              <w:spacing w:after="0" w:line="240" w:lineRule="auto"/>
              <w:rPr>
                <w:rFonts w:ascii="Arial" w:hAnsi="Arial" w:cs="Arial"/>
                <w:sz w:val="18"/>
                <w:szCs w:val="18"/>
              </w:rPr>
            </w:pPr>
          </w:p>
        </w:tc>
        <w:tc>
          <w:tcPr>
            <w:tcW w:w="1403" w:type="dxa"/>
            <w:tcBorders>
              <w:top w:val="nil"/>
              <w:left w:val="single" w:sz="18" w:space="0" w:color="auto"/>
              <w:bottom w:val="single" w:sz="4" w:space="0" w:color="auto"/>
            </w:tcBorders>
            <w:vAlign w:val="center"/>
          </w:tcPr>
          <w:p w:rsidR="005303F5" w:rsidRPr="00B20172" w:rsidRDefault="005303F5" w:rsidP="00C837BB">
            <w:pPr>
              <w:spacing w:after="0" w:line="240" w:lineRule="auto"/>
              <w:jc w:val="left"/>
              <w:rPr>
                <w:rFonts w:ascii="Arial" w:hAnsi="Arial" w:cs="Arial"/>
                <w:sz w:val="18"/>
                <w:szCs w:val="18"/>
              </w:rPr>
            </w:pPr>
            <w:r w:rsidRPr="00B20172">
              <w:rPr>
                <w:rFonts w:ascii="Arial" w:hAnsi="Arial" w:cs="Arial"/>
                <w:sz w:val="18"/>
                <w:szCs w:val="18"/>
              </w:rPr>
              <w:t>Rate</w:t>
            </w:r>
            <w:r w:rsidRPr="00B20172">
              <w:rPr>
                <w:rFonts w:ascii="Arial" w:hAnsi="Arial" w:cs="Arial"/>
                <w:sz w:val="18"/>
                <w:szCs w:val="18"/>
                <w:vertAlign w:val="superscript"/>
              </w:rPr>
              <w:t>a</w:t>
            </w:r>
          </w:p>
        </w:tc>
        <w:tc>
          <w:tcPr>
            <w:tcW w:w="946" w:type="dxa"/>
            <w:tcBorders>
              <w:top w:val="nil"/>
              <w:bottom w:val="single" w:sz="4" w:space="0" w:color="auto"/>
            </w:tcBorders>
          </w:tcPr>
          <w:p w:rsidR="005303F5" w:rsidRPr="00B20172" w:rsidRDefault="005303F5" w:rsidP="004800E3">
            <w:pPr>
              <w:spacing w:after="0" w:line="240" w:lineRule="auto"/>
              <w:jc w:val="center"/>
              <w:rPr>
                <w:rFonts w:ascii="Arial" w:hAnsi="Arial" w:cs="Arial"/>
                <w:sz w:val="18"/>
                <w:szCs w:val="18"/>
              </w:rPr>
            </w:pPr>
            <w:r w:rsidRPr="00B20172">
              <w:rPr>
                <w:rFonts w:ascii="Arial" w:hAnsi="Arial" w:cs="Arial"/>
                <w:sz w:val="18"/>
                <w:szCs w:val="18"/>
              </w:rPr>
              <w:t>9.7</w:t>
            </w:r>
          </w:p>
          <w:p w:rsidR="005303F5" w:rsidRPr="00B20172" w:rsidRDefault="005303F5" w:rsidP="004800E3">
            <w:pPr>
              <w:spacing w:after="0" w:line="240" w:lineRule="auto"/>
              <w:jc w:val="center"/>
              <w:rPr>
                <w:rFonts w:ascii="Arial" w:hAnsi="Arial" w:cs="Arial"/>
                <w:sz w:val="18"/>
                <w:szCs w:val="18"/>
              </w:rPr>
            </w:pPr>
            <w:r w:rsidRPr="00B20172">
              <w:rPr>
                <w:rFonts w:ascii="Arial" w:hAnsi="Arial" w:cs="Arial"/>
                <w:sz w:val="18"/>
                <w:szCs w:val="18"/>
              </w:rPr>
              <w:t>(4.4-17)</w:t>
            </w:r>
          </w:p>
        </w:tc>
        <w:tc>
          <w:tcPr>
            <w:tcW w:w="946" w:type="dxa"/>
            <w:tcBorders>
              <w:top w:val="nil"/>
              <w:bottom w:val="single" w:sz="4" w:space="0" w:color="auto"/>
            </w:tcBorders>
          </w:tcPr>
          <w:p w:rsidR="005303F5" w:rsidRPr="00B20172" w:rsidRDefault="005303F5" w:rsidP="005303F5">
            <w:pPr>
              <w:spacing w:after="0" w:line="240" w:lineRule="auto"/>
              <w:jc w:val="center"/>
              <w:rPr>
                <w:rFonts w:ascii="Arial" w:hAnsi="Arial" w:cs="Arial"/>
                <w:sz w:val="18"/>
                <w:szCs w:val="18"/>
              </w:rPr>
            </w:pPr>
            <w:r w:rsidRPr="00B20172">
              <w:rPr>
                <w:rFonts w:ascii="Arial" w:hAnsi="Arial" w:cs="Arial"/>
                <w:sz w:val="18"/>
                <w:szCs w:val="18"/>
              </w:rPr>
              <w:t>9.4</w:t>
            </w:r>
          </w:p>
          <w:p w:rsidR="005303F5" w:rsidRPr="00B20172" w:rsidRDefault="005303F5" w:rsidP="005303F5">
            <w:pPr>
              <w:spacing w:after="0" w:line="240" w:lineRule="auto"/>
              <w:jc w:val="center"/>
              <w:rPr>
                <w:rFonts w:ascii="Arial" w:hAnsi="Arial" w:cs="Arial"/>
                <w:sz w:val="18"/>
                <w:szCs w:val="18"/>
              </w:rPr>
            </w:pPr>
            <w:r w:rsidRPr="00B20172">
              <w:rPr>
                <w:rFonts w:ascii="Arial" w:hAnsi="Arial" w:cs="Arial"/>
                <w:sz w:val="18"/>
                <w:szCs w:val="18"/>
              </w:rPr>
              <w:t>(4.1-17)</w:t>
            </w:r>
          </w:p>
        </w:tc>
        <w:tc>
          <w:tcPr>
            <w:tcW w:w="946" w:type="dxa"/>
            <w:tcBorders>
              <w:top w:val="nil"/>
              <w:bottom w:val="single" w:sz="4" w:space="0" w:color="auto"/>
            </w:tcBorders>
          </w:tcPr>
          <w:p w:rsidR="005303F5" w:rsidRPr="00B20172" w:rsidRDefault="005303F5" w:rsidP="005303F5">
            <w:pPr>
              <w:spacing w:after="0" w:line="240" w:lineRule="auto"/>
              <w:jc w:val="center"/>
              <w:rPr>
                <w:rFonts w:ascii="Arial" w:hAnsi="Arial" w:cs="Arial"/>
                <w:sz w:val="18"/>
                <w:szCs w:val="18"/>
              </w:rPr>
            </w:pPr>
            <w:r w:rsidRPr="00B20172">
              <w:rPr>
                <w:rFonts w:ascii="Arial" w:hAnsi="Arial" w:cs="Arial"/>
                <w:sz w:val="18"/>
                <w:szCs w:val="18"/>
              </w:rPr>
              <w:t>8.7</w:t>
            </w:r>
          </w:p>
          <w:p w:rsidR="005303F5" w:rsidRPr="00B20172" w:rsidRDefault="005303F5" w:rsidP="005303F5">
            <w:pPr>
              <w:spacing w:after="0" w:line="240" w:lineRule="auto"/>
              <w:jc w:val="center"/>
              <w:rPr>
                <w:rFonts w:ascii="Arial" w:hAnsi="Arial" w:cs="Arial"/>
                <w:sz w:val="18"/>
                <w:szCs w:val="18"/>
              </w:rPr>
            </w:pPr>
            <w:r w:rsidRPr="00B20172">
              <w:rPr>
                <w:rFonts w:ascii="Arial" w:hAnsi="Arial" w:cs="Arial"/>
                <w:sz w:val="18"/>
                <w:szCs w:val="18"/>
              </w:rPr>
              <w:t>(3.9-16)</w:t>
            </w:r>
          </w:p>
        </w:tc>
        <w:tc>
          <w:tcPr>
            <w:tcW w:w="946" w:type="dxa"/>
            <w:tcBorders>
              <w:top w:val="nil"/>
              <w:bottom w:val="single" w:sz="4" w:space="0" w:color="auto"/>
            </w:tcBorders>
          </w:tcPr>
          <w:p w:rsidR="005303F5" w:rsidRPr="00B20172" w:rsidRDefault="005303F5" w:rsidP="005303F5">
            <w:pPr>
              <w:spacing w:after="0" w:line="240" w:lineRule="auto"/>
              <w:jc w:val="center"/>
              <w:rPr>
                <w:rFonts w:ascii="Arial" w:hAnsi="Arial" w:cs="Arial"/>
                <w:sz w:val="18"/>
                <w:szCs w:val="18"/>
              </w:rPr>
            </w:pPr>
            <w:r w:rsidRPr="00B20172">
              <w:rPr>
                <w:rFonts w:ascii="Arial" w:hAnsi="Arial" w:cs="Arial"/>
                <w:sz w:val="18"/>
                <w:szCs w:val="18"/>
              </w:rPr>
              <w:t>7.8</w:t>
            </w:r>
          </w:p>
          <w:p w:rsidR="005303F5" w:rsidRPr="00B20172" w:rsidRDefault="005303F5" w:rsidP="005303F5">
            <w:pPr>
              <w:spacing w:after="0" w:line="240" w:lineRule="auto"/>
              <w:jc w:val="center"/>
              <w:rPr>
                <w:rFonts w:ascii="Arial" w:hAnsi="Arial" w:cs="Arial"/>
                <w:sz w:val="18"/>
                <w:szCs w:val="18"/>
              </w:rPr>
            </w:pPr>
            <w:r w:rsidRPr="00B20172">
              <w:rPr>
                <w:rFonts w:ascii="Arial" w:hAnsi="Arial" w:cs="Arial"/>
                <w:sz w:val="18"/>
                <w:szCs w:val="18"/>
              </w:rPr>
              <w:t>(3.2-14)</w:t>
            </w:r>
          </w:p>
        </w:tc>
        <w:tc>
          <w:tcPr>
            <w:tcW w:w="946" w:type="dxa"/>
            <w:tcBorders>
              <w:top w:val="nil"/>
              <w:bottom w:val="single" w:sz="4" w:space="0" w:color="auto"/>
            </w:tcBorders>
          </w:tcPr>
          <w:p w:rsidR="005303F5" w:rsidRPr="00B20172" w:rsidRDefault="005303F5" w:rsidP="005303F5">
            <w:pPr>
              <w:spacing w:after="0" w:line="240" w:lineRule="auto"/>
              <w:jc w:val="center"/>
              <w:rPr>
                <w:rFonts w:ascii="Arial" w:hAnsi="Arial" w:cs="Arial"/>
                <w:sz w:val="18"/>
                <w:szCs w:val="18"/>
              </w:rPr>
            </w:pPr>
            <w:r w:rsidRPr="00B20172">
              <w:rPr>
                <w:rFonts w:ascii="Arial" w:hAnsi="Arial" w:cs="Arial"/>
                <w:sz w:val="18"/>
                <w:szCs w:val="18"/>
              </w:rPr>
              <w:t>8.8</w:t>
            </w:r>
          </w:p>
          <w:p w:rsidR="005303F5" w:rsidRPr="00B20172" w:rsidRDefault="005303F5" w:rsidP="005303F5">
            <w:pPr>
              <w:spacing w:after="0" w:line="240" w:lineRule="auto"/>
              <w:jc w:val="center"/>
              <w:rPr>
                <w:rFonts w:ascii="Arial" w:hAnsi="Arial" w:cs="Arial"/>
                <w:sz w:val="18"/>
                <w:szCs w:val="18"/>
              </w:rPr>
            </w:pPr>
            <w:r w:rsidRPr="00B20172">
              <w:rPr>
                <w:rFonts w:ascii="Arial" w:hAnsi="Arial" w:cs="Arial"/>
                <w:sz w:val="18"/>
                <w:szCs w:val="18"/>
              </w:rPr>
              <w:t>(3.7-16)</w:t>
            </w:r>
          </w:p>
        </w:tc>
        <w:tc>
          <w:tcPr>
            <w:tcW w:w="946" w:type="dxa"/>
            <w:tcBorders>
              <w:top w:val="nil"/>
              <w:bottom w:val="single" w:sz="4" w:space="0" w:color="auto"/>
            </w:tcBorders>
          </w:tcPr>
          <w:p w:rsidR="005303F5" w:rsidRPr="00B20172" w:rsidRDefault="005303F5" w:rsidP="005303F5">
            <w:pPr>
              <w:spacing w:after="0" w:line="240" w:lineRule="auto"/>
              <w:jc w:val="center"/>
              <w:rPr>
                <w:rFonts w:ascii="Arial" w:hAnsi="Arial" w:cs="Arial"/>
                <w:sz w:val="18"/>
                <w:szCs w:val="18"/>
              </w:rPr>
            </w:pPr>
            <w:r w:rsidRPr="00B20172">
              <w:rPr>
                <w:rFonts w:ascii="Arial" w:hAnsi="Arial" w:cs="Arial"/>
                <w:sz w:val="18"/>
                <w:szCs w:val="18"/>
              </w:rPr>
              <w:t>8.2</w:t>
            </w:r>
          </w:p>
          <w:p w:rsidR="005303F5" w:rsidRPr="00B20172" w:rsidRDefault="005303F5" w:rsidP="005303F5">
            <w:pPr>
              <w:spacing w:after="0" w:line="240" w:lineRule="auto"/>
              <w:jc w:val="center"/>
              <w:rPr>
                <w:rFonts w:ascii="Arial" w:hAnsi="Arial" w:cs="Arial"/>
                <w:sz w:val="18"/>
                <w:szCs w:val="18"/>
              </w:rPr>
            </w:pPr>
            <w:r w:rsidRPr="00B20172">
              <w:rPr>
                <w:rFonts w:ascii="Arial" w:hAnsi="Arial" w:cs="Arial"/>
                <w:sz w:val="18"/>
                <w:szCs w:val="18"/>
              </w:rPr>
              <w:t>(3.3-15)</w:t>
            </w:r>
          </w:p>
        </w:tc>
        <w:tc>
          <w:tcPr>
            <w:tcW w:w="946" w:type="dxa"/>
            <w:tcBorders>
              <w:top w:val="nil"/>
              <w:bottom w:val="single" w:sz="4" w:space="0" w:color="auto"/>
            </w:tcBorders>
          </w:tcPr>
          <w:p w:rsidR="005303F5" w:rsidRPr="00B20172" w:rsidRDefault="005303F5" w:rsidP="005303F5">
            <w:pPr>
              <w:spacing w:after="0" w:line="240" w:lineRule="auto"/>
              <w:jc w:val="center"/>
              <w:rPr>
                <w:rFonts w:ascii="Arial" w:hAnsi="Arial" w:cs="Arial"/>
                <w:sz w:val="18"/>
                <w:szCs w:val="18"/>
              </w:rPr>
            </w:pPr>
            <w:r w:rsidRPr="00B20172">
              <w:rPr>
                <w:rFonts w:ascii="Arial" w:hAnsi="Arial" w:cs="Arial"/>
                <w:sz w:val="18"/>
                <w:szCs w:val="18"/>
              </w:rPr>
              <w:t>8.8</w:t>
            </w:r>
          </w:p>
          <w:p w:rsidR="005303F5" w:rsidRPr="00B20172" w:rsidRDefault="005303F5" w:rsidP="005303F5">
            <w:pPr>
              <w:spacing w:after="0" w:line="240" w:lineRule="auto"/>
              <w:jc w:val="center"/>
              <w:rPr>
                <w:rFonts w:ascii="Arial" w:hAnsi="Arial" w:cs="Arial"/>
                <w:sz w:val="18"/>
                <w:szCs w:val="18"/>
              </w:rPr>
            </w:pPr>
            <w:r w:rsidRPr="00B20172">
              <w:rPr>
                <w:rFonts w:ascii="Arial" w:hAnsi="Arial" w:cs="Arial"/>
                <w:sz w:val="18"/>
                <w:szCs w:val="18"/>
              </w:rPr>
              <w:t>(3.7-16)</w:t>
            </w:r>
          </w:p>
        </w:tc>
      </w:tr>
    </w:tbl>
    <w:p w:rsidR="003C10EB" w:rsidRPr="00B20172" w:rsidRDefault="00C837BB" w:rsidP="00C837BB">
      <w:pPr>
        <w:spacing w:after="0" w:line="240" w:lineRule="auto"/>
        <w:rPr>
          <w:rFonts w:ascii="Arial" w:hAnsi="Arial" w:cs="Arial"/>
          <w:sz w:val="18"/>
          <w:szCs w:val="18"/>
        </w:rPr>
      </w:pPr>
      <w:proofErr w:type="gramStart"/>
      <w:r w:rsidRPr="00B20172">
        <w:rPr>
          <w:rFonts w:ascii="Arial" w:hAnsi="Arial" w:cs="Arial"/>
          <w:sz w:val="18"/>
          <w:szCs w:val="18"/>
        </w:rPr>
        <w:t>a</w:t>
      </w:r>
      <w:proofErr w:type="gramEnd"/>
      <w:r w:rsidRPr="00B20172">
        <w:rPr>
          <w:rFonts w:ascii="Arial" w:hAnsi="Arial" w:cs="Arial"/>
          <w:sz w:val="18"/>
          <w:szCs w:val="18"/>
        </w:rPr>
        <w:t xml:space="preserve"> rates are per 100 000 population </w:t>
      </w:r>
    </w:p>
    <w:p w:rsidR="00C837BB" w:rsidRPr="00B20172" w:rsidRDefault="00C837BB" w:rsidP="00C837BB">
      <w:pPr>
        <w:spacing w:after="0" w:line="240" w:lineRule="auto"/>
        <w:rPr>
          <w:rFonts w:ascii="Arial" w:hAnsi="Arial" w:cs="Arial"/>
          <w:sz w:val="18"/>
          <w:szCs w:val="18"/>
        </w:rPr>
      </w:pPr>
      <w:proofErr w:type="gramStart"/>
      <w:r w:rsidRPr="00B20172">
        <w:rPr>
          <w:rFonts w:ascii="Arial" w:hAnsi="Arial" w:cs="Arial"/>
          <w:sz w:val="18"/>
          <w:szCs w:val="18"/>
        </w:rPr>
        <w:t>b</w:t>
      </w:r>
      <w:proofErr w:type="gramEnd"/>
      <w:r w:rsidRPr="00B20172">
        <w:rPr>
          <w:rFonts w:ascii="Arial" w:hAnsi="Arial" w:cs="Arial"/>
          <w:sz w:val="18"/>
          <w:szCs w:val="18"/>
        </w:rPr>
        <w:t xml:space="preserve"> NOTIFIED NEW AND RELAPSE includes cases for which the treatment history is unknown</w:t>
      </w:r>
    </w:p>
    <w:p w:rsidR="005303F5" w:rsidRPr="00B20172" w:rsidRDefault="005303F5" w:rsidP="00C837BB">
      <w:pPr>
        <w:spacing w:after="0" w:line="240" w:lineRule="auto"/>
        <w:rPr>
          <w:rFonts w:ascii="Arial" w:hAnsi="Arial" w:cs="Arial"/>
          <w:sz w:val="18"/>
          <w:szCs w:val="18"/>
        </w:rPr>
      </w:pPr>
      <w:r w:rsidRPr="00B20172">
        <w:rPr>
          <w:rFonts w:ascii="Arial" w:hAnsi="Arial" w:cs="Arial"/>
          <w:sz w:val="18"/>
          <w:szCs w:val="18"/>
        </w:rPr>
        <w:t>Source</w:t>
      </w:r>
      <w:r w:rsidR="001325DB" w:rsidRPr="00B20172">
        <w:rPr>
          <w:rFonts w:ascii="Arial" w:hAnsi="Arial" w:cs="Arial"/>
          <w:sz w:val="18"/>
          <w:szCs w:val="18"/>
        </w:rPr>
        <w:fldChar w:fldCharType="begin"/>
      </w:r>
      <w:r w:rsidR="006A17A2" w:rsidRPr="00B20172">
        <w:rPr>
          <w:rFonts w:ascii="Arial" w:hAnsi="Arial" w:cs="Arial"/>
          <w:sz w:val="18"/>
          <w:szCs w:val="18"/>
        </w:rPr>
        <w:instrText xml:space="preserve"> NOTEREF _Ref371608860 \f \h </w:instrText>
      </w:r>
      <w:r w:rsidR="001325DB" w:rsidRPr="00B20172">
        <w:rPr>
          <w:rFonts w:ascii="Arial" w:hAnsi="Arial" w:cs="Arial"/>
          <w:sz w:val="18"/>
          <w:szCs w:val="18"/>
        </w:rPr>
      </w:r>
      <w:r w:rsidR="00B20172">
        <w:rPr>
          <w:rFonts w:ascii="Arial" w:hAnsi="Arial" w:cs="Arial"/>
          <w:sz w:val="18"/>
          <w:szCs w:val="18"/>
        </w:rPr>
        <w:instrText xml:space="preserve"> \* MERGEFORMAT </w:instrText>
      </w:r>
      <w:r w:rsidR="001325DB" w:rsidRPr="00B20172">
        <w:rPr>
          <w:rFonts w:ascii="Arial" w:hAnsi="Arial" w:cs="Arial"/>
          <w:sz w:val="18"/>
          <w:szCs w:val="18"/>
        </w:rPr>
        <w:fldChar w:fldCharType="separate"/>
      </w:r>
      <w:r w:rsidR="006233C0" w:rsidRPr="00B20172">
        <w:rPr>
          <w:rStyle w:val="EndnoteReference"/>
        </w:rPr>
        <w:t>5</w:t>
      </w:r>
      <w:r w:rsidR="001325DB" w:rsidRPr="00B20172">
        <w:rPr>
          <w:rFonts w:ascii="Arial" w:hAnsi="Arial" w:cs="Arial"/>
          <w:sz w:val="18"/>
          <w:szCs w:val="18"/>
        </w:rPr>
        <w:fldChar w:fldCharType="end"/>
      </w:r>
      <w:r w:rsidRPr="00B20172">
        <w:rPr>
          <w:rFonts w:ascii="Arial" w:hAnsi="Arial" w:cs="Arial"/>
          <w:sz w:val="18"/>
          <w:szCs w:val="18"/>
        </w:rPr>
        <w:t>: Tables A4.1, A4.2, A4.3</w:t>
      </w:r>
      <w:r w:rsidR="006A17A2" w:rsidRPr="00B20172">
        <w:rPr>
          <w:rFonts w:ascii="Arial" w:hAnsi="Arial" w:cs="Arial"/>
          <w:sz w:val="18"/>
          <w:szCs w:val="18"/>
        </w:rPr>
        <w:t>, A4.4, A4.5, A4.7</w:t>
      </w:r>
    </w:p>
    <w:p w:rsidR="003C10EB" w:rsidRPr="00B20172" w:rsidRDefault="003C10EB" w:rsidP="00870FFA"/>
    <w:p w:rsidR="00DC2B12" w:rsidRPr="00B20172" w:rsidRDefault="00DC2B12" w:rsidP="00870FFA">
      <w:r w:rsidRPr="00B20172">
        <w:t>Absolute numbers of TB notifications in Australia are increasing</w:t>
      </w:r>
      <w:r w:rsidR="00D62C38" w:rsidRPr="00B20172">
        <w:t xml:space="preserve"> </w:t>
      </w:r>
      <w:r w:rsidRPr="00B20172">
        <w:t xml:space="preserve">with most new cases occurring in arrivals from countries with high rates of TB.  In the Australian-born population the rate of TB is very low. The aim of Government policy is to prioritise higher-risk groups, Aboriginal and Torres Strait Islander </w:t>
      </w:r>
      <w:r w:rsidR="00D62C38" w:rsidRPr="00B20172">
        <w:t>Peoples</w:t>
      </w:r>
      <w:r w:rsidRPr="00B20172">
        <w:t xml:space="preserve"> and overseas-born persons (includes immigrants, students, </w:t>
      </w:r>
      <w:proofErr w:type="gramStart"/>
      <w:r w:rsidRPr="00B20172">
        <w:t>health</w:t>
      </w:r>
      <w:proofErr w:type="gramEnd"/>
      <w:r w:rsidRPr="00B20172">
        <w:t xml:space="preserve"> care workers), engagement in </w:t>
      </w:r>
      <w:r w:rsidR="00D62C38" w:rsidRPr="00B20172">
        <w:t>regional TB control programs and ensuring that there is a high standard of diagnosis and treatment</w:t>
      </w:r>
      <w:r w:rsidR="00D62C38" w:rsidRPr="00B20172">
        <w:rPr>
          <w:rStyle w:val="EndnoteReference"/>
        </w:rPr>
        <w:endnoteReference w:id="14"/>
      </w:r>
      <w:r w:rsidR="00D62C38" w:rsidRPr="00B20172">
        <w:t xml:space="preserve">. </w:t>
      </w:r>
    </w:p>
    <w:p w:rsidR="00870FFA" w:rsidRPr="00B20172" w:rsidRDefault="009C5DBB" w:rsidP="00870FFA">
      <w:r w:rsidRPr="00B20172">
        <w:t xml:space="preserve">One of the big concerns of Australian Government TB policy is the emergence of the MDR-TB and XDR-TB and entry of these cases into Australia through the porous borders between Australia and Papua New Guinea via the Torres Strait.  </w:t>
      </w:r>
      <w:r w:rsidR="00870FFA" w:rsidRPr="00B20172">
        <w:t xml:space="preserve">During 2012 the Queensland government shut down health clinics on Boigu and Saibai islands and returned 92 PNG nationals from Cairns to Daru Island for completion of their tuberculosis treatment. Amid concern that these patients were unlikely to receive </w:t>
      </w:r>
      <w:r w:rsidR="00870FFA" w:rsidRPr="00B20172">
        <w:lastRenderedPageBreak/>
        <w:t>adequate treatment support, the Federal Government committed $8.5 million via AusAid to improve services at the regional hospital on Daru Island and to support tuberculosis services throughout the Western Province (including the South Fly district) between 2011 and 2015</w:t>
      </w:r>
      <w:r w:rsidR="00870FFA" w:rsidRPr="00B20172">
        <w:rPr>
          <w:rStyle w:val="EndnoteReference"/>
        </w:rPr>
        <w:endnoteReference w:id="15"/>
      </w:r>
      <w:r w:rsidR="00870FFA" w:rsidRPr="00B20172">
        <w:t>.</w:t>
      </w:r>
      <w:r w:rsidRPr="00B20172">
        <w:t xml:space="preserve"> A recent Press release from the Queensland Chief Health Officer </w:t>
      </w:r>
      <w:r w:rsidR="008A4908" w:rsidRPr="00B20172">
        <w:t xml:space="preserve">reaffirmed that re-opening </w:t>
      </w:r>
      <w:r w:rsidR="00870FFA" w:rsidRPr="00B20172">
        <w:t>of the Saibai and Boigu island tuberculos</w:t>
      </w:r>
      <w:r w:rsidR="008A4908" w:rsidRPr="00B20172">
        <w:t xml:space="preserve">is clinics for Papua New Guinea </w:t>
      </w:r>
      <w:r w:rsidR="00870FFA" w:rsidRPr="00B20172">
        <w:t xml:space="preserve">nationals </w:t>
      </w:r>
      <w:r w:rsidR="008A4908" w:rsidRPr="00B20172">
        <w:t>was</w:t>
      </w:r>
      <w:r w:rsidR="00870FFA" w:rsidRPr="00B20172">
        <w:t xml:space="preserve"> likely to increase the risk of cross-border i</w:t>
      </w:r>
      <w:r w:rsidR="008A4908" w:rsidRPr="00B20172">
        <w:t xml:space="preserve">nfection for the Torres Strait and </w:t>
      </w:r>
      <w:r w:rsidR="00870FFA" w:rsidRPr="00B20172">
        <w:t xml:space="preserve">would </w:t>
      </w:r>
      <w:r w:rsidR="008A4908" w:rsidRPr="00B20172">
        <w:t xml:space="preserve">likely </w:t>
      </w:r>
      <w:r w:rsidR="00870FFA" w:rsidRPr="00B20172">
        <w:t xml:space="preserve">also increase the risk of drug-resistant </w:t>
      </w:r>
      <w:r w:rsidR="009B4631" w:rsidRPr="00B20172">
        <w:t>TB</w:t>
      </w:r>
      <w:r w:rsidR="00870FFA" w:rsidRPr="00B20172">
        <w:t xml:space="preserve"> </w:t>
      </w:r>
      <w:r w:rsidR="008A4908" w:rsidRPr="00B20172">
        <w:t>entering Queensland and so</w:t>
      </w:r>
      <w:r w:rsidR="00CE58B3" w:rsidRPr="00B20172">
        <w:t xml:space="preserve"> a decision was made to keep these clinics </w:t>
      </w:r>
      <w:r w:rsidR="008A4908" w:rsidRPr="00B20172">
        <w:t>closed. L</w:t>
      </w:r>
      <w:r w:rsidR="00870FFA" w:rsidRPr="00B20172">
        <w:t>ocally-controlled program</w:t>
      </w:r>
      <w:r w:rsidR="00CE58B3" w:rsidRPr="00B20172">
        <w:t>s</w:t>
      </w:r>
      <w:r w:rsidR="00870FFA" w:rsidRPr="00B20172">
        <w:t>, as endorsed by the World H</w:t>
      </w:r>
      <w:r w:rsidR="008A4908" w:rsidRPr="00B20172">
        <w:t xml:space="preserve">ealth Organization, have been significantly strengthened as the most </w:t>
      </w:r>
      <w:r w:rsidR="00870FFA" w:rsidRPr="00B20172">
        <w:t>effectiv</w:t>
      </w:r>
      <w:r w:rsidR="008A4908" w:rsidRPr="00B20172">
        <w:t>e method of combating TB in PNG</w:t>
      </w:r>
      <w:r w:rsidR="00870FFA" w:rsidRPr="00B20172">
        <w:rPr>
          <w:rStyle w:val="EndnoteReference"/>
        </w:rPr>
        <w:endnoteReference w:id="16"/>
      </w:r>
      <w:r w:rsidR="00870FFA" w:rsidRPr="00B20172">
        <w:t>.</w:t>
      </w:r>
    </w:p>
    <w:p w:rsidR="004F2695" w:rsidRPr="00B20172" w:rsidRDefault="004F2695" w:rsidP="00870FFA">
      <w:pPr>
        <w:rPr>
          <w:i/>
          <w:u w:val="single"/>
        </w:rPr>
      </w:pPr>
      <w:r w:rsidRPr="00B20172">
        <w:rPr>
          <w:i/>
          <w:u w:val="single"/>
        </w:rPr>
        <w:t>Non-tuberculosis mycobacteria</w:t>
      </w:r>
    </w:p>
    <w:p w:rsidR="004F2695" w:rsidRPr="00B20172" w:rsidRDefault="009B4631" w:rsidP="009E7CF4">
      <w:r w:rsidRPr="00B20172">
        <w:t>Non</w:t>
      </w:r>
      <w:r w:rsidR="00662726" w:rsidRPr="00B20172">
        <w:t>-</w:t>
      </w:r>
      <w:r w:rsidRPr="00B20172">
        <w:t>tuberculous mycobacteria (</w:t>
      </w:r>
      <w:r w:rsidR="004F2695" w:rsidRPr="00B20172">
        <w:t>NTM</w:t>
      </w:r>
      <w:r w:rsidRPr="00B20172">
        <w:t>B</w:t>
      </w:r>
      <w:r w:rsidR="004F2695" w:rsidRPr="00B20172">
        <w:t>s</w:t>
      </w:r>
      <w:r w:rsidRPr="00B20172">
        <w:t>)</w:t>
      </w:r>
      <w:r w:rsidR="004F2695" w:rsidRPr="00B20172">
        <w:t xml:space="preserve"> are everywhere in nature, such as in water, food, soil, plants, animals and other sites. Many NTM</w:t>
      </w:r>
      <w:r w:rsidR="009E7CF4" w:rsidRPr="00B20172">
        <w:t>B</w:t>
      </w:r>
      <w:r w:rsidR="004F2695" w:rsidRPr="00B20172">
        <w:t xml:space="preserve"> species have clinical significance, and the rapid and reliable identification of Mycobacterium tuberculosis complex (MTBC) and NTM</w:t>
      </w:r>
      <w:r w:rsidR="009E7CF4" w:rsidRPr="00B20172">
        <w:t>B</w:t>
      </w:r>
      <w:r w:rsidR="004F2695" w:rsidRPr="00B20172">
        <w:t xml:space="preserve"> species is important</w:t>
      </w:r>
      <w:r w:rsidR="008A4908" w:rsidRPr="00B20172">
        <w:t>.</w:t>
      </w:r>
      <w:r w:rsidR="004F2695" w:rsidRPr="00B20172">
        <w:t xml:space="preserve"> It is reported that NTM</w:t>
      </w:r>
      <w:r w:rsidRPr="00B20172">
        <w:t>B</w:t>
      </w:r>
      <w:r w:rsidR="004F2695" w:rsidRPr="00B20172">
        <w:t xml:space="preserve"> disease has accelerated rapidly since the first reports of NTM</w:t>
      </w:r>
      <w:r w:rsidRPr="00B20172">
        <w:t>B</w:t>
      </w:r>
      <w:r w:rsidR="004F2695" w:rsidRPr="00B20172">
        <w:t xml:space="preserve"> in AIDS patients in 1982 in the United States. </w:t>
      </w:r>
      <w:r w:rsidR="009E7CF4" w:rsidRPr="00B20172">
        <w:t>Queensland has reported increasing incidence of pulmonary disease due to environmental NTM</w:t>
      </w:r>
      <w:r w:rsidRPr="00B20172">
        <w:t>B</w:t>
      </w:r>
      <w:r w:rsidR="009E7CF4" w:rsidRPr="00B20172">
        <w:t>. Clinically significant cases represent approximately one-third of all NTMB patient-isolates processed by laboratories in the state. Postulated reasons for this increase include increased awareness of mycobacteria as pulmonary pathogens, improvements in methods of detection and culture and an ageing population (as this is often a disease of the elderly)</w:t>
      </w:r>
      <w:r w:rsidR="009E7CF4" w:rsidRPr="00B20172">
        <w:rPr>
          <w:rStyle w:val="EndnoteReference"/>
        </w:rPr>
        <w:endnoteReference w:id="17"/>
      </w:r>
      <w:r w:rsidR="009E7CF4" w:rsidRPr="00B20172">
        <w:t xml:space="preserve">. </w:t>
      </w:r>
      <w:r w:rsidR="004F2695" w:rsidRPr="00B20172">
        <w:t>Another reason for this increase is the introduction of new technologies in laboratories that allow better recovery and more accurate identification of new species of NTM</w:t>
      </w:r>
      <w:r w:rsidR="00AA0162" w:rsidRPr="00B20172">
        <w:t>B</w:t>
      </w:r>
      <w:r w:rsidR="004F2695" w:rsidRPr="00B20172">
        <w:rPr>
          <w:rStyle w:val="EndnoteReference"/>
        </w:rPr>
        <w:endnoteReference w:id="18"/>
      </w:r>
      <w:r w:rsidR="004F2695" w:rsidRPr="00B20172">
        <w:t xml:space="preserve">. </w:t>
      </w:r>
      <w:r w:rsidR="00857007" w:rsidRPr="00B20172">
        <w:t xml:space="preserve">NTMB is not a notifiable disease in Australia and there is a dearth of </w:t>
      </w:r>
      <w:r w:rsidR="009E7CF4" w:rsidRPr="00B20172">
        <w:t xml:space="preserve">prevalence or incidence </w:t>
      </w:r>
      <w:r w:rsidR="00CE58B3" w:rsidRPr="00B20172">
        <w:t>data</w:t>
      </w:r>
      <w:r w:rsidR="009E7CF4" w:rsidRPr="00B20172">
        <w:t xml:space="preserve"> </w:t>
      </w:r>
      <w:r w:rsidR="00857007" w:rsidRPr="00B20172">
        <w:t>identified</w:t>
      </w:r>
      <w:r w:rsidR="00857007" w:rsidRPr="00B20172">
        <w:rPr>
          <w:i/>
        </w:rPr>
        <w:t xml:space="preserve">. </w:t>
      </w:r>
    </w:p>
    <w:p w:rsidR="006A20A4" w:rsidRPr="00B20172" w:rsidRDefault="0004489D" w:rsidP="000901A8">
      <w:pPr>
        <w:pStyle w:val="Heading2"/>
      </w:pPr>
      <w:bookmarkStart w:id="16" w:name="_Toc289854375"/>
      <w:r w:rsidRPr="00B20172">
        <w:t>Delivery</w:t>
      </w:r>
      <w:r w:rsidR="00120E0E" w:rsidRPr="00B20172">
        <w:t xml:space="preserve"> of </w:t>
      </w:r>
      <w:r w:rsidRPr="00B20172">
        <w:t xml:space="preserve">the </w:t>
      </w:r>
      <w:r w:rsidR="00120E0E" w:rsidRPr="00B20172">
        <w:t>intervention</w:t>
      </w:r>
      <w:bookmarkEnd w:id="16"/>
    </w:p>
    <w:p w:rsidR="00CD2C92" w:rsidRPr="00B20172" w:rsidRDefault="00CD2C92" w:rsidP="00CD2C92">
      <w:r w:rsidRPr="00B20172">
        <w:t>For the diagnosis of a patient with active TB, the NAAT is only able to be performed in patients who are untreated, that is patients who</w:t>
      </w:r>
      <w:r w:rsidR="00CE58B3" w:rsidRPr="00B20172">
        <w:t xml:space="preserve"> have</w:t>
      </w:r>
      <w:r w:rsidR="00B669B8" w:rsidRPr="00B20172">
        <w:t xml:space="preserve"> less than 7 days of treatment.</w:t>
      </w:r>
      <w:r w:rsidRPr="00B20172">
        <w:t xml:space="preserve"> </w:t>
      </w:r>
    </w:p>
    <w:p w:rsidR="00CD2C92" w:rsidRPr="00B20172" w:rsidRDefault="00CD2C92" w:rsidP="00CD2C92">
      <w:r w:rsidRPr="00B20172">
        <w:t xml:space="preserve">In this population the NAA test should only be performed in institutions proficient in the </w:t>
      </w:r>
      <w:r w:rsidR="00CE58B3" w:rsidRPr="00B20172">
        <w:t xml:space="preserve">culture and identification of </w:t>
      </w:r>
      <w:r w:rsidR="00CE58B3" w:rsidRPr="00B20172">
        <w:rPr>
          <w:i/>
        </w:rPr>
        <w:t>M</w:t>
      </w:r>
      <w:r w:rsidRPr="00B20172">
        <w:rPr>
          <w:i/>
        </w:rPr>
        <w:t>TB</w:t>
      </w:r>
      <w:r w:rsidRPr="00B20172">
        <w:t>. Transport and storage is important for this test and it should be stored at 2-8°, and samples preferably should not be stored but read within 24-48 hours (prolonged storage &gt; 4 days has been reported to impact on results). Results can be provided to clinicians within 24-48 hours.</w:t>
      </w:r>
    </w:p>
    <w:p w:rsidR="004B156D" w:rsidRPr="00B20172" w:rsidRDefault="004B156D" w:rsidP="000901A8">
      <w:r w:rsidRPr="00B20172">
        <w:t xml:space="preserve">The Xpert® MTB/RIF Assay includes single-use disposable cartridges and sample reagent for sample preparation. The Xpert® MTB/RIF cartridges </w:t>
      </w:r>
      <w:r w:rsidR="00CE58B3" w:rsidRPr="00B20172">
        <w:t>contain</w:t>
      </w:r>
      <w:r w:rsidRPr="00B20172">
        <w:t xml:space="preserve"> </w:t>
      </w:r>
      <w:r w:rsidR="00CE58B3" w:rsidRPr="00B20172">
        <w:t>reagents</w:t>
      </w:r>
      <w:r w:rsidRPr="00B20172">
        <w:t xml:space="preserve"> for the detection of MTB-complex DNA and </w:t>
      </w:r>
      <w:proofErr w:type="gramStart"/>
      <w:r w:rsidRPr="00B20172">
        <w:t>Rif</w:t>
      </w:r>
      <w:proofErr w:type="gramEnd"/>
      <w:r w:rsidRPr="00B20172">
        <w:t xml:space="preserve"> resistance associated mutations. A Sample Processing Control (SPC) and a Probe Check Control (PCC) are also included in the cartridge. The SPC is present to control for adequate processing of the target microorganism and to monitor the presence of inhibitors in the PCR reaction. The Probe Check Control (PCC) verifies reagent rehydrati</w:t>
      </w:r>
      <w:r w:rsidR="00880E69" w:rsidRPr="00B20172">
        <w:t>on, PCR tube filling in the cartridge, probe integrity and dye stability</w:t>
      </w:r>
      <w:r w:rsidR="001325DB" w:rsidRPr="00B20172">
        <w:fldChar w:fldCharType="begin"/>
      </w:r>
      <w:r w:rsidR="00A548E3" w:rsidRPr="00B20172">
        <w:instrText xml:space="preserve"> NOTEREF _Ref371539546 \f \h </w:instrText>
      </w:r>
      <w:r w:rsidR="001325DB" w:rsidRPr="00B20172">
        <w:fldChar w:fldCharType="separate"/>
      </w:r>
      <w:r w:rsidR="006233C0" w:rsidRPr="00B20172">
        <w:rPr>
          <w:rStyle w:val="EndnoteReference"/>
        </w:rPr>
        <w:t>4</w:t>
      </w:r>
      <w:r w:rsidR="001325DB" w:rsidRPr="00B20172">
        <w:fldChar w:fldCharType="end"/>
      </w:r>
      <w:r w:rsidR="00880E69" w:rsidRPr="00B20172">
        <w:t xml:space="preserve">. </w:t>
      </w:r>
    </w:p>
    <w:p w:rsidR="00BB764C" w:rsidRPr="00B20172" w:rsidRDefault="00BB764C" w:rsidP="00A548E3">
      <w:r w:rsidRPr="00B20172">
        <w:t>Specimens for testing are of particular concern with TB testing</w:t>
      </w:r>
      <w:r w:rsidR="003E666E" w:rsidRPr="00B20172">
        <w:t>, due to the diseases highly infectious nature and the need to obtain sufficient sample for microbiologist testing and culture</w:t>
      </w:r>
      <w:r w:rsidRPr="00B20172">
        <w:t xml:space="preserve">.  </w:t>
      </w:r>
      <w:r w:rsidR="003E666E" w:rsidRPr="00B20172">
        <w:t>The following is the recommendations for obtaining specimens</w:t>
      </w:r>
      <w:r w:rsidR="00543B54" w:rsidRPr="00B20172">
        <w:rPr>
          <w:rStyle w:val="EndnoteReference"/>
        </w:rPr>
        <w:endnoteReference w:id="19"/>
      </w:r>
      <w:r w:rsidR="003E666E" w:rsidRPr="00B20172">
        <w:t>.</w:t>
      </w:r>
    </w:p>
    <w:p w:rsidR="0059733F" w:rsidRPr="00B20172" w:rsidRDefault="0059733F" w:rsidP="0059733F">
      <w:r w:rsidRPr="00B20172">
        <w:rPr>
          <w:i/>
        </w:rPr>
        <w:lastRenderedPageBreak/>
        <w:t>Pulmonary TB</w:t>
      </w:r>
      <w:r w:rsidRPr="00B20172">
        <w:t>:</w:t>
      </w:r>
    </w:p>
    <w:p w:rsidR="0059733F" w:rsidRPr="00B20172" w:rsidRDefault="0059733F" w:rsidP="003A7D78">
      <w:pPr>
        <w:pStyle w:val="ListParagraph"/>
        <w:numPr>
          <w:ilvl w:val="0"/>
          <w:numId w:val="13"/>
        </w:numPr>
      </w:pPr>
      <w:r w:rsidRPr="00B20172">
        <w:t>Sputum should be collected as early-morning samples on 3 separate days for highest sensitivity.</w:t>
      </w:r>
    </w:p>
    <w:p w:rsidR="0059733F" w:rsidRPr="00B20172" w:rsidRDefault="0059733F" w:rsidP="003A7D78">
      <w:pPr>
        <w:pStyle w:val="ListParagraph"/>
        <w:numPr>
          <w:ilvl w:val="0"/>
          <w:numId w:val="13"/>
        </w:numPr>
      </w:pPr>
      <w:r w:rsidRPr="00B20172">
        <w:t>The “spot-morning-spot” protocol of a spot sputum collected when seen, then the next morning and again when seen the next day is efficient, almost as sensitive as 3 separate day collections and more convenient for out-patients.</w:t>
      </w:r>
    </w:p>
    <w:p w:rsidR="0059733F" w:rsidRPr="00B20172" w:rsidRDefault="0059733F" w:rsidP="003A7D78">
      <w:pPr>
        <w:pStyle w:val="ListParagraph"/>
        <w:numPr>
          <w:ilvl w:val="0"/>
          <w:numId w:val="13"/>
        </w:numPr>
      </w:pPr>
      <w:r w:rsidRPr="00B20172">
        <w:t>Sputum induction (using nebulised hypertonic saline) or gastric lavage may be attempted in appropriate patients unable to expectorate.</w:t>
      </w:r>
    </w:p>
    <w:p w:rsidR="0059733F" w:rsidRPr="00B20172" w:rsidRDefault="0059733F" w:rsidP="0059733F">
      <w:r w:rsidRPr="00B20172">
        <w:rPr>
          <w:i/>
          <w:u w:val="single"/>
        </w:rPr>
        <w:t>Extra-pulmonary TB</w:t>
      </w:r>
      <w:r w:rsidRPr="00B20172">
        <w:t>:</w:t>
      </w:r>
    </w:p>
    <w:p w:rsidR="0059733F" w:rsidRPr="00B20172" w:rsidRDefault="0059733F" w:rsidP="003A7D78">
      <w:pPr>
        <w:pStyle w:val="ListParagraph"/>
        <w:numPr>
          <w:ilvl w:val="0"/>
          <w:numId w:val="13"/>
        </w:numPr>
      </w:pPr>
      <w:r w:rsidRPr="00B20172">
        <w:t>The investigation of extra-pulmonary TB is often problematic and requires the collection of samples from normally-sterile sites (e.g. CSF, bone, lymph node, and peritoneum) by radiological guidance or at operation.</w:t>
      </w:r>
    </w:p>
    <w:p w:rsidR="00A548E3" w:rsidRPr="00B20172" w:rsidRDefault="0059733F" w:rsidP="003A7D78">
      <w:pPr>
        <w:pStyle w:val="ListParagraph"/>
        <w:numPr>
          <w:ilvl w:val="0"/>
          <w:numId w:val="13"/>
        </w:numPr>
      </w:pPr>
      <w:r w:rsidRPr="00B20172">
        <w:t>Surgeons and operating room staff must be specifically directed to place specimens in saline and NOT formalin so that culture and drug susceptibility testing are possible.</w:t>
      </w:r>
    </w:p>
    <w:p w:rsidR="00E57E24" w:rsidRPr="00B20172" w:rsidRDefault="006A21FC" w:rsidP="003E666E">
      <w:r w:rsidRPr="00B20172">
        <w:t xml:space="preserve">Inhibitors may be present in the PCR reaction but it is expected that laboratories will only report NAAT results once they have tested for inhibitors. </w:t>
      </w:r>
      <w:r w:rsidR="003E666E" w:rsidRPr="00B20172">
        <w:t xml:space="preserve">It is </w:t>
      </w:r>
      <w:r w:rsidR="00E57E24" w:rsidRPr="00B20172">
        <w:t xml:space="preserve">estimated </w:t>
      </w:r>
      <w:r w:rsidR="003E666E" w:rsidRPr="00B20172">
        <w:t xml:space="preserve">that </w:t>
      </w:r>
      <w:r w:rsidR="00E57E24" w:rsidRPr="00B20172">
        <w:t xml:space="preserve">in patients with the signs and symptoms of active TB, </w:t>
      </w:r>
      <w:r w:rsidR="003E666E" w:rsidRPr="00B20172">
        <w:t xml:space="preserve">only one NATT per patient per year will be required. </w:t>
      </w:r>
      <w:r w:rsidRPr="00B20172">
        <w:t>Repeat testing may be required</w:t>
      </w:r>
      <w:r w:rsidR="00E57E24" w:rsidRPr="00B20172">
        <w:t>, in patients who have tested negative and are not treated or</w:t>
      </w:r>
      <w:r w:rsidRPr="00B20172">
        <w:t xml:space="preserve"> in later years in the event that a patient relapses or is reinfected. </w:t>
      </w:r>
    </w:p>
    <w:p w:rsidR="003E666E" w:rsidRPr="00B20172" w:rsidRDefault="00E57E24" w:rsidP="003E666E">
      <w:r w:rsidRPr="00B20172">
        <w:t xml:space="preserve">In patients who have tissue biopsy with histopathology consistent with mycobacteria, no limitation on the number of tests is proposed. Separate NAAT tests are available for testing for different mycobacteria and a sample may require multiple NAAT tests. </w:t>
      </w:r>
    </w:p>
    <w:p w:rsidR="00E57E24" w:rsidRPr="00B20172" w:rsidRDefault="00E57E24" w:rsidP="003E666E"/>
    <w:p w:rsidR="0004489D" w:rsidRPr="00B20172" w:rsidRDefault="0004489D" w:rsidP="0004489D">
      <w:pPr>
        <w:pStyle w:val="Heading2"/>
      </w:pPr>
      <w:bookmarkStart w:id="17" w:name="_Toc289854376"/>
      <w:r w:rsidRPr="00B20172">
        <w:t>Prerequisites</w:t>
      </w:r>
      <w:bookmarkEnd w:id="17"/>
    </w:p>
    <w:p w:rsidR="005E14A6" w:rsidRPr="00B20172" w:rsidRDefault="005E14A6" w:rsidP="0004489D">
      <w:r w:rsidRPr="00B20172">
        <w:t xml:space="preserve">It is not anticipated that the ordering of the NAAT test will be limited to a specific type of referrer.  </w:t>
      </w:r>
    </w:p>
    <w:p w:rsidR="003E3F0B" w:rsidRPr="00B20172" w:rsidRDefault="005E14A6" w:rsidP="0004489D">
      <w:r w:rsidRPr="00B20172">
        <w:t xml:space="preserve">It is anticipated that the test will only be able to be undertaken </w:t>
      </w:r>
      <w:r w:rsidR="002C118D" w:rsidRPr="00B20172">
        <w:t xml:space="preserve">by laboratories that are already equipped to test for </w:t>
      </w:r>
      <w:r w:rsidR="002C118D" w:rsidRPr="00B20172">
        <w:rPr>
          <w:i/>
        </w:rPr>
        <w:t>MTB</w:t>
      </w:r>
      <w:r w:rsidR="002C118D" w:rsidRPr="00B20172">
        <w:t>.  There are recognised guidelines</w:t>
      </w:r>
      <w:r w:rsidR="007E6261" w:rsidRPr="00B20172">
        <w:rPr>
          <w:rStyle w:val="EndnoteReference"/>
        </w:rPr>
        <w:endnoteReference w:id="20"/>
      </w:r>
      <w:r w:rsidR="002C118D" w:rsidRPr="00B20172">
        <w:t xml:space="preserve"> for Australian Mycobacteriology Laboratories specifying </w:t>
      </w:r>
      <w:r w:rsidR="007E6261" w:rsidRPr="00B20172">
        <w:t xml:space="preserve">biosafety </w:t>
      </w:r>
      <w:r w:rsidR="002C118D" w:rsidRPr="00B20172">
        <w:t xml:space="preserve">safety </w:t>
      </w:r>
      <w:r w:rsidR="007E6261" w:rsidRPr="00B20172">
        <w:t>procedures</w:t>
      </w:r>
      <w:r w:rsidR="002C118D" w:rsidRPr="00B20172">
        <w:t xml:space="preserve">, </w:t>
      </w:r>
      <w:r w:rsidR="007E6261" w:rsidRPr="00B20172">
        <w:t>infrastructure,</w:t>
      </w:r>
      <w:r w:rsidR="002C118D" w:rsidRPr="00B20172">
        <w:t xml:space="preserve"> </w:t>
      </w:r>
      <w:proofErr w:type="gramStart"/>
      <w:r w:rsidR="002C118D" w:rsidRPr="00B20172">
        <w:t>equipment</w:t>
      </w:r>
      <w:proofErr w:type="gramEnd"/>
      <w:r w:rsidR="002C118D" w:rsidRPr="00B20172">
        <w:t xml:space="preserve"> </w:t>
      </w:r>
      <w:r w:rsidR="007E6261" w:rsidRPr="00B20172">
        <w:t xml:space="preserve">and work practices </w:t>
      </w:r>
      <w:r w:rsidR="002C118D" w:rsidRPr="00B20172">
        <w:t>required by the laboratory.</w:t>
      </w:r>
      <w:r w:rsidR="007E6261" w:rsidRPr="00B20172">
        <w:t xml:space="preserve"> </w:t>
      </w:r>
      <w:r w:rsidR="00CE58B3" w:rsidRPr="00B20172">
        <w:t xml:space="preserve"> </w:t>
      </w:r>
      <w:r w:rsidR="007E6261" w:rsidRPr="00B20172">
        <w:t>Laboratories performing TB cultures must participate in a recognised QAP program.</w:t>
      </w:r>
      <w:r w:rsidR="002C118D" w:rsidRPr="00B20172">
        <w:t xml:space="preserve"> </w:t>
      </w:r>
    </w:p>
    <w:p w:rsidR="002C118D" w:rsidRPr="00B20172" w:rsidRDefault="007E6261" w:rsidP="0004489D">
      <w:r w:rsidRPr="00B20172">
        <w:t xml:space="preserve">The guidelines recommend that </w:t>
      </w:r>
      <w:r w:rsidR="002C118D" w:rsidRPr="00B20172">
        <w:t>all my</w:t>
      </w:r>
      <w:r w:rsidRPr="00B20172">
        <w:t>cobacteriology investigations</w:t>
      </w:r>
      <w:r w:rsidR="002C118D" w:rsidRPr="00B20172">
        <w:t xml:space="preserve"> be undertaken in PC2 facilities with additional pro</w:t>
      </w:r>
      <w:r w:rsidRPr="00B20172">
        <w:t xml:space="preserve">cesses and precautions in place. </w:t>
      </w:r>
      <w:r w:rsidR="002C118D" w:rsidRPr="00B20172">
        <w:t>Laboratories undertaking more than 5,000 c</w:t>
      </w:r>
      <w:r w:rsidRPr="00B20172">
        <w:t>ultures per year, performing drug sensitivity testing (DST</w:t>
      </w:r>
      <w:r w:rsidR="002C118D" w:rsidRPr="00B20172">
        <w:t>s</w:t>
      </w:r>
      <w:r w:rsidRPr="00B20172">
        <w:t>)</w:t>
      </w:r>
      <w:r w:rsidR="002C118D" w:rsidRPr="00B20172">
        <w:t>, or knowingly handling MDRTB str</w:t>
      </w:r>
      <w:r w:rsidRPr="00B20172">
        <w:t>ains should have PC3 facilities.</w:t>
      </w:r>
    </w:p>
    <w:p w:rsidR="007E6261" w:rsidRPr="00B20172" w:rsidRDefault="007E6261" w:rsidP="007E6261">
      <w:r w:rsidRPr="00B20172">
        <w:lastRenderedPageBreak/>
        <w:t>Approximately 80 laboratories in Australia perform smear microscopy then forward the specimen to another laboratory for mycobacterial culture. The microscopy-only laboratories almost universally perform direct Ziehl-Neelsen (ZN) smears.</w:t>
      </w:r>
    </w:p>
    <w:p w:rsidR="001067B8" w:rsidRPr="00B20172" w:rsidRDefault="001067B8" w:rsidP="001067B8">
      <w:r w:rsidRPr="00B20172">
        <w:t xml:space="preserve">Laboratories should perform </w:t>
      </w:r>
      <w:r w:rsidR="00A1748D" w:rsidRPr="00B20172">
        <w:t>drug sensitivity tests (DST</w:t>
      </w:r>
      <w:r w:rsidRPr="00B20172">
        <w:t>s</w:t>
      </w:r>
      <w:r w:rsidR="00A1748D" w:rsidRPr="00B20172">
        <w:t>)</w:t>
      </w:r>
      <w:r w:rsidRPr="00B20172">
        <w:t xml:space="preserve"> or refer isolates to reference laboratories for DSTs in the following circumstances:</w:t>
      </w:r>
    </w:p>
    <w:p w:rsidR="001067B8" w:rsidRPr="00B20172" w:rsidRDefault="001067B8" w:rsidP="00A1748D">
      <w:pPr>
        <w:pStyle w:val="ListParagraph"/>
        <w:numPr>
          <w:ilvl w:val="0"/>
          <w:numId w:val="24"/>
        </w:numPr>
      </w:pPr>
      <w:r w:rsidRPr="00B20172">
        <w:t xml:space="preserve">all initial isolates of </w:t>
      </w:r>
      <w:r w:rsidRPr="00B20172">
        <w:rPr>
          <w:i/>
        </w:rPr>
        <w:t>M. tuberculosis</w:t>
      </w:r>
      <w:r w:rsidRPr="00B20172">
        <w:t>;</w:t>
      </w:r>
    </w:p>
    <w:p w:rsidR="001067B8" w:rsidRPr="00B20172" w:rsidRDefault="001067B8" w:rsidP="00A1748D">
      <w:pPr>
        <w:pStyle w:val="ListParagraph"/>
        <w:numPr>
          <w:ilvl w:val="0"/>
          <w:numId w:val="24"/>
        </w:numPr>
      </w:pPr>
      <w:r w:rsidRPr="00B20172">
        <w:t>isolates from patients who remain culture-positive after 3 months of treatment;</w:t>
      </w:r>
    </w:p>
    <w:p w:rsidR="001067B8" w:rsidRPr="00B20172" w:rsidRDefault="001067B8" w:rsidP="00A1748D">
      <w:pPr>
        <w:pStyle w:val="ListParagraph"/>
        <w:numPr>
          <w:ilvl w:val="0"/>
          <w:numId w:val="24"/>
        </w:numPr>
      </w:pPr>
      <w:r w:rsidRPr="00B20172">
        <w:t>isolates from patients who are clinically failing treatment; or</w:t>
      </w:r>
    </w:p>
    <w:p w:rsidR="001067B8" w:rsidRPr="00B20172" w:rsidRDefault="001067B8" w:rsidP="00A1748D">
      <w:pPr>
        <w:pStyle w:val="ListParagraph"/>
        <w:numPr>
          <w:ilvl w:val="0"/>
          <w:numId w:val="24"/>
        </w:numPr>
      </w:pPr>
      <w:proofErr w:type="gramStart"/>
      <w:r w:rsidRPr="00B20172">
        <w:t>an</w:t>
      </w:r>
      <w:proofErr w:type="gramEnd"/>
      <w:r w:rsidRPr="00B20172">
        <w:t xml:space="preserve"> initial isolate from a patient relapsing after previously successful TB treatment.</w:t>
      </w:r>
    </w:p>
    <w:p w:rsidR="001067B8" w:rsidRPr="00B20172" w:rsidRDefault="001067B8" w:rsidP="001067B8">
      <w:r w:rsidRPr="00B20172">
        <w:t>The minimum DSTs that should be performed are for isoniazid (high- and low-level concentrations as appropriate), rifampicin, ethambutol, +/– streptomycin.</w:t>
      </w:r>
    </w:p>
    <w:p w:rsidR="001067B8" w:rsidRPr="00B20172" w:rsidRDefault="001067B8" w:rsidP="001067B8">
      <w:pPr>
        <w:rPr>
          <w:u w:val="single"/>
        </w:rPr>
      </w:pPr>
      <w:r w:rsidRPr="00B20172">
        <w:rPr>
          <w:u w:val="single"/>
        </w:rPr>
        <w:t>Referral of non-tuberculous mycobacteria cultures</w:t>
      </w:r>
    </w:p>
    <w:p w:rsidR="001067B8" w:rsidRPr="00B20172" w:rsidRDefault="001067B8" w:rsidP="001067B8">
      <w:r w:rsidRPr="00B20172">
        <w:t xml:space="preserve">With the low incidence of TB in Australia, the culture, identification and susceptibility testing of non-tuberculous mycobacteria represents an increasing proportion of the workload for the MRL network. </w:t>
      </w:r>
      <w:r w:rsidR="00543B54" w:rsidRPr="00B20172">
        <w:t xml:space="preserve">It is recommended that </w:t>
      </w:r>
      <w:r w:rsidRPr="00B20172">
        <w:t>investigations should not be performed on every NTM</w:t>
      </w:r>
      <w:r w:rsidR="00543B54" w:rsidRPr="00B20172">
        <w:t>B</w:t>
      </w:r>
      <w:r w:rsidRPr="00B20172">
        <w:t xml:space="preserve"> isolate (as many represent colonisation or contamination) but only when clinically relevant. Diagnostic criteria have been described for determining the significance of a pulmonary NTM</w:t>
      </w:r>
      <w:r w:rsidR="00543B54" w:rsidRPr="00B20172">
        <w:t>B</w:t>
      </w:r>
      <w:r w:rsidRPr="00B20172">
        <w:t xml:space="preserve"> isolate, particularly </w:t>
      </w:r>
      <w:r w:rsidRPr="00B20172">
        <w:rPr>
          <w:i/>
        </w:rPr>
        <w:t>M. avium</w:t>
      </w:r>
      <w:r w:rsidRPr="00B20172">
        <w:t xml:space="preserve"> complex (MAC) and </w:t>
      </w:r>
      <w:r w:rsidRPr="00B20172">
        <w:rPr>
          <w:i/>
        </w:rPr>
        <w:t>M. abscessus</w:t>
      </w:r>
      <w:r w:rsidRPr="00B20172">
        <w:t xml:space="preserve">. </w:t>
      </w:r>
    </w:p>
    <w:p w:rsidR="0028338E" w:rsidRPr="00B20172" w:rsidRDefault="0028338E" w:rsidP="000901A8">
      <w:pPr>
        <w:pStyle w:val="Heading2"/>
      </w:pPr>
      <w:bookmarkStart w:id="18" w:name="_Toc289854377"/>
      <w:r w:rsidRPr="00B20172">
        <w:t xml:space="preserve">Co-administered </w:t>
      </w:r>
      <w:r w:rsidR="00120E0E" w:rsidRPr="00B20172">
        <w:t xml:space="preserve">and associated </w:t>
      </w:r>
      <w:r w:rsidRPr="00B20172">
        <w:t>interventions</w:t>
      </w:r>
      <w:bookmarkEnd w:id="18"/>
    </w:p>
    <w:p w:rsidR="00E62136" w:rsidRPr="00B20172" w:rsidRDefault="00B60E85" w:rsidP="000901A8">
      <w:r w:rsidRPr="00B20172">
        <w:t xml:space="preserve">NAAT for diagnosis of TB infection in a person with clinical signs and symptoms of active TB does not require any co-administered and associated interventions. NAAT for mycobacterial infection other than tuberculosis in tissue biopsy with consistent histopathology does not require any co-administered and associated intervention. </w:t>
      </w:r>
    </w:p>
    <w:p w:rsidR="008D148D" w:rsidRPr="00B20172" w:rsidRDefault="0004489D" w:rsidP="000901A8">
      <w:pPr>
        <w:pStyle w:val="Heading1"/>
      </w:pPr>
      <w:bookmarkStart w:id="19" w:name="_Toc289854378"/>
      <w:r w:rsidRPr="00B20172">
        <w:t>Listing proposed and options for MSAC consideration</w:t>
      </w:r>
      <w:bookmarkEnd w:id="19"/>
    </w:p>
    <w:p w:rsidR="008D148D" w:rsidRPr="00B20172" w:rsidRDefault="008D148D" w:rsidP="000901A8">
      <w:pPr>
        <w:pStyle w:val="Heading2"/>
      </w:pPr>
      <w:bookmarkStart w:id="20" w:name="_Toc289854379"/>
      <w:r w:rsidRPr="00B20172">
        <w:t>Proposed MBS listing</w:t>
      </w:r>
      <w:bookmarkEnd w:id="20"/>
    </w:p>
    <w:p w:rsidR="008D148D" w:rsidRPr="00B20172" w:rsidRDefault="00B60E85" w:rsidP="000901A8">
      <w:r w:rsidRPr="00B20172">
        <w:t xml:space="preserve">The application did not provide a proposed MBS item descriptor. </w:t>
      </w:r>
    </w:p>
    <w:p w:rsidR="00717B21" w:rsidRPr="00B20172" w:rsidRDefault="00717B21" w:rsidP="00717B21">
      <w:r w:rsidRPr="00B20172">
        <w:t>Patients with the signs and symptoms of active TB, and patients with tissue biopsy with</w:t>
      </w:r>
      <w:r w:rsidR="00780CDD" w:rsidRPr="00B20172">
        <w:t xml:space="preserve"> histopathology consistent with</w:t>
      </w:r>
      <w:r w:rsidRPr="00B20172">
        <w:t xml:space="preserve"> non-TB mycobacteria are two different populations and require different NAAT tests.</w:t>
      </w:r>
    </w:p>
    <w:p w:rsidR="00F45E18" w:rsidRPr="00B20172" w:rsidRDefault="00717B21" w:rsidP="00F45E18">
      <w:r w:rsidRPr="00B20172">
        <w:t>The</w:t>
      </w:r>
      <w:r w:rsidR="00B60E85" w:rsidRPr="00B20172">
        <w:t xml:space="preserve"> proposed </w:t>
      </w:r>
      <w:r w:rsidR="00F45E18" w:rsidRPr="00B20172">
        <w:t>target population</w:t>
      </w:r>
      <w:r w:rsidR="009B52EE" w:rsidRPr="00B20172">
        <w:t>s</w:t>
      </w:r>
      <w:r w:rsidR="00F45E18" w:rsidRPr="00B20172">
        <w:t xml:space="preserve"> for the NAAT test </w:t>
      </w:r>
      <w:r w:rsidRPr="00B20172">
        <w:t>are</w:t>
      </w:r>
      <w:r w:rsidR="00F45E18" w:rsidRPr="00B20172">
        <w:t xml:space="preserve">: </w:t>
      </w:r>
    </w:p>
    <w:p w:rsidR="00000F3A" w:rsidRPr="00B20172" w:rsidRDefault="00717B21" w:rsidP="00F45E18">
      <w:pPr>
        <w:rPr>
          <w:u w:val="single"/>
        </w:rPr>
      </w:pPr>
      <w:r w:rsidRPr="00B20172">
        <w:rPr>
          <w:u w:val="single"/>
        </w:rPr>
        <w:t>Patients with the signs and symptoms of a</w:t>
      </w:r>
      <w:r w:rsidR="00000F3A" w:rsidRPr="00B20172">
        <w:rPr>
          <w:u w:val="single"/>
        </w:rPr>
        <w:t>ctive tuberculosis</w:t>
      </w:r>
    </w:p>
    <w:p w:rsidR="00000F3A" w:rsidRPr="00B20172" w:rsidRDefault="00CE58B3" w:rsidP="00000F3A">
      <w:r w:rsidRPr="00B20172">
        <w:t xml:space="preserve">It is proposed that </w:t>
      </w:r>
      <w:r w:rsidR="00000F3A" w:rsidRPr="00B20172">
        <w:t>nucleic acid amplification (NAAT) for the diagnosis and management of TB will be assessed for use in the following two populations:</w:t>
      </w:r>
    </w:p>
    <w:p w:rsidR="00000F3A" w:rsidRPr="00B20172" w:rsidRDefault="00000F3A" w:rsidP="00000F3A">
      <w:r w:rsidRPr="00B20172">
        <w:lastRenderedPageBreak/>
        <w:t xml:space="preserve">1. Patients with the clinical signs and symptoms of active TB from whom a specimen is obtained that </w:t>
      </w:r>
      <w:proofErr w:type="gramStart"/>
      <w:r w:rsidRPr="00B20172">
        <w:t>is</w:t>
      </w:r>
      <w:proofErr w:type="gramEnd"/>
      <w:r w:rsidRPr="00B20172">
        <w:t xml:space="preserve"> able to have an acid fast bacilli smear (AFB) test </w:t>
      </w:r>
      <w:r w:rsidR="009B52EE" w:rsidRPr="00B20172">
        <w:t>and culture and s</w:t>
      </w:r>
      <w:r w:rsidR="00497EB5" w:rsidRPr="00B20172">
        <w:t>usceptibility</w:t>
      </w:r>
      <w:r w:rsidR="009B52EE" w:rsidRPr="00B20172">
        <w:t xml:space="preserve"> performed</w:t>
      </w:r>
      <w:r w:rsidRPr="00B20172">
        <w:t>. Included within this population are two sub-groups:</w:t>
      </w:r>
    </w:p>
    <w:p w:rsidR="00000F3A" w:rsidRPr="00B20172" w:rsidRDefault="00000F3A" w:rsidP="00000F3A">
      <w:pPr>
        <w:spacing w:after="120"/>
        <w:ind w:left="720"/>
      </w:pPr>
      <w:proofErr w:type="gramStart"/>
      <w:r w:rsidRPr="00B20172">
        <w:t>a</w:t>
      </w:r>
      <w:proofErr w:type="gramEnd"/>
      <w:r w:rsidRPr="00B20172">
        <w:t>. patients with the signs and symptoms of active TB whose background epidemiology gives rise to a high pre-test probability they will have active TB (e.g. they come from a country with high rates of endemic TB). This sub-group is further subdivided into:</w:t>
      </w:r>
      <w:r w:rsidRPr="00B20172">
        <w:cr/>
      </w:r>
    </w:p>
    <w:p w:rsidR="00000F3A" w:rsidRPr="00B20172" w:rsidRDefault="00000F3A" w:rsidP="00000F3A">
      <w:pPr>
        <w:spacing w:after="120"/>
        <w:ind w:left="1440"/>
      </w:pPr>
      <w:proofErr w:type="gramStart"/>
      <w:r w:rsidRPr="00B20172">
        <w:t>i</w:t>
      </w:r>
      <w:proofErr w:type="gramEnd"/>
      <w:r w:rsidRPr="00B20172">
        <w:t>. patients whose specimen has a high diagnostic yield for AFB test (likely high bacterial load e.g. sputum)</w:t>
      </w:r>
    </w:p>
    <w:p w:rsidR="00000F3A" w:rsidRPr="00B20172" w:rsidRDefault="00000F3A" w:rsidP="00000F3A">
      <w:pPr>
        <w:spacing w:after="120"/>
        <w:ind w:left="1440"/>
      </w:pPr>
      <w:r w:rsidRPr="00B20172">
        <w:t xml:space="preserve">ii. </w:t>
      </w:r>
      <w:proofErr w:type="gramStart"/>
      <w:r w:rsidRPr="00B20172">
        <w:t>patients</w:t>
      </w:r>
      <w:proofErr w:type="gramEnd"/>
      <w:r w:rsidRPr="00B20172">
        <w:t xml:space="preserve"> whose specimen has a low diagnostic yield for AFB test (likely low bacterial load, e.g. tissue, lymph node, CSF)</w:t>
      </w:r>
    </w:p>
    <w:p w:rsidR="00000F3A" w:rsidRPr="00B20172" w:rsidRDefault="00000F3A" w:rsidP="00000F3A">
      <w:pPr>
        <w:ind w:left="720"/>
      </w:pPr>
      <w:r w:rsidRPr="00B20172">
        <w:t>b. patients with the signs and symptoms of active TB whose background epidemiology gives rise to a low pre-test probability that they will have active TB, but for which a diagnosis of TB must be excluded. This sub-group is further subdivided into:</w:t>
      </w:r>
    </w:p>
    <w:p w:rsidR="00000F3A" w:rsidRPr="00B20172" w:rsidRDefault="00000F3A" w:rsidP="005D4CBB">
      <w:pPr>
        <w:spacing w:after="120"/>
        <w:ind w:left="1440"/>
      </w:pPr>
      <w:proofErr w:type="gramStart"/>
      <w:r w:rsidRPr="00B20172">
        <w:t>i</w:t>
      </w:r>
      <w:proofErr w:type="gramEnd"/>
      <w:r w:rsidRPr="00B20172">
        <w:t>. patients whose specimen has a high diagnostic yield for AFB test</w:t>
      </w:r>
    </w:p>
    <w:p w:rsidR="00000F3A" w:rsidRPr="00B20172" w:rsidRDefault="00000F3A" w:rsidP="005D4CBB">
      <w:pPr>
        <w:spacing w:after="120"/>
        <w:ind w:left="1440"/>
      </w:pPr>
      <w:r w:rsidRPr="00B20172">
        <w:t xml:space="preserve">ii. </w:t>
      </w:r>
      <w:proofErr w:type="gramStart"/>
      <w:r w:rsidRPr="00B20172">
        <w:t>patients</w:t>
      </w:r>
      <w:proofErr w:type="gramEnd"/>
      <w:r w:rsidRPr="00B20172">
        <w:t xml:space="preserve"> whose specimen has a low diagnostic yield for AFB test</w:t>
      </w:r>
    </w:p>
    <w:p w:rsidR="00000F3A" w:rsidRPr="00B20172" w:rsidRDefault="00000F3A" w:rsidP="00000F3A">
      <w:r w:rsidRPr="00B20172">
        <w:t xml:space="preserve">2. Patients with the clinical signs and symptoms of active TB from whom </w:t>
      </w:r>
      <w:r w:rsidR="003D7D6A" w:rsidRPr="00B20172">
        <w:t xml:space="preserve">it is not possible to obtain </w:t>
      </w:r>
      <w:r w:rsidRPr="00B20172">
        <w:t>a specimen that is able to have an AFB</w:t>
      </w:r>
      <w:r w:rsidR="00124860" w:rsidRPr="00B20172">
        <w:t xml:space="preserve"> </w:t>
      </w:r>
      <w:r w:rsidR="009B52EE" w:rsidRPr="00B20172">
        <w:t xml:space="preserve">smear </w:t>
      </w:r>
      <w:r w:rsidRPr="00B20172">
        <w:t xml:space="preserve">test </w:t>
      </w:r>
      <w:r w:rsidR="003D7D6A" w:rsidRPr="00B20172">
        <w:t>performed</w:t>
      </w:r>
      <w:r w:rsidR="009B52EE" w:rsidRPr="00B20172">
        <w:t xml:space="preserve"> but the specimen is able to have a culture and s</w:t>
      </w:r>
      <w:r w:rsidR="00497EB5" w:rsidRPr="00B20172">
        <w:t>usceptibility</w:t>
      </w:r>
      <w:r w:rsidRPr="00B20172">
        <w:t>. Included in this population are two types of patients, those:</w:t>
      </w:r>
    </w:p>
    <w:p w:rsidR="00000F3A" w:rsidRPr="00B20172" w:rsidRDefault="00000F3A" w:rsidP="00000F3A">
      <w:pPr>
        <w:ind w:left="720"/>
      </w:pPr>
      <w:proofErr w:type="gramStart"/>
      <w:r w:rsidRPr="00B20172">
        <w:t>a</w:t>
      </w:r>
      <w:proofErr w:type="gramEnd"/>
      <w:r w:rsidRPr="00B20172">
        <w:t>. with the signs and symptoms of active TB whose background epidemiology gives rise to a high pre-test probability that they will have active TB.</w:t>
      </w:r>
    </w:p>
    <w:p w:rsidR="00000F3A" w:rsidRPr="00B20172" w:rsidRDefault="00000F3A" w:rsidP="00000F3A">
      <w:pPr>
        <w:ind w:left="720"/>
      </w:pPr>
      <w:r w:rsidRPr="00B20172">
        <w:t>b. with the signs and symptoms of active TB whose background epidemiology gives rise to a low pre-test probability that they will have active TB but for which a diagnosis of TB must be excluded.</w:t>
      </w:r>
    </w:p>
    <w:p w:rsidR="00000F3A" w:rsidRPr="00B20172" w:rsidRDefault="00717B21" w:rsidP="00000F3A">
      <w:pPr>
        <w:rPr>
          <w:u w:val="single"/>
        </w:rPr>
      </w:pPr>
      <w:r w:rsidRPr="00B20172">
        <w:rPr>
          <w:u w:val="single"/>
        </w:rPr>
        <w:t xml:space="preserve">Patients with histopathology consistent with </w:t>
      </w:r>
      <w:r w:rsidR="00000F3A" w:rsidRPr="00B20172">
        <w:rPr>
          <w:u w:val="single"/>
        </w:rPr>
        <w:t>Non</w:t>
      </w:r>
      <w:r w:rsidRPr="00B20172">
        <w:rPr>
          <w:u w:val="single"/>
        </w:rPr>
        <w:t>-</w:t>
      </w:r>
      <w:r w:rsidR="00000F3A" w:rsidRPr="00B20172">
        <w:rPr>
          <w:u w:val="single"/>
        </w:rPr>
        <w:t>Tuberculous Mycobacteria</w:t>
      </w:r>
    </w:p>
    <w:p w:rsidR="00000F3A" w:rsidRPr="00B20172" w:rsidRDefault="00000F3A" w:rsidP="00000F3A">
      <w:r w:rsidRPr="00B20172">
        <w:t>On the basis of clinical need, NAAT for the diagnosis of infection due to non-tuberculo</w:t>
      </w:r>
      <w:r w:rsidR="00317093" w:rsidRPr="00B20172">
        <w:t>us</w:t>
      </w:r>
      <w:r w:rsidRPr="00B20172">
        <w:t xml:space="preserve"> mycobacteria will be assessed for use in the following population:</w:t>
      </w:r>
    </w:p>
    <w:p w:rsidR="00000F3A" w:rsidRPr="00B20172" w:rsidRDefault="00000F3A" w:rsidP="00000F3A">
      <w:r w:rsidRPr="00B20172">
        <w:t xml:space="preserve">1. Patients with tissue biopsy </w:t>
      </w:r>
      <w:r w:rsidR="00780CDD" w:rsidRPr="00B20172">
        <w:t xml:space="preserve">with </w:t>
      </w:r>
      <w:r w:rsidRPr="00B20172">
        <w:t>histopathology</w:t>
      </w:r>
      <w:r w:rsidR="005912AF" w:rsidRPr="00B20172">
        <w:t xml:space="preserve"> consistent with non-TB </w:t>
      </w:r>
      <w:r w:rsidR="00780CDD" w:rsidRPr="00B20172">
        <w:t>mycobacteria</w:t>
      </w:r>
      <w:r w:rsidRPr="00B20172">
        <w:t>.</w:t>
      </w:r>
    </w:p>
    <w:p w:rsidR="00C02C70" w:rsidRPr="00B20172" w:rsidRDefault="008D148D" w:rsidP="009B59B7">
      <w:pPr>
        <w:pStyle w:val="Heading2"/>
      </w:pPr>
      <w:bookmarkStart w:id="21" w:name="_Toc289854380"/>
      <w:r w:rsidRPr="00B20172">
        <w:t>Clinical place for proposed intervention</w:t>
      </w:r>
      <w:bookmarkEnd w:id="21"/>
    </w:p>
    <w:p w:rsidR="00FA601B" w:rsidRPr="00B20172" w:rsidRDefault="00FA601B" w:rsidP="00F77FF5">
      <w:r w:rsidRPr="00B20172">
        <w:t xml:space="preserve">In proposing the use of NAAT in diagnosis and managing active TB infection, the application has referred to the CDC guidelines which propose that NAAT be an addition to the clinical algorithm for the diagnosis of TB and not a substitute for any current test. </w:t>
      </w:r>
    </w:p>
    <w:p w:rsidR="00254235" w:rsidRPr="00B20172" w:rsidRDefault="00254235" w:rsidP="00F77FF5">
      <w:r w:rsidRPr="00B20172">
        <w:t xml:space="preserve">The CDC </w:t>
      </w:r>
      <w:proofErr w:type="gramStart"/>
      <w:r w:rsidRPr="00B20172">
        <w:t>recommendations for NAAT testing (January 2009)</w:t>
      </w:r>
      <w:r w:rsidR="008D57F2" w:rsidRPr="00B20172">
        <w:rPr>
          <w:rStyle w:val="EndnoteReference"/>
        </w:rPr>
        <w:endnoteReference w:id="21"/>
      </w:r>
      <w:r w:rsidRPr="00B20172">
        <w:t xml:space="preserve"> is</w:t>
      </w:r>
      <w:proofErr w:type="gramEnd"/>
      <w:r w:rsidRPr="00B20172">
        <w:t xml:space="preserve"> that:</w:t>
      </w:r>
    </w:p>
    <w:p w:rsidR="00254235" w:rsidRPr="00B20172" w:rsidRDefault="00254235" w:rsidP="00F77FF5">
      <w:r w:rsidRPr="00B20172">
        <w:lastRenderedPageBreak/>
        <w:t xml:space="preserve"> “NAAT testing should be performed on at least one respiratory specimen from each patient with signs and symptoms of pulmonary TB for whom a  diagnosis of TB is being considered but has not yet been established, and for whom the test result would alter case management or TB control activities.”</w:t>
      </w:r>
    </w:p>
    <w:p w:rsidR="005D35F3" w:rsidRPr="00B20172" w:rsidRDefault="005D35F3" w:rsidP="00F77FF5">
      <w:r w:rsidRPr="00B20172">
        <w:t xml:space="preserve">These guidelines were developed prior to the availability of NAAT tests also able to detect </w:t>
      </w:r>
      <w:r w:rsidR="00CE58B3" w:rsidRPr="00B20172">
        <w:t>antibiotic</w:t>
      </w:r>
      <w:r w:rsidRPr="00B20172">
        <w:t xml:space="preserve"> resistance, in particular rifampicin.  </w:t>
      </w:r>
    </w:p>
    <w:p w:rsidR="00BB764C" w:rsidRPr="00B20172" w:rsidRDefault="005D35F3" w:rsidP="00F77FF5">
      <w:r w:rsidRPr="00B20172">
        <w:t xml:space="preserve">Expert opinion is that a major factor in the clinical management of a patient with the signs and symptoms of active TB is the patient’s pre-test probability of having TB.  </w:t>
      </w:r>
      <w:r w:rsidR="00472659" w:rsidRPr="00B20172">
        <w:t xml:space="preserve">That </w:t>
      </w:r>
      <w:r w:rsidRPr="00B20172">
        <w:t xml:space="preserve">is </w:t>
      </w:r>
      <w:r w:rsidR="00472659" w:rsidRPr="00B20172">
        <w:t xml:space="preserve">a </w:t>
      </w:r>
      <w:r w:rsidRPr="00B20172">
        <w:t xml:space="preserve">patient is from one of the recognised high risk groups.  The following clinical management algorithms have been developed incorporating expert opinion and CDC guidelines. </w:t>
      </w:r>
    </w:p>
    <w:p w:rsidR="000D39B5" w:rsidRPr="00B20172" w:rsidRDefault="00CA7C51" w:rsidP="00F77FF5">
      <w:r w:rsidRPr="00B20172">
        <w:t xml:space="preserve">Figure 1 presents current and proposed clinical management algorithms for </w:t>
      </w:r>
      <w:r w:rsidR="00C7130C" w:rsidRPr="00B20172">
        <w:t xml:space="preserve">patients with the clinical signs and symptoms of active TB and for whom an AFB </w:t>
      </w:r>
      <w:r w:rsidR="00124860" w:rsidRPr="00B20172">
        <w:t xml:space="preserve">microbiology </w:t>
      </w:r>
      <w:r w:rsidR="00C7130C" w:rsidRPr="00B20172">
        <w:t xml:space="preserve">test can be done on multiple specimens e.g. sputum or on a single specimen e.g. CSF or urine. </w:t>
      </w:r>
      <w:r w:rsidR="000D39B5" w:rsidRPr="00B20172">
        <w:t>Currently, c</w:t>
      </w:r>
      <w:r w:rsidR="007B7FAB" w:rsidRPr="00B20172">
        <w:t xml:space="preserve">linicians will rely on the results of the AFB as well as patient’s </w:t>
      </w:r>
      <w:r w:rsidR="00C7130C" w:rsidRPr="00B20172">
        <w:t>background epidemiology</w:t>
      </w:r>
      <w:r w:rsidR="007B7FAB" w:rsidRPr="00B20172">
        <w:t xml:space="preserve"> of</w:t>
      </w:r>
      <w:r w:rsidR="00C7130C" w:rsidRPr="00B20172">
        <w:t xml:space="preserve"> high or low pre-test probability that they will have active TB as the basis to initiate or defer antibiotic treatment. </w:t>
      </w:r>
      <w:r w:rsidR="007B7FAB" w:rsidRPr="00B20172">
        <w:t>Treatment decisions will also be influenced by the</w:t>
      </w:r>
      <w:r w:rsidR="00C7130C" w:rsidRPr="00B20172">
        <w:t xml:space="preserve"> type of specimen that is obtained from the patient. This is because </w:t>
      </w:r>
      <w:r w:rsidR="007B7FAB" w:rsidRPr="00B20172">
        <w:t xml:space="preserve">a </w:t>
      </w:r>
      <w:r w:rsidR="00C7130C" w:rsidRPr="00B20172">
        <w:t xml:space="preserve">specimen </w:t>
      </w:r>
      <w:r w:rsidR="007B7FAB" w:rsidRPr="00B20172">
        <w:t>for an</w:t>
      </w:r>
      <w:r w:rsidR="00C7130C" w:rsidRPr="00B20172">
        <w:t xml:space="preserve"> AFB test </w:t>
      </w:r>
      <w:r w:rsidR="007B7FAB" w:rsidRPr="00B20172">
        <w:t xml:space="preserve">can have </w:t>
      </w:r>
      <w:r w:rsidR="00C7130C" w:rsidRPr="00B20172">
        <w:t xml:space="preserve">a high diagnostic yield (likely high bacterial load), </w:t>
      </w:r>
      <w:r w:rsidR="007B7FAB" w:rsidRPr="00B20172">
        <w:t>or a</w:t>
      </w:r>
      <w:r w:rsidR="00C7130C" w:rsidRPr="00B20172">
        <w:t xml:space="preserve"> specimen for </w:t>
      </w:r>
      <w:r w:rsidR="007B7FAB" w:rsidRPr="00B20172">
        <w:t xml:space="preserve">an </w:t>
      </w:r>
      <w:r w:rsidR="00C7130C" w:rsidRPr="00B20172">
        <w:t xml:space="preserve">AFB has a low diagnostic yield (e.g. </w:t>
      </w:r>
      <w:proofErr w:type="spellStart"/>
      <w:r w:rsidR="00C7130C" w:rsidRPr="00B20172">
        <w:t>ascitic</w:t>
      </w:r>
      <w:proofErr w:type="spellEnd"/>
      <w:r w:rsidR="00C7130C" w:rsidRPr="00B20172">
        <w:t xml:space="preserve"> fluid, urine)</w:t>
      </w:r>
      <w:r w:rsidR="007B7FAB" w:rsidRPr="00B20172">
        <w:t xml:space="preserve">. </w:t>
      </w:r>
      <w:r w:rsidR="00C7130C" w:rsidRPr="00B20172">
        <w:t xml:space="preserve"> </w:t>
      </w:r>
      <w:r w:rsidR="000D39B5" w:rsidRPr="00B20172">
        <w:t xml:space="preserve">The proposed introduction of the NAAT will be used as an adjunct test to AFB, either after or alongside. Treatment decisions will continue to be influenced </w:t>
      </w:r>
      <w:r w:rsidR="00780CDD" w:rsidRPr="00B20172">
        <w:t>by a patient’s</w:t>
      </w:r>
      <w:r w:rsidR="000D39B5" w:rsidRPr="00B20172">
        <w:t xml:space="preserve"> pre-test probability of active TB. </w:t>
      </w:r>
    </w:p>
    <w:p w:rsidR="00C7130C" w:rsidRPr="00B20172" w:rsidRDefault="00F45E18" w:rsidP="00C7130C">
      <w:r w:rsidRPr="00B20172">
        <w:t xml:space="preserve">Figure 2 </w:t>
      </w:r>
      <w:r w:rsidR="00CA7C51" w:rsidRPr="00B20172">
        <w:t xml:space="preserve">presents current and proposed clinical management algorithms for </w:t>
      </w:r>
      <w:r w:rsidR="00C7130C" w:rsidRPr="00B20172">
        <w:t>patients</w:t>
      </w:r>
      <w:r w:rsidRPr="00B20172">
        <w:t xml:space="preserve"> who present</w:t>
      </w:r>
      <w:r w:rsidR="00C7130C" w:rsidRPr="00B20172">
        <w:t xml:space="preserve"> with the clinical signs and symptoms of active TB and from whom it is not possible to obtain a specimen for AFB smear testing. These are patients who present with, for example, a lymph node from which a biopsy can be obtained, but smear examination </w:t>
      </w:r>
      <w:r w:rsidR="00497EB5" w:rsidRPr="00B20172">
        <w:t xml:space="preserve">is not </w:t>
      </w:r>
      <w:r w:rsidR="00C7130C" w:rsidRPr="00B20172">
        <w:t>possible</w:t>
      </w:r>
      <w:r w:rsidR="00497EB5" w:rsidRPr="00B20172">
        <w:t xml:space="preserve"> (but MC&amp;S is possible). </w:t>
      </w:r>
      <w:r w:rsidR="00C7130C" w:rsidRPr="00B20172">
        <w:t>Histology is not able to differentiate between TB and NTMB or in many instances, from pathology other than mycobacterial disease. It is anticipated that this will be a very small population.</w:t>
      </w:r>
      <w:r w:rsidR="000D39B5" w:rsidRPr="00B20172">
        <w:t xml:space="preserve"> Treatment decisions are influenced by patient’s pre-test probability of active TB and specimen diagnostic yield for MTB.  In this population </w:t>
      </w:r>
      <w:r w:rsidR="00C7130C" w:rsidRPr="00B20172">
        <w:t xml:space="preserve">it is anticipated that NAAT testing will substitute for the current testing. </w:t>
      </w:r>
    </w:p>
    <w:p w:rsidR="00C7130C" w:rsidRPr="00B20172" w:rsidRDefault="00F45E18" w:rsidP="00C7130C">
      <w:r w:rsidRPr="00B20172">
        <w:t xml:space="preserve">For </w:t>
      </w:r>
      <w:r w:rsidR="003D7D6A" w:rsidRPr="00B20172">
        <w:t xml:space="preserve">the </w:t>
      </w:r>
      <w:r w:rsidRPr="00B20172">
        <w:t>target population in Figure 1</w:t>
      </w:r>
      <w:r w:rsidR="00C7130C" w:rsidRPr="00B20172">
        <w:t xml:space="preserve">, those patients with the clinical signs and symptoms of active TB, for which a specimen for AFB smear can be obtained, it is assumed that </w:t>
      </w:r>
      <w:r w:rsidR="00497EB5" w:rsidRPr="00B20172">
        <w:t>MC&amp;S</w:t>
      </w:r>
      <w:r w:rsidR="00C7130C" w:rsidRPr="00B20172">
        <w:t xml:space="preserve"> will also be performed</w:t>
      </w:r>
      <w:r w:rsidR="00497EB5" w:rsidRPr="00B20172">
        <w:t xml:space="preserve"> on the same specimens</w:t>
      </w:r>
      <w:r w:rsidR="00C7130C" w:rsidRPr="00B20172">
        <w:t>.</w:t>
      </w:r>
    </w:p>
    <w:p w:rsidR="00C7130C" w:rsidRPr="00B20172" w:rsidRDefault="00F45E18" w:rsidP="00C7130C">
      <w:r w:rsidRPr="00B20172">
        <w:t>For target population in Figure 2</w:t>
      </w:r>
      <w:r w:rsidR="00C7130C" w:rsidRPr="00B20172">
        <w:t xml:space="preserve">, those patients with the clinical signs and symptoms of active TB, for which a specimen for AFB smear is unable to be obtained, it is assumed that a specimen will be obtained for which </w:t>
      </w:r>
      <w:r w:rsidR="00497EB5" w:rsidRPr="00B20172">
        <w:t xml:space="preserve">MC&amp;S </w:t>
      </w:r>
      <w:r w:rsidR="00C7130C" w:rsidRPr="00B20172">
        <w:t>can be performed.</w:t>
      </w:r>
    </w:p>
    <w:p w:rsidR="00C7130C" w:rsidRPr="00B20172" w:rsidRDefault="00F45E18" w:rsidP="00C7130C">
      <w:r w:rsidRPr="00B20172">
        <w:rPr>
          <w:b/>
          <w:i/>
        </w:rPr>
        <w:t xml:space="preserve">PASC </w:t>
      </w:r>
      <w:r w:rsidR="004133E2" w:rsidRPr="00B20172">
        <w:rPr>
          <w:b/>
          <w:i/>
        </w:rPr>
        <w:t>agreed that</w:t>
      </w:r>
      <w:r w:rsidRPr="00B20172">
        <w:rPr>
          <w:b/>
          <w:i/>
        </w:rPr>
        <w:t xml:space="preserve"> a</w:t>
      </w:r>
      <w:r w:rsidR="00C7130C" w:rsidRPr="00B20172">
        <w:rPr>
          <w:b/>
          <w:i/>
        </w:rPr>
        <w:t xml:space="preserve">n assessment of the utility of NAAT in patients for whom a clinical diagnosis of active TB is made, but in whom it is not possible to obtain a sample for culture and </w:t>
      </w:r>
      <w:r w:rsidR="00497EB5" w:rsidRPr="00B20172">
        <w:rPr>
          <w:b/>
          <w:i/>
        </w:rPr>
        <w:t>susceptibility</w:t>
      </w:r>
      <w:r w:rsidR="00C7130C" w:rsidRPr="00B20172">
        <w:rPr>
          <w:b/>
          <w:i/>
        </w:rPr>
        <w:t xml:space="preserve">, </w:t>
      </w:r>
      <w:r w:rsidRPr="00B20172">
        <w:rPr>
          <w:b/>
          <w:i/>
        </w:rPr>
        <w:t>will lie</w:t>
      </w:r>
      <w:r w:rsidR="00C7130C" w:rsidRPr="00B20172">
        <w:rPr>
          <w:b/>
          <w:i/>
        </w:rPr>
        <w:t xml:space="preserve"> outside the scope of this a</w:t>
      </w:r>
      <w:r w:rsidRPr="00B20172">
        <w:rPr>
          <w:b/>
          <w:i/>
        </w:rPr>
        <w:t>pplication</w:t>
      </w:r>
      <w:r w:rsidR="00C7130C" w:rsidRPr="00B20172">
        <w:t>.</w:t>
      </w:r>
    </w:p>
    <w:p w:rsidR="00FA601B" w:rsidRPr="00B20172" w:rsidRDefault="00FA601B" w:rsidP="00FA601B">
      <w:r w:rsidRPr="00B20172">
        <w:t xml:space="preserve">The application has not indicated where NAAT for non-tuberculosis mycobacterium (NTMB) infection will sit within the clinical algorithm. </w:t>
      </w:r>
    </w:p>
    <w:p w:rsidR="00F45E18" w:rsidRPr="00B20172" w:rsidRDefault="00F45E18" w:rsidP="00C7130C">
      <w:r w:rsidRPr="00B20172">
        <w:lastRenderedPageBreak/>
        <w:t xml:space="preserve">Figure 3 </w:t>
      </w:r>
      <w:r w:rsidR="00CA7C51" w:rsidRPr="00B20172">
        <w:t xml:space="preserve">presents current and proposed clinical management algorithms, for </w:t>
      </w:r>
      <w:r w:rsidRPr="00B20172">
        <w:t>patients</w:t>
      </w:r>
      <w:r w:rsidR="00CA7C51" w:rsidRPr="00B20172">
        <w:t>,</w:t>
      </w:r>
      <w:r w:rsidRPr="00B20172">
        <w:t xml:space="preserve"> on the basis of clinical need</w:t>
      </w:r>
      <w:r w:rsidR="00780CDD" w:rsidRPr="00B20172">
        <w:t>.</w:t>
      </w:r>
      <w:r w:rsidRPr="00B20172">
        <w:t xml:space="preserve"> NAAT for the diagnosis of infection due to non-tuberculosis mycobacteria will be assessed in patients with tissue biopsy </w:t>
      </w:r>
      <w:r w:rsidR="00472659" w:rsidRPr="00B20172">
        <w:t xml:space="preserve">where </w:t>
      </w:r>
      <w:r w:rsidRPr="00B20172">
        <w:t>histopathology</w:t>
      </w:r>
      <w:r w:rsidR="00780CDD" w:rsidRPr="00B20172">
        <w:t xml:space="preserve"> </w:t>
      </w:r>
      <w:r w:rsidR="00472659" w:rsidRPr="00B20172">
        <w:t xml:space="preserve">is </w:t>
      </w:r>
      <w:r w:rsidR="00780CDD" w:rsidRPr="00B20172">
        <w:t xml:space="preserve">consistent with </w:t>
      </w:r>
      <w:r w:rsidR="00472659" w:rsidRPr="00B20172">
        <w:t xml:space="preserve">non-TB </w:t>
      </w:r>
      <w:r w:rsidR="00780CDD" w:rsidRPr="00B20172">
        <w:t>mycobacteria</w:t>
      </w:r>
      <w:r w:rsidRPr="00B20172">
        <w:t xml:space="preserve">.  It is assumed that a culture for diagnosis and </w:t>
      </w:r>
      <w:r w:rsidR="00497EB5" w:rsidRPr="00B20172">
        <w:t xml:space="preserve">susceptibility </w:t>
      </w:r>
      <w:r w:rsidRPr="00B20172">
        <w:t xml:space="preserve">will also be performed. </w:t>
      </w:r>
      <w:r w:rsidR="00472659" w:rsidRPr="00B20172">
        <w:t xml:space="preserve">For this population it is assumed that </w:t>
      </w:r>
      <w:r w:rsidR="00250295" w:rsidRPr="00B20172">
        <w:t xml:space="preserve">the proposed </w:t>
      </w:r>
      <w:r w:rsidR="00472659" w:rsidRPr="00B20172">
        <w:t xml:space="preserve">NAAT will substitute for current testing. </w:t>
      </w:r>
    </w:p>
    <w:p w:rsidR="00BB764C" w:rsidRPr="00B20172" w:rsidRDefault="00BB764C" w:rsidP="00F77FF5"/>
    <w:p w:rsidR="0079770A" w:rsidRPr="00B20172" w:rsidRDefault="0079770A" w:rsidP="00F77FF5">
      <w:pPr>
        <w:sectPr w:rsidR="0079770A" w:rsidRPr="00B20172" w:rsidSect="00523A3A">
          <w:headerReference w:type="even" r:id="rId10"/>
          <w:headerReference w:type="default" r:id="rId11"/>
          <w:footerReference w:type="default" r:id="rId12"/>
          <w:headerReference w:type="first" r:id="rId13"/>
          <w:footerReference w:type="first" r:id="rId14"/>
          <w:endnotePr>
            <w:numFmt w:val="decimal"/>
          </w:endnotePr>
          <w:pgSz w:w="11906" w:h="16838"/>
          <w:pgMar w:top="1361" w:right="1418" w:bottom="1361" w:left="1418" w:header="709" w:footer="0" w:gutter="0"/>
          <w:pgNumType w:start="0"/>
          <w:cols w:space="708"/>
          <w:titlePg/>
          <w:docGrid w:linePitch="360"/>
        </w:sectPr>
      </w:pPr>
    </w:p>
    <w:p w:rsidR="00BB764C" w:rsidRPr="00B20172" w:rsidRDefault="0079770A" w:rsidP="00F77FF5">
      <w:r w:rsidRPr="00B20172">
        <w:lastRenderedPageBreak/>
        <w:t xml:space="preserve">Figure 1: Current clinical management </w:t>
      </w:r>
      <w:r w:rsidR="001D1C1A" w:rsidRPr="00B20172">
        <w:t xml:space="preserve">of TB and proposed </w:t>
      </w:r>
      <w:r w:rsidRPr="00B20172">
        <w:t xml:space="preserve">use of NAAT for </w:t>
      </w:r>
      <w:r w:rsidR="00F27A00" w:rsidRPr="00B20172">
        <w:t>active TB</w:t>
      </w:r>
      <w:r w:rsidR="001D1C1A" w:rsidRPr="00B20172">
        <w:t xml:space="preserve"> where AFB </w:t>
      </w:r>
      <w:r w:rsidR="00CA7C51" w:rsidRPr="00B20172">
        <w:t xml:space="preserve">is </w:t>
      </w:r>
      <w:r w:rsidR="001D1C1A" w:rsidRPr="00B20172">
        <w:t>obtained</w:t>
      </w:r>
    </w:p>
    <w:p w:rsidR="002E316E" w:rsidRPr="00B20172" w:rsidRDefault="00C155B1" w:rsidP="00F77FF5">
      <w:r w:rsidRPr="00B20172">
        <w:rPr>
          <w:noProof/>
          <w:lang w:eastAsia="en-AU"/>
        </w:rPr>
        <w:drawing>
          <wp:inline distT="0" distB="0" distL="0" distR="0" wp14:anchorId="0B3B6D10" wp14:editId="01D3B597">
            <wp:extent cx="8963660" cy="4962874"/>
            <wp:effectExtent l="0" t="0" r="8890" b="9525"/>
            <wp:docPr id="1" name="Picture 1" title="Current clinical management of TB and proposed use of NAAT for active TB where AFB is obta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63660" cy="4962874"/>
                    </a:xfrm>
                    <a:prstGeom prst="rect">
                      <a:avLst/>
                    </a:prstGeom>
                    <a:noFill/>
                    <a:ln>
                      <a:noFill/>
                    </a:ln>
                  </pic:spPr>
                </pic:pic>
              </a:graphicData>
            </a:graphic>
          </wp:inline>
        </w:drawing>
      </w:r>
    </w:p>
    <w:p w:rsidR="00523A3A" w:rsidRPr="00B20172" w:rsidRDefault="00523A3A">
      <w:pPr>
        <w:spacing w:after="200" w:line="276" w:lineRule="auto"/>
        <w:jc w:val="left"/>
      </w:pPr>
      <w:r w:rsidRPr="00B20172">
        <w:br w:type="page"/>
      </w:r>
    </w:p>
    <w:p w:rsidR="00BB764C" w:rsidRPr="00B20172" w:rsidRDefault="001D1C1A" w:rsidP="00F77FF5">
      <w:r w:rsidRPr="00B20172">
        <w:lastRenderedPageBreak/>
        <w:t xml:space="preserve">Figure 2: Current clinical management of TB and proposed </w:t>
      </w:r>
      <w:r w:rsidR="00CA7C51" w:rsidRPr="00B20172">
        <w:t xml:space="preserve">algorithm with </w:t>
      </w:r>
      <w:r w:rsidRPr="00B20172">
        <w:t xml:space="preserve">use of NAAT for active TB where AFB </w:t>
      </w:r>
      <w:r w:rsidR="00CA7C51" w:rsidRPr="00B20172">
        <w:t xml:space="preserve">is </w:t>
      </w:r>
      <w:r w:rsidRPr="00B20172">
        <w:t>not able to be obtained</w:t>
      </w:r>
    </w:p>
    <w:p w:rsidR="00C974ED" w:rsidRPr="00B20172" w:rsidRDefault="00C974ED" w:rsidP="00F77FF5">
      <w:r w:rsidRPr="00B20172">
        <w:rPr>
          <w:noProof/>
          <w:lang w:eastAsia="en-AU"/>
        </w:rPr>
        <w:drawing>
          <wp:inline distT="0" distB="0" distL="0" distR="0" wp14:anchorId="31EA0CDE" wp14:editId="7AFC5E2A">
            <wp:extent cx="8961120" cy="5231959"/>
            <wp:effectExtent l="0" t="0" r="0" b="6985"/>
            <wp:docPr id="3" name="Picture 3" title="Current clinical management of TB and proposed algorithm with use of NAAT for active TB where AFB  is not able to be obtain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63660" cy="5233442"/>
                    </a:xfrm>
                    <a:prstGeom prst="rect">
                      <a:avLst/>
                    </a:prstGeom>
                    <a:noFill/>
                    <a:ln>
                      <a:noFill/>
                    </a:ln>
                  </pic:spPr>
                </pic:pic>
              </a:graphicData>
            </a:graphic>
          </wp:inline>
        </w:drawing>
      </w:r>
    </w:p>
    <w:p w:rsidR="001D1C1A" w:rsidRPr="00B20172" w:rsidRDefault="001D1C1A" w:rsidP="00F77FF5">
      <w:r w:rsidRPr="00B20172">
        <w:lastRenderedPageBreak/>
        <w:t xml:space="preserve">Figure 3: </w:t>
      </w:r>
      <w:r w:rsidR="00246BCB" w:rsidRPr="00B20172">
        <w:t xml:space="preserve">Current </w:t>
      </w:r>
      <w:r w:rsidR="00CA7C51" w:rsidRPr="00B20172">
        <w:t xml:space="preserve">clinical management algorithm and proposed algorithm with use of NAAT for patients who have tissue biopsy consistent with mycobacteria </w:t>
      </w:r>
    </w:p>
    <w:p w:rsidR="00711250" w:rsidRPr="00B20172" w:rsidRDefault="002E316E" w:rsidP="00F77FF5">
      <w:r w:rsidRPr="00B20172">
        <w:rPr>
          <w:noProof/>
          <w:lang w:eastAsia="en-AU"/>
        </w:rPr>
        <w:drawing>
          <wp:inline distT="0" distB="0" distL="0" distR="0" wp14:anchorId="3EB566F8" wp14:editId="503C1FB8">
            <wp:extent cx="8619191" cy="5271715"/>
            <wp:effectExtent l="0" t="0" r="0" b="0"/>
            <wp:docPr id="4" name="Picture 4" title="Current clinical management algorithm and proposed algorithm with use of NAAT for patients who have tissue biopsy consistent with mycobac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19490" cy="5271898"/>
                    </a:xfrm>
                    <a:prstGeom prst="rect">
                      <a:avLst/>
                    </a:prstGeom>
                    <a:noFill/>
                    <a:ln>
                      <a:noFill/>
                    </a:ln>
                  </pic:spPr>
                </pic:pic>
              </a:graphicData>
            </a:graphic>
          </wp:inline>
        </w:drawing>
      </w:r>
    </w:p>
    <w:p w:rsidR="00711250" w:rsidRPr="00B20172" w:rsidRDefault="00711250" w:rsidP="00F77FF5">
      <w:pPr>
        <w:sectPr w:rsidR="00711250" w:rsidRPr="00B20172" w:rsidSect="00523A3A">
          <w:endnotePr>
            <w:numFmt w:val="decimal"/>
          </w:endnotePr>
          <w:pgSz w:w="16838" w:h="11906" w:orient="landscape"/>
          <w:pgMar w:top="366" w:right="720" w:bottom="720" w:left="720" w:header="430" w:footer="446" w:gutter="0"/>
          <w:pgNumType w:start="0"/>
          <w:cols w:space="708"/>
          <w:titlePg/>
          <w:docGrid w:linePitch="360"/>
        </w:sectPr>
      </w:pPr>
    </w:p>
    <w:p w:rsidR="002375C5" w:rsidRPr="00B20172" w:rsidRDefault="007B2A79" w:rsidP="002375C5">
      <w:r w:rsidRPr="00B20172">
        <w:lastRenderedPageBreak/>
        <w:t>Although, currently multiple specimens can have an AFB test (e.g. 3 consecutive sputa)</w:t>
      </w:r>
      <w:r w:rsidR="00555044" w:rsidRPr="00B20172">
        <w:t xml:space="preserve"> (and culture and s</w:t>
      </w:r>
      <w:r w:rsidR="00497EB5" w:rsidRPr="00B20172">
        <w:t>usceptibility</w:t>
      </w:r>
      <w:r w:rsidR="00555044" w:rsidRPr="00B20172">
        <w:t>)</w:t>
      </w:r>
      <w:r w:rsidRPr="00B20172">
        <w:t xml:space="preserve">, it is </w:t>
      </w:r>
      <w:r w:rsidR="00555044" w:rsidRPr="00B20172">
        <w:t>not recommended that NAAT be performed on every suspected TB specimen</w:t>
      </w:r>
      <w:r w:rsidR="00555044" w:rsidRPr="00B20172">
        <w:rPr>
          <w:rStyle w:val="EndnoteReference"/>
        </w:rPr>
        <w:endnoteReference w:id="22"/>
      </w:r>
      <w:r w:rsidR="00B348A7" w:rsidRPr="00B20172">
        <w:t xml:space="preserve"> </w:t>
      </w:r>
      <w:r w:rsidR="00555044" w:rsidRPr="00B20172">
        <w:t xml:space="preserve">Evidence will only be included if the diagnostic accuracy of the tests </w:t>
      </w:r>
      <w:r w:rsidR="00A019C0" w:rsidRPr="00B20172">
        <w:t>are</w:t>
      </w:r>
      <w:r w:rsidR="00555044" w:rsidRPr="00B20172">
        <w:t xml:space="preserve"> determined by reference to </w:t>
      </w:r>
      <w:r w:rsidR="00B348A7" w:rsidRPr="00B20172">
        <w:t>MC&amp;S</w:t>
      </w:r>
      <w:r w:rsidR="00555044" w:rsidRPr="00B20172">
        <w:t>.</w:t>
      </w:r>
      <w:r w:rsidR="00201AC2" w:rsidRPr="00B20172">
        <w:t xml:space="preserve"> </w:t>
      </w:r>
      <w:r w:rsidRPr="00B20172">
        <w:t xml:space="preserve">Where NAAT is performed </w:t>
      </w:r>
      <w:r w:rsidR="00A019C0" w:rsidRPr="00B20172">
        <w:t xml:space="preserve">on a specimen (in addition to </w:t>
      </w:r>
      <w:r w:rsidR="00497EB5" w:rsidRPr="00B20172">
        <w:t>MC&amp;S</w:t>
      </w:r>
      <w:r w:rsidR="00A019C0" w:rsidRPr="00B20172">
        <w:t>) where an AFB smear cannot be done, it is</w:t>
      </w:r>
      <w:r w:rsidRPr="00B20172">
        <w:t xml:space="preserve"> anticipated that only one test per patient will be required. If the patient has a negative NAAT result, it is assumed repeat testing for inhibitors is not required and that laboratories will only report NAAT results after they have tested for inhibitors. Currently, AFB testing is also done to monitor a patient’s response to therapy, i.e. the time it takes patients to convert to AFB smear negative.  It is not anticipated that NAAT will be used by clinicians for this role. </w:t>
      </w:r>
    </w:p>
    <w:p w:rsidR="00D31674" w:rsidRPr="00B20172" w:rsidRDefault="00D31674" w:rsidP="007B2A79">
      <w:r w:rsidRPr="00B20172">
        <w:t>Information collected for the National Surveillance Disease Database</w:t>
      </w:r>
      <w:r w:rsidRPr="00B20172">
        <w:rPr>
          <w:rStyle w:val="EndnoteReference"/>
        </w:rPr>
        <w:endnoteReference w:id="23"/>
      </w:r>
      <w:r w:rsidRPr="00B20172">
        <w:t xml:space="preserve"> which includes data such as a person’s country of birth, </w:t>
      </w:r>
      <w:proofErr w:type="spellStart"/>
      <w:r w:rsidRPr="00B20172">
        <w:t>extrapulmonary</w:t>
      </w:r>
      <w:proofErr w:type="spellEnd"/>
      <w:r w:rsidRPr="00B20172">
        <w:t xml:space="preserve"> site, whether new or relapsed case, risk factors, age, and indigenous status should enable risk status of patients to be ascertained. It is anticipated that information about the likelihood that specimens have ‘low’ or ‘high’ diagnostic yield for AFB should be available from the literature.  Similarly information </w:t>
      </w:r>
      <w:r w:rsidR="00124FEA" w:rsidRPr="00B20172">
        <w:t xml:space="preserve">about the likely tests undertaken when an AFB is unable to be obtained should also be available from the literature. </w:t>
      </w:r>
    </w:p>
    <w:p w:rsidR="00BC3E82" w:rsidRPr="00B20172" w:rsidRDefault="00046186" w:rsidP="00BC3E82">
      <w:r w:rsidRPr="00B20172">
        <w:t xml:space="preserve">For patients </w:t>
      </w:r>
      <w:r w:rsidR="006B1960" w:rsidRPr="00B20172">
        <w:t xml:space="preserve">where the tissue sample has </w:t>
      </w:r>
      <w:r w:rsidRPr="00B20172">
        <w:t>histopathology</w:t>
      </w:r>
      <w:r w:rsidR="00C40C49" w:rsidRPr="00B20172">
        <w:t xml:space="preserve"> consistent with mycobacterial infection</w:t>
      </w:r>
      <w:r w:rsidRPr="00B20172">
        <w:t xml:space="preserve">, then the </w:t>
      </w:r>
      <w:r w:rsidR="00BC3E82" w:rsidRPr="00B20172">
        <w:t xml:space="preserve">proposed </w:t>
      </w:r>
      <w:r w:rsidRPr="00B20172">
        <w:t xml:space="preserve">intervention will consist of an NAAT to diagnose </w:t>
      </w:r>
      <w:r w:rsidR="00C40C49" w:rsidRPr="00B20172">
        <w:t xml:space="preserve">the </w:t>
      </w:r>
      <w:r w:rsidRPr="00B20172">
        <w:t>infection</w:t>
      </w:r>
      <w:r w:rsidR="00BC3E82" w:rsidRPr="00B20172">
        <w:t xml:space="preserve"> (Figure 3)</w:t>
      </w:r>
    </w:p>
    <w:p w:rsidR="00046186" w:rsidRPr="00B20172" w:rsidRDefault="00046186" w:rsidP="00046186">
      <w:pPr>
        <w:pStyle w:val="ListParagraph"/>
        <w:numPr>
          <w:ilvl w:val="0"/>
          <w:numId w:val="20"/>
        </w:numPr>
      </w:pPr>
      <w:r w:rsidRPr="00B20172">
        <w:t xml:space="preserve">Where the NAAT is positive this may not be sufficient to convince clinicians that this is the cause of symptoms (with the exception of MTB) because of the ubiquity of mycobacteria and </w:t>
      </w:r>
      <w:proofErr w:type="gramStart"/>
      <w:r w:rsidR="00A019C0" w:rsidRPr="00B20172">
        <w:t>its</w:t>
      </w:r>
      <w:proofErr w:type="gramEnd"/>
      <w:r w:rsidRPr="00B20172">
        <w:t xml:space="preserve"> potential to contaminate a specimen.  It is not anticipated that further testing will be required</w:t>
      </w:r>
    </w:p>
    <w:p w:rsidR="00046186" w:rsidRPr="00B20172" w:rsidRDefault="00046186" w:rsidP="00046186">
      <w:pPr>
        <w:pStyle w:val="ListParagraph"/>
        <w:numPr>
          <w:ilvl w:val="0"/>
          <w:numId w:val="20"/>
        </w:numPr>
      </w:pPr>
      <w:r w:rsidRPr="00B20172">
        <w:t xml:space="preserve">Where the NAAT is negative it may be difficult to interpret because it is likely an in-house assay that has been used, and the ability of this assay to differentiate for different types of MB as well as the scope of the assay for testing for different types of MB may not be known. </w:t>
      </w:r>
    </w:p>
    <w:p w:rsidR="007B2A79" w:rsidRPr="00B20172" w:rsidRDefault="00046186" w:rsidP="002375C5">
      <w:r w:rsidRPr="00B20172">
        <w:t xml:space="preserve">In this group of patients, who have had a positive NAAT, </w:t>
      </w:r>
      <w:r w:rsidR="004E5D1E" w:rsidRPr="00B20172">
        <w:t>s</w:t>
      </w:r>
      <w:r w:rsidR="0072349C" w:rsidRPr="00B20172">
        <w:t>eparate NAAT testing</w:t>
      </w:r>
      <w:r w:rsidR="004133E2" w:rsidRPr="00B20172">
        <w:t xml:space="preserve"> for different strains of mycobacteria may need to be performed. </w:t>
      </w:r>
    </w:p>
    <w:p w:rsidR="00124FEA" w:rsidRPr="00B20172" w:rsidRDefault="00124FEA" w:rsidP="002375C5">
      <w:pPr>
        <w:rPr>
          <w:i/>
        </w:rPr>
      </w:pPr>
      <w:r w:rsidRPr="00B20172">
        <w:t xml:space="preserve">There is a paucity of information about the types of mycobacterial infection responsible for pulmonary disease in Australia. Extrapolation from overseas </w:t>
      </w:r>
      <w:r w:rsidR="00C84B61" w:rsidRPr="00B20172">
        <w:t xml:space="preserve">populations will probably be required to estimate the proportion of patients in this clinical algorithm. </w:t>
      </w:r>
      <w:r w:rsidRPr="00B20172">
        <w:t xml:space="preserve"> </w:t>
      </w:r>
      <w:r w:rsidR="0072349C" w:rsidRPr="00B20172">
        <w:t>Consultation is requested on the collection of data in Australia (or failing that overseas) on different types of non-TB mycobacterial infection, their</w:t>
      </w:r>
      <w:r w:rsidR="0072349C" w:rsidRPr="00B20172">
        <w:rPr>
          <w:i/>
        </w:rPr>
        <w:t xml:space="preserve"> prevalence, incidence and sequelae and pathology tests (other than NAAT) used for testing.</w:t>
      </w:r>
    </w:p>
    <w:p w:rsidR="00D61C4E" w:rsidRPr="00B20172" w:rsidRDefault="008A1615" w:rsidP="000901A8">
      <w:pPr>
        <w:pStyle w:val="Heading1"/>
      </w:pPr>
      <w:bookmarkStart w:id="22" w:name="_Toc289854381"/>
      <w:r w:rsidRPr="00B20172">
        <w:t>Comparator</w:t>
      </w:r>
      <w:bookmarkEnd w:id="22"/>
    </w:p>
    <w:p w:rsidR="00412E87" w:rsidRPr="00B20172" w:rsidRDefault="00412E87" w:rsidP="00235E38">
      <w:pPr>
        <w:rPr>
          <w:i/>
        </w:rPr>
      </w:pPr>
      <w:r w:rsidRPr="00B20172">
        <w:rPr>
          <w:i/>
        </w:rPr>
        <w:t>Mycobacterium Tuberculosis</w:t>
      </w:r>
    </w:p>
    <w:p w:rsidR="00412E87" w:rsidRPr="00B20172" w:rsidRDefault="00412E87" w:rsidP="00246BCB">
      <w:r w:rsidRPr="00B20172">
        <w:t xml:space="preserve">1. It is proposed that the most appropriate comparator for NAAT testing for the population with the clinical signs and symptoms of active TB for whom a specimen is </w:t>
      </w:r>
      <w:r w:rsidRPr="00B20172">
        <w:rPr>
          <w:b/>
        </w:rPr>
        <w:t xml:space="preserve">able </w:t>
      </w:r>
      <w:r w:rsidRPr="00B20172">
        <w:t>to have an AFB test performed, then the comparison will be NAAT plus AFB compared to AFB alone.</w:t>
      </w:r>
    </w:p>
    <w:p w:rsidR="00412E87" w:rsidRPr="00B20172" w:rsidRDefault="00412E87" w:rsidP="00246BCB">
      <w:r w:rsidRPr="00B20172">
        <w:lastRenderedPageBreak/>
        <w:t xml:space="preserve">2. It is proposed that the most appropriate comparator for NAAT testing for the population with the clinical signs and symptoms of active TB from whom a specimen that is able to have an AFB test is </w:t>
      </w:r>
      <w:r w:rsidRPr="00B20172">
        <w:rPr>
          <w:b/>
        </w:rPr>
        <w:t>not able</w:t>
      </w:r>
      <w:r w:rsidRPr="00B20172">
        <w:t xml:space="preserve"> to be obtained the comparison will be NAAT alone compared to current standard testing, e.g. histology .</w:t>
      </w:r>
    </w:p>
    <w:p w:rsidR="00412E87" w:rsidRPr="00B20172" w:rsidRDefault="00412E87" w:rsidP="00412E87">
      <w:pPr>
        <w:rPr>
          <w:b/>
        </w:rPr>
      </w:pPr>
      <w:r w:rsidRPr="00B20172">
        <w:rPr>
          <w:b/>
        </w:rPr>
        <w:t xml:space="preserve">In relation to the assessment of the diagnostic accuracy of the technology in determining the presence of </w:t>
      </w:r>
      <w:r w:rsidRPr="00B20172">
        <w:rPr>
          <w:b/>
          <w:i/>
        </w:rPr>
        <w:t>MTB</w:t>
      </w:r>
      <w:r w:rsidRPr="00B20172">
        <w:rPr>
          <w:b/>
        </w:rPr>
        <w:t xml:space="preserve"> in a specimen, culture</w:t>
      </w:r>
      <w:r w:rsidR="00B56543" w:rsidRPr="00B20172">
        <w:rPr>
          <w:b/>
        </w:rPr>
        <w:t xml:space="preserve"> and </w:t>
      </w:r>
      <w:r w:rsidR="00497EB5" w:rsidRPr="00B20172">
        <w:rPr>
          <w:b/>
        </w:rPr>
        <w:t>susceptibility</w:t>
      </w:r>
      <w:r w:rsidRPr="00B20172">
        <w:rPr>
          <w:b/>
        </w:rPr>
        <w:t xml:space="preserve"> will be used as the reference standard to determine the sensitivity and specificity of the test.</w:t>
      </w:r>
    </w:p>
    <w:p w:rsidR="00412E87" w:rsidRPr="00B20172" w:rsidRDefault="00412E87" w:rsidP="00235E38">
      <w:pPr>
        <w:rPr>
          <w:u w:val="single"/>
        </w:rPr>
      </w:pPr>
      <w:r w:rsidRPr="00B20172">
        <w:rPr>
          <w:u w:val="single"/>
        </w:rPr>
        <w:t>Non Tuberculous Mycobacteria</w:t>
      </w:r>
    </w:p>
    <w:p w:rsidR="00412E87" w:rsidRPr="00B20172" w:rsidRDefault="00412E87" w:rsidP="00412E87">
      <w:r w:rsidRPr="00B20172">
        <w:t xml:space="preserve">The application claims that the use of NAAT in patients with tissue </w:t>
      </w:r>
      <w:r w:rsidR="006B1960" w:rsidRPr="00B20172">
        <w:t>samples</w:t>
      </w:r>
      <w:r w:rsidRPr="00B20172">
        <w:t xml:space="preserve"> with histopathology </w:t>
      </w:r>
      <w:r w:rsidR="006B1960" w:rsidRPr="00B20172">
        <w:t xml:space="preserve">consistent with mycobacterial infection </w:t>
      </w:r>
      <w:r w:rsidRPr="00B20172">
        <w:t>will not replace the use of any of the tests currently undertaken to diagnose NTMB infections. Therefore, the appropriate comparator in the identified population is “no use of NAAT”.</w:t>
      </w:r>
    </w:p>
    <w:p w:rsidR="00412E87" w:rsidRPr="00B20172" w:rsidRDefault="00412E87" w:rsidP="00412E87">
      <w:r w:rsidRPr="00B20172">
        <w:t xml:space="preserve">In relation to the assessment of the diagnostic accuracy of NAAT in determining the presence of </w:t>
      </w:r>
      <w:r w:rsidR="00A01F37" w:rsidRPr="00B20172">
        <w:t>NTBM</w:t>
      </w:r>
      <w:r w:rsidRPr="00B20172">
        <w:t xml:space="preserve">, culture will be used as the reference standard. It will however, be important to acknowledge that there </w:t>
      </w:r>
      <w:r w:rsidR="00E20703" w:rsidRPr="00B20172">
        <w:t>may be no</w:t>
      </w:r>
      <w:r w:rsidRPr="00B20172">
        <w:t xml:space="preserve"> reliable reference standard for the diagnosis of non</w:t>
      </w:r>
      <w:r w:rsidR="00880730" w:rsidRPr="00B20172">
        <w:t>- tuberculous</w:t>
      </w:r>
      <w:r w:rsidRPr="00B20172">
        <w:t xml:space="preserve"> mycobacteria. In addition, for a significant proportion of this population, tissue sample may be the only specimen available for testing</w:t>
      </w:r>
    </w:p>
    <w:p w:rsidR="00DD66A1" w:rsidRPr="00B20172" w:rsidRDefault="00DD66A1" w:rsidP="00DD66A1">
      <w:pPr>
        <w:pStyle w:val="Caption"/>
      </w:pPr>
      <w:bookmarkStart w:id="23" w:name="_Ref284409765"/>
      <w:r w:rsidRPr="00B20172">
        <w:t xml:space="preserve">Table </w:t>
      </w:r>
      <w:bookmarkEnd w:id="23"/>
      <w:r w:rsidR="00724018" w:rsidRPr="00B20172">
        <w:t>5</w:t>
      </w:r>
      <w:r w:rsidRPr="00B20172">
        <w:t>:</w:t>
      </w:r>
      <w:r w:rsidRPr="00B20172">
        <w:tab/>
        <w:t>Proposed MBS item descriptor for [item]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4"/>
      </w:tblGrid>
      <w:tr w:rsidR="00DD66A1" w:rsidRPr="00B20172" w:rsidTr="006C741F">
        <w:tc>
          <w:tcPr>
            <w:tcW w:w="9134" w:type="dxa"/>
          </w:tcPr>
          <w:p w:rsidR="00DD66A1" w:rsidRPr="00B20172" w:rsidRDefault="00BC7EEB" w:rsidP="00BC7EEB">
            <w:pPr>
              <w:spacing w:after="120" w:line="240" w:lineRule="auto"/>
              <w:jc w:val="right"/>
              <w:rPr>
                <w:rFonts w:ascii="Arial Narrow" w:hAnsi="Arial Narrow"/>
                <w:lang w:eastAsia="ja-JP"/>
              </w:rPr>
            </w:pPr>
            <w:r w:rsidRPr="00B20172">
              <w:rPr>
                <w:rFonts w:ascii="Arial Narrow" w:hAnsi="Arial Narrow"/>
                <w:lang w:eastAsia="ja-JP"/>
              </w:rPr>
              <w:t>Category 6</w:t>
            </w:r>
            <w:r w:rsidR="00DD66A1" w:rsidRPr="00B20172">
              <w:rPr>
                <w:rFonts w:ascii="Arial Narrow" w:hAnsi="Arial Narrow"/>
                <w:lang w:eastAsia="ja-JP"/>
              </w:rPr>
              <w:t xml:space="preserve"> – </w:t>
            </w:r>
            <w:r w:rsidRPr="00B20172">
              <w:rPr>
                <w:rFonts w:ascii="Arial Narrow" w:hAnsi="Arial Narrow"/>
                <w:lang w:eastAsia="ja-JP"/>
              </w:rPr>
              <w:t>Pathology Services</w:t>
            </w:r>
          </w:p>
        </w:tc>
      </w:tr>
      <w:tr w:rsidR="00DD66A1" w:rsidRPr="00B20172" w:rsidTr="006C741F">
        <w:tc>
          <w:tcPr>
            <w:tcW w:w="9134" w:type="dxa"/>
          </w:tcPr>
          <w:p w:rsidR="00DD66A1" w:rsidRPr="00B20172" w:rsidRDefault="00DD66A1" w:rsidP="006C741F">
            <w:pPr>
              <w:spacing w:after="120" w:line="240" w:lineRule="auto"/>
              <w:rPr>
                <w:rFonts w:ascii="Arial Narrow" w:hAnsi="Arial Narrow"/>
                <w:lang w:val="en-US" w:eastAsia="ja-JP"/>
              </w:rPr>
            </w:pPr>
            <w:r w:rsidRPr="00B20172">
              <w:rPr>
                <w:rFonts w:ascii="Arial Narrow" w:hAnsi="Arial Narrow"/>
                <w:lang w:val="en-US" w:eastAsia="ja-JP"/>
              </w:rPr>
              <w:t>MBS [item number]</w:t>
            </w:r>
          </w:p>
          <w:p w:rsidR="00DD66A1" w:rsidRPr="00B20172" w:rsidRDefault="00BC7EEB" w:rsidP="006C741F">
            <w:pPr>
              <w:spacing w:after="120" w:line="240" w:lineRule="auto"/>
              <w:rPr>
                <w:rFonts w:ascii="Arial Narrow" w:hAnsi="Arial Narrow"/>
                <w:lang w:val="en-US" w:eastAsia="ja-JP"/>
              </w:rPr>
            </w:pPr>
            <w:r w:rsidRPr="00B20172">
              <w:rPr>
                <w:rFonts w:ascii="Arial Narrow" w:hAnsi="Arial Narrow"/>
                <w:lang w:val="en-US" w:eastAsia="ja-JP"/>
              </w:rPr>
              <w:t xml:space="preserve">Nucleic acid amplification test for detection of mycobacteria </w:t>
            </w:r>
            <w:r w:rsidR="00E20703" w:rsidRPr="00B20172">
              <w:rPr>
                <w:rFonts w:ascii="Arial Narrow" w:hAnsi="Arial Narrow"/>
                <w:lang w:val="en-US" w:eastAsia="ja-JP"/>
              </w:rPr>
              <w:t xml:space="preserve">- </w:t>
            </w:r>
          </w:p>
          <w:p w:rsidR="00DD66A1" w:rsidRPr="00B20172" w:rsidRDefault="00DD66A1" w:rsidP="006C741F">
            <w:pPr>
              <w:spacing w:after="120" w:line="240" w:lineRule="auto"/>
              <w:rPr>
                <w:rFonts w:ascii="Arial Narrow" w:hAnsi="Arial Narrow"/>
                <w:lang w:val="en-US" w:eastAsia="ja-JP"/>
              </w:rPr>
            </w:pPr>
            <w:r w:rsidRPr="00B20172">
              <w:rPr>
                <w:rFonts w:ascii="Arial Narrow" w:hAnsi="Arial Narrow"/>
                <w:lang w:val="en-US" w:eastAsia="ja-JP"/>
              </w:rPr>
              <w:t>Fee: $[fee]</w:t>
            </w:r>
          </w:p>
          <w:p w:rsidR="00DD66A1" w:rsidRPr="00B20172" w:rsidRDefault="00DD66A1" w:rsidP="006C741F">
            <w:pPr>
              <w:spacing w:after="120" w:line="240" w:lineRule="auto"/>
              <w:rPr>
                <w:rFonts w:ascii="Arial Narrow" w:hAnsi="Arial Narrow"/>
                <w:lang w:val="en-US" w:eastAsia="ja-JP"/>
              </w:rPr>
            </w:pPr>
            <w:r w:rsidRPr="00B20172">
              <w:rPr>
                <w:rFonts w:ascii="Arial Narrow" w:hAnsi="Arial Narrow"/>
                <w:lang w:val="en-US" w:eastAsia="ja-JP"/>
              </w:rPr>
              <w:t>[Relevant explanatory notes]</w:t>
            </w:r>
          </w:p>
        </w:tc>
      </w:tr>
    </w:tbl>
    <w:p w:rsidR="00D61C4E" w:rsidRPr="00B20172" w:rsidRDefault="00D61C4E" w:rsidP="00235E38"/>
    <w:p w:rsidR="0072349C" w:rsidRPr="00B20172" w:rsidRDefault="00D50162" w:rsidP="009E4296">
      <w:pPr>
        <w:rPr>
          <w:b/>
          <w:i/>
        </w:rPr>
      </w:pPr>
      <w:r w:rsidRPr="00B20172">
        <w:rPr>
          <w:b/>
          <w:i/>
        </w:rPr>
        <w:t xml:space="preserve">PASC advice </w:t>
      </w:r>
      <w:r w:rsidR="0072349C" w:rsidRPr="00B20172">
        <w:rPr>
          <w:b/>
          <w:i/>
        </w:rPr>
        <w:t xml:space="preserve">is that no limit on the number of tests </w:t>
      </w:r>
      <w:r w:rsidRPr="00B20172">
        <w:rPr>
          <w:b/>
          <w:i/>
        </w:rPr>
        <w:t xml:space="preserve">per year per patient </w:t>
      </w:r>
      <w:r w:rsidR="0072349C" w:rsidRPr="00B20172">
        <w:rPr>
          <w:b/>
          <w:i/>
        </w:rPr>
        <w:t xml:space="preserve">be included in the MBS item descriptor. </w:t>
      </w:r>
    </w:p>
    <w:p w:rsidR="00B40F25" w:rsidRPr="00B20172" w:rsidRDefault="00B40F25" w:rsidP="009E4296">
      <w:pPr>
        <w:rPr>
          <w:b/>
          <w:i/>
        </w:rPr>
      </w:pPr>
      <w:r w:rsidRPr="00B20172">
        <w:rPr>
          <w:b/>
          <w:i/>
        </w:rPr>
        <w:t xml:space="preserve">The relevant explanatory notes included with this MBS item descriptor will include the </w:t>
      </w:r>
      <w:r w:rsidR="0049414D" w:rsidRPr="00B20172">
        <w:rPr>
          <w:b/>
          <w:i/>
        </w:rPr>
        <w:t>information that</w:t>
      </w:r>
      <w:r w:rsidRPr="00B20172">
        <w:rPr>
          <w:b/>
          <w:i/>
        </w:rPr>
        <w:t xml:space="preserve"> any laboratory using an in-house assay to test for mycobacteria </w:t>
      </w:r>
      <w:r w:rsidR="0049414D" w:rsidRPr="00B20172">
        <w:rPr>
          <w:b/>
          <w:i/>
        </w:rPr>
        <w:t xml:space="preserve">is </w:t>
      </w:r>
      <w:r w:rsidR="002C737A" w:rsidRPr="00B20172">
        <w:rPr>
          <w:b/>
          <w:i/>
        </w:rPr>
        <w:t xml:space="preserve">also </w:t>
      </w:r>
      <w:r w:rsidR="0049414D" w:rsidRPr="00B20172">
        <w:rPr>
          <w:b/>
          <w:i/>
        </w:rPr>
        <w:t>covered by the new TGA regulatory framework introduced in July 2010 under which in vitro diagnostics are included as a subset of medical devices.</w:t>
      </w:r>
      <w:r w:rsidRPr="00B20172">
        <w:rPr>
          <w:b/>
          <w:i/>
        </w:rPr>
        <w:t xml:space="preserve">  </w:t>
      </w:r>
    </w:p>
    <w:p w:rsidR="002B50C7" w:rsidRPr="00B20172" w:rsidRDefault="00F3381F" w:rsidP="009E4296">
      <w:r w:rsidRPr="00B20172">
        <w:t>T</w:t>
      </w:r>
      <w:r w:rsidR="002B50C7" w:rsidRPr="00B20172">
        <w:t>he application reports that in</w:t>
      </w:r>
      <w:r w:rsidRPr="00B20172">
        <w:t xml:space="preserve"> Australia tuberculosis treatment is provided free of charge, however </w:t>
      </w:r>
      <w:r w:rsidR="00F84D9A" w:rsidRPr="00B20172">
        <w:t xml:space="preserve">the </w:t>
      </w:r>
      <w:r w:rsidRPr="00B20172">
        <w:t>diagnos</w:t>
      </w:r>
      <w:r w:rsidR="00F84D9A" w:rsidRPr="00B20172">
        <w:t>tic test is only eligible for a Medicare rebate</w:t>
      </w:r>
      <w:r w:rsidRPr="00B20172">
        <w:t xml:space="preserve"> i</w:t>
      </w:r>
      <w:r w:rsidR="00567F83" w:rsidRPr="00B20172">
        <w:t>f</w:t>
      </w:r>
      <w:r w:rsidRPr="00B20172">
        <w:t xml:space="preserve"> the test </w:t>
      </w:r>
      <w:r w:rsidR="00F84D9A" w:rsidRPr="00B20172">
        <w:t xml:space="preserve">is covered by </w:t>
      </w:r>
      <w:r w:rsidRPr="00B20172">
        <w:t xml:space="preserve">a Medicare item number i.e. AFB microscopy and culture only. </w:t>
      </w:r>
    </w:p>
    <w:p w:rsidR="00F3381F" w:rsidRPr="00B20172" w:rsidRDefault="00D244FA" w:rsidP="009E4296">
      <w:r w:rsidRPr="00B20172">
        <w:t xml:space="preserve">There </w:t>
      </w:r>
      <w:proofErr w:type="gramStart"/>
      <w:r w:rsidRPr="00B20172">
        <w:t>are</w:t>
      </w:r>
      <w:proofErr w:type="gramEnd"/>
      <w:r w:rsidRPr="00B20172">
        <w:t xml:space="preserve"> a number of n</w:t>
      </w:r>
      <w:r w:rsidR="002B50C7" w:rsidRPr="00B20172">
        <w:t>ucleic acid amplification test</w:t>
      </w:r>
      <w:r w:rsidRPr="00B20172">
        <w:t>s</w:t>
      </w:r>
      <w:r w:rsidR="00F3381F" w:rsidRPr="00B20172">
        <w:t xml:space="preserve"> </w:t>
      </w:r>
      <w:r w:rsidRPr="00B20172">
        <w:t xml:space="preserve">currently </w:t>
      </w:r>
      <w:r w:rsidR="00F3381F" w:rsidRPr="00B20172">
        <w:t>listed on the MBS</w:t>
      </w:r>
      <w:r w:rsidRPr="00B20172">
        <w:t>. These range from detection of</w:t>
      </w:r>
      <w:r w:rsidR="00F3381F" w:rsidRPr="00B20172">
        <w:t xml:space="preserve"> microbial </w:t>
      </w:r>
      <w:r w:rsidRPr="00B20172">
        <w:t xml:space="preserve">nucleic acid </w:t>
      </w:r>
      <w:r w:rsidR="00F3381F" w:rsidRPr="00B20172">
        <w:t xml:space="preserve">(item 69494), with a Medicare </w:t>
      </w:r>
      <w:r w:rsidR="002B50C7" w:rsidRPr="00B20172">
        <w:t>fee</w:t>
      </w:r>
      <w:r w:rsidR="00F3381F" w:rsidRPr="00B20172">
        <w:t xml:space="preserve"> of $28.85</w:t>
      </w:r>
      <w:r w:rsidR="002B50C7" w:rsidRPr="00B20172">
        <w:t xml:space="preserve">; </w:t>
      </w:r>
      <w:r w:rsidRPr="00B20172">
        <w:t xml:space="preserve">through to </w:t>
      </w:r>
      <w:r w:rsidR="002B50C7" w:rsidRPr="00B20172">
        <w:t xml:space="preserve">the </w:t>
      </w:r>
      <w:r w:rsidR="002B50C7" w:rsidRPr="00B20172">
        <w:lastRenderedPageBreak/>
        <w:t>amplification and determination of Hepatitis C virus genotype, item 69491, with a Medicare fee of $206.20</w:t>
      </w:r>
      <w:r w:rsidRPr="00B20172">
        <w:t xml:space="preserve">. </w:t>
      </w:r>
      <w:r w:rsidR="002B50C7" w:rsidRPr="00B20172">
        <w:t>The application reports</w:t>
      </w:r>
      <w:r w:rsidR="00BC7EEB" w:rsidRPr="00B20172">
        <w:t xml:space="preserve"> that the NSW state reference laboratory (ICPMR) charges $200 for TB PCR which is billed to the patient.  The Victorian state reference laboratory (VIDRL) charges $88 for TB PCR which is</w:t>
      </w:r>
      <w:r w:rsidR="002B50C7" w:rsidRPr="00B20172">
        <w:t xml:space="preserve"> also</w:t>
      </w:r>
      <w:r w:rsidR="00BC7EEB" w:rsidRPr="00B20172">
        <w:t xml:space="preserve"> billed to the patient. </w:t>
      </w:r>
    </w:p>
    <w:p w:rsidR="008D57F2" w:rsidRPr="00B20172" w:rsidRDefault="00880730" w:rsidP="009E4296">
      <w:pPr>
        <w:rPr>
          <w:b/>
          <w:bCs/>
          <w:color w:val="215868" w:themeColor="accent5" w:themeShade="80"/>
          <w:sz w:val="24"/>
          <w:szCs w:val="32"/>
        </w:rPr>
      </w:pPr>
      <w:r w:rsidRPr="00B20172">
        <w:t xml:space="preserve">The item descriptor may need to be limited </w:t>
      </w:r>
      <w:r w:rsidR="002B50C7" w:rsidRPr="00B20172">
        <w:t xml:space="preserve">by </w:t>
      </w:r>
      <w:r w:rsidRPr="00B20172">
        <w:t xml:space="preserve">the evidence </w:t>
      </w:r>
      <w:r w:rsidR="002B50C7" w:rsidRPr="00B20172">
        <w:t xml:space="preserve">available </w:t>
      </w:r>
      <w:r w:rsidR="00A01F37" w:rsidRPr="00B20172">
        <w:t xml:space="preserve">about </w:t>
      </w:r>
      <w:r w:rsidRPr="00B20172">
        <w:t xml:space="preserve">NAAT testing according to </w:t>
      </w:r>
      <w:r w:rsidR="002B50C7" w:rsidRPr="00B20172">
        <w:t>particular specimens</w:t>
      </w:r>
      <w:r w:rsidRPr="00B20172">
        <w:t>.  For example</w:t>
      </w:r>
      <w:r w:rsidR="002B50C7" w:rsidRPr="00B20172">
        <w:t>,</w:t>
      </w:r>
      <w:r w:rsidRPr="00B20172">
        <w:t xml:space="preserve"> if the literature </w:t>
      </w:r>
      <w:r w:rsidR="00A01F37" w:rsidRPr="00B20172">
        <w:t>reports diagnostic accuracy of</w:t>
      </w:r>
      <w:r w:rsidRPr="00B20172">
        <w:t xml:space="preserve"> NAAT testing </w:t>
      </w:r>
      <w:r w:rsidR="00A01F37" w:rsidRPr="00B20172">
        <w:t xml:space="preserve">only </w:t>
      </w:r>
      <w:r w:rsidRPr="00B20172">
        <w:t xml:space="preserve">in respiratory specimens, then the item descriptor </w:t>
      </w:r>
      <w:r w:rsidR="002B50C7" w:rsidRPr="00B20172">
        <w:t xml:space="preserve">may need to </w:t>
      </w:r>
      <w:r w:rsidR="00A01F37" w:rsidRPr="00B20172">
        <w:t>limit the</w:t>
      </w:r>
      <w:r w:rsidRPr="00B20172">
        <w:t xml:space="preserve"> </w:t>
      </w:r>
      <w:r w:rsidR="00A01F37" w:rsidRPr="00B20172">
        <w:t xml:space="preserve">test </w:t>
      </w:r>
      <w:r w:rsidR="002B50C7" w:rsidRPr="00B20172">
        <w:t xml:space="preserve">only </w:t>
      </w:r>
      <w:r w:rsidR="00A01F37" w:rsidRPr="00B20172">
        <w:t xml:space="preserve">to </w:t>
      </w:r>
      <w:r w:rsidRPr="00B20172">
        <w:t>these specimens.</w:t>
      </w:r>
    </w:p>
    <w:p w:rsidR="00BC3E82" w:rsidRPr="00B20172" w:rsidRDefault="00BC3E82" w:rsidP="000901A8">
      <w:pPr>
        <w:pStyle w:val="Heading1"/>
      </w:pPr>
      <w:bookmarkStart w:id="24" w:name="_Toc289854382"/>
    </w:p>
    <w:p w:rsidR="008A1615" w:rsidRPr="00B20172" w:rsidRDefault="008A1615" w:rsidP="000901A8">
      <w:pPr>
        <w:pStyle w:val="Heading1"/>
      </w:pPr>
      <w:r w:rsidRPr="00B20172">
        <w:t>Clinical claim</w:t>
      </w:r>
      <w:bookmarkEnd w:id="24"/>
    </w:p>
    <w:p w:rsidR="00376F5A" w:rsidRPr="00B20172" w:rsidRDefault="00376F5A" w:rsidP="00882200">
      <w:pPr>
        <w:rPr>
          <w:u w:val="single"/>
        </w:rPr>
      </w:pPr>
      <w:r w:rsidRPr="00B20172">
        <w:rPr>
          <w:u w:val="single"/>
        </w:rPr>
        <w:t>Tuberculosis</w:t>
      </w:r>
    </w:p>
    <w:p w:rsidR="00411B1F" w:rsidRPr="00B20172" w:rsidRDefault="00376F5A" w:rsidP="00882200">
      <w:r w:rsidRPr="00B20172">
        <w:t xml:space="preserve">It is proposed that patient outcomes will differ according to the pre-test probability of a patient having tuberculosis. For </w:t>
      </w:r>
      <w:r w:rsidR="007229F7" w:rsidRPr="00B20172">
        <w:t xml:space="preserve">some </w:t>
      </w:r>
      <w:r w:rsidRPr="00B20172">
        <w:t xml:space="preserve">patients who have clinical symptoms of active TB and a high pre-test probability of the disease, given the public health implications, antibiotic treatment is commenced </w:t>
      </w:r>
      <w:r w:rsidR="00725F52" w:rsidRPr="00B20172">
        <w:t xml:space="preserve">based </w:t>
      </w:r>
      <w:r w:rsidRPr="00B20172">
        <w:t xml:space="preserve">on clinical symptoms and pre-test probability.  Therefore the potential of NAAT to significantly alter the case management or TB control activities is limited.  In this population it is proposed that the use of NAAT is non-inferior to current practice.  </w:t>
      </w:r>
    </w:p>
    <w:p w:rsidR="00411B1F" w:rsidRPr="00B20172" w:rsidRDefault="00376F5A" w:rsidP="00882200">
      <w:r w:rsidRPr="00B20172">
        <w:t xml:space="preserve">The exemption </w:t>
      </w:r>
      <w:r w:rsidR="00411B1F" w:rsidRPr="00B20172">
        <w:t>may be where</w:t>
      </w:r>
      <w:r w:rsidRPr="00B20172">
        <w:t xml:space="preserve"> the NAAT</w:t>
      </w:r>
      <w:r w:rsidR="00725F52" w:rsidRPr="00B20172">
        <w:t xml:space="preserve"> also detects the rifampicin resistance associated mutation</w:t>
      </w:r>
      <w:r w:rsidR="004118A5" w:rsidRPr="00B20172">
        <w:t>; this can provide</w:t>
      </w:r>
      <w:r w:rsidRPr="00B20172">
        <w:t xml:space="preserve"> </w:t>
      </w:r>
      <w:r w:rsidR="00411B1F" w:rsidRPr="00B20172">
        <w:t>clinicians</w:t>
      </w:r>
      <w:r w:rsidRPr="00B20172">
        <w:t xml:space="preserve"> with information </w:t>
      </w:r>
      <w:r w:rsidR="007229F7" w:rsidRPr="00B20172">
        <w:t xml:space="preserve">on </w:t>
      </w:r>
      <w:r w:rsidR="004118A5" w:rsidRPr="00B20172">
        <w:t>whether the patient’s</w:t>
      </w:r>
      <w:r w:rsidRPr="00B20172">
        <w:t xml:space="preserve"> TB is </w:t>
      </w:r>
      <w:r w:rsidR="004118A5" w:rsidRPr="00B20172">
        <w:t>resistant</w:t>
      </w:r>
      <w:r w:rsidRPr="00B20172">
        <w:t xml:space="preserve"> to the antibiotics being used.  In this situation the use of NAAT </w:t>
      </w:r>
      <w:r w:rsidR="00411B1F" w:rsidRPr="00B20172">
        <w:t>may</w:t>
      </w:r>
      <w:r w:rsidRPr="00B20172">
        <w:t xml:space="preserve"> be superior because it provide</w:t>
      </w:r>
      <w:r w:rsidR="004118A5" w:rsidRPr="00B20172">
        <w:t>s</w:t>
      </w:r>
      <w:r w:rsidRPr="00B20172">
        <w:t xml:space="preserve"> clinicians with additional information that can lead to a change in case management,</w:t>
      </w:r>
      <w:r w:rsidR="00411B1F" w:rsidRPr="00B20172">
        <w:t xml:space="preserve"> </w:t>
      </w:r>
      <w:r w:rsidR="004118A5" w:rsidRPr="00B20172">
        <w:t>and</w:t>
      </w:r>
      <w:r w:rsidRPr="00B20172">
        <w:t xml:space="preserve"> provide public health benefits </w:t>
      </w:r>
      <w:r w:rsidR="00411B1F" w:rsidRPr="00B20172">
        <w:t>in reducing</w:t>
      </w:r>
      <w:r w:rsidRPr="00B20172">
        <w:t xml:space="preserve"> the infectiousness of the patient earlier</w:t>
      </w:r>
      <w:r w:rsidR="00411B1F" w:rsidRPr="00B20172">
        <w:t xml:space="preserve">.  Currently a change in the antibiotic regime would be due to ongoing AFB tests (where they can be collected) indicating that a patient is not responding to treatment, or waiting for the result of the culture </w:t>
      </w:r>
      <w:r w:rsidR="00D244FA" w:rsidRPr="00B20172">
        <w:t xml:space="preserve">and susceptibility </w:t>
      </w:r>
      <w:r w:rsidR="00411B1F" w:rsidRPr="00B20172">
        <w:t>in 6-8 weeks</w:t>
      </w:r>
      <w:r w:rsidR="00725F52" w:rsidRPr="00B20172">
        <w:t>.</w:t>
      </w:r>
    </w:p>
    <w:p w:rsidR="00411B1F" w:rsidRPr="00B20172" w:rsidRDefault="00411B1F" w:rsidP="00882200">
      <w:r w:rsidRPr="00B20172">
        <w:t>For patients for whom an AFB test is able to be obtained and whose pre-test probability of TB is low then the clinical claim is that NAAT testing is superior to the current standard testing</w:t>
      </w:r>
      <w:r w:rsidR="00D244FA" w:rsidRPr="00B20172">
        <w:t xml:space="preserve"> because a positiv</w:t>
      </w:r>
      <w:r w:rsidR="00B6249D" w:rsidRPr="00B20172">
        <w:t>e</w:t>
      </w:r>
      <w:r w:rsidR="00D244FA" w:rsidRPr="00B20172">
        <w:t xml:space="preserve"> NAAT test would result in immediate treatment that would not have been indicated based on the low pre-test probability of TB</w:t>
      </w:r>
      <w:r w:rsidR="00F627BC" w:rsidRPr="00B20172">
        <w:t>.</w:t>
      </w:r>
    </w:p>
    <w:p w:rsidR="00F627BC" w:rsidRPr="00B20172" w:rsidRDefault="00F627BC" w:rsidP="00882200">
      <w:r w:rsidRPr="00B20172">
        <w:t xml:space="preserve">For patients for whom an AFB test is not able to be obtained and whose pre-test probability of TB is low then the clinical claim is that NAAT testing is superior to the current standard testing e.g. histology. </w:t>
      </w:r>
    </w:p>
    <w:p w:rsidR="00376F5A" w:rsidRPr="00B20172" w:rsidRDefault="004118A5" w:rsidP="00882200">
      <w:pPr>
        <w:rPr>
          <w:u w:val="single"/>
        </w:rPr>
      </w:pPr>
      <w:r w:rsidRPr="00B20172">
        <w:rPr>
          <w:u w:val="single"/>
        </w:rPr>
        <w:t>Non-Tuberculous Mycobacteria</w:t>
      </w:r>
    </w:p>
    <w:p w:rsidR="004118A5" w:rsidRPr="00B20172" w:rsidRDefault="004118A5" w:rsidP="00882200">
      <w:r w:rsidRPr="00B20172">
        <w:t>In patients with tissue culture with histopathology</w:t>
      </w:r>
      <w:r w:rsidR="007229F7" w:rsidRPr="00B20172">
        <w:t xml:space="preserve"> consistent with mycobacteria</w:t>
      </w:r>
      <w:r w:rsidRPr="00B20172">
        <w:t>, NAAT is expected to be an additional test to the tests currently performed to diagnose NTMB, so the claim is that the use of NAAT in this population will be superior compared to no NAAT test</w:t>
      </w:r>
      <w:r w:rsidR="00D50162" w:rsidRPr="00B20172">
        <w:t>.</w:t>
      </w:r>
    </w:p>
    <w:p w:rsidR="00D61C4E" w:rsidRPr="00B20172" w:rsidRDefault="008A1615" w:rsidP="000901A8">
      <w:pPr>
        <w:pStyle w:val="Heading1"/>
      </w:pPr>
      <w:bookmarkStart w:id="25" w:name="_Toc289854383"/>
      <w:r w:rsidRPr="00B20172">
        <w:lastRenderedPageBreak/>
        <w:t>Outcomes and health care resources affected</w:t>
      </w:r>
      <w:r w:rsidR="00FC3A2B" w:rsidRPr="00B20172">
        <w:t xml:space="preserve"> by introduction of proposed intervention</w:t>
      </w:r>
      <w:bookmarkEnd w:id="25"/>
    </w:p>
    <w:p w:rsidR="0042242D" w:rsidRPr="00B20172" w:rsidRDefault="00B22B25" w:rsidP="009B59B7">
      <w:pPr>
        <w:pStyle w:val="Heading2"/>
      </w:pPr>
      <w:bookmarkStart w:id="26" w:name="_Toc289854384"/>
      <w:r w:rsidRPr="00B20172">
        <w:t>Clinical o</w:t>
      </w:r>
      <w:r w:rsidR="0042242D" w:rsidRPr="00B20172">
        <w:t>utcomes</w:t>
      </w:r>
      <w:bookmarkEnd w:id="26"/>
    </w:p>
    <w:p w:rsidR="00F627BC" w:rsidRPr="00B20172" w:rsidRDefault="00F627BC" w:rsidP="0042242D">
      <w:pPr>
        <w:rPr>
          <w:u w:val="single"/>
          <w:lang w:val="en-GB" w:eastAsia="ja-JP"/>
        </w:rPr>
      </w:pPr>
      <w:r w:rsidRPr="00B20172">
        <w:rPr>
          <w:u w:val="single"/>
          <w:lang w:val="en-GB" w:eastAsia="ja-JP"/>
        </w:rPr>
        <w:t>Active TB</w:t>
      </w:r>
    </w:p>
    <w:p w:rsidR="00F627BC" w:rsidRPr="00B20172" w:rsidRDefault="00F627BC" w:rsidP="00F627BC">
      <w:pPr>
        <w:pStyle w:val="ListParagraph"/>
        <w:numPr>
          <w:ilvl w:val="0"/>
          <w:numId w:val="15"/>
        </w:numPr>
        <w:rPr>
          <w:lang w:val="en-GB" w:eastAsia="ja-JP"/>
        </w:rPr>
      </w:pPr>
      <w:r w:rsidRPr="00B20172">
        <w:rPr>
          <w:lang w:val="en-GB" w:eastAsia="ja-JP"/>
        </w:rPr>
        <w:t>Diagnostic sensitivity and specificity of NAAT in conjunction with AFB compared to AFB alone. This information should be presented separately for AFB positive and AFB negative patients.</w:t>
      </w:r>
    </w:p>
    <w:p w:rsidR="00F627BC" w:rsidRPr="00B20172" w:rsidRDefault="00F627BC" w:rsidP="00F627BC">
      <w:pPr>
        <w:pStyle w:val="ListParagraph"/>
        <w:numPr>
          <w:ilvl w:val="0"/>
          <w:numId w:val="15"/>
        </w:numPr>
        <w:rPr>
          <w:lang w:val="en-GB" w:eastAsia="ja-JP"/>
        </w:rPr>
      </w:pPr>
      <w:r w:rsidRPr="00B20172">
        <w:rPr>
          <w:lang w:val="en-GB" w:eastAsia="ja-JP"/>
        </w:rPr>
        <w:t>If possible the assessment will present the diagnostic sensitivity and specificity of NAAT test alone compared to AFB test alone, especially in specimens from patients that are likely to have a low bacterial load</w:t>
      </w:r>
    </w:p>
    <w:p w:rsidR="00F627BC" w:rsidRPr="00B20172" w:rsidRDefault="00F627BC" w:rsidP="00F627BC">
      <w:pPr>
        <w:pStyle w:val="ListParagraph"/>
        <w:numPr>
          <w:ilvl w:val="0"/>
          <w:numId w:val="15"/>
        </w:numPr>
        <w:rPr>
          <w:lang w:val="en-GB" w:eastAsia="ja-JP"/>
        </w:rPr>
      </w:pPr>
      <w:r w:rsidRPr="00B20172">
        <w:rPr>
          <w:lang w:val="en-GB" w:eastAsia="ja-JP"/>
        </w:rPr>
        <w:t>Diagnostic sensitivity and specificity of NAAT compared to no NAAT (in the population who are unable to have a</w:t>
      </w:r>
      <w:r w:rsidR="00573CBC" w:rsidRPr="00B20172">
        <w:rPr>
          <w:lang w:val="en-GB" w:eastAsia="ja-JP"/>
        </w:rPr>
        <w:t>n</w:t>
      </w:r>
      <w:r w:rsidRPr="00B20172">
        <w:rPr>
          <w:lang w:val="en-GB" w:eastAsia="ja-JP"/>
        </w:rPr>
        <w:t xml:space="preserve"> AFB smear). </w:t>
      </w:r>
    </w:p>
    <w:p w:rsidR="00573CBC" w:rsidRPr="00B20172" w:rsidRDefault="00573CBC" w:rsidP="00573CBC">
      <w:pPr>
        <w:pStyle w:val="ListParagraph"/>
        <w:numPr>
          <w:ilvl w:val="0"/>
          <w:numId w:val="15"/>
        </w:numPr>
        <w:rPr>
          <w:lang w:val="en-GB" w:eastAsia="ja-JP"/>
        </w:rPr>
      </w:pPr>
      <w:r w:rsidRPr="00B20172">
        <w:rPr>
          <w:lang w:val="en-GB" w:eastAsia="ja-JP"/>
        </w:rPr>
        <w:t xml:space="preserve">Change in patient management </w:t>
      </w:r>
      <w:r w:rsidR="005A71BF" w:rsidRPr="00B20172">
        <w:rPr>
          <w:lang w:val="en-GB" w:eastAsia="ja-JP"/>
        </w:rPr>
        <w:t xml:space="preserve">(this incorporates factors other than just a change in antibiotic treatment, for example, the need for isolation) </w:t>
      </w:r>
    </w:p>
    <w:p w:rsidR="00AC4680" w:rsidRPr="00B20172" w:rsidRDefault="00AC4680" w:rsidP="00937F40">
      <w:pPr>
        <w:pStyle w:val="ListParagraph"/>
        <w:numPr>
          <w:ilvl w:val="1"/>
          <w:numId w:val="15"/>
        </w:numPr>
        <w:rPr>
          <w:lang w:val="en-GB" w:eastAsia="ja-JP"/>
        </w:rPr>
      </w:pPr>
      <w:r w:rsidRPr="00B20172">
        <w:rPr>
          <w:lang w:val="en-GB" w:eastAsia="ja-JP"/>
        </w:rPr>
        <w:t xml:space="preserve">Appropriate antibiotic treatment </w:t>
      </w:r>
    </w:p>
    <w:p w:rsidR="00F627BC" w:rsidRPr="00B20172" w:rsidRDefault="00573CBC" w:rsidP="00F627BC">
      <w:pPr>
        <w:rPr>
          <w:lang w:val="en-GB" w:eastAsia="ja-JP"/>
        </w:rPr>
      </w:pPr>
      <w:r w:rsidRPr="00B20172">
        <w:rPr>
          <w:lang w:val="en-GB" w:eastAsia="ja-JP"/>
        </w:rPr>
        <w:t xml:space="preserve">For patients with a low pre-test probability of disease, the addition of a NAAT test to </w:t>
      </w:r>
      <w:r w:rsidR="008F3B80" w:rsidRPr="00B20172">
        <w:rPr>
          <w:lang w:val="en-GB" w:eastAsia="ja-JP"/>
        </w:rPr>
        <w:t xml:space="preserve">an </w:t>
      </w:r>
      <w:r w:rsidRPr="00B20172">
        <w:rPr>
          <w:lang w:val="en-GB" w:eastAsia="ja-JP"/>
        </w:rPr>
        <w:t xml:space="preserve">AFB test may result in different patient outcomes.  For example, for patients whose AFB test is negative, but the NAAT is positive, NAAT has the potential to diagnose TB </w:t>
      </w:r>
      <w:r w:rsidR="008967BA" w:rsidRPr="00B20172">
        <w:rPr>
          <w:lang w:val="en-GB" w:eastAsia="ja-JP"/>
        </w:rPr>
        <w:t xml:space="preserve">early </w:t>
      </w:r>
      <w:r w:rsidRPr="00B20172">
        <w:rPr>
          <w:lang w:val="en-GB" w:eastAsia="ja-JP"/>
        </w:rPr>
        <w:t xml:space="preserve">with significant public health implications. In patients for whom clinical symptoms of active TB, and a high pre-test probability of disease, given the public health implications, antibiotic treatment is commenced on clinical symptoms and pre-test probability. In these patients the potential of NAAT to significantly alter the number of patients who will be treated or not treated is limited.  For patients with a high pre-test probability of disease, the addition of a NAAT test </w:t>
      </w:r>
      <w:r w:rsidR="008F3B80" w:rsidRPr="00B20172">
        <w:rPr>
          <w:lang w:val="en-GB" w:eastAsia="ja-JP"/>
        </w:rPr>
        <w:t xml:space="preserve">that also tests for drug sensitivity </w:t>
      </w:r>
      <w:r w:rsidRPr="00B20172">
        <w:rPr>
          <w:lang w:val="en-GB" w:eastAsia="ja-JP"/>
        </w:rPr>
        <w:t xml:space="preserve">to </w:t>
      </w:r>
      <w:r w:rsidR="008F3B80" w:rsidRPr="00B20172">
        <w:rPr>
          <w:lang w:val="en-GB" w:eastAsia="ja-JP"/>
        </w:rPr>
        <w:t xml:space="preserve">an </w:t>
      </w:r>
      <w:r w:rsidRPr="00B20172">
        <w:rPr>
          <w:lang w:val="en-GB" w:eastAsia="ja-JP"/>
        </w:rPr>
        <w:t xml:space="preserve">AFB may </w:t>
      </w:r>
      <w:r w:rsidR="008F3B80" w:rsidRPr="00B20172">
        <w:rPr>
          <w:lang w:val="en-GB" w:eastAsia="ja-JP"/>
        </w:rPr>
        <w:t>change</w:t>
      </w:r>
      <w:r w:rsidRPr="00B20172">
        <w:rPr>
          <w:lang w:val="en-GB" w:eastAsia="ja-JP"/>
        </w:rPr>
        <w:t xml:space="preserve"> case management</w:t>
      </w:r>
      <w:r w:rsidR="008F3B80" w:rsidRPr="00B20172">
        <w:rPr>
          <w:lang w:val="en-GB" w:eastAsia="ja-JP"/>
        </w:rPr>
        <w:t xml:space="preserve"> as discussed above</w:t>
      </w:r>
      <w:r w:rsidRPr="00B20172">
        <w:rPr>
          <w:lang w:val="en-GB" w:eastAsia="ja-JP"/>
        </w:rPr>
        <w:t xml:space="preserve">.  </w:t>
      </w:r>
      <w:r w:rsidR="008F3B80" w:rsidRPr="00B20172">
        <w:rPr>
          <w:lang w:val="en-GB" w:eastAsia="ja-JP"/>
        </w:rPr>
        <w:t xml:space="preserve">The other </w:t>
      </w:r>
      <w:r w:rsidR="000D6FB2" w:rsidRPr="00B20172">
        <w:rPr>
          <w:lang w:val="en-GB" w:eastAsia="ja-JP"/>
        </w:rPr>
        <w:t>population</w:t>
      </w:r>
      <w:r w:rsidR="008F3B80" w:rsidRPr="00B20172">
        <w:rPr>
          <w:lang w:val="en-GB" w:eastAsia="ja-JP"/>
        </w:rPr>
        <w:t xml:space="preserve"> is </w:t>
      </w:r>
      <w:r w:rsidR="00A01F37" w:rsidRPr="00B20172">
        <w:rPr>
          <w:lang w:val="en-GB" w:eastAsia="ja-JP"/>
        </w:rPr>
        <w:t>people</w:t>
      </w:r>
      <w:r w:rsidR="008F3B80" w:rsidRPr="00B20172">
        <w:rPr>
          <w:lang w:val="en-GB" w:eastAsia="ja-JP"/>
        </w:rPr>
        <w:t xml:space="preserve"> for whom the addition of a NAAT test to standard testing, with </w:t>
      </w:r>
      <w:r w:rsidR="00A01F37" w:rsidRPr="00B20172">
        <w:rPr>
          <w:lang w:val="en-GB" w:eastAsia="ja-JP"/>
        </w:rPr>
        <w:t>a low pre-test probability of TB</w:t>
      </w:r>
      <w:r w:rsidR="008F3B80" w:rsidRPr="00B20172">
        <w:rPr>
          <w:lang w:val="en-GB" w:eastAsia="ja-JP"/>
        </w:rPr>
        <w:t xml:space="preserve">, may result in an increase in the number of patients diagnosed with TB or clinicians may be able to defer antibiotic treatment. </w:t>
      </w:r>
      <w:r w:rsidRPr="00B20172">
        <w:rPr>
          <w:lang w:val="en-GB" w:eastAsia="ja-JP"/>
        </w:rPr>
        <w:t xml:space="preserve"> For these </w:t>
      </w:r>
      <w:r w:rsidR="008F3B80" w:rsidRPr="00B20172">
        <w:rPr>
          <w:lang w:val="en-GB" w:eastAsia="ja-JP"/>
        </w:rPr>
        <w:t xml:space="preserve">populations the outcomes </w:t>
      </w:r>
      <w:r w:rsidRPr="00B20172">
        <w:rPr>
          <w:lang w:val="en-GB" w:eastAsia="ja-JP"/>
        </w:rPr>
        <w:t>that should be reported is a change in clinical management (initiating or deferring antibiotic treatment) as a result of a discordant result between AFB and NAAT or the change in clinical management resulting from additional information provided to clinicians from the NAAT test.</w:t>
      </w:r>
    </w:p>
    <w:p w:rsidR="00AC4680" w:rsidRPr="00B20172" w:rsidRDefault="00AC4680" w:rsidP="00F627BC">
      <w:pPr>
        <w:rPr>
          <w:lang w:val="en-GB" w:eastAsia="ja-JP"/>
        </w:rPr>
      </w:pPr>
      <w:r w:rsidRPr="00B20172">
        <w:rPr>
          <w:lang w:val="en-GB" w:eastAsia="ja-JP"/>
        </w:rPr>
        <w:t xml:space="preserve">Outcomes are to be reported up until the time that available </w:t>
      </w:r>
      <w:r w:rsidR="008967BA" w:rsidRPr="00B20172">
        <w:rPr>
          <w:lang w:val="en-GB" w:eastAsia="ja-JP"/>
        </w:rPr>
        <w:t>MC&amp;S</w:t>
      </w:r>
      <w:r w:rsidRPr="00B20172">
        <w:rPr>
          <w:lang w:val="en-GB" w:eastAsia="ja-JP"/>
        </w:rPr>
        <w:t xml:space="preserve"> results are available, 6-8 weeks.  </w:t>
      </w:r>
      <w:r w:rsidR="00C106AE" w:rsidRPr="00B20172">
        <w:rPr>
          <w:lang w:val="en-GB" w:eastAsia="ja-JP"/>
        </w:rPr>
        <w:t xml:space="preserve">Outcomes are to be reported separately for patients who are HIV positive and patients who are HIV negative. </w:t>
      </w:r>
    </w:p>
    <w:p w:rsidR="008F3B80" w:rsidRPr="00B20172" w:rsidRDefault="008F3B80" w:rsidP="00F627BC">
      <w:pPr>
        <w:rPr>
          <w:u w:val="single"/>
          <w:lang w:val="en-GB" w:eastAsia="ja-JP"/>
        </w:rPr>
      </w:pPr>
      <w:r w:rsidRPr="00B20172">
        <w:rPr>
          <w:u w:val="single"/>
          <w:lang w:val="en-GB" w:eastAsia="ja-JP"/>
        </w:rPr>
        <w:t>Non Tuberculous Mycobacteria</w:t>
      </w:r>
    </w:p>
    <w:p w:rsidR="008F3B80" w:rsidRPr="00B20172" w:rsidRDefault="008F3B80" w:rsidP="00F627BC">
      <w:pPr>
        <w:rPr>
          <w:lang w:val="en-GB" w:eastAsia="ja-JP"/>
        </w:rPr>
      </w:pPr>
      <w:r w:rsidRPr="00B20172">
        <w:rPr>
          <w:lang w:val="en-GB" w:eastAsia="ja-JP"/>
        </w:rPr>
        <w:t>In assessing the evidence of the effectiveness of the NAAT in detecting N</w:t>
      </w:r>
      <w:r w:rsidR="00A700E2" w:rsidRPr="00B20172">
        <w:rPr>
          <w:lang w:val="en-GB" w:eastAsia="ja-JP"/>
        </w:rPr>
        <w:t>T</w:t>
      </w:r>
      <w:r w:rsidRPr="00B20172">
        <w:rPr>
          <w:lang w:val="en-GB" w:eastAsia="ja-JP"/>
        </w:rPr>
        <w:t>MB, in tissue culture with consistent histopathology, the assessment should present the:</w:t>
      </w:r>
    </w:p>
    <w:p w:rsidR="00F627BC" w:rsidRPr="00B20172" w:rsidRDefault="008F3B80" w:rsidP="008F3B80">
      <w:pPr>
        <w:pStyle w:val="ListParagraph"/>
        <w:numPr>
          <w:ilvl w:val="0"/>
          <w:numId w:val="17"/>
        </w:numPr>
        <w:rPr>
          <w:lang w:val="en-GB" w:eastAsia="ja-JP"/>
        </w:rPr>
      </w:pPr>
      <w:r w:rsidRPr="00B20172">
        <w:rPr>
          <w:lang w:val="en-GB" w:eastAsia="ja-JP"/>
        </w:rPr>
        <w:t>Analytic sensitivity and specificity of NAAT</w:t>
      </w:r>
    </w:p>
    <w:p w:rsidR="008F3B80" w:rsidRPr="00B20172" w:rsidRDefault="008F3B80" w:rsidP="008F3B80">
      <w:pPr>
        <w:pStyle w:val="ListParagraph"/>
        <w:numPr>
          <w:ilvl w:val="0"/>
          <w:numId w:val="17"/>
        </w:numPr>
        <w:rPr>
          <w:lang w:val="en-GB" w:eastAsia="ja-JP"/>
        </w:rPr>
      </w:pPr>
      <w:r w:rsidRPr="00B20172">
        <w:rPr>
          <w:lang w:val="en-GB" w:eastAsia="ja-JP"/>
        </w:rPr>
        <w:lastRenderedPageBreak/>
        <w:t xml:space="preserve">The diagnostic sensitivity and specificity of NAAT compared to the reference standard of culture </w:t>
      </w:r>
    </w:p>
    <w:p w:rsidR="008F3B80" w:rsidRPr="00B20172" w:rsidRDefault="008F3B80" w:rsidP="0042242D">
      <w:pPr>
        <w:rPr>
          <w:i/>
          <w:lang w:val="en-GB" w:eastAsia="ja-JP"/>
        </w:rPr>
      </w:pPr>
      <w:r w:rsidRPr="00B20172">
        <w:rPr>
          <w:i/>
          <w:lang w:val="en-GB" w:eastAsia="ja-JP"/>
        </w:rPr>
        <w:t xml:space="preserve">The assessment should present any limitation in evaluating the evidence of the effectiveness of NAAT in detecting NTMB.  In addition, where the NAAT is positive this result may not be sufficient to convince clinicians that this is the cause of symptoms (with the exception of MTB) because of the ubiquity of mycobacteria and </w:t>
      </w:r>
      <w:proofErr w:type="gramStart"/>
      <w:r w:rsidR="00A700E2" w:rsidRPr="00B20172">
        <w:rPr>
          <w:i/>
          <w:lang w:val="en-GB" w:eastAsia="ja-JP"/>
        </w:rPr>
        <w:t>its</w:t>
      </w:r>
      <w:proofErr w:type="gramEnd"/>
      <w:r w:rsidRPr="00B20172">
        <w:rPr>
          <w:i/>
          <w:lang w:val="en-GB" w:eastAsia="ja-JP"/>
        </w:rPr>
        <w:t xml:space="preserve"> potential to contaminate a specimen.  </w:t>
      </w:r>
      <w:r w:rsidR="00724018" w:rsidRPr="00B20172">
        <w:rPr>
          <w:i/>
          <w:lang w:val="en-GB" w:eastAsia="ja-JP"/>
        </w:rPr>
        <w:t>Expert advice is that c</w:t>
      </w:r>
      <w:r w:rsidRPr="00B20172">
        <w:rPr>
          <w:i/>
          <w:lang w:val="en-GB" w:eastAsia="ja-JP"/>
        </w:rPr>
        <w:t xml:space="preserve">urrently clinicians often require two positive cultures of MB before the result is considered to have clinical relevance. </w:t>
      </w:r>
      <w:r w:rsidR="005A71BF" w:rsidRPr="00B20172">
        <w:rPr>
          <w:b/>
          <w:i/>
          <w:lang w:val="en-GB" w:eastAsia="ja-JP"/>
        </w:rPr>
        <w:t>Consultation is required</w:t>
      </w:r>
      <w:r w:rsidR="00724018" w:rsidRPr="00B20172">
        <w:rPr>
          <w:i/>
          <w:lang w:val="en-GB" w:eastAsia="ja-JP"/>
        </w:rPr>
        <w:t xml:space="preserve"> </w:t>
      </w:r>
      <w:r w:rsidR="000D6FB2" w:rsidRPr="00B20172">
        <w:rPr>
          <w:b/>
          <w:i/>
          <w:lang w:val="en-GB" w:eastAsia="ja-JP"/>
        </w:rPr>
        <w:t xml:space="preserve">on </w:t>
      </w:r>
      <w:r w:rsidRPr="00B20172">
        <w:rPr>
          <w:b/>
          <w:i/>
          <w:lang w:val="en-GB" w:eastAsia="ja-JP"/>
        </w:rPr>
        <w:t xml:space="preserve">situations where culture is not able to be obtained </w:t>
      </w:r>
      <w:r w:rsidR="000D6FB2" w:rsidRPr="00B20172">
        <w:rPr>
          <w:b/>
          <w:i/>
          <w:lang w:val="en-GB" w:eastAsia="ja-JP"/>
        </w:rPr>
        <w:t xml:space="preserve">whether </w:t>
      </w:r>
      <w:r w:rsidRPr="00B20172">
        <w:rPr>
          <w:b/>
          <w:i/>
          <w:lang w:val="en-GB" w:eastAsia="ja-JP"/>
        </w:rPr>
        <w:t>a metric of additional benefit to clinicians in diagnosing the MB infections, if available, should be presented.</w:t>
      </w:r>
      <w:r w:rsidRPr="00B20172">
        <w:rPr>
          <w:i/>
          <w:lang w:val="en-GB" w:eastAsia="ja-JP"/>
        </w:rPr>
        <w:t xml:space="preserve"> </w:t>
      </w:r>
    </w:p>
    <w:p w:rsidR="008F3B80" w:rsidRPr="00B20172" w:rsidRDefault="00FA601B" w:rsidP="0042242D">
      <w:pPr>
        <w:rPr>
          <w:lang w:val="en-GB" w:eastAsia="ja-JP"/>
        </w:rPr>
      </w:pPr>
      <w:r w:rsidRPr="00B20172">
        <w:rPr>
          <w:lang w:val="en-GB" w:eastAsia="ja-JP"/>
        </w:rPr>
        <w:t xml:space="preserve">There are unlikely to be any adverse events associated with the use of NAAT, aside from the harms associated with false positives and </w:t>
      </w:r>
      <w:r w:rsidR="00A01F37" w:rsidRPr="00B20172">
        <w:rPr>
          <w:lang w:val="en-GB" w:eastAsia="ja-JP"/>
        </w:rPr>
        <w:t>false</w:t>
      </w:r>
      <w:r w:rsidRPr="00B20172">
        <w:rPr>
          <w:lang w:val="en-GB" w:eastAsia="ja-JP"/>
        </w:rPr>
        <w:t xml:space="preserve"> negative results.  The consequences of a false negative may have important implications for infection control</w:t>
      </w:r>
      <w:r w:rsidR="00A01F37" w:rsidRPr="00B20172">
        <w:rPr>
          <w:lang w:val="en-GB" w:eastAsia="ja-JP"/>
        </w:rPr>
        <w:t>.  The consequences</w:t>
      </w:r>
      <w:r w:rsidR="00807DE2" w:rsidRPr="00B20172">
        <w:rPr>
          <w:lang w:val="en-GB" w:eastAsia="ja-JP"/>
        </w:rPr>
        <w:t xml:space="preserve"> of a</w:t>
      </w:r>
      <w:r w:rsidR="00A01F37" w:rsidRPr="00B20172">
        <w:rPr>
          <w:lang w:val="en-GB" w:eastAsia="ja-JP"/>
        </w:rPr>
        <w:t xml:space="preserve"> </w:t>
      </w:r>
      <w:r w:rsidRPr="00B20172">
        <w:rPr>
          <w:lang w:val="en-GB" w:eastAsia="ja-JP"/>
        </w:rPr>
        <w:t xml:space="preserve">false positive result may be the inappropriate treatment of patients with isoniazid, an antimicrobial that is associated with known safety concerns. </w:t>
      </w:r>
    </w:p>
    <w:p w:rsidR="0042242D" w:rsidRPr="00B20172" w:rsidRDefault="0042242D" w:rsidP="0042242D">
      <w:pPr>
        <w:pStyle w:val="Heading2"/>
      </w:pPr>
      <w:bookmarkStart w:id="27" w:name="_Toc289854385"/>
      <w:r w:rsidRPr="00B20172">
        <w:t>Health care resources</w:t>
      </w:r>
      <w:bookmarkEnd w:id="27"/>
    </w:p>
    <w:p w:rsidR="00086AB0" w:rsidRPr="00B20172" w:rsidRDefault="00D50162" w:rsidP="00086AB0">
      <w:pPr>
        <w:rPr>
          <w:lang w:val="en-GB" w:eastAsia="ja-JP"/>
        </w:rPr>
      </w:pPr>
      <w:r w:rsidRPr="00B20172">
        <w:rPr>
          <w:lang w:val="en-GB" w:eastAsia="ja-JP"/>
        </w:rPr>
        <w:t xml:space="preserve">The </w:t>
      </w:r>
      <w:r w:rsidR="00724018" w:rsidRPr="00B20172">
        <w:rPr>
          <w:lang w:val="en-GB" w:eastAsia="ja-JP"/>
        </w:rPr>
        <w:t xml:space="preserve">health </w:t>
      </w:r>
      <w:r w:rsidRPr="00B20172">
        <w:rPr>
          <w:lang w:val="en-GB" w:eastAsia="ja-JP"/>
        </w:rPr>
        <w:t>care costs that will be used to deliver this intervention are:</w:t>
      </w:r>
    </w:p>
    <w:p w:rsidR="00D50162" w:rsidRPr="00B20172" w:rsidRDefault="00D50162" w:rsidP="00D50162">
      <w:pPr>
        <w:pStyle w:val="ListParagraph"/>
        <w:numPr>
          <w:ilvl w:val="0"/>
          <w:numId w:val="21"/>
        </w:numPr>
        <w:rPr>
          <w:lang w:val="en-GB" w:eastAsia="ja-JP"/>
        </w:rPr>
      </w:pPr>
      <w:r w:rsidRPr="00B20172">
        <w:rPr>
          <w:lang w:val="en-GB" w:eastAsia="ja-JP"/>
        </w:rPr>
        <w:t>Cost of the testing kit (where commercially available kits are used</w:t>
      </w:r>
      <w:r w:rsidR="00113BCC" w:rsidRPr="00B20172">
        <w:rPr>
          <w:lang w:val="en-GB" w:eastAsia="ja-JP"/>
        </w:rPr>
        <w:t>)</w:t>
      </w:r>
      <w:r w:rsidRPr="00B20172">
        <w:rPr>
          <w:lang w:val="en-GB" w:eastAsia="ja-JP"/>
        </w:rPr>
        <w:t xml:space="preserve">. </w:t>
      </w:r>
    </w:p>
    <w:p w:rsidR="00D50162" w:rsidRPr="00B20172" w:rsidRDefault="00D50162" w:rsidP="00D50162">
      <w:pPr>
        <w:pStyle w:val="ListParagraph"/>
        <w:numPr>
          <w:ilvl w:val="0"/>
          <w:numId w:val="21"/>
        </w:numPr>
        <w:rPr>
          <w:lang w:val="en-GB" w:eastAsia="ja-JP"/>
        </w:rPr>
      </w:pPr>
      <w:r w:rsidRPr="00B20172">
        <w:rPr>
          <w:lang w:val="en-GB" w:eastAsia="ja-JP"/>
        </w:rPr>
        <w:t xml:space="preserve">If the test is performed as an in-house assay then the costs </w:t>
      </w:r>
      <w:r w:rsidR="00113BCC" w:rsidRPr="00B20172">
        <w:rPr>
          <w:lang w:val="en-GB" w:eastAsia="ja-JP"/>
        </w:rPr>
        <w:t xml:space="preserve">used by the laboratory to determine the cost </w:t>
      </w:r>
    </w:p>
    <w:p w:rsidR="00D50162" w:rsidRPr="00B20172" w:rsidRDefault="00113BCC" w:rsidP="00D50162">
      <w:pPr>
        <w:pStyle w:val="ListParagraph"/>
        <w:numPr>
          <w:ilvl w:val="1"/>
          <w:numId w:val="21"/>
        </w:numPr>
        <w:rPr>
          <w:lang w:val="en-GB" w:eastAsia="ja-JP"/>
        </w:rPr>
      </w:pPr>
      <w:r w:rsidRPr="00B20172">
        <w:rPr>
          <w:lang w:val="en-GB" w:eastAsia="ja-JP"/>
        </w:rPr>
        <w:t xml:space="preserve">Labour costs, </w:t>
      </w:r>
    </w:p>
    <w:p w:rsidR="00113BCC" w:rsidRPr="00B20172" w:rsidRDefault="00113BCC" w:rsidP="00D50162">
      <w:pPr>
        <w:pStyle w:val="ListParagraph"/>
        <w:numPr>
          <w:ilvl w:val="1"/>
          <w:numId w:val="21"/>
        </w:numPr>
        <w:rPr>
          <w:lang w:val="en-GB" w:eastAsia="ja-JP"/>
        </w:rPr>
      </w:pPr>
      <w:r w:rsidRPr="00B20172">
        <w:rPr>
          <w:lang w:val="en-GB" w:eastAsia="ja-JP"/>
        </w:rPr>
        <w:t>System used</w:t>
      </w:r>
    </w:p>
    <w:p w:rsidR="00113BCC" w:rsidRPr="00B20172" w:rsidRDefault="00113BCC" w:rsidP="00D50162">
      <w:pPr>
        <w:pStyle w:val="ListParagraph"/>
        <w:numPr>
          <w:ilvl w:val="1"/>
          <w:numId w:val="21"/>
        </w:numPr>
        <w:rPr>
          <w:lang w:val="en-GB" w:eastAsia="ja-JP"/>
        </w:rPr>
      </w:pPr>
      <w:r w:rsidRPr="00B20172">
        <w:rPr>
          <w:lang w:val="en-GB" w:eastAsia="ja-JP"/>
        </w:rPr>
        <w:t>overhead</w:t>
      </w:r>
      <w:r w:rsidR="00C3218A" w:rsidRPr="00B20172">
        <w:rPr>
          <w:lang w:val="en-GB" w:eastAsia="ja-JP"/>
        </w:rPr>
        <w:t xml:space="preserve"> costs</w:t>
      </w:r>
    </w:p>
    <w:p w:rsidR="00113BCC" w:rsidRPr="00B20172" w:rsidRDefault="00113BCC" w:rsidP="00113BCC">
      <w:pPr>
        <w:pStyle w:val="ListParagraph"/>
        <w:numPr>
          <w:ilvl w:val="0"/>
          <w:numId w:val="21"/>
        </w:numPr>
        <w:rPr>
          <w:lang w:val="en-GB" w:eastAsia="ja-JP"/>
        </w:rPr>
      </w:pPr>
      <w:r w:rsidRPr="00B20172">
        <w:rPr>
          <w:lang w:val="en-GB" w:eastAsia="ja-JP"/>
        </w:rPr>
        <w:t>Cost of antibiotic regime for TB treatment</w:t>
      </w:r>
    </w:p>
    <w:p w:rsidR="00724018" w:rsidRPr="00B20172" w:rsidRDefault="00724018" w:rsidP="00113BCC">
      <w:pPr>
        <w:pStyle w:val="ListParagraph"/>
        <w:numPr>
          <w:ilvl w:val="0"/>
          <w:numId w:val="21"/>
        </w:numPr>
        <w:rPr>
          <w:lang w:val="en-GB" w:eastAsia="ja-JP"/>
        </w:rPr>
      </w:pPr>
      <w:r w:rsidRPr="00B20172">
        <w:rPr>
          <w:lang w:val="en-GB" w:eastAsia="ja-JP"/>
        </w:rPr>
        <w:t>Cost of treatment for non-TB mycobacteria</w:t>
      </w:r>
    </w:p>
    <w:p w:rsidR="00113BCC" w:rsidRPr="00B20172" w:rsidRDefault="00113BCC" w:rsidP="00113BCC">
      <w:pPr>
        <w:pStyle w:val="ListParagraph"/>
        <w:numPr>
          <w:ilvl w:val="0"/>
          <w:numId w:val="21"/>
        </w:numPr>
        <w:rPr>
          <w:lang w:val="en-GB" w:eastAsia="ja-JP"/>
        </w:rPr>
      </w:pPr>
      <w:r w:rsidRPr="00B20172">
        <w:rPr>
          <w:lang w:val="en-GB" w:eastAsia="ja-JP"/>
        </w:rPr>
        <w:t>Cost of hospitalisation for TB treatment</w:t>
      </w:r>
      <w:r w:rsidR="000D6FB2" w:rsidRPr="00B20172">
        <w:rPr>
          <w:lang w:val="en-GB" w:eastAsia="ja-JP"/>
        </w:rPr>
        <w:t xml:space="preserve"> and any isolation required</w:t>
      </w:r>
      <w:r w:rsidR="001C4921" w:rsidRPr="00B20172">
        <w:rPr>
          <w:lang w:val="en-GB" w:eastAsia="ja-JP"/>
        </w:rPr>
        <w:t xml:space="preserve"> </w:t>
      </w:r>
      <w:r w:rsidR="001C4921" w:rsidRPr="00B20172">
        <w:rPr>
          <w:i/>
          <w:lang w:val="en-GB" w:eastAsia="ja-JP"/>
        </w:rPr>
        <w:t xml:space="preserve">(data will be required as an input to the model of the proportion </w:t>
      </w:r>
      <w:r w:rsidR="00724018" w:rsidRPr="00B20172">
        <w:rPr>
          <w:i/>
          <w:lang w:val="en-GB" w:eastAsia="ja-JP"/>
        </w:rPr>
        <w:t xml:space="preserve">of </w:t>
      </w:r>
      <w:r w:rsidR="001C4921" w:rsidRPr="00B20172">
        <w:rPr>
          <w:i/>
          <w:lang w:val="en-GB" w:eastAsia="ja-JP"/>
        </w:rPr>
        <w:t>patients treated in the hospital, how long they are hospitalised for, and what clinical factors decide if a patient is no longer infectious if AFB smear cannot guide a clinician)</w:t>
      </w:r>
      <w:r w:rsidR="00724018" w:rsidRPr="00B20172">
        <w:rPr>
          <w:i/>
          <w:lang w:val="en-GB" w:eastAsia="ja-JP"/>
        </w:rPr>
        <w:t>. Consultation is requested on these model parameters.</w:t>
      </w:r>
    </w:p>
    <w:p w:rsidR="00113BCC" w:rsidRPr="00B20172" w:rsidRDefault="00113BCC" w:rsidP="00113BCC">
      <w:pPr>
        <w:pStyle w:val="ListParagraph"/>
        <w:numPr>
          <w:ilvl w:val="0"/>
          <w:numId w:val="21"/>
        </w:numPr>
        <w:rPr>
          <w:lang w:val="en-GB" w:eastAsia="ja-JP"/>
        </w:rPr>
      </w:pPr>
      <w:r w:rsidRPr="00B20172">
        <w:rPr>
          <w:lang w:val="en-GB" w:eastAsia="ja-JP"/>
        </w:rPr>
        <w:t>Cost of contact tracing for TB</w:t>
      </w:r>
    </w:p>
    <w:p w:rsidR="00113BCC" w:rsidRPr="00B20172" w:rsidRDefault="00113BCC" w:rsidP="00113BCC">
      <w:pPr>
        <w:pStyle w:val="ListParagraph"/>
        <w:numPr>
          <w:ilvl w:val="0"/>
          <w:numId w:val="21"/>
        </w:numPr>
        <w:rPr>
          <w:lang w:val="en-GB" w:eastAsia="ja-JP"/>
        </w:rPr>
      </w:pPr>
      <w:r w:rsidRPr="00B20172">
        <w:rPr>
          <w:lang w:val="en-GB" w:eastAsia="ja-JP"/>
        </w:rPr>
        <w:t xml:space="preserve">Cost of changing TB </w:t>
      </w:r>
      <w:r w:rsidR="00A91DCC" w:rsidRPr="00B20172">
        <w:rPr>
          <w:lang w:val="en-GB" w:eastAsia="ja-JP"/>
        </w:rPr>
        <w:t xml:space="preserve">drug </w:t>
      </w:r>
      <w:r w:rsidRPr="00B20172">
        <w:rPr>
          <w:lang w:val="en-GB" w:eastAsia="ja-JP"/>
        </w:rPr>
        <w:t>regime</w:t>
      </w:r>
    </w:p>
    <w:p w:rsidR="009B59B7" w:rsidRPr="00B20172" w:rsidRDefault="00444E8D" w:rsidP="0042242D">
      <w:pPr>
        <w:pStyle w:val="Heading1"/>
      </w:pPr>
      <w:bookmarkStart w:id="28" w:name="_Toc289854386"/>
      <w:r w:rsidRPr="00B20172">
        <w:t xml:space="preserve">Proposed structure </w:t>
      </w:r>
      <w:r w:rsidR="00CE4952" w:rsidRPr="00B20172">
        <w:t xml:space="preserve">of </w:t>
      </w:r>
      <w:r w:rsidR="00AC4985" w:rsidRPr="00B20172">
        <w:t>economic evaluation</w:t>
      </w:r>
      <w:r w:rsidR="00CE4952" w:rsidRPr="00B20172">
        <w:t xml:space="preserve"> (decision-analytic)</w:t>
      </w:r>
      <w:bookmarkEnd w:id="28"/>
    </w:p>
    <w:p w:rsidR="008D4904" w:rsidRPr="00B20172" w:rsidRDefault="00A003AD" w:rsidP="008D4904">
      <w:r w:rsidRPr="00B20172">
        <w:t xml:space="preserve">Table </w:t>
      </w:r>
      <w:r w:rsidR="00724018" w:rsidRPr="00B20172">
        <w:t xml:space="preserve">6 </w:t>
      </w:r>
      <w:r w:rsidRPr="00B20172">
        <w:t>sets out a summary of the extended PICO for the comparison of NAAT plus AFB compared to AFB only, or NAAT alone compared to AFB alone, or NAAT compared to standard tests (no NAAT) for diagnosing tuberculosis.  Table 5 sets out a summary of the extended PICO for the comparison of NAAT compared to standard tests (no NAAT) for diagnosing non-tuberculous mycobacteria.</w:t>
      </w:r>
    </w:p>
    <w:p w:rsidR="00C873D8" w:rsidRPr="00B20172" w:rsidRDefault="00C873D8" w:rsidP="00C873D8">
      <w:pPr>
        <w:pStyle w:val="Caption"/>
      </w:pPr>
      <w:bookmarkStart w:id="29" w:name="_Ref283297696"/>
      <w:r w:rsidRPr="00B20172">
        <w:lastRenderedPageBreak/>
        <w:t xml:space="preserve">Table </w:t>
      </w:r>
      <w:bookmarkEnd w:id="29"/>
      <w:r w:rsidR="00724018" w:rsidRPr="00B20172">
        <w:t>6</w:t>
      </w:r>
      <w:r w:rsidRPr="00B20172">
        <w:t xml:space="preserve">:  Summary of extended PICO to define </w:t>
      </w:r>
      <w:r w:rsidR="007D3154" w:rsidRPr="00B20172">
        <w:t>the question for public funding</w:t>
      </w:r>
      <w:r w:rsidRPr="00B20172">
        <w:t xml:space="preserve"> that assessment will investigate</w:t>
      </w:r>
    </w:p>
    <w:tbl>
      <w:tblPr>
        <w:tblStyle w:val="TableGrid"/>
        <w:tblW w:w="0" w:type="auto"/>
        <w:tblBorders>
          <w:insideH w:val="single" w:sz="4" w:space="0" w:color="auto"/>
        </w:tblBorders>
        <w:tblLook w:val="04A0" w:firstRow="1" w:lastRow="0" w:firstColumn="1" w:lastColumn="0" w:noHBand="0" w:noVBand="1"/>
        <w:tblCaption w:val="Summary of extended PICO to define the question for public funding that assessment will investigate"/>
      </w:tblPr>
      <w:tblGrid>
        <w:gridCol w:w="1807"/>
        <w:gridCol w:w="1808"/>
        <w:gridCol w:w="1808"/>
        <w:gridCol w:w="1808"/>
        <w:gridCol w:w="1808"/>
      </w:tblGrid>
      <w:tr w:rsidR="00C873D8" w:rsidRPr="00B20172" w:rsidTr="00A5648F">
        <w:trPr>
          <w:cantSplit/>
          <w:tblHeader/>
        </w:trPr>
        <w:tc>
          <w:tcPr>
            <w:tcW w:w="1807" w:type="dxa"/>
          </w:tcPr>
          <w:p w:rsidR="00C873D8" w:rsidRPr="00B20172" w:rsidRDefault="00C873D8" w:rsidP="006C741F">
            <w:pPr>
              <w:spacing w:after="0" w:line="240" w:lineRule="auto"/>
              <w:jc w:val="center"/>
              <w:rPr>
                <w:rFonts w:ascii="Arial Narrow" w:hAnsi="Arial Narrow"/>
                <w:b/>
                <w:sz w:val="18"/>
              </w:rPr>
            </w:pPr>
            <w:r w:rsidRPr="00B20172">
              <w:rPr>
                <w:rFonts w:ascii="Arial Narrow" w:hAnsi="Arial Narrow"/>
                <w:b/>
                <w:sz w:val="18"/>
              </w:rPr>
              <w:t>Patients</w:t>
            </w:r>
          </w:p>
        </w:tc>
        <w:tc>
          <w:tcPr>
            <w:tcW w:w="1808" w:type="dxa"/>
          </w:tcPr>
          <w:p w:rsidR="00C873D8" w:rsidRPr="00B20172" w:rsidRDefault="00C873D8" w:rsidP="006C741F">
            <w:pPr>
              <w:spacing w:after="0" w:line="240" w:lineRule="auto"/>
              <w:jc w:val="center"/>
              <w:rPr>
                <w:rFonts w:ascii="Arial Narrow" w:hAnsi="Arial Narrow"/>
                <w:b/>
                <w:sz w:val="18"/>
              </w:rPr>
            </w:pPr>
            <w:r w:rsidRPr="00B20172">
              <w:rPr>
                <w:rFonts w:ascii="Arial Narrow" w:hAnsi="Arial Narrow"/>
                <w:b/>
                <w:sz w:val="18"/>
              </w:rPr>
              <w:t>Intervention</w:t>
            </w:r>
          </w:p>
        </w:tc>
        <w:tc>
          <w:tcPr>
            <w:tcW w:w="1808" w:type="dxa"/>
          </w:tcPr>
          <w:p w:rsidR="00C873D8" w:rsidRPr="00B20172" w:rsidRDefault="00C873D8" w:rsidP="006C741F">
            <w:pPr>
              <w:spacing w:after="0" w:line="240" w:lineRule="auto"/>
              <w:jc w:val="center"/>
              <w:rPr>
                <w:rFonts w:ascii="Arial Narrow" w:hAnsi="Arial Narrow"/>
                <w:b/>
                <w:sz w:val="18"/>
              </w:rPr>
            </w:pPr>
            <w:r w:rsidRPr="00B20172">
              <w:rPr>
                <w:rFonts w:ascii="Arial Narrow" w:hAnsi="Arial Narrow"/>
                <w:b/>
                <w:sz w:val="18"/>
              </w:rPr>
              <w:t>Comparator</w:t>
            </w:r>
          </w:p>
        </w:tc>
        <w:tc>
          <w:tcPr>
            <w:tcW w:w="1808" w:type="dxa"/>
          </w:tcPr>
          <w:p w:rsidR="00C873D8" w:rsidRPr="00B20172" w:rsidRDefault="00C873D8" w:rsidP="006C741F">
            <w:pPr>
              <w:spacing w:after="0" w:line="240" w:lineRule="auto"/>
              <w:jc w:val="center"/>
              <w:rPr>
                <w:rFonts w:ascii="Arial Narrow" w:hAnsi="Arial Narrow"/>
                <w:b/>
                <w:sz w:val="18"/>
              </w:rPr>
            </w:pPr>
            <w:r w:rsidRPr="00B20172">
              <w:rPr>
                <w:rFonts w:ascii="Arial Narrow" w:hAnsi="Arial Narrow"/>
                <w:b/>
                <w:sz w:val="18"/>
              </w:rPr>
              <w:t>Outcomes to be assessed</w:t>
            </w:r>
          </w:p>
        </w:tc>
        <w:tc>
          <w:tcPr>
            <w:tcW w:w="1808" w:type="dxa"/>
          </w:tcPr>
          <w:p w:rsidR="00C873D8" w:rsidRPr="00B20172" w:rsidRDefault="00C873D8" w:rsidP="006C741F">
            <w:pPr>
              <w:spacing w:after="0" w:line="240" w:lineRule="auto"/>
              <w:jc w:val="center"/>
              <w:rPr>
                <w:rFonts w:ascii="Arial Narrow" w:hAnsi="Arial Narrow"/>
                <w:b/>
                <w:sz w:val="18"/>
              </w:rPr>
            </w:pPr>
            <w:r w:rsidRPr="00B20172">
              <w:rPr>
                <w:rFonts w:ascii="Arial Narrow" w:hAnsi="Arial Narrow"/>
                <w:b/>
                <w:sz w:val="18"/>
              </w:rPr>
              <w:t>Healthcare resources to be considered</w:t>
            </w:r>
          </w:p>
        </w:tc>
      </w:tr>
      <w:tr w:rsidR="00C873D8" w:rsidRPr="00B20172" w:rsidTr="00A5648F">
        <w:trPr>
          <w:cantSplit/>
        </w:trPr>
        <w:tc>
          <w:tcPr>
            <w:tcW w:w="1807" w:type="dxa"/>
          </w:tcPr>
          <w:p w:rsidR="00C873D8" w:rsidRPr="00B20172" w:rsidRDefault="00A91DCC" w:rsidP="008113F4">
            <w:pPr>
              <w:spacing w:after="0" w:line="240" w:lineRule="auto"/>
              <w:jc w:val="left"/>
              <w:rPr>
                <w:rFonts w:ascii="Arial Narrow" w:hAnsi="Arial Narrow"/>
                <w:sz w:val="18"/>
              </w:rPr>
            </w:pPr>
            <w:r w:rsidRPr="00B20172">
              <w:rPr>
                <w:rFonts w:ascii="Arial Narrow" w:hAnsi="Arial Narrow"/>
                <w:sz w:val="18"/>
              </w:rPr>
              <w:t xml:space="preserve">Patients with clinical signs and symptoms of active TB </w:t>
            </w:r>
            <w:r w:rsidR="003C00EE" w:rsidRPr="00B20172">
              <w:rPr>
                <w:rFonts w:ascii="Arial Narrow" w:hAnsi="Arial Narrow"/>
                <w:sz w:val="18"/>
              </w:rPr>
              <w:t xml:space="preserve">whose specimen is </w:t>
            </w:r>
            <w:r w:rsidR="00724018" w:rsidRPr="00B20172">
              <w:rPr>
                <w:rFonts w:ascii="Arial Narrow" w:hAnsi="Arial Narrow"/>
                <w:sz w:val="18"/>
              </w:rPr>
              <w:t>able to have an AFB smear</w:t>
            </w:r>
            <w:r w:rsidR="001B0049" w:rsidRPr="00B20172">
              <w:rPr>
                <w:rFonts w:ascii="Arial Narrow" w:hAnsi="Arial Narrow"/>
                <w:sz w:val="18"/>
              </w:rPr>
              <w:t xml:space="preserve"> </w:t>
            </w:r>
            <w:r w:rsidR="00724018" w:rsidRPr="00B20172">
              <w:rPr>
                <w:rFonts w:ascii="Arial Narrow" w:hAnsi="Arial Narrow"/>
                <w:sz w:val="18"/>
              </w:rPr>
              <w:t xml:space="preserve"> </w:t>
            </w:r>
            <w:r w:rsidR="008113F4" w:rsidRPr="00B20172">
              <w:rPr>
                <w:rFonts w:ascii="Arial Narrow" w:hAnsi="Arial Narrow"/>
                <w:sz w:val="18"/>
              </w:rPr>
              <w:t>and MC&amp;S</w:t>
            </w:r>
          </w:p>
        </w:tc>
        <w:tc>
          <w:tcPr>
            <w:tcW w:w="1808" w:type="dxa"/>
          </w:tcPr>
          <w:p w:rsidR="00C873D8" w:rsidRPr="00B20172" w:rsidRDefault="00A91DCC" w:rsidP="006C741F">
            <w:pPr>
              <w:spacing w:after="0" w:line="240" w:lineRule="auto"/>
              <w:jc w:val="center"/>
              <w:rPr>
                <w:rFonts w:ascii="Arial Narrow" w:hAnsi="Arial Narrow"/>
                <w:sz w:val="18"/>
              </w:rPr>
            </w:pPr>
            <w:r w:rsidRPr="00B20172">
              <w:rPr>
                <w:rFonts w:ascii="Arial Narrow" w:hAnsi="Arial Narrow"/>
                <w:sz w:val="18"/>
              </w:rPr>
              <w:t>NAAT</w:t>
            </w:r>
            <w:r w:rsidR="008113F4" w:rsidRPr="00B20172">
              <w:rPr>
                <w:rFonts w:ascii="Arial Narrow" w:hAnsi="Arial Narrow"/>
                <w:sz w:val="18"/>
              </w:rPr>
              <w:t xml:space="preserve"> (+AFB smear)</w:t>
            </w:r>
          </w:p>
          <w:p w:rsidR="008113F4" w:rsidRPr="00B20172" w:rsidRDefault="008113F4" w:rsidP="006C741F">
            <w:pPr>
              <w:spacing w:after="0" w:line="240" w:lineRule="auto"/>
              <w:jc w:val="center"/>
              <w:rPr>
                <w:rFonts w:ascii="Arial Narrow" w:hAnsi="Arial Narrow"/>
                <w:sz w:val="18"/>
              </w:rPr>
            </w:pPr>
          </w:p>
          <w:p w:rsidR="008113F4" w:rsidRPr="00B20172" w:rsidRDefault="008113F4" w:rsidP="008113F4">
            <w:pPr>
              <w:spacing w:after="0" w:line="240" w:lineRule="auto"/>
              <w:jc w:val="center"/>
              <w:rPr>
                <w:rFonts w:ascii="Arial Narrow" w:hAnsi="Arial Narrow"/>
                <w:sz w:val="18"/>
              </w:rPr>
            </w:pPr>
          </w:p>
        </w:tc>
        <w:tc>
          <w:tcPr>
            <w:tcW w:w="1808" w:type="dxa"/>
          </w:tcPr>
          <w:p w:rsidR="00C873D8" w:rsidRPr="00B20172" w:rsidRDefault="00A91DCC" w:rsidP="006C741F">
            <w:pPr>
              <w:spacing w:after="0" w:line="240" w:lineRule="auto"/>
              <w:jc w:val="center"/>
              <w:rPr>
                <w:rFonts w:ascii="Arial Narrow" w:hAnsi="Arial Narrow"/>
                <w:sz w:val="18"/>
              </w:rPr>
            </w:pPr>
            <w:r w:rsidRPr="00B20172">
              <w:rPr>
                <w:rFonts w:ascii="Arial Narrow" w:hAnsi="Arial Narrow"/>
                <w:sz w:val="18"/>
              </w:rPr>
              <w:t>AFB</w:t>
            </w:r>
            <w:r w:rsidR="00785797" w:rsidRPr="00B20172">
              <w:rPr>
                <w:rFonts w:ascii="Arial Narrow" w:hAnsi="Arial Narrow"/>
                <w:sz w:val="18"/>
              </w:rPr>
              <w:t xml:space="preserve"> smear </w:t>
            </w:r>
          </w:p>
          <w:p w:rsidR="00711D16" w:rsidRPr="00B20172" w:rsidRDefault="00711D16" w:rsidP="006C741F">
            <w:pPr>
              <w:spacing w:after="0" w:line="240" w:lineRule="auto"/>
              <w:jc w:val="center"/>
              <w:rPr>
                <w:rFonts w:ascii="Arial Narrow" w:hAnsi="Arial Narrow"/>
                <w:sz w:val="18"/>
              </w:rPr>
            </w:pPr>
          </w:p>
          <w:p w:rsidR="00711D16" w:rsidRPr="00B20172" w:rsidRDefault="00711D16" w:rsidP="00246BCB">
            <w:pPr>
              <w:spacing w:after="0" w:line="240" w:lineRule="auto"/>
              <w:jc w:val="center"/>
              <w:rPr>
                <w:rFonts w:ascii="Arial Narrow" w:hAnsi="Arial Narrow"/>
                <w:sz w:val="18"/>
              </w:rPr>
            </w:pPr>
          </w:p>
        </w:tc>
        <w:tc>
          <w:tcPr>
            <w:tcW w:w="1808" w:type="dxa"/>
          </w:tcPr>
          <w:p w:rsidR="00A91DCC" w:rsidRPr="00B20172" w:rsidRDefault="00A91DCC" w:rsidP="00A91DCC">
            <w:pPr>
              <w:spacing w:after="0" w:line="240" w:lineRule="auto"/>
              <w:jc w:val="left"/>
              <w:rPr>
                <w:rFonts w:ascii="Arial Narrow" w:hAnsi="Arial Narrow"/>
                <w:sz w:val="18"/>
              </w:rPr>
            </w:pPr>
            <w:r w:rsidRPr="00B20172">
              <w:rPr>
                <w:rFonts w:ascii="Arial Narrow" w:hAnsi="Arial Narrow"/>
                <w:sz w:val="18"/>
              </w:rPr>
              <w:t xml:space="preserve">-Diagnostic accuracy of NAAT with AFB vs AFB (ref standard </w:t>
            </w:r>
            <w:r w:rsidR="008113F4" w:rsidRPr="00B20172">
              <w:rPr>
                <w:rFonts w:ascii="Arial Narrow" w:hAnsi="Arial Narrow"/>
                <w:sz w:val="18"/>
              </w:rPr>
              <w:t>MC&amp;S</w:t>
            </w:r>
            <w:r w:rsidRPr="00B20172">
              <w:rPr>
                <w:rFonts w:ascii="Arial Narrow" w:hAnsi="Arial Narrow"/>
                <w:sz w:val="18"/>
              </w:rPr>
              <w:t>)</w:t>
            </w:r>
          </w:p>
          <w:p w:rsidR="00A91DCC" w:rsidRPr="00B20172" w:rsidRDefault="00A91DCC" w:rsidP="00A91DCC">
            <w:pPr>
              <w:spacing w:after="0" w:line="240" w:lineRule="auto"/>
              <w:jc w:val="left"/>
              <w:rPr>
                <w:rFonts w:ascii="Arial Narrow" w:hAnsi="Arial Narrow"/>
                <w:sz w:val="18"/>
              </w:rPr>
            </w:pPr>
            <w:r w:rsidRPr="00B20172">
              <w:rPr>
                <w:rFonts w:ascii="Arial Narrow" w:hAnsi="Arial Narrow"/>
                <w:sz w:val="18"/>
              </w:rPr>
              <w:t>-change in clinical management</w:t>
            </w:r>
          </w:p>
          <w:p w:rsidR="005A71BF" w:rsidRPr="00B20172" w:rsidRDefault="005A71BF" w:rsidP="00A91DCC">
            <w:pPr>
              <w:spacing w:after="0" w:line="240" w:lineRule="auto"/>
              <w:jc w:val="left"/>
              <w:rPr>
                <w:rFonts w:ascii="Arial Narrow" w:hAnsi="Arial Narrow"/>
                <w:sz w:val="18"/>
              </w:rPr>
            </w:pPr>
            <w:r w:rsidRPr="00B20172">
              <w:rPr>
                <w:rFonts w:ascii="Arial Narrow" w:hAnsi="Arial Narrow"/>
                <w:sz w:val="18"/>
              </w:rPr>
              <w:t>-appropriate antibiotic regimen earlier</w:t>
            </w:r>
          </w:p>
          <w:p w:rsidR="00A91DCC" w:rsidRPr="00B20172" w:rsidRDefault="00A91DCC" w:rsidP="00A91DCC">
            <w:pPr>
              <w:spacing w:after="0" w:line="240" w:lineRule="auto"/>
              <w:jc w:val="left"/>
              <w:rPr>
                <w:rFonts w:ascii="Arial Narrow" w:hAnsi="Arial Narrow"/>
                <w:sz w:val="18"/>
              </w:rPr>
            </w:pPr>
          </w:p>
        </w:tc>
        <w:tc>
          <w:tcPr>
            <w:tcW w:w="1808" w:type="dxa"/>
          </w:tcPr>
          <w:p w:rsidR="00C873D8" w:rsidRPr="00B20172" w:rsidRDefault="00A91DCC" w:rsidP="00A91DCC">
            <w:pPr>
              <w:spacing w:after="0" w:line="240" w:lineRule="auto"/>
              <w:jc w:val="left"/>
              <w:rPr>
                <w:rFonts w:ascii="Arial Narrow" w:hAnsi="Arial Narrow"/>
                <w:sz w:val="18"/>
              </w:rPr>
            </w:pPr>
            <w:r w:rsidRPr="00B20172">
              <w:rPr>
                <w:rFonts w:ascii="Arial Narrow" w:hAnsi="Arial Narrow"/>
                <w:sz w:val="18"/>
              </w:rPr>
              <w:t>-Testing kit</w:t>
            </w:r>
          </w:p>
          <w:p w:rsidR="00A91DCC" w:rsidRPr="00B20172" w:rsidRDefault="00A91DCC" w:rsidP="00A91DCC">
            <w:pPr>
              <w:spacing w:after="0" w:line="240" w:lineRule="auto"/>
              <w:jc w:val="left"/>
              <w:rPr>
                <w:rFonts w:ascii="Arial Narrow" w:hAnsi="Arial Narrow"/>
                <w:sz w:val="18"/>
              </w:rPr>
            </w:pPr>
            <w:r w:rsidRPr="00B20172">
              <w:rPr>
                <w:rFonts w:ascii="Arial Narrow" w:hAnsi="Arial Narrow"/>
                <w:sz w:val="18"/>
              </w:rPr>
              <w:t>-</w:t>
            </w:r>
            <w:r w:rsidR="00AA1D15" w:rsidRPr="00B20172">
              <w:rPr>
                <w:rFonts w:ascii="Arial Narrow" w:hAnsi="Arial Narrow"/>
                <w:sz w:val="18"/>
              </w:rPr>
              <w:t xml:space="preserve"> </w:t>
            </w:r>
            <w:r w:rsidRPr="00B20172">
              <w:rPr>
                <w:rFonts w:ascii="Arial Narrow" w:hAnsi="Arial Narrow"/>
                <w:sz w:val="18"/>
              </w:rPr>
              <w:t xml:space="preserve">Laboratory costs </w:t>
            </w:r>
          </w:p>
          <w:p w:rsidR="00A91DCC" w:rsidRPr="00B20172" w:rsidRDefault="00A91DCC" w:rsidP="00A91DCC">
            <w:pPr>
              <w:spacing w:after="0" w:line="240" w:lineRule="auto"/>
              <w:jc w:val="left"/>
              <w:rPr>
                <w:rFonts w:ascii="Arial Narrow" w:hAnsi="Arial Narrow"/>
                <w:sz w:val="18"/>
              </w:rPr>
            </w:pPr>
            <w:r w:rsidRPr="00B20172">
              <w:rPr>
                <w:rFonts w:ascii="Arial Narrow" w:hAnsi="Arial Narrow"/>
                <w:sz w:val="18"/>
              </w:rPr>
              <w:t xml:space="preserve">- </w:t>
            </w:r>
            <w:r w:rsidR="00AA1D15" w:rsidRPr="00B20172">
              <w:rPr>
                <w:rFonts w:ascii="Arial Narrow" w:hAnsi="Arial Narrow"/>
                <w:sz w:val="18"/>
              </w:rPr>
              <w:t>Hospitalisation</w:t>
            </w:r>
          </w:p>
          <w:p w:rsidR="00A91DCC" w:rsidRPr="00B20172" w:rsidRDefault="00A91DCC" w:rsidP="00A91DCC">
            <w:pPr>
              <w:spacing w:after="0" w:line="240" w:lineRule="auto"/>
              <w:jc w:val="left"/>
              <w:rPr>
                <w:rFonts w:ascii="Arial Narrow" w:hAnsi="Arial Narrow"/>
                <w:sz w:val="18"/>
              </w:rPr>
            </w:pPr>
            <w:r w:rsidRPr="00B20172">
              <w:rPr>
                <w:rFonts w:ascii="Arial Narrow" w:hAnsi="Arial Narrow"/>
                <w:sz w:val="18"/>
              </w:rPr>
              <w:t xml:space="preserve">- </w:t>
            </w:r>
            <w:r w:rsidR="00AA1D15" w:rsidRPr="00B20172">
              <w:rPr>
                <w:rFonts w:ascii="Arial Narrow" w:hAnsi="Arial Narrow"/>
                <w:sz w:val="18"/>
              </w:rPr>
              <w:t xml:space="preserve">Contact </w:t>
            </w:r>
            <w:r w:rsidRPr="00B20172">
              <w:rPr>
                <w:rFonts w:ascii="Arial Narrow" w:hAnsi="Arial Narrow"/>
                <w:sz w:val="18"/>
              </w:rPr>
              <w:t>tracing</w:t>
            </w:r>
          </w:p>
          <w:p w:rsidR="00A91DCC" w:rsidRPr="00B20172" w:rsidRDefault="00A91DCC" w:rsidP="00AA1D15">
            <w:pPr>
              <w:spacing w:after="0" w:line="240" w:lineRule="auto"/>
              <w:jc w:val="left"/>
              <w:rPr>
                <w:rFonts w:ascii="Arial Narrow" w:hAnsi="Arial Narrow"/>
                <w:sz w:val="18"/>
              </w:rPr>
            </w:pPr>
            <w:r w:rsidRPr="00B20172">
              <w:rPr>
                <w:rFonts w:ascii="Arial Narrow" w:hAnsi="Arial Narrow"/>
                <w:sz w:val="18"/>
              </w:rPr>
              <w:t>-</w:t>
            </w:r>
            <w:r w:rsidR="00AA1D15" w:rsidRPr="00B20172">
              <w:rPr>
                <w:rFonts w:ascii="Arial Narrow" w:hAnsi="Arial Narrow"/>
                <w:sz w:val="18"/>
              </w:rPr>
              <w:t xml:space="preserve"> Antibiotic </w:t>
            </w:r>
            <w:r w:rsidRPr="00B20172">
              <w:rPr>
                <w:rFonts w:ascii="Arial Narrow" w:hAnsi="Arial Narrow"/>
                <w:sz w:val="18"/>
              </w:rPr>
              <w:t>regime</w:t>
            </w:r>
          </w:p>
        </w:tc>
      </w:tr>
      <w:tr w:rsidR="00724018" w:rsidRPr="00B20172" w:rsidTr="00A5648F">
        <w:trPr>
          <w:cantSplit/>
        </w:trPr>
        <w:tc>
          <w:tcPr>
            <w:tcW w:w="1807" w:type="dxa"/>
          </w:tcPr>
          <w:p w:rsidR="00724018" w:rsidRPr="00B20172" w:rsidRDefault="00724018" w:rsidP="008113F4">
            <w:pPr>
              <w:spacing w:after="0" w:line="240" w:lineRule="auto"/>
              <w:jc w:val="left"/>
              <w:rPr>
                <w:rFonts w:ascii="Arial Narrow" w:hAnsi="Arial Narrow"/>
                <w:sz w:val="18"/>
              </w:rPr>
            </w:pPr>
            <w:r w:rsidRPr="00B20172">
              <w:rPr>
                <w:rFonts w:ascii="Arial Narrow" w:hAnsi="Arial Narrow"/>
                <w:sz w:val="18"/>
              </w:rPr>
              <w:t xml:space="preserve">Patients with the signs and symptoms of active TB </w:t>
            </w:r>
            <w:r w:rsidR="003C00EE" w:rsidRPr="00B20172">
              <w:rPr>
                <w:rFonts w:ascii="Arial Narrow" w:hAnsi="Arial Narrow"/>
                <w:sz w:val="18"/>
              </w:rPr>
              <w:t xml:space="preserve">whose specimen is </w:t>
            </w:r>
            <w:r w:rsidRPr="00B20172">
              <w:rPr>
                <w:rFonts w:ascii="Arial Narrow" w:hAnsi="Arial Narrow"/>
                <w:sz w:val="18"/>
              </w:rPr>
              <w:t>un</w:t>
            </w:r>
            <w:r w:rsidR="005A71BF" w:rsidRPr="00B20172">
              <w:rPr>
                <w:rFonts w:ascii="Arial Narrow" w:hAnsi="Arial Narrow"/>
                <w:sz w:val="18"/>
              </w:rPr>
              <w:t xml:space="preserve">able to have an AFB smear test </w:t>
            </w:r>
            <w:r w:rsidR="008113F4" w:rsidRPr="00B20172">
              <w:rPr>
                <w:rFonts w:ascii="Arial Narrow" w:hAnsi="Arial Narrow"/>
                <w:sz w:val="18"/>
              </w:rPr>
              <w:t>but specimen able to have MC&amp;S</w:t>
            </w:r>
          </w:p>
        </w:tc>
        <w:tc>
          <w:tcPr>
            <w:tcW w:w="1808" w:type="dxa"/>
          </w:tcPr>
          <w:p w:rsidR="00724018" w:rsidRPr="00B20172" w:rsidRDefault="005A71BF" w:rsidP="006C741F">
            <w:pPr>
              <w:spacing w:after="0" w:line="240" w:lineRule="auto"/>
              <w:jc w:val="center"/>
              <w:rPr>
                <w:rFonts w:ascii="Arial Narrow" w:hAnsi="Arial Narrow"/>
                <w:sz w:val="18"/>
              </w:rPr>
            </w:pPr>
            <w:r w:rsidRPr="00B20172">
              <w:rPr>
                <w:rFonts w:ascii="Arial Narrow" w:hAnsi="Arial Narrow"/>
                <w:sz w:val="18"/>
              </w:rPr>
              <w:t>NAAT</w:t>
            </w:r>
          </w:p>
        </w:tc>
        <w:tc>
          <w:tcPr>
            <w:tcW w:w="1808" w:type="dxa"/>
          </w:tcPr>
          <w:p w:rsidR="001B0049" w:rsidRPr="00B20172" w:rsidRDefault="005A71BF" w:rsidP="00B348A7">
            <w:pPr>
              <w:spacing w:after="0" w:line="240" w:lineRule="auto"/>
              <w:jc w:val="center"/>
              <w:rPr>
                <w:rFonts w:ascii="Arial Narrow" w:hAnsi="Arial Narrow"/>
                <w:sz w:val="18"/>
              </w:rPr>
            </w:pPr>
            <w:r w:rsidRPr="00B20172">
              <w:rPr>
                <w:rFonts w:ascii="Arial Narrow" w:hAnsi="Arial Narrow"/>
                <w:sz w:val="18"/>
              </w:rPr>
              <w:t>Current testing (e.g. tissue biopsy)</w:t>
            </w:r>
          </w:p>
        </w:tc>
        <w:tc>
          <w:tcPr>
            <w:tcW w:w="1808" w:type="dxa"/>
          </w:tcPr>
          <w:p w:rsidR="005A71BF" w:rsidRPr="00B20172" w:rsidRDefault="005A71BF" w:rsidP="005A71BF">
            <w:pPr>
              <w:spacing w:after="0" w:line="240" w:lineRule="auto"/>
              <w:jc w:val="left"/>
              <w:rPr>
                <w:rFonts w:ascii="Arial Narrow" w:hAnsi="Arial Narrow"/>
                <w:sz w:val="18"/>
              </w:rPr>
            </w:pPr>
            <w:r w:rsidRPr="00B20172">
              <w:rPr>
                <w:rFonts w:ascii="Arial Narrow" w:hAnsi="Arial Narrow"/>
                <w:sz w:val="18"/>
              </w:rPr>
              <w:t xml:space="preserve">Diagnostic accuracy of NAAT vs no NAAT (ref standard </w:t>
            </w:r>
            <w:r w:rsidR="003C00EE" w:rsidRPr="00B20172">
              <w:rPr>
                <w:rFonts w:ascii="Arial Narrow" w:hAnsi="Arial Narrow"/>
                <w:sz w:val="18"/>
              </w:rPr>
              <w:t>MC&amp;S</w:t>
            </w:r>
            <w:r w:rsidRPr="00B20172">
              <w:rPr>
                <w:rFonts w:ascii="Arial Narrow" w:hAnsi="Arial Narrow"/>
                <w:sz w:val="18"/>
              </w:rPr>
              <w:t>)</w:t>
            </w:r>
          </w:p>
          <w:p w:rsidR="005A71BF" w:rsidRPr="00B20172" w:rsidRDefault="005A71BF" w:rsidP="005A71BF">
            <w:pPr>
              <w:spacing w:after="0" w:line="240" w:lineRule="auto"/>
              <w:jc w:val="left"/>
              <w:rPr>
                <w:rFonts w:ascii="Arial Narrow" w:hAnsi="Arial Narrow"/>
                <w:sz w:val="18"/>
              </w:rPr>
            </w:pPr>
            <w:r w:rsidRPr="00B20172">
              <w:rPr>
                <w:rFonts w:ascii="Arial Narrow" w:hAnsi="Arial Narrow"/>
                <w:sz w:val="18"/>
              </w:rPr>
              <w:t>-change in clinical management</w:t>
            </w:r>
          </w:p>
          <w:p w:rsidR="00724018" w:rsidRPr="00B20172" w:rsidRDefault="00724018" w:rsidP="00A91DCC">
            <w:pPr>
              <w:spacing w:after="0" w:line="240" w:lineRule="auto"/>
              <w:jc w:val="left"/>
              <w:rPr>
                <w:rFonts w:ascii="Arial Narrow" w:hAnsi="Arial Narrow"/>
                <w:sz w:val="18"/>
              </w:rPr>
            </w:pPr>
          </w:p>
        </w:tc>
        <w:tc>
          <w:tcPr>
            <w:tcW w:w="1808" w:type="dxa"/>
          </w:tcPr>
          <w:p w:rsidR="001B0049" w:rsidRPr="00B20172" w:rsidRDefault="001B0049" w:rsidP="001B0049">
            <w:pPr>
              <w:spacing w:after="0" w:line="240" w:lineRule="auto"/>
              <w:jc w:val="left"/>
              <w:rPr>
                <w:rFonts w:ascii="Arial Narrow" w:hAnsi="Arial Narrow"/>
                <w:sz w:val="18"/>
              </w:rPr>
            </w:pPr>
            <w:r w:rsidRPr="00B20172">
              <w:rPr>
                <w:rFonts w:ascii="Arial Narrow" w:hAnsi="Arial Narrow"/>
                <w:sz w:val="18"/>
              </w:rPr>
              <w:t>Testing kit</w:t>
            </w:r>
          </w:p>
          <w:p w:rsidR="001B0049" w:rsidRPr="00B20172" w:rsidRDefault="001B0049" w:rsidP="001B0049">
            <w:pPr>
              <w:spacing w:after="0" w:line="240" w:lineRule="auto"/>
              <w:jc w:val="left"/>
              <w:rPr>
                <w:rFonts w:ascii="Arial Narrow" w:hAnsi="Arial Narrow"/>
                <w:sz w:val="18"/>
              </w:rPr>
            </w:pPr>
            <w:r w:rsidRPr="00B20172">
              <w:rPr>
                <w:rFonts w:ascii="Arial Narrow" w:hAnsi="Arial Narrow"/>
                <w:sz w:val="18"/>
              </w:rPr>
              <w:t xml:space="preserve">-Laboratory costs </w:t>
            </w:r>
          </w:p>
          <w:p w:rsidR="001B0049" w:rsidRPr="00B20172" w:rsidRDefault="001B0049" w:rsidP="001B0049">
            <w:pPr>
              <w:spacing w:after="0" w:line="240" w:lineRule="auto"/>
              <w:jc w:val="left"/>
              <w:rPr>
                <w:rFonts w:ascii="Arial Narrow" w:hAnsi="Arial Narrow"/>
                <w:sz w:val="18"/>
              </w:rPr>
            </w:pPr>
            <w:r w:rsidRPr="00B20172">
              <w:rPr>
                <w:rFonts w:ascii="Arial Narrow" w:hAnsi="Arial Narrow"/>
                <w:sz w:val="18"/>
              </w:rPr>
              <w:t>- hospitalisation</w:t>
            </w:r>
          </w:p>
          <w:p w:rsidR="001B0049" w:rsidRPr="00B20172" w:rsidRDefault="001B0049" w:rsidP="001B0049">
            <w:pPr>
              <w:spacing w:after="0" w:line="240" w:lineRule="auto"/>
              <w:jc w:val="left"/>
              <w:rPr>
                <w:rFonts w:ascii="Arial Narrow" w:hAnsi="Arial Narrow"/>
                <w:sz w:val="18"/>
              </w:rPr>
            </w:pPr>
            <w:r w:rsidRPr="00B20172">
              <w:rPr>
                <w:rFonts w:ascii="Arial Narrow" w:hAnsi="Arial Narrow"/>
                <w:sz w:val="18"/>
              </w:rPr>
              <w:t>- contact tracing</w:t>
            </w:r>
          </w:p>
          <w:p w:rsidR="00724018" w:rsidRPr="00B20172" w:rsidRDefault="001B0049" w:rsidP="001B0049">
            <w:pPr>
              <w:spacing w:after="0" w:line="240" w:lineRule="auto"/>
              <w:jc w:val="left"/>
              <w:rPr>
                <w:rFonts w:ascii="Arial Narrow" w:hAnsi="Arial Narrow"/>
                <w:sz w:val="18"/>
              </w:rPr>
            </w:pPr>
            <w:r w:rsidRPr="00B20172">
              <w:rPr>
                <w:rFonts w:ascii="Arial Narrow" w:hAnsi="Arial Narrow"/>
                <w:sz w:val="18"/>
              </w:rPr>
              <w:t>-antibiotic regime</w:t>
            </w:r>
          </w:p>
        </w:tc>
      </w:tr>
      <w:tr w:rsidR="00FA601B" w:rsidRPr="00B20172" w:rsidTr="00A5648F">
        <w:trPr>
          <w:cantSplit/>
        </w:trPr>
        <w:tc>
          <w:tcPr>
            <w:tcW w:w="1807" w:type="dxa"/>
          </w:tcPr>
          <w:p w:rsidR="00FA601B" w:rsidRPr="00B20172" w:rsidRDefault="00A91DCC" w:rsidP="005A71BF">
            <w:pPr>
              <w:spacing w:after="0" w:line="240" w:lineRule="auto"/>
              <w:jc w:val="center"/>
              <w:rPr>
                <w:rFonts w:ascii="Arial Narrow" w:hAnsi="Arial Narrow"/>
                <w:sz w:val="18"/>
              </w:rPr>
            </w:pPr>
            <w:r w:rsidRPr="00B20172">
              <w:rPr>
                <w:rFonts w:ascii="Arial Narrow" w:hAnsi="Arial Narrow"/>
                <w:sz w:val="18"/>
              </w:rPr>
              <w:t xml:space="preserve">Patients with tissue </w:t>
            </w:r>
            <w:r w:rsidR="005A71BF" w:rsidRPr="00B20172">
              <w:rPr>
                <w:rFonts w:ascii="Arial Narrow" w:hAnsi="Arial Narrow"/>
                <w:sz w:val="18"/>
              </w:rPr>
              <w:t>biopsy</w:t>
            </w:r>
            <w:r w:rsidRPr="00B20172">
              <w:rPr>
                <w:rFonts w:ascii="Arial Narrow" w:hAnsi="Arial Narrow"/>
                <w:sz w:val="18"/>
              </w:rPr>
              <w:t xml:space="preserve"> </w:t>
            </w:r>
            <w:r w:rsidR="005A71BF" w:rsidRPr="00B20172">
              <w:rPr>
                <w:rFonts w:ascii="Arial Narrow" w:hAnsi="Arial Narrow"/>
                <w:sz w:val="18"/>
              </w:rPr>
              <w:t xml:space="preserve">with </w:t>
            </w:r>
            <w:r w:rsidRPr="00B20172">
              <w:rPr>
                <w:rFonts w:ascii="Arial Narrow" w:hAnsi="Arial Narrow"/>
                <w:sz w:val="18"/>
              </w:rPr>
              <w:t xml:space="preserve">histopathology </w:t>
            </w:r>
            <w:r w:rsidR="005A71BF" w:rsidRPr="00B20172">
              <w:rPr>
                <w:rFonts w:ascii="Arial Narrow" w:hAnsi="Arial Narrow"/>
                <w:sz w:val="18"/>
              </w:rPr>
              <w:t>consistent with non-TB mycobacteria</w:t>
            </w:r>
            <w:r w:rsidR="008113F4" w:rsidRPr="00B20172">
              <w:rPr>
                <w:rFonts w:ascii="Arial Narrow" w:hAnsi="Arial Narrow"/>
                <w:sz w:val="18"/>
              </w:rPr>
              <w:t xml:space="preserve"> </w:t>
            </w:r>
            <w:r w:rsidR="003C00EE" w:rsidRPr="00B20172">
              <w:rPr>
                <w:rFonts w:ascii="Arial Narrow" w:hAnsi="Arial Narrow"/>
                <w:sz w:val="18"/>
              </w:rPr>
              <w:t xml:space="preserve">and </w:t>
            </w:r>
            <w:r w:rsidR="008113F4" w:rsidRPr="00B20172">
              <w:rPr>
                <w:rFonts w:ascii="Arial Narrow" w:hAnsi="Arial Narrow"/>
                <w:sz w:val="18"/>
              </w:rPr>
              <w:t>able to have MC&amp;S</w:t>
            </w:r>
          </w:p>
        </w:tc>
        <w:tc>
          <w:tcPr>
            <w:tcW w:w="1808" w:type="dxa"/>
          </w:tcPr>
          <w:p w:rsidR="00FA601B" w:rsidRPr="00B20172" w:rsidRDefault="00A91DCC" w:rsidP="006C741F">
            <w:pPr>
              <w:spacing w:after="0" w:line="240" w:lineRule="auto"/>
              <w:jc w:val="center"/>
              <w:rPr>
                <w:rFonts w:ascii="Arial Narrow" w:hAnsi="Arial Narrow"/>
                <w:sz w:val="18"/>
              </w:rPr>
            </w:pPr>
            <w:r w:rsidRPr="00B20172">
              <w:rPr>
                <w:rFonts w:ascii="Arial Narrow" w:hAnsi="Arial Narrow"/>
                <w:sz w:val="18"/>
              </w:rPr>
              <w:t>NAAT</w:t>
            </w:r>
          </w:p>
        </w:tc>
        <w:tc>
          <w:tcPr>
            <w:tcW w:w="1808" w:type="dxa"/>
          </w:tcPr>
          <w:p w:rsidR="00FA601B" w:rsidRPr="00B20172" w:rsidRDefault="00A91DCC" w:rsidP="006C741F">
            <w:pPr>
              <w:spacing w:after="0" w:line="240" w:lineRule="auto"/>
              <w:jc w:val="center"/>
              <w:rPr>
                <w:rFonts w:ascii="Arial Narrow" w:hAnsi="Arial Narrow"/>
                <w:sz w:val="18"/>
              </w:rPr>
            </w:pPr>
            <w:r w:rsidRPr="00B20172">
              <w:rPr>
                <w:rFonts w:ascii="Arial Narrow" w:hAnsi="Arial Narrow"/>
                <w:sz w:val="18"/>
              </w:rPr>
              <w:t>No NAAT</w:t>
            </w:r>
          </w:p>
          <w:p w:rsidR="001B0049" w:rsidRPr="00B20172" w:rsidRDefault="001B0049" w:rsidP="006C741F">
            <w:pPr>
              <w:spacing w:after="0" w:line="240" w:lineRule="auto"/>
              <w:jc w:val="center"/>
              <w:rPr>
                <w:rFonts w:ascii="Arial Narrow" w:hAnsi="Arial Narrow"/>
                <w:sz w:val="18"/>
              </w:rPr>
            </w:pPr>
          </w:p>
          <w:p w:rsidR="001B0049" w:rsidRPr="00B20172" w:rsidRDefault="001B0049" w:rsidP="006C741F">
            <w:pPr>
              <w:spacing w:after="0" w:line="240" w:lineRule="auto"/>
              <w:jc w:val="center"/>
              <w:rPr>
                <w:rFonts w:ascii="Arial Narrow" w:hAnsi="Arial Narrow"/>
                <w:sz w:val="18"/>
              </w:rPr>
            </w:pPr>
          </w:p>
        </w:tc>
        <w:tc>
          <w:tcPr>
            <w:tcW w:w="1808" w:type="dxa"/>
          </w:tcPr>
          <w:p w:rsidR="00711D16" w:rsidRPr="00B20172" w:rsidRDefault="00711D16" w:rsidP="00711D16">
            <w:pPr>
              <w:spacing w:after="0" w:line="240" w:lineRule="auto"/>
              <w:jc w:val="left"/>
              <w:rPr>
                <w:rFonts w:ascii="Arial Narrow" w:hAnsi="Arial Narrow"/>
                <w:sz w:val="18"/>
              </w:rPr>
            </w:pPr>
            <w:r w:rsidRPr="00B20172">
              <w:rPr>
                <w:rFonts w:ascii="Arial Narrow" w:hAnsi="Arial Narrow"/>
                <w:sz w:val="18"/>
              </w:rPr>
              <w:t xml:space="preserve">-Diagnostic sensitivity and specificity of NAAT compared to the reference standard of </w:t>
            </w:r>
            <w:r w:rsidR="00497EB5" w:rsidRPr="00B20172">
              <w:rPr>
                <w:rFonts w:ascii="Arial Narrow" w:hAnsi="Arial Narrow"/>
                <w:sz w:val="18"/>
              </w:rPr>
              <w:t>MC&amp;S</w:t>
            </w:r>
          </w:p>
        </w:tc>
        <w:tc>
          <w:tcPr>
            <w:tcW w:w="1808" w:type="dxa"/>
          </w:tcPr>
          <w:p w:rsidR="00FA601B" w:rsidRPr="00B20172" w:rsidRDefault="00711D16" w:rsidP="00711D16">
            <w:pPr>
              <w:spacing w:after="0" w:line="240" w:lineRule="auto"/>
              <w:jc w:val="left"/>
              <w:rPr>
                <w:rFonts w:ascii="Arial Narrow" w:hAnsi="Arial Narrow"/>
                <w:sz w:val="18"/>
              </w:rPr>
            </w:pPr>
            <w:r w:rsidRPr="00B20172">
              <w:rPr>
                <w:rFonts w:ascii="Arial Narrow" w:hAnsi="Arial Narrow"/>
                <w:sz w:val="18"/>
              </w:rPr>
              <w:t>-Testing kit</w:t>
            </w:r>
          </w:p>
          <w:p w:rsidR="00711D16" w:rsidRPr="00B20172" w:rsidRDefault="00711D16" w:rsidP="00711D16">
            <w:pPr>
              <w:spacing w:after="0" w:line="240" w:lineRule="auto"/>
              <w:jc w:val="left"/>
              <w:rPr>
                <w:rFonts w:ascii="Arial Narrow" w:hAnsi="Arial Narrow"/>
                <w:sz w:val="18"/>
              </w:rPr>
            </w:pPr>
            <w:r w:rsidRPr="00B20172">
              <w:rPr>
                <w:rFonts w:ascii="Arial Narrow" w:hAnsi="Arial Narrow"/>
                <w:sz w:val="18"/>
              </w:rPr>
              <w:t>-Laboratory costs</w:t>
            </w:r>
          </w:p>
        </w:tc>
      </w:tr>
      <w:tr w:rsidR="00113BCC" w:rsidRPr="00B20172" w:rsidTr="00A5648F">
        <w:trPr>
          <w:cantSplit/>
        </w:trPr>
        <w:tc>
          <w:tcPr>
            <w:tcW w:w="9039" w:type="dxa"/>
            <w:gridSpan w:val="5"/>
          </w:tcPr>
          <w:p w:rsidR="00113BCC" w:rsidRPr="00B20172" w:rsidRDefault="00113BCC" w:rsidP="00113BCC">
            <w:pPr>
              <w:spacing w:after="0" w:line="240" w:lineRule="auto"/>
              <w:jc w:val="left"/>
              <w:rPr>
                <w:rFonts w:ascii="Arial Narrow" w:hAnsi="Arial Narrow"/>
                <w:sz w:val="18"/>
                <w:u w:val="single"/>
              </w:rPr>
            </w:pPr>
            <w:r w:rsidRPr="00B20172">
              <w:rPr>
                <w:rFonts w:ascii="Arial Narrow" w:hAnsi="Arial Narrow"/>
                <w:sz w:val="18"/>
                <w:u w:val="single"/>
              </w:rPr>
              <w:t>Active TB</w:t>
            </w:r>
          </w:p>
          <w:p w:rsidR="00113BCC" w:rsidRPr="00B20172" w:rsidRDefault="00A91DCC" w:rsidP="00113BCC">
            <w:pPr>
              <w:spacing w:after="0" w:line="240" w:lineRule="auto"/>
              <w:jc w:val="left"/>
              <w:rPr>
                <w:rFonts w:ascii="Arial Narrow" w:hAnsi="Arial Narrow"/>
                <w:sz w:val="18"/>
              </w:rPr>
            </w:pPr>
            <w:r w:rsidRPr="00B20172">
              <w:rPr>
                <w:rFonts w:ascii="Arial Narrow" w:hAnsi="Arial Narrow"/>
                <w:sz w:val="18"/>
              </w:rPr>
              <w:t xml:space="preserve">What is the effectiveness, safety and cost effectiveness of </w:t>
            </w:r>
            <w:r w:rsidR="00113BCC" w:rsidRPr="00B20172">
              <w:rPr>
                <w:rFonts w:ascii="Arial Narrow" w:hAnsi="Arial Narrow"/>
                <w:sz w:val="18"/>
              </w:rPr>
              <w:t xml:space="preserve">NAAT versus </w:t>
            </w:r>
            <w:r w:rsidR="001B0049" w:rsidRPr="00B20172">
              <w:rPr>
                <w:rFonts w:ascii="Arial Narrow" w:hAnsi="Arial Narrow"/>
                <w:sz w:val="18"/>
              </w:rPr>
              <w:t xml:space="preserve">NAAT plus </w:t>
            </w:r>
            <w:r w:rsidR="00113BCC" w:rsidRPr="00B20172">
              <w:rPr>
                <w:rFonts w:ascii="Arial Narrow" w:hAnsi="Arial Narrow"/>
                <w:sz w:val="18"/>
              </w:rPr>
              <w:t xml:space="preserve">AFB smear in </w:t>
            </w:r>
            <w:r w:rsidRPr="00B20172">
              <w:rPr>
                <w:rFonts w:ascii="Arial Narrow" w:hAnsi="Arial Narrow"/>
                <w:sz w:val="18"/>
              </w:rPr>
              <w:t>diagnosing</w:t>
            </w:r>
            <w:r w:rsidR="00113BCC" w:rsidRPr="00B20172">
              <w:rPr>
                <w:rFonts w:ascii="Arial Narrow" w:hAnsi="Arial Narrow"/>
                <w:sz w:val="18"/>
              </w:rPr>
              <w:t xml:space="preserve"> tuberculosis in patients who have the clinical signs and symptoms of tuberculosis?</w:t>
            </w:r>
          </w:p>
          <w:p w:rsidR="001B0049" w:rsidRPr="00B20172" w:rsidRDefault="001B0049" w:rsidP="00113BCC">
            <w:pPr>
              <w:spacing w:after="0" w:line="240" w:lineRule="auto"/>
              <w:jc w:val="left"/>
              <w:rPr>
                <w:rFonts w:ascii="Arial Narrow" w:hAnsi="Arial Narrow"/>
                <w:sz w:val="18"/>
              </w:rPr>
            </w:pPr>
            <w:r w:rsidRPr="00B20172">
              <w:rPr>
                <w:rFonts w:ascii="Arial Narrow" w:hAnsi="Arial Narrow"/>
                <w:sz w:val="18"/>
              </w:rPr>
              <w:t>What is the effectiveness, safety and cost effectiveness of NAAT versus current  testing r in diagnosing tuberculosis in patients who have the clinical signs and symptoms of tuberculosis for which a AFB smear (pulmonary specimen) is not obtainable?</w:t>
            </w:r>
          </w:p>
          <w:p w:rsidR="00113BCC" w:rsidRPr="00B20172" w:rsidRDefault="00113BCC" w:rsidP="00113BCC">
            <w:pPr>
              <w:spacing w:after="0" w:line="240" w:lineRule="auto"/>
              <w:jc w:val="left"/>
              <w:rPr>
                <w:rFonts w:ascii="Arial Narrow" w:hAnsi="Arial Narrow"/>
                <w:sz w:val="18"/>
                <w:u w:val="single"/>
              </w:rPr>
            </w:pPr>
            <w:r w:rsidRPr="00B20172">
              <w:rPr>
                <w:rFonts w:ascii="Arial Narrow" w:hAnsi="Arial Narrow"/>
                <w:sz w:val="18"/>
                <w:u w:val="single"/>
              </w:rPr>
              <w:t>NTMB</w:t>
            </w:r>
          </w:p>
          <w:p w:rsidR="00113BCC" w:rsidRPr="00B20172" w:rsidRDefault="00A91DCC" w:rsidP="001B0049">
            <w:pPr>
              <w:spacing w:after="0" w:line="240" w:lineRule="auto"/>
              <w:jc w:val="left"/>
              <w:rPr>
                <w:rFonts w:ascii="Arial Narrow" w:hAnsi="Arial Narrow"/>
                <w:sz w:val="18"/>
              </w:rPr>
            </w:pPr>
            <w:r w:rsidRPr="00B20172">
              <w:rPr>
                <w:rFonts w:ascii="Arial Narrow" w:hAnsi="Arial Narrow"/>
                <w:sz w:val="18"/>
              </w:rPr>
              <w:t xml:space="preserve">What is the effectiveness, safety and cost effectiveness of </w:t>
            </w:r>
            <w:r w:rsidR="00113BCC" w:rsidRPr="00B20172">
              <w:rPr>
                <w:rFonts w:ascii="Arial Narrow" w:hAnsi="Arial Narrow"/>
                <w:sz w:val="18"/>
              </w:rPr>
              <w:t xml:space="preserve">NAAT in </w:t>
            </w:r>
            <w:r w:rsidRPr="00B20172">
              <w:rPr>
                <w:rFonts w:ascii="Arial Narrow" w:hAnsi="Arial Narrow"/>
                <w:sz w:val="18"/>
              </w:rPr>
              <w:t>diagnosing</w:t>
            </w:r>
            <w:r w:rsidR="00113BCC" w:rsidRPr="00B20172">
              <w:rPr>
                <w:rFonts w:ascii="Arial Narrow" w:hAnsi="Arial Narrow"/>
                <w:sz w:val="18"/>
              </w:rPr>
              <w:t xml:space="preserve"> NTMB in patients with tissue histopathology consistent with NTMB compared to </w:t>
            </w:r>
            <w:r w:rsidR="001B0049" w:rsidRPr="00B20172">
              <w:rPr>
                <w:rFonts w:ascii="Arial Narrow" w:hAnsi="Arial Narrow"/>
                <w:sz w:val="18"/>
              </w:rPr>
              <w:t xml:space="preserve">no </w:t>
            </w:r>
            <w:proofErr w:type="gramStart"/>
            <w:r w:rsidR="001B0049" w:rsidRPr="00B20172">
              <w:rPr>
                <w:rFonts w:ascii="Arial Narrow" w:hAnsi="Arial Narrow"/>
                <w:sz w:val="18"/>
              </w:rPr>
              <w:t>NAAT</w:t>
            </w:r>
            <w:r w:rsidR="00113BCC" w:rsidRPr="00B20172">
              <w:rPr>
                <w:rFonts w:ascii="Arial Narrow" w:hAnsi="Arial Narrow"/>
                <w:sz w:val="18"/>
              </w:rPr>
              <w:t xml:space="preserve"> </w:t>
            </w:r>
            <w:r w:rsidR="001B0049" w:rsidRPr="00B20172">
              <w:rPr>
                <w:rFonts w:ascii="Arial Narrow" w:hAnsi="Arial Narrow"/>
                <w:sz w:val="18"/>
              </w:rPr>
              <w:t>?</w:t>
            </w:r>
            <w:proofErr w:type="gramEnd"/>
          </w:p>
        </w:tc>
      </w:tr>
    </w:tbl>
    <w:p w:rsidR="00C873D8" w:rsidRPr="00B20172" w:rsidRDefault="00C873D8" w:rsidP="000901A8"/>
    <w:p w:rsidR="00E82A21" w:rsidRPr="00B20172" w:rsidRDefault="007467D0" w:rsidP="000901A8">
      <w:r w:rsidRPr="00B20172">
        <w:t>The decision analytic that is proposed</w:t>
      </w:r>
      <w:r w:rsidR="00A01F37" w:rsidRPr="00B20172">
        <w:t>, Figure 4,</w:t>
      </w:r>
      <w:r w:rsidRPr="00B20172">
        <w:t xml:space="preserve"> will follow a cohort of patients</w:t>
      </w:r>
      <w:r w:rsidR="00B57D4C" w:rsidRPr="00B20172">
        <w:t xml:space="preserve"> who present with the signs and symptoms of active TB.  Currently patients with a high probability of TB are treated as if they have TB irrespective of the results of their AFB test. If an AFB test is able to be obtained and is positive, then it can be used monitor the success of drug therapy and to determine infectiousness. Culture results should also provide information on drug sensitivity and the drug regimen may be adjusted accordingly. However, for these patients even a negative culture, on top of a negative AFB, may not result in treatment being ceased. </w:t>
      </w:r>
      <w:r w:rsidR="00B27824" w:rsidRPr="00B20172">
        <w:t xml:space="preserve">Other factors, including tests such as X-ray, as well as the </w:t>
      </w:r>
      <w:r w:rsidR="00B57D4C" w:rsidRPr="00B20172">
        <w:t>public health implications</w:t>
      </w:r>
      <w:r w:rsidR="00B27824" w:rsidRPr="00B20172">
        <w:t xml:space="preserve"> of TB play a part in determining clinical management aside from diagnostic tests.</w:t>
      </w:r>
      <w:r w:rsidR="00E82A21" w:rsidRPr="00B20172">
        <w:t xml:space="preserve"> The introduction of a NAAT is unlikely to have much of an impact on this population because as already noted if the patient</w:t>
      </w:r>
      <w:r w:rsidR="00807DE2" w:rsidRPr="00B20172">
        <w:t xml:space="preserve"> has</w:t>
      </w:r>
      <w:r w:rsidR="00E82A21" w:rsidRPr="00B20172">
        <w:t xml:space="preserve"> risk factors associated with TB and present</w:t>
      </w:r>
      <w:r w:rsidR="00807DE2" w:rsidRPr="00B20172">
        <w:t>s</w:t>
      </w:r>
      <w:r w:rsidR="00E82A21" w:rsidRPr="00B20172">
        <w:t xml:space="preserve"> with the signs and symptoms </w:t>
      </w:r>
      <w:r w:rsidR="00807DE2" w:rsidRPr="00B20172">
        <w:t xml:space="preserve">of active TB </w:t>
      </w:r>
      <w:r w:rsidR="00E82A21" w:rsidRPr="00B20172">
        <w:t xml:space="preserve">they will be treated accordingly.  The exception is that, if the NAAT test proposed is able to test for rifampicin mutations, then for those patients whose TB shows resistance to rifampicin, their drug regimen can be adjusted, without needing to wait for culture results, </w:t>
      </w:r>
      <w:r w:rsidR="00807DE2" w:rsidRPr="00B20172">
        <w:t xml:space="preserve">resulting in the appropriate pharmacotherapy and </w:t>
      </w:r>
      <w:r w:rsidR="00E82A21" w:rsidRPr="00B20172">
        <w:t xml:space="preserve">reducing the length of their drug regimen. </w:t>
      </w:r>
      <w:r w:rsidR="00B44DE4" w:rsidRPr="00B20172">
        <w:t xml:space="preserve">There is a low incidence of drug resistant TB in Australia, so these results are unlikely to be a major driver in the model, but these results will be explored in the model.  </w:t>
      </w:r>
      <w:r w:rsidR="00E82A21" w:rsidRPr="00B20172">
        <w:t xml:space="preserve"> Similarly to the current situation it is unlikely that a negative culture result will result in a cessation of drug therapy. </w:t>
      </w:r>
    </w:p>
    <w:p w:rsidR="00E82A21" w:rsidRPr="00B20172" w:rsidRDefault="00221A8F" w:rsidP="000901A8">
      <w:r w:rsidRPr="00B20172">
        <w:lastRenderedPageBreak/>
        <w:t>People</w:t>
      </w:r>
      <w:r w:rsidR="00E82A21" w:rsidRPr="00B20172">
        <w:t xml:space="preserve"> with a ‘low’ probability of TB, </w:t>
      </w:r>
      <w:r w:rsidRPr="00B20172">
        <w:t>i.e. they</w:t>
      </w:r>
      <w:r w:rsidR="00E82A21" w:rsidRPr="00B20172">
        <w:t xml:space="preserve"> have none of the risk factors associated with TB infection</w:t>
      </w:r>
      <w:r w:rsidRPr="00B20172">
        <w:t>, will receive the same tests as a ‘high’ risk person but test results are more likely to drive treatment decisions</w:t>
      </w:r>
      <w:r w:rsidR="00E82A21" w:rsidRPr="00B20172">
        <w:t>.</w:t>
      </w:r>
      <w:r w:rsidRPr="00B20172">
        <w:t xml:space="preserve"> Antibiotics for TB are more likely to be initiated based on test </w:t>
      </w:r>
      <w:r w:rsidR="00D136E1" w:rsidRPr="00B20172">
        <w:t>results;</w:t>
      </w:r>
      <w:r w:rsidRPr="00B20172">
        <w:t xml:space="preserve"> a</w:t>
      </w:r>
      <w:r w:rsidR="00E82A21" w:rsidRPr="00B20172">
        <w:t xml:space="preserve"> positive AFB will </w:t>
      </w:r>
      <w:r w:rsidRPr="00B20172">
        <w:t>initiate</w:t>
      </w:r>
      <w:r w:rsidR="00E82A21" w:rsidRPr="00B20172">
        <w:t xml:space="preserve"> antibiotics for TB, </w:t>
      </w:r>
      <w:r w:rsidRPr="00B20172">
        <w:t>which will</w:t>
      </w:r>
      <w:r w:rsidR="00E82A21" w:rsidRPr="00B20172">
        <w:t xml:space="preserve"> continue </w:t>
      </w:r>
      <w:r w:rsidRPr="00B20172">
        <w:t>until</w:t>
      </w:r>
      <w:r w:rsidR="00E82A21" w:rsidRPr="00B20172">
        <w:t xml:space="preserve"> the results of </w:t>
      </w:r>
      <w:r w:rsidRPr="00B20172">
        <w:t xml:space="preserve">the </w:t>
      </w:r>
      <w:r w:rsidR="00497EB5" w:rsidRPr="00B20172">
        <w:t xml:space="preserve">MC&amp;S </w:t>
      </w:r>
      <w:r w:rsidRPr="00B20172">
        <w:t>are received</w:t>
      </w:r>
      <w:r w:rsidR="00E82A21" w:rsidRPr="00B20172">
        <w:t xml:space="preserve">. </w:t>
      </w:r>
      <w:r w:rsidR="00D136E1" w:rsidRPr="00B20172">
        <w:t xml:space="preserve">A person whose AFB is negative for </w:t>
      </w:r>
      <w:r w:rsidR="00D136E1" w:rsidRPr="00B20172">
        <w:rPr>
          <w:i/>
        </w:rPr>
        <w:t xml:space="preserve">MB </w:t>
      </w:r>
      <w:r w:rsidR="00D136E1" w:rsidRPr="00B20172">
        <w:t xml:space="preserve">is unlikely to receive antibiotic treatment for TB, clinicians will await </w:t>
      </w:r>
      <w:r w:rsidR="00497EB5" w:rsidRPr="00B20172">
        <w:t xml:space="preserve">MC&amp;S </w:t>
      </w:r>
      <w:r w:rsidR="00D136E1" w:rsidRPr="00B20172">
        <w:t xml:space="preserve">results. </w:t>
      </w:r>
      <w:r w:rsidRPr="00B20172">
        <w:t xml:space="preserve">The sensitivity and specificity of AFB for </w:t>
      </w:r>
      <w:r w:rsidRPr="00B20172">
        <w:rPr>
          <w:i/>
        </w:rPr>
        <w:t>MTB</w:t>
      </w:r>
      <w:r w:rsidRPr="00B20172">
        <w:t xml:space="preserve"> will inform this part of the model as it has the potential to affect a clinician’s case management. </w:t>
      </w:r>
      <w:r w:rsidR="005330C6" w:rsidRPr="00B20172">
        <w:t xml:space="preserve">In the comparator arm of the model, this population will </w:t>
      </w:r>
      <w:r w:rsidRPr="00B20172">
        <w:t xml:space="preserve">also </w:t>
      </w:r>
      <w:r w:rsidR="005330C6" w:rsidRPr="00B20172">
        <w:t xml:space="preserve">receive a NAAT test which </w:t>
      </w:r>
      <w:r w:rsidRPr="00B20172">
        <w:t>allows</w:t>
      </w:r>
      <w:r w:rsidR="005330C6" w:rsidRPr="00B20172">
        <w:t xml:space="preserve"> for the differentiation of </w:t>
      </w:r>
      <w:r w:rsidR="005330C6" w:rsidRPr="00B20172">
        <w:rPr>
          <w:i/>
        </w:rPr>
        <w:t>MTB</w:t>
      </w:r>
      <w:r w:rsidR="005330C6" w:rsidRPr="00B20172">
        <w:t xml:space="preserve"> from NT</w:t>
      </w:r>
      <w:r w:rsidR="00807DE2" w:rsidRPr="00B20172">
        <w:t>M</w:t>
      </w:r>
      <w:r w:rsidR="005330C6" w:rsidRPr="00B20172">
        <w:t xml:space="preserve">B. </w:t>
      </w:r>
      <w:r w:rsidRPr="00B20172">
        <w:t xml:space="preserve">Clinician’s will be faced with two test results to guide their decision making. Where an AFB and NAAT test are </w:t>
      </w:r>
      <w:proofErr w:type="gramStart"/>
      <w:r w:rsidRPr="00B20172">
        <w:t>both positive or</w:t>
      </w:r>
      <w:proofErr w:type="gramEnd"/>
      <w:r w:rsidRPr="00B20172">
        <w:t xml:space="preserve"> negative for a patient, case management is unlikely to change. However, for patients with a negative AFB but positive NAAT test, case management is likely to change, antibiotics will be commenced</w:t>
      </w:r>
      <w:r w:rsidR="00D136E1" w:rsidRPr="00B20172">
        <w:t xml:space="preserve"> and contact tracing commence</w:t>
      </w:r>
      <w:r w:rsidRPr="00B20172">
        <w:t xml:space="preserve">. The sensitivity and specificity of a NAAT to detect </w:t>
      </w:r>
      <w:r w:rsidR="00D136E1" w:rsidRPr="00B20172">
        <w:rPr>
          <w:i/>
        </w:rPr>
        <w:t>M</w:t>
      </w:r>
      <w:r w:rsidRPr="00B20172">
        <w:rPr>
          <w:i/>
        </w:rPr>
        <w:t>TB</w:t>
      </w:r>
      <w:r w:rsidRPr="00B20172">
        <w:t xml:space="preserve"> in smear-negative patients will </w:t>
      </w:r>
      <w:r w:rsidR="00D136E1" w:rsidRPr="00B20172">
        <w:t xml:space="preserve">inform this part of the model.  </w:t>
      </w:r>
      <w:r w:rsidR="005330C6" w:rsidRPr="00B20172">
        <w:t xml:space="preserve"> </w:t>
      </w:r>
      <w:r w:rsidR="00D136E1" w:rsidRPr="00B20172">
        <w:t xml:space="preserve">A person in the model who has a ‘low’ probability of TB, and whose AFB is positive, but the NAAT is negative for </w:t>
      </w:r>
      <w:r w:rsidR="00D136E1" w:rsidRPr="00B20172">
        <w:rPr>
          <w:i/>
        </w:rPr>
        <w:t>MTB</w:t>
      </w:r>
      <w:r w:rsidR="00B44DE4" w:rsidRPr="00B20172">
        <w:rPr>
          <w:i/>
        </w:rPr>
        <w:t xml:space="preserve">, </w:t>
      </w:r>
      <w:r w:rsidR="00B44DE4" w:rsidRPr="00B20172">
        <w:t>clinicians will</w:t>
      </w:r>
      <w:r w:rsidR="00B44DE4" w:rsidRPr="00B20172">
        <w:rPr>
          <w:i/>
        </w:rPr>
        <w:t xml:space="preserve"> </w:t>
      </w:r>
      <w:r w:rsidR="00B44DE4" w:rsidRPr="00B20172">
        <w:t>likely</w:t>
      </w:r>
      <w:r w:rsidR="00D136E1" w:rsidRPr="00B20172">
        <w:t xml:space="preserve"> </w:t>
      </w:r>
      <w:r w:rsidR="00B44DE4" w:rsidRPr="00B20172">
        <w:t>defer</w:t>
      </w:r>
      <w:r w:rsidR="00D136E1" w:rsidRPr="00B20172">
        <w:t xml:space="preserve"> antibiotics </w:t>
      </w:r>
      <w:r w:rsidR="00B44DE4" w:rsidRPr="00B20172">
        <w:t>(</w:t>
      </w:r>
      <w:r w:rsidR="00D136E1" w:rsidRPr="00B20172">
        <w:t>the positive AFB may be attributable to mycobacterial contamination</w:t>
      </w:r>
      <w:r w:rsidR="00B44DE4" w:rsidRPr="00B20172">
        <w:t xml:space="preserve">) and delay contact tracing and await </w:t>
      </w:r>
      <w:r w:rsidR="00497EB5" w:rsidRPr="00B20172">
        <w:t xml:space="preserve">MC&amp;S </w:t>
      </w:r>
      <w:r w:rsidR="00B44DE4" w:rsidRPr="00B20172">
        <w:t>results</w:t>
      </w:r>
      <w:r w:rsidR="00D136E1" w:rsidRPr="00B20172">
        <w:t xml:space="preserve">. The sensitivity and specificity of a NAAT to detect </w:t>
      </w:r>
      <w:r w:rsidR="00D136E1" w:rsidRPr="00B20172">
        <w:rPr>
          <w:i/>
        </w:rPr>
        <w:t>MTB</w:t>
      </w:r>
      <w:r w:rsidR="00D136E1" w:rsidRPr="00B20172">
        <w:t xml:space="preserve"> in smear-positive patients will inform this part of the model.  </w:t>
      </w:r>
      <w:r w:rsidR="005330C6" w:rsidRPr="00B20172">
        <w:t xml:space="preserve">A proportion of this group who previously were treated with ABs </w:t>
      </w:r>
      <w:r w:rsidRPr="00B20172">
        <w:t xml:space="preserve">on the basis of a positive AFB </w:t>
      </w:r>
      <w:r w:rsidR="005330C6" w:rsidRPr="00B20172">
        <w:t xml:space="preserve">will not receive treatment and wait for culture results. </w:t>
      </w:r>
      <w:r w:rsidR="00B44DE4" w:rsidRPr="00B20172">
        <w:t xml:space="preserve">Although, people with a ‘low’ probability of TB, are as a group those least likely to require testing for TB, they will be the most likely driver of results in this model, as it is this population where use of the NAAT is most likely to drive a change in case management. </w:t>
      </w:r>
    </w:p>
    <w:p w:rsidR="00B44DE4" w:rsidRPr="00B20172" w:rsidRDefault="00B44DE4" w:rsidP="000901A8">
      <w:r w:rsidRPr="00B20172">
        <w:t xml:space="preserve">In the current scenario people in the model, with the signs and symptoms of active TB, for whom a specimen for AFB test is unable to be obtained, and who have a ‘low’ probability of TB, will have antibiotic treatment commence if they have histology indicative of </w:t>
      </w:r>
      <w:r w:rsidRPr="00B20172">
        <w:rPr>
          <w:i/>
        </w:rPr>
        <w:t>MTB.</w:t>
      </w:r>
      <w:r w:rsidRPr="00B20172">
        <w:t xml:space="preserve"> </w:t>
      </w:r>
      <w:r w:rsidR="00973169" w:rsidRPr="00B20172">
        <w:t xml:space="preserve"> In the model, NAAT will be used in addition to this test and a positive NAAT will result in antibiotic treatment and contact tracing. A negative NAAT will result in deferring of antibiotic treatment until culture results are available.  The sensitivity and specificity of NAAT to detect </w:t>
      </w:r>
      <w:r w:rsidR="00973169" w:rsidRPr="00B20172">
        <w:rPr>
          <w:i/>
        </w:rPr>
        <w:t>MTB</w:t>
      </w:r>
      <w:r w:rsidR="00973169" w:rsidRPr="00B20172">
        <w:t xml:space="preserve"> in this type of specimen (e.g. lung tissue) will inform this part of the model. </w:t>
      </w:r>
    </w:p>
    <w:p w:rsidR="007467D0" w:rsidRPr="00B20172" w:rsidRDefault="00973169" w:rsidP="00B348A7">
      <w:r w:rsidRPr="00B20172">
        <w:t>The model will be used to investigate any consequences from deferring antibiotic treatment until culture results are available in 6-8 weeks.  These consequences might include any effects to the patient from delayed treatment and the probability that other people might become infected as a result of this person remaining infectious in the community.  In addition, the model will investigate any consequences to the patient from receiving unnecessary antibiotic treatment for TB, as these drugs can have significant side effects.</w:t>
      </w:r>
    </w:p>
    <w:p w:rsidR="007467D0" w:rsidRPr="00B20172" w:rsidRDefault="002D3FBF">
      <w:pPr>
        <w:keepNext/>
      </w:pPr>
      <w:r w:rsidRPr="00B20172">
        <w:lastRenderedPageBreak/>
        <w:t>Figure 4:</w:t>
      </w:r>
      <w:r w:rsidR="00516BCF" w:rsidRPr="00B20172">
        <w:t xml:space="preserve"> Decision analytic of changes to current treatment from the proposed intervention</w:t>
      </w:r>
    </w:p>
    <w:p w:rsidR="002D3FBF" w:rsidRPr="00B20172" w:rsidRDefault="00EF683F">
      <w:pPr>
        <w:keepNext/>
      </w:pPr>
      <w:r w:rsidRPr="00B20172">
        <w:rPr>
          <w:noProof/>
          <w:lang w:eastAsia="en-AU"/>
        </w:rPr>
        <w:drawing>
          <wp:inline distT="0" distB="0" distL="0" distR="0" wp14:anchorId="2D99B7B4" wp14:editId="7D293068">
            <wp:extent cx="4905375" cy="8077200"/>
            <wp:effectExtent l="0" t="0" r="9525" b="0"/>
            <wp:docPr id="2" name="Picture 2" title="Decision analytic of changes to current treatment from the proposed inter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 for NAAT in TB.g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906773" cy="8079502"/>
                    </a:xfrm>
                    <a:prstGeom prst="rect">
                      <a:avLst/>
                    </a:prstGeom>
                  </pic:spPr>
                </pic:pic>
              </a:graphicData>
            </a:graphic>
          </wp:inline>
        </w:drawing>
      </w:r>
    </w:p>
    <w:p w:rsidR="00086AB0" w:rsidRPr="00B20172" w:rsidRDefault="00086AB0" w:rsidP="00086AB0">
      <w:pPr>
        <w:pStyle w:val="Caption"/>
      </w:pPr>
      <w:bookmarkStart w:id="30" w:name="_Ref283143211"/>
      <w:bookmarkStart w:id="31" w:name="_Ref283143206"/>
      <w:bookmarkStart w:id="32" w:name="_GoBack"/>
      <w:bookmarkEnd w:id="32"/>
      <w:r w:rsidRPr="00B20172">
        <w:lastRenderedPageBreak/>
        <w:t xml:space="preserve">Table </w:t>
      </w:r>
      <w:bookmarkEnd w:id="30"/>
      <w:r w:rsidR="00724018" w:rsidRPr="00B20172">
        <w:t>7</w:t>
      </w:r>
      <w:r w:rsidRPr="00B20172">
        <w:t>:</w:t>
      </w:r>
      <w:r w:rsidRPr="00B20172">
        <w:tab/>
        <w:t>List of resources to be considered in the economic analysis</w:t>
      </w:r>
      <w:bookmarkEnd w:id="31"/>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28"/>
        <w:gridCol w:w="900"/>
        <w:gridCol w:w="900"/>
        <w:gridCol w:w="900"/>
        <w:gridCol w:w="898"/>
        <w:gridCol w:w="736"/>
        <w:gridCol w:w="737"/>
        <w:gridCol w:w="737"/>
        <w:gridCol w:w="737"/>
        <w:gridCol w:w="737"/>
        <w:gridCol w:w="737"/>
      </w:tblGrid>
      <w:tr w:rsidR="00086AB0" w:rsidRPr="00B20172" w:rsidTr="00720D9B">
        <w:trPr>
          <w:tblHeader/>
        </w:trPr>
        <w:tc>
          <w:tcPr>
            <w:tcW w:w="1728" w:type="dxa"/>
            <w:vMerge w:val="restart"/>
            <w:shd w:val="clear" w:color="auto" w:fill="auto"/>
          </w:tcPr>
          <w:p w:rsidR="00086AB0" w:rsidRPr="00B20172" w:rsidRDefault="00086AB0" w:rsidP="00720D9B">
            <w:pPr>
              <w:keepNext/>
              <w:spacing w:after="0" w:line="240" w:lineRule="auto"/>
              <w:rPr>
                <w:rFonts w:ascii="Arial Narrow" w:hAnsi="Arial Narrow"/>
                <w:b/>
                <w:sz w:val="18"/>
              </w:rPr>
            </w:pPr>
          </w:p>
        </w:tc>
        <w:tc>
          <w:tcPr>
            <w:tcW w:w="900" w:type="dxa"/>
            <w:vMerge w:val="restart"/>
            <w:shd w:val="clear" w:color="auto" w:fill="E5B8B7" w:themeFill="accent2" w:themeFillTint="66"/>
            <w:vAlign w:val="center"/>
          </w:tcPr>
          <w:p w:rsidR="00086AB0" w:rsidRPr="00B20172" w:rsidRDefault="00086AB0" w:rsidP="00720D9B">
            <w:pPr>
              <w:keepNext/>
              <w:spacing w:after="0" w:line="240" w:lineRule="auto"/>
              <w:jc w:val="center"/>
              <w:rPr>
                <w:rFonts w:ascii="Arial Narrow" w:hAnsi="Arial Narrow"/>
                <w:b/>
                <w:sz w:val="18"/>
              </w:rPr>
            </w:pPr>
            <w:r w:rsidRPr="00B20172">
              <w:rPr>
                <w:rFonts w:ascii="Arial Narrow" w:hAnsi="Arial Narrow"/>
                <w:b/>
                <w:sz w:val="18"/>
              </w:rPr>
              <w:t>Provider of resource</w:t>
            </w:r>
          </w:p>
        </w:tc>
        <w:tc>
          <w:tcPr>
            <w:tcW w:w="900" w:type="dxa"/>
            <w:vMerge w:val="restart"/>
            <w:shd w:val="clear" w:color="auto" w:fill="E5B8B7" w:themeFill="accent2" w:themeFillTint="66"/>
            <w:vAlign w:val="center"/>
          </w:tcPr>
          <w:p w:rsidR="00086AB0" w:rsidRPr="00B20172" w:rsidRDefault="00086AB0" w:rsidP="00720D9B">
            <w:pPr>
              <w:keepNext/>
              <w:spacing w:after="0" w:line="240" w:lineRule="auto"/>
              <w:jc w:val="center"/>
              <w:rPr>
                <w:rFonts w:ascii="Arial Narrow" w:hAnsi="Arial Narrow"/>
                <w:b/>
                <w:sz w:val="18"/>
              </w:rPr>
            </w:pPr>
            <w:r w:rsidRPr="00B20172">
              <w:rPr>
                <w:rFonts w:ascii="Arial Narrow" w:hAnsi="Arial Narrow"/>
                <w:b/>
                <w:sz w:val="18"/>
              </w:rPr>
              <w:t>Setting in which resource is provided</w:t>
            </w:r>
          </w:p>
        </w:tc>
        <w:tc>
          <w:tcPr>
            <w:tcW w:w="900" w:type="dxa"/>
            <w:vMerge w:val="restart"/>
            <w:shd w:val="clear" w:color="auto" w:fill="D6E3BC" w:themeFill="accent3" w:themeFillTint="66"/>
            <w:vAlign w:val="center"/>
          </w:tcPr>
          <w:p w:rsidR="00086AB0" w:rsidRPr="00B20172" w:rsidRDefault="00086AB0" w:rsidP="00720D9B">
            <w:pPr>
              <w:keepNext/>
              <w:spacing w:after="0" w:line="240" w:lineRule="auto"/>
              <w:jc w:val="center"/>
              <w:rPr>
                <w:rFonts w:ascii="Arial Narrow" w:hAnsi="Arial Narrow"/>
                <w:b/>
                <w:sz w:val="18"/>
              </w:rPr>
            </w:pPr>
            <w:r w:rsidRPr="00B20172">
              <w:rPr>
                <w:rFonts w:ascii="Arial Narrow" w:hAnsi="Arial Narrow"/>
                <w:b/>
                <w:sz w:val="18"/>
              </w:rPr>
              <w:t>Proportion of patients receiving resource</w:t>
            </w:r>
          </w:p>
        </w:tc>
        <w:tc>
          <w:tcPr>
            <w:tcW w:w="898" w:type="dxa"/>
            <w:vMerge w:val="restart"/>
            <w:shd w:val="clear" w:color="auto" w:fill="D6E3BC" w:themeFill="accent3" w:themeFillTint="66"/>
            <w:vAlign w:val="center"/>
          </w:tcPr>
          <w:p w:rsidR="00086AB0" w:rsidRPr="00B20172" w:rsidRDefault="00086AB0" w:rsidP="00720D9B">
            <w:pPr>
              <w:keepNext/>
              <w:spacing w:after="0" w:line="240" w:lineRule="auto"/>
              <w:jc w:val="center"/>
              <w:rPr>
                <w:rFonts w:ascii="Arial Narrow" w:hAnsi="Arial Narrow"/>
                <w:b/>
                <w:sz w:val="18"/>
              </w:rPr>
            </w:pPr>
            <w:r w:rsidRPr="00B20172">
              <w:rPr>
                <w:rFonts w:ascii="Arial Narrow" w:hAnsi="Arial Narrow"/>
                <w:b/>
                <w:sz w:val="18"/>
              </w:rPr>
              <w:t>Number of units of resource per relevant time horizon per patient receiving resource</w:t>
            </w:r>
          </w:p>
        </w:tc>
        <w:tc>
          <w:tcPr>
            <w:tcW w:w="4421" w:type="dxa"/>
            <w:gridSpan w:val="6"/>
            <w:shd w:val="clear" w:color="auto" w:fill="FBD4B4" w:themeFill="accent6" w:themeFillTint="66"/>
          </w:tcPr>
          <w:p w:rsidR="00086AB0" w:rsidRPr="00B20172" w:rsidRDefault="00086AB0" w:rsidP="00720D9B">
            <w:pPr>
              <w:keepNext/>
              <w:spacing w:after="0" w:line="240" w:lineRule="auto"/>
              <w:jc w:val="center"/>
              <w:rPr>
                <w:rFonts w:ascii="Arial Narrow" w:hAnsi="Arial Narrow"/>
                <w:b/>
                <w:sz w:val="18"/>
              </w:rPr>
            </w:pPr>
            <w:r w:rsidRPr="00B20172">
              <w:rPr>
                <w:rFonts w:ascii="Arial Narrow" w:hAnsi="Arial Narrow"/>
                <w:b/>
                <w:sz w:val="18"/>
              </w:rPr>
              <w:t>Disaggregated unit cost</w:t>
            </w:r>
          </w:p>
        </w:tc>
      </w:tr>
      <w:tr w:rsidR="00086AB0" w:rsidRPr="00B20172" w:rsidTr="00720D9B">
        <w:trPr>
          <w:tblHeader/>
        </w:trPr>
        <w:tc>
          <w:tcPr>
            <w:tcW w:w="1728" w:type="dxa"/>
            <w:vMerge/>
            <w:shd w:val="clear" w:color="auto" w:fill="auto"/>
          </w:tcPr>
          <w:p w:rsidR="00086AB0" w:rsidRPr="00B20172" w:rsidRDefault="00086AB0" w:rsidP="00720D9B">
            <w:pPr>
              <w:keepNext/>
              <w:spacing w:after="0" w:line="240" w:lineRule="auto"/>
              <w:rPr>
                <w:rFonts w:ascii="Arial Narrow" w:hAnsi="Arial Narrow"/>
                <w:sz w:val="18"/>
              </w:rPr>
            </w:pPr>
          </w:p>
        </w:tc>
        <w:tc>
          <w:tcPr>
            <w:tcW w:w="900" w:type="dxa"/>
            <w:vMerge/>
            <w:shd w:val="clear" w:color="auto" w:fill="E5B8B7" w:themeFill="accent2" w:themeFillTint="66"/>
          </w:tcPr>
          <w:p w:rsidR="00086AB0" w:rsidRPr="00B20172" w:rsidRDefault="00086AB0" w:rsidP="00720D9B">
            <w:pPr>
              <w:keepNext/>
              <w:spacing w:after="0" w:line="240" w:lineRule="auto"/>
              <w:jc w:val="center"/>
              <w:rPr>
                <w:rFonts w:ascii="Arial Narrow" w:hAnsi="Arial Narrow"/>
                <w:sz w:val="18"/>
              </w:rPr>
            </w:pPr>
          </w:p>
        </w:tc>
        <w:tc>
          <w:tcPr>
            <w:tcW w:w="900" w:type="dxa"/>
            <w:vMerge/>
            <w:shd w:val="clear" w:color="auto" w:fill="E5B8B7" w:themeFill="accent2" w:themeFillTint="66"/>
          </w:tcPr>
          <w:p w:rsidR="00086AB0" w:rsidRPr="00B20172" w:rsidRDefault="00086AB0" w:rsidP="00720D9B">
            <w:pPr>
              <w:keepNext/>
              <w:spacing w:after="0" w:line="240" w:lineRule="auto"/>
              <w:jc w:val="center"/>
              <w:rPr>
                <w:rFonts w:ascii="Arial Narrow" w:hAnsi="Arial Narrow"/>
                <w:sz w:val="18"/>
              </w:rPr>
            </w:pPr>
          </w:p>
        </w:tc>
        <w:tc>
          <w:tcPr>
            <w:tcW w:w="900" w:type="dxa"/>
            <w:vMerge/>
            <w:shd w:val="clear" w:color="auto" w:fill="D6E3BC" w:themeFill="accent3" w:themeFillTint="66"/>
          </w:tcPr>
          <w:p w:rsidR="00086AB0" w:rsidRPr="00B20172" w:rsidRDefault="00086AB0" w:rsidP="00720D9B">
            <w:pPr>
              <w:keepNext/>
              <w:spacing w:after="0" w:line="240" w:lineRule="auto"/>
              <w:jc w:val="center"/>
              <w:rPr>
                <w:rFonts w:ascii="Arial Narrow" w:hAnsi="Arial Narrow"/>
                <w:sz w:val="18"/>
              </w:rPr>
            </w:pPr>
          </w:p>
        </w:tc>
        <w:tc>
          <w:tcPr>
            <w:tcW w:w="898" w:type="dxa"/>
            <w:vMerge/>
            <w:shd w:val="clear" w:color="auto" w:fill="D6E3BC" w:themeFill="accent3" w:themeFillTint="66"/>
          </w:tcPr>
          <w:p w:rsidR="00086AB0" w:rsidRPr="00B20172" w:rsidRDefault="00086AB0" w:rsidP="00720D9B">
            <w:pPr>
              <w:keepNext/>
              <w:spacing w:after="0" w:line="240" w:lineRule="auto"/>
              <w:jc w:val="center"/>
              <w:rPr>
                <w:rFonts w:ascii="Arial Narrow" w:hAnsi="Arial Narrow"/>
                <w:sz w:val="18"/>
              </w:rPr>
            </w:pPr>
          </w:p>
        </w:tc>
        <w:tc>
          <w:tcPr>
            <w:tcW w:w="736" w:type="dxa"/>
            <w:shd w:val="clear" w:color="auto" w:fill="FBD4B4" w:themeFill="accent6" w:themeFillTint="66"/>
            <w:vAlign w:val="center"/>
          </w:tcPr>
          <w:p w:rsidR="00086AB0" w:rsidRPr="00B20172" w:rsidRDefault="00086AB0" w:rsidP="00720D9B">
            <w:pPr>
              <w:keepNext/>
              <w:spacing w:after="0" w:line="240" w:lineRule="auto"/>
              <w:jc w:val="center"/>
              <w:rPr>
                <w:rFonts w:ascii="Arial Narrow" w:hAnsi="Arial Narrow"/>
                <w:b/>
                <w:sz w:val="18"/>
              </w:rPr>
            </w:pPr>
            <w:r w:rsidRPr="00B20172">
              <w:rPr>
                <w:rFonts w:ascii="Arial Narrow" w:hAnsi="Arial Narrow"/>
                <w:b/>
                <w:sz w:val="18"/>
              </w:rPr>
              <w:t>MBS</w:t>
            </w:r>
          </w:p>
        </w:tc>
        <w:tc>
          <w:tcPr>
            <w:tcW w:w="737" w:type="dxa"/>
            <w:shd w:val="clear" w:color="auto" w:fill="FBD4B4" w:themeFill="accent6" w:themeFillTint="66"/>
            <w:vAlign w:val="center"/>
          </w:tcPr>
          <w:p w:rsidR="00086AB0" w:rsidRPr="00B20172" w:rsidRDefault="00086AB0" w:rsidP="00720D9B">
            <w:pPr>
              <w:keepNext/>
              <w:spacing w:after="0" w:line="240" w:lineRule="auto"/>
              <w:jc w:val="center"/>
              <w:rPr>
                <w:rFonts w:ascii="Arial Narrow" w:hAnsi="Arial Narrow"/>
                <w:b/>
                <w:sz w:val="18"/>
              </w:rPr>
            </w:pPr>
            <w:r w:rsidRPr="00B20172">
              <w:rPr>
                <w:rFonts w:ascii="Arial Narrow" w:hAnsi="Arial Narrow"/>
                <w:b/>
                <w:sz w:val="18"/>
              </w:rPr>
              <w:t>Safety nets*</w:t>
            </w:r>
          </w:p>
        </w:tc>
        <w:tc>
          <w:tcPr>
            <w:tcW w:w="737" w:type="dxa"/>
            <w:shd w:val="clear" w:color="auto" w:fill="FBD4B4" w:themeFill="accent6" w:themeFillTint="66"/>
            <w:vAlign w:val="center"/>
          </w:tcPr>
          <w:p w:rsidR="00086AB0" w:rsidRPr="00B20172" w:rsidRDefault="00086AB0" w:rsidP="00720D9B">
            <w:pPr>
              <w:keepNext/>
              <w:spacing w:after="0" w:line="240" w:lineRule="auto"/>
              <w:jc w:val="center"/>
              <w:rPr>
                <w:rFonts w:ascii="Arial Narrow" w:hAnsi="Arial Narrow"/>
                <w:b/>
                <w:sz w:val="18"/>
              </w:rPr>
            </w:pPr>
            <w:r w:rsidRPr="00B20172">
              <w:rPr>
                <w:rFonts w:ascii="Arial Narrow" w:hAnsi="Arial Narrow"/>
                <w:b/>
                <w:sz w:val="18"/>
              </w:rPr>
              <w:t>Other govt budget</w:t>
            </w:r>
          </w:p>
        </w:tc>
        <w:tc>
          <w:tcPr>
            <w:tcW w:w="737" w:type="dxa"/>
            <w:shd w:val="clear" w:color="auto" w:fill="FBD4B4" w:themeFill="accent6" w:themeFillTint="66"/>
            <w:vAlign w:val="center"/>
          </w:tcPr>
          <w:p w:rsidR="00086AB0" w:rsidRPr="00B20172" w:rsidRDefault="00086AB0" w:rsidP="00720D9B">
            <w:pPr>
              <w:keepNext/>
              <w:spacing w:after="0" w:line="240" w:lineRule="auto"/>
              <w:jc w:val="center"/>
              <w:rPr>
                <w:rFonts w:ascii="Arial Narrow" w:hAnsi="Arial Narrow"/>
                <w:b/>
                <w:sz w:val="18"/>
              </w:rPr>
            </w:pPr>
            <w:r w:rsidRPr="00B20172">
              <w:rPr>
                <w:rFonts w:ascii="Arial Narrow" w:hAnsi="Arial Narrow"/>
                <w:b/>
                <w:sz w:val="18"/>
              </w:rPr>
              <w:t>Private health insurer</w:t>
            </w:r>
          </w:p>
        </w:tc>
        <w:tc>
          <w:tcPr>
            <w:tcW w:w="737" w:type="dxa"/>
            <w:shd w:val="clear" w:color="auto" w:fill="FBD4B4" w:themeFill="accent6" w:themeFillTint="66"/>
            <w:vAlign w:val="center"/>
          </w:tcPr>
          <w:p w:rsidR="00086AB0" w:rsidRPr="00B20172" w:rsidRDefault="00086AB0" w:rsidP="00720D9B">
            <w:pPr>
              <w:keepNext/>
              <w:spacing w:after="0" w:line="240" w:lineRule="auto"/>
              <w:jc w:val="center"/>
              <w:rPr>
                <w:rFonts w:ascii="Arial Narrow" w:hAnsi="Arial Narrow"/>
                <w:b/>
                <w:sz w:val="18"/>
              </w:rPr>
            </w:pPr>
            <w:r w:rsidRPr="00B20172">
              <w:rPr>
                <w:rFonts w:ascii="Arial Narrow" w:hAnsi="Arial Narrow"/>
                <w:b/>
                <w:sz w:val="18"/>
              </w:rPr>
              <w:t>Patient</w:t>
            </w:r>
          </w:p>
        </w:tc>
        <w:tc>
          <w:tcPr>
            <w:tcW w:w="737" w:type="dxa"/>
            <w:shd w:val="clear" w:color="auto" w:fill="FBD4B4" w:themeFill="accent6" w:themeFillTint="66"/>
            <w:vAlign w:val="center"/>
          </w:tcPr>
          <w:p w:rsidR="00086AB0" w:rsidRPr="00B20172" w:rsidRDefault="00086AB0" w:rsidP="00720D9B">
            <w:pPr>
              <w:keepNext/>
              <w:spacing w:after="0" w:line="240" w:lineRule="auto"/>
              <w:jc w:val="center"/>
              <w:rPr>
                <w:rFonts w:ascii="Arial Narrow" w:hAnsi="Arial Narrow"/>
                <w:b/>
                <w:sz w:val="18"/>
              </w:rPr>
            </w:pPr>
            <w:r w:rsidRPr="00B20172">
              <w:rPr>
                <w:rFonts w:ascii="Arial Narrow" w:hAnsi="Arial Narrow"/>
                <w:b/>
                <w:sz w:val="18"/>
              </w:rPr>
              <w:t>Total cost</w:t>
            </w:r>
          </w:p>
        </w:tc>
      </w:tr>
      <w:tr w:rsidR="00086AB0" w:rsidRPr="00B20172" w:rsidTr="00720D9B">
        <w:tc>
          <w:tcPr>
            <w:tcW w:w="9747" w:type="dxa"/>
            <w:gridSpan w:val="11"/>
            <w:shd w:val="clear" w:color="auto" w:fill="auto"/>
            <w:vAlign w:val="center"/>
          </w:tcPr>
          <w:p w:rsidR="00086AB0" w:rsidRPr="00B20172" w:rsidRDefault="00086AB0" w:rsidP="00720D9B">
            <w:pPr>
              <w:spacing w:after="0" w:line="240" w:lineRule="auto"/>
              <w:jc w:val="left"/>
              <w:rPr>
                <w:rFonts w:ascii="Arial Narrow" w:hAnsi="Arial Narrow"/>
                <w:sz w:val="18"/>
                <w:u w:val="single"/>
              </w:rPr>
            </w:pPr>
            <w:r w:rsidRPr="00B20172">
              <w:rPr>
                <w:rFonts w:ascii="Arial Narrow" w:hAnsi="Arial Narrow"/>
                <w:sz w:val="18"/>
                <w:u w:val="single"/>
              </w:rPr>
              <w:t xml:space="preserve">Resources provided to identify eligible population </w:t>
            </w:r>
          </w:p>
        </w:tc>
      </w:tr>
      <w:tr w:rsidR="00086AB0" w:rsidRPr="00B20172" w:rsidTr="00720D9B">
        <w:tc>
          <w:tcPr>
            <w:tcW w:w="1728" w:type="dxa"/>
            <w:shd w:val="clear" w:color="auto" w:fill="auto"/>
          </w:tcPr>
          <w:p w:rsidR="00086AB0" w:rsidRPr="00B20172" w:rsidRDefault="00086AB0" w:rsidP="003A7D78">
            <w:pPr>
              <w:pStyle w:val="ListParagraph"/>
              <w:numPr>
                <w:ilvl w:val="2"/>
                <w:numId w:val="5"/>
              </w:numPr>
              <w:spacing w:after="0" w:line="240" w:lineRule="auto"/>
              <w:ind w:left="360" w:hanging="218"/>
              <w:jc w:val="left"/>
              <w:rPr>
                <w:rFonts w:ascii="Arial Narrow" w:hAnsi="Arial Narrow"/>
                <w:sz w:val="18"/>
              </w:rPr>
            </w:pPr>
            <w:r w:rsidRPr="00B20172">
              <w:rPr>
                <w:rFonts w:ascii="Arial Narrow" w:hAnsi="Arial Narrow"/>
                <w:sz w:val="18"/>
              </w:rPr>
              <w:t>Resource 1</w:t>
            </w:r>
          </w:p>
        </w:tc>
        <w:tc>
          <w:tcPr>
            <w:tcW w:w="900" w:type="dxa"/>
            <w:shd w:val="clear" w:color="auto" w:fill="E5B8B7" w:themeFill="accent2" w:themeFillTint="66"/>
          </w:tcPr>
          <w:p w:rsidR="00086AB0" w:rsidRPr="00B20172" w:rsidRDefault="00086AB0" w:rsidP="00720D9B">
            <w:pPr>
              <w:spacing w:after="0" w:line="240" w:lineRule="auto"/>
              <w:jc w:val="center"/>
              <w:rPr>
                <w:rFonts w:ascii="Arial Narrow" w:hAnsi="Arial Narrow"/>
                <w:sz w:val="18"/>
              </w:rPr>
            </w:pPr>
          </w:p>
        </w:tc>
        <w:tc>
          <w:tcPr>
            <w:tcW w:w="900" w:type="dxa"/>
            <w:shd w:val="clear" w:color="auto" w:fill="E5B8B7" w:themeFill="accent2" w:themeFillTint="66"/>
          </w:tcPr>
          <w:p w:rsidR="00086AB0" w:rsidRPr="00B20172" w:rsidRDefault="00086AB0" w:rsidP="00720D9B">
            <w:pPr>
              <w:spacing w:after="0" w:line="240" w:lineRule="auto"/>
              <w:jc w:val="center"/>
              <w:rPr>
                <w:rFonts w:ascii="Arial Narrow" w:hAnsi="Arial Narrow"/>
                <w:sz w:val="18"/>
              </w:rPr>
            </w:pPr>
          </w:p>
        </w:tc>
        <w:tc>
          <w:tcPr>
            <w:tcW w:w="900" w:type="dxa"/>
            <w:shd w:val="clear" w:color="auto" w:fill="D6E3BC" w:themeFill="accent3" w:themeFillTint="66"/>
          </w:tcPr>
          <w:p w:rsidR="00086AB0" w:rsidRPr="00B20172" w:rsidRDefault="00086AB0" w:rsidP="00720D9B">
            <w:pPr>
              <w:spacing w:after="0" w:line="240" w:lineRule="auto"/>
              <w:jc w:val="center"/>
              <w:rPr>
                <w:rFonts w:ascii="Arial Narrow" w:hAnsi="Arial Narrow"/>
                <w:sz w:val="18"/>
              </w:rPr>
            </w:pPr>
          </w:p>
        </w:tc>
        <w:tc>
          <w:tcPr>
            <w:tcW w:w="898" w:type="dxa"/>
            <w:shd w:val="clear" w:color="auto" w:fill="D6E3BC" w:themeFill="accent3" w:themeFillTint="66"/>
          </w:tcPr>
          <w:p w:rsidR="00086AB0" w:rsidRPr="00B20172" w:rsidRDefault="00086AB0" w:rsidP="00720D9B">
            <w:pPr>
              <w:spacing w:after="0" w:line="240" w:lineRule="auto"/>
              <w:jc w:val="center"/>
              <w:rPr>
                <w:rFonts w:ascii="Arial Narrow" w:hAnsi="Arial Narrow"/>
                <w:sz w:val="18"/>
              </w:rPr>
            </w:pPr>
          </w:p>
        </w:tc>
        <w:tc>
          <w:tcPr>
            <w:tcW w:w="736"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r>
      <w:tr w:rsidR="00086AB0" w:rsidRPr="00B20172" w:rsidTr="00720D9B">
        <w:tc>
          <w:tcPr>
            <w:tcW w:w="1728" w:type="dxa"/>
            <w:shd w:val="clear" w:color="auto" w:fill="auto"/>
          </w:tcPr>
          <w:p w:rsidR="00086AB0" w:rsidRPr="00B20172" w:rsidRDefault="00086AB0" w:rsidP="003A7D78">
            <w:pPr>
              <w:pStyle w:val="ListParagraph"/>
              <w:numPr>
                <w:ilvl w:val="2"/>
                <w:numId w:val="5"/>
              </w:numPr>
              <w:spacing w:after="0" w:line="240" w:lineRule="auto"/>
              <w:ind w:left="360" w:hanging="218"/>
              <w:jc w:val="left"/>
              <w:rPr>
                <w:rFonts w:ascii="Arial Narrow" w:hAnsi="Arial Narrow"/>
                <w:sz w:val="18"/>
              </w:rPr>
            </w:pPr>
            <w:r w:rsidRPr="00B20172">
              <w:rPr>
                <w:rFonts w:ascii="Arial Narrow" w:hAnsi="Arial Narrow"/>
                <w:sz w:val="18"/>
              </w:rPr>
              <w:t>Resource 2, etc</w:t>
            </w:r>
          </w:p>
        </w:tc>
        <w:tc>
          <w:tcPr>
            <w:tcW w:w="900" w:type="dxa"/>
            <w:shd w:val="clear" w:color="auto" w:fill="E5B8B7" w:themeFill="accent2" w:themeFillTint="66"/>
          </w:tcPr>
          <w:p w:rsidR="00086AB0" w:rsidRPr="00B20172" w:rsidRDefault="00086AB0" w:rsidP="00720D9B">
            <w:pPr>
              <w:spacing w:after="0" w:line="240" w:lineRule="auto"/>
              <w:jc w:val="center"/>
              <w:rPr>
                <w:rFonts w:ascii="Arial Narrow" w:hAnsi="Arial Narrow"/>
                <w:sz w:val="18"/>
              </w:rPr>
            </w:pPr>
          </w:p>
        </w:tc>
        <w:tc>
          <w:tcPr>
            <w:tcW w:w="900" w:type="dxa"/>
            <w:shd w:val="clear" w:color="auto" w:fill="E5B8B7" w:themeFill="accent2" w:themeFillTint="66"/>
          </w:tcPr>
          <w:p w:rsidR="00086AB0" w:rsidRPr="00B20172" w:rsidRDefault="00086AB0" w:rsidP="00720D9B">
            <w:pPr>
              <w:spacing w:after="0" w:line="240" w:lineRule="auto"/>
              <w:jc w:val="center"/>
              <w:rPr>
                <w:rFonts w:ascii="Arial Narrow" w:hAnsi="Arial Narrow"/>
                <w:sz w:val="18"/>
              </w:rPr>
            </w:pPr>
          </w:p>
        </w:tc>
        <w:tc>
          <w:tcPr>
            <w:tcW w:w="900" w:type="dxa"/>
            <w:shd w:val="clear" w:color="auto" w:fill="D6E3BC" w:themeFill="accent3" w:themeFillTint="66"/>
          </w:tcPr>
          <w:p w:rsidR="00086AB0" w:rsidRPr="00B20172" w:rsidRDefault="00086AB0" w:rsidP="00720D9B">
            <w:pPr>
              <w:spacing w:after="0" w:line="240" w:lineRule="auto"/>
              <w:jc w:val="center"/>
              <w:rPr>
                <w:rFonts w:ascii="Arial Narrow" w:hAnsi="Arial Narrow"/>
                <w:sz w:val="18"/>
              </w:rPr>
            </w:pPr>
          </w:p>
        </w:tc>
        <w:tc>
          <w:tcPr>
            <w:tcW w:w="898" w:type="dxa"/>
            <w:shd w:val="clear" w:color="auto" w:fill="D6E3BC" w:themeFill="accent3" w:themeFillTint="66"/>
          </w:tcPr>
          <w:p w:rsidR="00086AB0" w:rsidRPr="00B20172" w:rsidRDefault="00086AB0" w:rsidP="00720D9B">
            <w:pPr>
              <w:spacing w:after="0" w:line="240" w:lineRule="auto"/>
              <w:jc w:val="center"/>
              <w:rPr>
                <w:rFonts w:ascii="Arial Narrow" w:hAnsi="Arial Narrow"/>
                <w:sz w:val="18"/>
              </w:rPr>
            </w:pPr>
          </w:p>
        </w:tc>
        <w:tc>
          <w:tcPr>
            <w:tcW w:w="736"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r>
      <w:tr w:rsidR="00086AB0" w:rsidRPr="00B20172" w:rsidTr="00720D9B">
        <w:tc>
          <w:tcPr>
            <w:tcW w:w="9747" w:type="dxa"/>
            <w:gridSpan w:val="11"/>
            <w:shd w:val="clear" w:color="auto" w:fill="auto"/>
            <w:vAlign w:val="center"/>
          </w:tcPr>
          <w:p w:rsidR="00086AB0" w:rsidRPr="00B20172" w:rsidRDefault="00086AB0" w:rsidP="00720D9B">
            <w:pPr>
              <w:spacing w:after="0" w:line="240" w:lineRule="auto"/>
              <w:jc w:val="left"/>
              <w:rPr>
                <w:rFonts w:ascii="Arial Narrow" w:hAnsi="Arial Narrow"/>
                <w:sz w:val="18"/>
                <w:u w:val="single"/>
              </w:rPr>
            </w:pPr>
            <w:r w:rsidRPr="00B20172">
              <w:rPr>
                <w:rFonts w:ascii="Arial Narrow" w:hAnsi="Arial Narrow"/>
                <w:sz w:val="18"/>
                <w:u w:val="single"/>
              </w:rPr>
              <w:t>Resources provided to deliver proposed intervention</w:t>
            </w:r>
          </w:p>
        </w:tc>
      </w:tr>
      <w:tr w:rsidR="00086AB0" w:rsidRPr="00B20172" w:rsidTr="00720D9B">
        <w:tc>
          <w:tcPr>
            <w:tcW w:w="1728" w:type="dxa"/>
            <w:shd w:val="clear" w:color="auto" w:fill="auto"/>
          </w:tcPr>
          <w:p w:rsidR="00086AB0" w:rsidRPr="00B20172" w:rsidRDefault="00EE2FCE" w:rsidP="003A7D78">
            <w:pPr>
              <w:pStyle w:val="ListParagraph"/>
              <w:numPr>
                <w:ilvl w:val="2"/>
                <w:numId w:val="5"/>
              </w:numPr>
              <w:spacing w:after="0" w:line="240" w:lineRule="auto"/>
              <w:ind w:left="360" w:hanging="218"/>
              <w:jc w:val="left"/>
              <w:rPr>
                <w:rFonts w:ascii="Arial Narrow" w:hAnsi="Arial Narrow"/>
                <w:sz w:val="18"/>
              </w:rPr>
            </w:pPr>
            <w:r w:rsidRPr="00B20172">
              <w:rPr>
                <w:rFonts w:ascii="Arial Narrow" w:hAnsi="Arial Narrow"/>
                <w:sz w:val="18"/>
              </w:rPr>
              <w:t>Testing kit</w:t>
            </w:r>
          </w:p>
        </w:tc>
        <w:tc>
          <w:tcPr>
            <w:tcW w:w="900" w:type="dxa"/>
            <w:shd w:val="clear" w:color="auto" w:fill="E5B8B7" w:themeFill="accent2" w:themeFillTint="66"/>
          </w:tcPr>
          <w:p w:rsidR="00086AB0" w:rsidRPr="00B20172" w:rsidRDefault="00E63D6C" w:rsidP="00720D9B">
            <w:pPr>
              <w:spacing w:after="0" w:line="240" w:lineRule="auto"/>
              <w:jc w:val="center"/>
              <w:rPr>
                <w:rFonts w:ascii="Arial Narrow" w:hAnsi="Arial Narrow"/>
                <w:sz w:val="18"/>
              </w:rPr>
            </w:pPr>
            <w:r w:rsidRPr="00B20172">
              <w:rPr>
                <w:rFonts w:ascii="Arial Narrow" w:hAnsi="Arial Narrow"/>
                <w:sz w:val="18"/>
              </w:rPr>
              <w:t>company</w:t>
            </w:r>
          </w:p>
        </w:tc>
        <w:tc>
          <w:tcPr>
            <w:tcW w:w="900" w:type="dxa"/>
            <w:shd w:val="clear" w:color="auto" w:fill="E5B8B7" w:themeFill="accent2" w:themeFillTint="66"/>
          </w:tcPr>
          <w:p w:rsidR="00086AB0" w:rsidRPr="00B20172" w:rsidRDefault="00E63D6C" w:rsidP="00720D9B">
            <w:pPr>
              <w:spacing w:after="0" w:line="240" w:lineRule="auto"/>
              <w:jc w:val="center"/>
              <w:rPr>
                <w:rFonts w:ascii="Arial Narrow" w:hAnsi="Arial Narrow"/>
                <w:sz w:val="18"/>
              </w:rPr>
            </w:pPr>
            <w:r w:rsidRPr="00B20172">
              <w:rPr>
                <w:rFonts w:ascii="Arial Narrow" w:hAnsi="Arial Narrow"/>
                <w:sz w:val="18"/>
              </w:rPr>
              <w:t>lab</w:t>
            </w:r>
          </w:p>
        </w:tc>
        <w:tc>
          <w:tcPr>
            <w:tcW w:w="900" w:type="dxa"/>
            <w:shd w:val="clear" w:color="auto" w:fill="D6E3BC" w:themeFill="accent3" w:themeFillTint="66"/>
          </w:tcPr>
          <w:p w:rsidR="00086AB0" w:rsidRPr="00B20172" w:rsidRDefault="00086AB0" w:rsidP="00720D9B">
            <w:pPr>
              <w:spacing w:after="0" w:line="240" w:lineRule="auto"/>
              <w:jc w:val="center"/>
              <w:rPr>
                <w:rFonts w:ascii="Arial Narrow" w:hAnsi="Arial Narrow"/>
                <w:sz w:val="18"/>
              </w:rPr>
            </w:pPr>
          </w:p>
        </w:tc>
        <w:tc>
          <w:tcPr>
            <w:tcW w:w="898" w:type="dxa"/>
            <w:shd w:val="clear" w:color="auto" w:fill="D6E3BC" w:themeFill="accent3" w:themeFillTint="66"/>
          </w:tcPr>
          <w:p w:rsidR="00086AB0" w:rsidRPr="00B20172" w:rsidRDefault="00086AB0" w:rsidP="00720D9B">
            <w:pPr>
              <w:spacing w:after="0" w:line="240" w:lineRule="auto"/>
              <w:jc w:val="center"/>
              <w:rPr>
                <w:rFonts w:ascii="Arial Narrow" w:hAnsi="Arial Narrow"/>
                <w:sz w:val="18"/>
              </w:rPr>
            </w:pPr>
          </w:p>
        </w:tc>
        <w:tc>
          <w:tcPr>
            <w:tcW w:w="736"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B20172" w:rsidRDefault="00EE2FCE" w:rsidP="00720D9B">
            <w:pPr>
              <w:spacing w:after="0" w:line="240" w:lineRule="auto"/>
              <w:jc w:val="center"/>
              <w:rPr>
                <w:rFonts w:ascii="Arial Narrow" w:hAnsi="Arial Narrow"/>
                <w:sz w:val="18"/>
              </w:rPr>
            </w:pPr>
            <w:r w:rsidRPr="00B20172">
              <w:rPr>
                <w:rFonts w:ascii="Arial Narrow" w:hAnsi="Arial Narrow"/>
                <w:sz w:val="18"/>
              </w:rPr>
              <w:t>?</w:t>
            </w:r>
          </w:p>
        </w:tc>
      </w:tr>
      <w:tr w:rsidR="00086AB0" w:rsidRPr="00B20172" w:rsidTr="00720D9B">
        <w:tc>
          <w:tcPr>
            <w:tcW w:w="1728" w:type="dxa"/>
            <w:shd w:val="clear" w:color="auto" w:fill="auto"/>
          </w:tcPr>
          <w:p w:rsidR="00086AB0" w:rsidRPr="00B20172" w:rsidRDefault="00EE2FCE" w:rsidP="00E63D6C">
            <w:pPr>
              <w:pStyle w:val="ListParagraph"/>
              <w:numPr>
                <w:ilvl w:val="2"/>
                <w:numId w:val="5"/>
              </w:numPr>
              <w:spacing w:after="0" w:line="240" w:lineRule="auto"/>
              <w:ind w:left="360" w:hanging="218"/>
              <w:jc w:val="left"/>
              <w:rPr>
                <w:rFonts w:ascii="Arial Narrow" w:hAnsi="Arial Narrow"/>
                <w:sz w:val="18"/>
              </w:rPr>
            </w:pPr>
            <w:r w:rsidRPr="00B20172">
              <w:rPr>
                <w:rFonts w:ascii="Arial Narrow" w:hAnsi="Arial Narrow"/>
                <w:sz w:val="18"/>
              </w:rPr>
              <w:t>La</w:t>
            </w:r>
            <w:r w:rsidR="00E63D6C" w:rsidRPr="00B20172">
              <w:rPr>
                <w:rFonts w:ascii="Arial Narrow" w:hAnsi="Arial Narrow"/>
                <w:sz w:val="18"/>
              </w:rPr>
              <w:t>b</w:t>
            </w:r>
            <w:r w:rsidRPr="00B20172">
              <w:rPr>
                <w:rFonts w:ascii="Arial Narrow" w:hAnsi="Arial Narrow"/>
                <w:sz w:val="18"/>
              </w:rPr>
              <w:t xml:space="preserve"> costs</w:t>
            </w:r>
            <w:r w:rsidR="00E63D6C" w:rsidRPr="00B20172">
              <w:rPr>
                <w:rFonts w:ascii="Arial Narrow" w:hAnsi="Arial Narrow"/>
                <w:sz w:val="18"/>
              </w:rPr>
              <w:t xml:space="preserve"> (labour, overheads)</w:t>
            </w:r>
          </w:p>
        </w:tc>
        <w:tc>
          <w:tcPr>
            <w:tcW w:w="900" w:type="dxa"/>
            <w:shd w:val="clear" w:color="auto" w:fill="E5B8B7" w:themeFill="accent2" w:themeFillTint="66"/>
          </w:tcPr>
          <w:p w:rsidR="00086AB0" w:rsidRPr="00B20172" w:rsidRDefault="00E63D6C" w:rsidP="00720D9B">
            <w:pPr>
              <w:spacing w:after="0" w:line="240" w:lineRule="auto"/>
              <w:jc w:val="center"/>
              <w:rPr>
                <w:rFonts w:ascii="Arial Narrow" w:hAnsi="Arial Narrow"/>
                <w:sz w:val="18"/>
              </w:rPr>
            </w:pPr>
            <w:r w:rsidRPr="00B20172">
              <w:rPr>
                <w:rFonts w:ascii="Arial Narrow" w:hAnsi="Arial Narrow"/>
                <w:sz w:val="18"/>
              </w:rPr>
              <w:t>lab</w:t>
            </w:r>
          </w:p>
        </w:tc>
        <w:tc>
          <w:tcPr>
            <w:tcW w:w="900" w:type="dxa"/>
            <w:shd w:val="clear" w:color="auto" w:fill="E5B8B7" w:themeFill="accent2" w:themeFillTint="66"/>
          </w:tcPr>
          <w:p w:rsidR="00086AB0" w:rsidRPr="00B20172" w:rsidRDefault="00E63D6C" w:rsidP="00720D9B">
            <w:pPr>
              <w:spacing w:after="0" w:line="240" w:lineRule="auto"/>
              <w:jc w:val="center"/>
              <w:rPr>
                <w:rFonts w:ascii="Arial Narrow" w:hAnsi="Arial Narrow"/>
                <w:sz w:val="18"/>
              </w:rPr>
            </w:pPr>
            <w:r w:rsidRPr="00B20172">
              <w:rPr>
                <w:rFonts w:ascii="Arial Narrow" w:hAnsi="Arial Narrow"/>
                <w:sz w:val="18"/>
              </w:rPr>
              <w:t>lab</w:t>
            </w:r>
          </w:p>
        </w:tc>
        <w:tc>
          <w:tcPr>
            <w:tcW w:w="900" w:type="dxa"/>
            <w:shd w:val="clear" w:color="auto" w:fill="D6E3BC" w:themeFill="accent3" w:themeFillTint="66"/>
          </w:tcPr>
          <w:p w:rsidR="00086AB0" w:rsidRPr="00B20172" w:rsidRDefault="00086AB0" w:rsidP="00720D9B">
            <w:pPr>
              <w:spacing w:after="0" w:line="240" w:lineRule="auto"/>
              <w:jc w:val="center"/>
              <w:rPr>
                <w:rFonts w:ascii="Arial Narrow" w:hAnsi="Arial Narrow"/>
                <w:sz w:val="18"/>
              </w:rPr>
            </w:pPr>
          </w:p>
        </w:tc>
        <w:tc>
          <w:tcPr>
            <w:tcW w:w="898" w:type="dxa"/>
            <w:shd w:val="clear" w:color="auto" w:fill="D6E3BC" w:themeFill="accent3" w:themeFillTint="66"/>
          </w:tcPr>
          <w:p w:rsidR="00086AB0" w:rsidRPr="00B20172" w:rsidRDefault="00086AB0" w:rsidP="00720D9B">
            <w:pPr>
              <w:spacing w:after="0" w:line="240" w:lineRule="auto"/>
              <w:jc w:val="center"/>
              <w:rPr>
                <w:rFonts w:ascii="Arial Narrow" w:hAnsi="Arial Narrow"/>
                <w:sz w:val="18"/>
              </w:rPr>
            </w:pPr>
          </w:p>
        </w:tc>
        <w:tc>
          <w:tcPr>
            <w:tcW w:w="736"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B20172" w:rsidRDefault="00EE2FCE" w:rsidP="00720D9B">
            <w:pPr>
              <w:spacing w:after="0" w:line="240" w:lineRule="auto"/>
              <w:jc w:val="center"/>
              <w:rPr>
                <w:rFonts w:ascii="Arial Narrow" w:hAnsi="Arial Narrow"/>
                <w:sz w:val="18"/>
              </w:rPr>
            </w:pPr>
            <w:r w:rsidRPr="00B20172">
              <w:rPr>
                <w:rFonts w:ascii="Arial Narrow" w:hAnsi="Arial Narrow"/>
                <w:sz w:val="18"/>
              </w:rPr>
              <w:t>?</w:t>
            </w:r>
          </w:p>
        </w:tc>
      </w:tr>
      <w:tr w:rsidR="00086AB0" w:rsidRPr="00B20172" w:rsidTr="00720D9B">
        <w:tc>
          <w:tcPr>
            <w:tcW w:w="9747" w:type="dxa"/>
            <w:gridSpan w:val="11"/>
            <w:shd w:val="clear" w:color="auto" w:fill="auto"/>
            <w:vAlign w:val="center"/>
          </w:tcPr>
          <w:p w:rsidR="00086AB0" w:rsidRPr="00B20172" w:rsidRDefault="00086AB0" w:rsidP="00720D9B">
            <w:pPr>
              <w:spacing w:after="0" w:line="240" w:lineRule="auto"/>
              <w:jc w:val="left"/>
              <w:rPr>
                <w:rFonts w:ascii="Arial Narrow" w:hAnsi="Arial Narrow"/>
                <w:sz w:val="18"/>
                <w:u w:val="single"/>
              </w:rPr>
            </w:pPr>
            <w:r w:rsidRPr="00B20172">
              <w:rPr>
                <w:rFonts w:ascii="Arial Narrow" w:hAnsi="Arial Narrow"/>
                <w:sz w:val="18"/>
                <w:u w:val="single"/>
              </w:rPr>
              <w:t>Resources provided in association with proposed intervention</w:t>
            </w:r>
          </w:p>
        </w:tc>
      </w:tr>
      <w:tr w:rsidR="00086AB0" w:rsidRPr="00B20172" w:rsidTr="00720D9B">
        <w:tc>
          <w:tcPr>
            <w:tcW w:w="1728" w:type="dxa"/>
            <w:shd w:val="clear" w:color="auto" w:fill="auto"/>
          </w:tcPr>
          <w:p w:rsidR="00086AB0" w:rsidRPr="00B20172" w:rsidRDefault="00EE2FCE" w:rsidP="003A7D78">
            <w:pPr>
              <w:pStyle w:val="ListParagraph"/>
              <w:numPr>
                <w:ilvl w:val="2"/>
                <w:numId w:val="5"/>
              </w:numPr>
              <w:spacing w:after="0" w:line="240" w:lineRule="auto"/>
              <w:ind w:left="360" w:hanging="218"/>
              <w:jc w:val="left"/>
              <w:rPr>
                <w:rFonts w:ascii="Arial Narrow" w:hAnsi="Arial Narrow"/>
                <w:sz w:val="18"/>
              </w:rPr>
            </w:pPr>
            <w:r w:rsidRPr="00B20172">
              <w:rPr>
                <w:rFonts w:ascii="Arial Narrow" w:hAnsi="Arial Narrow"/>
                <w:sz w:val="18"/>
              </w:rPr>
              <w:t>Contact tracing</w:t>
            </w:r>
          </w:p>
        </w:tc>
        <w:tc>
          <w:tcPr>
            <w:tcW w:w="900" w:type="dxa"/>
            <w:shd w:val="clear" w:color="auto" w:fill="E5B8B7" w:themeFill="accent2" w:themeFillTint="66"/>
          </w:tcPr>
          <w:p w:rsidR="00086AB0" w:rsidRPr="00B20172" w:rsidRDefault="00086AB0" w:rsidP="00720D9B">
            <w:pPr>
              <w:spacing w:after="0" w:line="240" w:lineRule="auto"/>
              <w:jc w:val="center"/>
              <w:rPr>
                <w:rFonts w:ascii="Arial Narrow" w:hAnsi="Arial Narrow"/>
                <w:sz w:val="18"/>
              </w:rPr>
            </w:pPr>
          </w:p>
        </w:tc>
        <w:tc>
          <w:tcPr>
            <w:tcW w:w="900" w:type="dxa"/>
            <w:shd w:val="clear" w:color="auto" w:fill="E5B8B7" w:themeFill="accent2" w:themeFillTint="66"/>
          </w:tcPr>
          <w:p w:rsidR="00086AB0" w:rsidRPr="00B20172" w:rsidRDefault="00086AB0" w:rsidP="00720D9B">
            <w:pPr>
              <w:spacing w:after="0" w:line="240" w:lineRule="auto"/>
              <w:jc w:val="center"/>
              <w:rPr>
                <w:rFonts w:ascii="Arial Narrow" w:hAnsi="Arial Narrow"/>
                <w:sz w:val="18"/>
              </w:rPr>
            </w:pPr>
          </w:p>
        </w:tc>
        <w:tc>
          <w:tcPr>
            <w:tcW w:w="900" w:type="dxa"/>
            <w:shd w:val="clear" w:color="auto" w:fill="D6E3BC" w:themeFill="accent3" w:themeFillTint="66"/>
          </w:tcPr>
          <w:p w:rsidR="00086AB0" w:rsidRPr="00B20172" w:rsidRDefault="00086AB0" w:rsidP="00720D9B">
            <w:pPr>
              <w:spacing w:after="0" w:line="240" w:lineRule="auto"/>
              <w:jc w:val="center"/>
              <w:rPr>
                <w:rFonts w:ascii="Arial Narrow" w:hAnsi="Arial Narrow"/>
                <w:sz w:val="18"/>
              </w:rPr>
            </w:pPr>
          </w:p>
        </w:tc>
        <w:tc>
          <w:tcPr>
            <w:tcW w:w="898" w:type="dxa"/>
            <w:shd w:val="clear" w:color="auto" w:fill="D6E3BC" w:themeFill="accent3" w:themeFillTint="66"/>
          </w:tcPr>
          <w:p w:rsidR="00086AB0" w:rsidRPr="00B20172" w:rsidRDefault="00086AB0" w:rsidP="00720D9B">
            <w:pPr>
              <w:spacing w:after="0" w:line="240" w:lineRule="auto"/>
              <w:jc w:val="center"/>
              <w:rPr>
                <w:rFonts w:ascii="Arial Narrow" w:hAnsi="Arial Narrow"/>
                <w:sz w:val="18"/>
              </w:rPr>
            </w:pPr>
          </w:p>
        </w:tc>
        <w:tc>
          <w:tcPr>
            <w:tcW w:w="736"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r>
      <w:tr w:rsidR="00086AB0" w:rsidRPr="00B20172" w:rsidTr="00720D9B">
        <w:tc>
          <w:tcPr>
            <w:tcW w:w="1728" w:type="dxa"/>
            <w:shd w:val="clear" w:color="auto" w:fill="auto"/>
          </w:tcPr>
          <w:p w:rsidR="00086AB0" w:rsidRPr="00B20172" w:rsidRDefault="00EE2FCE" w:rsidP="003A7D78">
            <w:pPr>
              <w:pStyle w:val="ListParagraph"/>
              <w:numPr>
                <w:ilvl w:val="2"/>
                <w:numId w:val="5"/>
              </w:numPr>
              <w:spacing w:after="0" w:line="240" w:lineRule="auto"/>
              <w:ind w:left="360" w:hanging="218"/>
              <w:jc w:val="left"/>
              <w:rPr>
                <w:rFonts w:ascii="Arial Narrow" w:hAnsi="Arial Narrow"/>
                <w:sz w:val="18"/>
              </w:rPr>
            </w:pPr>
            <w:r w:rsidRPr="00B20172">
              <w:rPr>
                <w:rFonts w:ascii="Arial Narrow" w:hAnsi="Arial Narrow"/>
                <w:sz w:val="18"/>
              </w:rPr>
              <w:t>Cost of ABs</w:t>
            </w:r>
          </w:p>
        </w:tc>
        <w:tc>
          <w:tcPr>
            <w:tcW w:w="900" w:type="dxa"/>
            <w:shd w:val="clear" w:color="auto" w:fill="E5B8B7" w:themeFill="accent2" w:themeFillTint="66"/>
          </w:tcPr>
          <w:p w:rsidR="00086AB0" w:rsidRPr="00B20172" w:rsidRDefault="00086AB0" w:rsidP="00720D9B">
            <w:pPr>
              <w:spacing w:after="0" w:line="240" w:lineRule="auto"/>
              <w:jc w:val="center"/>
              <w:rPr>
                <w:rFonts w:ascii="Arial Narrow" w:hAnsi="Arial Narrow"/>
                <w:sz w:val="18"/>
              </w:rPr>
            </w:pPr>
          </w:p>
        </w:tc>
        <w:tc>
          <w:tcPr>
            <w:tcW w:w="900" w:type="dxa"/>
            <w:shd w:val="clear" w:color="auto" w:fill="E5B8B7" w:themeFill="accent2" w:themeFillTint="66"/>
          </w:tcPr>
          <w:p w:rsidR="00086AB0" w:rsidRPr="00B20172" w:rsidRDefault="00086AB0" w:rsidP="00720D9B">
            <w:pPr>
              <w:spacing w:after="0" w:line="240" w:lineRule="auto"/>
              <w:jc w:val="center"/>
              <w:rPr>
                <w:rFonts w:ascii="Arial Narrow" w:hAnsi="Arial Narrow"/>
                <w:sz w:val="18"/>
              </w:rPr>
            </w:pPr>
          </w:p>
        </w:tc>
        <w:tc>
          <w:tcPr>
            <w:tcW w:w="900" w:type="dxa"/>
            <w:shd w:val="clear" w:color="auto" w:fill="D6E3BC" w:themeFill="accent3" w:themeFillTint="66"/>
          </w:tcPr>
          <w:p w:rsidR="00086AB0" w:rsidRPr="00B20172" w:rsidRDefault="00086AB0" w:rsidP="00720D9B">
            <w:pPr>
              <w:spacing w:after="0" w:line="240" w:lineRule="auto"/>
              <w:jc w:val="center"/>
              <w:rPr>
                <w:rFonts w:ascii="Arial Narrow" w:hAnsi="Arial Narrow"/>
                <w:sz w:val="18"/>
              </w:rPr>
            </w:pPr>
          </w:p>
        </w:tc>
        <w:tc>
          <w:tcPr>
            <w:tcW w:w="898" w:type="dxa"/>
            <w:shd w:val="clear" w:color="auto" w:fill="D6E3BC" w:themeFill="accent3" w:themeFillTint="66"/>
          </w:tcPr>
          <w:p w:rsidR="00086AB0" w:rsidRPr="00B20172" w:rsidRDefault="00086AB0" w:rsidP="00720D9B">
            <w:pPr>
              <w:spacing w:after="0" w:line="240" w:lineRule="auto"/>
              <w:jc w:val="center"/>
              <w:rPr>
                <w:rFonts w:ascii="Arial Narrow" w:hAnsi="Arial Narrow"/>
                <w:sz w:val="18"/>
              </w:rPr>
            </w:pPr>
          </w:p>
        </w:tc>
        <w:tc>
          <w:tcPr>
            <w:tcW w:w="736"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r>
      <w:tr w:rsidR="00EE2FCE" w:rsidRPr="00B20172" w:rsidTr="00B20172">
        <w:trPr>
          <w:trHeight w:val="560"/>
        </w:trPr>
        <w:tc>
          <w:tcPr>
            <w:tcW w:w="1728" w:type="dxa"/>
            <w:shd w:val="clear" w:color="auto" w:fill="auto"/>
          </w:tcPr>
          <w:p w:rsidR="00EE2FCE" w:rsidRPr="00B20172" w:rsidRDefault="00EE2FCE" w:rsidP="003A7D78">
            <w:pPr>
              <w:pStyle w:val="ListParagraph"/>
              <w:numPr>
                <w:ilvl w:val="2"/>
                <w:numId w:val="5"/>
              </w:numPr>
              <w:spacing w:after="0" w:line="240" w:lineRule="auto"/>
              <w:ind w:left="360" w:hanging="218"/>
              <w:jc w:val="left"/>
              <w:rPr>
                <w:rFonts w:ascii="Arial Narrow" w:hAnsi="Arial Narrow"/>
                <w:sz w:val="18"/>
              </w:rPr>
            </w:pPr>
            <w:r w:rsidRPr="00B20172">
              <w:rPr>
                <w:rFonts w:ascii="Arial Narrow" w:hAnsi="Arial Narrow"/>
                <w:sz w:val="18"/>
              </w:rPr>
              <w:t xml:space="preserve">Cost of hospitalisation </w:t>
            </w:r>
            <w:proofErr w:type="spellStart"/>
            <w:r w:rsidRPr="00B20172">
              <w:rPr>
                <w:rFonts w:ascii="Arial Narrow" w:hAnsi="Arial Narrow"/>
                <w:sz w:val="18"/>
              </w:rPr>
              <w:t>incl</w:t>
            </w:r>
            <w:proofErr w:type="spellEnd"/>
            <w:r w:rsidRPr="00B20172">
              <w:rPr>
                <w:rFonts w:ascii="Arial Narrow" w:hAnsi="Arial Narrow"/>
                <w:sz w:val="18"/>
              </w:rPr>
              <w:t xml:space="preserve"> isolation</w:t>
            </w:r>
          </w:p>
        </w:tc>
        <w:tc>
          <w:tcPr>
            <w:tcW w:w="900" w:type="dxa"/>
            <w:shd w:val="clear" w:color="auto" w:fill="E5B8B7" w:themeFill="accent2" w:themeFillTint="66"/>
          </w:tcPr>
          <w:p w:rsidR="00EE2FCE" w:rsidRPr="00B20172" w:rsidRDefault="00EE2FCE" w:rsidP="00720D9B">
            <w:pPr>
              <w:spacing w:after="0" w:line="240" w:lineRule="auto"/>
              <w:jc w:val="center"/>
              <w:rPr>
                <w:rFonts w:ascii="Arial Narrow" w:hAnsi="Arial Narrow"/>
                <w:sz w:val="18"/>
              </w:rPr>
            </w:pPr>
          </w:p>
        </w:tc>
        <w:tc>
          <w:tcPr>
            <w:tcW w:w="900" w:type="dxa"/>
            <w:shd w:val="clear" w:color="auto" w:fill="E5B8B7" w:themeFill="accent2" w:themeFillTint="66"/>
          </w:tcPr>
          <w:p w:rsidR="00EE2FCE" w:rsidRPr="00B20172" w:rsidRDefault="00EE2FCE" w:rsidP="00720D9B">
            <w:pPr>
              <w:spacing w:after="0" w:line="240" w:lineRule="auto"/>
              <w:jc w:val="center"/>
              <w:rPr>
                <w:rFonts w:ascii="Arial Narrow" w:hAnsi="Arial Narrow"/>
                <w:sz w:val="18"/>
              </w:rPr>
            </w:pPr>
          </w:p>
        </w:tc>
        <w:tc>
          <w:tcPr>
            <w:tcW w:w="900" w:type="dxa"/>
            <w:shd w:val="clear" w:color="auto" w:fill="D6E3BC" w:themeFill="accent3" w:themeFillTint="66"/>
          </w:tcPr>
          <w:p w:rsidR="00EE2FCE" w:rsidRPr="00B20172" w:rsidRDefault="00EE2FCE" w:rsidP="00720D9B">
            <w:pPr>
              <w:spacing w:after="0" w:line="240" w:lineRule="auto"/>
              <w:jc w:val="center"/>
              <w:rPr>
                <w:rFonts w:ascii="Arial Narrow" w:hAnsi="Arial Narrow"/>
                <w:sz w:val="18"/>
              </w:rPr>
            </w:pPr>
          </w:p>
        </w:tc>
        <w:tc>
          <w:tcPr>
            <w:tcW w:w="898" w:type="dxa"/>
            <w:shd w:val="clear" w:color="auto" w:fill="D6E3BC" w:themeFill="accent3" w:themeFillTint="66"/>
          </w:tcPr>
          <w:p w:rsidR="00EE2FCE" w:rsidRPr="00B20172" w:rsidRDefault="00EE2FCE" w:rsidP="00720D9B">
            <w:pPr>
              <w:spacing w:after="0" w:line="240" w:lineRule="auto"/>
              <w:jc w:val="center"/>
              <w:rPr>
                <w:rFonts w:ascii="Arial Narrow" w:hAnsi="Arial Narrow"/>
                <w:sz w:val="18"/>
              </w:rPr>
            </w:pPr>
          </w:p>
        </w:tc>
        <w:tc>
          <w:tcPr>
            <w:tcW w:w="736" w:type="dxa"/>
            <w:shd w:val="clear" w:color="auto" w:fill="FBD4B4" w:themeFill="accent6" w:themeFillTint="66"/>
          </w:tcPr>
          <w:p w:rsidR="00EE2FCE" w:rsidRPr="00B20172" w:rsidRDefault="00EE2FCE" w:rsidP="00720D9B">
            <w:pPr>
              <w:spacing w:after="0" w:line="240" w:lineRule="auto"/>
              <w:jc w:val="center"/>
              <w:rPr>
                <w:rFonts w:ascii="Arial Narrow" w:hAnsi="Arial Narrow"/>
                <w:sz w:val="18"/>
              </w:rPr>
            </w:pPr>
          </w:p>
        </w:tc>
        <w:tc>
          <w:tcPr>
            <w:tcW w:w="737" w:type="dxa"/>
            <w:shd w:val="clear" w:color="auto" w:fill="FBD4B4" w:themeFill="accent6" w:themeFillTint="66"/>
          </w:tcPr>
          <w:p w:rsidR="00EE2FCE" w:rsidRPr="00B20172" w:rsidRDefault="00EE2FCE" w:rsidP="00720D9B">
            <w:pPr>
              <w:spacing w:after="0" w:line="240" w:lineRule="auto"/>
              <w:jc w:val="center"/>
              <w:rPr>
                <w:rFonts w:ascii="Arial Narrow" w:hAnsi="Arial Narrow"/>
                <w:sz w:val="18"/>
              </w:rPr>
            </w:pPr>
          </w:p>
        </w:tc>
        <w:tc>
          <w:tcPr>
            <w:tcW w:w="737" w:type="dxa"/>
            <w:shd w:val="clear" w:color="auto" w:fill="FBD4B4" w:themeFill="accent6" w:themeFillTint="66"/>
          </w:tcPr>
          <w:p w:rsidR="00EE2FCE" w:rsidRPr="00B20172" w:rsidRDefault="00EE2FCE" w:rsidP="00720D9B">
            <w:pPr>
              <w:spacing w:after="0" w:line="240" w:lineRule="auto"/>
              <w:jc w:val="center"/>
              <w:rPr>
                <w:rFonts w:ascii="Arial Narrow" w:hAnsi="Arial Narrow"/>
                <w:sz w:val="18"/>
              </w:rPr>
            </w:pPr>
          </w:p>
        </w:tc>
        <w:tc>
          <w:tcPr>
            <w:tcW w:w="737" w:type="dxa"/>
            <w:shd w:val="clear" w:color="auto" w:fill="FBD4B4" w:themeFill="accent6" w:themeFillTint="66"/>
          </w:tcPr>
          <w:p w:rsidR="00EE2FCE" w:rsidRPr="00B20172" w:rsidRDefault="00EE2FCE" w:rsidP="00720D9B">
            <w:pPr>
              <w:spacing w:after="0" w:line="240" w:lineRule="auto"/>
              <w:jc w:val="center"/>
              <w:rPr>
                <w:rFonts w:ascii="Arial Narrow" w:hAnsi="Arial Narrow"/>
                <w:sz w:val="18"/>
              </w:rPr>
            </w:pPr>
          </w:p>
        </w:tc>
        <w:tc>
          <w:tcPr>
            <w:tcW w:w="737" w:type="dxa"/>
            <w:shd w:val="clear" w:color="auto" w:fill="FBD4B4" w:themeFill="accent6" w:themeFillTint="66"/>
          </w:tcPr>
          <w:p w:rsidR="00EE2FCE" w:rsidRPr="00B20172" w:rsidRDefault="00EE2FCE" w:rsidP="00720D9B">
            <w:pPr>
              <w:spacing w:after="0" w:line="240" w:lineRule="auto"/>
              <w:jc w:val="center"/>
              <w:rPr>
                <w:rFonts w:ascii="Arial Narrow" w:hAnsi="Arial Narrow"/>
                <w:sz w:val="18"/>
              </w:rPr>
            </w:pPr>
          </w:p>
        </w:tc>
        <w:tc>
          <w:tcPr>
            <w:tcW w:w="737" w:type="dxa"/>
            <w:shd w:val="clear" w:color="auto" w:fill="FBD4B4" w:themeFill="accent6" w:themeFillTint="66"/>
          </w:tcPr>
          <w:p w:rsidR="00EE2FCE" w:rsidRPr="00B20172" w:rsidRDefault="00EE2FCE" w:rsidP="00720D9B">
            <w:pPr>
              <w:spacing w:after="0" w:line="240" w:lineRule="auto"/>
              <w:jc w:val="center"/>
              <w:rPr>
                <w:rFonts w:ascii="Arial Narrow" w:hAnsi="Arial Narrow"/>
                <w:sz w:val="18"/>
              </w:rPr>
            </w:pPr>
          </w:p>
        </w:tc>
      </w:tr>
      <w:tr w:rsidR="00E63D6C" w:rsidRPr="00B20172" w:rsidTr="00720D9B">
        <w:tc>
          <w:tcPr>
            <w:tcW w:w="1728" w:type="dxa"/>
            <w:shd w:val="clear" w:color="auto" w:fill="auto"/>
          </w:tcPr>
          <w:p w:rsidR="00E63D6C" w:rsidRPr="00B20172" w:rsidRDefault="00E63D6C" w:rsidP="003A7D78">
            <w:pPr>
              <w:pStyle w:val="ListParagraph"/>
              <w:numPr>
                <w:ilvl w:val="2"/>
                <w:numId w:val="5"/>
              </w:numPr>
              <w:spacing w:after="0" w:line="240" w:lineRule="auto"/>
              <w:ind w:left="360" w:hanging="218"/>
              <w:jc w:val="left"/>
              <w:rPr>
                <w:rFonts w:ascii="Arial Narrow" w:hAnsi="Arial Narrow"/>
                <w:sz w:val="18"/>
              </w:rPr>
            </w:pPr>
            <w:r w:rsidRPr="00B20172">
              <w:rPr>
                <w:rFonts w:ascii="Arial Narrow" w:hAnsi="Arial Narrow"/>
                <w:sz w:val="18"/>
              </w:rPr>
              <w:t>Microscopy for AFB &amp; culture</w:t>
            </w:r>
          </w:p>
        </w:tc>
        <w:tc>
          <w:tcPr>
            <w:tcW w:w="900" w:type="dxa"/>
            <w:shd w:val="clear" w:color="auto" w:fill="E5B8B7" w:themeFill="accent2" w:themeFillTint="66"/>
          </w:tcPr>
          <w:p w:rsidR="00E63D6C" w:rsidRPr="00B20172" w:rsidRDefault="00E63D6C" w:rsidP="00720D9B">
            <w:pPr>
              <w:spacing w:after="0" w:line="240" w:lineRule="auto"/>
              <w:jc w:val="center"/>
              <w:rPr>
                <w:rFonts w:ascii="Arial Narrow" w:hAnsi="Arial Narrow"/>
                <w:sz w:val="18"/>
              </w:rPr>
            </w:pPr>
          </w:p>
        </w:tc>
        <w:tc>
          <w:tcPr>
            <w:tcW w:w="900" w:type="dxa"/>
            <w:shd w:val="clear" w:color="auto" w:fill="E5B8B7" w:themeFill="accent2" w:themeFillTint="66"/>
          </w:tcPr>
          <w:p w:rsidR="00E63D6C" w:rsidRPr="00B20172" w:rsidRDefault="00E63D6C" w:rsidP="00720D9B">
            <w:pPr>
              <w:spacing w:after="0" w:line="240" w:lineRule="auto"/>
              <w:jc w:val="center"/>
              <w:rPr>
                <w:rFonts w:ascii="Arial Narrow" w:hAnsi="Arial Narrow"/>
                <w:sz w:val="18"/>
              </w:rPr>
            </w:pPr>
          </w:p>
        </w:tc>
        <w:tc>
          <w:tcPr>
            <w:tcW w:w="900" w:type="dxa"/>
            <w:shd w:val="clear" w:color="auto" w:fill="D6E3BC" w:themeFill="accent3" w:themeFillTint="66"/>
          </w:tcPr>
          <w:p w:rsidR="00E63D6C" w:rsidRPr="00B20172" w:rsidRDefault="00E63D6C" w:rsidP="00720D9B">
            <w:pPr>
              <w:spacing w:after="0" w:line="240" w:lineRule="auto"/>
              <w:jc w:val="center"/>
              <w:rPr>
                <w:rFonts w:ascii="Arial Narrow" w:hAnsi="Arial Narrow"/>
                <w:sz w:val="18"/>
              </w:rPr>
            </w:pPr>
          </w:p>
        </w:tc>
        <w:tc>
          <w:tcPr>
            <w:tcW w:w="898" w:type="dxa"/>
            <w:shd w:val="clear" w:color="auto" w:fill="D6E3BC" w:themeFill="accent3" w:themeFillTint="66"/>
          </w:tcPr>
          <w:p w:rsidR="00E63D6C" w:rsidRPr="00B20172" w:rsidRDefault="00E63D6C" w:rsidP="00720D9B">
            <w:pPr>
              <w:spacing w:after="0" w:line="240" w:lineRule="auto"/>
              <w:jc w:val="center"/>
              <w:rPr>
                <w:rFonts w:ascii="Arial Narrow" w:hAnsi="Arial Narrow"/>
                <w:sz w:val="18"/>
              </w:rPr>
            </w:pPr>
          </w:p>
        </w:tc>
        <w:tc>
          <w:tcPr>
            <w:tcW w:w="736" w:type="dxa"/>
            <w:shd w:val="clear" w:color="auto" w:fill="FBD4B4" w:themeFill="accent6" w:themeFillTint="66"/>
          </w:tcPr>
          <w:p w:rsidR="00E63D6C" w:rsidRPr="00B20172" w:rsidRDefault="00E63D6C" w:rsidP="00720D9B">
            <w:pPr>
              <w:spacing w:after="0" w:line="240" w:lineRule="auto"/>
              <w:jc w:val="center"/>
              <w:rPr>
                <w:rFonts w:ascii="Arial Narrow" w:hAnsi="Arial Narrow"/>
                <w:sz w:val="18"/>
              </w:rPr>
            </w:pPr>
            <w:r w:rsidRPr="00B20172">
              <w:rPr>
                <w:rFonts w:ascii="Arial Narrow" w:hAnsi="Arial Narrow"/>
                <w:sz w:val="18"/>
              </w:rPr>
              <w:t>69330</w:t>
            </w:r>
          </w:p>
        </w:tc>
        <w:tc>
          <w:tcPr>
            <w:tcW w:w="737" w:type="dxa"/>
            <w:shd w:val="clear" w:color="auto" w:fill="FBD4B4" w:themeFill="accent6" w:themeFillTint="66"/>
          </w:tcPr>
          <w:p w:rsidR="00E63D6C" w:rsidRPr="00B20172" w:rsidRDefault="00E63D6C" w:rsidP="00720D9B">
            <w:pPr>
              <w:spacing w:after="0" w:line="240" w:lineRule="auto"/>
              <w:jc w:val="center"/>
              <w:rPr>
                <w:rFonts w:ascii="Arial Narrow" w:hAnsi="Arial Narrow"/>
                <w:sz w:val="18"/>
              </w:rPr>
            </w:pPr>
          </w:p>
        </w:tc>
        <w:tc>
          <w:tcPr>
            <w:tcW w:w="737" w:type="dxa"/>
            <w:shd w:val="clear" w:color="auto" w:fill="FBD4B4" w:themeFill="accent6" w:themeFillTint="66"/>
          </w:tcPr>
          <w:p w:rsidR="00E63D6C" w:rsidRPr="00B20172" w:rsidRDefault="00E63D6C" w:rsidP="00720D9B">
            <w:pPr>
              <w:spacing w:after="0" w:line="240" w:lineRule="auto"/>
              <w:jc w:val="center"/>
              <w:rPr>
                <w:rFonts w:ascii="Arial Narrow" w:hAnsi="Arial Narrow"/>
                <w:sz w:val="18"/>
              </w:rPr>
            </w:pPr>
          </w:p>
        </w:tc>
        <w:tc>
          <w:tcPr>
            <w:tcW w:w="737" w:type="dxa"/>
            <w:shd w:val="clear" w:color="auto" w:fill="FBD4B4" w:themeFill="accent6" w:themeFillTint="66"/>
          </w:tcPr>
          <w:p w:rsidR="00E63D6C" w:rsidRPr="00B20172" w:rsidRDefault="00E63D6C" w:rsidP="00720D9B">
            <w:pPr>
              <w:spacing w:after="0" w:line="240" w:lineRule="auto"/>
              <w:jc w:val="center"/>
              <w:rPr>
                <w:rFonts w:ascii="Arial Narrow" w:hAnsi="Arial Narrow"/>
                <w:sz w:val="18"/>
              </w:rPr>
            </w:pPr>
          </w:p>
        </w:tc>
        <w:tc>
          <w:tcPr>
            <w:tcW w:w="737" w:type="dxa"/>
            <w:shd w:val="clear" w:color="auto" w:fill="FBD4B4" w:themeFill="accent6" w:themeFillTint="66"/>
          </w:tcPr>
          <w:p w:rsidR="00E63D6C" w:rsidRPr="00B20172" w:rsidRDefault="00E63D6C" w:rsidP="00720D9B">
            <w:pPr>
              <w:spacing w:after="0" w:line="240" w:lineRule="auto"/>
              <w:jc w:val="center"/>
              <w:rPr>
                <w:rFonts w:ascii="Arial Narrow" w:hAnsi="Arial Narrow"/>
                <w:sz w:val="18"/>
              </w:rPr>
            </w:pPr>
            <w:r w:rsidRPr="00B20172">
              <w:rPr>
                <w:rFonts w:ascii="Arial Narrow" w:hAnsi="Arial Narrow"/>
                <w:sz w:val="18"/>
              </w:rPr>
              <w:t>$19.20</w:t>
            </w:r>
          </w:p>
        </w:tc>
        <w:tc>
          <w:tcPr>
            <w:tcW w:w="737" w:type="dxa"/>
            <w:shd w:val="clear" w:color="auto" w:fill="FBD4B4" w:themeFill="accent6" w:themeFillTint="66"/>
          </w:tcPr>
          <w:p w:rsidR="00E63D6C" w:rsidRPr="00B20172" w:rsidRDefault="00E63D6C" w:rsidP="00720D9B">
            <w:pPr>
              <w:spacing w:after="0" w:line="240" w:lineRule="auto"/>
              <w:jc w:val="center"/>
              <w:rPr>
                <w:rFonts w:ascii="Arial Narrow" w:hAnsi="Arial Narrow"/>
                <w:sz w:val="18"/>
              </w:rPr>
            </w:pPr>
            <w:r w:rsidRPr="00B20172">
              <w:rPr>
                <w:rFonts w:ascii="Arial Narrow" w:hAnsi="Arial Narrow"/>
                <w:sz w:val="18"/>
              </w:rPr>
              <w:t>$128.00</w:t>
            </w:r>
          </w:p>
        </w:tc>
      </w:tr>
      <w:tr w:rsidR="00086AB0" w:rsidRPr="00B20172" w:rsidTr="00720D9B">
        <w:tc>
          <w:tcPr>
            <w:tcW w:w="9747" w:type="dxa"/>
            <w:gridSpan w:val="11"/>
            <w:shd w:val="clear" w:color="auto" w:fill="auto"/>
            <w:vAlign w:val="center"/>
          </w:tcPr>
          <w:p w:rsidR="00086AB0" w:rsidRPr="00B20172" w:rsidRDefault="00086AB0" w:rsidP="00720D9B">
            <w:pPr>
              <w:spacing w:after="0" w:line="240" w:lineRule="auto"/>
              <w:jc w:val="left"/>
              <w:rPr>
                <w:rFonts w:ascii="Arial Narrow" w:hAnsi="Arial Narrow"/>
                <w:sz w:val="18"/>
                <w:u w:val="single"/>
              </w:rPr>
            </w:pPr>
            <w:r w:rsidRPr="00B20172">
              <w:rPr>
                <w:rFonts w:ascii="Arial Narrow" w:hAnsi="Arial Narrow"/>
                <w:sz w:val="18"/>
                <w:u w:val="single"/>
              </w:rPr>
              <w:t>Resources provided to deliver comparator 1</w:t>
            </w:r>
          </w:p>
        </w:tc>
      </w:tr>
      <w:tr w:rsidR="00086AB0" w:rsidRPr="00B20172" w:rsidTr="00720D9B">
        <w:tc>
          <w:tcPr>
            <w:tcW w:w="1728" w:type="dxa"/>
            <w:shd w:val="clear" w:color="auto" w:fill="auto"/>
          </w:tcPr>
          <w:p w:rsidR="00086AB0" w:rsidRPr="00B20172" w:rsidRDefault="00516BCF" w:rsidP="003A7D78">
            <w:pPr>
              <w:pStyle w:val="ListParagraph"/>
              <w:numPr>
                <w:ilvl w:val="2"/>
                <w:numId w:val="5"/>
              </w:numPr>
              <w:spacing w:after="0" w:line="240" w:lineRule="auto"/>
              <w:ind w:left="360" w:hanging="218"/>
              <w:jc w:val="left"/>
              <w:rPr>
                <w:rFonts w:ascii="Arial Narrow" w:hAnsi="Arial Narrow"/>
                <w:sz w:val="18"/>
              </w:rPr>
            </w:pPr>
            <w:r w:rsidRPr="00B20172">
              <w:rPr>
                <w:rFonts w:ascii="Arial Narrow" w:hAnsi="Arial Narrow"/>
                <w:sz w:val="18"/>
              </w:rPr>
              <w:t>Microscopy for AFB &amp; culture</w:t>
            </w:r>
          </w:p>
        </w:tc>
        <w:tc>
          <w:tcPr>
            <w:tcW w:w="900" w:type="dxa"/>
            <w:shd w:val="clear" w:color="auto" w:fill="E5B8B7" w:themeFill="accent2" w:themeFillTint="66"/>
          </w:tcPr>
          <w:p w:rsidR="00086AB0" w:rsidRPr="00B20172" w:rsidRDefault="00086AB0" w:rsidP="00720D9B">
            <w:pPr>
              <w:spacing w:after="0" w:line="240" w:lineRule="auto"/>
              <w:jc w:val="center"/>
              <w:rPr>
                <w:rFonts w:ascii="Arial Narrow" w:hAnsi="Arial Narrow"/>
                <w:sz w:val="18"/>
              </w:rPr>
            </w:pPr>
          </w:p>
        </w:tc>
        <w:tc>
          <w:tcPr>
            <w:tcW w:w="900" w:type="dxa"/>
            <w:shd w:val="clear" w:color="auto" w:fill="E5B8B7" w:themeFill="accent2" w:themeFillTint="66"/>
          </w:tcPr>
          <w:p w:rsidR="00086AB0" w:rsidRPr="00B20172" w:rsidRDefault="00086AB0" w:rsidP="00720D9B">
            <w:pPr>
              <w:spacing w:after="0" w:line="240" w:lineRule="auto"/>
              <w:jc w:val="center"/>
              <w:rPr>
                <w:rFonts w:ascii="Arial Narrow" w:hAnsi="Arial Narrow"/>
                <w:sz w:val="18"/>
              </w:rPr>
            </w:pPr>
          </w:p>
        </w:tc>
        <w:tc>
          <w:tcPr>
            <w:tcW w:w="900" w:type="dxa"/>
            <w:shd w:val="clear" w:color="auto" w:fill="D6E3BC" w:themeFill="accent3" w:themeFillTint="66"/>
          </w:tcPr>
          <w:p w:rsidR="00086AB0" w:rsidRPr="00B20172" w:rsidRDefault="00086AB0" w:rsidP="00720D9B">
            <w:pPr>
              <w:spacing w:after="0" w:line="240" w:lineRule="auto"/>
              <w:jc w:val="center"/>
              <w:rPr>
                <w:rFonts w:ascii="Arial Narrow" w:hAnsi="Arial Narrow"/>
                <w:sz w:val="18"/>
              </w:rPr>
            </w:pPr>
          </w:p>
        </w:tc>
        <w:tc>
          <w:tcPr>
            <w:tcW w:w="898" w:type="dxa"/>
            <w:shd w:val="clear" w:color="auto" w:fill="D6E3BC" w:themeFill="accent3" w:themeFillTint="66"/>
          </w:tcPr>
          <w:p w:rsidR="00086AB0" w:rsidRPr="00B20172" w:rsidRDefault="00086AB0" w:rsidP="00720D9B">
            <w:pPr>
              <w:spacing w:after="0" w:line="240" w:lineRule="auto"/>
              <w:jc w:val="center"/>
              <w:rPr>
                <w:rFonts w:ascii="Arial Narrow" w:hAnsi="Arial Narrow"/>
                <w:sz w:val="18"/>
              </w:rPr>
            </w:pPr>
          </w:p>
        </w:tc>
        <w:tc>
          <w:tcPr>
            <w:tcW w:w="736"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B20172" w:rsidRDefault="00516BCF" w:rsidP="00720D9B">
            <w:pPr>
              <w:spacing w:after="0" w:line="240" w:lineRule="auto"/>
              <w:jc w:val="center"/>
              <w:rPr>
                <w:rFonts w:ascii="Arial Narrow" w:hAnsi="Arial Narrow"/>
                <w:sz w:val="18"/>
              </w:rPr>
            </w:pPr>
            <w:r w:rsidRPr="00B20172">
              <w:rPr>
                <w:rFonts w:ascii="Arial Narrow" w:hAnsi="Arial Narrow"/>
                <w:sz w:val="18"/>
              </w:rPr>
              <w:t>$19.20</w:t>
            </w:r>
          </w:p>
        </w:tc>
        <w:tc>
          <w:tcPr>
            <w:tcW w:w="737" w:type="dxa"/>
            <w:shd w:val="clear" w:color="auto" w:fill="FBD4B4" w:themeFill="accent6" w:themeFillTint="66"/>
          </w:tcPr>
          <w:p w:rsidR="00086AB0" w:rsidRPr="00B20172" w:rsidRDefault="00516BCF" w:rsidP="00720D9B">
            <w:pPr>
              <w:spacing w:after="0" w:line="240" w:lineRule="auto"/>
              <w:jc w:val="center"/>
              <w:rPr>
                <w:rFonts w:ascii="Arial Narrow" w:hAnsi="Arial Narrow"/>
                <w:sz w:val="18"/>
              </w:rPr>
            </w:pPr>
            <w:r w:rsidRPr="00B20172">
              <w:rPr>
                <w:rFonts w:ascii="Arial Narrow" w:hAnsi="Arial Narrow"/>
                <w:sz w:val="18"/>
              </w:rPr>
              <w:t>$128.00</w:t>
            </w:r>
          </w:p>
        </w:tc>
      </w:tr>
      <w:tr w:rsidR="00086AB0" w:rsidRPr="00B20172" w:rsidTr="00720D9B">
        <w:tc>
          <w:tcPr>
            <w:tcW w:w="1728" w:type="dxa"/>
            <w:shd w:val="clear" w:color="auto" w:fill="auto"/>
          </w:tcPr>
          <w:p w:rsidR="00086AB0" w:rsidRPr="00B20172" w:rsidRDefault="00086AB0" w:rsidP="003A7D78">
            <w:pPr>
              <w:pStyle w:val="ListParagraph"/>
              <w:numPr>
                <w:ilvl w:val="2"/>
                <w:numId w:val="5"/>
              </w:numPr>
              <w:spacing w:after="0" w:line="240" w:lineRule="auto"/>
              <w:ind w:left="360" w:hanging="218"/>
              <w:jc w:val="left"/>
              <w:rPr>
                <w:rFonts w:ascii="Arial Narrow" w:hAnsi="Arial Narrow"/>
                <w:sz w:val="18"/>
              </w:rPr>
            </w:pPr>
          </w:p>
        </w:tc>
        <w:tc>
          <w:tcPr>
            <w:tcW w:w="900" w:type="dxa"/>
            <w:shd w:val="clear" w:color="auto" w:fill="E5B8B7" w:themeFill="accent2" w:themeFillTint="66"/>
          </w:tcPr>
          <w:p w:rsidR="00086AB0" w:rsidRPr="00B20172" w:rsidRDefault="00086AB0" w:rsidP="00720D9B">
            <w:pPr>
              <w:spacing w:after="0" w:line="240" w:lineRule="auto"/>
              <w:jc w:val="center"/>
              <w:rPr>
                <w:rFonts w:ascii="Arial Narrow" w:hAnsi="Arial Narrow"/>
                <w:sz w:val="18"/>
              </w:rPr>
            </w:pPr>
          </w:p>
        </w:tc>
        <w:tc>
          <w:tcPr>
            <w:tcW w:w="900" w:type="dxa"/>
            <w:shd w:val="clear" w:color="auto" w:fill="E5B8B7" w:themeFill="accent2" w:themeFillTint="66"/>
          </w:tcPr>
          <w:p w:rsidR="00086AB0" w:rsidRPr="00B20172" w:rsidRDefault="00086AB0" w:rsidP="00720D9B">
            <w:pPr>
              <w:spacing w:after="0" w:line="240" w:lineRule="auto"/>
              <w:jc w:val="center"/>
              <w:rPr>
                <w:rFonts w:ascii="Arial Narrow" w:hAnsi="Arial Narrow"/>
                <w:sz w:val="18"/>
              </w:rPr>
            </w:pPr>
          </w:p>
        </w:tc>
        <w:tc>
          <w:tcPr>
            <w:tcW w:w="900" w:type="dxa"/>
            <w:shd w:val="clear" w:color="auto" w:fill="D6E3BC" w:themeFill="accent3" w:themeFillTint="66"/>
          </w:tcPr>
          <w:p w:rsidR="00086AB0" w:rsidRPr="00B20172" w:rsidRDefault="00086AB0" w:rsidP="00720D9B">
            <w:pPr>
              <w:spacing w:after="0" w:line="240" w:lineRule="auto"/>
              <w:jc w:val="center"/>
              <w:rPr>
                <w:rFonts w:ascii="Arial Narrow" w:hAnsi="Arial Narrow"/>
                <w:sz w:val="18"/>
              </w:rPr>
            </w:pPr>
          </w:p>
        </w:tc>
        <w:tc>
          <w:tcPr>
            <w:tcW w:w="898" w:type="dxa"/>
            <w:shd w:val="clear" w:color="auto" w:fill="D6E3BC" w:themeFill="accent3" w:themeFillTint="66"/>
          </w:tcPr>
          <w:p w:rsidR="00086AB0" w:rsidRPr="00B20172" w:rsidRDefault="00086AB0" w:rsidP="00720D9B">
            <w:pPr>
              <w:spacing w:after="0" w:line="240" w:lineRule="auto"/>
              <w:jc w:val="center"/>
              <w:rPr>
                <w:rFonts w:ascii="Arial Narrow" w:hAnsi="Arial Narrow"/>
                <w:sz w:val="18"/>
              </w:rPr>
            </w:pPr>
          </w:p>
        </w:tc>
        <w:tc>
          <w:tcPr>
            <w:tcW w:w="736"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r>
      <w:tr w:rsidR="00086AB0" w:rsidRPr="00B20172" w:rsidTr="00720D9B">
        <w:tc>
          <w:tcPr>
            <w:tcW w:w="9747" w:type="dxa"/>
            <w:gridSpan w:val="11"/>
            <w:shd w:val="clear" w:color="auto" w:fill="auto"/>
            <w:vAlign w:val="center"/>
          </w:tcPr>
          <w:p w:rsidR="00086AB0" w:rsidRPr="00B20172" w:rsidRDefault="00086AB0" w:rsidP="00720D9B">
            <w:pPr>
              <w:spacing w:after="0" w:line="240" w:lineRule="auto"/>
              <w:jc w:val="left"/>
              <w:rPr>
                <w:rFonts w:ascii="Arial Narrow" w:hAnsi="Arial Narrow"/>
                <w:sz w:val="18"/>
                <w:u w:val="single"/>
              </w:rPr>
            </w:pPr>
            <w:r w:rsidRPr="00B20172">
              <w:rPr>
                <w:rFonts w:ascii="Arial Narrow" w:hAnsi="Arial Narrow"/>
                <w:sz w:val="18"/>
                <w:u w:val="single"/>
              </w:rPr>
              <w:t>Resources provided in association with comparator 1 (e.g., pre-treatments, co-administered interventions, resources used to monitor or in follow-up, resources used in management of adverse events, resources used for treatment of down-stream conditions)</w:t>
            </w:r>
          </w:p>
        </w:tc>
      </w:tr>
      <w:tr w:rsidR="00086AB0" w:rsidRPr="00B20172" w:rsidTr="00720D9B">
        <w:tc>
          <w:tcPr>
            <w:tcW w:w="1728" w:type="dxa"/>
            <w:shd w:val="clear" w:color="auto" w:fill="auto"/>
          </w:tcPr>
          <w:p w:rsidR="00086AB0" w:rsidRPr="00B20172" w:rsidRDefault="00516BCF" w:rsidP="003A7D78">
            <w:pPr>
              <w:pStyle w:val="ListParagraph"/>
              <w:numPr>
                <w:ilvl w:val="2"/>
                <w:numId w:val="5"/>
              </w:numPr>
              <w:spacing w:after="0" w:line="240" w:lineRule="auto"/>
              <w:ind w:left="360" w:hanging="218"/>
              <w:jc w:val="left"/>
              <w:rPr>
                <w:rFonts w:ascii="Arial Narrow" w:hAnsi="Arial Narrow"/>
                <w:sz w:val="18"/>
              </w:rPr>
            </w:pPr>
            <w:r w:rsidRPr="00B20172">
              <w:rPr>
                <w:rFonts w:ascii="Arial Narrow" w:hAnsi="Arial Narrow"/>
                <w:sz w:val="18"/>
              </w:rPr>
              <w:t>Contact tracing</w:t>
            </w:r>
          </w:p>
        </w:tc>
        <w:tc>
          <w:tcPr>
            <w:tcW w:w="900" w:type="dxa"/>
            <w:shd w:val="clear" w:color="auto" w:fill="E5B8B7" w:themeFill="accent2" w:themeFillTint="66"/>
          </w:tcPr>
          <w:p w:rsidR="00086AB0" w:rsidRPr="00B20172" w:rsidRDefault="00086AB0" w:rsidP="00720D9B">
            <w:pPr>
              <w:spacing w:after="0" w:line="240" w:lineRule="auto"/>
              <w:jc w:val="center"/>
              <w:rPr>
                <w:rFonts w:ascii="Arial Narrow" w:hAnsi="Arial Narrow"/>
                <w:sz w:val="18"/>
              </w:rPr>
            </w:pPr>
          </w:p>
        </w:tc>
        <w:tc>
          <w:tcPr>
            <w:tcW w:w="900" w:type="dxa"/>
            <w:shd w:val="clear" w:color="auto" w:fill="E5B8B7" w:themeFill="accent2" w:themeFillTint="66"/>
          </w:tcPr>
          <w:p w:rsidR="00086AB0" w:rsidRPr="00B20172" w:rsidRDefault="00086AB0" w:rsidP="00720D9B">
            <w:pPr>
              <w:spacing w:after="0" w:line="240" w:lineRule="auto"/>
              <w:jc w:val="center"/>
              <w:rPr>
                <w:rFonts w:ascii="Arial Narrow" w:hAnsi="Arial Narrow"/>
                <w:sz w:val="18"/>
              </w:rPr>
            </w:pPr>
          </w:p>
        </w:tc>
        <w:tc>
          <w:tcPr>
            <w:tcW w:w="900" w:type="dxa"/>
            <w:shd w:val="clear" w:color="auto" w:fill="D6E3BC" w:themeFill="accent3" w:themeFillTint="66"/>
          </w:tcPr>
          <w:p w:rsidR="00086AB0" w:rsidRPr="00B20172" w:rsidRDefault="00086AB0" w:rsidP="00720D9B">
            <w:pPr>
              <w:spacing w:after="0" w:line="240" w:lineRule="auto"/>
              <w:jc w:val="center"/>
              <w:rPr>
                <w:rFonts w:ascii="Arial Narrow" w:hAnsi="Arial Narrow"/>
                <w:sz w:val="18"/>
              </w:rPr>
            </w:pPr>
          </w:p>
        </w:tc>
        <w:tc>
          <w:tcPr>
            <w:tcW w:w="898" w:type="dxa"/>
            <w:shd w:val="clear" w:color="auto" w:fill="D6E3BC" w:themeFill="accent3" w:themeFillTint="66"/>
          </w:tcPr>
          <w:p w:rsidR="00086AB0" w:rsidRPr="00B20172" w:rsidRDefault="00086AB0" w:rsidP="00720D9B">
            <w:pPr>
              <w:spacing w:after="0" w:line="240" w:lineRule="auto"/>
              <w:jc w:val="center"/>
              <w:rPr>
                <w:rFonts w:ascii="Arial Narrow" w:hAnsi="Arial Narrow"/>
                <w:sz w:val="18"/>
              </w:rPr>
            </w:pPr>
          </w:p>
        </w:tc>
        <w:tc>
          <w:tcPr>
            <w:tcW w:w="736"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r>
      <w:tr w:rsidR="00086AB0" w:rsidRPr="00B20172" w:rsidTr="00720D9B">
        <w:tc>
          <w:tcPr>
            <w:tcW w:w="1728" w:type="dxa"/>
            <w:shd w:val="clear" w:color="auto" w:fill="auto"/>
          </w:tcPr>
          <w:p w:rsidR="00086AB0" w:rsidRPr="00B20172" w:rsidRDefault="00516BCF" w:rsidP="003A7D78">
            <w:pPr>
              <w:pStyle w:val="ListParagraph"/>
              <w:numPr>
                <w:ilvl w:val="2"/>
                <w:numId w:val="5"/>
              </w:numPr>
              <w:spacing w:after="0" w:line="240" w:lineRule="auto"/>
              <w:ind w:left="360" w:hanging="218"/>
              <w:jc w:val="left"/>
              <w:rPr>
                <w:rFonts w:ascii="Arial Narrow" w:hAnsi="Arial Narrow"/>
                <w:sz w:val="18"/>
              </w:rPr>
            </w:pPr>
            <w:r w:rsidRPr="00B20172">
              <w:rPr>
                <w:rFonts w:ascii="Arial Narrow" w:hAnsi="Arial Narrow"/>
                <w:sz w:val="18"/>
              </w:rPr>
              <w:t>Cost of antibiotics</w:t>
            </w:r>
          </w:p>
        </w:tc>
        <w:tc>
          <w:tcPr>
            <w:tcW w:w="900" w:type="dxa"/>
            <w:shd w:val="clear" w:color="auto" w:fill="E5B8B7" w:themeFill="accent2" w:themeFillTint="66"/>
          </w:tcPr>
          <w:p w:rsidR="00086AB0" w:rsidRPr="00B20172" w:rsidRDefault="00086AB0" w:rsidP="00720D9B">
            <w:pPr>
              <w:spacing w:after="0" w:line="240" w:lineRule="auto"/>
              <w:jc w:val="center"/>
              <w:rPr>
                <w:rFonts w:ascii="Arial Narrow" w:hAnsi="Arial Narrow"/>
                <w:sz w:val="18"/>
              </w:rPr>
            </w:pPr>
          </w:p>
        </w:tc>
        <w:tc>
          <w:tcPr>
            <w:tcW w:w="900" w:type="dxa"/>
            <w:shd w:val="clear" w:color="auto" w:fill="E5B8B7" w:themeFill="accent2" w:themeFillTint="66"/>
          </w:tcPr>
          <w:p w:rsidR="00086AB0" w:rsidRPr="00B20172" w:rsidRDefault="00086AB0" w:rsidP="00720D9B">
            <w:pPr>
              <w:spacing w:after="0" w:line="240" w:lineRule="auto"/>
              <w:jc w:val="center"/>
              <w:rPr>
                <w:rFonts w:ascii="Arial Narrow" w:hAnsi="Arial Narrow"/>
                <w:sz w:val="18"/>
              </w:rPr>
            </w:pPr>
          </w:p>
        </w:tc>
        <w:tc>
          <w:tcPr>
            <w:tcW w:w="900" w:type="dxa"/>
            <w:shd w:val="clear" w:color="auto" w:fill="D6E3BC" w:themeFill="accent3" w:themeFillTint="66"/>
          </w:tcPr>
          <w:p w:rsidR="00086AB0" w:rsidRPr="00B20172" w:rsidRDefault="00086AB0" w:rsidP="00720D9B">
            <w:pPr>
              <w:spacing w:after="0" w:line="240" w:lineRule="auto"/>
              <w:jc w:val="center"/>
              <w:rPr>
                <w:rFonts w:ascii="Arial Narrow" w:hAnsi="Arial Narrow"/>
                <w:sz w:val="18"/>
              </w:rPr>
            </w:pPr>
          </w:p>
        </w:tc>
        <w:tc>
          <w:tcPr>
            <w:tcW w:w="898" w:type="dxa"/>
            <w:shd w:val="clear" w:color="auto" w:fill="D6E3BC" w:themeFill="accent3" w:themeFillTint="66"/>
          </w:tcPr>
          <w:p w:rsidR="00086AB0" w:rsidRPr="00B20172" w:rsidRDefault="00086AB0" w:rsidP="00720D9B">
            <w:pPr>
              <w:spacing w:after="0" w:line="240" w:lineRule="auto"/>
              <w:jc w:val="center"/>
              <w:rPr>
                <w:rFonts w:ascii="Arial Narrow" w:hAnsi="Arial Narrow"/>
                <w:sz w:val="18"/>
              </w:rPr>
            </w:pPr>
          </w:p>
        </w:tc>
        <w:tc>
          <w:tcPr>
            <w:tcW w:w="736"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B20172" w:rsidRDefault="00086AB0" w:rsidP="00720D9B">
            <w:pPr>
              <w:spacing w:after="0" w:line="240" w:lineRule="auto"/>
              <w:jc w:val="center"/>
              <w:rPr>
                <w:rFonts w:ascii="Arial Narrow" w:hAnsi="Arial Narrow"/>
                <w:sz w:val="18"/>
              </w:rPr>
            </w:pPr>
          </w:p>
        </w:tc>
      </w:tr>
      <w:tr w:rsidR="00C3218A" w:rsidRPr="00B20172" w:rsidTr="00720D9B">
        <w:tc>
          <w:tcPr>
            <w:tcW w:w="1728" w:type="dxa"/>
            <w:shd w:val="clear" w:color="auto" w:fill="auto"/>
          </w:tcPr>
          <w:p w:rsidR="00C3218A" w:rsidRPr="00B20172" w:rsidRDefault="00C3218A" w:rsidP="003A7D78">
            <w:pPr>
              <w:pStyle w:val="ListParagraph"/>
              <w:numPr>
                <w:ilvl w:val="2"/>
                <w:numId w:val="5"/>
              </w:numPr>
              <w:spacing w:after="0" w:line="240" w:lineRule="auto"/>
              <w:ind w:left="360" w:hanging="218"/>
              <w:jc w:val="left"/>
              <w:rPr>
                <w:rFonts w:ascii="Arial Narrow" w:hAnsi="Arial Narrow"/>
                <w:sz w:val="18"/>
              </w:rPr>
            </w:pPr>
            <w:r w:rsidRPr="00B20172">
              <w:rPr>
                <w:rFonts w:ascii="Arial Narrow" w:hAnsi="Arial Narrow"/>
                <w:sz w:val="18"/>
              </w:rPr>
              <w:t xml:space="preserve">Cost of hospitalisation </w:t>
            </w:r>
            <w:proofErr w:type="spellStart"/>
            <w:r w:rsidRPr="00B20172">
              <w:rPr>
                <w:rFonts w:ascii="Arial Narrow" w:hAnsi="Arial Narrow"/>
                <w:sz w:val="18"/>
              </w:rPr>
              <w:t>incl</w:t>
            </w:r>
            <w:proofErr w:type="spellEnd"/>
            <w:r w:rsidRPr="00B20172">
              <w:rPr>
                <w:rFonts w:ascii="Arial Narrow" w:hAnsi="Arial Narrow"/>
                <w:sz w:val="18"/>
              </w:rPr>
              <w:t xml:space="preserve"> isolation</w:t>
            </w:r>
          </w:p>
        </w:tc>
        <w:tc>
          <w:tcPr>
            <w:tcW w:w="900" w:type="dxa"/>
            <w:shd w:val="clear" w:color="auto" w:fill="E5B8B7" w:themeFill="accent2" w:themeFillTint="66"/>
          </w:tcPr>
          <w:p w:rsidR="00C3218A" w:rsidRPr="00B20172" w:rsidRDefault="00C3218A" w:rsidP="00720D9B">
            <w:pPr>
              <w:spacing w:after="0" w:line="240" w:lineRule="auto"/>
              <w:jc w:val="center"/>
              <w:rPr>
                <w:rFonts w:ascii="Arial Narrow" w:hAnsi="Arial Narrow"/>
                <w:sz w:val="18"/>
              </w:rPr>
            </w:pPr>
          </w:p>
        </w:tc>
        <w:tc>
          <w:tcPr>
            <w:tcW w:w="900" w:type="dxa"/>
            <w:shd w:val="clear" w:color="auto" w:fill="E5B8B7" w:themeFill="accent2" w:themeFillTint="66"/>
          </w:tcPr>
          <w:p w:rsidR="00C3218A" w:rsidRPr="00B20172" w:rsidRDefault="00C3218A" w:rsidP="00720D9B">
            <w:pPr>
              <w:spacing w:after="0" w:line="240" w:lineRule="auto"/>
              <w:jc w:val="center"/>
              <w:rPr>
                <w:rFonts w:ascii="Arial Narrow" w:hAnsi="Arial Narrow"/>
                <w:sz w:val="18"/>
              </w:rPr>
            </w:pPr>
          </w:p>
        </w:tc>
        <w:tc>
          <w:tcPr>
            <w:tcW w:w="900" w:type="dxa"/>
            <w:shd w:val="clear" w:color="auto" w:fill="D6E3BC" w:themeFill="accent3" w:themeFillTint="66"/>
          </w:tcPr>
          <w:p w:rsidR="00C3218A" w:rsidRPr="00B20172" w:rsidRDefault="00C3218A" w:rsidP="00720D9B">
            <w:pPr>
              <w:spacing w:after="0" w:line="240" w:lineRule="auto"/>
              <w:jc w:val="center"/>
              <w:rPr>
                <w:rFonts w:ascii="Arial Narrow" w:hAnsi="Arial Narrow"/>
                <w:sz w:val="18"/>
              </w:rPr>
            </w:pPr>
          </w:p>
        </w:tc>
        <w:tc>
          <w:tcPr>
            <w:tcW w:w="898" w:type="dxa"/>
            <w:shd w:val="clear" w:color="auto" w:fill="D6E3BC" w:themeFill="accent3" w:themeFillTint="66"/>
          </w:tcPr>
          <w:p w:rsidR="00C3218A" w:rsidRPr="00B20172" w:rsidRDefault="00C3218A" w:rsidP="00720D9B">
            <w:pPr>
              <w:spacing w:after="0" w:line="240" w:lineRule="auto"/>
              <w:jc w:val="center"/>
              <w:rPr>
                <w:rFonts w:ascii="Arial Narrow" w:hAnsi="Arial Narrow"/>
                <w:sz w:val="18"/>
              </w:rPr>
            </w:pPr>
          </w:p>
        </w:tc>
        <w:tc>
          <w:tcPr>
            <w:tcW w:w="736" w:type="dxa"/>
            <w:shd w:val="clear" w:color="auto" w:fill="FBD4B4" w:themeFill="accent6" w:themeFillTint="66"/>
          </w:tcPr>
          <w:p w:rsidR="00C3218A" w:rsidRPr="00B20172" w:rsidRDefault="00C3218A" w:rsidP="00720D9B">
            <w:pPr>
              <w:spacing w:after="0" w:line="240" w:lineRule="auto"/>
              <w:jc w:val="center"/>
              <w:rPr>
                <w:rFonts w:ascii="Arial Narrow" w:hAnsi="Arial Narrow"/>
                <w:sz w:val="18"/>
              </w:rPr>
            </w:pPr>
          </w:p>
        </w:tc>
        <w:tc>
          <w:tcPr>
            <w:tcW w:w="737" w:type="dxa"/>
            <w:shd w:val="clear" w:color="auto" w:fill="FBD4B4" w:themeFill="accent6" w:themeFillTint="66"/>
          </w:tcPr>
          <w:p w:rsidR="00C3218A" w:rsidRPr="00B20172" w:rsidRDefault="00C3218A" w:rsidP="00720D9B">
            <w:pPr>
              <w:spacing w:after="0" w:line="240" w:lineRule="auto"/>
              <w:jc w:val="center"/>
              <w:rPr>
                <w:rFonts w:ascii="Arial Narrow" w:hAnsi="Arial Narrow"/>
                <w:sz w:val="18"/>
              </w:rPr>
            </w:pPr>
          </w:p>
        </w:tc>
        <w:tc>
          <w:tcPr>
            <w:tcW w:w="737" w:type="dxa"/>
            <w:shd w:val="clear" w:color="auto" w:fill="FBD4B4" w:themeFill="accent6" w:themeFillTint="66"/>
          </w:tcPr>
          <w:p w:rsidR="00C3218A" w:rsidRPr="00B20172" w:rsidRDefault="00C3218A" w:rsidP="00720D9B">
            <w:pPr>
              <w:spacing w:after="0" w:line="240" w:lineRule="auto"/>
              <w:jc w:val="center"/>
              <w:rPr>
                <w:rFonts w:ascii="Arial Narrow" w:hAnsi="Arial Narrow"/>
                <w:sz w:val="18"/>
              </w:rPr>
            </w:pPr>
          </w:p>
        </w:tc>
        <w:tc>
          <w:tcPr>
            <w:tcW w:w="737" w:type="dxa"/>
            <w:shd w:val="clear" w:color="auto" w:fill="FBD4B4" w:themeFill="accent6" w:themeFillTint="66"/>
          </w:tcPr>
          <w:p w:rsidR="00C3218A" w:rsidRPr="00B20172" w:rsidRDefault="00C3218A" w:rsidP="00720D9B">
            <w:pPr>
              <w:spacing w:after="0" w:line="240" w:lineRule="auto"/>
              <w:jc w:val="center"/>
              <w:rPr>
                <w:rFonts w:ascii="Arial Narrow" w:hAnsi="Arial Narrow"/>
                <w:sz w:val="18"/>
              </w:rPr>
            </w:pPr>
          </w:p>
        </w:tc>
        <w:tc>
          <w:tcPr>
            <w:tcW w:w="737" w:type="dxa"/>
            <w:shd w:val="clear" w:color="auto" w:fill="FBD4B4" w:themeFill="accent6" w:themeFillTint="66"/>
          </w:tcPr>
          <w:p w:rsidR="00C3218A" w:rsidRPr="00B20172" w:rsidRDefault="00C3218A" w:rsidP="00720D9B">
            <w:pPr>
              <w:spacing w:after="0" w:line="240" w:lineRule="auto"/>
              <w:jc w:val="center"/>
              <w:rPr>
                <w:rFonts w:ascii="Arial Narrow" w:hAnsi="Arial Narrow"/>
                <w:sz w:val="18"/>
              </w:rPr>
            </w:pPr>
          </w:p>
        </w:tc>
        <w:tc>
          <w:tcPr>
            <w:tcW w:w="737" w:type="dxa"/>
            <w:shd w:val="clear" w:color="auto" w:fill="FBD4B4" w:themeFill="accent6" w:themeFillTint="66"/>
          </w:tcPr>
          <w:p w:rsidR="00C3218A" w:rsidRPr="00B20172" w:rsidRDefault="00C3218A" w:rsidP="00720D9B">
            <w:pPr>
              <w:spacing w:after="0" w:line="240" w:lineRule="auto"/>
              <w:jc w:val="center"/>
              <w:rPr>
                <w:rFonts w:ascii="Arial Narrow" w:hAnsi="Arial Narrow"/>
                <w:sz w:val="18"/>
              </w:rPr>
            </w:pPr>
          </w:p>
        </w:tc>
      </w:tr>
      <w:tr w:rsidR="00C3218A" w:rsidRPr="00B20172" w:rsidTr="00720D9B">
        <w:tc>
          <w:tcPr>
            <w:tcW w:w="1728" w:type="dxa"/>
            <w:shd w:val="clear" w:color="auto" w:fill="auto"/>
          </w:tcPr>
          <w:p w:rsidR="00C3218A" w:rsidRPr="00B20172" w:rsidRDefault="00C3218A" w:rsidP="003A7D78">
            <w:pPr>
              <w:pStyle w:val="ListParagraph"/>
              <w:numPr>
                <w:ilvl w:val="2"/>
                <w:numId w:val="5"/>
              </w:numPr>
              <w:spacing w:after="0" w:line="240" w:lineRule="auto"/>
              <w:ind w:left="360" w:hanging="218"/>
              <w:jc w:val="left"/>
              <w:rPr>
                <w:rFonts w:ascii="Arial Narrow" w:hAnsi="Arial Narrow"/>
                <w:sz w:val="18"/>
              </w:rPr>
            </w:pPr>
            <w:r w:rsidRPr="00B20172">
              <w:rPr>
                <w:rFonts w:ascii="Arial Narrow" w:hAnsi="Arial Narrow"/>
                <w:sz w:val="18"/>
              </w:rPr>
              <w:t>Microscopy for AFB &amp; culture</w:t>
            </w:r>
          </w:p>
        </w:tc>
        <w:tc>
          <w:tcPr>
            <w:tcW w:w="900" w:type="dxa"/>
            <w:shd w:val="clear" w:color="auto" w:fill="E5B8B7" w:themeFill="accent2" w:themeFillTint="66"/>
          </w:tcPr>
          <w:p w:rsidR="00C3218A" w:rsidRPr="00B20172" w:rsidRDefault="00C3218A" w:rsidP="00720D9B">
            <w:pPr>
              <w:spacing w:after="0" w:line="240" w:lineRule="auto"/>
              <w:jc w:val="center"/>
              <w:rPr>
                <w:rFonts w:ascii="Arial Narrow" w:hAnsi="Arial Narrow"/>
                <w:sz w:val="18"/>
              </w:rPr>
            </w:pPr>
          </w:p>
        </w:tc>
        <w:tc>
          <w:tcPr>
            <w:tcW w:w="900" w:type="dxa"/>
            <w:shd w:val="clear" w:color="auto" w:fill="E5B8B7" w:themeFill="accent2" w:themeFillTint="66"/>
          </w:tcPr>
          <w:p w:rsidR="00C3218A" w:rsidRPr="00B20172" w:rsidRDefault="00C3218A" w:rsidP="00720D9B">
            <w:pPr>
              <w:spacing w:after="0" w:line="240" w:lineRule="auto"/>
              <w:jc w:val="center"/>
              <w:rPr>
                <w:rFonts w:ascii="Arial Narrow" w:hAnsi="Arial Narrow"/>
                <w:sz w:val="18"/>
              </w:rPr>
            </w:pPr>
          </w:p>
        </w:tc>
        <w:tc>
          <w:tcPr>
            <w:tcW w:w="900" w:type="dxa"/>
            <w:shd w:val="clear" w:color="auto" w:fill="D6E3BC" w:themeFill="accent3" w:themeFillTint="66"/>
          </w:tcPr>
          <w:p w:rsidR="00C3218A" w:rsidRPr="00B20172" w:rsidRDefault="00C3218A" w:rsidP="00720D9B">
            <w:pPr>
              <w:spacing w:after="0" w:line="240" w:lineRule="auto"/>
              <w:jc w:val="center"/>
              <w:rPr>
                <w:rFonts w:ascii="Arial Narrow" w:hAnsi="Arial Narrow"/>
                <w:sz w:val="18"/>
              </w:rPr>
            </w:pPr>
          </w:p>
        </w:tc>
        <w:tc>
          <w:tcPr>
            <w:tcW w:w="898" w:type="dxa"/>
            <w:shd w:val="clear" w:color="auto" w:fill="D6E3BC" w:themeFill="accent3" w:themeFillTint="66"/>
          </w:tcPr>
          <w:p w:rsidR="00C3218A" w:rsidRPr="00B20172" w:rsidRDefault="00C3218A" w:rsidP="00720D9B">
            <w:pPr>
              <w:spacing w:after="0" w:line="240" w:lineRule="auto"/>
              <w:jc w:val="center"/>
              <w:rPr>
                <w:rFonts w:ascii="Arial Narrow" w:hAnsi="Arial Narrow"/>
                <w:sz w:val="18"/>
              </w:rPr>
            </w:pPr>
          </w:p>
        </w:tc>
        <w:tc>
          <w:tcPr>
            <w:tcW w:w="736" w:type="dxa"/>
            <w:shd w:val="clear" w:color="auto" w:fill="FBD4B4" w:themeFill="accent6" w:themeFillTint="66"/>
          </w:tcPr>
          <w:p w:rsidR="00C3218A" w:rsidRPr="00B20172" w:rsidRDefault="00C3218A" w:rsidP="00720D9B">
            <w:pPr>
              <w:spacing w:after="0" w:line="240" w:lineRule="auto"/>
              <w:jc w:val="center"/>
              <w:rPr>
                <w:rFonts w:ascii="Arial Narrow" w:hAnsi="Arial Narrow"/>
                <w:sz w:val="18"/>
              </w:rPr>
            </w:pPr>
          </w:p>
        </w:tc>
        <w:tc>
          <w:tcPr>
            <w:tcW w:w="737" w:type="dxa"/>
            <w:shd w:val="clear" w:color="auto" w:fill="FBD4B4" w:themeFill="accent6" w:themeFillTint="66"/>
          </w:tcPr>
          <w:p w:rsidR="00C3218A" w:rsidRPr="00B20172" w:rsidRDefault="00C3218A" w:rsidP="00720D9B">
            <w:pPr>
              <w:spacing w:after="0" w:line="240" w:lineRule="auto"/>
              <w:jc w:val="center"/>
              <w:rPr>
                <w:rFonts w:ascii="Arial Narrow" w:hAnsi="Arial Narrow"/>
                <w:sz w:val="18"/>
              </w:rPr>
            </w:pPr>
          </w:p>
        </w:tc>
        <w:tc>
          <w:tcPr>
            <w:tcW w:w="737" w:type="dxa"/>
            <w:shd w:val="clear" w:color="auto" w:fill="FBD4B4" w:themeFill="accent6" w:themeFillTint="66"/>
          </w:tcPr>
          <w:p w:rsidR="00C3218A" w:rsidRPr="00B20172" w:rsidRDefault="00C3218A" w:rsidP="00720D9B">
            <w:pPr>
              <w:spacing w:after="0" w:line="240" w:lineRule="auto"/>
              <w:jc w:val="center"/>
              <w:rPr>
                <w:rFonts w:ascii="Arial Narrow" w:hAnsi="Arial Narrow"/>
                <w:sz w:val="18"/>
              </w:rPr>
            </w:pPr>
          </w:p>
        </w:tc>
        <w:tc>
          <w:tcPr>
            <w:tcW w:w="737" w:type="dxa"/>
            <w:shd w:val="clear" w:color="auto" w:fill="FBD4B4" w:themeFill="accent6" w:themeFillTint="66"/>
          </w:tcPr>
          <w:p w:rsidR="00C3218A" w:rsidRPr="00B20172" w:rsidRDefault="00C3218A" w:rsidP="00720D9B">
            <w:pPr>
              <w:spacing w:after="0" w:line="240" w:lineRule="auto"/>
              <w:jc w:val="center"/>
              <w:rPr>
                <w:rFonts w:ascii="Arial Narrow" w:hAnsi="Arial Narrow"/>
                <w:sz w:val="18"/>
              </w:rPr>
            </w:pPr>
          </w:p>
        </w:tc>
        <w:tc>
          <w:tcPr>
            <w:tcW w:w="737" w:type="dxa"/>
            <w:shd w:val="clear" w:color="auto" w:fill="FBD4B4" w:themeFill="accent6" w:themeFillTint="66"/>
          </w:tcPr>
          <w:p w:rsidR="00C3218A" w:rsidRPr="00B20172" w:rsidRDefault="00C3218A" w:rsidP="00720D9B">
            <w:pPr>
              <w:spacing w:after="0" w:line="240" w:lineRule="auto"/>
              <w:jc w:val="center"/>
              <w:rPr>
                <w:rFonts w:ascii="Arial Narrow" w:hAnsi="Arial Narrow"/>
                <w:sz w:val="18"/>
              </w:rPr>
            </w:pPr>
          </w:p>
        </w:tc>
        <w:tc>
          <w:tcPr>
            <w:tcW w:w="737" w:type="dxa"/>
            <w:shd w:val="clear" w:color="auto" w:fill="FBD4B4" w:themeFill="accent6" w:themeFillTint="66"/>
          </w:tcPr>
          <w:p w:rsidR="00C3218A" w:rsidRPr="00B20172" w:rsidRDefault="00C3218A" w:rsidP="00720D9B">
            <w:pPr>
              <w:spacing w:after="0" w:line="240" w:lineRule="auto"/>
              <w:jc w:val="center"/>
              <w:rPr>
                <w:rFonts w:ascii="Arial Narrow" w:hAnsi="Arial Narrow"/>
                <w:sz w:val="18"/>
              </w:rPr>
            </w:pPr>
          </w:p>
        </w:tc>
      </w:tr>
    </w:tbl>
    <w:p w:rsidR="00086AB0" w:rsidRPr="00A764B8" w:rsidRDefault="00086AB0" w:rsidP="00086AB0">
      <w:pPr>
        <w:rPr>
          <w:rFonts w:ascii="Arial Narrow" w:hAnsi="Arial Narrow" w:cs="Arial"/>
          <w:sz w:val="18"/>
          <w:szCs w:val="18"/>
        </w:rPr>
      </w:pPr>
      <w:r w:rsidRPr="00B20172">
        <w:rPr>
          <w:rFonts w:ascii="Arial Narrow" w:hAnsi="Arial Narrow" w:cs="Arial"/>
          <w:sz w:val="18"/>
          <w:szCs w:val="18"/>
        </w:rPr>
        <w:t>* Include costs relating to both the standard and extended safety net.</w:t>
      </w:r>
    </w:p>
    <w:sectPr w:rsidR="00086AB0" w:rsidRPr="00A764B8" w:rsidSect="00135C31">
      <w:endnotePr>
        <w:numFmt w:val="decimal"/>
      </w:endnotePr>
      <w:pgSz w:w="11906" w:h="16838"/>
      <w:pgMar w:top="1361" w:right="1418" w:bottom="1361"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3C0" w:rsidRDefault="006233C0" w:rsidP="000901A8">
      <w:r>
        <w:separator/>
      </w:r>
    </w:p>
  </w:endnote>
  <w:endnote w:type="continuationSeparator" w:id="0">
    <w:p w:rsidR="006233C0" w:rsidRDefault="006233C0" w:rsidP="000901A8">
      <w:r>
        <w:continuationSeparator/>
      </w:r>
    </w:p>
  </w:endnote>
  <w:endnote w:id="1">
    <w:p w:rsidR="006233C0" w:rsidRDefault="006233C0">
      <w:pPr>
        <w:pStyle w:val="EndnoteText"/>
      </w:pPr>
      <w:r>
        <w:rPr>
          <w:rStyle w:val="EndnoteReference"/>
        </w:rPr>
        <w:endnoteRef/>
      </w:r>
      <w:r>
        <w:t xml:space="preserve"> The strategic plan for control of tuberculosis in Australia: 2011-2015. </w:t>
      </w:r>
      <w:r w:rsidRPr="00621D49">
        <w:rPr>
          <w:i/>
        </w:rPr>
        <w:t>Communicable Diseases Intelligence Volume 36 No 3 - September 2012</w:t>
      </w:r>
      <w:r>
        <w:t xml:space="preserve">  </w:t>
      </w:r>
    </w:p>
  </w:endnote>
  <w:endnote w:id="2">
    <w:p w:rsidR="006233C0" w:rsidRDefault="006233C0">
      <w:pPr>
        <w:pStyle w:val="EndnoteText"/>
      </w:pPr>
      <w:r>
        <w:rPr>
          <w:rStyle w:val="EndnoteReference"/>
        </w:rPr>
        <w:endnoteRef/>
      </w:r>
      <w:r>
        <w:t xml:space="preserve"> </w:t>
      </w:r>
      <w:r w:rsidRPr="00A068EE">
        <w:t>http://www.fda.gov/medicaldevices/productsandmedicalprocedures/invitrodiagnostics/ucm330711.htm</w:t>
      </w:r>
    </w:p>
  </w:endnote>
  <w:endnote w:id="3">
    <w:p w:rsidR="006233C0" w:rsidRDefault="006233C0">
      <w:pPr>
        <w:pStyle w:val="EndnoteText"/>
      </w:pPr>
      <w:r>
        <w:rPr>
          <w:rStyle w:val="EndnoteReference"/>
        </w:rPr>
        <w:endnoteRef/>
      </w:r>
      <w:r>
        <w:t xml:space="preserve"> Update guidelines for the use of Nucleic Acid Amplification Tests in the Diagnosis of Tuberculosis</w:t>
      </w:r>
    </w:p>
  </w:endnote>
  <w:endnote w:id="4">
    <w:p w:rsidR="006233C0" w:rsidRDefault="006233C0">
      <w:pPr>
        <w:pStyle w:val="EndnoteText"/>
      </w:pPr>
      <w:r>
        <w:rPr>
          <w:rStyle w:val="EndnoteReference"/>
        </w:rPr>
        <w:endnoteRef/>
      </w:r>
      <w:r>
        <w:t xml:space="preserve"> US Food and Drug Administration, 510(k) Decision Summary (K131706) Xpert</w:t>
      </w:r>
      <w:r w:rsidRPr="00A548E3">
        <w:rPr>
          <w:vertAlign w:val="superscript"/>
        </w:rPr>
        <w:t>®</w:t>
      </w:r>
      <w:r>
        <w:t xml:space="preserve"> MTB/RIF Assay </w:t>
      </w:r>
      <w:hyperlink r:id="rId1" w:tooltip="Link to the U.S. government FDA web site" w:history="1">
        <w:r w:rsidRPr="00E750C4">
          <w:rPr>
            <w:rStyle w:val="Hyperlink"/>
          </w:rPr>
          <w:t>http://www.fda.gov/medicaldevices/productsandmedicalprocedures/invitrodiagnostics/ucm330711.htm</w:t>
        </w:r>
      </w:hyperlink>
      <w:r>
        <w:t xml:space="preserve"> (accessed 4/11/2013)</w:t>
      </w:r>
    </w:p>
  </w:endnote>
  <w:endnote w:id="5">
    <w:p w:rsidR="006233C0" w:rsidRDefault="006233C0" w:rsidP="00F521A8">
      <w:pPr>
        <w:pStyle w:val="EndnoteText"/>
      </w:pPr>
      <w:r>
        <w:rPr>
          <w:rStyle w:val="EndnoteReference"/>
        </w:rPr>
        <w:endnoteRef/>
      </w:r>
      <w:r>
        <w:t xml:space="preserve"> Global tuberculosis report 2013 World Health Authority </w:t>
      </w:r>
      <w:r w:rsidRPr="003C10EB">
        <w:t>http://apps.who.int/iris/bitstream/10665/91355/1/9789241564656_eng.pdf</w:t>
      </w:r>
    </w:p>
  </w:endnote>
  <w:endnote w:id="6">
    <w:p w:rsidR="006233C0" w:rsidRDefault="006233C0">
      <w:pPr>
        <w:pStyle w:val="EndnoteText"/>
      </w:pPr>
      <w:r>
        <w:rPr>
          <w:rStyle w:val="EndnoteReference"/>
        </w:rPr>
        <w:endnoteRef/>
      </w:r>
      <w:r>
        <w:t xml:space="preserve"> </w:t>
      </w:r>
      <w:r w:rsidRPr="00BA57F0">
        <w:t>http://www.health.gov.au/internet/main/publishing.nsf/Content/cdna-song-tuberculosis</w:t>
      </w:r>
    </w:p>
  </w:endnote>
  <w:endnote w:id="7">
    <w:p w:rsidR="006233C0" w:rsidRDefault="006233C0">
      <w:pPr>
        <w:pStyle w:val="EndnoteText"/>
      </w:pPr>
      <w:r>
        <w:rPr>
          <w:rStyle w:val="EndnoteReference"/>
        </w:rPr>
        <w:endnoteRef/>
      </w:r>
      <w:r>
        <w:t xml:space="preserve"> </w:t>
      </w:r>
      <w:proofErr w:type="spellStart"/>
      <w:r w:rsidRPr="00EA2D18">
        <w:t>Heymann</w:t>
      </w:r>
      <w:proofErr w:type="spellEnd"/>
      <w:r w:rsidRPr="00EA2D18">
        <w:t xml:space="preserve"> DL, editor. </w:t>
      </w:r>
      <w:proofErr w:type="gramStart"/>
      <w:r w:rsidRPr="00EA2D18">
        <w:t>Control of communicable diseases manual.</w:t>
      </w:r>
      <w:proofErr w:type="gramEnd"/>
      <w:r w:rsidRPr="00EA2D18">
        <w:t xml:space="preserve"> </w:t>
      </w:r>
      <w:proofErr w:type="gramStart"/>
      <w:r w:rsidRPr="00EA2D18">
        <w:t xml:space="preserve">19th </w:t>
      </w:r>
      <w:proofErr w:type="spellStart"/>
      <w:r w:rsidRPr="00EA2D18">
        <w:t>edn</w:t>
      </w:r>
      <w:proofErr w:type="spellEnd"/>
      <w:r w:rsidRPr="00EA2D18">
        <w:t>.</w:t>
      </w:r>
      <w:proofErr w:type="gramEnd"/>
      <w:r w:rsidRPr="00EA2D18">
        <w:t xml:space="preserve"> Baltimore: United Book Press; 2008.</w:t>
      </w:r>
    </w:p>
  </w:endnote>
  <w:endnote w:id="8">
    <w:p w:rsidR="006233C0" w:rsidRDefault="006233C0">
      <w:pPr>
        <w:pStyle w:val="EndnoteText"/>
      </w:pPr>
      <w:r>
        <w:rPr>
          <w:rStyle w:val="EndnoteReference"/>
        </w:rPr>
        <w:endnoteRef/>
      </w:r>
      <w:r>
        <w:t xml:space="preserve"> </w:t>
      </w:r>
      <w:proofErr w:type="gramStart"/>
      <w:r w:rsidRPr="00BA57F0">
        <w:t>Hong Kong Chest Service/British Medical Research Council.</w:t>
      </w:r>
      <w:proofErr w:type="gramEnd"/>
      <w:r w:rsidRPr="00BA57F0">
        <w:t xml:space="preserve"> Five-year follow-up of a controlled trial of five 6-month regimens of chemotherapy for pulmonary tuberculosis Am Rev </w:t>
      </w:r>
      <w:proofErr w:type="spellStart"/>
      <w:r w:rsidRPr="00BA57F0">
        <w:t>Respir</w:t>
      </w:r>
      <w:proofErr w:type="spellEnd"/>
      <w:r w:rsidRPr="00BA57F0">
        <w:t xml:space="preserve"> Dis 1987</w:t>
      </w:r>
      <w:proofErr w:type="gramStart"/>
      <w:r w:rsidRPr="00BA57F0">
        <w:t>;136</w:t>
      </w:r>
      <w:proofErr w:type="gramEnd"/>
      <w:r w:rsidRPr="00BA57F0">
        <w:t>(6):1339-1342.</w:t>
      </w:r>
    </w:p>
  </w:endnote>
  <w:endnote w:id="9">
    <w:p w:rsidR="006233C0" w:rsidRDefault="006233C0">
      <w:pPr>
        <w:pStyle w:val="EndnoteText"/>
      </w:pPr>
      <w:r>
        <w:rPr>
          <w:rStyle w:val="EndnoteReference"/>
        </w:rPr>
        <w:endnoteRef/>
      </w:r>
      <w:r>
        <w:t xml:space="preserve"> </w:t>
      </w:r>
      <w:proofErr w:type="gramStart"/>
      <w:r w:rsidRPr="00BA57F0">
        <w:t>Fitzgerald D, Sterling T, Haas D. Mycobacterium tuberculosis.</w:t>
      </w:r>
      <w:proofErr w:type="gramEnd"/>
      <w:r w:rsidRPr="00BA57F0">
        <w:t xml:space="preserve"> In: </w:t>
      </w:r>
      <w:proofErr w:type="spellStart"/>
      <w:r w:rsidRPr="00BA57F0">
        <w:t>Mandell</w:t>
      </w:r>
      <w:proofErr w:type="spellEnd"/>
      <w:r w:rsidRPr="00BA57F0">
        <w:t xml:space="preserve"> GL, Bennett JE, Dolin R, editors. </w:t>
      </w:r>
      <w:proofErr w:type="gramStart"/>
      <w:r w:rsidRPr="00BA57F0">
        <w:t>Principles and practice of infectious diseases.</w:t>
      </w:r>
      <w:proofErr w:type="gramEnd"/>
      <w:r w:rsidRPr="00BA57F0">
        <w:t xml:space="preserve"> </w:t>
      </w:r>
      <w:proofErr w:type="gramStart"/>
      <w:r w:rsidRPr="00BA57F0">
        <w:t xml:space="preserve">7th </w:t>
      </w:r>
      <w:proofErr w:type="spellStart"/>
      <w:r w:rsidRPr="00BA57F0">
        <w:t>edn</w:t>
      </w:r>
      <w:proofErr w:type="spellEnd"/>
      <w:r w:rsidRPr="00BA57F0">
        <w:t>.</w:t>
      </w:r>
      <w:proofErr w:type="gramEnd"/>
      <w:r w:rsidRPr="00BA57F0">
        <w:t xml:space="preserve"> Philadelphia: Churchill Livingstone; 2010.</w:t>
      </w:r>
    </w:p>
  </w:endnote>
  <w:endnote w:id="10">
    <w:p w:rsidR="006233C0" w:rsidRDefault="006233C0">
      <w:pPr>
        <w:pStyle w:val="EndnoteText"/>
      </w:pPr>
      <w:r>
        <w:rPr>
          <w:rStyle w:val="EndnoteReference"/>
        </w:rPr>
        <w:endnoteRef/>
      </w:r>
      <w:r>
        <w:t xml:space="preserve"> </w:t>
      </w:r>
      <w:proofErr w:type="gramStart"/>
      <w:r w:rsidRPr="001C4CDC">
        <w:t>Barry C, Konstantinos A, and the National Tuberculosis Advisory Committee.</w:t>
      </w:r>
      <w:proofErr w:type="gramEnd"/>
      <w:r w:rsidRPr="001C4CDC">
        <w:t xml:space="preserve"> Tuberculosis notifications in Australia, 2007 </w:t>
      </w:r>
      <w:proofErr w:type="spellStart"/>
      <w:r w:rsidRPr="001C4CDC">
        <w:t>Commun</w:t>
      </w:r>
      <w:proofErr w:type="spellEnd"/>
      <w:r w:rsidRPr="001C4CDC">
        <w:t xml:space="preserve"> Dis </w:t>
      </w:r>
      <w:proofErr w:type="spellStart"/>
      <w:r w:rsidRPr="001C4CDC">
        <w:t>Intell</w:t>
      </w:r>
      <w:proofErr w:type="spellEnd"/>
      <w:r w:rsidRPr="001C4CDC">
        <w:t xml:space="preserve"> 2009;33(3):394-315</w:t>
      </w:r>
    </w:p>
  </w:endnote>
  <w:endnote w:id="11">
    <w:p w:rsidR="006233C0" w:rsidRDefault="006233C0">
      <w:pPr>
        <w:pStyle w:val="EndnoteText"/>
      </w:pPr>
      <w:r>
        <w:rPr>
          <w:rStyle w:val="EndnoteReference"/>
        </w:rPr>
        <w:endnoteRef/>
      </w:r>
      <w:r>
        <w:t xml:space="preserve"> </w:t>
      </w:r>
      <w:proofErr w:type="spellStart"/>
      <w:r>
        <w:t>Lumb</w:t>
      </w:r>
      <w:proofErr w:type="spellEnd"/>
      <w:r>
        <w:t xml:space="preserve"> R, Bastian I, Carter R, </w:t>
      </w:r>
      <w:proofErr w:type="spellStart"/>
      <w:r>
        <w:t>Jelfs</w:t>
      </w:r>
      <w:proofErr w:type="spellEnd"/>
      <w:r>
        <w:t xml:space="preserve"> P, </w:t>
      </w:r>
      <w:proofErr w:type="spellStart"/>
      <w:r>
        <w:t>Keehner</w:t>
      </w:r>
      <w:proofErr w:type="spellEnd"/>
      <w:r>
        <w:t xml:space="preserve"> T &amp; </w:t>
      </w:r>
      <w:proofErr w:type="spellStart"/>
      <w:r>
        <w:t>Sievers</w:t>
      </w:r>
      <w:proofErr w:type="spellEnd"/>
      <w:r>
        <w:t xml:space="preserve"> A (2013). Tuberculosis in Australia: Bacteriologically confirmed cases and drug resistance, 2010, a report of the Australian Mycobacterium Reference Laboratory Network, Annual Report. Communicable Diseases Intelligence 37(1):E40-46 </w:t>
      </w:r>
    </w:p>
  </w:endnote>
  <w:endnote w:id="12">
    <w:p w:rsidR="006233C0" w:rsidRDefault="006233C0">
      <w:pPr>
        <w:pStyle w:val="EndnoteText"/>
      </w:pPr>
      <w:r>
        <w:rPr>
          <w:rStyle w:val="EndnoteReference"/>
        </w:rPr>
        <w:endnoteRef/>
      </w:r>
      <w:r>
        <w:t xml:space="preserve"> </w:t>
      </w:r>
      <w:proofErr w:type="gramStart"/>
      <w:r w:rsidRPr="00F521A8">
        <w:t>World Health Organization.</w:t>
      </w:r>
      <w:proofErr w:type="gramEnd"/>
      <w:r w:rsidRPr="00F521A8">
        <w:t xml:space="preserve"> </w:t>
      </w:r>
      <w:proofErr w:type="gramStart"/>
      <w:r w:rsidRPr="00F521A8">
        <w:t>Tuberculosis MDR-TB and XDR-TB 2011 Progress Report.</w:t>
      </w:r>
      <w:proofErr w:type="gramEnd"/>
      <w:r w:rsidRPr="00F521A8">
        <w:t xml:space="preserve"> 2011. Accessed on 12 Jan. Available from: http://www.who.int/tb/challenges/mdr/factsheet_mdr_progress_march2011.pdf</w:t>
      </w:r>
    </w:p>
  </w:endnote>
  <w:endnote w:id="13">
    <w:p w:rsidR="006233C0" w:rsidRDefault="006233C0">
      <w:pPr>
        <w:pStyle w:val="EndnoteText"/>
      </w:pPr>
      <w:r>
        <w:rPr>
          <w:rStyle w:val="EndnoteReference"/>
        </w:rPr>
        <w:endnoteRef/>
      </w:r>
      <w:r>
        <w:t xml:space="preserve"> Australia’s Notifiable Disease Status, 2010: Annual Report of the National Notifiable Diseases Surveillance System. NNDSS Annual Report Writing Group. </w:t>
      </w:r>
      <w:r w:rsidRPr="002D0DBD">
        <w:rPr>
          <w:i/>
        </w:rPr>
        <w:t>Com</w:t>
      </w:r>
      <w:r>
        <w:rPr>
          <w:i/>
        </w:rPr>
        <w:t>municable Diseases Intelligence, 2012;</w:t>
      </w:r>
      <w:r w:rsidRPr="002D0DBD">
        <w:rPr>
          <w:i/>
        </w:rPr>
        <w:t xml:space="preserve"> 36(1): 1-69</w:t>
      </w:r>
    </w:p>
  </w:endnote>
  <w:endnote w:id="14">
    <w:p w:rsidR="006233C0" w:rsidRDefault="006233C0">
      <w:pPr>
        <w:pStyle w:val="EndnoteText"/>
      </w:pPr>
      <w:r>
        <w:rPr>
          <w:rStyle w:val="EndnoteReference"/>
        </w:rPr>
        <w:endnoteRef/>
      </w:r>
      <w:r>
        <w:t xml:space="preserve"> The strategic plan for control of tuberculosis in Australia: 2011-2015. </w:t>
      </w:r>
      <w:r>
        <w:rPr>
          <w:i/>
        </w:rPr>
        <w:t>Communicable Diseases Intelligence Volume 36 No 3- September 2012</w:t>
      </w:r>
      <w:r>
        <w:t xml:space="preserve">  </w:t>
      </w:r>
      <w:r w:rsidRPr="00D62C38">
        <w:t>http://www.health.gov.au/internet/main/publishing.nsf/Content/cda-cdi3603i.htm</w:t>
      </w:r>
    </w:p>
  </w:endnote>
  <w:endnote w:id="15">
    <w:p w:rsidR="006233C0" w:rsidRDefault="006233C0" w:rsidP="00870FFA">
      <w:pPr>
        <w:pStyle w:val="EndnoteText"/>
        <w:jc w:val="left"/>
      </w:pPr>
      <w:r>
        <w:rPr>
          <w:rStyle w:val="EndnoteReference"/>
        </w:rPr>
        <w:endnoteRef/>
      </w:r>
      <w:r>
        <w:t xml:space="preserve"> </w:t>
      </w:r>
      <w:r w:rsidRPr="00870FFA">
        <w:t>http://theconversation.com/drug-resistant-tuberculosis-in-png-and-torres-strait-islands-10754</w:t>
      </w:r>
    </w:p>
  </w:endnote>
  <w:endnote w:id="16">
    <w:p w:rsidR="006233C0" w:rsidRDefault="006233C0" w:rsidP="00870FFA">
      <w:pPr>
        <w:pStyle w:val="EndnoteText"/>
        <w:jc w:val="left"/>
      </w:pPr>
      <w:r>
        <w:rPr>
          <w:rStyle w:val="EndnoteReference"/>
        </w:rPr>
        <w:endnoteRef/>
      </w:r>
      <w:r>
        <w:t xml:space="preserve"> Dr Jeannette Young, Chief Health Officer Queensland Department of Health, February 2013  </w:t>
      </w:r>
      <w:r w:rsidRPr="00870FFA">
        <w:t>http://www.health.qld.gov.au/news/media_releases/2013-releases/february-2013/tbclinics130220.pdf</w:t>
      </w:r>
    </w:p>
  </w:endnote>
  <w:endnote w:id="17">
    <w:p w:rsidR="006233C0" w:rsidRDefault="006233C0" w:rsidP="009E7CF4">
      <w:pPr>
        <w:pStyle w:val="EndnoteText"/>
      </w:pPr>
      <w:r>
        <w:rPr>
          <w:rStyle w:val="EndnoteReference"/>
        </w:rPr>
        <w:endnoteRef/>
      </w:r>
      <w:r>
        <w:t xml:space="preserve"> Thompson R, Carter R et al. </w:t>
      </w:r>
      <w:r w:rsidRPr="00857007">
        <w:rPr>
          <w:i/>
        </w:rPr>
        <w:t xml:space="preserve">Factors associated with the isolation of </w:t>
      </w:r>
      <w:proofErr w:type="spellStart"/>
      <w:proofErr w:type="gramStart"/>
      <w:r w:rsidRPr="00857007">
        <w:rPr>
          <w:i/>
        </w:rPr>
        <w:t>Nontuberculous</w:t>
      </w:r>
      <w:proofErr w:type="spellEnd"/>
      <w:proofErr w:type="gramEnd"/>
      <w:r w:rsidRPr="00857007">
        <w:rPr>
          <w:i/>
        </w:rPr>
        <w:t xml:space="preserve"> mycobacteria (NTM) from a large municipal water system in Brisbane, Australia</w:t>
      </w:r>
      <w:r>
        <w:t xml:space="preserve">. </w:t>
      </w:r>
      <w:r w:rsidRPr="00857007">
        <w:t>BMC Microbiology 2013, 13:89</w:t>
      </w:r>
    </w:p>
  </w:endnote>
  <w:endnote w:id="18">
    <w:p w:rsidR="006233C0" w:rsidRDefault="006233C0">
      <w:pPr>
        <w:pStyle w:val="EndnoteText"/>
      </w:pPr>
      <w:r>
        <w:rPr>
          <w:rStyle w:val="EndnoteReference"/>
        </w:rPr>
        <w:endnoteRef/>
      </w:r>
      <w:r>
        <w:t xml:space="preserve"> Martin-</w:t>
      </w:r>
      <w:proofErr w:type="spellStart"/>
      <w:r>
        <w:t>Casabone</w:t>
      </w:r>
      <w:proofErr w:type="spellEnd"/>
      <w:r>
        <w:t xml:space="preserve"> N, </w:t>
      </w:r>
      <w:proofErr w:type="spellStart"/>
      <w:r>
        <w:t>Bahrmand</w:t>
      </w:r>
      <w:proofErr w:type="spellEnd"/>
      <w:r>
        <w:t xml:space="preserve"> AR, et al. </w:t>
      </w:r>
      <w:r w:rsidRPr="00857007">
        <w:rPr>
          <w:i/>
        </w:rPr>
        <w:t xml:space="preserve">Non-tuberculous mycobacteria: patterns of isolation. </w:t>
      </w:r>
      <w:proofErr w:type="gramStart"/>
      <w:r w:rsidRPr="00857007">
        <w:rPr>
          <w:i/>
        </w:rPr>
        <w:t>A multi-country retrospective survey.</w:t>
      </w:r>
      <w:proofErr w:type="gramEnd"/>
      <w:r>
        <w:t xml:space="preserve"> </w:t>
      </w:r>
      <w:proofErr w:type="spellStart"/>
      <w:r>
        <w:t>Int</w:t>
      </w:r>
      <w:proofErr w:type="spellEnd"/>
      <w:r>
        <w:t xml:space="preserve"> J </w:t>
      </w:r>
      <w:proofErr w:type="spellStart"/>
      <w:r>
        <w:t>Tuberc</w:t>
      </w:r>
      <w:proofErr w:type="spellEnd"/>
      <w:r>
        <w:t xml:space="preserve"> Lung Dis 8(10):1186-1193</w:t>
      </w:r>
    </w:p>
  </w:endnote>
  <w:endnote w:id="19">
    <w:p w:rsidR="006233C0" w:rsidRDefault="006233C0" w:rsidP="00543B54">
      <w:pPr>
        <w:pStyle w:val="EndnoteText"/>
      </w:pPr>
      <w:r>
        <w:rPr>
          <w:rStyle w:val="EndnoteReference"/>
        </w:rPr>
        <w:endnoteRef/>
      </w:r>
      <w:r>
        <w:t xml:space="preserve"> TUBERCULOSIS (TB): CDNA NATIONAL GUIDELINES FOR THE PUBLIC HEALTH MANAGEMENT OF TB </w:t>
      </w:r>
      <w:hyperlink r:id="rId2" w:tooltip="Link to the Department of Health web page for tuberculosis" w:history="1">
        <w:r w:rsidRPr="00F87182">
          <w:rPr>
            <w:rStyle w:val="Hyperlink"/>
          </w:rPr>
          <w:t>http://www.health.gov.au/internet/main/publishing.nsf/Content/cdna-song-tuberculosis</w:t>
        </w:r>
      </w:hyperlink>
      <w:r>
        <w:t xml:space="preserve"> Last updated 14 Oct 2013</w:t>
      </w:r>
    </w:p>
  </w:endnote>
  <w:endnote w:id="20">
    <w:p w:rsidR="006233C0" w:rsidRDefault="006233C0" w:rsidP="007E6261">
      <w:pPr>
        <w:pStyle w:val="EndnoteText"/>
      </w:pPr>
      <w:r>
        <w:rPr>
          <w:rStyle w:val="EndnoteReference"/>
        </w:rPr>
        <w:endnoteRef/>
      </w:r>
      <w:r>
        <w:t xml:space="preserve"> Guidelines for Australian Mycobacteriology Laboratories: National Tuberculosis Advisory Committee Communicable Disease Intelligence 2006; 30(1): 116-128 </w:t>
      </w:r>
    </w:p>
  </w:endnote>
  <w:endnote w:id="21">
    <w:p w:rsidR="006233C0" w:rsidRDefault="006233C0">
      <w:pPr>
        <w:pStyle w:val="EndnoteText"/>
      </w:pPr>
      <w:r>
        <w:rPr>
          <w:rStyle w:val="EndnoteReference"/>
        </w:rPr>
        <w:endnoteRef/>
      </w:r>
      <w:r>
        <w:t xml:space="preserve"> Updated Guidelines for the Use of Nucleic Acid Amplification Tests in the Diagnosis of Tuberculosis MMWR January 16, 2009;58(1): 7-10</w:t>
      </w:r>
    </w:p>
  </w:endnote>
  <w:endnote w:id="22">
    <w:p w:rsidR="006233C0" w:rsidRDefault="006233C0">
      <w:pPr>
        <w:pStyle w:val="EndnoteText"/>
      </w:pPr>
      <w:r>
        <w:rPr>
          <w:rStyle w:val="EndnoteReference"/>
        </w:rPr>
        <w:endnoteRef/>
      </w:r>
      <w:r>
        <w:t xml:space="preserve"> Guidelines for nucleic acid amplification tests  </w:t>
      </w:r>
      <w:r w:rsidRPr="00555044">
        <w:t>http://www.health.gov.au/internet/main/publishing.nsf/Content/cda-cdi3001f.htm#nucleic</w:t>
      </w:r>
    </w:p>
  </w:endnote>
  <w:endnote w:id="23">
    <w:p w:rsidR="006233C0" w:rsidRDefault="006233C0">
      <w:pPr>
        <w:pStyle w:val="EndnoteText"/>
      </w:pPr>
      <w:r>
        <w:rPr>
          <w:rStyle w:val="EndnoteReference"/>
        </w:rPr>
        <w:endnoteRef/>
      </w:r>
      <w:r>
        <w:t xml:space="preserve"> </w:t>
      </w:r>
      <w:r w:rsidRPr="00D31674">
        <w:t>http://www.health.gov.au/internet/main/publishing.nsf/Content/cda-cdi3001c.htm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247801"/>
      <w:docPartObj>
        <w:docPartGallery w:val="Page Numbers (Bottom of Page)"/>
        <w:docPartUnique/>
      </w:docPartObj>
    </w:sdtPr>
    <w:sdtEndPr>
      <w:rPr>
        <w:noProof/>
      </w:rPr>
    </w:sdtEndPr>
    <w:sdtContent>
      <w:p w:rsidR="006233C0" w:rsidRDefault="006233C0">
        <w:pPr>
          <w:pStyle w:val="Footer"/>
          <w:jc w:val="right"/>
        </w:pPr>
        <w:r>
          <w:fldChar w:fldCharType="begin"/>
        </w:r>
        <w:r>
          <w:instrText xml:space="preserve"> PAGE   \* MERGEFORMAT </w:instrText>
        </w:r>
        <w:r>
          <w:fldChar w:fldCharType="separate"/>
        </w:r>
        <w:r w:rsidR="00B20172">
          <w:rPr>
            <w:noProof/>
          </w:rPr>
          <w:t>1</w:t>
        </w:r>
        <w:r>
          <w:rPr>
            <w:noProof/>
          </w:rPr>
          <w:fldChar w:fldCharType="end"/>
        </w:r>
      </w:p>
    </w:sdtContent>
  </w:sdt>
  <w:p w:rsidR="006233C0" w:rsidRDefault="006233C0" w:rsidP="000901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3C0" w:rsidRDefault="006233C0" w:rsidP="007D2C39">
    <w:pPr>
      <w:pStyle w:val="Footer"/>
    </w:pPr>
  </w:p>
  <w:p w:rsidR="006233C0" w:rsidRDefault="006233C0" w:rsidP="005567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3C0" w:rsidRDefault="006233C0" w:rsidP="000901A8">
      <w:r>
        <w:separator/>
      </w:r>
    </w:p>
  </w:footnote>
  <w:footnote w:type="continuationSeparator" w:id="0">
    <w:p w:rsidR="006233C0" w:rsidRDefault="006233C0" w:rsidP="00090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3C0" w:rsidRDefault="006233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734069" o:spid="_x0000_s2060" type="#_x0000_t136" style="position:absolute;margin-left:0;margin-top:0;width:548pt;height:91.3pt;rotation:315;z-index:-251644928;mso-position-horizontal:center;mso-position-horizontal-relative:margin;mso-position-vertical:center;mso-position-vertical-relative:margin" o:allowincell="f" fillcolor="silver" stroked="f">
          <v:fill opacity=".5"/>
          <v:textpath style="font-family:&quot;Tahoma&quot;;font-size:1pt" string="CONSULTATIO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3C0" w:rsidRDefault="006233C0">
    <w:pPr>
      <w:pStyle w:val="Header"/>
      <w:jc w:val="right"/>
    </w:pPr>
  </w:p>
  <w:p w:rsidR="006233C0" w:rsidRDefault="006233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734070" o:spid="_x0000_s2061" type="#_x0000_t136" style="position:absolute;margin-left:0;margin-top:0;width:548pt;height:91.3pt;rotation:315;z-index:-251642880;mso-position-horizontal:center;mso-position-horizontal-relative:margin;mso-position-vertical:center;mso-position-vertical-relative:margin" o:allowincell="f" fillcolor="silver" stroked="f">
          <v:fill opacity=".5"/>
          <v:textpath style="font-family:&quot;Tahoma&quot;;font-size:1pt" string="CONSULTATIO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3C0" w:rsidRDefault="006233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734068" o:spid="_x0000_s2059" type="#_x0000_t136" style="position:absolute;margin-left:0;margin-top:0;width:548pt;height:91.3pt;rotation:315;z-index:-251646976;mso-position-horizontal:center;mso-position-horizontal-relative:margin;mso-position-vertical:center;mso-position-vertical-relative:margin" o:allowincell="f" fillcolor="silver" stroked="f">
          <v:fill opacity=".5"/>
          <v:textpath style="font-family:&quot;Tahoma&quot;;font-size:1pt" string="CONSULTATIO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2C2"/>
    <w:multiLevelType w:val="hybridMultilevel"/>
    <w:tmpl w:val="4A7E187E"/>
    <w:lvl w:ilvl="0" w:tplc="64FEE7A6">
      <w:start w:val="5"/>
      <w:numFmt w:val="bullet"/>
      <w:lvlText w:val="•"/>
      <w:lvlJc w:val="left"/>
      <w:pPr>
        <w:ind w:left="644" w:hanging="360"/>
      </w:pPr>
      <w:rPr>
        <w:rFonts w:ascii="Tahoma" w:eastAsiaTheme="minorHAnsi" w:hAnsi="Tahoma" w:cs="Tahoma"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nsid w:val="05BA6E56"/>
    <w:multiLevelType w:val="hybridMultilevel"/>
    <w:tmpl w:val="35FA1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1D559E"/>
    <w:multiLevelType w:val="hybridMultilevel"/>
    <w:tmpl w:val="8580F20E"/>
    <w:lvl w:ilvl="0" w:tplc="FE0E2CFE">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78749E0"/>
    <w:multiLevelType w:val="hybridMultilevel"/>
    <w:tmpl w:val="D05CF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8CD391B"/>
    <w:multiLevelType w:val="hybridMultilevel"/>
    <w:tmpl w:val="A9140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3C2735F"/>
    <w:multiLevelType w:val="hybridMultilevel"/>
    <w:tmpl w:val="808CD78C"/>
    <w:lvl w:ilvl="0" w:tplc="9794841C">
      <w:start w:val="1"/>
      <w:numFmt w:val="bullet"/>
      <w:pStyle w:val="Tabletextbulleted"/>
      <w:lvlText w:val="–"/>
      <w:lvlJc w:val="left"/>
      <w:pPr>
        <w:tabs>
          <w:tab w:val="num" w:pos="284"/>
        </w:tabs>
        <w:ind w:left="284" w:hanging="284"/>
      </w:pPr>
      <w:rPr>
        <w:rFonts w:ascii="Times New Roman" w:hAnsi="Times New Roman" w:cs="Times New Roman" w:hint="default"/>
      </w:rPr>
    </w:lvl>
    <w:lvl w:ilvl="1" w:tplc="FFFFFFFF">
      <w:start w:val="1"/>
      <w:numFmt w:val="bullet"/>
      <w:lvlText w:val="o"/>
      <w:lvlJc w:val="left"/>
      <w:pPr>
        <w:tabs>
          <w:tab w:val="num" w:pos="1758"/>
        </w:tabs>
        <w:ind w:left="1758" w:hanging="360"/>
      </w:pPr>
      <w:rPr>
        <w:rFonts w:ascii="Courier New" w:hAnsi="Courier New" w:cs="Courier New" w:hint="default"/>
      </w:rPr>
    </w:lvl>
    <w:lvl w:ilvl="2" w:tplc="FFFFFFFF" w:tentative="1">
      <w:start w:val="1"/>
      <w:numFmt w:val="bullet"/>
      <w:lvlText w:val=""/>
      <w:lvlJc w:val="left"/>
      <w:pPr>
        <w:tabs>
          <w:tab w:val="num" w:pos="2478"/>
        </w:tabs>
        <w:ind w:left="2478" w:hanging="360"/>
      </w:pPr>
      <w:rPr>
        <w:rFonts w:ascii="Wingdings" w:hAnsi="Wingdings" w:hint="default"/>
      </w:rPr>
    </w:lvl>
    <w:lvl w:ilvl="3" w:tplc="FFFFFFFF" w:tentative="1">
      <w:start w:val="1"/>
      <w:numFmt w:val="bullet"/>
      <w:lvlText w:val=""/>
      <w:lvlJc w:val="left"/>
      <w:pPr>
        <w:tabs>
          <w:tab w:val="num" w:pos="3198"/>
        </w:tabs>
        <w:ind w:left="3198" w:hanging="360"/>
      </w:pPr>
      <w:rPr>
        <w:rFonts w:ascii="Symbol" w:hAnsi="Symbol" w:hint="default"/>
      </w:rPr>
    </w:lvl>
    <w:lvl w:ilvl="4" w:tplc="FFFFFFFF" w:tentative="1">
      <w:start w:val="1"/>
      <w:numFmt w:val="bullet"/>
      <w:lvlText w:val="o"/>
      <w:lvlJc w:val="left"/>
      <w:pPr>
        <w:tabs>
          <w:tab w:val="num" w:pos="3918"/>
        </w:tabs>
        <w:ind w:left="3918" w:hanging="360"/>
      </w:pPr>
      <w:rPr>
        <w:rFonts w:ascii="Courier New" w:hAnsi="Courier New" w:cs="Courier New" w:hint="default"/>
      </w:rPr>
    </w:lvl>
    <w:lvl w:ilvl="5" w:tplc="FFFFFFFF" w:tentative="1">
      <w:start w:val="1"/>
      <w:numFmt w:val="bullet"/>
      <w:lvlText w:val=""/>
      <w:lvlJc w:val="left"/>
      <w:pPr>
        <w:tabs>
          <w:tab w:val="num" w:pos="4638"/>
        </w:tabs>
        <w:ind w:left="4638" w:hanging="360"/>
      </w:pPr>
      <w:rPr>
        <w:rFonts w:ascii="Wingdings" w:hAnsi="Wingdings" w:hint="default"/>
      </w:rPr>
    </w:lvl>
    <w:lvl w:ilvl="6" w:tplc="FFFFFFFF" w:tentative="1">
      <w:start w:val="1"/>
      <w:numFmt w:val="bullet"/>
      <w:lvlText w:val=""/>
      <w:lvlJc w:val="left"/>
      <w:pPr>
        <w:tabs>
          <w:tab w:val="num" w:pos="5358"/>
        </w:tabs>
        <w:ind w:left="5358" w:hanging="360"/>
      </w:pPr>
      <w:rPr>
        <w:rFonts w:ascii="Symbol" w:hAnsi="Symbol" w:hint="default"/>
      </w:rPr>
    </w:lvl>
    <w:lvl w:ilvl="7" w:tplc="FFFFFFFF" w:tentative="1">
      <w:start w:val="1"/>
      <w:numFmt w:val="bullet"/>
      <w:lvlText w:val="o"/>
      <w:lvlJc w:val="left"/>
      <w:pPr>
        <w:tabs>
          <w:tab w:val="num" w:pos="6078"/>
        </w:tabs>
        <w:ind w:left="6078" w:hanging="360"/>
      </w:pPr>
      <w:rPr>
        <w:rFonts w:ascii="Courier New" w:hAnsi="Courier New" w:cs="Courier New" w:hint="default"/>
      </w:rPr>
    </w:lvl>
    <w:lvl w:ilvl="8" w:tplc="FFFFFFFF" w:tentative="1">
      <w:start w:val="1"/>
      <w:numFmt w:val="bullet"/>
      <w:lvlText w:val=""/>
      <w:lvlJc w:val="left"/>
      <w:pPr>
        <w:tabs>
          <w:tab w:val="num" w:pos="6798"/>
        </w:tabs>
        <w:ind w:left="6798" w:hanging="360"/>
      </w:pPr>
      <w:rPr>
        <w:rFonts w:ascii="Wingdings" w:hAnsi="Wingdings" w:hint="default"/>
      </w:rPr>
    </w:lvl>
  </w:abstractNum>
  <w:abstractNum w:abstractNumId="6">
    <w:nsid w:val="24AA42D4"/>
    <w:multiLevelType w:val="hybridMultilevel"/>
    <w:tmpl w:val="F920F0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6E97C2C"/>
    <w:multiLevelType w:val="hybridMultilevel"/>
    <w:tmpl w:val="C750C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29C5557"/>
    <w:multiLevelType w:val="hybridMultilevel"/>
    <w:tmpl w:val="5ED69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51B0C04"/>
    <w:multiLevelType w:val="hybridMultilevel"/>
    <w:tmpl w:val="6CE64A34"/>
    <w:lvl w:ilvl="0" w:tplc="1E948038">
      <w:numFmt w:val="bullet"/>
      <w:lvlText w:val="•"/>
      <w:lvlJc w:val="left"/>
      <w:pPr>
        <w:ind w:left="1080" w:hanging="720"/>
      </w:pPr>
      <w:rPr>
        <w:rFonts w:ascii="Tahoma" w:eastAsia="SimSu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61872E3"/>
    <w:multiLevelType w:val="hybridMultilevel"/>
    <w:tmpl w:val="700AAB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499C2D44"/>
    <w:multiLevelType w:val="hybridMultilevel"/>
    <w:tmpl w:val="83CCA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E252139"/>
    <w:multiLevelType w:val="hybridMultilevel"/>
    <w:tmpl w:val="94866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FA12556"/>
    <w:multiLevelType w:val="hybridMultilevel"/>
    <w:tmpl w:val="47C6D13A"/>
    <w:lvl w:ilvl="0" w:tplc="0C090001">
      <w:start w:val="1"/>
      <w:numFmt w:val="bullet"/>
      <w:lvlText w:val=""/>
      <w:lvlJc w:val="left"/>
      <w:pPr>
        <w:ind w:left="788" w:hanging="360"/>
      </w:pPr>
      <w:rPr>
        <w:rFonts w:ascii="Symbol" w:hAnsi="Symbol" w:hint="default"/>
      </w:rPr>
    </w:lvl>
    <w:lvl w:ilvl="1" w:tplc="323EF08A">
      <w:numFmt w:val="bullet"/>
      <w:lvlText w:val="·"/>
      <w:lvlJc w:val="left"/>
      <w:pPr>
        <w:ind w:left="1508" w:hanging="360"/>
      </w:pPr>
      <w:rPr>
        <w:rFonts w:ascii="Tahoma" w:eastAsia="SimSun" w:hAnsi="Tahoma" w:cs="Tahoma"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4">
    <w:nsid w:val="53A24539"/>
    <w:multiLevelType w:val="hybridMultilevel"/>
    <w:tmpl w:val="B89A9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3A53955"/>
    <w:multiLevelType w:val="hybridMultilevel"/>
    <w:tmpl w:val="54968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6472915"/>
    <w:multiLevelType w:val="hybridMultilevel"/>
    <w:tmpl w:val="F6AA74E6"/>
    <w:lvl w:ilvl="0" w:tplc="26D8A916">
      <w:start w:val="1"/>
      <w:numFmt w:val="bullet"/>
      <w:pStyle w:val="Tabletextlef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C1F4D5E"/>
    <w:multiLevelType w:val="hybridMultilevel"/>
    <w:tmpl w:val="DCC8713C"/>
    <w:lvl w:ilvl="0" w:tplc="37563416">
      <w:start w:val="1"/>
      <w:numFmt w:val="upperLetter"/>
      <w:pStyle w:val="Spaceundertable"/>
      <w:lvlText w:val="%1."/>
      <w:lvlJc w:val="left"/>
      <w:pPr>
        <w:tabs>
          <w:tab w:val="num" w:pos="372"/>
        </w:tabs>
        <w:ind w:left="372" w:hanging="360"/>
      </w:pPr>
      <w:rPr>
        <w:rFonts w:hint="default"/>
      </w:rPr>
    </w:lvl>
    <w:lvl w:ilvl="1" w:tplc="04090003">
      <w:start w:val="1"/>
      <w:numFmt w:val="bullet"/>
      <w:lvlText w:val=""/>
      <w:lvlJc w:val="left"/>
      <w:pPr>
        <w:tabs>
          <w:tab w:val="num" w:pos="1092"/>
        </w:tabs>
        <w:ind w:left="1092" w:hanging="360"/>
      </w:pPr>
      <w:rPr>
        <w:rFonts w:ascii="Symbol" w:hAnsi="Symbol" w:hint="default"/>
        <w:color w:val="auto"/>
      </w:rPr>
    </w:lvl>
    <w:lvl w:ilvl="2" w:tplc="04090005" w:tentative="1">
      <w:start w:val="1"/>
      <w:numFmt w:val="lowerRoman"/>
      <w:lvlText w:val="%3."/>
      <w:lvlJc w:val="right"/>
      <w:pPr>
        <w:tabs>
          <w:tab w:val="num" w:pos="1812"/>
        </w:tabs>
        <w:ind w:left="1812" w:hanging="180"/>
      </w:pPr>
    </w:lvl>
    <w:lvl w:ilvl="3" w:tplc="04090001" w:tentative="1">
      <w:start w:val="1"/>
      <w:numFmt w:val="decimal"/>
      <w:lvlText w:val="%4."/>
      <w:lvlJc w:val="left"/>
      <w:pPr>
        <w:tabs>
          <w:tab w:val="num" w:pos="2532"/>
        </w:tabs>
        <w:ind w:left="2532" w:hanging="360"/>
      </w:pPr>
    </w:lvl>
    <w:lvl w:ilvl="4" w:tplc="04090003" w:tentative="1">
      <w:start w:val="1"/>
      <w:numFmt w:val="lowerLetter"/>
      <w:lvlText w:val="%5."/>
      <w:lvlJc w:val="left"/>
      <w:pPr>
        <w:tabs>
          <w:tab w:val="num" w:pos="3252"/>
        </w:tabs>
        <w:ind w:left="3252" w:hanging="360"/>
      </w:pPr>
    </w:lvl>
    <w:lvl w:ilvl="5" w:tplc="04090005" w:tentative="1">
      <w:start w:val="1"/>
      <w:numFmt w:val="lowerRoman"/>
      <w:lvlText w:val="%6."/>
      <w:lvlJc w:val="right"/>
      <w:pPr>
        <w:tabs>
          <w:tab w:val="num" w:pos="3972"/>
        </w:tabs>
        <w:ind w:left="3972" w:hanging="180"/>
      </w:pPr>
    </w:lvl>
    <w:lvl w:ilvl="6" w:tplc="04090001" w:tentative="1">
      <w:start w:val="1"/>
      <w:numFmt w:val="decimal"/>
      <w:lvlText w:val="%7."/>
      <w:lvlJc w:val="left"/>
      <w:pPr>
        <w:tabs>
          <w:tab w:val="num" w:pos="4692"/>
        </w:tabs>
        <w:ind w:left="4692" w:hanging="360"/>
      </w:pPr>
    </w:lvl>
    <w:lvl w:ilvl="7" w:tplc="04090003" w:tentative="1">
      <w:start w:val="1"/>
      <w:numFmt w:val="lowerLetter"/>
      <w:lvlText w:val="%8."/>
      <w:lvlJc w:val="left"/>
      <w:pPr>
        <w:tabs>
          <w:tab w:val="num" w:pos="5412"/>
        </w:tabs>
        <w:ind w:left="5412" w:hanging="360"/>
      </w:pPr>
    </w:lvl>
    <w:lvl w:ilvl="8" w:tplc="04090005" w:tentative="1">
      <w:start w:val="1"/>
      <w:numFmt w:val="lowerRoman"/>
      <w:lvlText w:val="%9."/>
      <w:lvlJc w:val="right"/>
      <w:pPr>
        <w:tabs>
          <w:tab w:val="num" w:pos="6132"/>
        </w:tabs>
        <w:ind w:left="6132" w:hanging="180"/>
      </w:pPr>
    </w:lvl>
  </w:abstractNum>
  <w:abstractNum w:abstractNumId="18">
    <w:nsid w:val="66DB2DDB"/>
    <w:multiLevelType w:val="hybridMultilevel"/>
    <w:tmpl w:val="ED94C760"/>
    <w:lvl w:ilvl="0" w:tplc="302206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90711D1"/>
    <w:multiLevelType w:val="hybridMultilevel"/>
    <w:tmpl w:val="5A2CC69C"/>
    <w:lvl w:ilvl="0" w:tplc="2200DBC8">
      <w:start w:val="1"/>
      <w:numFmt w:val="bullet"/>
      <w:lvlText w:val="–"/>
      <w:lvlJc w:val="left"/>
      <w:pPr>
        <w:tabs>
          <w:tab w:val="num" w:pos="720"/>
        </w:tabs>
        <w:ind w:left="720" w:hanging="360"/>
      </w:pPr>
      <w:rPr>
        <w:rFonts w:ascii="Arial" w:hAnsi="Arial" w:hint="default"/>
      </w:rPr>
    </w:lvl>
    <w:lvl w:ilvl="1" w:tplc="11868246">
      <w:start w:val="1"/>
      <w:numFmt w:val="bullet"/>
      <w:lvlText w:val="–"/>
      <w:lvlJc w:val="left"/>
      <w:pPr>
        <w:tabs>
          <w:tab w:val="num" w:pos="1440"/>
        </w:tabs>
        <w:ind w:left="1440" w:hanging="360"/>
      </w:pPr>
      <w:rPr>
        <w:rFonts w:ascii="Arial" w:hAnsi="Arial" w:hint="default"/>
      </w:rPr>
    </w:lvl>
    <w:lvl w:ilvl="2" w:tplc="00563B5C">
      <w:numFmt w:val="bullet"/>
      <w:lvlText w:val="-"/>
      <w:lvlJc w:val="left"/>
      <w:pPr>
        <w:ind w:left="2160" w:hanging="360"/>
      </w:pPr>
      <w:rPr>
        <w:rFonts w:ascii="Calibri" w:eastAsia="Times New Roman" w:hAnsi="Calibri" w:hint="default"/>
      </w:rPr>
    </w:lvl>
    <w:lvl w:ilvl="3" w:tplc="DED4E670" w:tentative="1">
      <w:start w:val="1"/>
      <w:numFmt w:val="bullet"/>
      <w:lvlText w:val="–"/>
      <w:lvlJc w:val="left"/>
      <w:pPr>
        <w:tabs>
          <w:tab w:val="num" w:pos="2880"/>
        </w:tabs>
        <w:ind w:left="2880" w:hanging="360"/>
      </w:pPr>
      <w:rPr>
        <w:rFonts w:ascii="Arial" w:hAnsi="Arial" w:hint="default"/>
      </w:rPr>
    </w:lvl>
    <w:lvl w:ilvl="4" w:tplc="F9607A72" w:tentative="1">
      <w:start w:val="1"/>
      <w:numFmt w:val="bullet"/>
      <w:lvlText w:val="–"/>
      <w:lvlJc w:val="left"/>
      <w:pPr>
        <w:tabs>
          <w:tab w:val="num" w:pos="3600"/>
        </w:tabs>
        <w:ind w:left="3600" w:hanging="360"/>
      </w:pPr>
      <w:rPr>
        <w:rFonts w:ascii="Arial" w:hAnsi="Arial" w:hint="default"/>
      </w:rPr>
    </w:lvl>
    <w:lvl w:ilvl="5" w:tplc="EF260C0E" w:tentative="1">
      <w:start w:val="1"/>
      <w:numFmt w:val="bullet"/>
      <w:lvlText w:val="–"/>
      <w:lvlJc w:val="left"/>
      <w:pPr>
        <w:tabs>
          <w:tab w:val="num" w:pos="4320"/>
        </w:tabs>
        <w:ind w:left="4320" w:hanging="360"/>
      </w:pPr>
      <w:rPr>
        <w:rFonts w:ascii="Arial" w:hAnsi="Arial" w:hint="default"/>
      </w:rPr>
    </w:lvl>
    <w:lvl w:ilvl="6" w:tplc="C6FAF6F8" w:tentative="1">
      <w:start w:val="1"/>
      <w:numFmt w:val="bullet"/>
      <w:lvlText w:val="–"/>
      <w:lvlJc w:val="left"/>
      <w:pPr>
        <w:tabs>
          <w:tab w:val="num" w:pos="5040"/>
        </w:tabs>
        <w:ind w:left="5040" w:hanging="360"/>
      </w:pPr>
      <w:rPr>
        <w:rFonts w:ascii="Arial" w:hAnsi="Arial" w:hint="default"/>
      </w:rPr>
    </w:lvl>
    <w:lvl w:ilvl="7" w:tplc="187A5F16" w:tentative="1">
      <w:start w:val="1"/>
      <w:numFmt w:val="bullet"/>
      <w:lvlText w:val="–"/>
      <w:lvlJc w:val="left"/>
      <w:pPr>
        <w:tabs>
          <w:tab w:val="num" w:pos="5760"/>
        </w:tabs>
        <w:ind w:left="5760" w:hanging="360"/>
      </w:pPr>
      <w:rPr>
        <w:rFonts w:ascii="Arial" w:hAnsi="Arial" w:hint="default"/>
      </w:rPr>
    </w:lvl>
    <w:lvl w:ilvl="8" w:tplc="460804C2" w:tentative="1">
      <w:start w:val="1"/>
      <w:numFmt w:val="bullet"/>
      <w:lvlText w:val="–"/>
      <w:lvlJc w:val="left"/>
      <w:pPr>
        <w:tabs>
          <w:tab w:val="num" w:pos="6480"/>
        </w:tabs>
        <w:ind w:left="6480" w:hanging="360"/>
      </w:pPr>
      <w:rPr>
        <w:rFonts w:ascii="Arial" w:hAnsi="Arial" w:hint="default"/>
      </w:rPr>
    </w:lvl>
  </w:abstractNum>
  <w:abstractNum w:abstractNumId="20">
    <w:nsid w:val="6AC73290"/>
    <w:multiLevelType w:val="hybridMultilevel"/>
    <w:tmpl w:val="DC262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F2F2FF4"/>
    <w:multiLevelType w:val="hybridMultilevel"/>
    <w:tmpl w:val="97AE5DCC"/>
    <w:lvl w:ilvl="0" w:tplc="0C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6514404"/>
    <w:multiLevelType w:val="hybridMultilevel"/>
    <w:tmpl w:val="282ED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6FB5FAC"/>
    <w:multiLevelType w:val="hybridMultilevel"/>
    <w:tmpl w:val="87FEB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7BD6055"/>
    <w:multiLevelType w:val="hybridMultilevel"/>
    <w:tmpl w:val="E1A03B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ACD4D8A"/>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25"/>
  </w:num>
  <w:num w:numId="2">
    <w:abstractNumId w:val="5"/>
  </w:num>
  <w:num w:numId="3">
    <w:abstractNumId w:val="16"/>
  </w:num>
  <w:num w:numId="4">
    <w:abstractNumId w:val="17"/>
  </w:num>
  <w:num w:numId="5">
    <w:abstractNumId w:val="19"/>
  </w:num>
  <w:num w:numId="6">
    <w:abstractNumId w:val="23"/>
  </w:num>
  <w:num w:numId="7">
    <w:abstractNumId w:val="9"/>
  </w:num>
  <w:num w:numId="8">
    <w:abstractNumId w:val="0"/>
  </w:num>
  <w:num w:numId="9">
    <w:abstractNumId w:val="22"/>
  </w:num>
  <w:num w:numId="10">
    <w:abstractNumId w:val="10"/>
  </w:num>
  <w:num w:numId="11">
    <w:abstractNumId w:val="20"/>
  </w:num>
  <w:num w:numId="12">
    <w:abstractNumId w:val="14"/>
  </w:num>
  <w:num w:numId="13">
    <w:abstractNumId w:val="4"/>
  </w:num>
  <w:num w:numId="14">
    <w:abstractNumId w:val="13"/>
  </w:num>
  <w:num w:numId="15">
    <w:abstractNumId w:val="24"/>
  </w:num>
  <w:num w:numId="16">
    <w:abstractNumId w:val="1"/>
  </w:num>
  <w:num w:numId="17">
    <w:abstractNumId w:val="8"/>
  </w:num>
  <w:num w:numId="18">
    <w:abstractNumId w:val="21"/>
  </w:num>
  <w:num w:numId="19">
    <w:abstractNumId w:val="2"/>
  </w:num>
  <w:num w:numId="20">
    <w:abstractNumId w:val="18"/>
  </w:num>
  <w:num w:numId="21">
    <w:abstractNumId w:val="6"/>
  </w:num>
  <w:num w:numId="22">
    <w:abstractNumId w:val="7"/>
  </w:num>
  <w:num w:numId="23">
    <w:abstractNumId w:val="15"/>
  </w:num>
  <w:num w:numId="24">
    <w:abstractNumId w:val="11"/>
  </w:num>
  <w:num w:numId="25">
    <w:abstractNumId w:val="3"/>
  </w:num>
  <w:num w:numId="2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62F"/>
    <w:rsid w:val="00000F3A"/>
    <w:rsid w:val="000011AF"/>
    <w:rsid w:val="00005664"/>
    <w:rsid w:val="00006244"/>
    <w:rsid w:val="00007033"/>
    <w:rsid w:val="00012ABD"/>
    <w:rsid w:val="00016FE2"/>
    <w:rsid w:val="0002264E"/>
    <w:rsid w:val="00022DB0"/>
    <w:rsid w:val="000265FA"/>
    <w:rsid w:val="00030CF5"/>
    <w:rsid w:val="000325C5"/>
    <w:rsid w:val="00035FE4"/>
    <w:rsid w:val="00041D12"/>
    <w:rsid w:val="00043B0E"/>
    <w:rsid w:val="00043BC7"/>
    <w:rsid w:val="000440B1"/>
    <w:rsid w:val="0004489D"/>
    <w:rsid w:val="00044B52"/>
    <w:rsid w:val="00046186"/>
    <w:rsid w:val="0005186C"/>
    <w:rsid w:val="0005234D"/>
    <w:rsid w:val="000547BC"/>
    <w:rsid w:val="00062CD5"/>
    <w:rsid w:val="00063E7D"/>
    <w:rsid w:val="00067E0B"/>
    <w:rsid w:val="00071614"/>
    <w:rsid w:val="000717CA"/>
    <w:rsid w:val="0007200C"/>
    <w:rsid w:val="00073C17"/>
    <w:rsid w:val="0007470C"/>
    <w:rsid w:val="00086AB0"/>
    <w:rsid w:val="0009013C"/>
    <w:rsid w:val="000901A8"/>
    <w:rsid w:val="00090218"/>
    <w:rsid w:val="00092191"/>
    <w:rsid w:val="0009279E"/>
    <w:rsid w:val="00095A41"/>
    <w:rsid w:val="000963CD"/>
    <w:rsid w:val="000A3D96"/>
    <w:rsid w:val="000A6059"/>
    <w:rsid w:val="000A6B75"/>
    <w:rsid w:val="000A717E"/>
    <w:rsid w:val="000A7698"/>
    <w:rsid w:val="000B2EF5"/>
    <w:rsid w:val="000B2F3E"/>
    <w:rsid w:val="000B32F3"/>
    <w:rsid w:val="000B4395"/>
    <w:rsid w:val="000B5D93"/>
    <w:rsid w:val="000C0D42"/>
    <w:rsid w:val="000C5005"/>
    <w:rsid w:val="000C6834"/>
    <w:rsid w:val="000C7AD6"/>
    <w:rsid w:val="000D007F"/>
    <w:rsid w:val="000D39B5"/>
    <w:rsid w:val="000D6FB2"/>
    <w:rsid w:val="000E037B"/>
    <w:rsid w:val="000E32B2"/>
    <w:rsid w:val="000E6E39"/>
    <w:rsid w:val="000F7ADF"/>
    <w:rsid w:val="00104A9C"/>
    <w:rsid w:val="001067B8"/>
    <w:rsid w:val="00111DC4"/>
    <w:rsid w:val="00113A8A"/>
    <w:rsid w:val="00113BCC"/>
    <w:rsid w:val="001143F6"/>
    <w:rsid w:val="001208B9"/>
    <w:rsid w:val="00120E0E"/>
    <w:rsid w:val="001222F6"/>
    <w:rsid w:val="001224DE"/>
    <w:rsid w:val="00123B6C"/>
    <w:rsid w:val="00124860"/>
    <w:rsid w:val="00124FEA"/>
    <w:rsid w:val="00126A7C"/>
    <w:rsid w:val="0012700F"/>
    <w:rsid w:val="00130D98"/>
    <w:rsid w:val="001325DB"/>
    <w:rsid w:val="00132F7E"/>
    <w:rsid w:val="00135C31"/>
    <w:rsid w:val="00136A7A"/>
    <w:rsid w:val="00136C8A"/>
    <w:rsid w:val="00137414"/>
    <w:rsid w:val="001452A2"/>
    <w:rsid w:val="001474E7"/>
    <w:rsid w:val="00151D85"/>
    <w:rsid w:val="00152811"/>
    <w:rsid w:val="001537A4"/>
    <w:rsid w:val="00160B1F"/>
    <w:rsid w:val="001610CA"/>
    <w:rsid w:val="0016659A"/>
    <w:rsid w:val="0016675A"/>
    <w:rsid w:val="00166AC8"/>
    <w:rsid w:val="00176D27"/>
    <w:rsid w:val="00177414"/>
    <w:rsid w:val="0017780C"/>
    <w:rsid w:val="0018099E"/>
    <w:rsid w:val="00180D66"/>
    <w:rsid w:val="00192B9C"/>
    <w:rsid w:val="0019349E"/>
    <w:rsid w:val="0019513F"/>
    <w:rsid w:val="001951AA"/>
    <w:rsid w:val="00195718"/>
    <w:rsid w:val="001A28EA"/>
    <w:rsid w:val="001A3EAC"/>
    <w:rsid w:val="001A7A50"/>
    <w:rsid w:val="001A7DB1"/>
    <w:rsid w:val="001B0049"/>
    <w:rsid w:val="001B6ABE"/>
    <w:rsid w:val="001C1186"/>
    <w:rsid w:val="001C3815"/>
    <w:rsid w:val="001C429E"/>
    <w:rsid w:val="001C4921"/>
    <w:rsid w:val="001C4CDC"/>
    <w:rsid w:val="001C704E"/>
    <w:rsid w:val="001C7E7A"/>
    <w:rsid w:val="001D02B4"/>
    <w:rsid w:val="001D1C1A"/>
    <w:rsid w:val="001D1CBB"/>
    <w:rsid w:val="001D209C"/>
    <w:rsid w:val="001D46F6"/>
    <w:rsid w:val="001D7077"/>
    <w:rsid w:val="001E3986"/>
    <w:rsid w:val="001F0ECE"/>
    <w:rsid w:val="001F13F9"/>
    <w:rsid w:val="001F2ECB"/>
    <w:rsid w:val="001F35B6"/>
    <w:rsid w:val="00200C7A"/>
    <w:rsid w:val="00201AC2"/>
    <w:rsid w:val="00205E44"/>
    <w:rsid w:val="00217B4D"/>
    <w:rsid w:val="00221A8F"/>
    <w:rsid w:val="00223662"/>
    <w:rsid w:val="0022429F"/>
    <w:rsid w:val="00235E38"/>
    <w:rsid w:val="002373D7"/>
    <w:rsid w:val="002375C5"/>
    <w:rsid w:val="00246BCB"/>
    <w:rsid w:val="00250295"/>
    <w:rsid w:val="00250532"/>
    <w:rsid w:val="0025147D"/>
    <w:rsid w:val="00254235"/>
    <w:rsid w:val="00254B1C"/>
    <w:rsid w:val="00260D69"/>
    <w:rsid w:val="00262697"/>
    <w:rsid w:val="00265367"/>
    <w:rsid w:val="002659B6"/>
    <w:rsid w:val="002675F1"/>
    <w:rsid w:val="002720E7"/>
    <w:rsid w:val="002812C4"/>
    <w:rsid w:val="0028194B"/>
    <w:rsid w:val="0028338E"/>
    <w:rsid w:val="002A3638"/>
    <w:rsid w:val="002A6116"/>
    <w:rsid w:val="002A6980"/>
    <w:rsid w:val="002B40B0"/>
    <w:rsid w:val="002B50C7"/>
    <w:rsid w:val="002B549C"/>
    <w:rsid w:val="002B6CAB"/>
    <w:rsid w:val="002B7257"/>
    <w:rsid w:val="002C118D"/>
    <w:rsid w:val="002C737A"/>
    <w:rsid w:val="002D0DBD"/>
    <w:rsid w:val="002D3006"/>
    <w:rsid w:val="002D3FBF"/>
    <w:rsid w:val="002D4461"/>
    <w:rsid w:val="002D4CA7"/>
    <w:rsid w:val="002D596F"/>
    <w:rsid w:val="002D6686"/>
    <w:rsid w:val="002D66A7"/>
    <w:rsid w:val="002D7933"/>
    <w:rsid w:val="002E316E"/>
    <w:rsid w:val="002E454B"/>
    <w:rsid w:val="002E4A8E"/>
    <w:rsid w:val="002E4CF0"/>
    <w:rsid w:val="002E69D7"/>
    <w:rsid w:val="002E6E60"/>
    <w:rsid w:val="002F13A9"/>
    <w:rsid w:val="002F1B6A"/>
    <w:rsid w:val="002F5B32"/>
    <w:rsid w:val="0030226A"/>
    <w:rsid w:val="00302B59"/>
    <w:rsid w:val="0030420F"/>
    <w:rsid w:val="00307D95"/>
    <w:rsid w:val="00312862"/>
    <w:rsid w:val="00313EC8"/>
    <w:rsid w:val="00314BE5"/>
    <w:rsid w:val="00315FFC"/>
    <w:rsid w:val="00316D1E"/>
    <w:rsid w:val="00317093"/>
    <w:rsid w:val="00320E6C"/>
    <w:rsid w:val="00320E92"/>
    <w:rsid w:val="003251C0"/>
    <w:rsid w:val="003251F5"/>
    <w:rsid w:val="003268D5"/>
    <w:rsid w:val="00327FAF"/>
    <w:rsid w:val="003313FE"/>
    <w:rsid w:val="00332D30"/>
    <w:rsid w:val="0033554E"/>
    <w:rsid w:val="003367C6"/>
    <w:rsid w:val="003373F9"/>
    <w:rsid w:val="00346B7C"/>
    <w:rsid w:val="00346E90"/>
    <w:rsid w:val="003556EB"/>
    <w:rsid w:val="00357FB8"/>
    <w:rsid w:val="00363CB8"/>
    <w:rsid w:val="00364316"/>
    <w:rsid w:val="00366BBE"/>
    <w:rsid w:val="00366D98"/>
    <w:rsid w:val="00370B4A"/>
    <w:rsid w:val="00372170"/>
    <w:rsid w:val="003769E6"/>
    <w:rsid w:val="00376F5A"/>
    <w:rsid w:val="00377AC1"/>
    <w:rsid w:val="00380D12"/>
    <w:rsid w:val="00382A47"/>
    <w:rsid w:val="00383F37"/>
    <w:rsid w:val="0038439A"/>
    <w:rsid w:val="00391E64"/>
    <w:rsid w:val="00393590"/>
    <w:rsid w:val="003940F7"/>
    <w:rsid w:val="00394ADA"/>
    <w:rsid w:val="003A46EA"/>
    <w:rsid w:val="003A48C0"/>
    <w:rsid w:val="003A4ABC"/>
    <w:rsid w:val="003A51D1"/>
    <w:rsid w:val="003A6881"/>
    <w:rsid w:val="003A7613"/>
    <w:rsid w:val="003A7D78"/>
    <w:rsid w:val="003B232A"/>
    <w:rsid w:val="003B37A9"/>
    <w:rsid w:val="003B386B"/>
    <w:rsid w:val="003C00EE"/>
    <w:rsid w:val="003C09CE"/>
    <w:rsid w:val="003C10EB"/>
    <w:rsid w:val="003C3BAF"/>
    <w:rsid w:val="003C4B17"/>
    <w:rsid w:val="003C57A1"/>
    <w:rsid w:val="003D2916"/>
    <w:rsid w:val="003D4723"/>
    <w:rsid w:val="003D560D"/>
    <w:rsid w:val="003D6451"/>
    <w:rsid w:val="003D7C0A"/>
    <w:rsid w:val="003D7D19"/>
    <w:rsid w:val="003D7D6A"/>
    <w:rsid w:val="003E1419"/>
    <w:rsid w:val="003E3AE3"/>
    <w:rsid w:val="003E3F0B"/>
    <w:rsid w:val="003E4B3F"/>
    <w:rsid w:val="003E4C9A"/>
    <w:rsid w:val="003E666E"/>
    <w:rsid w:val="003E76CB"/>
    <w:rsid w:val="003E792A"/>
    <w:rsid w:val="003F588F"/>
    <w:rsid w:val="003F5D96"/>
    <w:rsid w:val="004073C0"/>
    <w:rsid w:val="00410287"/>
    <w:rsid w:val="004103E0"/>
    <w:rsid w:val="004118A5"/>
    <w:rsid w:val="00411B1F"/>
    <w:rsid w:val="004120EF"/>
    <w:rsid w:val="00412E87"/>
    <w:rsid w:val="004133E2"/>
    <w:rsid w:val="0041575C"/>
    <w:rsid w:val="00415A84"/>
    <w:rsid w:val="0041626A"/>
    <w:rsid w:val="00417313"/>
    <w:rsid w:val="00417B0A"/>
    <w:rsid w:val="00422015"/>
    <w:rsid w:val="0042242D"/>
    <w:rsid w:val="0042273B"/>
    <w:rsid w:val="00436EE1"/>
    <w:rsid w:val="00437978"/>
    <w:rsid w:val="004421D9"/>
    <w:rsid w:val="00443540"/>
    <w:rsid w:val="00444E8D"/>
    <w:rsid w:val="004512D3"/>
    <w:rsid w:val="004516CE"/>
    <w:rsid w:val="00453830"/>
    <w:rsid w:val="004577EF"/>
    <w:rsid w:val="00462368"/>
    <w:rsid w:val="00465305"/>
    <w:rsid w:val="00465B5E"/>
    <w:rsid w:val="00471F2A"/>
    <w:rsid w:val="00472659"/>
    <w:rsid w:val="0047628E"/>
    <w:rsid w:val="004800E3"/>
    <w:rsid w:val="00480148"/>
    <w:rsid w:val="004801BC"/>
    <w:rsid w:val="00482F81"/>
    <w:rsid w:val="00485C3A"/>
    <w:rsid w:val="004869DF"/>
    <w:rsid w:val="00487CAB"/>
    <w:rsid w:val="00490191"/>
    <w:rsid w:val="0049414D"/>
    <w:rsid w:val="00497750"/>
    <w:rsid w:val="00497EB5"/>
    <w:rsid w:val="004A1A78"/>
    <w:rsid w:val="004A3F6E"/>
    <w:rsid w:val="004A5009"/>
    <w:rsid w:val="004A5882"/>
    <w:rsid w:val="004A5C22"/>
    <w:rsid w:val="004B156D"/>
    <w:rsid w:val="004B2BD5"/>
    <w:rsid w:val="004B43D2"/>
    <w:rsid w:val="004C1624"/>
    <w:rsid w:val="004C5F2E"/>
    <w:rsid w:val="004C6737"/>
    <w:rsid w:val="004C6B65"/>
    <w:rsid w:val="004D12A5"/>
    <w:rsid w:val="004E3874"/>
    <w:rsid w:val="004E3A9C"/>
    <w:rsid w:val="004E5D1E"/>
    <w:rsid w:val="004E684C"/>
    <w:rsid w:val="004E7C5C"/>
    <w:rsid w:val="004F2233"/>
    <w:rsid w:val="004F2695"/>
    <w:rsid w:val="004F6EDC"/>
    <w:rsid w:val="0050320C"/>
    <w:rsid w:val="005073A3"/>
    <w:rsid w:val="00516BCF"/>
    <w:rsid w:val="00517FE1"/>
    <w:rsid w:val="0052354E"/>
    <w:rsid w:val="00523A3A"/>
    <w:rsid w:val="005303F5"/>
    <w:rsid w:val="00530E66"/>
    <w:rsid w:val="0053156F"/>
    <w:rsid w:val="00531C9B"/>
    <w:rsid w:val="00532258"/>
    <w:rsid w:val="005330C6"/>
    <w:rsid w:val="00534AF4"/>
    <w:rsid w:val="00535C59"/>
    <w:rsid w:val="00536CBD"/>
    <w:rsid w:val="005426DD"/>
    <w:rsid w:val="0054378C"/>
    <w:rsid w:val="00543B54"/>
    <w:rsid w:val="00544777"/>
    <w:rsid w:val="005447D1"/>
    <w:rsid w:val="005455EF"/>
    <w:rsid w:val="005471CC"/>
    <w:rsid w:val="005506E9"/>
    <w:rsid w:val="005518EC"/>
    <w:rsid w:val="00551F6A"/>
    <w:rsid w:val="00555044"/>
    <w:rsid w:val="005555C0"/>
    <w:rsid w:val="00556767"/>
    <w:rsid w:val="00560B94"/>
    <w:rsid w:val="00563E2A"/>
    <w:rsid w:val="00566BE5"/>
    <w:rsid w:val="00566FB9"/>
    <w:rsid w:val="005674A9"/>
    <w:rsid w:val="00567E45"/>
    <w:rsid w:val="00567F83"/>
    <w:rsid w:val="0057015D"/>
    <w:rsid w:val="00570580"/>
    <w:rsid w:val="00570982"/>
    <w:rsid w:val="00573448"/>
    <w:rsid w:val="00573CBC"/>
    <w:rsid w:val="00574DDF"/>
    <w:rsid w:val="0057687C"/>
    <w:rsid w:val="005825FD"/>
    <w:rsid w:val="00586B4E"/>
    <w:rsid w:val="005912AF"/>
    <w:rsid w:val="00591341"/>
    <w:rsid w:val="00594712"/>
    <w:rsid w:val="00594809"/>
    <w:rsid w:val="00596580"/>
    <w:rsid w:val="00596657"/>
    <w:rsid w:val="0059733F"/>
    <w:rsid w:val="005A334B"/>
    <w:rsid w:val="005A6BBA"/>
    <w:rsid w:val="005A71BF"/>
    <w:rsid w:val="005B259B"/>
    <w:rsid w:val="005B2E3C"/>
    <w:rsid w:val="005B4BCF"/>
    <w:rsid w:val="005C4279"/>
    <w:rsid w:val="005C4367"/>
    <w:rsid w:val="005C545C"/>
    <w:rsid w:val="005C6E80"/>
    <w:rsid w:val="005D2670"/>
    <w:rsid w:val="005D35F3"/>
    <w:rsid w:val="005D4CBB"/>
    <w:rsid w:val="005D7A6D"/>
    <w:rsid w:val="005E0042"/>
    <w:rsid w:val="005E14A6"/>
    <w:rsid w:val="005F165A"/>
    <w:rsid w:val="005F18B3"/>
    <w:rsid w:val="005F1F16"/>
    <w:rsid w:val="005F3079"/>
    <w:rsid w:val="005F686D"/>
    <w:rsid w:val="006107EA"/>
    <w:rsid w:val="00612443"/>
    <w:rsid w:val="00617DA5"/>
    <w:rsid w:val="00621904"/>
    <w:rsid w:val="00621D49"/>
    <w:rsid w:val="006233C0"/>
    <w:rsid w:val="00627609"/>
    <w:rsid w:val="006334E2"/>
    <w:rsid w:val="00635C08"/>
    <w:rsid w:val="006402DE"/>
    <w:rsid w:val="00642EC4"/>
    <w:rsid w:val="006431A4"/>
    <w:rsid w:val="00644701"/>
    <w:rsid w:val="0065047F"/>
    <w:rsid w:val="00650CCD"/>
    <w:rsid w:val="006528C8"/>
    <w:rsid w:val="006529F6"/>
    <w:rsid w:val="00654683"/>
    <w:rsid w:val="00655E42"/>
    <w:rsid w:val="00656000"/>
    <w:rsid w:val="00662726"/>
    <w:rsid w:val="00665286"/>
    <w:rsid w:val="006658BD"/>
    <w:rsid w:val="00666B27"/>
    <w:rsid w:val="0067172B"/>
    <w:rsid w:val="006732CA"/>
    <w:rsid w:val="00676E13"/>
    <w:rsid w:val="00680AAB"/>
    <w:rsid w:val="00684997"/>
    <w:rsid w:val="00685740"/>
    <w:rsid w:val="00691416"/>
    <w:rsid w:val="006920AB"/>
    <w:rsid w:val="00692A20"/>
    <w:rsid w:val="00692B45"/>
    <w:rsid w:val="00693AF5"/>
    <w:rsid w:val="00696CC7"/>
    <w:rsid w:val="006A099B"/>
    <w:rsid w:val="006A17A2"/>
    <w:rsid w:val="006A1953"/>
    <w:rsid w:val="006A20A4"/>
    <w:rsid w:val="006A21FC"/>
    <w:rsid w:val="006A46AB"/>
    <w:rsid w:val="006A4AFC"/>
    <w:rsid w:val="006A4E17"/>
    <w:rsid w:val="006A6D0F"/>
    <w:rsid w:val="006A77BD"/>
    <w:rsid w:val="006B1960"/>
    <w:rsid w:val="006B7240"/>
    <w:rsid w:val="006C222C"/>
    <w:rsid w:val="006C2C49"/>
    <w:rsid w:val="006C47BE"/>
    <w:rsid w:val="006C741F"/>
    <w:rsid w:val="006D4307"/>
    <w:rsid w:val="006D621B"/>
    <w:rsid w:val="006D7ABD"/>
    <w:rsid w:val="006E1C7F"/>
    <w:rsid w:val="006E304B"/>
    <w:rsid w:val="006E3B7B"/>
    <w:rsid w:val="006F0A87"/>
    <w:rsid w:val="006F268A"/>
    <w:rsid w:val="006F39A0"/>
    <w:rsid w:val="006F5817"/>
    <w:rsid w:val="006F5C12"/>
    <w:rsid w:val="00703C13"/>
    <w:rsid w:val="00705340"/>
    <w:rsid w:val="00705AA8"/>
    <w:rsid w:val="00706593"/>
    <w:rsid w:val="00711250"/>
    <w:rsid w:val="00711D16"/>
    <w:rsid w:val="007135A8"/>
    <w:rsid w:val="00713A67"/>
    <w:rsid w:val="0071492D"/>
    <w:rsid w:val="0071585B"/>
    <w:rsid w:val="00716D3F"/>
    <w:rsid w:val="00717B21"/>
    <w:rsid w:val="00720D9B"/>
    <w:rsid w:val="007229F7"/>
    <w:rsid w:val="00722EA6"/>
    <w:rsid w:val="0072349C"/>
    <w:rsid w:val="00723AD3"/>
    <w:rsid w:val="00724018"/>
    <w:rsid w:val="00725AD2"/>
    <w:rsid w:val="00725BEC"/>
    <w:rsid w:val="00725F52"/>
    <w:rsid w:val="00730693"/>
    <w:rsid w:val="0073147F"/>
    <w:rsid w:val="00737E35"/>
    <w:rsid w:val="007467D0"/>
    <w:rsid w:val="007472D4"/>
    <w:rsid w:val="00751FA0"/>
    <w:rsid w:val="007563E9"/>
    <w:rsid w:val="00763658"/>
    <w:rsid w:val="00765AAC"/>
    <w:rsid w:val="00772A7A"/>
    <w:rsid w:val="00775685"/>
    <w:rsid w:val="00776897"/>
    <w:rsid w:val="007802A9"/>
    <w:rsid w:val="00780CDD"/>
    <w:rsid w:val="00785797"/>
    <w:rsid w:val="0079770A"/>
    <w:rsid w:val="00797C9A"/>
    <w:rsid w:val="007A1E96"/>
    <w:rsid w:val="007A40DE"/>
    <w:rsid w:val="007A6152"/>
    <w:rsid w:val="007B1FE8"/>
    <w:rsid w:val="007B2A79"/>
    <w:rsid w:val="007B476E"/>
    <w:rsid w:val="007B5296"/>
    <w:rsid w:val="007B7FAB"/>
    <w:rsid w:val="007C2C21"/>
    <w:rsid w:val="007C355E"/>
    <w:rsid w:val="007D025C"/>
    <w:rsid w:val="007D17EE"/>
    <w:rsid w:val="007D2C39"/>
    <w:rsid w:val="007D3154"/>
    <w:rsid w:val="007D4C35"/>
    <w:rsid w:val="007D4F82"/>
    <w:rsid w:val="007E1EBF"/>
    <w:rsid w:val="007E6261"/>
    <w:rsid w:val="007F01EA"/>
    <w:rsid w:val="007F1059"/>
    <w:rsid w:val="007F267F"/>
    <w:rsid w:val="007F53CA"/>
    <w:rsid w:val="007F710D"/>
    <w:rsid w:val="007F72B9"/>
    <w:rsid w:val="007F7AB7"/>
    <w:rsid w:val="0080494B"/>
    <w:rsid w:val="00806A1F"/>
    <w:rsid w:val="00807DE2"/>
    <w:rsid w:val="008113F4"/>
    <w:rsid w:val="00815C33"/>
    <w:rsid w:val="008231B0"/>
    <w:rsid w:val="00823405"/>
    <w:rsid w:val="00825484"/>
    <w:rsid w:val="00827912"/>
    <w:rsid w:val="00831C2D"/>
    <w:rsid w:val="00831FD2"/>
    <w:rsid w:val="00836DC2"/>
    <w:rsid w:val="00841E66"/>
    <w:rsid w:val="008476B9"/>
    <w:rsid w:val="00851CD3"/>
    <w:rsid w:val="00851EB3"/>
    <w:rsid w:val="0085293D"/>
    <w:rsid w:val="00857007"/>
    <w:rsid w:val="00857219"/>
    <w:rsid w:val="00862E6A"/>
    <w:rsid w:val="00863328"/>
    <w:rsid w:val="00864D16"/>
    <w:rsid w:val="00870FFA"/>
    <w:rsid w:val="00880730"/>
    <w:rsid w:val="00880E69"/>
    <w:rsid w:val="00882200"/>
    <w:rsid w:val="008826D8"/>
    <w:rsid w:val="00885A77"/>
    <w:rsid w:val="008872E6"/>
    <w:rsid w:val="00892444"/>
    <w:rsid w:val="008934FA"/>
    <w:rsid w:val="00894708"/>
    <w:rsid w:val="0089474B"/>
    <w:rsid w:val="00894C35"/>
    <w:rsid w:val="008967BA"/>
    <w:rsid w:val="00897410"/>
    <w:rsid w:val="008A128B"/>
    <w:rsid w:val="008A1615"/>
    <w:rsid w:val="008A1AF9"/>
    <w:rsid w:val="008A4908"/>
    <w:rsid w:val="008A7249"/>
    <w:rsid w:val="008A7FA6"/>
    <w:rsid w:val="008B0C32"/>
    <w:rsid w:val="008B3531"/>
    <w:rsid w:val="008B538B"/>
    <w:rsid w:val="008B7894"/>
    <w:rsid w:val="008C3AD5"/>
    <w:rsid w:val="008C48DC"/>
    <w:rsid w:val="008C7B1D"/>
    <w:rsid w:val="008C7E2F"/>
    <w:rsid w:val="008D148D"/>
    <w:rsid w:val="008D23C6"/>
    <w:rsid w:val="008D4904"/>
    <w:rsid w:val="008D57F2"/>
    <w:rsid w:val="008D6E56"/>
    <w:rsid w:val="008E13DD"/>
    <w:rsid w:val="008E3807"/>
    <w:rsid w:val="008E5D09"/>
    <w:rsid w:val="008F1829"/>
    <w:rsid w:val="008F2C95"/>
    <w:rsid w:val="008F3B80"/>
    <w:rsid w:val="008F4EB7"/>
    <w:rsid w:val="008F6D09"/>
    <w:rsid w:val="00906AA0"/>
    <w:rsid w:val="00906D81"/>
    <w:rsid w:val="00906FA8"/>
    <w:rsid w:val="00907C5B"/>
    <w:rsid w:val="0091243F"/>
    <w:rsid w:val="00920EA8"/>
    <w:rsid w:val="00922950"/>
    <w:rsid w:val="0092310C"/>
    <w:rsid w:val="00925CF6"/>
    <w:rsid w:val="00930F28"/>
    <w:rsid w:val="00931436"/>
    <w:rsid w:val="00937520"/>
    <w:rsid w:val="00937F40"/>
    <w:rsid w:val="0094078F"/>
    <w:rsid w:val="00947922"/>
    <w:rsid w:val="00950055"/>
    <w:rsid w:val="00952A04"/>
    <w:rsid w:val="0096178B"/>
    <w:rsid w:val="00966024"/>
    <w:rsid w:val="0096673A"/>
    <w:rsid w:val="009708DE"/>
    <w:rsid w:val="00973169"/>
    <w:rsid w:val="00974F63"/>
    <w:rsid w:val="009822AB"/>
    <w:rsid w:val="00982970"/>
    <w:rsid w:val="009843E1"/>
    <w:rsid w:val="009957F6"/>
    <w:rsid w:val="00996F1B"/>
    <w:rsid w:val="009A54E9"/>
    <w:rsid w:val="009A6178"/>
    <w:rsid w:val="009B4631"/>
    <w:rsid w:val="009B52EE"/>
    <w:rsid w:val="009B59B7"/>
    <w:rsid w:val="009B6E40"/>
    <w:rsid w:val="009C1987"/>
    <w:rsid w:val="009C1F4F"/>
    <w:rsid w:val="009C335C"/>
    <w:rsid w:val="009C5DBB"/>
    <w:rsid w:val="009D1831"/>
    <w:rsid w:val="009D1C46"/>
    <w:rsid w:val="009D7B0D"/>
    <w:rsid w:val="009E0790"/>
    <w:rsid w:val="009E4296"/>
    <w:rsid w:val="009E530B"/>
    <w:rsid w:val="009E7CF4"/>
    <w:rsid w:val="009E7F1A"/>
    <w:rsid w:val="009F3D33"/>
    <w:rsid w:val="009F51C9"/>
    <w:rsid w:val="009F7DB8"/>
    <w:rsid w:val="00A003AD"/>
    <w:rsid w:val="00A012FA"/>
    <w:rsid w:val="00A019C0"/>
    <w:rsid w:val="00A01F37"/>
    <w:rsid w:val="00A05B75"/>
    <w:rsid w:val="00A0605A"/>
    <w:rsid w:val="00A068EE"/>
    <w:rsid w:val="00A07E33"/>
    <w:rsid w:val="00A10510"/>
    <w:rsid w:val="00A13574"/>
    <w:rsid w:val="00A142B0"/>
    <w:rsid w:val="00A14FA9"/>
    <w:rsid w:val="00A16757"/>
    <w:rsid w:val="00A1748D"/>
    <w:rsid w:val="00A24873"/>
    <w:rsid w:val="00A25114"/>
    <w:rsid w:val="00A25E27"/>
    <w:rsid w:val="00A26254"/>
    <w:rsid w:val="00A27265"/>
    <w:rsid w:val="00A32E13"/>
    <w:rsid w:val="00A34E9C"/>
    <w:rsid w:val="00A35ECE"/>
    <w:rsid w:val="00A3741F"/>
    <w:rsid w:val="00A409B8"/>
    <w:rsid w:val="00A47110"/>
    <w:rsid w:val="00A53F5A"/>
    <w:rsid w:val="00A548E3"/>
    <w:rsid w:val="00A5648F"/>
    <w:rsid w:val="00A62DE3"/>
    <w:rsid w:val="00A642E8"/>
    <w:rsid w:val="00A700E2"/>
    <w:rsid w:val="00A71335"/>
    <w:rsid w:val="00A734A6"/>
    <w:rsid w:val="00A73E9E"/>
    <w:rsid w:val="00A764B8"/>
    <w:rsid w:val="00A87199"/>
    <w:rsid w:val="00A87770"/>
    <w:rsid w:val="00A91DCC"/>
    <w:rsid w:val="00A931EA"/>
    <w:rsid w:val="00A96B86"/>
    <w:rsid w:val="00A96F9C"/>
    <w:rsid w:val="00A97063"/>
    <w:rsid w:val="00A97BB3"/>
    <w:rsid w:val="00AA0162"/>
    <w:rsid w:val="00AA1D15"/>
    <w:rsid w:val="00AA704B"/>
    <w:rsid w:val="00AA7750"/>
    <w:rsid w:val="00AB26E9"/>
    <w:rsid w:val="00AB5B24"/>
    <w:rsid w:val="00AB67C7"/>
    <w:rsid w:val="00AC07F7"/>
    <w:rsid w:val="00AC4680"/>
    <w:rsid w:val="00AC4856"/>
    <w:rsid w:val="00AC4985"/>
    <w:rsid w:val="00AC65F1"/>
    <w:rsid w:val="00AD4669"/>
    <w:rsid w:val="00AD6A9D"/>
    <w:rsid w:val="00AE0ED7"/>
    <w:rsid w:val="00AF663B"/>
    <w:rsid w:val="00B1061F"/>
    <w:rsid w:val="00B10EFC"/>
    <w:rsid w:val="00B16C26"/>
    <w:rsid w:val="00B20172"/>
    <w:rsid w:val="00B22B25"/>
    <w:rsid w:val="00B27824"/>
    <w:rsid w:val="00B348A7"/>
    <w:rsid w:val="00B36692"/>
    <w:rsid w:val="00B40F25"/>
    <w:rsid w:val="00B41289"/>
    <w:rsid w:val="00B41FC1"/>
    <w:rsid w:val="00B426CD"/>
    <w:rsid w:val="00B44229"/>
    <w:rsid w:val="00B44DE4"/>
    <w:rsid w:val="00B4562F"/>
    <w:rsid w:val="00B45B12"/>
    <w:rsid w:val="00B46DDB"/>
    <w:rsid w:val="00B47436"/>
    <w:rsid w:val="00B52394"/>
    <w:rsid w:val="00B5581F"/>
    <w:rsid w:val="00B56543"/>
    <w:rsid w:val="00B57442"/>
    <w:rsid w:val="00B57C3E"/>
    <w:rsid w:val="00B57D4C"/>
    <w:rsid w:val="00B60E85"/>
    <w:rsid w:val="00B6249D"/>
    <w:rsid w:val="00B669B8"/>
    <w:rsid w:val="00B756A0"/>
    <w:rsid w:val="00B8247D"/>
    <w:rsid w:val="00B82DAB"/>
    <w:rsid w:val="00B8444D"/>
    <w:rsid w:val="00B8733A"/>
    <w:rsid w:val="00B906BA"/>
    <w:rsid w:val="00BA2ADF"/>
    <w:rsid w:val="00BA57F0"/>
    <w:rsid w:val="00BA5DB9"/>
    <w:rsid w:val="00BB4960"/>
    <w:rsid w:val="00BB764C"/>
    <w:rsid w:val="00BC344C"/>
    <w:rsid w:val="00BC3E82"/>
    <w:rsid w:val="00BC7EEB"/>
    <w:rsid w:val="00BD3231"/>
    <w:rsid w:val="00BD41A0"/>
    <w:rsid w:val="00BD5485"/>
    <w:rsid w:val="00BD6339"/>
    <w:rsid w:val="00BD6912"/>
    <w:rsid w:val="00BD69D4"/>
    <w:rsid w:val="00BE6A02"/>
    <w:rsid w:val="00BE7108"/>
    <w:rsid w:val="00BE7AED"/>
    <w:rsid w:val="00BE7B4C"/>
    <w:rsid w:val="00BF223A"/>
    <w:rsid w:val="00BF2D71"/>
    <w:rsid w:val="00BF5E63"/>
    <w:rsid w:val="00BF790B"/>
    <w:rsid w:val="00C02407"/>
    <w:rsid w:val="00C02C70"/>
    <w:rsid w:val="00C0346A"/>
    <w:rsid w:val="00C0538C"/>
    <w:rsid w:val="00C0738D"/>
    <w:rsid w:val="00C10445"/>
    <w:rsid w:val="00C106AE"/>
    <w:rsid w:val="00C139D3"/>
    <w:rsid w:val="00C14DC4"/>
    <w:rsid w:val="00C155B1"/>
    <w:rsid w:val="00C15C24"/>
    <w:rsid w:val="00C1614A"/>
    <w:rsid w:val="00C210F5"/>
    <w:rsid w:val="00C22D7E"/>
    <w:rsid w:val="00C23F87"/>
    <w:rsid w:val="00C3095A"/>
    <w:rsid w:val="00C30FED"/>
    <w:rsid w:val="00C314EB"/>
    <w:rsid w:val="00C316FD"/>
    <w:rsid w:val="00C3188F"/>
    <w:rsid w:val="00C3218A"/>
    <w:rsid w:val="00C342BF"/>
    <w:rsid w:val="00C352D3"/>
    <w:rsid w:val="00C401FF"/>
    <w:rsid w:val="00C4020D"/>
    <w:rsid w:val="00C40C49"/>
    <w:rsid w:val="00C4555F"/>
    <w:rsid w:val="00C45BD4"/>
    <w:rsid w:val="00C51BDF"/>
    <w:rsid w:val="00C5499E"/>
    <w:rsid w:val="00C54B68"/>
    <w:rsid w:val="00C62251"/>
    <w:rsid w:val="00C638B5"/>
    <w:rsid w:val="00C638E5"/>
    <w:rsid w:val="00C65B00"/>
    <w:rsid w:val="00C66C78"/>
    <w:rsid w:val="00C7130C"/>
    <w:rsid w:val="00C80687"/>
    <w:rsid w:val="00C824B8"/>
    <w:rsid w:val="00C837BB"/>
    <w:rsid w:val="00C84B61"/>
    <w:rsid w:val="00C86877"/>
    <w:rsid w:val="00C873D8"/>
    <w:rsid w:val="00C919DB"/>
    <w:rsid w:val="00C928E9"/>
    <w:rsid w:val="00C93077"/>
    <w:rsid w:val="00C974ED"/>
    <w:rsid w:val="00CA1878"/>
    <w:rsid w:val="00CA53F3"/>
    <w:rsid w:val="00CA78BD"/>
    <w:rsid w:val="00CA7C51"/>
    <w:rsid w:val="00CB7357"/>
    <w:rsid w:val="00CC32AD"/>
    <w:rsid w:val="00CC5F3A"/>
    <w:rsid w:val="00CD2C92"/>
    <w:rsid w:val="00CD2E24"/>
    <w:rsid w:val="00CD6415"/>
    <w:rsid w:val="00CE4952"/>
    <w:rsid w:val="00CE58B3"/>
    <w:rsid w:val="00CE7EDA"/>
    <w:rsid w:val="00D00A8A"/>
    <w:rsid w:val="00D025C2"/>
    <w:rsid w:val="00D04791"/>
    <w:rsid w:val="00D049CD"/>
    <w:rsid w:val="00D0600F"/>
    <w:rsid w:val="00D11C15"/>
    <w:rsid w:val="00D136E1"/>
    <w:rsid w:val="00D13AED"/>
    <w:rsid w:val="00D170FD"/>
    <w:rsid w:val="00D224B5"/>
    <w:rsid w:val="00D244FA"/>
    <w:rsid w:val="00D31674"/>
    <w:rsid w:val="00D31FCD"/>
    <w:rsid w:val="00D361C6"/>
    <w:rsid w:val="00D449CA"/>
    <w:rsid w:val="00D453FF"/>
    <w:rsid w:val="00D50162"/>
    <w:rsid w:val="00D5182D"/>
    <w:rsid w:val="00D52B6C"/>
    <w:rsid w:val="00D54CC1"/>
    <w:rsid w:val="00D54CF5"/>
    <w:rsid w:val="00D56047"/>
    <w:rsid w:val="00D568CB"/>
    <w:rsid w:val="00D61C4E"/>
    <w:rsid w:val="00D62C38"/>
    <w:rsid w:val="00D723C5"/>
    <w:rsid w:val="00D7288E"/>
    <w:rsid w:val="00D72BBF"/>
    <w:rsid w:val="00D756A4"/>
    <w:rsid w:val="00D775CB"/>
    <w:rsid w:val="00D80306"/>
    <w:rsid w:val="00D84796"/>
    <w:rsid w:val="00D86DE9"/>
    <w:rsid w:val="00D91D3B"/>
    <w:rsid w:val="00D92417"/>
    <w:rsid w:val="00D941E4"/>
    <w:rsid w:val="00D956F9"/>
    <w:rsid w:val="00D97711"/>
    <w:rsid w:val="00DA2A20"/>
    <w:rsid w:val="00DA3C16"/>
    <w:rsid w:val="00DB3780"/>
    <w:rsid w:val="00DC1287"/>
    <w:rsid w:val="00DC12A8"/>
    <w:rsid w:val="00DC13F0"/>
    <w:rsid w:val="00DC2106"/>
    <w:rsid w:val="00DC2B12"/>
    <w:rsid w:val="00DC6ABB"/>
    <w:rsid w:val="00DD1F0D"/>
    <w:rsid w:val="00DD3434"/>
    <w:rsid w:val="00DD66A1"/>
    <w:rsid w:val="00DD6B30"/>
    <w:rsid w:val="00DE31F7"/>
    <w:rsid w:val="00DE409C"/>
    <w:rsid w:val="00DE5E29"/>
    <w:rsid w:val="00DE6EEF"/>
    <w:rsid w:val="00DF4767"/>
    <w:rsid w:val="00DF5B0D"/>
    <w:rsid w:val="00DF685B"/>
    <w:rsid w:val="00DF732D"/>
    <w:rsid w:val="00E02415"/>
    <w:rsid w:val="00E02A43"/>
    <w:rsid w:val="00E123BA"/>
    <w:rsid w:val="00E1415C"/>
    <w:rsid w:val="00E174F6"/>
    <w:rsid w:val="00E20703"/>
    <w:rsid w:val="00E24F51"/>
    <w:rsid w:val="00E27B2F"/>
    <w:rsid w:val="00E34B9B"/>
    <w:rsid w:val="00E3538B"/>
    <w:rsid w:val="00E42304"/>
    <w:rsid w:val="00E52159"/>
    <w:rsid w:val="00E56F06"/>
    <w:rsid w:val="00E57E24"/>
    <w:rsid w:val="00E60B6E"/>
    <w:rsid w:val="00E62136"/>
    <w:rsid w:val="00E63D6C"/>
    <w:rsid w:val="00E6726F"/>
    <w:rsid w:val="00E72C79"/>
    <w:rsid w:val="00E82A21"/>
    <w:rsid w:val="00E851FE"/>
    <w:rsid w:val="00E86524"/>
    <w:rsid w:val="00E92610"/>
    <w:rsid w:val="00EA055E"/>
    <w:rsid w:val="00EA2D18"/>
    <w:rsid w:val="00EA31EA"/>
    <w:rsid w:val="00EA56F8"/>
    <w:rsid w:val="00EA6638"/>
    <w:rsid w:val="00EB0024"/>
    <w:rsid w:val="00EB17FA"/>
    <w:rsid w:val="00EB2F7E"/>
    <w:rsid w:val="00EB5669"/>
    <w:rsid w:val="00EC1AAF"/>
    <w:rsid w:val="00EC1C27"/>
    <w:rsid w:val="00EC23D3"/>
    <w:rsid w:val="00EC3418"/>
    <w:rsid w:val="00EC6FE1"/>
    <w:rsid w:val="00ED1C70"/>
    <w:rsid w:val="00ED209E"/>
    <w:rsid w:val="00ED76A9"/>
    <w:rsid w:val="00ED7A91"/>
    <w:rsid w:val="00EE1DEA"/>
    <w:rsid w:val="00EE2FCE"/>
    <w:rsid w:val="00EE30CD"/>
    <w:rsid w:val="00EE5360"/>
    <w:rsid w:val="00EF075C"/>
    <w:rsid w:val="00EF4181"/>
    <w:rsid w:val="00EF4B92"/>
    <w:rsid w:val="00EF683F"/>
    <w:rsid w:val="00EF709D"/>
    <w:rsid w:val="00F1391A"/>
    <w:rsid w:val="00F170EF"/>
    <w:rsid w:val="00F17897"/>
    <w:rsid w:val="00F20487"/>
    <w:rsid w:val="00F255B0"/>
    <w:rsid w:val="00F27A00"/>
    <w:rsid w:val="00F30CD0"/>
    <w:rsid w:val="00F31521"/>
    <w:rsid w:val="00F32730"/>
    <w:rsid w:val="00F3381F"/>
    <w:rsid w:val="00F3418E"/>
    <w:rsid w:val="00F34887"/>
    <w:rsid w:val="00F364DA"/>
    <w:rsid w:val="00F37D7F"/>
    <w:rsid w:val="00F42366"/>
    <w:rsid w:val="00F45E18"/>
    <w:rsid w:val="00F46FCA"/>
    <w:rsid w:val="00F501CB"/>
    <w:rsid w:val="00F521A8"/>
    <w:rsid w:val="00F543C6"/>
    <w:rsid w:val="00F54B41"/>
    <w:rsid w:val="00F56DD8"/>
    <w:rsid w:val="00F627BC"/>
    <w:rsid w:val="00F6696C"/>
    <w:rsid w:val="00F702DB"/>
    <w:rsid w:val="00F70853"/>
    <w:rsid w:val="00F77FF5"/>
    <w:rsid w:val="00F81362"/>
    <w:rsid w:val="00F84D9A"/>
    <w:rsid w:val="00F871FA"/>
    <w:rsid w:val="00F9530D"/>
    <w:rsid w:val="00F96EA7"/>
    <w:rsid w:val="00FA0391"/>
    <w:rsid w:val="00FA04CA"/>
    <w:rsid w:val="00FA4014"/>
    <w:rsid w:val="00FA42EE"/>
    <w:rsid w:val="00FA601B"/>
    <w:rsid w:val="00FB306E"/>
    <w:rsid w:val="00FB3F7D"/>
    <w:rsid w:val="00FB58CE"/>
    <w:rsid w:val="00FC1D82"/>
    <w:rsid w:val="00FC3A2B"/>
    <w:rsid w:val="00FC59CC"/>
    <w:rsid w:val="00FC7B98"/>
    <w:rsid w:val="00FD1561"/>
    <w:rsid w:val="00FD4BF5"/>
    <w:rsid w:val="00FD4D49"/>
    <w:rsid w:val="00FD5BB4"/>
    <w:rsid w:val="00FF0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1A8"/>
    <w:pPr>
      <w:spacing w:after="240" w:line="312" w:lineRule="auto"/>
      <w:jc w:val="both"/>
    </w:pPr>
    <w:rPr>
      <w:rFonts w:ascii="Tahoma" w:eastAsia="SimSun" w:hAnsi="Tahoma" w:cs="Tahoma"/>
      <w:sz w:val="20"/>
      <w:szCs w:val="20"/>
      <w:lang w:eastAsia="zh-CN"/>
    </w:rPr>
  </w:style>
  <w:style w:type="paragraph" w:styleId="Heading1">
    <w:name w:val="heading 1"/>
    <w:basedOn w:val="Normal"/>
    <w:next w:val="Normal"/>
    <w:link w:val="Heading1Char"/>
    <w:qFormat/>
    <w:rsid w:val="000901A8"/>
    <w:pPr>
      <w:keepNext/>
      <w:spacing w:before="360" w:after="160"/>
      <w:outlineLvl w:val="0"/>
    </w:pPr>
    <w:rPr>
      <w:b/>
      <w:bCs/>
      <w:color w:val="215868" w:themeColor="accent5" w:themeShade="80"/>
      <w:sz w:val="24"/>
      <w:szCs w:val="32"/>
    </w:rPr>
  </w:style>
  <w:style w:type="paragraph" w:styleId="Heading2">
    <w:name w:val="heading 2"/>
    <w:basedOn w:val="Normal"/>
    <w:next w:val="Normal"/>
    <w:link w:val="Heading2Char"/>
    <w:qFormat/>
    <w:rsid w:val="00D5182D"/>
    <w:pPr>
      <w:keepNext/>
      <w:spacing w:before="240" w:after="160"/>
      <w:outlineLvl w:val="1"/>
    </w:pPr>
    <w:rPr>
      <w:b/>
      <w:color w:val="215868" w:themeColor="accent5" w:themeShade="80"/>
      <w:szCs w:val="28"/>
      <w:lang w:val="en-GB" w:eastAsia="ja-JP"/>
    </w:rPr>
  </w:style>
  <w:style w:type="paragraph" w:styleId="Heading3">
    <w:name w:val="heading 3"/>
    <w:basedOn w:val="Normal"/>
    <w:next w:val="Normal"/>
    <w:link w:val="Heading3Char"/>
    <w:qFormat/>
    <w:rsid w:val="003B232A"/>
    <w:pPr>
      <w:keepNext/>
      <w:spacing w:after="120"/>
      <w:outlineLvl w:val="2"/>
    </w:pPr>
    <w:rPr>
      <w:color w:val="41A7BF"/>
    </w:rPr>
  </w:style>
  <w:style w:type="paragraph" w:styleId="Heading4">
    <w:name w:val="heading 4"/>
    <w:basedOn w:val="Normal"/>
    <w:next w:val="Normal"/>
    <w:link w:val="Heading4Char"/>
    <w:qFormat/>
    <w:rsid w:val="00ED7A91"/>
    <w:pPr>
      <w:keepNext/>
      <w:numPr>
        <w:ilvl w:val="3"/>
        <w:numId w:val="1"/>
      </w:numPr>
      <w:outlineLvl w:val="3"/>
    </w:pPr>
    <w:rPr>
      <w:u w:val="single"/>
    </w:rPr>
  </w:style>
  <w:style w:type="paragraph" w:styleId="Heading5">
    <w:name w:val="heading 5"/>
    <w:basedOn w:val="Normal"/>
    <w:next w:val="Normal"/>
    <w:link w:val="Heading5Char"/>
    <w:qFormat/>
    <w:rsid w:val="00ED7A91"/>
    <w:pPr>
      <w:keepNext/>
      <w:numPr>
        <w:ilvl w:val="4"/>
        <w:numId w:val="1"/>
      </w:numPr>
      <w:tabs>
        <w:tab w:val="left" w:pos="709"/>
      </w:tabs>
      <w:outlineLvl w:val="4"/>
    </w:pPr>
    <w:rPr>
      <w:b/>
      <w:i/>
    </w:rPr>
  </w:style>
  <w:style w:type="paragraph" w:styleId="Heading6">
    <w:name w:val="heading 6"/>
    <w:basedOn w:val="Normal"/>
    <w:next w:val="Normal"/>
    <w:link w:val="Heading6Char"/>
    <w:qFormat/>
    <w:rsid w:val="00ED7A91"/>
    <w:pPr>
      <w:keepNext/>
      <w:numPr>
        <w:ilvl w:val="5"/>
        <w:numId w:val="1"/>
      </w:numPr>
      <w:jc w:val="center"/>
      <w:outlineLvl w:val="5"/>
    </w:pPr>
    <w:rPr>
      <w:b/>
      <w:sz w:val="28"/>
    </w:rPr>
  </w:style>
  <w:style w:type="paragraph" w:styleId="Heading7">
    <w:name w:val="heading 7"/>
    <w:basedOn w:val="Normal"/>
    <w:next w:val="Normal"/>
    <w:link w:val="Heading7Char"/>
    <w:qFormat/>
    <w:rsid w:val="00ED7A91"/>
    <w:pPr>
      <w:keepNext/>
      <w:outlineLvl w:val="6"/>
    </w:pPr>
    <w:rPr>
      <w:i/>
    </w:rPr>
  </w:style>
  <w:style w:type="paragraph" w:styleId="Heading8">
    <w:name w:val="heading 8"/>
    <w:basedOn w:val="Normal"/>
    <w:next w:val="Normal"/>
    <w:link w:val="Heading8Char"/>
    <w:qFormat/>
    <w:rsid w:val="00ED7A91"/>
    <w:pPr>
      <w:keepNext/>
      <w:numPr>
        <w:ilvl w:val="7"/>
        <w:numId w:val="1"/>
      </w:numPr>
      <w:spacing w:line="288" w:lineRule="auto"/>
      <w:jc w:val="center"/>
      <w:outlineLvl w:val="7"/>
    </w:pPr>
    <w:rPr>
      <w:sz w:val="48"/>
    </w:rPr>
  </w:style>
  <w:style w:type="paragraph" w:styleId="Heading9">
    <w:name w:val="heading 9"/>
    <w:basedOn w:val="Normal"/>
    <w:next w:val="Normal"/>
    <w:link w:val="Heading9Char"/>
    <w:qFormat/>
    <w:rsid w:val="00ED7A91"/>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achmentheading">
    <w:name w:val="Attachment heading"/>
    <w:basedOn w:val="Normal"/>
    <w:next w:val="Normal"/>
    <w:rsid w:val="00ED7A91"/>
    <w:pPr>
      <w:tabs>
        <w:tab w:val="left" w:pos="2552"/>
      </w:tabs>
      <w:spacing w:line="264" w:lineRule="auto"/>
      <w:ind w:left="2552" w:hanging="2552"/>
    </w:pPr>
    <w:rPr>
      <w:b/>
      <w:szCs w:val="24"/>
    </w:rPr>
  </w:style>
  <w:style w:type="paragraph" w:styleId="BalloonText">
    <w:name w:val="Balloon Text"/>
    <w:basedOn w:val="Normal"/>
    <w:link w:val="BalloonTextChar"/>
    <w:rsid w:val="00ED7A91"/>
    <w:pPr>
      <w:spacing w:line="240" w:lineRule="auto"/>
    </w:pPr>
    <w:rPr>
      <w:sz w:val="16"/>
      <w:szCs w:val="16"/>
    </w:rPr>
  </w:style>
  <w:style w:type="character" w:customStyle="1" w:styleId="BalloonTextChar">
    <w:name w:val="Balloon Text Char"/>
    <w:basedOn w:val="DefaultParagraphFont"/>
    <w:link w:val="BalloonText"/>
    <w:rsid w:val="00ED7A91"/>
    <w:rPr>
      <w:rFonts w:ascii="Tahoma" w:eastAsia="SimSun" w:hAnsi="Tahoma" w:cs="Tahoma"/>
      <w:sz w:val="16"/>
      <w:szCs w:val="16"/>
      <w:lang w:eastAsia="zh-CN"/>
    </w:rPr>
  </w:style>
  <w:style w:type="paragraph" w:customStyle="1" w:styleId="Bulletedtext">
    <w:name w:val="Bulleted text"/>
    <w:basedOn w:val="Normal"/>
    <w:rsid w:val="00ED7A91"/>
    <w:pPr>
      <w:tabs>
        <w:tab w:val="left" w:pos="2835"/>
      </w:tabs>
    </w:pPr>
  </w:style>
  <w:style w:type="paragraph" w:customStyle="1" w:styleId="Bulletedtext2ndlevel">
    <w:name w:val="Bulleted text 2nd level"/>
    <w:basedOn w:val="Normal"/>
    <w:rsid w:val="00ED7A91"/>
    <w:pPr>
      <w:tabs>
        <w:tab w:val="num" w:pos="720"/>
      </w:tabs>
      <w:ind w:left="720" w:hanging="360"/>
      <w:jc w:val="left"/>
    </w:pPr>
  </w:style>
  <w:style w:type="paragraph" w:customStyle="1" w:styleId="Captioncontinued">
    <w:name w:val="Caption (continued)"/>
    <w:basedOn w:val="Normal"/>
    <w:next w:val="Normal"/>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rsid w:val="00ED7A91"/>
    <w:rPr>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semiHidden/>
    <w:rsid w:val="00ED7A91"/>
    <w:rPr>
      <w:sz w:val="16"/>
      <w:szCs w:val="16"/>
    </w:rPr>
  </w:style>
  <w:style w:type="paragraph" w:styleId="CommentText">
    <w:name w:val="annotation text"/>
    <w:basedOn w:val="Normal"/>
    <w:link w:val="CommentTextChar"/>
    <w:semiHidden/>
    <w:rsid w:val="00ED7A91"/>
  </w:style>
  <w:style w:type="character" w:customStyle="1" w:styleId="CommentTextChar">
    <w:name w:val="Comment Text Char"/>
    <w:basedOn w:val="DefaultParagraphFont"/>
    <w:link w:val="CommentText"/>
    <w:semiHidden/>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semiHidden/>
    <w:rsid w:val="00ED7A91"/>
    <w:rPr>
      <w:b/>
      <w:bCs/>
    </w:rPr>
  </w:style>
  <w:style w:type="character" w:customStyle="1" w:styleId="CommentSubjectChar">
    <w:name w:val="Comment Subject Char"/>
    <w:basedOn w:val="CommentTextChar"/>
    <w:link w:val="CommentSubject"/>
    <w:semiHidden/>
    <w:rsid w:val="00ED7A91"/>
    <w:rPr>
      <w:rFonts w:ascii="Times New Roman" w:eastAsia="SimSun" w:hAnsi="Times New Roman" w:cs="Times New Roman"/>
      <w:b/>
      <w:bCs/>
      <w:sz w:val="20"/>
      <w:szCs w:val="20"/>
      <w:lang w:eastAsia="zh-CN"/>
    </w:rPr>
  </w:style>
  <w:style w:type="paragraph" w:customStyle="1" w:styleId="Execsummary">
    <w:name w:val="Exec summary"/>
    <w:basedOn w:val="Normal"/>
    <w:semiHidden/>
    <w:rsid w:val="00ED7A91"/>
    <w:pPr>
      <w:spacing w:line="288" w:lineRule="auto"/>
    </w:pPr>
    <w:rPr>
      <w:sz w:val="22"/>
    </w:rPr>
  </w:style>
  <w:style w:type="paragraph" w:styleId="Footer">
    <w:name w:val="footer"/>
    <w:basedOn w:val="Normal"/>
    <w:link w:val="FooterChar"/>
    <w:uiPriority w:val="99"/>
    <w:rsid w:val="00ED7A91"/>
    <w:pPr>
      <w:tabs>
        <w:tab w:val="center" w:pos="4320"/>
        <w:tab w:val="right" w:pos="8640"/>
      </w:tabs>
    </w:pPr>
  </w:style>
  <w:style w:type="character" w:customStyle="1" w:styleId="FooterChar">
    <w:name w:val="Footer Char"/>
    <w:basedOn w:val="DefaultParagraphFont"/>
    <w:link w:val="Footer"/>
    <w:uiPriority w:val="99"/>
    <w:rsid w:val="00ED7A91"/>
    <w:rPr>
      <w:rFonts w:ascii="Times New Roman" w:eastAsia="SimSun" w:hAnsi="Times New Roman" w:cs="Times New Roman"/>
      <w:sz w:val="24"/>
      <w:szCs w:val="20"/>
      <w:lang w:eastAsia="zh-CN"/>
    </w:rPr>
  </w:style>
  <w:style w:type="character" w:styleId="FootnoteReference">
    <w:name w:val="footnote reference"/>
    <w:basedOn w:val="DefaultParagraphFont"/>
    <w:semiHidden/>
    <w:rsid w:val="00ED7A91"/>
    <w:rPr>
      <w:rFonts w:cs="Times New Roman"/>
      <w:vertAlign w:val="superscript"/>
    </w:rPr>
  </w:style>
  <w:style w:type="paragraph" w:styleId="FootnoteText">
    <w:name w:val="footnote text"/>
    <w:basedOn w:val="Normal"/>
    <w:link w:val="FootnoteTextChar"/>
    <w:semiHidden/>
    <w:rsid w:val="00ED7A91"/>
    <w:pPr>
      <w:spacing w:line="240" w:lineRule="auto"/>
      <w:jc w:val="left"/>
    </w:pPr>
    <w:rPr>
      <w:rFonts w:asciiTheme="minorHAnsi" w:eastAsiaTheme="minorHAnsi" w:hAnsiTheme="minorHAnsi"/>
      <w:lang w:eastAsia="en-US"/>
    </w:rPr>
  </w:style>
  <w:style w:type="character" w:customStyle="1" w:styleId="FootnoteTextChar">
    <w:name w:val="Footnote Text Char"/>
    <w:basedOn w:val="DefaultParagraphFont"/>
    <w:link w:val="FootnoteText"/>
    <w:semiHidden/>
    <w:rsid w:val="00ED7A91"/>
    <w:rPr>
      <w:rFonts w:cs="Times New Roman"/>
      <w:sz w:val="20"/>
      <w:szCs w:val="20"/>
    </w:rPr>
  </w:style>
  <w:style w:type="paragraph" w:customStyle="1" w:styleId="GMHEADING1">
    <w:name w:val="GMHEADING1"/>
    <w:basedOn w:val="Normal"/>
    <w:next w:val="Normal"/>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rsid w:val="00ED7A91"/>
    <w:pPr>
      <w:keepNext/>
      <w:tabs>
        <w:tab w:val="left" w:pos="1276"/>
      </w:tabs>
      <w:suppressAutoHyphens/>
      <w:spacing w:before="120" w:after="120" w:line="240" w:lineRule="auto"/>
      <w:ind w:left="1276" w:hanging="1276"/>
      <w:jc w:val="left"/>
    </w:pPr>
    <w:rPr>
      <w:b/>
      <w:sz w:val="25"/>
      <w:szCs w:val="25"/>
    </w:rPr>
  </w:style>
  <w:style w:type="character" w:customStyle="1" w:styleId="Heading1Char">
    <w:name w:val="Heading 1 Char"/>
    <w:basedOn w:val="DefaultParagraphFont"/>
    <w:link w:val="Heading1"/>
    <w:rsid w:val="000901A8"/>
    <w:rPr>
      <w:rFonts w:ascii="Tahoma" w:eastAsia="SimSun" w:hAnsi="Tahoma" w:cs="Tahoma"/>
      <w:b/>
      <w:bCs/>
      <w:color w:val="215868" w:themeColor="accent5" w:themeShade="80"/>
      <w:sz w:val="24"/>
      <w:szCs w:val="32"/>
      <w:lang w:eastAsia="zh-CN"/>
    </w:rPr>
  </w:style>
  <w:style w:type="paragraph" w:customStyle="1" w:styleId="GMHeading4">
    <w:name w:val="GMHeading4"/>
    <w:basedOn w:val="Heading1"/>
    <w:next w:val="Normal"/>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ED7A91"/>
    <w:pPr>
      <w:tabs>
        <w:tab w:val="right" w:pos="9240"/>
      </w:tabs>
      <w:spacing w:line="240" w:lineRule="auto"/>
      <w:ind w:right="28"/>
      <w:jc w:val="left"/>
    </w:pPr>
    <w:rPr>
      <w:sz w:val="18"/>
      <w:u w:val="single"/>
    </w:rPr>
  </w:style>
  <w:style w:type="character" w:customStyle="1" w:styleId="HeaderChar">
    <w:name w:val="Header Char"/>
    <w:basedOn w:val="DefaultParagraphFont"/>
    <w:link w:val="Header"/>
    <w:uiPriority w:val="99"/>
    <w:rsid w:val="00ED7A91"/>
    <w:rPr>
      <w:rFonts w:ascii="Times New Roman" w:eastAsia="SimSun" w:hAnsi="Times New Roman" w:cs="Times New Roman"/>
      <w:sz w:val="18"/>
      <w:szCs w:val="20"/>
      <w:u w:val="single"/>
      <w:lang w:eastAsia="zh-CN"/>
    </w:rPr>
  </w:style>
  <w:style w:type="character" w:customStyle="1" w:styleId="Heading2Char">
    <w:name w:val="Heading 2 Char"/>
    <w:basedOn w:val="DefaultParagraphFont"/>
    <w:link w:val="Heading2"/>
    <w:rsid w:val="00D5182D"/>
    <w:rPr>
      <w:rFonts w:ascii="Tahoma" w:eastAsia="SimSun" w:hAnsi="Tahoma" w:cs="Tahoma"/>
      <w:b/>
      <w:color w:val="215868" w:themeColor="accent5" w:themeShade="80"/>
      <w:sz w:val="20"/>
      <w:szCs w:val="28"/>
      <w:lang w:val="en-GB" w:eastAsia="ja-JP"/>
    </w:rPr>
  </w:style>
  <w:style w:type="character" w:customStyle="1" w:styleId="Heading3Char">
    <w:name w:val="Heading 3 Char"/>
    <w:basedOn w:val="DefaultParagraphFont"/>
    <w:link w:val="Heading3"/>
    <w:rsid w:val="003B232A"/>
    <w:rPr>
      <w:rFonts w:ascii="Tahoma" w:eastAsia="SimSun" w:hAnsi="Tahoma" w:cs="Tahoma"/>
      <w:color w:val="41A7BF"/>
      <w:sz w:val="20"/>
      <w:szCs w:val="20"/>
      <w:lang w:eastAsia="zh-CN"/>
    </w:rPr>
  </w:style>
  <w:style w:type="character" w:customStyle="1" w:styleId="Heading4Char">
    <w:name w:val="Heading 4 Char"/>
    <w:basedOn w:val="DefaultParagraphFont"/>
    <w:link w:val="Heading4"/>
    <w:rsid w:val="00ED7A91"/>
    <w:rPr>
      <w:rFonts w:ascii="Tahoma" w:eastAsia="SimSun" w:hAnsi="Tahoma" w:cs="Tahoma"/>
      <w:sz w:val="20"/>
      <w:szCs w:val="20"/>
      <w:u w:val="single"/>
      <w:lang w:eastAsia="zh-CN"/>
    </w:rPr>
  </w:style>
  <w:style w:type="character" w:customStyle="1" w:styleId="Heading5Char">
    <w:name w:val="Heading 5 Char"/>
    <w:basedOn w:val="DefaultParagraphFont"/>
    <w:link w:val="Heading5"/>
    <w:rsid w:val="00ED7A91"/>
    <w:rPr>
      <w:rFonts w:ascii="Tahoma" w:eastAsia="SimSun" w:hAnsi="Tahoma" w:cs="Tahoma"/>
      <w:b/>
      <w:i/>
      <w:sz w:val="20"/>
      <w:szCs w:val="20"/>
      <w:lang w:eastAsia="zh-CN"/>
    </w:rPr>
  </w:style>
  <w:style w:type="character" w:customStyle="1" w:styleId="Heading6Char">
    <w:name w:val="Heading 6 Char"/>
    <w:basedOn w:val="DefaultParagraphFont"/>
    <w:link w:val="Heading6"/>
    <w:rsid w:val="00ED7A91"/>
    <w:rPr>
      <w:rFonts w:ascii="Tahoma" w:eastAsia="SimSun" w:hAnsi="Tahoma" w:cs="Tahoma"/>
      <w:b/>
      <w:sz w:val="28"/>
      <w:szCs w:val="20"/>
      <w:lang w:eastAsia="zh-CN"/>
    </w:rPr>
  </w:style>
  <w:style w:type="character" w:customStyle="1" w:styleId="Heading7Char">
    <w:name w:val="Heading 7 Char"/>
    <w:basedOn w:val="DefaultParagraphFont"/>
    <w:link w:val="Heading7"/>
    <w:rsid w:val="00ED7A91"/>
    <w:rPr>
      <w:rFonts w:ascii="Times New Roman" w:eastAsia="SimSun" w:hAnsi="Times New Roman" w:cs="Times New Roman"/>
      <w:i/>
      <w:sz w:val="24"/>
      <w:szCs w:val="20"/>
      <w:lang w:eastAsia="zh-CN"/>
    </w:rPr>
  </w:style>
  <w:style w:type="character" w:customStyle="1" w:styleId="Heading8Char">
    <w:name w:val="Heading 8 Char"/>
    <w:basedOn w:val="DefaultParagraphFont"/>
    <w:link w:val="Heading8"/>
    <w:rsid w:val="00ED7A91"/>
    <w:rPr>
      <w:rFonts w:ascii="Tahoma" w:eastAsia="SimSun" w:hAnsi="Tahoma" w:cs="Tahoma"/>
      <w:sz w:val="48"/>
      <w:szCs w:val="20"/>
      <w:lang w:eastAsia="zh-CN"/>
    </w:rPr>
  </w:style>
  <w:style w:type="character" w:customStyle="1" w:styleId="Heading9Char">
    <w:name w:val="Heading 9 Char"/>
    <w:basedOn w:val="DefaultParagraphFont"/>
    <w:link w:val="Heading9"/>
    <w:rsid w:val="00ED7A91"/>
    <w:rPr>
      <w:rFonts w:ascii="Tahoma" w:eastAsia="SimSun" w:hAnsi="Tahoma" w:cs="Tahoma"/>
      <w:i/>
      <w:sz w:val="20"/>
      <w:szCs w:val="20"/>
      <w:lang w:eastAsia="zh-CN"/>
    </w:rPr>
  </w:style>
  <w:style w:type="character" w:styleId="Hyperlink">
    <w:name w:val="Hyperlink"/>
    <w:basedOn w:val="DefaultParagraphFont"/>
    <w:uiPriority w:val="99"/>
    <w:rsid w:val="00ED7A91"/>
    <w:rPr>
      <w:color w:val="0000FF"/>
      <w:u w:val="single"/>
    </w:rPr>
  </w:style>
  <w:style w:type="paragraph" w:customStyle="1" w:styleId="Numberedtext">
    <w:name w:val="Numbered text"/>
    <w:basedOn w:val="Normal"/>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semiHidden/>
    <w:rsid w:val="00ED7A91"/>
    <w:pPr>
      <w:tabs>
        <w:tab w:val="left" w:pos="0"/>
      </w:tabs>
      <w:spacing w:before="40" w:after="40" w:line="288" w:lineRule="auto"/>
      <w:jc w:val="left"/>
    </w:pPr>
    <w:rPr>
      <w:sz w:val="22"/>
      <w:szCs w:val="22"/>
    </w:rPr>
  </w:style>
  <w:style w:type="character" w:styleId="PageNumber">
    <w:name w:val="page number"/>
    <w:basedOn w:val="DefaultParagraphFont"/>
    <w:semiHidden/>
    <w:rsid w:val="00ED7A91"/>
  </w:style>
  <w:style w:type="paragraph" w:customStyle="1" w:styleId="Source">
    <w:name w:val="Source"/>
    <w:basedOn w:val="Normal"/>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basedOn w:val="DefaultParagraphFont"/>
    <w:rsid w:val="00ED7A91"/>
    <w:rPr>
      <w:rFonts w:eastAsia="SimSun"/>
      <w:sz w:val="18"/>
      <w:szCs w:val="18"/>
      <w:lang w:val="en-AU" w:eastAsia="en-US" w:bidi="ar-SA"/>
    </w:rPr>
  </w:style>
  <w:style w:type="paragraph" w:customStyle="1" w:styleId="Spaceundertable">
    <w:name w:val="Space under table"/>
    <w:basedOn w:val="Normal"/>
    <w:rsid w:val="00ED7A91"/>
    <w:pPr>
      <w:numPr>
        <w:numId w:val="4"/>
      </w:numPr>
      <w:spacing w:line="240" w:lineRule="auto"/>
      <w:jc w:val="left"/>
    </w:pPr>
    <w:rPr>
      <w:sz w:val="8"/>
      <w:szCs w:val="8"/>
    </w:rPr>
  </w:style>
  <w:style w:type="paragraph" w:customStyle="1" w:styleId="Style1">
    <w:name w:val="Style1"/>
    <w:basedOn w:val="GMHeading2"/>
    <w:rsid w:val="00ED7A91"/>
  </w:style>
  <w:style w:type="paragraph" w:customStyle="1" w:styleId="Style2">
    <w:name w:val="Style2"/>
    <w:basedOn w:val="GMHeading3"/>
    <w:rsid w:val="00ED7A91"/>
  </w:style>
  <w:style w:type="table" w:styleId="TableGrid">
    <w:name w:val="Table Grid"/>
    <w:basedOn w:val="TableNormal"/>
    <w:rsid w:val="00ED7A91"/>
    <w:pPr>
      <w:tabs>
        <w:tab w:val="left" w:pos="2835"/>
      </w:tabs>
      <w:spacing w:before="40" w:after="40" w:line="240" w:lineRule="auto"/>
      <w:jc w:val="both"/>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rsid w:val="00ED7A91"/>
    <w:pPr>
      <w:numPr>
        <w:numId w:val="3"/>
      </w:numPr>
      <w:spacing w:before="40" w:after="40" w:line="240" w:lineRule="auto"/>
      <w:jc w:val="left"/>
    </w:pPr>
    <w:rPr>
      <w:lang w:val="en-GB" w:eastAsia="en-US"/>
    </w:rPr>
  </w:style>
  <w:style w:type="paragraph" w:customStyle="1" w:styleId="TableText1left">
    <w:name w:val="Table Text 1 (left)"/>
    <w:basedOn w:val="Normal"/>
    <w:rsid w:val="00ED7A91"/>
    <w:pPr>
      <w:spacing w:before="40" w:after="40" w:line="240" w:lineRule="auto"/>
      <w:jc w:val="left"/>
    </w:pPr>
    <w:rPr>
      <w:lang w:val="en-GB" w:eastAsia="en-US"/>
    </w:rPr>
  </w:style>
  <w:style w:type="paragraph" w:customStyle="1" w:styleId="TableText2centerheaderrow">
    <w:name w:val="Table Text 2 (center) header row"/>
    <w:basedOn w:val="Normal"/>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rsid w:val="00ED7A91"/>
    <w:pPr>
      <w:numPr>
        <w:numId w:val="2"/>
      </w:numPr>
      <w:spacing w:before="40" w:after="40" w:line="240" w:lineRule="auto"/>
      <w:jc w:val="left"/>
    </w:pPr>
  </w:style>
  <w:style w:type="paragraph" w:customStyle="1" w:styleId="Tabletextbullettedv2">
    <w:name w:val="Table text bulletted v2"/>
    <w:basedOn w:val="Tabletextbulleted"/>
    <w:rsid w:val="00ED7A91"/>
    <w:pPr>
      <w:numPr>
        <w:numId w:val="0"/>
      </w:numPr>
      <w:spacing w:before="20" w:after="20"/>
    </w:pPr>
    <w:rPr>
      <w:lang w:val="en-US"/>
    </w:rPr>
  </w:style>
  <w:style w:type="paragraph" w:customStyle="1" w:styleId="Tabletextindentleft">
    <w:name w:val="Table text indent left"/>
    <w:basedOn w:val="TableText1left"/>
    <w:semiHidden/>
    <w:rsid w:val="00ED7A91"/>
    <w:pPr>
      <w:ind w:left="252"/>
    </w:pPr>
    <w:rPr>
      <w:lang w:val="en-AU"/>
    </w:rPr>
  </w:style>
  <w:style w:type="paragraph" w:customStyle="1" w:styleId="TabletextindentedlistA">
    <w:name w:val="Table text indented list A"/>
    <w:aliases w:val="B,C"/>
    <w:basedOn w:val="Tabletextbulleted"/>
    <w:rsid w:val="00ED7A91"/>
    <w:pPr>
      <w:numPr>
        <w:numId w:val="0"/>
      </w:numPr>
      <w:tabs>
        <w:tab w:val="left" w:pos="284"/>
        <w:tab w:val="left" w:pos="2835"/>
      </w:tabs>
    </w:pPr>
  </w:style>
  <w:style w:type="paragraph" w:customStyle="1" w:styleId="TabletextRelativeRisksRR">
    <w:name w:val="Table text Relative Risks (RR)"/>
    <w:basedOn w:val="Normal"/>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semiHidden/>
    <w:rsid w:val="00ED7A91"/>
    <w:pPr>
      <w:spacing w:after="170" w:line="280" w:lineRule="atLeast"/>
    </w:pPr>
    <w:rPr>
      <w:lang w:val="en-US"/>
    </w:rPr>
  </w:style>
  <w:style w:type="paragraph" w:styleId="Title">
    <w:name w:val="Title"/>
    <w:basedOn w:val="Normal"/>
    <w:link w:val="TitleChar"/>
    <w:qFormat/>
    <w:rsid w:val="00ED7A9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D7A91"/>
    <w:rPr>
      <w:rFonts w:ascii="Arial" w:eastAsia="SimSun" w:hAnsi="Arial" w:cs="Arial"/>
      <w:b/>
      <w:bCs/>
      <w:kern w:val="28"/>
      <w:sz w:val="32"/>
      <w:szCs w:val="32"/>
      <w:lang w:eastAsia="zh-CN"/>
    </w:rPr>
  </w:style>
  <w:style w:type="paragraph" w:customStyle="1" w:styleId="TOCheading">
    <w:name w:val="TOC (heading)"/>
    <w:basedOn w:val="Normal"/>
    <w:next w:val="Normal"/>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A32E1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rsid w:val="00ED7A91"/>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semiHidden/>
    <w:rsid w:val="00ED7A91"/>
    <w:pPr>
      <w:tabs>
        <w:tab w:val="right" w:leader="dot" w:pos="9469"/>
      </w:tabs>
      <w:ind w:left="960"/>
    </w:pPr>
  </w:style>
  <w:style w:type="paragraph" w:styleId="TOC6">
    <w:name w:val="toc 6"/>
    <w:basedOn w:val="Normal"/>
    <w:next w:val="Normal"/>
    <w:semiHidden/>
    <w:rsid w:val="00ED7A91"/>
    <w:pPr>
      <w:tabs>
        <w:tab w:val="right" w:leader="dot" w:pos="9469"/>
      </w:tabs>
      <w:ind w:left="1200"/>
    </w:pPr>
  </w:style>
  <w:style w:type="paragraph" w:styleId="TOCHeading0">
    <w:name w:val="TOC Heading"/>
    <w:basedOn w:val="Heading1"/>
    <w:next w:val="Normal"/>
    <w:uiPriority w:val="39"/>
    <w:unhideWhenUsed/>
    <w:qFormat/>
    <w:rsid w:val="00D61C4E"/>
    <w:pPr>
      <w:keepLines/>
      <w:spacing w:before="480" w:line="276" w:lineRule="auto"/>
      <w:jc w:val="left"/>
      <w:outlineLvl w:val="9"/>
    </w:pPr>
    <w:rPr>
      <w:rFonts w:eastAsiaTheme="majorEastAsia"/>
      <w:bCs w:val="0"/>
      <w:lang w:val="en-US" w:eastAsia="en-US"/>
    </w:rPr>
  </w:style>
  <w:style w:type="paragraph" w:styleId="ListParagraph">
    <w:name w:val="List Paragraph"/>
    <w:basedOn w:val="Normal"/>
    <w:qFormat/>
    <w:rsid w:val="00B4562F"/>
    <w:pPr>
      <w:ind w:left="720"/>
      <w:contextualSpacing/>
    </w:pPr>
  </w:style>
  <w:style w:type="paragraph" w:styleId="NoSpacing">
    <w:name w:val="No Spacing"/>
    <w:link w:val="NoSpacingChar"/>
    <w:uiPriority w:val="1"/>
    <w:qFormat/>
    <w:rsid w:val="00A32E1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32E13"/>
    <w:rPr>
      <w:rFonts w:eastAsiaTheme="minorEastAsia"/>
      <w:lang w:val="en-US"/>
    </w:rPr>
  </w:style>
  <w:style w:type="character" w:styleId="FollowedHyperlink">
    <w:name w:val="FollowedHyperlink"/>
    <w:basedOn w:val="DefaultParagraphFont"/>
    <w:uiPriority w:val="99"/>
    <w:semiHidden/>
    <w:unhideWhenUsed/>
    <w:rsid w:val="00A24873"/>
    <w:rPr>
      <w:color w:val="800080" w:themeColor="followedHyperlink"/>
      <w:u w:val="single"/>
    </w:rPr>
  </w:style>
  <w:style w:type="paragraph" w:customStyle="1" w:styleId="CharChar1CharCharCharChar">
    <w:name w:val="Char Char1 Char Char Char Char"/>
    <w:basedOn w:val="Normal"/>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rsid w:val="00C873D8"/>
    <w:pPr>
      <w:keepNext/>
      <w:spacing w:after="0" w:line="240" w:lineRule="auto"/>
      <w:jc w:val="left"/>
    </w:pPr>
    <w:rPr>
      <w:rFonts w:ascii="Trebuchet MS" w:eastAsia="Times New Roman" w:hAnsi="Trebuchet MS" w:cs="Times New Roman"/>
      <w:sz w:val="18"/>
      <w:lang w:eastAsia="en-US"/>
    </w:rPr>
  </w:style>
  <w:style w:type="paragraph" w:customStyle="1" w:styleId="Default">
    <w:name w:val="Default"/>
    <w:rsid w:val="00DB3780"/>
    <w:pPr>
      <w:autoSpaceDE w:val="0"/>
      <w:autoSpaceDN w:val="0"/>
      <w:adjustRightInd w:val="0"/>
      <w:spacing w:after="0" w:line="240" w:lineRule="auto"/>
    </w:pPr>
    <w:rPr>
      <w:rFonts w:ascii="Tahoma" w:hAnsi="Tahoma" w:cs="Tahoma"/>
      <w:color w:val="000000"/>
      <w:sz w:val="24"/>
      <w:szCs w:val="24"/>
    </w:rPr>
  </w:style>
  <w:style w:type="paragraph" w:styleId="EndnoteText">
    <w:name w:val="endnote text"/>
    <w:basedOn w:val="Normal"/>
    <w:link w:val="EndnoteTextChar"/>
    <w:uiPriority w:val="99"/>
    <w:unhideWhenUsed/>
    <w:rsid w:val="00870FFA"/>
    <w:pPr>
      <w:spacing w:after="0" w:line="240" w:lineRule="auto"/>
    </w:pPr>
  </w:style>
  <w:style w:type="character" w:customStyle="1" w:styleId="EndnoteTextChar">
    <w:name w:val="Endnote Text Char"/>
    <w:basedOn w:val="DefaultParagraphFont"/>
    <w:link w:val="EndnoteText"/>
    <w:uiPriority w:val="99"/>
    <w:rsid w:val="00870FFA"/>
    <w:rPr>
      <w:rFonts w:ascii="Tahoma" w:eastAsia="SimSun" w:hAnsi="Tahoma" w:cs="Tahoma"/>
      <w:sz w:val="20"/>
      <w:szCs w:val="20"/>
      <w:lang w:eastAsia="zh-CN"/>
    </w:rPr>
  </w:style>
  <w:style w:type="character" w:styleId="EndnoteReference">
    <w:name w:val="endnote reference"/>
    <w:basedOn w:val="DefaultParagraphFont"/>
    <w:uiPriority w:val="99"/>
    <w:unhideWhenUsed/>
    <w:rsid w:val="00870FFA"/>
    <w:rPr>
      <w:vertAlign w:val="superscript"/>
    </w:rPr>
  </w:style>
  <w:style w:type="character" w:styleId="Emphasis">
    <w:name w:val="Emphasis"/>
    <w:basedOn w:val="DefaultParagraphFont"/>
    <w:uiPriority w:val="99"/>
    <w:qFormat/>
    <w:rsid w:val="00F96EA7"/>
    <w:rPr>
      <w:i/>
      <w:iCs/>
    </w:rPr>
  </w:style>
  <w:style w:type="paragraph" w:styleId="Revision">
    <w:name w:val="Revision"/>
    <w:hidden/>
    <w:uiPriority w:val="99"/>
    <w:semiHidden/>
    <w:rsid w:val="005C4279"/>
    <w:pPr>
      <w:spacing w:after="0" w:line="240" w:lineRule="auto"/>
    </w:pPr>
    <w:rPr>
      <w:rFonts w:ascii="Tahoma" w:eastAsia="SimSun" w:hAnsi="Tahoma" w:cs="Tahoma"/>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1A8"/>
    <w:pPr>
      <w:spacing w:after="240" w:line="312" w:lineRule="auto"/>
      <w:jc w:val="both"/>
    </w:pPr>
    <w:rPr>
      <w:rFonts w:ascii="Tahoma" w:eastAsia="SimSun" w:hAnsi="Tahoma" w:cs="Tahoma"/>
      <w:sz w:val="20"/>
      <w:szCs w:val="20"/>
      <w:lang w:eastAsia="zh-CN"/>
    </w:rPr>
  </w:style>
  <w:style w:type="paragraph" w:styleId="Heading1">
    <w:name w:val="heading 1"/>
    <w:basedOn w:val="Normal"/>
    <w:next w:val="Normal"/>
    <w:link w:val="Heading1Char"/>
    <w:qFormat/>
    <w:rsid w:val="000901A8"/>
    <w:pPr>
      <w:keepNext/>
      <w:spacing w:before="360" w:after="160"/>
      <w:outlineLvl w:val="0"/>
    </w:pPr>
    <w:rPr>
      <w:b/>
      <w:bCs/>
      <w:color w:val="215868" w:themeColor="accent5" w:themeShade="80"/>
      <w:sz w:val="24"/>
      <w:szCs w:val="32"/>
    </w:rPr>
  </w:style>
  <w:style w:type="paragraph" w:styleId="Heading2">
    <w:name w:val="heading 2"/>
    <w:basedOn w:val="Normal"/>
    <w:next w:val="Normal"/>
    <w:link w:val="Heading2Char"/>
    <w:qFormat/>
    <w:rsid w:val="00D5182D"/>
    <w:pPr>
      <w:keepNext/>
      <w:spacing w:before="240" w:after="160"/>
      <w:outlineLvl w:val="1"/>
    </w:pPr>
    <w:rPr>
      <w:b/>
      <w:color w:val="215868" w:themeColor="accent5" w:themeShade="80"/>
      <w:szCs w:val="28"/>
      <w:lang w:val="en-GB" w:eastAsia="ja-JP"/>
    </w:rPr>
  </w:style>
  <w:style w:type="paragraph" w:styleId="Heading3">
    <w:name w:val="heading 3"/>
    <w:basedOn w:val="Normal"/>
    <w:next w:val="Normal"/>
    <w:link w:val="Heading3Char"/>
    <w:qFormat/>
    <w:rsid w:val="003B232A"/>
    <w:pPr>
      <w:keepNext/>
      <w:spacing w:after="120"/>
      <w:outlineLvl w:val="2"/>
    </w:pPr>
    <w:rPr>
      <w:color w:val="41A7BF"/>
    </w:rPr>
  </w:style>
  <w:style w:type="paragraph" w:styleId="Heading4">
    <w:name w:val="heading 4"/>
    <w:basedOn w:val="Normal"/>
    <w:next w:val="Normal"/>
    <w:link w:val="Heading4Char"/>
    <w:qFormat/>
    <w:rsid w:val="00ED7A91"/>
    <w:pPr>
      <w:keepNext/>
      <w:numPr>
        <w:ilvl w:val="3"/>
        <w:numId w:val="1"/>
      </w:numPr>
      <w:outlineLvl w:val="3"/>
    </w:pPr>
    <w:rPr>
      <w:u w:val="single"/>
    </w:rPr>
  </w:style>
  <w:style w:type="paragraph" w:styleId="Heading5">
    <w:name w:val="heading 5"/>
    <w:basedOn w:val="Normal"/>
    <w:next w:val="Normal"/>
    <w:link w:val="Heading5Char"/>
    <w:qFormat/>
    <w:rsid w:val="00ED7A91"/>
    <w:pPr>
      <w:keepNext/>
      <w:numPr>
        <w:ilvl w:val="4"/>
        <w:numId w:val="1"/>
      </w:numPr>
      <w:tabs>
        <w:tab w:val="left" w:pos="709"/>
      </w:tabs>
      <w:outlineLvl w:val="4"/>
    </w:pPr>
    <w:rPr>
      <w:b/>
      <w:i/>
    </w:rPr>
  </w:style>
  <w:style w:type="paragraph" w:styleId="Heading6">
    <w:name w:val="heading 6"/>
    <w:basedOn w:val="Normal"/>
    <w:next w:val="Normal"/>
    <w:link w:val="Heading6Char"/>
    <w:qFormat/>
    <w:rsid w:val="00ED7A91"/>
    <w:pPr>
      <w:keepNext/>
      <w:numPr>
        <w:ilvl w:val="5"/>
        <w:numId w:val="1"/>
      </w:numPr>
      <w:jc w:val="center"/>
      <w:outlineLvl w:val="5"/>
    </w:pPr>
    <w:rPr>
      <w:b/>
      <w:sz w:val="28"/>
    </w:rPr>
  </w:style>
  <w:style w:type="paragraph" w:styleId="Heading7">
    <w:name w:val="heading 7"/>
    <w:basedOn w:val="Normal"/>
    <w:next w:val="Normal"/>
    <w:link w:val="Heading7Char"/>
    <w:qFormat/>
    <w:rsid w:val="00ED7A91"/>
    <w:pPr>
      <w:keepNext/>
      <w:outlineLvl w:val="6"/>
    </w:pPr>
    <w:rPr>
      <w:i/>
    </w:rPr>
  </w:style>
  <w:style w:type="paragraph" w:styleId="Heading8">
    <w:name w:val="heading 8"/>
    <w:basedOn w:val="Normal"/>
    <w:next w:val="Normal"/>
    <w:link w:val="Heading8Char"/>
    <w:qFormat/>
    <w:rsid w:val="00ED7A91"/>
    <w:pPr>
      <w:keepNext/>
      <w:numPr>
        <w:ilvl w:val="7"/>
        <w:numId w:val="1"/>
      </w:numPr>
      <w:spacing w:line="288" w:lineRule="auto"/>
      <w:jc w:val="center"/>
      <w:outlineLvl w:val="7"/>
    </w:pPr>
    <w:rPr>
      <w:sz w:val="48"/>
    </w:rPr>
  </w:style>
  <w:style w:type="paragraph" w:styleId="Heading9">
    <w:name w:val="heading 9"/>
    <w:basedOn w:val="Normal"/>
    <w:next w:val="Normal"/>
    <w:link w:val="Heading9Char"/>
    <w:qFormat/>
    <w:rsid w:val="00ED7A91"/>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achmentheading">
    <w:name w:val="Attachment heading"/>
    <w:basedOn w:val="Normal"/>
    <w:next w:val="Normal"/>
    <w:rsid w:val="00ED7A91"/>
    <w:pPr>
      <w:tabs>
        <w:tab w:val="left" w:pos="2552"/>
      </w:tabs>
      <w:spacing w:line="264" w:lineRule="auto"/>
      <w:ind w:left="2552" w:hanging="2552"/>
    </w:pPr>
    <w:rPr>
      <w:b/>
      <w:szCs w:val="24"/>
    </w:rPr>
  </w:style>
  <w:style w:type="paragraph" w:styleId="BalloonText">
    <w:name w:val="Balloon Text"/>
    <w:basedOn w:val="Normal"/>
    <w:link w:val="BalloonTextChar"/>
    <w:rsid w:val="00ED7A91"/>
    <w:pPr>
      <w:spacing w:line="240" w:lineRule="auto"/>
    </w:pPr>
    <w:rPr>
      <w:sz w:val="16"/>
      <w:szCs w:val="16"/>
    </w:rPr>
  </w:style>
  <w:style w:type="character" w:customStyle="1" w:styleId="BalloonTextChar">
    <w:name w:val="Balloon Text Char"/>
    <w:basedOn w:val="DefaultParagraphFont"/>
    <w:link w:val="BalloonText"/>
    <w:rsid w:val="00ED7A91"/>
    <w:rPr>
      <w:rFonts w:ascii="Tahoma" w:eastAsia="SimSun" w:hAnsi="Tahoma" w:cs="Tahoma"/>
      <w:sz w:val="16"/>
      <w:szCs w:val="16"/>
      <w:lang w:eastAsia="zh-CN"/>
    </w:rPr>
  </w:style>
  <w:style w:type="paragraph" w:customStyle="1" w:styleId="Bulletedtext">
    <w:name w:val="Bulleted text"/>
    <w:basedOn w:val="Normal"/>
    <w:rsid w:val="00ED7A91"/>
    <w:pPr>
      <w:tabs>
        <w:tab w:val="left" w:pos="2835"/>
      </w:tabs>
    </w:pPr>
  </w:style>
  <w:style w:type="paragraph" w:customStyle="1" w:styleId="Bulletedtext2ndlevel">
    <w:name w:val="Bulleted text 2nd level"/>
    <w:basedOn w:val="Normal"/>
    <w:rsid w:val="00ED7A91"/>
    <w:pPr>
      <w:tabs>
        <w:tab w:val="num" w:pos="720"/>
      </w:tabs>
      <w:ind w:left="720" w:hanging="360"/>
      <w:jc w:val="left"/>
    </w:pPr>
  </w:style>
  <w:style w:type="paragraph" w:customStyle="1" w:styleId="Captioncontinued">
    <w:name w:val="Caption (continued)"/>
    <w:basedOn w:val="Normal"/>
    <w:next w:val="Normal"/>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rsid w:val="00ED7A91"/>
    <w:rPr>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semiHidden/>
    <w:rsid w:val="00ED7A91"/>
    <w:rPr>
      <w:sz w:val="16"/>
      <w:szCs w:val="16"/>
    </w:rPr>
  </w:style>
  <w:style w:type="paragraph" w:styleId="CommentText">
    <w:name w:val="annotation text"/>
    <w:basedOn w:val="Normal"/>
    <w:link w:val="CommentTextChar"/>
    <w:semiHidden/>
    <w:rsid w:val="00ED7A91"/>
  </w:style>
  <w:style w:type="character" w:customStyle="1" w:styleId="CommentTextChar">
    <w:name w:val="Comment Text Char"/>
    <w:basedOn w:val="DefaultParagraphFont"/>
    <w:link w:val="CommentText"/>
    <w:semiHidden/>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semiHidden/>
    <w:rsid w:val="00ED7A91"/>
    <w:rPr>
      <w:b/>
      <w:bCs/>
    </w:rPr>
  </w:style>
  <w:style w:type="character" w:customStyle="1" w:styleId="CommentSubjectChar">
    <w:name w:val="Comment Subject Char"/>
    <w:basedOn w:val="CommentTextChar"/>
    <w:link w:val="CommentSubject"/>
    <w:semiHidden/>
    <w:rsid w:val="00ED7A91"/>
    <w:rPr>
      <w:rFonts w:ascii="Times New Roman" w:eastAsia="SimSun" w:hAnsi="Times New Roman" w:cs="Times New Roman"/>
      <w:b/>
      <w:bCs/>
      <w:sz w:val="20"/>
      <w:szCs w:val="20"/>
      <w:lang w:eastAsia="zh-CN"/>
    </w:rPr>
  </w:style>
  <w:style w:type="paragraph" w:customStyle="1" w:styleId="Execsummary">
    <w:name w:val="Exec summary"/>
    <w:basedOn w:val="Normal"/>
    <w:semiHidden/>
    <w:rsid w:val="00ED7A91"/>
    <w:pPr>
      <w:spacing w:line="288" w:lineRule="auto"/>
    </w:pPr>
    <w:rPr>
      <w:sz w:val="22"/>
    </w:rPr>
  </w:style>
  <w:style w:type="paragraph" w:styleId="Footer">
    <w:name w:val="footer"/>
    <w:basedOn w:val="Normal"/>
    <w:link w:val="FooterChar"/>
    <w:uiPriority w:val="99"/>
    <w:rsid w:val="00ED7A91"/>
    <w:pPr>
      <w:tabs>
        <w:tab w:val="center" w:pos="4320"/>
        <w:tab w:val="right" w:pos="8640"/>
      </w:tabs>
    </w:pPr>
  </w:style>
  <w:style w:type="character" w:customStyle="1" w:styleId="FooterChar">
    <w:name w:val="Footer Char"/>
    <w:basedOn w:val="DefaultParagraphFont"/>
    <w:link w:val="Footer"/>
    <w:uiPriority w:val="99"/>
    <w:rsid w:val="00ED7A91"/>
    <w:rPr>
      <w:rFonts w:ascii="Times New Roman" w:eastAsia="SimSun" w:hAnsi="Times New Roman" w:cs="Times New Roman"/>
      <w:sz w:val="24"/>
      <w:szCs w:val="20"/>
      <w:lang w:eastAsia="zh-CN"/>
    </w:rPr>
  </w:style>
  <w:style w:type="character" w:styleId="FootnoteReference">
    <w:name w:val="footnote reference"/>
    <w:basedOn w:val="DefaultParagraphFont"/>
    <w:semiHidden/>
    <w:rsid w:val="00ED7A91"/>
    <w:rPr>
      <w:rFonts w:cs="Times New Roman"/>
      <w:vertAlign w:val="superscript"/>
    </w:rPr>
  </w:style>
  <w:style w:type="paragraph" w:styleId="FootnoteText">
    <w:name w:val="footnote text"/>
    <w:basedOn w:val="Normal"/>
    <w:link w:val="FootnoteTextChar"/>
    <w:semiHidden/>
    <w:rsid w:val="00ED7A91"/>
    <w:pPr>
      <w:spacing w:line="240" w:lineRule="auto"/>
      <w:jc w:val="left"/>
    </w:pPr>
    <w:rPr>
      <w:rFonts w:asciiTheme="minorHAnsi" w:eastAsiaTheme="minorHAnsi" w:hAnsiTheme="minorHAnsi"/>
      <w:lang w:eastAsia="en-US"/>
    </w:rPr>
  </w:style>
  <w:style w:type="character" w:customStyle="1" w:styleId="FootnoteTextChar">
    <w:name w:val="Footnote Text Char"/>
    <w:basedOn w:val="DefaultParagraphFont"/>
    <w:link w:val="FootnoteText"/>
    <w:semiHidden/>
    <w:rsid w:val="00ED7A91"/>
    <w:rPr>
      <w:rFonts w:cs="Times New Roman"/>
      <w:sz w:val="20"/>
      <w:szCs w:val="20"/>
    </w:rPr>
  </w:style>
  <w:style w:type="paragraph" w:customStyle="1" w:styleId="GMHEADING1">
    <w:name w:val="GMHEADING1"/>
    <w:basedOn w:val="Normal"/>
    <w:next w:val="Normal"/>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rsid w:val="00ED7A91"/>
    <w:pPr>
      <w:keepNext/>
      <w:tabs>
        <w:tab w:val="left" w:pos="1276"/>
      </w:tabs>
      <w:suppressAutoHyphens/>
      <w:spacing w:before="120" w:after="120" w:line="240" w:lineRule="auto"/>
      <w:ind w:left="1276" w:hanging="1276"/>
      <w:jc w:val="left"/>
    </w:pPr>
    <w:rPr>
      <w:b/>
      <w:sz w:val="25"/>
      <w:szCs w:val="25"/>
    </w:rPr>
  </w:style>
  <w:style w:type="character" w:customStyle="1" w:styleId="Heading1Char">
    <w:name w:val="Heading 1 Char"/>
    <w:basedOn w:val="DefaultParagraphFont"/>
    <w:link w:val="Heading1"/>
    <w:rsid w:val="000901A8"/>
    <w:rPr>
      <w:rFonts w:ascii="Tahoma" w:eastAsia="SimSun" w:hAnsi="Tahoma" w:cs="Tahoma"/>
      <w:b/>
      <w:bCs/>
      <w:color w:val="215868" w:themeColor="accent5" w:themeShade="80"/>
      <w:sz w:val="24"/>
      <w:szCs w:val="32"/>
      <w:lang w:eastAsia="zh-CN"/>
    </w:rPr>
  </w:style>
  <w:style w:type="paragraph" w:customStyle="1" w:styleId="GMHeading4">
    <w:name w:val="GMHeading4"/>
    <w:basedOn w:val="Heading1"/>
    <w:next w:val="Normal"/>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ED7A91"/>
    <w:pPr>
      <w:tabs>
        <w:tab w:val="right" w:pos="9240"/>
      </w:tabs>
      <w:spacing w:line="240" w:lineRule="auto"/>
      <w:ind w:right="28"/>
      <w:jc w:val="left"/>
    </w:pPr>
    <w:rPr>
      <w:sz w:val="18"/>
      <w:u w:val="single"/>
    </w:rPr>
  </w:style>
  <w:style w:type="character" w:customStyle="1" w:styleId="HeaderChar">
    <w:name w:val="Header Char"/>
    <w:basedOn w:val="DefaultParagraphFont"/>
    <w:link w:val="Header"/>
    <w:uiPriority w:val="99"/>
    <w:rsid w:val="00ED7A91"/>
    <w:rPr>
      <w:rFonts w:ascii="Times New Roman" w:eastAsia="SimSun" w:hAnsi="Times New Roman" w:cs="Times New Roman"/>
      <w:sz w:val="18"/>
      <w:szCs w:val="20"/>
      <w:u w:val="single"/>
      <w:lang w:eastAsia="zh-CN"/>
    </w:rPr>
  </w:style>
  <w:style w:type="character" w:customStyle="1" w:styleId="Heading2Char">
    <w:name w:val="Heading 2 Char"/>
    <w:basedOn w:val="DefaultParagraphFont"/>
    <w:link w:val="Heading2"/>
    <w:rsid w:val="00D5182D"/>
    <w:rPr>
      <w:rFonts w:ascii="Tahoma" w:eastAsia="SimSun" w:hAnsi="Tahoma" w:cs="Tahoma"/>
      <w:b/>
      <w:color w:val="215868" w:themeColor="accent5" w:themeShade="80"/>
      <w:sz w:val="20"/>
      <w:szCs w:val="28"/>
      <w:lang w:val="en-GB" w:eastAsia="ja-JP"/>
    </w:rPr>
  </w:style>
  <w:style w:type="character" w:customStyle="1" w:styleId="Heading3Char">
    <w:name w:val="Heading 3 Char"/>
    <w:basedOn w:val="DefaultParagraphFont"/>
    <w:link w:val="Heading3"/>
    <w:rsid w:val="003B232A"/>
    <w:rPr>
      <w:rFonts w:ascii="Tahoma" w:eastAsia="SimSun" w:hAnsi="Tahoma" w:cs="Tahoma"/>
      <w:color w:val="41A7BF"/>
      <w:sz w:val="20"/>
      <w:szCs w:val="20"/>
      <w:lang w:eastAsia="zh-CN"/>
    </w:rPr>
  </w:style>
  <w:style w:type="character" w:customStyle="1" w:styleId="Heading4Char">
    <w:name w:val="Heading 4 Char"/>
    <w:basedOn w:val="DefaultParagraphFont"/>
    <w:link w:val="Heading4"/>
    <w:rsid w:val="00ED7A91"/>
    <w:rPr>
      <w:rFonts w:ascii="Tahoma" w:eastAsia="SimSun" w:hAnsi="Tahoma" w:cs="Tahoma"/>
      <w:sz w:val="20"/>
      <w:szCs w:val="20"/>
      <w:u w:val="single"/>
      <w:lang w:eastAsia="zh-CN"/>
    </w:rPr>
  </w:style>
  <w:style w:type="character" w:customStyle="1" w:styleId="Heading5Char">
    <w:name w:val="Heading 5 Char"/>
    <w:basedOn w:val="DefaultParagraphFont"/>
    <w:link w:val="Heading5"/>
    <w:rsid w:val="00ED7A91"/>
    <w:rPr>
      <w:rFonts w:ascii="Tahoma" w:eastAsia="SimSun" w:hAnsi="Tahoma" w:cs="Tahoma"/>
      <w:b/>
      <w:i/>
      <w:sz w:val="20"/>
      <w:szCs w:val="20"/>
      <w:lang w:eastAsia="zh-CN"/>
    </w:rPr>
  </w:style>
  <w:style w:type="character" w:customStyle="1" w:styleId="Heading6Char">
    <w:name w:val="Heading 6 Char"/>
    <w:basedOn w:val="DefaultParagraphFont"/>
    <w:link w:val="Heading6"/>
    <w:rsid w:val="00ED7A91"/>
    <w:rPr>
      <w:rFonts w:ascii="Tahoma" w:eastAsia="SimSun" w:hAnsi="Tahoma" w:cs="Tahoma"/>
      <w:b/>
      <w:sz w:val="28"/>
      <w:szCs w:val="20"/>
      <w:lang w:eastAsia="zh-CN"/>
    </w:rPr>
  </w:style>
  <w:style w:type="character" w:customStyle="1" w:styleId="Heading7Char">
    <w:name w:val="Heading 7 Char"/>
    <w:basedOn w:val="DefaultParagraphFont"/>
    <w:link w:val="Heading7"/>
    <w:rsid w:val="00ED7A91"/>
    <w:rPr>
      <w:rFonts w:ascii="Times New Roman" w:eastAsia="SimSun" w:hAnsi="Times New Roman" w:cs="Times New Roman"/>
      <w:i/>
      <w:sz w:val="24"/>
      <w:szCs w:val="20"/>
      <w:lang w:eastAsia="zh-CN"/>
    </w:rPr>
  </w:style>
  <w:style w:type="character" w:customStyle="1" w:styleId="Heading8Char">
    <w:name w:val="Heading 8 Char"/>
    <w:basedOn w:val="DefaultParagraphFont"/>
    <w:link w:val="Heading8"/>
    <w:rsid w:val="00ED7A91"/>
    <w:rPr>
      <w:rFonts w:ascii="Tahoma" w:eastAsia="SimSun" w:hAnsi="Tahoma" w:cs="Tahoma"/>
      <w:sz w:val="48"/>
      <w:szCs w:val="20"/>
      <w:lang w:eastAsia="zh-CN"/>
    </w:rPr>
  </w:style>
  <w:style w:type="character" w:customStyle="1" w:styleId="Heading9Char">
    <w:name w:val="Heading 9 Char"/>
    <w:basedOn w:val="DefaultParagraphFont"/>
    <w:link w:val="Heading9"/>
    <w:rsid w:val="00ED7A91"/>
    <w:rPr>
      <w:rFonts w:ascii="Tahoma" w:eastAsia="SimSun" w:hAnsi="Tahoma" w:cs="Tahoma"/>
      <w:i/>
      <w:sz w:val="20"/>
      <w:szCs w:val="20"/>
      <w:lang w:eastAsia="zh-CN"/>
    </w:rPr>
  </w:style>
  <w:style w:type="character" w:styleId="Hyperlink">
    <w:name w:val="Hyperlink"/>
    <w:basedOn w:val="DefaultParagraphFont"/>
    <w:uiPriority w:val="99"/>
    <w:rsid w:val="00ED7A91"/>
    <w:rPr>
      <w:color w:val="0000FF"/>
      <w:u w:val="single"/>
    </w:rPr>
  </w:style>
  <w:style w:type="paragraph" w:customStyle="1" w:styleId="Numberedtext">
    <w:name w:val="Numbered text"/>
    <w:basedOn w:val="Normal"/>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semiHidden/>
    <w:rsid w:val="00ED7A91"/>
    <w:pPr>
      <w:tabs>
        <w:tab w:val="left" w:pos="0"/>
      </w:tabs>
      <w:spacing w:before="40" w:after="40" w:line="288" w:lineRule="auto"/>
      <w:jc w:val="left"/>
    </w:pPr>
    <w:rPr>
      <w:sz w:val="22"/>
      <w:szCs w:val="22"/>
    </w:rPr>
  </w:style>
  <w:style w:type="character" w:styleId="PageNumber">
    <w:name w:val="page number"/>
    <w:basedOn w:val="DefaultParagraphFont"/>
    <w:semiHidden/>
    <w:rsid w:val="00ED7A91"/>
  </w:style>
  <w:style w:type="paragraph" w:customStyle="1" w:styleId="Source">
    <w:name w:val="Source"/>
    <w:basedOn w:val="Normal"/>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basedOn w:val="DefaultParagraphFont"/>
    <w:rsid w:val="00ED7A91"/>
    <w:rPr>
      <w:rFonts w:eastAsia="SimSun"/>
      <w:sz w:val="18"/>
      <w:szCs w:val="18"/>
      <w:lang w:val="en-AU" w:eastAsia="en-US" w:bidi="ar-SA"/>
    </w:rPr>
  </w:style>
  <w:style w:type="paragraph" w:customStyle="1" w:styleId="Spaceundertable">
    <w:name w:val="Space under table"/>
    <w:basedOn w:val="Normal"/>
    <w:rsid w:val="00ED7A91"/>
    <w:pPr>
      <w:numPr>
        <w:numId w:val="4"/>
      </w:numPr>
      <w:spacing w:line="240" w:lineRule="auto"/>
      <w:jc w:val="left"/>
    </w:pPr>
    <w:rPr>
      <w:sz w:val="8"/>
      <w:szCs w:val="8"/>
    </w:rPr>
  </w:style>
  <w:style w:type="paragraph" w:customStyle="1" w:styleId="Style1">
    <w:name w:val="Style1"/>
    <w:basedOn w:val="GMHeading2"/>
    <w:rsid w:val="00ED7A91"/>
  </w:style>
  <w:style w:type="paragraph" w:customStyle="1" w:styleId="Style2">
    <w:name w:val="Style2"/>
    <w:basedOn w:val="GMHeading3"/>
    <w:rsid w:val="00ED7A91"/>
  </w:style>
  <w:style w:type="table" w:styleId="TableGrid">
    <w:name w:val="Table Grid"/>
    <w:basedOn w:val="TableNormal"/>
    <w:rsid w:val="00ED7A91"/>
    <w:pPr>
      <w:tabs>
        <w:tab w:val="left" w:pos="2835"/>
      </w:tabs>
      <w:spacing w:before="40" w:after="40" w:line="240" w:lineRule="auto"/>
      <w:jc w:val="both"/>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rsid w:val="00ED7A91"/>
    <w:pPr>
      <w:numPr>
        <w:numId w:val="3"/>
      </w:numPr>
      <w:spacing w:before="40" w:after="40" w:line="240" w:lineRule="auto"/>
      <w:jc w:val="left"/>
    </w:pPr>
    <w:rPr>
      <w:lang w:val="en-GB" w:eastAsia="en-US"/>
    </w:rPr>
  </w:style>
  <w:style w:type="paragraph" w:customStyle="1" w:styleId="TableText1left">
    <w:name w:val="Table Text 1 (left)"/>
    <w:basedOn w:val="Normal"/>
    <w:rsid w:val="00ED7A91"/>
    <w:pPr>
      <w:spacing w:before="40" w:after="40" w:line="240" w:lineRule="auto"/>
      <w:jc w:val="left"/>
    </w:pPr>
    <w:rPr>
      <w:lang w:val="en-GB" w:eastAsia="en-US"/>
    </w:rPr>
  </w:style>
  <w:style w:type="paragraph" w:customStyle="1" w:styleId="TableText2centerheaderrow">
    <w:name w:val="Table Text 2 (center) header row"/>
    <w:basedOn w:val="Normal"/>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rsid w:val="00ED7A91"/>
    <w:pPr>
      <w:numPr>
        <w:numId w:val="2"/>
      </w:numPr>
      <w:spacing w:before="40" w:after="40" w:line="240" w:lineRule="auto"/>
      <w:jc w:val="left"/>
    </w:pPr>
  </w:style>
  <w:style w:type="paragraph" w:customStyle="1" w:styleId="Tabletextbullettedv2">
    <w:name w:val="Table text bulletted v2"/>
    <w:basedOn w:val="Tabletextbulleted"/>
    <w:rsid w:val="00ED7A91"/>
    <w:pPr>
      <w:numPr>
        <w:numId w:val="0"/>
      </w:numPr>
      <w:spacing w:before="20" w:after="20"/>
    </w:pPr>
    <w:rPr>
      <w:lang w:val="en-US"/>
    </w:rPr>
  </w:style>
  <w:style w:type="paragraph" w:customStyle="1" w:styleId="Tabletextindentleft">
    <w:name w:val="Table text indent left"/>
    <w:basedOn w:val="TableText1left"/>
    <w:semiHidden/>
    <w:rsid w:val="00ED7A91"/>
    <w:pPr>
      <w:ind w:left="252"/>
    </w:pPr>
    <w:rPr>
      <w:lang w:val="en-AU"/>
    </w:rPr>
  </w:style>
  <w:style w:type="paragraph" w:customStyle="1" w:styleId="TabletextindentedlistA">
    <w:name w:val="Table text indented list A"/>
    <w:aliases w:val="B,C"/>
    <w:basedOn w:val="Tabletextbulleted"/>
    <w:rsid w:val="00ED7A91"/>
    <w:pPr>
      <w:numPr>
        <w:numId w:val="0"/>
      </w:numPr>
      <w:tabs>
        <w:tab w:val="left" w:pos="284"/>
        <w:tab w:val="left" w:pos="2835"/>
      </w:tabs>
    </w:pPr>
  </w:style>
  <w:style w:type="paragraph" w:customStyle="1" w:styleId="TabletextRelativeRisksRR">
    <w:name w:val="Table text Relative Risks (RR)"/>
    <w:basedOn w:val="Normal"/>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semiHidden/>
    <w:rsid w:val="00ED7A91"/>
    <w:pPr>
      <w:spacing w:after="170" w:line="280" w:lineRule="atLeast"/>
    </w:pPr>
    <w:rPr>
      <w:lang w:val="en-US"/>
    </w:rPr>
  </w:style>
  <w:style w:type="paragraph" w:styleId="Title">
    <w:name w:val="Title"/>
    <w:basedOn w:val="Normal"/>
    <w:link w:val="TitleChar"/>
    <w:qFormat/>
    <w:rsid w:val="00ED7A9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D7A91"/>
    <w:rPr>
      <w:rFonts w:ascii="Arial" w:eastAsia="SimSun" w:hAnsi="Arial" w:cs="Arial"/>
      <w:b/>
      <w:bCs/>
      <w:kern w:val="28"/>
      <w:sz w:val="32"/>
      <w:szCs w:val="32"/>
      <w:lang w:eastAsia="zh-CN"/>
    </w:rPr>
  </w:style>
  <w:style w:type="paragraph" w:customStyle="1" w:styleId="TOCheading">
    <w:name w:val="TOC (heading)"/>
    <w:basedOn w:val="Normal"/>
    <w:next w:val="Normal"/>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A32E1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rsid w:val="00ED7A91"/>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semiHidden/>
    <w:rsid w:val="00ED7A91"/>
    <w:pPr>
      <w:tabs>
        <w:tab w:val="right" w:leader="dot" w:pos="9469"/>
      </w:tabs>
      <w:ind w:left="960"/>
    </w:pPr>
  </w:style>
  <w:style w:type="paragraph" w:styleId="TOC6">
    <w:name w:val="toc 6"/>
    <w:basedOn w:val="Normal"/>
    <w:next w:val="Normal"/>
    <w:semiHidden/>
    <w:rsid w:val="00ED7A91"/>
    <w:pPr>
      <w:tabs>
        <w:tab w:val="right" w:leader="dot" w:pos="9469"/>
      </w:tabs>
      <w:ind w:left="1200"/>
    </w:pPr>
  </w:style>
  <w:style w:type="paragraph" w:styleId="TOCHeading0">
    <w:name w:val="TOC Heading"/>
    <w:basedOn w:val="Heading1"/>
    <w:next w:val="Normal"/>
    <w:uiPriority w:val="39"/>
    <w:unhideWhenUsed/>
    <w:qFormat/>
    <w:rsid w:val="00D61C4E"/>
    <w:pPr>
      <w:keepLines/>
      <w:spacing w:before="480" w:line="276" w:lineRule="auto"/>
      <w:jc w:val="left"/>
      <w:outlineLvl w:val="9"/>
    </w:pPr>
    <w:rPr>
      <w:rFonts w:eastAsiaTheme="majorEastAsia"/>
      <w:bCs w:val="0"/>
      <w:lang w:val="en-US" w:eastAsia="en-US"/>
    </w:rPr>
  </w:style>
  <w:style w:type="paragraph" w:styleId="ListParagraph">
    <w:name w:val="List Paragraph"/>
    <w:basedOn w:val="Normal"/>
    <w:qFormat/>
    <w:rsid w:val="00B4562F"/>
    <w:pPr>
      <w:ind w:left="720"/>
      <w:contextualSpacing/>
    </w:pPr>
  </w:style>
  <w:style w:type="paragraph" w:styleId="NoSpacing">
    <w:name w:val="No Spacing"/>
    <w:link w:val="NoSpacingChar"/>
    <w:uiPriority w:val="1"/>
    <w:qFormat/>
    <w:rsid w:val="00A32E1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32E13"/>
    <w:rPr>
      <w:rFonts w:eastAsiaTheme="minorEastAsia"/>
      <w:lang w:val="en-US"/>
    </w:rPr>
  </w:style>
  <w:style w:type="character" w:styleId="FollowedHyperlink">
    <w:name w:val="FollowedHyperlink"/>
    <w:basedOn w:val="DefaultParagraphFont"/>
    <w:uiPriority w:val="99"/>
    <w:semiHidden/>
    <w:unhideWhenUsed/>
    <w:rsid w:val="00A24873"/>
    <w:rPr>
      <w:color w:val="800080" w:themeColor="followedHyperlink"/>
      <w:u w:val="single"/>
    </w:rPr>
  </w:style>
  <w:style w:type="paragraph" w:customStyle="1" w:styleId="CharChar1CharCharCharChar">
    <w:name w:val="Char Char1 Char Char Char Char"/>
    <w:basedOn w:val="Normal"/>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rsid w:val="00C873D8"/>
    <w:pPr>
      <w:keepNext/>
      <w:spacing w:after="0" w:line="240" w:lineRule="auto"/>
      <w:jc w:val="left"/>
    </w:pPr>
    <w:rPr>
      <w:rFonts w:ascii="Trebuchet MS" w:eastAsia="Times New Roman" w:hAnsi="Trebuchet MS" w:cs="Times New Roman"/>
      <w:sz w:val="18"/>
      <w:lang w:eastAsia="en-US"/>
    </w:rPr>
  </w:style>
  <w:style w:type="paragraph" w:customStyle="1" w:styleId="Default">
    <w:name w:val="Default"/>
    <w:rsid w:val="00DB3780"/>
    <w:pPr>
      <w:autoSpaceDE w:val="0"/>
      <w:autoSpaceDN w:val="0"/>
      <w:adjustRightInd w:val="0"/>
      <w:spacing w:after="0" w:line="240" w:lineRule="auto"/>
    </w:pPr>
    <w:rPr>
      <w:rFonts w:ascii="Tahoma" w:hAnsi="Tahoma" w:cs="Tahoma"/>
      <w:color w:val="000000"/>
      <w:sz w:val="24"/>
      <w:szCs w:val="24"/>
    </w:rPr>
  </w:style>
  <w:style w:type="paragraph" w:styleId="EndnoteText">
    <w:name w:val="endnote text"/>
    <w:basedOn w:val="Normal"/>
    <w:link w:val="EndnoteTextChar"/>
    <w:uiPriority w:val="99"/>
    <w:unhideWhenUsed/>
    <w:rsid w:val="00870FFA"/>
    <w:pPr>
      <w:spacing w:after="0" w:line="240" w:lineRule="auto"/>
    </w:pPr>
  </w:style>
  <w:style w:type="character" w:customStyle="1" w:styleId="EndnoteTextChar">
    <w:name w:val="Endnote Text Char"/>
    <w:basedOn w:val="DefaultParagraphFont"/>
    <w:link w:val="EndnoteText"/>
    <w:uiPriority w:val="99"/>
    <w:rsid w:val="00870FFA"/>
    <w:rPr>
      <w:rFonts w:ascii="Tahoma" w:eastAsia="SimSun" w:hAnsi="Tahoma" w:cs="Tahoma"/>
      <w:sz w:val="20"/>
      <w:szCs w:val="20"/>
      <w:lang w:eastAsia="zh-CN"/>
    </w:rPr>
  </w:style>
  <w:style w:type="character" w:styleId="EndnoteReference">
    <w:name w:val="endnote reference"/>
    <w:basedOn w:val="DefaultParagraphFont"/>
    <w:uiPriority w:val="99"/>
    <w:unhideWhenUsed/>
    <w:rsid w:val="00870FFA"/>
    <w:rPr>
      <w:vertAlign w:val="superscript"/>
    </w:rPr>
  </w:style>
  <w:style w:type="character" w:styleId="Emphasis">
    <w:name w:val="Emphasis"/>
    <w:basedOn w:val="DefaultParagraphFont"/>
    <w:uiPriority w:val="99"/>
    <w:qFormat/>
    <w:rsid w:val="00F96EA7"/>
    <w:rPr>
      <w:i/>
      <w:iCs/>
    </w:rPr>
  </w:style>
  <w:style w:type="paragraph" w:styleId="Revision">
    <w:name w:val="Revision"/>
    <w:hidden/>
    <w:uiPriority w:val="99"/>
    <w:semiHidden/>
    <w:rsid w:val="005C4279"/>
    <w:pPr>
      <w:spacing w:after="0" w:line="240" w:lineRule="auto"/>
    </w:pPr>
    <w:rPr>
      <w:rFonts w:ascii="Tahoma" w:eastAsia="SimSun" w:hAnsi="Tahoma" w:cs="Tahoma"/>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74614">
      <w:bodyDiv w:val="1"/>
      <w:marLeft w:val="0"/>
      <w:marRight w:val="0"/>
      <w:marTop w:val="0"/>
      <w:marBottom w:val="0"/>
      <w:divBdr>
        <w:top w:val="none" w:sz="0" w:space="0" w:color="auto"/>
        <w:left w:val="none" w:sz="0" w:space="0" w:color="auto"/>
        <w:bottom w:val="none" w:sz="0" w:space="0" w:color="auto"/>
        <w:right w:val="none" w:sz="0" w:space="0" w:color="auto"/>
      </w:divBdr>
      <w:divsChild>
        <w:div w:id="1914971989">
          <w:marLeft w:val="240"/>
          <w:marRight w:val="240"/>
          <w:marTop w:val="360"/>
          <w:marBottom w:val="0"/>
          <w:divBdr>
            <w:top w:val="none" w:sz="0" w:space="0" w:color="auto"/>
            <w:left w:val="none" w:sz="0" w:space="0" w:color="auto"/>
            <w:bottom w:val="none" w:sz="0" w:space="0" w:color="auto"/>
            <w:right w:val="none" w:sz="0" w:space="0" w:color="auto"/>
          </w:divBdr>
          <w:divsChild>
            <w:div w:id="758864215">
              <w:marLeft w:val="480"/>
              <w:marRight w:val="480"/>
              <w:marTop w:val="240"/>
              <w:marBottom w:val="0"/>
              <w:divBdr>
                <w:top w:val="none" w:sz="0" w:space="0" w:color="auto"/>
                <w:left w:val="none" w:sz="0" w:space="0" w:color="auto"/>
                <w:bottom w:val="none" w:sz="0" w:space="0" w:color="auto"/>
                <w:right w:val="none" w:sz="0" w:space="0" w:color="auto"/>
              </w:divBdr>
              <w:divsChild>
                <w:div w:id="822622723">
                  <w:marLeft w:val="720"/>
                  <w:marRight w:val="720"/>
                  <w:marTop w:val="0"/>
                  <w:marBottom w:val="0"/>
                  <w:divBdr>
                    <w:top w:val="none" w:sz="0" w:space="0" w:color="auto"/>
                    <w:left w:val="none" w:sz="0" w:space="0" w:color="auto"/>
                    <w:bottom w:val="none" w:sz="0" w:space="0" w:color="auto"/>
                    <w:right w:val="none" w:sz="0" w:space="0" w:color="auto"/>
                  </w:divBdr>
                  <w:divsChild>
                    <w:div w:id="155524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32429">
      <w:bodyDiv w:val="1"/>
      <w:marLeft w:val="0"/>
      <w:marRight w:val="0"/>
      <w:marTop w:val="0"/>
      <w:marBottom w:val="0"/>
      <w:divBdr>
        <w:top w:val="none" w:sz="0" w:space="0" w:color="auto"/>
        <w:left w:val="none" w:sz="0" w:space="0" w:color="auto"/>
        <w:bottom w:val="none" w:sz="0" w:space="0" w:color="auto"/>
        <w:right w:val="none" w:sz="0" w:space="0" w:color="auto"/>
      </w:divBdr>
      <w:divsChild>
        <w:div w:id="1522233032">
          <w:marLeft w:val="0"/>
          <w:marRight w:val="0"/>
          <w:marTop w:val="0"/>
          <w:marBottom w:val="0"/>
          <w:divBdr>
            <w:top w:val="none" w:sz="0" w:space="0" w:color="auto"/>
            <w:left w:val="none" w:sz="0" w:space="0" w:color="auto"/>
            <w:bottom w:val="none" w:sz="0" w:space="0" w:color="auto"/>
            <w:right w:val="none" w:sz="0" w:space="0" w:color="auto"/>
          </w:divBdr>
          <w:divsChild>
            <w:div w:id="77610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45920">
      <w:bodyDiv w:val="1"/>
      <w:marLeft w:val="0"/>
      <w:marRight w:val="0"/>
      <w:marTop w:val="0"/>
      <w:marBottom w:val="0"/>
      <w:divBdr>
        <w:top w:val="none" w:sz="0" w:space="0" w:color="auto"/>
        <w:left w:val="none" w:sz="0" w:space="0" w:color="auto"/>
        <w:bottom w:val="none" w:sz="0" w:space="0" w:color="auto"/>
        <w:right w:val="none" w:sz="0" w:space="0" w:color="auto"/>
      </w:divBdr>
      <w:divsChild>
        <w:div w:id="585958398">
          <w:marLeft w:val="240"/>
          <w:marRight w:val="240"/>
          <w:marTop w:val="360"/>
          <w:marBottom w:val="0"/>
          <w:divBdr>
            <w:top w:val="none" w:sz="0" w:space="0" w:color="auto"/>
            <w:left w:val="none" w:sz="0" w:space="0" w:color="auto"/>
            <w:bottom w:val="none" w:sz="0" w:space="0" w:color="auto"/>
            <w:right w:val="none" w:sz="0" w:space="0" w:color="auto"/>
          </w:divBdr>
          <w:divsChild>
            <w:div w:id="157892373">
              <w:marLeft w:val="480"/>
              <w:marRight w:val="480"/>
              <w:marTop w:val="240"/>
              <w:marBottom w:val="0"/>
              <w:divBdr>
                <w:top w:val="none" w:sz="0" w:space="0" w:color="auto"/>
                <w:left w:val="none" w:sz="0" w:space="0" w:color="auto"/>
                <w:bottom w:val="none" w:sz="0" w:space="0" w:color="auto"/>
                <w:right w:val="none" w:sz="0" w:space="0" w:color="auto"/>
              </w:divBdr>
              <w:divsChild>
                <w:div w:id="1081373477">
                  <w:marLeft w:val="720"/>
                  <w:marRight w:val="720"/>
                  <w:marTop w:val="0"/>
                  <w:marBottom w:val="0"/>
                  <w:divBdr>
                    <w:top w:val="none" w:sz="0" w:space="0" w:color="auto"/>
                    <w:left w:val="none" w:sz="0" w:space="0" w:color="auto"/>
                    <w:bottom w:val="none" w:sz="0" w:space="0" w:color="auto"/>
                    <w:right w:val="none" w:sz="0" w:space="0" w:color="auto"/>
                  </w:divBdr>
                  <w:divsChild>
                    <w:div w:id="90461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436265">
      <w:bodyDiv w:val="1"/>
      <w:marLeft w:val="0"/>
      <w:marRight w:val="0"/>
      <w:marTop w:val="0"/>
      <w:marBottom w:val="0"/>
      <w:divBdr>
        <w:top w:val="none" w:sz="0" w:space="0" w:color="auto"/>
        <w:left w:val="none" w:sz="0" w:space="0" w:color="auto"/>
        <w:bottom w:val="none" w:sz="0" w:space="0" w:color="auto"/>
        <w:right w:val="none" w:sz="0" w:space="0" w:color="auto"/>
      </w:divBdr>
      <w:divsChild>
        <w:div w:id="26151955">
          <w:marLeft w:val="0"/>
          <w:marRight w:val="0"/>
          <w:marTop w:val="0"/>
          <w:marBottom w:val="0"/>
          <w:divBdr>
            <w:top w:val="none" w:sz="0" w:space="0" w:color="auto"/>
            <w:left w:val="none" w:sz="0" w:space="0" w:color="auto"/>
            <w:bottom w:val="none" w:sz="0" w:space="0" w:color="auto"/>
            <w:right w:val="none" w:sz="0" w:space="0" w:color="auto"/>
          </w:divBdr>
          <w:divsChild>
            <w:div w:id="92060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82669">
      <w:bodyDiv w:val="1"/>
      <w:marLeft w:val="0"/>
      <w:marRight w:val="0"/>
      <w:marTop w:val="0"/>
      <w:marBottom w:val="0"/>
      <w:divBdr>
        <w:top w:val="none" w:sz="0" w:space="0" w:color="auto"/>
        <w:left w:val="none" w:sz="0" w:space="0" w:color="auto"/>
        <w:bottom w:val="none" w:sz="0" w:space="0" w:color="auto"/>
        <w:right w:val="none" w:sz="0" w:space="0" w:color="auto"/>
      </w:divBdr>
      <w:divsChild>
        <w:div w:id="422649439">
          <w:marLeft w:val="0"/>
          <w:marRight w:val="0"/>
          <w:marTop w:val="0"/>
          <w:marBottom w:val="150"/>
          <w:divBdr>
            <w:top w:val="single" w:sz="6" w:space="15" w:color="FFFFFF"/>
            <w:left w:val="none" w:sz="0" w:space="0" w:color="auto"/>
            <w:bottom w:val="none" w:sz="0" w:space="0" w:color="auto"/>
            <w:right w:val="none" w:sz="0" w:space="0" w:color="auto"/>
          </w:divBdr>
          <w:divsChild>
            <w:div w:id="163375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37101">
      <w:bodyDiv w:val="1"/>
      <w:marLeft w:val="0"/>
      <w:marRight w:val="0"/>
      <w:marTop w:val="0"/>
      <w:marBottom w:val="0"/>
      <w:divBdr>
        <w:top w:val="none" w:sz="0" w:space="0" w:color="auto"/>
        <w:left w:val="none" w:sz="0" w:space="0" w:color="auto"/>
        <w:bottom w:val="none" w:sz="0" w:space="0" w:color="auto"/>
        <w:right w:val="none" w:sz="0" w:space="0" w:color="auto"/>
      </w:divBdr>
      <w:divsChild>
        <w:div w:id="595938949">
          <w:marLeft w:val="0"/>
          <w:marRight w:val="0"/>
          <w:marTop w:val="0"/>
          <w:marBottom w:val="150"/>
          <w:divBdr>
            <w:top w:val="single" w:sz="6" w:space="15" w:color="FFFFFF"/>
            <w:left w:val="none" w:sz="0" w:space="0" w:color="auto"/>
            <w:bottom w:val="none" w:sz="0" w:space="0" w:color="auto"/>
            <w:right w:val="none" w:sz="0" w:space="0" w:color="auto"/>
          </w:divBdr>
          <w:divsChild>
            <w:div w:id="15580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gi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www.health.gov.au/internet/main/publishing.nsf/Content/cdna-song-tuberculosis" TargetMode="External"/><Relationship Id="rId1" Type="http://schemas.openxmlformats.org/officeDocument/2006/relationships/hyperlink" Target="http://www.fda.gov/medicaldevices/productsandmedicalprocedures/invitrodiagnostics/ucm3307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C97D490-C250-4CB4-8B3B-EF114C244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33</Pages>
  <Words>10554</Words>
  <Characters>60164</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70577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Bulfone</dc:creator>
  <cp:lastModifiedBy>Bethany Leditschke</cp:lastModifiedBy>
  <cp:revision>4</cp:revision>
  <cp:lastPrinted>2014-03-04T03:11:00Z</cp:lastPrinted>
  <dcterms:created xsi:type="dcterms:W3CDTF">2014-03-04T02:11:00Z</dcterms:created>
  <dcterms:modified xsi:type="dcterms:W3CDTF">2014-03-04T04:14:00Z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