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0F00C6" w:rsidRPr="00BB418D" w:rsidRDefault="00BC1364" w:rsidP="000F00C6">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sidR="000F00C6" w:rsidRPr="006214F0">
        <w:rPr>
          <w:rStyle w:val="Style1Char"/>
        </w:rPr>
        <w:t>1234</w:t>
      </w:r>
      <w:r w:rsidR="000F00C6">
        <w:rPr>
          <w:rFonts w:ascii="Arial" w:hAnsi="Arial" w:cs="Arial"/>
          <w:b/>
          <w:i/>
          <w:color w:val="000080"/>
          <w:sz w:val="28"/>
          <w:szCs w:val="28"/>
        </w:rPr>
        <w:t xml:space="preserve"> – </w:t>
      </w:r>
      <w:r w:rsidR="000F00C6">
        <w:rPr>
          <w:rStyle w:val="Style1Char"/>
        </w:rPr>
        <w:t>An assessment of nucleic acid amplification testing for active mycobacterial infection</w:t>
      </w:r>
    </w:p>
    <w:p w:rsidR="00BC1364" w:rsidRDefault="00BC1364" w:rsidP="000F00C6">
      <w:pPr>
        <w:jc w:val="center"/>
        <w:rPr>
          <w:szCs w:val="24"/>
        </w:rPr>
      </w:pPr>
    </w:p>
    <w:p w:rsidR="00BC1364" w:rsidRPr="00707064" w:rsidRDefault="00BC1364" w:rsidP="00065623">
      <w:pPr>
        <w:tabs>
          <w:tab w:val="left" w:pos="3600"/>
        </w:tabs>
        <w:ind w:left="3600" w:hanging="3600"/>
        <w:rPr>
          <w:szCs w:val="24"/>
        </w:rPr>
      </w:pPr>
    </w:p>
    <w:p w:rsidR="00BC1364" w:rsidRPr="00D90A38" w:rsidRDefault="00B35595" w:rsidP="00A8330A">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Pr>
          <w:rFonts w:ascii="Arial" w:hAnsi="Arial" w:cs="Arial"/>
          <w:b/>
          <w:szCs w:val="24"/>
        </w:rPr>
        <w:tab/>
      </w:r>
      <w:r w:rsidR="000F00C6">
        <w:rPr>
          <w:rFonts w:ascii="Arial" w:hAnsi="Arial" w:cs="Arial"/>
          <w:b/>
          <w:szCs w:val="24"/>
        </w:rPr>
        <w:t xml:space="preserve">Douglass </w:t>
      </w:r>
      <w:proofErr w:type="spellStart"/>
      <w:r w:rsidR="000F00C6">
        <w:rPr>
          <w:rFonts w:ascii="Arial" w:hAnsi="Arial" w:cs="Arial"/>
          <w:b/>
          <w:szCs w:val="24"/>
        </w:rPr>
        <w:t>Hanly</w:t>
      </w:r>
      <w:proofErr w:type="spellEnd"/>
      <w:r w:rsidR="000F00C6">
        <w:rPr>
          <w:rFonts w:ascii="Arial" w:hAnsi="Arial" w:cs="Arial"/>
          <w:b/>
          <w:szCs w:val="24"/>
        </w:rPr>
        <w:t xml:space="preserve"> </w:t>
      </w:r>
      <w:proofErr w:type="spellStart"/>
      <w:r w:rsidR="000F00C6">
        <w:rPr>
          <w:rFonts w:ascii="Arial" w:hAnsi="Arial" w:cs="Arial"/>
          <w:b/>
          <w:szCs w:val="24"/>
        </w:rPr>
        <w:t>Moir</w:t>
      </w:r>
      <w:proofErr w:type="spellEnd"/>
      <w:r w:rsidR="000F00C6">
        <w:rPr>
          <w:rFonts w:ascii="Arial" w:hAnsi="Arial" w:cs="Arial"/>
          <w:b/>
          <w:szCs w:val="24"/>
        </w:rPr>
        <w:t xml:space="preserve"> Pathology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0F00C6">
        <w:rPr>
          <w:rFonts w:ascii="Arial" w:hAnsi="Arial" w:cs="Arial"/>
          <w:b/>
          <w:szCs w:val="24"/>
        </w:rPr>
        <w:t>63</w:t>
      </w:r>
      <w:r w:rsidR="000F00C6" w:rsidRPr="000F00C6">
        <w:rPr>
          <w:rFonts w:ascii="Arial" w:hAnsi="Arial" w:cs="Arial"/>
          <w:b/>
          <w:szCs w:val="24"/>
          <w:vertAlign w:val="superscript"/>
        </w:rPr>
        <w:t>rd</w:t>
      </w:r>
      <w:r w:rsidR="000F00C6">
        <w:rPr>
          <w:rFonts w:ascii="Arial" w:hAnsi="Arial" w:cs="Arial"/>
          <w:b/>
          <w:szCs w:val="24"/>
        </w:rPr>
        <w:t xml:space="preserve"> M</w:t>
      </w:r>
      <w:r w:rsidRPr="00D90A38">
        <w:rPr>
          <w:rFonts w:ascii="Arial" w:hAnsi="Arial" w:cs="Arial"/>
          <w:b/>
          <w:szCs w:val="24"/>
        </w:rPr>
        <w:t xml:space="preserve">eeting, </w:t>
      </w:r>
      <w:r w:rsidR="000F00C6">
        <w:rPr>
          <w:rFonts w:ascii="Arial" w:hAnsi="Arial" w:cs="Arial"/>
          <w:b/>
          <w:szCs w:val="24"/>
        </w:rPr>
        <w:t>1-2 April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the Australian Department of Health Medical Services Advisory Committee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0F00C6" w:rsidRDefault="000F00C6" w:rsidP="000F00C6">
      <w:r w:rsidRPr="00054DAC">
        <w:t xml:space="preserve">Douglass </w:t>
      </w:r>
      <w:proofErr w:type="spellStart"/>
      <w:r w:rsidRPr="00054DAC">
        <w:t>Hanly</w:t>
      </w:r>
      <w:proofErr w:type="spellEnd"/>
      <w:r w:rsidRPr="00054DAC">
        <w:t xml:space="preserve"> </w:t>
      </w:r>
      <w:proofErr w:type="spellStart"/>
      <w:r w:rsidRPr="00054DAC">
        <w:t>Moir</w:t>
      </w:r>
      <w:proofErr w:type="spellEnd"/>
      <w:r w:rsidRPr="00054DAC">
        <w:t xml:space="preserve"> Pathology Pty Ltd</w:t>
      </w:r>
      <w:r>
        <w:t xml:space="preserve"> submitted an application to the Department of Health requesting Medicare Benefits Schedule (</w:t>
      </w:r>
      <w:r w:rsidRPr="004710BE">
        <w:t>MBS</w:t>
      </w:r>
      <w:r>
        <w:t>)</w:t>
      </w:r>
      <w:r w:rsidRPr="004710BE">
        <w:t xml:space="preserve"> </w:t>
      </w:r>
      <w:r>
        <w:t>listing o</w:t>
      </w:r>
      <w:r w:rsidRPr="004710BE">
        <w:t xml:space="preserve">f </w:t>
      </w:r>
      <w:r w:rsidR="00D728D6">
        <w:t>N</w:t>
      </w:r>
      <w:r w:rsidRPr="00DC62C2">
        <w:t xml:space="preserve">ucleic </w:t>
      </w:r>
      <w:r w:rsidR="00D728D6">
        <w:t>A</w:t>
      </w:r>
      <w:r w:rsidR="00D728D6" w:rsidRPr="00DC62C2">
        <w:t xml:space="preserve">cid </w:t>
      </w:r>
      <w:r w:rsidR="00D728D6">
        <w:t>A</w:t>
      </w:r>
      <w:r w:rsidR="00D728D6" w:rsidRPr="00DC62C2">
        <w:t xml:space="preserve">mplification </w:t>
      </w:r>
      <w:r w:rsidR="00D728D6">
        <w:t>T</w:t>
      </w:r>
      <w:r w:rsidR="00D728D6" w:rsidRPr="00DC62C2">
        <w:t>est</w:t>
      </w:r>
      <w:r w:rsidR="00D728D6">
        <w:t>ing</w:t>
      </w:r>
      <w:r w:rsidR="00D728D6" w:rsidRPr="00DC62C2">
        <w:t xml:space="preserve"> </w:t>
      </w:r>
      <w:r>
        <w:t>(NAAT) to</w:t>
      </w:r>
      <w:r w:rsidRPr="004710BE">
        <w:t xml:space="preserve"> diagnos</w:t>
      </w:r>
      <w:r>
        <w:t>e:</w:t>
      </w:r>
    </w:p>
    <w:p w:rsidR="000F00C6" w:rsidRPr="00AF2E97" w:rsidRDefault="000F00C6" w:rsidP="000F00C6">
      <w:pPr>
        <w:pStyle w:val="ListParagraph"/>
        <w:numPr>
          <w:ilvl w:val="0"/>
          <w:numId w:val="26"/>
        </w:numPr>
      </w:pPr>
      <w:r w:rsidRPr="00AF2E97">
        <w:rPr>
          <w:i/>
        </w:rPr>
        <w:t>Mycobacterium tuberculosis</w:t>
      </w:r>
      <w:r w:rsidRPr="00AF2E97">
        <w:t xml:space="preserve"> (MTB) infections in persons with clinical signs and symptoms of tuberculosis (TB); or </w:t>
      </w:r>
    </w:p>
    <w:p w:rsidR="000F00C6" w:rsidRPr="00AF2E97" w:rsidRDefault="000F00C6" w:rsidP="000F00C6">
      <w:pPr>
        <w:pStyle w:val="ListParagraph"/>
        <w:numPr>
          <w:ilvl w:val="0"/>
          <w:numId w:val="26"/>
        </w:numPr>
      </w:pPr>
      <w:r w:rsidRPr="00AF2E97">
        <w:t>Non-tuberculous mycobacteria (NTM) infections in patients suspected of having an NTM infection.</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741863" w:rsidRDefault="00741863" w:rsidP="00741863">
      <w:r>
        <w:t>After considering the available evidence presented in relation to safety, clinical effectiveness and cost-effectiveness of nucleic acid amplification testing (NAAT) to diagnose:</w:t>
      </w:r>
    </w:p>
    <w:p w:rsidR="00741863" w:rsidRDefault="00741863" w:rsidP="00741863">
      <w:pPr>
        <w:pStyle w:val="ListParagraph"/>
        <w:numPr>
          <w:ilvl w:val="0"/>
          <w:numId w:val="30"/>
        </w:numPr>
      </w:pPr>
      <w:r w:rsidRPr="00F21734">
        <w:rPr>
          <w:i/>
        </w:rPr>
        <w:t>mycobacterium tuberculosis</w:t>
      </w:r>
      <w:r>
        <w:t xml:space="preserve"> (MTB) infections in persons with clinical signs and symptoms of tuberculosis (TB)</w:t>
      </w:r>
    </w:p>
    <w:p w:rsidR="00741863" w:rsidRDefault="00741863" w:rsidP="00741863">
      <w:pPr>
        <w:pStyle w:val="ListParagraph"/>
        <w:numPr>
          <w:ilvl w:val="0"/>
          <w:numId w:val="30"/>
        </w:numPr>
      </w:pPr>
      <w:proofErr w:type="gramStart"/>
      <w:r>
        <w:t>non-tuberculosis</w:t>
      </w:r>
      <w:proofErr w:type="gramEnd"/>
      <w:r>
        <w:t xml:space="preserve"> mycobacteria (NTM) infections in patients suspected of having an NTM infection.</w:t>
      </w:r>
    </w:p>
    <w:p w:rsidR="00A72C1B" w:rsidRDefault="00A72C1B" w:rsidP="002F0894"/>
    <w:p w:rsidR="002F0894" w:rsidRDefault="00741863" w:rsidP="002F0894">
      <w:pPr>
        <w:rPr>
          <w:szCs w:val="24"/>
        </w:rPr>
      </w:pPr>
      <w:r w:rsidRPr="006E369E">
        <w:t xml:space="preserve">MSAC </w:t>
      </w:r>
      <w:r>
        <w:t xml:space="preserve">did not support </w:t>
      </w:r>
      <w:r w:rsidR="002F0894">
        <w:rPr>
          <w:szCs w:val="24"/>
        </w:rPr>
        <w:t xml:space="preserve">a change in </w:t>
      </w:r>
      <w:r w:rsidR="002F0894" w:rsidRPr="007B7BEA">
        <w:rPr>
          <w:szCs w:val="24"/>
        </w:rPr>
        <w:t xml:space="preserve">public funding </w:t>
      </w:r>
      <w:r w:rsidR="002F0894">
        <w:rPr>
          <w:szCs w:val="24"/>
        </w:rPr>
        <w:t xml:space="preserve">of NAAT </w:t>
      </w:r>
      <w:r w:rsidR="002F0894" w:rsidRPr="007B7BEA">
        <w:rPr>
          <w:szCs w:val="24"/>
        </w:rPr>
        <w:t xml:space="preserve">because of </w:t>
      </w:r>
      <w:r w:rsidR="002F0894">
        <w:rPr>
          <w:szCs w:val="24"/>
        </w:rPr>
        <w:t xml:space="preserve">the </w:t>
      </w:r>
      <w:r w:rsidR="002F0894" w:rsidRPr="007B7BEA">
        <w:rPr>
          <w:szCs w:val="24"/>
        </w:rPr>
        <w:t xml:space="preserve">uncertain incremental </w:t>
      </w:r>
      <w:r w:rsidR="002F0894">
        <w:rPr>
          <w:szCs w:val="24"/>
        </w:rPr>
        <w:t xml:space="preserve">clinical </w:t>
      </w:r>
      <w:r w:rsidR="002F0894" w:rsidRPr="007B7BEA">
        <w:rPr>
          <w:szCs w:val="24"/>
        </w:rPr>
        <w:t>benefit in a poorly defined patient population which made the cost</w:t>
      </w:r>
      <w:r w:rsidR="002F0894" w:rsidRPr="007B7BEA">
        <w:rPr>
          <w:szCs w:val="24"/>
        </w:rPr>
        <w:noBreakHyphen/>
        <w:t xml:space="preserve">effectiveness indeterminable. </w:t>
      </w:r>
    </w:p>
    <w:p w:rsidR="00650AA2" w:rsidRDefault="00650AA2" w:rsidP="002F0894">
      <w:pPr>
        <w:rPr>
          <w:szCs w:val="24"/>
        </w:rPr>
      </w:pPr>
    </w:p>
    <w:p w:rsidR="00650AA2" w:rsidRPr="007B7BEA" w:rsidRDefault="00650AA2" w:rsidP="002F0894">
      <w:pPr>
        <w:rPr>
          <w:szCs w:val="24"/>
        </w:rPr>
      </w:pPr>
      <w:r>
        <w:t xml:space="preserve">MSAC noted that there were certain Australian populations where there may be a more pressing need for rapid diagnosis and management of TB infections and </w:t>
      </w:r>
      <w:r w:rsidR="000D38E9">
        <w:t>proposed</w:t>
      </w:r>
      <w:r>
        <w:t xml:space="preserve"> the applicant </w:t>
      </w:r>
      <w:r w:rsidR="000D38E9">
        <w:t>could</w:t>
      </w:r>
      <w:r>
        <w:t xml:space="preserve"> </w:t>
      </w:r>
      <w:r w:rsidR="000D38E9">
        <w:t xml:space="preserve">consider </w:t>
      </w:r>
      <w:r>
        <w:t>investigat</w:t>
      </w:r>
      <w:r w:rsidR="000D38E9">
        <w:t>ing</w:t>
      </w:r>
      <w:r>
        <w:t xml:space="preserve"> the clinical efficacy and cost effectiveness in these populations</w:t>
      </w:r>
      <w:r w:rsidR="00E31B8A">
        <w:t>.</w:t>
      </w:r>
    </w:p>
    <w:p w:rsidR="00550354" w:rsidRDefault="00550354" w:rsidP="00550354">
      <w:pPr>
        <w:pStyle w:val="Heading1"/>
        <w:numPr>
          <w:ilvl w:val="0"/>
          <w:numId w:val="23"/>
        </w:numPr>
        <w:ind w:hanging="720"/>
      </w:pPr>
      <w:r w:rsidRPr="008D5885">
        <w:lastRenderedPageBreak/>
        <w:t>Summary of consideration and rationale for MSAC’s advice</w:t>
      </w:r>
      <w:r w:rsidRPr="00707064">
        <w:t xml:space="preserve"> </w:t>
      </w:r>
    </w:p>
    <w:p w:rsidR="00550354" w:rsidRDefault="00550354" w:rsidP="00550354">
      <w:pPr>
        <w:rPr>
          <w:szCs w:val="24"/>
        </w:rPr>
      </w:pPr>
    </w:p>
    <w:p w:rsidR="002236DB" w:rsidRDefault="002236DB" w:rsidP="002236DB">
      <w:r>
        <w:t xml:space="preserve">MSAC noted that clinical judgement was the determinant of treatment strategy for patients with signs and symptoms of TB in both the current and proposed treatment algorithm. This was the case, irrespective of whether suitable specimens for acid-fast bacilli (AFB) smear microscopy were available. Further to this, evidence suggests that clinicians would be reluctant to change patient management based on NAAT results. </w:t>
      </w:r>
    </w:p>
    <w:p w:rsidR="00741863" w:rsidRDefault="00741863" w:rsidP="00741863"/>
    <w:p w:rsidR="00741863" w:rsidRPr="00A72C1B" w:rsidRDefault="00741863" w:rsidP="00A72C1B">
      <w:pPr>
        <w:tabs>
          <w:tab w:val="left" w:pos="720"/>
          <w:tab w:val="left" w:pos="1140"/>
        </w:tabs>
        <w:rPr>
          <w:rFonts w:ascii="Arial" w:hAnsi="Arial" w:cs="Arial"/>
          <w:szCs w:val="24"/>
        </w:rPr>
      </w:pPr>
      <w:r>
        <w:t>MSAC considered the comparative safety of the NAAT test and noted that more patients will receive a false positive NAAT test compared to a</w:t>
      </w:r>
      <w:r w:rsidR="00477A06">
        <w:t xml:space="preserve"> false positive</w:t>
      </w:r>
      <w:r>
        <w:t xml:space="preserve"> AFB test, </w:t>
      </w:r>
      <w:r w:rsidR="00477A06">
        <w:t xml:space="preserve">indicating they could potentially have TB and will likely receive unnecessary anti-TB treatment </w:t>
      </w:r>
      <w:r w:rsidR="00736216">
        <w:t xml:space="preserve">with </w:t>
      </w:r>
      <w:r w:rsidR="00477A06">
        <w:t xml:space="preserve">potential for </w:t>
      </w:r>
      <w:r w:rsidR="00736216">
        <w:t xml:space="preserve">an </w:t>
      </w:r>
      <w:r w:rsidR="00477A06">
        <w:t>adverse reaction.</w:t>
      </w:r>
      <w:r w:rsidR="00477A06">
        <w:rPr>
          <w:rFonts w:ascii="Arial" w:hAnsi="Arial" w:cs="Arial"/>
          <w:szCs w:val="24"/>
        </w:rPr>
        <w:t xml:space="preserve"> </w:t>
      </w:r>
    </w:p>
    <w:p w:rsidR="00741863" w:rsidRDefault="00741863" w:rsidP="00741863"/>
    <w:p w:rsidR="00741863" w:rsidRDefault="00741863" w:rsidP="00741863">
      <w:r>
        <w:t xml:space="preserve">MSAC considered evidence of clinical efficacy of NAAT testing and noted that much of the evidence has been produced in high prevalence populations, so the applicability to a low prevalent Australian population may be limited. MSAC noted that there was consensus in the evidence that NAAT provided a </w:t>
      </w:r>
      <w:r w:rsidR="008E017B">
        <w:t>comparably rapid</w:t>
      </w:r>
      <w:r w:rsidR="00D56F38">
        <w:t xml:space="preserve"> </w:t>
      </w:r>
      <w:r>
        <w:t>diagnosis of TB</w:t>
      </w:r>
      <w:r w:rsidR="00D56F38">
        <w:t xml:space="preserve"> (usually within 48 hours)</w:t>
      </w:r>
      <w:r>
        <w:t>, particularly in patients who are AFB-smear negative. In terms of changes to patient management, studies that were conducted in low</w:t>
      </w:r>
      <w:r w:rsidR="00FE7AD4">
        <w:t>-</w:t>
      </w:r>
      <w:r>
        <w:t>inciden</w:t>
      </w:r>
      <w:r w:rsidR="00FE7AD4">
        <w:t>ce</w:t>
      </w:r>
      <w:r>
        <w:t xml:space="preserve"> settings suggest clinicians would not change management based on NAAT results. </w:t>
      </w:r>
      <w:r w:rsidR="00DD2BE9">
        <w:t>For diagnosis of NTM in AFB-smear positive or negative patients, MSAC considered there was insufficient evidence to demonstrate the accuracy of NAAT in this patient population and was not convinced that there would be an impact on health outcomes using NAAT in addition to AFB microscopy testing</w:t>
      </w:r>
      <w:r w:rsidR="00924814">
        <w:t>. MSAC also noted advice from</w:t>
      </w:r>
      <w:r w:rsidR="006C51D9" w:rsidRPr="006C51D9">
        <w:t xml:space="preserve"> the National Tuberculosis Advisory Committee</w:t>
      </w:r>
      <w:r w:rsidR="00924814">
        <w:t xml:space="preserve"> </w:t>
      </w:r>
      <w:r w:rsidR="006C51D9">
        <w:t>(</w:t>
      </w:r>
      <w:r w:rsidR="00924814">
        <w:t>NTAC</w:t>
      </w:r>
      <w:r w:rsidR="006C51D9">
        <w:t>)</w:t>
      </w:r>
      <w:r w:rsidR="00924814">
        <w:t xml:space="preserve"> that </w:t>
      </w:r>
      <w:r w:rsidR="00924814" w:rsidRPr="00924814">
        <w:t>MBS guidelines for NTM NAAT appear unnecessary.</w:t>
      </w:r>
    </w:p>
    <w:p w:rsidR="00741863" w:rsidRDefault="00741863" w:rsidP="00741863"/>
    <w:p w:rsidR="00650AA2" w:rsidRDefault="00741863" w:rsidP="00741863">
      <w:r>
        <w:t>MSAC noted that the use of NAAT in conjunction with AFB had a high false positive rate at 12% compared to 6% when using NAAT alone and 2% when using AFB alone. The committee noted issues estimating</w:t>
      </w:r>
      <w:r w:rsidR="00C07CA6">
        <w:t xml:space="preserve"> the</w:t>
      </w:r>
      <w:r>
        <w:t xml:space="preserve"> false positive rate when the reference standard </w:t>
      </w:r>
      <w:r w:rsidR="00C07CA6">
        <w:t xml:space="preserve">(culture and sensitivity test (C&amp;S test)) </w:t>
      </w:r>
      <w:r>
        <w:t xml:space="preserve">is imperfect; a proportion of the false-positive patients may actually have TB. MSAC expressed concern about the clinical need for the proposed test, particularly in the general Australian population where the incidence of mycobacterial infection is low. </w:t>
      </w:r>
    </w:p>
    <w:p w:rsidR="00650AA2" w:rsidRDefault="00650AA2" w:rsidP="00741863"/>
    <w:p w:rsidR="00741863" w:rsidRDefault="00741863" w:rsidP="00741863">
      <w:r>
        <w:t xml:space="preserve">MSAC noted that there were certain Australian populations where there was a higher prevalence and there may be a more pressing need for rapid diagnosis and management of TB infections. In particular, Aboriginal and Torres Strait Islander people have rates that are 11 times higher than non-indigenous people. MSAC considered that the clinical need in this population as well as other </w:t>
      </w:r>
      <w:r w:rsidR="00C07CA6">
        <w:t>specific</w:t>
      </w:r>
      <w:r>
        <w:t xml:space="preserve"> populations such as remote communities and refugee centres will potentially be significant</w:t>
      </w:r>
      <w:r w:rsidR="00D56F38">
        <w:t>,</w:t>
      </w:r>
      <w:r>
        <w:t xml:space="preserve"> and encouraged the applicant to </w:t>
      </w:r>
      <w:r w:rsidR="00D56F38">
        <w:t xml:space="preserve">investigate </w:t>
      </w:r>
      <w:r>
        <w:t>the clinical efficacy and cost effectiveness in these populations</w:t>
      </w:r>
      <w:r w:rsidR="00D56F38">
        <w:t xml:space="preserve"> in a resubmission of their application</w:t>
      </w:r>
      <w:r>
        <w:t>.</w:t>
      </w:r>
      <w:r w:rsidRPr="008438C0">
        <w:t xml:space="preserve"> </w:t>
      </w:r>
      <w:r>
        <w:t xml:space="preserve">MSAC appreciated the importance of the public health issue </w:t>
      </w:r>
      <w:r w:rsidR="00D56F38">
        <w:t xml:space="preserve">that </w:t>
      </w:r>
      <w:r>
        <w:t xml:space="preserve">this test is attempting to address, but noted that the more pressing issue may be getting people, particularly in high risk communities, to access health care and not the test itself. </w:t>
      </w:r>
    </w:p>
    <w:p w:rsidR="00741863" w:rsidRDefault="00741863" w:rsidP="00741863"/>
    <w:p w:rsidR="00741863" w:rsidRDefault="00741863" w:rsidP="00741863">
      <w:r>
        <w:t xml:space="preserve">MSAC noted that of the five studies </w:t>
      </w:r>
      <w:r w:rsidR="00D56F38">
        <w:t xml:space="preserve">investigating the </w:t>
      </w:r>
      <w:r>
        <w:t>cost-effectiveness of NAAT in low prevalence populations</w:t>
      </w:r>
      <w:r w:rsidR="00D56F38">
        <w:t>,</w:t>
      </w:r>
      <w:r>
        <w:t xml:space="preserve"> only three </w:t>
      </w:r>
      <w:r w:rsidR="00D56F38">
        <w:t xml:space="preserve">found </w:t>
      </w:r>
      <w:r>
        <w:t>the test</w:t>
      </w:r>
      <w:r w:rsidR="00D56F38">
        <w:t xml:space="preserve"> to be</w:t>
      </w:r>
      <w:r>
        <w:t xml:space="preserve"> cost-effective. The ICER for NAAT was $90,728</w:t>
      </w:r>
      <w:r w:rsidR="00D56F38">
        <w:t xml:space="preserve"> per </w:t>
      </w:r>
      <w:proofErr w:type="gramStart"/>
      <w:r>
        <w:t>QALY,</w:t>
      </w:r>
      <w:proofErr w:type="gramEnd"/>
      <w:r>
        <w:t xml:space="preserve"> however this was sensitive to changes in TB prevalence and specificity of the test. MSAC considered population prevalence to be an important issue</w:t>
      </w:r>
      <w:r w:rsidR="008E017B">
        <w:t>,</w:t>
      </w:r>
      <w:r>
        <w:t xml:space="preserve"> and requested that the applicant reconsider the eligible population for this test. A more focused item descriptor that reserves NAAT testing for communities with a higher TB incidence may be more cost effective. </w:t>
      </w:r>
    </w:p>
    <w:p w:rsidR="00741863" w:rsidRDefault="00741863" w:rsidP="00741863">
      <w:r>
        <w:lastRenderedPageBreak/>
        <w:t>MSAC also noted that economic modelling based on disease transmission would provide more meaningful information as in the current model the cost of utility is only accruing to a second infection. More complex models would be able to assess utility in the prevention of two to three subsequent infections.</w:t>
      </w:r>
    </w:p>
    <w:p w:rsidR="00741863" w:rsidRDefault="00741863" w:rsidP="00741863"/>
    <w:p w:rsidR="00741863" w:rsidRDefault="00741863" w:rsidP="00741863">
      <w:r>
        <w:t>MSAC noted advice from</w:t>
      </w:r>
      <w:r w:rsidR="00C51E52">
        <w:t xml:space="preserve"> NTAC</w:t>
      </w:r>
      <w:r>
        <w:t xml:space="preserve"> that new assays are due to be available in the next two to five years</w:t>
      </w:r>
      <w:r w:rsidR="00D07424">
        <w:t xml:space="preserve"> which</w:t>
      </w:r>
      <w:r>
        <w:t xml:space="preserve"> have technical efficiency similar to the </w:t>
      </w:r>
      <w:r w:rsidR="00C07CA6">
        <w:t>C&amp;S test</w:t>
      </w:r>
      <w:r>
        <w:t xml:space="preserve">, but with </w:t>
      </w:r>
      <w:r w:rsidR="00D07424">
        <w:t xml:space="preserve">a </w:t>
      </w:r>
      <w:r>
        <w:t xml:space="preserve">short turnaround time. </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0F00C6" w:rsidRDefault="000F00C6" w:rsidP="000F00C6">
      <w:r>
        <w:t xml:space="preserve">MSAC has not previously considered this application. However, MSAC considered a </w:t>
      </w:r>
      <w:r w:rsidR="00D07424">
        <w:t xml:space="preserve">related </w:t>
      </w:r>
      <w:r>
        <w:t xml:space="preserve">application </w:t>
      </w:r>
      <w:r w:rsidR="008E017B">
        <w:t>(</w:t>
      </w:r>
      <w:r>
        <w:t>1144 - P</w:t>
      </w:r>
      <w:r w:rsidRPr="00C96203">
        <w:t xml:space="preserve">athology testing for </w:t>
      </w:r>
      <w:r w:rsidRPr="007D1079">
        <w:rPr>
          <w:u w:val="single"/>
        </w:rPr>
        <w:t>latent</w:t>
      </w:r>
      <w:r>
        <w:t xml:space="preserve"> mycobacterial infection), in </w:t>
      </w:r>
      <w:r w:rsidR="008E017B">
        <w:br/>
      </w:r>
      <w:r>
        <w:t>March 2012 and April 2013.</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0F00C6" w:rsidRDefault="000F00C6" w:rsidP="000F00C6">
      <w:r w:rsidRPr="00353AC1">
        <w:t>The most widely used commercial NAAT for detection of MTB</w:t>
      </w:r>
      <w:r w:rsidR="00D07424">
        <w:t xml:space="preserve"> </w:t>
      </w:r>
      <w:r w:rsidRPr="00353AC1">
        <w:t>is endorsed by the W</w:t>
      </w:r>
      <w:r>
        <w:t xml:space="preserve">orld </w:t>
      </w:r>
      <w:r w:rsidRPr="00353AC1">
        <w:t>H</w:t>
      </w:r>
      <w:r>
        <w:t xml:space="preserve">ealth </w:t>
      </w:r>
      <w:r w:rsidRPr="00353AC1">
        <w:t>O</w:t>
      </w:r>
      <w:r>
        <w:t>rgani</w:t>
      </w:r>
      <w:r w:rsidR="00D07424">
        <w:t>s</w:t>
      </w:r>
      <w:r>
        <w:t>ation</w:t>
      </w:r>
      <w:r w:rsidRPr="00353AC1">
        <w:t xml:space="preserve"> </w:t>
      </w:r>
      <w:r w:rsidR="002B130F">
        <w:t xml:space="preserve">(WHO) </w:t>
      </w:r>
      <w:r w:rsidRPr="00353AC1">
        <w:t>and has been approved by the T</w:t>
      </w:r>
      <w:r>
        <w:t xml:space="preserve">herapeutic </w:t>
      </w:r>
      <w:r w:rsidRPr="00353AC1">
        <w:t>G</w:t>
      </w:r>
      <w:r>
        <w:t xml:space="preserve">oods </w:t>
      </w:r>
      <w:r w:rsidRPr="00353AC1">
        <w:t>A</w:t>
      </w:r>
      <w:r>
        <w:t>dministration (TGA)</w:t>
      </w:r>
      <w:r w:rsidRPr="00353AC1">
        <w:t xml:space="preserve"> for use on patient material, regardless of </w:t>
      </w:r>
      <w:r>
        <w:t xml:space="preserve">the </w:t>
      </w:r>
      <w:r w:rsidRPr="00353AC1">
        <w:t xml:space="preserve">AFB smear microscopy result. </w:t>
      </w:r>
      <w:r>
        <w:t>There are no commercially available kits for the detection of NTM approved by the TGA in Australia.</w:t>
      </w:r>
    </w:p>
    <w:p w:rsidR="000F00C6" w:rsidRDefault="000F00C6" w:rsidP="000F00C6"/>
    <w:p w:rsidR="000F00C6" w:rsidRDefault="000F00C6" w:rsidP="000F00C6">
      <w:r>
        <w:t xml:space="preserve">The </w:t>
      </w:r>
      <w:r w:rsidRPr="00BE75F1">
        <w:t xml:space="preserve">Guidelines for Australian </w:t>
      </w:r>
      <w:proofErr w:type="spellStart"/>
      <w:r w:rsidRPr="00BE75F1">
        <w:t>mycobacteriology</w:t>
      </w:r>
      <w:proofErr w:type="spellEnd"/>
      <w:r w:rsidRPr="00BE75F1">
        <w:t xml:space="preserve"> laboratories</w:t>
      </w:r>
      <w:r>
        <w:t xml:space="preserve"> </w:t>
      </w:r>
      <w:r>
        <w:fldChar w:fldCharType="begin"/>
      </w:r>
      <w:r>
        <w:instrText xml:space="preserve"> ADDIN EN.CITE &lt;EndNote&gt;&lt;Cite&gt;&lt;Author&gt;National Tuberculosis Advisory Committee&lt;/Author&gt;&lt;Year&gt;2006&lt;/Year&gt;&lt;RecNum&gt;19&lt;/RecNum&gt;&lt;DisplayText&gt;(National Tuberculosis Advisory Committee 2006)&lt;/DisplayText&gt;&lt;record&gt;&lt;rec-number&gt;19&lt;/rec-number&gt;&lt;foreign-keys&gt;&lt;key app="EN" db-id="zfdz9dseazf5vmetffi5vzwr9zwwx2d5fxzd"&gt;19&lt;/key&gt;&lt;/foreign-keys&gt;&lt;ref-type name="Journal Article"&gt;17&lt;/ref-type&gt;&lt;contributors&gt;&lt;authors&gt;&lt;author&gt;National Tuberculosis Advisory Committee,&lt;/author&gt;&lt;/authors&gt;&lt;/contributors&gt;&lt;titles&gt;&lt;title&gt;Guidelines for Australian mycobacteriology laboratories&lt;/title&gt;&lt;secondary-title&gt;Communicable Diseases Intelligence Quarterly Report&lt;/secondary-title&gt;&lt;alt-title&gt;Communicable diseases intelligence quarterly report&lt;/alt-title&gt;&lt;/titles&gt;&lt;periodical&gt;&lt;full-title&gt;Commun Dis Intell Q Rep&lt;/full-title&gt;&lt;abbr-1&gt;Communicable diseases intelligence quarterly report&lt;/abbr-1&gt;&lt;/periodical&gt;&lt;alt-periodical&gt;&lt;full-title&gt;Commun Dis Intell Q Rep&lt;/full-title&gt;&lt;abbr-1&gt;Communicable diseases intelligence quarterly report&lt;/abbr-1&gt;&lt;/alt-periodical&gt;&lt;pages&gt;116–28&lt;/pages&gt;&lt;volume&gt;30&lt;/volume&gt;&lt;number&gt;1&lt;/number&gt;&lt;edition&gt;2006/04/28&lt;/edition&gt;&lt;keywords&gt;&lt;keyword&gt;Australia/epidemiology&lt;/keyword&gt;&lt;keyword&gt;Clinical Laboratory Techniques/standards&lt;/keyword&gt;&lt;keyword&gt;Communicable Disease Control&lt;/keyword&gt;&lt;keyword&gt;Humans&lt;/keyword&gt;&lt;keyword&gt;Laboratories/ standards&lt;/keyword&gt;&lt;keyword&gt;Mycobacterium tuberculosis/classification/ isolation &amp;amp; purification&lt;/keyword&gt;&lt;keyword&gt;Quality Control&lt;/keyword&gt;&lt;keyword&gt;Safety Management&lt;/keyword&gt;&lt;keyword&gt;Tuberculosis/epidemiology/ microbiology/ prevention &amp;amp; control&lt;/keyword&gt;&lt;/keywords&gt;&lt;dates&gt;&lt;year&gt;2006&lt;/year&gt;&lt;/dates&gt;&lt;isbn&gt;1447-4514 (Print)&amp;#xD;1447-4514 (Linking)&lt;/isbn&gt;&lt;accession-num&gt;16637240&lt;/accession-num&gt;&lt;urls&gt;&lt;/urls&gt;&lt;remote-database-provider&gt;NLM&lt;/remote-database-provider&gt;&lt;language&gt;eng&lt;/language&gt;&lt;/record&gt;&lt;/Cite&gt;&lt;/EndNote&gt;</w:instrText>
      </w:r>
      <w:r>
        <w:fldChar w:fldCharType="separate"/>
      </w:r>
      <w:r>
        <w:rPr>
          <w:noProof/>
        </w:rPr>
        <w:t>(</w:t>
      </w:r>
      <w:hyperlink w:anchor="_ENREF_153" w:tooltip="National Tuberculosis Advisory Committee, 2006 #19" w:history="1">
        <w:r>
          <w:rPr>
            <w:noProof/>
          </w:rPr>
          <w:t>National Tuberculosis Advisory Committee 2006</w:t>
        </w:r>
      </w:hyperlink>
      <w:r>
        <w:rPr>
          <w:noProof/>
        </w:rPr>
        <w:t>)</w:t>
      </w:r>
      <w:r>
        <w:fldChar w:fldCharType="end"/>
      </w:r>
      <w:r>
        <w:t xml:space="preserve"> state that ‘</w:t>
      </w:r>
      <w:r w:rsidRPr="002843A0">
        <w:t>All NAAT methods must be properly validated before routine use</w:t>
      </w:r>
      <w:r>
        <w:t xml:space="preserve">’. Commercial tests that have been modified (e.g. for a novel use) </w:t>
      </w:r>
      <w:r w:rsidRPr="004A5DE6">
        <w:t>and in</w:t>
      </w:r>
      <w:r>
        <w:t>-</w:t>
      </w:r>
      <w:r w:rsidRPr="004A5DE6">
        <w:t>house methodologies</w:t>
      </w:r>
      <w:r>
        <w:t xml:space="preserve"> must be validated according to the </w:t>
      </w:r>
      <w:r w:rsidR="002B130F">
        <w:t>National Pathology Accreditation Advisory Council (</w:t>
      </w:r>
      <w:r w:rsidRPr="00930BF0">
        <w:t>NPAAC</w:t>
      </w:r>
      <w:r w:rsidR="002B130F">
        <w:t>)</w:t>
      </w:r>
      <w:r w:rsidRPr="00930BF0">
        <w:t xml:space="preserve"> guidelines for requirements for the development and use of in-house in-vitro diagnostic medical devices</w:t>
      </w:r>
      <w:r w:rsidRPr="00733ACC">
        <w:rPr>
          <w:i/>
        </w:rPr>
        <w:t xml:space="preserve"> </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AD148A" w:rsidRDefault="00AD148A" w:rsidP="00AD148A">
      <w:r>
        <w:t>NAAT are part of the public health workup for the diagnosis and management of TB, in a person with clinical signs and symptoms of active TB infection or for the diagnosis and management of mycobacterial infection other than TB.</w:t>
      </w:r>
    </w:p>
    <w:p w:rsidR="00AD148A" w:rsidRPr="00BB418D" w:rsidRDefault="00AD148A" w:rsidP="00A72C1B">
      <w:pPr>
        <w:tabs>
          <w:tab w:val="left" w:pos="720"/>
          <w:tab w:val="left" w:pos="1140"/>
        </w:tabs>
        <w:rPr>
          <w:rFonts w:ascii="Arial" w:hAnsi="Arial" w:cs="Arial"/>
          <w:color w:val="3366FF"/>
          <w:szCs w:val="24"/>
        </w:rPr>
      </w:pPr>
    </w:p>
    <w:p w:rsidR="00AD148A" w:rsidRDefault="00AD148A" w:rsidP="008519F6">
      <w:r>
        <w:t xml:space="preserve">Treatment for TB is provided free of charge to </w:t>
      </w:r>
      <w:r w:rsidR="00E958D4">
        <w:t xml:space="preserve">public </w:t>
      </w:r>
      <w:r>
        <w:t>patients in Australia. The test to confirm active mycobacterial infection is covered by the state and territory health systems if the patient is a public patient in a public hospital or by the MBS if the test</w:t>
      </w:r>
      <w:r w:rsidR="00E958D4">
        <w:t xml:space="preserve"> is</w:t>
      </w:r>
      <w:r>
        <w:t xml:space="preserve"> being performed</w:t>
      </w:r>
      <w:r w:rsidR="00E958D4">
        <w:t xml:space="preserve"> for a private patient and</w:t>
      </w:r>
      <w:r>
        <w:t xml:space="preserve"> is listed on the MBS. The tests currently listed on the MBS are AFB microscopy and culture of suitable specimens. NAAT is not currently listed on the MBS.</w:t>
      </w:r>
    </w:p>
    <w:p w:rsidR="00AD148A" w:rsidRDefault="00AD148A"/>
    <w:p w:rsidR="00AD148A" w:rsidRPr="00930BF0" w:rsidRDefault="00AD148A" w:rsidP="00A72C1B">
      <w:pPr>
        <w:tabs>
          <w:tab w:val="left" w:pos="720"/>
          <w:tab w:val="left" w:pos="1140"/>
        </w:tabs>
        <w:rPr>
          <w:u w:val="single"/>
        </w:rPr>
      </w:pPr>
      <w:r w:rsidRPr="00930BF0">
        <w:rPr>
          <w:u w:val="single"/>
        </w:rPr>
        <w:t>Mycobacterium tuberculosis (MTB) infections</w:t>
      </w:r>
    </w:p>
    <w:p w:rsidR="00AD148A" w:rsidRDefault="00AD148A" w:rsidP="00AD148A">
      <w:pPr>
        <w:tabs>
          <w:tab w:val="left" w:pos="720"/>
          <w:tab w:val="left" w:pos="1140"/>
        </w:tabs>
        <w:spacing w:before="120"/>
      </w:pPr>
      <w:r>
        <w:t>TB usually attacks the lungs but can also affect other parts of the body. Common symptoms include a chronic cough (sometimes accompanied by haemoptysis), fever and night sweats, loss of weight and feeling generally tired and unwell. TB is transmitted mainly by inhalation of infectious droplets produced by persons with pulmonary or laryngeal TB during coughing, laughing, shouting, singing or sneezing. Rarely, invasion of MTB may occur through mucous membranes or damaged skin. Extra-pulmonary TB, other than laryngeal, is generally not communicable, although can be associated with pulmonary TB.</w:t>
      </w:r>
      <w:r>
        <w:br/>
      </w:r>
      <w:r>
        <w:br/>
      </w:r>
      <w:r>
        <w:lastRenderedPageBreak/>
        <w:t xml:space="preserve">Most infections in humans result in an asymptomatic, latent infection. In the immunocompetent host, subsequent progression to active TB occurs in only 5–10 per cent of those infected. This progression can occur from weeks to decades later although half will occur within two years from initial infection. Infection with the MTB complex (responsible for most cases) without disease can persist for a lifetime. Active disease if left untreated kills more than 50% of those infected. </w:t>
      </w:r>
    </w:p>
    <w:p w:rsidR="00C07CA6" w:rsidRDefault="00C07CA6" w:rsidP="00AD148A">
      <w:pPr>
        <w:rPr>
          <w:u w:val="single"/>
        </w:rPr>
      </w:pPr>
    </w:p>
    <w:p w:rsidR="00AD148A" w:rsidRDefault="00AD148A" w:rsidP="00AD148A">
      <w:r w:rsidRPr="00930BF0">
        <w:rPr>
          <w:u w:val="single"/>
        </w:rPr>
        <w:t>Non-tuberculous mycobacteria (NTM) infections</w:t>
      </w:r>
    </w:p>
    <w:p w:rsidR="00AD148A" w:rsidRDefault="00AD148A" w:rsidP="00A72C1B">
      <w:pPr>
        <w:spacing w:before="120"/>
      </w:pPr>
      <w:r>
        <w:t xml:space="preserve">NTM are environmental </w:t>
      </w:r>
      <w:r w:rsidRPr="002314E7">
        <w:t>mycobacteria</w:t>
      </w:r>
      <w:r>
        <w:t>, and do not include the MTB</w:t>
      </w:r>
      <w:r w:rsidDel="00827BB1">
        <w:t xml:space="preserve"> </w:t>
      </w:r>
      <w:r>
        <w:t xml:space="preserve">pathogens </w:t>
      </w:r>
      <w:r w:rsidRPr="002314E7">
        <w:t xml:space="preserve">or </w:t>
      </w:r>
      <w:r w:rsidRPr="00B66EFC">
        <w:rPr>
          <w:i/>
        </w:rPr>
        <w:t xml:space="preserve">M. </w:t>
      </w:r>
      <w:proofErr w:type="spellStart"/>
      <w:r w:rsidRPr="00B66EFC">
        <w:rPr>
          <w:i/>
        </w:rPr>
        <w:t>leprae</w:t>
      </w:r>
      <w:proofErr w:type="spellEnd"/>
      <w:r>
        <w:t xml:space="preserve"> that causes </w:t>
      </w:r>
      <w:r w:rsidRPr="002314E7">
        <w:t xml:space="preserve">Hansen's disease </w:t>
      </w:r>
      <w:r>
        <w:t xml:space="preserve">or </w:t>
      </w:r>
      <w:r w:rsidRPr="002314E7">
        <w:t>leprosy</w:t>
      </w:r>
      <w:r>
        <w:t xml:space="preserve"> </w:t>
      </w:r>
      <w:r>
        <w:fldChar w:fldCharType="begin"/>
      </w:r>
      <w:r>
        <w:instrText xml:space="preserve"> ADDIN EN.CITE &lt;EndNote&gt;&lt;Cite&gt;&lt;Author&gt;Runyon&lt;/Author&gt;&lt;Year&gt;1959&lt;/Year&gt;&lt;RecNum&gt;198&lt;/RecNum&gt;&lt;DisplayText&gt;(Runyon 1959)&lt;/DisplayText&gt;&lt;record&gt;&lt;rec-number&gt;198&lt;/rec-number&gt;&lt;foreign-keys&gt;&lt;key app="EN" db-id="zfdz9dseazf5vmetffi5vzwr9zwwx2d5fxzd"&gt;198&lt;/key&gt;&lt;/foreign-keys&gt;&lt;ref-type name="Journal Article"&gt;17&lt;/ref-type&gt;&lt;contributors&gt;&lt;authors&gt;&lt;author&gt;Runyon, E. H.&lt;/author&gt;&lt;/authors&gt;&lt;/contributors&gt;&lt;titles&gt;&lt;title&gt;Anonymous mycobacteria in pulmonary disease&lt;/title&gt;&lt;secondary-title&gt;Medical Clinics of North America&lt;/secondary-title&gt;&lt;alt-title&gt;The Medical clinics of North America&lt;/alt-title&gt;&lt;/titles&gt;&lt;alt-periodical&gt;&lt;full-title&gt;Med Clin North Am&lt;/full-title&gt;&lt;abbr-1&gt;The Medical clinics of North America&lt;/abbr-1&gt;&lt;/alt-periodical&gt;&lt;pages&gt;273–90&lt;/pages&gt;&lt;volume&gt;43&lt;/volume&gt;&lt;number&gt;1&lt;/number&gt;&lt;edition&gt;1959/01/01&lt;/edition&gt;&lt;keywords&gt;&lt;keyword&gt;Lung Diseases/ microbiology&lt;/keyword&gt;&lt;keyword&gt;Mycobacterium Infections&lt;/keyword&gt;&lt;/keywords&gt;&lt;dates&gt;&lt;year&gt;1959&lt;/year&gt;&lt;pub-dates&gt;&lt;date&gt;Jan&lt;/date&gt;&lt;/pub-dates&gt;&lt;/dates&gt;&lt;isbn&gt;0025-7125 (Print)&amp;#xD;0025-7125 (Linking)&lt;/isbn&gt;&lt;accession-num&gt;13612432&lt;/accession-num&gt;&lt;urls&gt;&lt;/urls&gt;&lt;remote-database-provider&gt;NLM&lt;/remote-database-provider&gt;&lt;language&gt;eng&lt;/language&gt;&lt;/record&gt;&lt;/Cite&gt;&lt;/EndNote&gt;</w:instrText>
      </w:r>
      <w:r>
        <w:fldChar w:fldCharType="separate"/>
      </w:r>
      <w:r>
        <w:rPr>
          <w:noProof/>
        </w:rPr>
        <w:t>(</w:t>
      </w:r>
      <w:hyperlink w:anchor="_ENREF_178" w:tooltip="Runyon, 1959 #198" w:history="1">
        <w:r>
          <w:rPr>
            <w:noProof/>
          </w:rPr>
          <w:t>Runyon 1959</w:t>
        </w:r>
      </w:hyperlink>
      <w:r>
        <w:rPr>
          <w:noProof/>
        </w:rPr>
        <w:t>)</w:t>
      </w:r>
      <w:r>
        <w:fldChar w:fldCharType="end"/>
      </w:r>
      <w:r w:rsidRPr="002314E7">
        <w:t>.</w:t>
      </w:r>
      <w:r>
        <w:t xml:space="preserve"> </w:t>
      </w:r>
      <w:r w:rsidRPr="00972EF1">
        <w:t>Disease</w:t>
      </w:r>
      <w:r>
        <w:t xml:space="preserve"> caused by</w:t>
      </w:r>
      <w:r w:rsidRPr="00972EF1">
        <w:t xml:space="preserve"> NTM is not notifiable in Australia</w:t>
      </w:r>
      <w:r>
        <w:t>;</w:t>
      </w:r>
      <w:r w:rsidRPr="00972EF1">
        <w:t xml:space="preserve"> </w:t>
      </w:r>
      <w:r>
        <w:t xml:space="preserve">hence, </w:t>
      </w:r>
      <w:r w:rsidRPr="00972EF1">
        <w:t xml:space="preserve">there is </w:t>
      </w:r>
      <w:r>
        <w:t>little information on the</w:t>
      </w:r>
      <w:r w:rsidRPr="00972EF1">
        <w:t xml:space="preserve"> incidence or prevalence </w:t>
      </w:r>
      <w:r>
        <w:t>of NTM disease</w:t>
      </w:r>
      <w:r w:rsidRPr="00972EF1">
        <w:t>.</w:t>
      </w:r>
      <w:r>
        <w:t xml:space="preserve"> </w:t>
      </w:r>
    </w:p>
    <w:p w:rsidR="00AD148A" w:rsidRDefault="00AD148A" w:rsidP="00AD148A"/>
    <w:p w:rsidR="00AD148A" w:rsidRDefault="00AD148A" w:rsidP="00AD148A">
      <w:r>
        <w:t xml:space="preserve">NTM organisms originate from environmental sources such as food, other animals, soil or water. </w:t>
      </w:r>
      <w:r w:rsidRPr="00585E39">
        <w:t>Pulmonary</w:t>
      </w:r>
      <w:r>
        <w:t xml:space="preserve"> NTM</w:t>
      </w:r>
      <w:r w:rsidRPr="00585E39">
        <w:t xml:space="preserve"> infections are the most common and are usually caused by the </w:t>
      </w:r>
      <w:r w:rsidRPr="005A5C5E">
        <w:t>MAC</w:t>
      </w:r>
      <w:r w:rsidRPr="00585E39">
        <w:t xml:space="preserve"> group. </w:t>
      </w:r>
      <w:r w:rsidRPr="00FE272A">
        <w:rPr>
          <w:i/>
        </w:rPr>
        <w:t>M</w:t>
      </w:r>
      <w:r>
        <w:rPr>
          <w:i/>
        </w:rPr>
        <w:t>.</w:t>
      </w:r>
      <w:r w:rsidRPr="00FE272A">
        <w:rPr>
          <w:i/>
        </w:rPr>
        <w:t xml:space="preserve"> </w:t>
      </w:r>
      <w:proofErr w:type="spellStart"/>
      <w:r w:rsidRPr="00FE272A">
        <w:rPr>
          <w:i/>
        </w:rPr>
        <w:t>kansasii</w:t>
      </w:r>
      <w:proofErr w:type="spellEnd"/>
      <w:r>
        <w:t>,</w:t>
      </w:r>
      <w:r w:rsidRPr="00585E39">
        <w:t xml:space="preserve"> </w:t>
      </w:r>
      <w:r w:rsidRPr="00FE272A">
        <w:rPr>
          <w:i/>
        </w:rPr>
        <w:t>M</w:t>
      </w:r>
      <w:r>
        <w:rPr>
          <w:i/>
        </w:rPr>
        <w:t>.</w:t>
      </w:r>
      <w:r w:rsidRPr="00FE272A">
        <w:rPr>
          <w:i/>
        </w:rPr>
        <w:t xml:space="preserve"> </w:t>
      </w:r>
      <w:proofErr w:type="spellStart"/>
      <w:r w:rsidRPr="00FE272A">
        <w:rPr>
          <w:i/>
        </w:rPr>
        <w:t>xenopi</w:t>
      </w:r>
      <w:proofErr w:type="spellEnd"/>
      <w:r w:rsidRPr="00585E39">
        <w:t xml:space="preserve"> and </w:t>
      </w:r>
      <w:r w:rsidRPr="00FE272A">
        <w:rPr>
          <w:i/>
        </w:rPr>
        <w:t>M</w:t>
      </w:r>
      <w:r>
        <w:rPr>
          <w:i/>
        </w:rPr>
        <w:t>.</w:t>
      </w:r>
      <w:r w:rsidRPr="00FE272A">
        <w:rPr>
          <w:i/>
        </w:rPr>
        <w:t xml:space="preserve"> </w:t>
      </w:r>
      <w:proofErr w:type="spellStart"/>
      <w:r w:rsidRPr="00FE272A">
        <w:rPr>
          <w:i/>
        </w:rPr>
        <w:t>malmoense</w:t>
      </w:r>
      <w:proofErr w:type="spellEnd"/>
      <w:r w:rsidRPr="00585E39">
        <w:t xml:space="preserve"> </w:t>
      </w:r>
      <w:r>
        <w:t>are the</w:t>
      </w:r>
      <w:r w:rsidRPr="00585E39">
        <w:t xml:space="preserve"> </w:t>
      </w:r>
      <w:r>
        <w:t>next</w:t>
      </w:r>
      <w:r w:rsidRPr="00585E39">
        <w:t xml:space="preserve"> most common</w:t>
      </w:r>
      <w:r>
        <w:t xml:space="preserve"> causes. S</w:t>
      </w:r>
      <w:r w:rsidRPr="00585E39">
        <w:t>kin and soft-tissue NTM infections</w:t>
      </w:r>
      <w:r>
        <w:t>,</w:t>
      </w:r>
      <w:r w:rsidRPr="00FE272A">
        <w:t xml:space="preserve"> </w:t>
      </w:r>
      <w:r>
        <w:t xml:space="preserve">often originating from a cut or graze, </w:t>
      </w:r>
      <w:r w:rsidRPr="00585E39">
        <w:t xml:space="preserve">manifest clinically </w:t>
      </w:r>
      <w:r>
        <w:t>as</w:t>
      </w:r>
      <w:r w:rsidRPr="00585E39">
        <w:t xml:space="preserve"> rash</w:t>
      </w:r>
      <w:r>
        <w:t>es</w:t>
      </w:r>
      <w:r w:rsidRPr="00585E39">
        <w:t>, ulcers, nodules, granulomas, cellulitis or abscesses.</w:t>
      </w:r>
      <w:r>
        <w:t xml:space="preserve"> </w:t>
      </w:r>
      <w:r w:rsidRPr="00585E39">
        <w:t>NTM skeletal infections of bones, joints and tendons primarily occur following accidental trauma, surgery, puncture wounds or injections.</w:t>
      </w:r>
      <w:r>
        <w:t xml:space="preserve"> </w:t>
      </w:r>
      <w:r w:rsidRPr="00585E39">
        <w:t>The</w:t>
      </w:r>
      <w:r>
        <w:t xml:space="preserve">se infections </w:t>
      </w:r>
      <w:r w:rsidRPr="00585E39">
        <w:t>can be locali</w:t>
      </w:r>
      <w:r>
        <w:t>s</w:t>
      </w:r>
      <w:r w:rsidRPr="00585E39">
        <w:t>ed or multifocal</w:t>
      </w:r>
      <w:r>
        <w:t>, and</w:t>
      </w:r>
      <w:r w:rsidRPr="00585E39">
        <w:t xml:space="preserve"> can progress to </w:t>
      </w:r>
      <w:r>
        <w:t>septic arthritis, osteomyelitis</w:t>
      </w:r>
      <w:r w:rsidRPr="00585E39">
        <w:t xml:space="preserve"> and even bacteraemia.</w:t>
      </w:r>
    </w:p>
    <w:p w:rsidR="00AD148A" w:rsidRDefault="00AD148A" w:rsidP="000F00C6"/>
    <w:p w:rsidR="000F00C6" w:rsidRDefault="000F00C6" w:rsidP="000F00C6">
      <w:r>
        <w:t xml:space="preserve">An MBS item descriptor was not proposed in the PASC-ratified protocol. Suggested </w:t>
      </w:r>
      <w:r w:rsidRPr="008E7BA3">
        <w:t>MBS item descriptors</w:t>
      </w:r>
      <w:r>
        <w:t>, as recommended</w:t>
      </w:r>
      <w:r w:rsidRPr="008E7BA3">
        <w:t xml:space="preserve"> </w:t>
      </w:r>
      <w:r>
        <w:t xml:space="preserve">by the Pathology Services Advisory Committee (PSAC) are provided in </w:t>
      </w:r>
      <w:r>
        <w:fldChar w:fldCharType="begin"/>
      </w:r>
      <w:r>
        <w:instrText xml:space="preserve"> REF _Ref406058448 \h </w:instrText>
      </w:r>
      <w:r>
        <w:fldChar w:fldCharType="separate"/>
      </w:r>
      <w:r>
        <w:t xml:space="preserve">Table </w:t>
      </w:r>
      <w:r>
        <w:rPr>
          <w:noProof/>
        </w:rPr>
        <w:t>1</w:t>
      </w:r>
      <w:r>
        <w:fldChar w:fldCharType="end"/>
      </w:r>
      <w:r>
        <w:t>.</w:t>
      </w:r>
    </w:p>
    <w:p w:rsidR="000F00C6" w:rsidRDefault="000F00C6" w:rsidP="000F00C6">
      <w:pPr>
        <w:pStyle w:val="TableHeading"/>
        <w:tabs>
          <w:tab w:val="clear" w:pos="851"/>
        </w:tabs>
      </w:pPr>
      <w:bookmarkStart w:id="0" w:name="_Ref406058448"/>
      <w:bookmarkStart w:id="1" w:name="_Toc406660309"/>
      <w:r>
        <w:t xml:space="preserve">Table </w:t>
      </w:r>
      <w:r w:rsidR="00A8330A">
        <w:fldChar w:fldCharType="begin"/>
      </w:r>
      <w:r w:rsidR="00A8330A">
        <w:instrText xml:space="preserve"> SEQ Table_ES. \* ARABIC </w:instrText>
      </w:r>
      <w:r w:rsidR="00A8330A">
        <w:fldChar w:fldCharType="separate"/>
      </w:r>
      <w:r>
        <w:rPr>
          <w:noProof/>
        </w:rPr>
        <w:t>1</w:t>
      </w:r>
      <w:r w:rsidR="00A8330A">
        <w:rPr>
          <w:noProof/>
        </w:rPr>
        <w:fldChar w:fldCharType="end"/>
      </w:r>
      <w:bookmarkEnd w:id="0"/>
      <w:r>
        <w:tab/>
      </w:r>
      <w:r w:rsidRPr="00F77EBE">
        <w:t>Suggested MBS item descriptor</w:t>
      </w:r>
      <w:r>
        <w:t>s</w:t>
      </w:r>
      <w:bookmarkEnd w:id="1"/>
    </w:p>
    <w:tbl>
      <w:tblPr>
        <w:tblStyle w:val="TableGrid"/>
        <w:tblW w:w="0" w:type="auto"/>
        <w:tblInd w:w="108" w:type="dxa"/>
        <w:tblLook w:val="04A0" w:firstRow="1" w:lastRow="0" w:firstColumn="1" w:lastColumn="0" w:noHBand="0" w:noVBand="1"/>
        <w:tblCaption w:val="Suggested MBS item descriptors"/>
      </w:tblPr>
      <w:tblGrid>
        <w:gridCol w:w="9003"/>
      </w:tblGrid>
      <w:tr w:rsidR="000F00C6" w:rsidTr="009420AD">
        <w:trPr>
          <w:tblHeader/>
        </w:trPr>
        <w:tc>
          <w:tcPr>
            <w:tcW w:w="9003" w:type="dxa"/>
          </w:tcPr>
          <w:p w:rsidR="000F00C6" w:rsidRPr="004F7BEA" w:rsidRDefault="000F00C6" w:rsidP="009420AD">
            <w:pPr>
              <w:pStyle w:val="TableText"/>
              <w:spacing w:line="240" w:lineRule="auto"/>
              <w:jc w:val="right"/>
              <w:rPr>
                <w:rFonts w:ascii="Arial Narrow" w:hAnsi="Arial Narrow"/>
                <w:sz w:val="20"/>
                <w:szCs w:val="20"/>
              </w:rPr>
            </w:pPr>
            <w:r w:rsidRPr="007D2A4A">
              <w:rPr>
                <w:rFonts w:ascii="Arial Narrow" w:eastAsia="SimSun" w:hAnsi="Arial Narrow"/>
                <w:b/>
                <w:sz w:val="20"/>
                <w:szCs w:val="20"/>
                <w:lang w:eastAsia="ja-JP"/>
              </w:rPr>
              <w:t>Category 6 – PATHOLOGY SERVICES</w:t>
            </w:r>
          </w:p>
        </w:tc>
      </w:tr>
      <w:tr w:rsidR="000F00C6" w:rsidTr="009420AD">
        <w:tc>
          <w:tcPr>
            <w:tcW w:w="9003" w:type="dxa"/>
          </w:tcPr>
          <w:p w:rsidR="000F00C6" w:rsidRDefault="000F00C6" w:rsidP="009420AD">
            <w:pPr>
              <w:pStyle w:val="TableText"/>
              <w:spacing w:line="240" w:lineRule="auto"/>
              <w:rPr>
                <w:rFonts w:ascii="Arial Narrow" w:hAnsi="Arial Narrow"/>
                <w:sz w:val="20"/>
                <w:szCs w:val="20"/>
              </w:rPr>
            </w:pPr>
            <w:r>
              <w:rPr>
                <w:rFonts w:ascii="Arial Narrow" w:hAnsi="Arial Narrow"/>
                <w:sz w:val="20"/>
                <w:szCs w:val="20"/>
              </w:rPr>
              <w:t>MBS item number</w:t>
            </w:r>
          </w:p>
          <w:p w:rsidR="000F00C6" w:rsidRDefault="000F00C6" w:rsidP="009420AD">
            <w:pPr>
              <w:pStyle w:val="TableText"/>
              <w:spacing w:line="240" w:lineRule="auto"/>
              <w:rPr>
                <w:rFonts w:ascii="Arial Narrow" w:hAnsi="Arial Narrow"/>
                <w:sz w:val="20"/>
                <w:szCs w:val="20"/>
              </w:rPr>
            </w:pPr>
          </w:p>
          <w:p w:rsidR="000F00C6" w:rsidRDefault="000F00C6" w:rsidP="009420AD">
            <w:pPr>
              <w:pStyle w:val="TableText"/>
              <w:spacing w:line="240" w:lineRule="auto"/>
              <w:rPr>
                <w:rFonts w:ascii="Arial Narrow" w:hAnsi="Arial Narrow"/>
                <w:sz w:val="20"/>
                <w:szCs w:val="20"/>
              </w:rPr>
            </w:pPr>
            <w:r>
              <w:rPr>
                <w:rFonts w:ascii="Arial Narrow" w:hAnsi="Arial Narrow"/>
                <w:sz w:val="20"/>
                <w:szCs w:val="20"/>
              </w:rPr>
              <w:t xml:space="preserve">Nucleic acid amplification test for the detection of </w:t>
            </w:r>
            <w:r w:rsidRPr="008535E4">
              <w:rPr>
                <w:rFonts w:ascii="Arial Narrow" w:hAnsi="Arial Narrow"/>
                <w:i/>
                <w:sz w:val="20"/>
                <w:szCs w:val="20"/>
              </w:rPr>
              <w:t>Mycobacterium tuberculosis</w:t>
            </w:r>
            <w:r w:rsidRPr="007E434A">
              <w:rPr>
                <w:rFonts w:ascii="Arial Narrow" w:hAnsi="Arial Narrow"/>
                <w:sz w:val="20"/>
                <w:szCs w:val="20"/>
              </w:rPr>
              <w:t xml:space="preserve"> complex</w:t>
            </w:r>
            <w:r>
              <w:rPr>
                <w:rFonts w:ascii="Arial Narrow" w:hAnsi="Arial Narrow"/>
                <w:sz w:val="20"/>
                <w:szCs w:val="20"/>
              </w:rPr>
              <w:t xml:space="preserve"> in patients </w:t>
            </w:r>
            <w:r w:rsidRPr="000F4298">
              <w:rPr>
                <w:rFonts w:ascii="Arial Narrow" w:hAnsi="Arial Narrow"/>
                <w:sz w:val="20"/>
                <w:szCs w:val="20"/>
              </w:rPr>
              <w:t xml:space="preserve">with signs and symptoms </w:t>
            </w:r>
            <w:r>
              <w:rPr>
                <w:rFonts w:ascii="Arial Narrow" w:hAnsi="Arial Narrow"/>
                <w:sz w:val="20"/>
                <w:szCs w:val="20"/>
              </w:rPr>
              <w:t xml:space="preserve">consistent with </w:t>
            </w:r>
            <w:r w:rsidRPr="000F4298">
              <w:rPr>
                <w:rFonts w:ascii="Arial Narrow" w:hAnsi="Arial Narrow"/>
                <w:sz w:val="20"/>
                <w:szCs w:val="20"/>
              </w:rPr>
              <w:t xml:space="preserve">active </w:t>
            </w:r>
            <w:r>
              <w:rPr>
                <w:rFonts w:ascii="Arial Narrow" w:hAnsi="Arial Narrow"/>
                <w:sz w:val="20"/>
                <w:szCs w:val="20"/>
              </w:rPr>
              <w:t>tuberculosis.</w:t>
            </w:r>
          </w:p>
          <w:p w:rsidR="000F00C6" w:rsidRDefault="000F00C6" w:rsidP="009420AD">
            <w:pPr>
              <w:pStyle w:val="TableText"/>
              <w:spacing w:line="240" w:lineRule="auto"/>
              <w:rPr>
                <w:rFonts w:ascii="Arial Narrow" w:hAnsi="Arial Narrow"/>
                <w:sz w:val="20"/>
                <w:szCs w:val="20"/>
              </w:rPr>
            </w:pPr>
          </w:p>
          <w:p w:rsidR="000F00C6" w:rsidRPr="001D5D9F" w:rsidRDefault="000F00C6" w:rsidP="009420AD">
            <w:pPr>
              <w:pStyle w:val="TableText"/>
              <w:spacing w:line="240" w:lineRule="auto"/>
              <w:rPr>
                <w:rFonts w:ascii="Arial Narrow" w:hAnsi="Arial Narrow"/>
                <w:sz w:val="20"/>
                <w:szCs w:val="20"/>
              </w:rPr>
            </w:pPr>
            <w:r w:rsidRPr="000969E6">
              <w:rPr>
                <w:rFonts w:ascii="Arial Narrow" w:hAnsi="Arial Narrow"/>
                <w:b/>
                <w:sz w:val="20"/>
                <w:szCs w:val="20"/>
              </w:rPr>
              <w:t>Fee:</w:t>
            </w:r>
            <w:r>
              <w:rPr>
                <w:rFonts w:ascii="Arial Narrow" w:hAnsi="Arial Narrow"/>
                <w:sz w:val="20"/>
                <w:szCs w:val="20"/>
              </w:rPr>
              <w:t xml:space="preserve"> To be advised</w:t>
            </w:r>
          </w:p>
        </w:tc>
      </w:tr>
      <w:tr w:rsidR="000F00C6" w:rsidTr="009420AD">
        <w:tc>
          <w:tcPr>
            <w:tcW w:w="9003" w:type="dxa"/>
          </w:tcPr>
          <w:p w:rsidR="000F00C6" w:rsidRPr="000969E6" w:rsidRDefault="000F00C6" w:rsidP="009420AD">
            <w:pPr>
              <w:pStyle w:val="TableText"/>
              <w:spacing w:line="240" w:lineRule="auto"/>
              <w:rPr>
                <w:rFonts w:ascii="Arial Narrow" w:hAnsi="Arial Narrow"/>
                <w:sz w:val="20"/>
                <w:szCs w:val="20"/>
              </w:rPr>
            </w:pPr>
            <w:r w:rsidRPr="000969E6">
              <w:rPr>
                <w:rFonts w:ascii="Arial Narrow" w:hAnsi="Arial Narrow"/>
                <w:sz w:val="20"/>
                <w:szCs w:val="20"/>
              </w:rPr>
              <w:t>MBS item number</w:t>
            </w:r>
          </w:p>
          <w:p w:rsidR="000F00C6" w:rsidRPr="000969E6" w:rsidRDefault="000F00C6" w:rsidP="009420AD">
            <w:pPr>
              <w:pStyle w:val="TableText"/>
              <w:spacing w:line="240" w:lineRule="auto"/>
              <w:rPr>
                <w:rFonts w:ascii="Arial Narrow" w:hAnsi="Arial Narrow"/>
                <w:sz w:val="20"/>
                <w:szCs w:val="20"/>
              </w:rPr>
            </w:pPr>
          </w:p>
          <w:p w:rsidR="000F00C6" w:rsidRPr="000969E6" w:rsidRDefault="000F00C6" w:rsidP="009420AD">
            <w:pPr>
              <w:pStyle w:val="TableText"/>
              <w:spacing w:line="240" w:lineRule="auto"/>
              <w:rPr>
                <w:rFonts w:ascii="Arial Narrow" w:hAnsi="Arial Narrow"/>
                <w:sz w:val="20"/>
                <w:szCs w:val="20"/>
              </w:rPr>
            </w:pPr>
            <w:r w:rsidRPr="000969E6">
              <w:rPr>
                <w:rFonts w:ascii="Arial Narrow" w:hAnsi="Arial Narrow"/>
                <w:sz w:val="20"/>
                <w:szCs w:val="20"/>
              </w:rPr>
              <w:t xml:space="preserve">Nucleic acid amplification test for the detection of </w:t>
            </w:r>
            <w:r>
              <w:rPr>
                <w:rFonts w:ascii="Arial Narrow" w:hAnsi="Arial Narrow"/>
                <w:sz w:val="20"/>
                <w:szCs w:val="20"/>
              </w:rPr>
              <w:t>non-tuberculous m</w:t>
            </w:r>
            <w:r w:rsidRPr="000969E6">
              <w:rPr>
                <w:rFonts w:ascii="Arial Narrow" w:hAnsi="Arial Narrow"/>
                <w:sz w:val="20"/>
                <w:szCs w:val="20"/>
              </w:rPr>
              <w:t>ycobacteri</w:t>
            </w:r>
            <w:r>
              <w:rPr>
                <w:rFonts w:ascii="Arial Narrow" w:hAnsi="Arial Narrow"/>
                <w:sz w:val="20"/>
                <w:szCs w:val="20"/>
              </w:rPr>
              <w:t>a</w:t>
            </w:r>
            <w:r w:rsidRPr="000969E6">
              <w:rPr>
                <w:rFonts w:ascii="Arial Narrow" w:hAnsi="Arial Narrow"/>
                <w:sz w:val="20"/>
                <w:szCs w:val="20"/>
              </w:rPr>
              <w:t xml:space="preserve"> </w:t>
            </w:r>
            <w:r>
              <w:rPr>
                <w:rFonts w:ascii="Arial Narrow" w:hAnsi="Arial Narrow"/>
                <w:sz w:val="20"/>
                <w:szCs w:val="20"/>
              </w:rPr>
              <w:t>species</w:t>
            </w:r>
            <w:r w:rsidRPr="000969E6">
              <w:rPr>
                <w:rFonts w:ascii="Arial Narrow" w:hAnsi="Arial Narrow"/>
                <w:sz w:val="20"/>
                <w:szCs w:val="20"/>
              </w:rPr>
              <w:t xml:space="preserve"> in patients with </w:t>
            </w:r>
            <w:r>
              <w:rPr>
                <w:rFonts w:ascii="Arial Narrow" w:hAnsi="Arial Narrow"/>
                <w:sz w:val="20"/>
                <w:szCs w:val="20"/>
              </w:rPr>
              <w:t>a compatible clinical disease.</w:t>
            </w:r>
          </w:p>
          <w:p w:rsidR="000F00C6" w:rsidRPr="000969E6" w:rsidRDefault="000F00C6" w:rsidP="009420AD">
            <w:pPr>
              <w:pStyle w:val="TableText"/>
              <w:spacing w:line="240" w:lineRule="auto"/>
              <w:rPr>
                <w:rFonts w:ascii="Arial Narrow" w:hAnsi="Arial Narrow"/>
                <w:sz w:val="20"/>
                <w:szCs w:val="20"/>
              </w:rPr>
            </w:pPr>
          </w:p>
          <w:p w:rsidR="000F00C6" w:rsidRPr="004F7BEA" w:rsidRDefault="000F00C6" w:rsidP="009420AD">
            <w:pPr>
              <w:pStyle w:val="TableText"/>
              <w:spacing w:line="240" w:lineRule="auto"/>
              <w:rPr>
                <w:rFonts w:ascii="Arial Narrow" w:hAnsi="Arial Narrow"/>
                <w:sz w:val="20"/>
                <w:szCs w:val="20"/>
              </w:rPr>
            </w:pPr>
            <w:r w:rsidRPr="000969E6">
              <w:rPr>
                <w:rFonts w:ascii="Arial Narrow" w:hAnsi="Arial Narrow"/>
                <w:sz w:val="20"/>
                <w:szCs w:val="20"/>
              </w:rPr>
              <w:t>Fee: To be advised</w:t>
            </w:r>
          </w:p>
        </w:tc>
      </w:tr>
    </w:tbl>
    <w:p w:rsidR="000F00C6" w:rsidRPr="00BB418D" w:rsidRDefault="000F00C6" w:rsidP="000F00C6">
      <w:pPr>
        <w:tabs>
          <w:tab w:val="left" w:pos="720"/>
          <w:tab w:val="left" w:pos="1140"/>
        </w:tabs>
        <w:spacing w:before="120"/>
        <w:rPr>
          <w:szCs w:val="24"/>
        </w:rPr>
      </w:pPr>
    </w:p>
    <w:p w:rsidR="00BC1364" w:rsidRPr="007B32D1" w:rsidRDefault="00BC1364" w:rsidP="00741863">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741863">
      <w:pPr>
        <w:rPr>
          <w:b/>
          <w:szCs w:val="24"/>
        </w:rPr>
      </w:pPr>
    </w:p>
    <w:p w:rsidR="000F00C6" w:rsidRPr="00C2357D" w:rsidRDefault="000F00C6" w:rsidP="00741863">
      <w:pPr>
        <w:tabs>
          <w:tab w:val="left" w:pos="720"/>
          <w:tab w:val="left" w:pos="1140"/>
        </w:tabs>
        <w:rPr>
          <w:szCs w:val="24"/>
        </w:rPr>
      </w:pPr>
      <w:r>
        <w:rPr>
          <w:szCs w:val="24"/>
        </w:rPr>
        <w:t xml:space="preserve">No specific Consumer impact statement was provided in the assessment. </w:t>
      </w:r>
    </w:p>
    <w:p w:rsidR="00D07424" w:rsidRDefault="00D07424">
      <w:pPr>
        <w:rPr>
          <w:b/>
          <w:szCs w:val="24"/>
        </w:rPr>
      </w:pPr>
    </w:p>
    <w:p w:rsidR="00102B0E" w:rsidRDefault="00102B0E">
      <w:pPr>
        <w:rPr>
          <w:rFonts w:ascii="Arial" w:hAnsi="Arial"/>
          <w:b/>
          <w:bCs/>
          <w:szCs w:val="28"/>
        </w:rPr>
      </w:pPr>
      <w:r>
        <w:br w:type="page"/>
      </w:r>
    </w:p>
    <w:p w:rsidR="00BC1364" w:rsidRDefault="00BC1364">
      <w:pPr>
        <w:pStyle w:val="Heading1"/>
        <w:numPr>
          <w:ilvl w:val="0"/>
          <w:numId w:val="23"/>
        </w:numPr>
        <w:ind w:hanging="720"/>
      </w:pPr>
      <w:r w:rsidRPr="00D90A38">
        <w:lastRenderedPageBreak/>
        <w:t>Proposed intervention’s place in clinical management</w:t>
      </w:r>
    </w:p>
    <w:p w:rsidR="00BC1364" w:rsidRDefault="00BC1364">
      <w:pPr>
        <w:rPr>
          <w:color w:val="3366FF"/>
          <w:szCs w:val="24"/>
        </w:rPr>
      </w:pPr>
    </w:p>
    <w:p w:rsidR="000F00C6" w:rsidRPr="00902073" w:rsidRDefault="000F00C6" w:rsidP="00A72C1B">
      <w:pPr>
        <w:tabs>
          <w:tab w:val="left" w:pos="720"/>
          <w:tab w:val="left" w:pos="1140"/>
        </w:tabs>
      </w:pPr>
      <w:r w:rsidRPr="007D1079">
        <w:rPr>
          <w:u w:val="single"/>
        </w:rPr>
        <w:t>Mycobacterium tuberculosis (MTB) infections</w:t>
      </w:r>
    </w:p>
    <w:p w:rsidR="000F00C6" w:rsidRDefault="000F00C6" w:rsidP="00462368">
      <w:pPr>
        <w:spacing w:before="120"/>
      </w:pPr>
      <w:bookmarkStart w:id="2" w:name="_Toc395200746"/>
      <w:bookmarkStart w:id="3" w:name="_Toc402884721"/>
      <w:bookmarkStart w:id="4" w:name="_Toc403376912"/>
      <w:bookmarkStart w:id="5" w:name="_Toc403996326"/>
      <w:bookmarkStart w:id="6" w:name="_Toc403996559"/>
      <w:bookmarkStart w:id="7" w:name="_Toc403996833"/>
      <w:r>
        <w:t>Th</w:t>
      </w:r>
      <w:r w:rsidRPr="00C13482">
        <w:t xml:space="preserve">e use of NAAT in </w:t>
      </w:r>
      <w:r>
        <w:t xml:space="preserve">the </w:t>
      </w:r>
      <w:r w:rsidRPr="00C13482">
        <w:t>diagnosis and manag</w:t>
      </w:r>
      <w:r>
        <w:t>ement of</w:t>
      </w:r>
      <w:r w:rsidRPr="00C13482">
        <w:t xml:space="preserve"> active TB infection</w:t>
      </w:r>
      <w:r>
        <w:t xml:space="preserve"> is proposed to be </w:t>
      </w:r>
      <w:r w:rsidRPr="00C13482">
        <w:t>an addition</w:t>
      </w:r>
      <w:r>
        <w:t>al diagnostic tool</w:t>
      </w:r>
      <w:r w:rsidRPr="00C13482">
        <w:t xml:space="preserve"> and not a substitute for any </w:t>
      </w:r>
      <w:r>
        <w:t xml:space="preserve">of the </w:t>
      </w:r>
      <w:r w:rsidRPr="00C13482">
        <w:t>current test</w:t>
      </w:r>
      <w:r>
        <w:t>s</w:t>
      </w:r>
      <w:r w:rsidRPr="00C13482">
        <w:t xml:space="preserve">. </w:t>
      </w:r>
      <w:r>
        <w:t>NAAT is intended for use with specimens from untreated patients (&lt; 3 </w:t>
      </w:r>
      <w:r w:rsidRPr="00925558">
        <w:t xml:space="preserve">days of </w:t>
      </w:r>
      <w:r>
        <w:t xml:space="preserve">anti-TB drug </w:t>
      </w:r>
      <w:r w:rsidRPr="00925558">
        <w:t>treatment</w:t>
      </w:r>
      <w:r>
        <w:t>)</w:t>
      </w:r>
      <w:r w:rsidRPr="00925558">
        <w:t xml:space="preserve"> </w:t>
      </w:r>
      <w:r>
        <w:t>for whom there is clinical suspicion of TB. As</w:t>
      </w:r>
      <w:r w:rsidRPr="00B7299E">
        <w:t xml:space="preserve"> </w:t>
      </w:r>
      <w:r>
        <w:t>the number of bacilli</w:t>
      </w:r>
      <w:r w:rsidRPr="00B7299E">
        <w:t xml:space="preserve"> reduce</w:t>
      </w:r>
      <w:r>
        <w:t>s rapidly</w:t>
      </w:r>
      <w:r w:rsidRPr="00B7299E">
        <w:t xml:space="preserve"> within days to </w:t>
      </w:r>
      <w:r>
        <w:t>2 </w:t>
      </w:r>
      <w:r w:rsidRPr="00B7299E">
        <w:t xml:space="preserve">weeks after commencing appropriate TB treatment </w:t>
      </w:r>
      <w:r>
        <w:t>(</w:t>
      </w:r>
      <w:r w:rsidRPr="00B7299E">
        <w:t xml:space="preserve">providing the </w:t>
      </w:r>
      <w:r>
        <w:t>M</w:t>
      </w:r>
      <w:r w:rsidRPr="00B7299E">
        <w:t>TB is no</w:t>
      </w:r>
      <w:r>
        <w:t>t</w:t>
      </w:r>
      <w:r w:rsidRPr="00B7299E">
        <w:t xml:space="preserve"> drug resistant</w:t>
      </w:r>
      <w:r>
        <w:t>), MTB cannot be reliably detected in treated patients</w:t>
      </w:r>
      <w:r w:rsidRPr="00B7299E">
        <w:t>.</w:t>
      </w:r>
    </w:p>
    <w:p w:rsidR="000F00C6" w:rsidRDefault="000F00C6" w:rsidP="000F00C6"/>
    <w:p w:rsidR="000F00C6" w:rsidRPr="00462368" w:rsidRDefault="000F00C6" w:rsidP="00462368">
      <w:r w:rsidRPr="002843CB">
        <w:t xml:space="preserve">In clinical practice, diagnosis of TB and the selection of an appropriate treatment regimen would be determined by the clinician after taking into account the patient’s history and clinical symptoms along with the results of AFB microscopy, NAAT and culture plus drug </w:t>
      </w:r>
      <w:r w:rsidRPr="00C62B46">
        <w:t>susceptibility</w:t>
      </w:r>
      <w:r w:rsidRPr="002843CB" w:rsidDel="00707381">
        <w:t xml:space="preserve"> </w:t>
      </w:r>
      <w:r w:rsidRPr="002843CB">
        <w:t>testing (DST). The AFB microscopy and NAAT results would both be available within a day or two</w:t>
      </w:r>
      <w:r>
        <w:t>,</w:t>
      </w:r>
      <w:r w:rsidRPr="002843CB">
        <w:t xml:space="preserve"> and the interpretation of the AFB and NAAT results would be inter-related. For example, a positive AFB could be the result of an NTM infection rather than MTB, </w:t>
      </w:r>
      <w:r>
        <w:t>and this</w:t>
      </w:r>
      <w:r w:rsidRPr="002843CB">
        <w:t xml:space="preserve"> would be resolved by the NAAT result.</w:t>
      </w:r>
      <w:bookmarkEnd w:id="2"/>
      <w:bookmarkEnd w:id="3"/>
      <w:bookmarkEnd w:id="4"/>
      <w:bookmarkEnd w:id="5"/>
      <w:bookmarkEnd w:id="6"/>
      <w:bookmarkEnd w:id="7"/>
    </w:p>
    <w:p w:rsidR="00462368" w:rsidRDefault="00462368" w:rsidP="000F00C6"/>
    <w:p w:rsidR="000F00C6" w:rsidRDefault="000F00C6" w:rsidP="000F00C6">
      <w:r w:rsidRPr="007D1079">
        <w:t>The clinical management algorithms for patients with the signs and symptoms of active TB are shown in Figure 1 and Figure 2.</w:t>
      </w:r>
      <w:r>
        <w:t xml:space="preserve"> </w:t>
      </w:r>
    </w:p>
    <w:p w:rsidR="000F00C6" w:rsidRDefault="000F00C6" w:rsidP="000F00C6"/>
    <w:p w:rsidR="000F00C6" w:rsidRDefault="000F00C6" w:rsidP="000F00C6">
      <w:r>
        <w:t xml:space="preserve">Figure 1 presents </w:t>
      </w:r>
      <w:r w:rsidR="008519F6">
        <w:t xml:space="preserve">the </w:t>
      </w:r>
      <w:r>
        <w:t xml:space="preserve">current and proposed clinical management algorithms for patients with the clinical signs and symptoms of active TB and for whom AFB microscopy can be done; that is, the patient can provide a sample for testing. </w:t>
      </w:r>
    </w:p>
    <w:p w:rsidR="000F00C6" w:rsidRDefault="000F00C6" w:rsidP="00A72C1B">
      <w:pPr>
        <w:pStyle w:val="Figureheading"/>
        <w:ind w:left="0" w:firstLine="0"/>
      </w:pPr>
    </w:p>
    <w:p w:rsidR="000F00C6" w:rsidRDefault="000F00C6" w:rsidP="00D07424">
      <w:pPr>
        <w:pStyle w:val="Figureheading"/>
      </w:pPr>
      <w:r w:rsidRPr="00153FD2">
        <w:t xml:space="preserve">Figure </w:t>
      </w:r>
      <w:r>
        <w:t>1</w:t>
      </w:r>
      <w:r>
        <w:tab/>
      </w:r>
      <w:r w:rsidRPr="00095B82">
        <w:t>Current clinical management of TB and proposed use of NAAT for active TB where AFB is obtained</w:t>
      </w:r>
    </w:p>
    <w:p w:rsidR="000F00C6" w:rsidRDefault="000F00C6" w:rsidP="000F00C6">
      <w:pPr>
        <w:pStyle w:val="Figureheading"/>
      </w:pPr>
    </w:p>
    <w:p w:rsidR="000F00C6" w:rsidRDefault="000F00C6" w:rsidP="000F00C6">
      <w:pPr>
        <w:pStyle w:val="Figureheading"/>
      </w:pPr>
      <w:r w:rsidRPr="000F00C6">
        <w:rPr>
          <w:rFonts w:ascii="Times New Roman" w:hAnsi="Times New Roman"/>
          <w:b w:val="0"/>
          <w:bCs w:val="0"/>
          <w:noProof/>
          <w:sz w:val="24"/>
          <w:lang w:eastAsia="en-AU"/>
        </w:rPr>
        <w:drawing>
          <wp:inline distT="0" distB="0" distL="0" distR="0" wp14:anchorId="151CCF10" wp14:editId="0D404386">
            <wp:extent cx="5731510" cy="3600450"/>
            <wp:effectExtent l="0" t="0" r="2540" b="0"/>
            <wp:docPr id="1" name="Picture 1" descr="For the current pathway: the specimen is collected and undergoes AFB smear microscopy, culture and DST. If histology indicative of MTB the patient starts treatment, if not the decision to commence or defer treatment is based on clinical judgement (pre-test probability and specimen diagnostic yield). Treatment is reviewed when culture and DST results become available. &#10;For the proposed pathway: the specimen is collected and undergoes AFB smear microscopy, NAAT, culture and DST. If NAAT is MTB-positive the patient starts treatment, if NAAT is MTB-negative, the decision to commence or defer treatment is based on clinical judgement (pre-test probability, AFB microscopy result and specimen diagnostic yield). Treatment is reviewed when culture and DST results become available.&#10;" title="Current clinical management of TB and proposed use of NAAT for active TB where AFB is ob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00450"/>
                    </a:xfrm>
                    <a:prstGeom prst="rect">
                      <a:avLst/>
                    </a:prstGeom>
                  </pic:spPr>
                </pic:pic>
              </a:graphicData>
            </a:graphic>
          </wp:inline>
        </w:drawing>
      </w:r>
    </w:p>
    <w:p w:rsidR="000F00C6" w:rsidRDefault="000F00C6" w:rsidP="000F00C6">
      <w:pPr>
        <w:pStyle w:val="Figureheading"/>
      </w:pPr>
    </w:p>
    <w:p w:rsidR="000F00C6" w:rsidRPr="00A8330A" w:rsidRDefault="000F00C6" w:rsidP="00A8330A">
      <w:pPr>
        <w:rPr>
          <w:rFonts w:ascii="Arial Narrow" w:hAnsi="Arial Narrow"/>
          <w:b/>
          <w:sz w:val="16"/>
          <w:szCs w:val="16"/>
        </w:rPr>
      </w:pPr>
      <w:r w:rsidRPr="00A8330A">
        <w:rPr>
          <w:rFonts w:ascii="Arial Narrow" w:hAnsi="Arial Narrow"/>
          <w:sz w:val="16"/>
          <w:szCs w:val="16"/>
        </w:rPr>
        <w:t xml:space="preserve">AFB = acid-fast bacilli; DST = drug susceptibility testing; MTB = </w:t>
      </w:r>
      <w:r w:rsidRPr="00A8330A">
        <w:rPr>
          <w:rFonts w:ascii="Arial Narrow" w:hAnsi="Arial Narrow"/>
          <w:i/>
          <w:sz w:val="16"/>
          <w:szCs w:val="16"/>
        </w:rPr>
        <w:t>Mycobacterium tuberculosis</w:t>
      </w:r>
      <w:r w:rsidRPr="00A8330A">
        <w:rPr>
          <w:rFonts w:ascii="Arial Narrow" w:hAnsi="Arial Narrow"/>
          <w:sz w:val="16"/>
          <w:szCs w:val="16"/>
        </w:rPr>
        <w:t>; NAAT = nucleic acid amplification testing; TB = tuberculosis</w:t>
      </w:r>
    </w:p>
    <w:p w:rsidR="008E017B" w:rsidRDefault="008E017B">
      <w:r>
        <w:br w:type="page"/>
      </w:r>
    </w:p>
    <w:p w:rsidR="000F00C6" w:rsidRDefault="000F00C6" w:rsidP="000F00C6">
      <w:r>
        <w:lastRenderedPageBreak/>
        <w:t xml:space="preserve">Figure 2 presents </w:t>
      </w:r>
      <w:r w:rsidR="00C07CA6">
        <w:t xml:space="preserve">the </w:t>
      </w:r>
      <w:r>
        <w:t xml:space="preserve">current and proposed clinical management algorithms for patients who present with the clinical signs and symptoms of active TB and from whom it is not possible to obtain a specimen suitable for AFB microscopy. </w:t>
      </w:r>
    </w:p>
    <w:p w:rsidR="00462368" w:rsidRDefault="00462368" w:rsidP="000F00C6"/>
    <w:p w:rsidR="00EB28FC" w:rsidRPr="007E63BD" w:rsidRDefault="00EB28FC" w:rsidP="00462368">
      <w:pPr>
        <w:tabs>
          <w:tab w:val="left" w:pos="720"/>
          <w:tab w:val="left" w:pos="1140"/>
        </w:tabs>
        <w:ind w:left="720" w:hanging="720"/>
        <w:rPr>
          <w:rFonts w:ascii="Arial Narrow" w:hAnsi="Arial Narrow"/>
          <w:b/>
          <w:sz w:val="20"/>
        </w:rPr>
      </w:pPr>
      <w:r w:rsidRPr="00327F9A">
        <w:rPr>
          <w:rFonts w:ascii="Arial Narrow" w:hAnsi="Arial Narrow"/>
          <w:b/>
          <w:sz w:val="20"/>
        </w:rPr>
        <w:t>Figure 2</w:t>
      </w:r>
      <w:r w:rsidRPr="00327F9A">
        <w:rPr>
          <w:rFonts w:ascii="Arial Narrow" w:hAnsi="Arial Narrow"/>
          <w:b/>
          <w:sz w:val="20"/>
        </w:rPr>
        <w:tab/>
        <w:t>Current clinical management and proposed algorithm with use of NAAT for active TB where AFB microscopy is not able to be obtained</w:t>
      </w:r>
    </w:p>
    <w:p w:rsidR="000F00C6" w:rsidRDefault="000F00C6" w:rsidP="00A72C1B">
      <w:pPr>
        <w:pStyle w:val="Figureheading"/>
        <w:ind w:left="0" w:firstLine="0"/>
      </w:pPr>
    </w:p>
    <w:p w:rsidR="000F00C6" w:rsidRDefault="00EB28FC" w:rsidP="000F00C6">
      <w:pPr>
        <w:pStyle w:val="Figureheading"/>
        <w:ind w:left="0" w:firstLine="0"/>
      </w:pPr>
      <w:r>
        <w:rPr>
          <w:noProof/>
          <w:lang w:eastAsia="en-AU"/>
        </w:rPr>
        <w:drawing>
          <wp:inline distT="0" distB="0" distL="0" distR="0" wp14:anchorId="756B33AF" wp14:editId="2CAAAFC5">
            <wp:extent cx="5731510" cy="3570605"/>
            <wp:effectExtent l="0" t="0" r="2540" b="0"/>
            <wp:docPr id="4" name="Picture 4" descr="The current and proposed clinical management pathways for the diagnosis of active TB where AFB microscopy is not able to be obtained are similar to that in figure 2 except instead of AFB microscopy result, the histopathology of the specimen is considered in the treatment decision. No patient populations were identified to fit this pathway." title="Current clinical management and proposed algorithm with use of NAAT for active TB where AFB microscopy is not able to be ob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2.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570605"/>
                    </a:xfrm>
                    <a:prstGeom prst="rect">
                      <a:avLst/>
                    </a:prstGeom>
                  </pic:spPr>
                </pic:pic>
              </a:graphicData>
            </a:graphic>
          </wp:inline>
        </w:drawing>
      </w:r>
    </w:p>
    <w:p w:rsidR="00EB28FC" w:rsidRPr="00327F9A" w:rsidRDefault="00EB28FC" w:rsidP="00EB28FC">
      <w:pPr>
        <w:tabs>
          <w:tab w:val="left" w:pos="720"/>
          <w:tab w:val="left" w:pos="1140"/>
        </w:tabs>
        <w:spacing w:before="240"/>
        <w:rPr>
          <w:rFonts w:ascii="Arial Narrow" w:hAnsi="Arial Narrow"/>
          <w:sz w:val="16"/>
          <w:szCs w:val="16"/>
        </w:rPr>
      </w:pPr>
      <w:r w:rsidRPr="00327F9A">
        <w:rPr>
          <w:rFonts w:ascii="Arial Narrow" w:hAnsi="Arial Narrow"/>
          <w:sz w:val="16"/>
          <w:szCs w:val="16"/>
        </w:rPr>
        <w:t xml:space="preserve">AFB = acid-fast bacilli; DST = drug susceptibility testing; MTB = </w:t>
      </w:r>
      <w:r w:rsidRPr="00327F9A">
        <w:rPr>
          <w:rFonts w:ascii="Arial Narrow" w:hAnsi="Arial Narrow"/>
          <w:i/>
          <w:sz w:val="16"/>
          <w:szCs w:val="16"/>
        </w:rPr>
        <w:t>Mycobacterium tuberculosis</w:t>
      </w:r>
      <w:r w:rsidRPr="00327F9A">
        <w:rPr>
          <w:rFonts w:ascii="Arial Narrow" w:hAnsi="Arial Narrow"/>
          <w:sz w:val="16"/>
          <w:szCs w:val="16"/>
        </w:rPr>
        <w:t>; NAAT = nucleic acid amplification testing; TB = tuberculosis</w:t>
      </w:r>
    </w:p>
    <w:p w:rsidR="000F00C6" w:rsidRDefault="000F00C6" w:rsidP="000F00C6">
      <w:pPr>
        <w:pStyle w:val="Figureheading"/>
      </w:pPr>
    </w:p>
    <w:p w:rsidR="00EB28FC" w:rsidRPr="007D1079" w:rsidRDefault="00EB28FC" w:rsidP="00EB28FC">
      <w:pPr>
        <w:tabs>
          <w:tab w:val="left" w:pos="3544"/>
        </w:tabs>
        <w:rPr>
          <w:u w:val="single"/>
        </w:rPr>
      </w:pPr>
      <w:r w:rsidRPr="007D1079">
        <w:rPr>
          <w:u w:val="single"/>
        </w:rPr>
        <w:t>Non-tuberculous mycobacteria (NTM) infections</w:t>
      </w:r>
    </w:p>
    <w:p w:rsidR="00EB28FC" w:rsidRDefault="00EB28FC" w:rsidP="00462368">
      <w:pPr>
        <w:spacing w:before="120"/>
      </w:pPr>
      <w:r>
        <w:t>In patients suspected of having NTM infections, the applicant proposed that NAAT is expected to provide additional diagnostic information to the tests currently performed to diagnose NTM. The use of NAAT in this population is, therefore, proposed to be superior to the situation where NAAT is not available.</w:t>
      </w:r>
    </w:p>
    <w:p w:rsidR="00EB28FC" w:rsidRDefault="00EB28FC" w:rsidP="00EB28FC"/>
    <w:p w:rsidR="008E017B" w:rsidRDefault="008E017B">
      <w:r>
        <w:br w:type="page"/>
      </w:r>
    </w:p>
    <w:p w:rsidR="00EB28FC" w:rsidRDefault="00EB28FC" w:rsidP="00A72C1B">
      <w:r>
        <w:lastRenderedPageBreak/>
        <w:fldChar w:fldCharType="begin"/>
      </w:r>
      <w:r>
        <w:instrText xml:space="preserve"> REF _Ref391022061 \h  \* MERGEFORMAT </w:instrText>
      </w:r>
      <w:r>
        <w:fldChar w:fldCharType="separate"/>
      </w:r>
      <w:r>
        <w:t xml:space="preserve">Figure </w:t>
      </w:r>
      <w:r>
        <w:fldChar w:fldCharType="end"/>
      </w:r>
      <w:r>
        <w:t>3</w:t>
      </w:r>
      <w:r w:rsidRPr="00095B82">
        <w:t xml:space="preserve"> presents </w:t>
      </w:r>
      <w:r w:rsidR="00C07CA6">
        <w:t xml:space="preserve">the </w:t>
      </w:r>
      <w:r w:rsidRPr="00095B82">
        <w:t xml:space="preserve">current and proposed clinical management algorithms for patients </w:t>
      </w:r>
      <w:r w:rsidRPr="00D61639">
        <w:t xml:space="preserve">who </w:t>
      </w:r>
      <w:r>
        <w:t xml:space="preserve">are suspected of having an NTM infection. </w:t>
      </w:r>
    </w:p>
    <w:p w:rsidR="00462368" w:rsidRDefault="00462368" w:rsidP="00A72C1B">
      <w:pPr>
        <w:pStyle w:val="Figureheading"/>
        <w:ind w:left="0" w:firstLine="0"/>
      </w:pPr>
    </w:p>
    <w:p w:rsidR="00EB28FC" w:rsidRDefault="00EB28FC" w:rsidP="00EB28FC">
      <w:pPr>
        <w:pStyle w:val="Figureheading"/>
      </w:pPr>
      <w:r>
        <w:t>Figure 3</w:t>
      </w:r>
      <w:r>
        <w:tab/>
      </w:r>
      <w:r w:rsidRPr="00E61B93">
        <w:t xml:space="preserve">Current clinical management algorithm and proposed algorithm with use of NAAT for patients who </w:t>
      </w:r>
      <w:r>
        <w:t>are suspected of having an</w:t>
      </w:r>
      <w:r w:rsidRPr="00E61B93">
        <w:t xml:space="preserve"> </w:t>
      </w:r>
      <w:r>
        <w:t>NTM infection</w:t>
      </w:r>
    </w:p>
    <w:p w:rsidR="00EB28FC" w:rsidRPr="007E63BD" w:rsidRDefault="00EB28FC" w:rsidP="00EB28FC">
      <w:pPr>
        <w:pStyle w:val="Figureheading"/>
      </w:pPr>
    </w:p>
    <w:p w:rsidR="000F00C6" w:rsidRDefault="00EB28FC" w:rsidP="000F00C6">
      <w:pPr>
        <w:pStyle w:val="Figureheading"/>
      </w:pPr>
      <w:r>
        <w:rPr>
          <w:noProof/>
          <w:lang w:eastAsia="en-AU"/>
        </w:rPr>
        <w:drawing>
          <wp:inline distT="0" distB="0" distL="0" distR="0" wp14:anchorId="2B25E153" wp14:editId="6741EEF0">
            <wp:extent cx="5731510" cy="3532505"/>
            <wp:effectExtent l="0" t="0" r="2540" b="0"/>
            <wp:docPr id="10" name="Picture 10" descr="For the current pathway: the specimen is collected and undergoes histopathology, AFB smear microscopy, culture and DST. If histology indicative of an NTM infection the patient starts treatment, if not treatment is deferred until the culture and DST results become available. &#10;For the proposed pathway: the specimen is collected and undergoes AFB smear microscopy, NAAT, culture and DST. If NAAT is NTM-positive the patient starts treatment, if NAAT is NTM-negative treatment is deferred until the culture and DST results become available." title="Current clinical management algorithm and proposed algorithm with use of NAAT for patients who are suspected of having an NTM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 3.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532505"/>
                    </a:xfrm>
                    <a:prstGeom prst="rect">
                      <a:avLst/>
                    </a:prstGeom>
                  </pic:spPr>
                </pic:pic>
              </a:graphicData>
            </a:graphic>
          </wp:inline>
        </w:drawing>
      </w:r>
    </w:p>
    <w:p w:rsidR="000F00C6" w:rsidRPr="00A8330A" w:rsidRDefault="00EB28FC" w:rsidP="00A8330A">
      <w:pPr>
        <w:rPr>
          <w:rFonts w:ascii="Arial Narrow" w:hAnsi="Arial Narrow"/>
          <w:sz w:val="16"/>
          <w:szCs w:val="16"/>
        </w:rPr>
      </w:pPr>
      <w:r w:rsidRPr="00A8330A">
        <w:rPr>
          <w:rFonts w:ascii="Arial Narrow" w:hAnsi="Arial Narrow"/>
          <w:sz w:val="16"/>
          <w:szCs w:val="16"/>
        </w:rPr>
        <w:t xml:space="preserve">AFB = acid-fast bacilli; DST = drug susceptibility testing; MTB = </w:t>
      </w:r>
      <w:r w:rsidRPr="00A8330A">
        <w:rPr>
          <w:rFonts w:ascii="Arial Narrow" w:hAnsi="Arial Narrow"/>
          <w:i/>
          <w:sz w:val="16"/>
          <w:szCs w:val="16"/>
        </w:rPr>
        <w:t>Mycobacterium tuberculosis</w:t>
      </w:r>
      <w:r w:rsidRPr="00A8330A">
        <w:rPr>
          <w:rFonts w:ascii="Arial Narrow" w:hAnsi="Arial Narrow"/>
          <w:sz w:val="16"/>
          <w:szCs w:val="16"/>
        </w:rPr>
        <w:t>; NAAT = nucleic acid amplification testing</w:t>
      </w:r>
    </w:p>
    <w:p w:rsidR="00EB28FC" w:rsidRDefault="00EB28FC" w:rsidP="000F00C6">
      <w:pPr>
        <w:pStyle w:val="Figureheading"/>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EB28FC" w:rsidRDefault="00EB28FC" w:rsidP="00EB28FC">
      <w:r>
        <w:t>Patients with the clinical signs and symptoms of active TB will receive NAAT in addition to AFB microscopy. Standard microbial testing in Australia for TB, in people with signs and symptoms of active disease, involves AFB microscopy and culture of suitable specimens. As both the intervention and comparator groups receive AFB testing, the main comparator for NAAT is culture alone.</w:t>
      </w:r>
    </w:p>
    <w:p w:rsidR="00EB28FC" w:rsidRDefault="00EB28FC" w:rsidP="00EB28FC">
      <w:r>
        <w:t xml:space="preserve"> </w:t>
      </w:r>
    </w:p>
    <w:p w:rsidR="00EB28FC" w:rsidRDefault="00EB28FC" w:rsidP="00EB28FC">
      <w:r w:rsidRPr="00C73376">
        <w:t xml:space="preserve">The patient population </w:t>
      </w:r>
      <w:r>
        <w:t>suspected of having an</w:t>
      </w:r>
      <w:r w:rsidRPr="00C73376">
        <w:t xml:space="preserve"> </w:t>
      </w:r>
      <w:r>
        <w:t>NTM</w:t>
      </w:r>
      <w:r w:rsidRPr="00C73376">
        <w:t xml:space="preserve"> infection</w:t>
      </w:r>
      <w:r w:rsidRPr="00385D98">
        <w:t xml:space="preserve"> receive NAAT </w:t>
      </w:r>
      <w:r>
        <w:t>in addition to culture, and this may replace further</w:t>
      </w:r>
      <w:r w:rsidRPr="00385D98">
        <w:t xml:space="preserve"> test</w:t>
      </w:r>
      <w:r>
        <w:t>ing such as additional biopsies.</w:t>
      </w:r>
      <w:r w:rsidRPr="00385D98">
        <w:t xml:space="preserve"> Therefore, the appropriate comparator in the identified population is </w:t>
      </w:r>
      <w:r>
        <w:t>current testing without</w:t>
      </w:r>
      <w:r w:rsidRPr="00385D98">
        <w:t xml:space="preserve"> NAAT.</w:t>
      </w:r>
    </w:p>
    <w:p w:rsidR="00EB28FC" w:rsidRDefault="00EB28FC" w:rsidP="00EB28FC">
      <w:pPr>
        <w:rPr>
          <w:szCs w:val="24"/>
        </w:rPr>
      </w:pPr>
    </w:p>
    <w:p w:rsidR="00EB28FC" w:rsidRPr="00D008FE" w:rsidRDefault="00EB28FC" w:rsidP="00EB28FC">
      <w:pPr>
        <w:rPr>
          <w:u w:val="single"/>
        </w:rPr>
      </w:pPr>
      <w:bookmarkStart w:id="8" w:name="_Toc404357649"/>
      <w:bookmarkStart w:id="9" w:name="_Toc406659073"/>
      <w:bookmarkStart w:id="10" w:name="_Toc406659740"/>
      <w:r w:rsidRPr="00D008FE">
        <w:rPr>
          <w:u w:val="single"/>
        </w:rPr>
        <w:t>Key differences in the delivery of the proposed medical service and the main comparator</w:t>
      </w:r>
      <w:bookmarkEnd w:id="8"/>
      <w:bookmarkEnd w:id="9"/>
      <w:bookmarkEnd w:id="10"/>
      <w:r w:rsidRPr="00D008FE">
        <w:rPr>
          <w:u w:val="single"/>
        </w:rPr>
        <w:t xml:space="preserve"> </w:t>
      </w:r>
    </w:p>
    <w:p w:rsidR="00EB28FC" w:rsidRPr="00652E0F" w:rsidRDefault="00EB28FC" w:rsidP="00EB28FC"/>
    <w:p w:rsidR="00EB28FC" w:rsidRDefault="00EB28FC" w:rsidP="00EB28FC">
      <w:r>
        <w:t xml:space="preserve">Currently, most testing for MTB occurs using the </w:t>
      </w:r>
      <w:r w:rsidRPr="007756CA">
        <w:t>AFB smear</w:t>
      </w:r>
      <w:r>
        <w:t xml:space="preserve"> microscopy</w:t>
      </w:r>
      <w:r w:rsidRPr="007756CA">
        <w:t xml:space="preserve"> and </w:t>
      </w:r>
      <w:r>
        <w:t>culture</w:t>
      </w:r>
      <w:r w:rsidRPr="007756CA">
        <w:t xml:space="preserve"> </w:t>
      </w:r>
      <w:r>
        <w:t xml:space="preserve">tests. Although they are </w:t>
      </w:r>
      <w:r w:rsidRPr="007756CA">
        <w:t>two separate tests</w:t>
      </w:r>
      <w:r>
        <w:t>, they are</w:t>
      </w:r>
      <w:r w:rsidRPr="007756CA">
        <w:t xml:space="preserve"> usually performed </w:t>
      </w:r>
      <w:r>
        <w:t>at the same time using</w:t>
      </w:r>
      <w:r w:rsidRPr="007756CA">
        <w:t xml:space="preserve"> the same specimen. </w:t>
      </w:r>
      <w:r>
        <w:t>T</w:t>
      </w:r>
      <w:r w:rsidRPr="007756CA">
        <w:t xml:space="preserve">he results for the two tests are </w:t>
      </w:r>
      <w:r>
        <w:t>delivered at different times</w:t>
      </w:r>
      <w:r w:rsidRPr="007756CA">
        <w:t xml:space="preserve">; AFB </w:t>
      </w:r>
      <w:r>
        <w:t xml:space="preserve">microscopy </w:t>
      </w:r>
      <w:r w:rsidRPr="007756CA">
        <w:t>results are reported within 24</w:t>
      </w:r>
      <w:r>
        <w:t>-</w:t>
      </w:r>
      <w:r w:rsidRPr="007756CA">
        <w:t>48</w:t>
      </w:r>
      <w:r>
        <w:t> </w:t>
      </w:r>
      <w:r w:rsidRPr="007756CA">
        <w:t xml:space="preserve">hours </w:t>
      </w:r>
      <w:r>
        <w:t>whereas</w:t>
      </w:r>
      <w:r w:rsidRPr="007756CA">
        <w:t xml:space="preserve"> </w:t>
      </w:r>
      <w:r>
        <w:t>culture</w:t>
      </w:r>
      <w:r w:rsidRPr="007756CA">
        <w:t xml:space="preserve"> results are reported at 6</w:t>
      </w:r>
      <w:r>
        <w:t>–</w:t>
      </w:r>
      <w:r w:rsidRPr="007756CA">
        <w:t>8</w:t>
      </w:r>
      <w:r>
        <w:t> </w:t>
      </w:r>
      <w:r w:rsidRPr="007756CA">
        <w:t xml:space="preserve">weeks. </w:t>
      </w:r>
      <w:r>
        <w:t>NAAT would be performed at the same time as AFB microscopy and culture, with results available in the same timeframe as the AFB results.</w:t>
      </w:r>
    </w:p>
    <w:p w:rsidR="008519F6" w:rsidRDefault="008519F6">
      <w:pPr>
        <w:rPr>
          <w:b/>
          <w:szCs w:val="24"/>
        </w:rPr>
      </w:pPr>
      <w:r>
        <w:rPr>
          <w:b/>
          <w:szCs w:val="24"/>
        </w:rPr>
        <w:br w:type="page"/>
      </w:r>
    </w:p>
    <w:p w:rsidR="00BC1364" w:rsidRPr="008D5885" w:rsidRDefault="00BC1364" w:rsidP="007B32D1">
      <w:pPr>
        <w:pStyle w:val="Heading1"/>
        <w:numPr>
          <w:ilvl w:val="0"/>
          <w:numId w:val="23"/>
        </w:numPr>
        <w:ind w:hanging="720"/>
      </w:pPr>
      <w:r w:rsidRPr="008D5885">
        <w:lastRenderedPageBreak/>
        <w:t>Comparative safety</w:t>
      </w:r>
    </w:p>
    <w:p w:rsidR="008E017B" w:rsidRDefault="008E017B" w:rsidP="00EB28FC"/>
    <w:p w:rsidR="00EB28FC" w:rsidRDefault="00EB28FC" w:rsidP="00EB28FC">
      <w:r>
        <w:t>For TB infections, studies that investigated the use of NAAT (with or without AFB microscopy) compared with ‘no NAAT’ (AFB microscopy and culture for diagnostic accuracy studies) in patients suspected of having TB</w:t>
      </w:r>
      <w:r w:rsidRPr="00AA6CEA">
        <w:t xml:space="preserve"> and who have had &lt;</w:t>
      </w:r>
      <w:r>
        <w:t> </w:t>
      </w:r>
      <w:r w:rsidRPr="00AA6CEA">
        <w:t>3</w:t>
      </w:r>
      <w:r>
        <w:t> </w:t>
      </w:r>
      <w:r w:rsidRPr="00AA6CEA">
        <w:t>days of anti-TB treatment</w:t>
      </w:r>
      <w:r>
        <w:t xml:space="preserve"> and reported appropriate outcomes, were included for further review.</w:t>
      </w:r>
    </w:p>
    <w:p w:rsidR="00EB28FC" w:rsidRDefault="00EB28FC" w:rsidP="00EB28FC"/>
    <w:p w:rsidR="00EB28FC" w:rsidRDefault="00EB28FC" w:rsidP="00EB28FC">
      <w:r>
        <w:t>For NTM infections, studies that investigated the use of NAAT (with or without AFB microscopy) compared with ‘no NAAT’ (AFB microscopy and culture or clinical diagnosis) in patients suspected of having an</w:t>
      </w:r>
      <w:r w:rsidRPr="007A0DD4">
        <w:t xml:space="preserve"> </w:t>
      </w:r>
      <w:r>
        <w:t xml:space="preserve">NTM infection were also included. </w:t>
      </w:r>
    </w:p>
    <w:p w:rsidR="00EB28FC" w:rsidRDefault="00EB28FC" w:rsidP="00EB28FC"/>
    <w:p w:rsidR="00EB28FC" w:rsidRDefault="00EB28FC" w:rsidP="00EB28FC">
      <w:r>
        <w:t>Two studies assessed the direct health impact of NAAT compared with no NAAT on patients</w:t>
      </w:r>
      <w:r w:rsidRPr="00570030">
        <w:t xml:space="preserve"> </w:t>
      </w:r>
      <w:r>
        <w:t>suspected</w:t>
      </w:r>
      <w:r w:rsidRPr="00570030">
        <w:t xml:space="preserve"> </w:t>
      </w:r>
      <w:r>
        <w:t xml:space="preserve">of having TB. </w:t>
      </w:r>
      <w:r w:rsidRPr="007A0DD4">
        <w:t>Seventeen studies report</w:t>
      </w:r>
      <w:r>
        <w:t xml:space="preserve">ed on the impact of NAAT on the clinical </w:t>
      </w:r>
      <w:r w:rsidRPr="007A0DD4">
        <w:t xml:space="preserve">management </w:t>
      </w:r>
      <w:r>
        <w:t>of patients and</w:t>
      </w:r>
      <w:r w:rsidRPr="007A0DD4">
        <w:t xml:space="preserve"> </w:t>
      </w:r>
      <w:r>
        <w:t>nine studies provided data on the impact of these changes in management on the health outcomes of patients.</w:t>
      </w:r>
    </w:p>
    <w:p w:rsidR="00EB28FC" w:rsidRDefault="00EB28FC" w:rsidP="00EB28FC"/>
    <w:p w:rsidR="00EB28FC" w:rsidRDefault="00EB28FC" w:rsidP="00EB28FC">
      <w:r>
        <w:t>Due to the large volume of evidence available on the accuracy of NAAT relative to culture, only studies published after 2005, with 2x2 data suitable for meta-analysis, were included in the final analysis.</w:t>
      </w:r>
      <w:r w:rsidRPr="007A0DD4">
        <w:t xml:space="preserve"> </w:t>
      </w:r>
      <w:r>
        <w:t>Studies on the only commercial NAAT product (</w:t>
      </w:r>
      <w:proofErr w:type="spellStart"/>
      <w:r>
        <w:t>Xpert</w:t>
      </w:r>
      <w:proofErr w:type="spellEnd"/>
      <w:r>
        <w:t xml:space="preserve">) available in Australia were published in 2006 onwards. In-house NAAT, on the other hand, was available before 2005. However, as there have been significant changes in laboratory practice over the past 10 years </w:t>
      </w:r>
      <w:r>
        <w:fldChar w:fldCharType="begin">
          <w:fldData xml:space="preserve">PEVuZE5vdGU+PENpdGU+PEF1dGhvcj5Cb3lsZTwvQXV0aG9yPjxZZWFyPjIwMTI8L1llYXI+PFJl
Y051bT4yMDE8L1JlY051bT48RGlzcGxheVRleHQ+KEJveWxlICZhbXA7IFBhaSAyMDEyOyBNb29y
ZSwgR3V6bWFuICZhbXA7IE1pa2hhaWwgMjAwNTsgTnlibyAyMDEyOyBQdWJsaWMgSGVhbHRoIGFu
ZCBBbWJ1bGF0b3J5IENhcmUgMjAxMik8L0Rpc3BsYXlUZXh0PjxyZWNvcmQ+PHJlYy1udW1iZXI+
MjAxPC9yZWMtbnVtYmVyPjxmb3JlaWduLWtleXM+PGtleSBhcHA9IkVOIiBkYi1pZD0iemZkejlk
c2VhemY1dm1ldGZmaTV2endyOXp3d3gyZDVmeHpkIj4yMDE8L2tleT48L2ZvcmVpZ24ta2V5cz48
cmVmLXR5cGUgbmFtZT0iV2ViIFBhZ2UiPjEyPC9yZWYtdHlwZT48Y29udHJpYnV0b3JzPjxhdXRo
b3JzPjxhdXRob3I+Qm95bGUsIEQuPC9hdXRob3I+PGF1dGhvcj5QYWksIE0uPC9hdXRob3I+PC9h
dXRob3JzPjwvY29udHJpYnV0b3JzPjx0aXRsZXM+PHRpdGxlPlR1YmVyY3Vsb3NpcyBEaWFnbm9z
dGljIFRlY2hub2xvZ3kgTGFuZHNjYXBlLiA8L3RpdGxlPjwvdGl0bGVzPjxudW1iZXI+MTggTm92
ZW1iZXIgMjAxNDwvbnVtYmVyPjxkYXRlcz48eWVhcj4yMDEyPC95ZWFyPjwvZGF0ZXM+PHB1Yi1s
b2NhdGlvbj5HZW5ldmEgU3dpdHplcmxhbmQ8L3B1Yi1sb2NhdGlvbj48cHVibGlzaGVyPlVOSVRB
SUQsIFdvcmxkIEhlYWx0aCBPcmdhbml6YXRpb248L3B1Ymxpc2hlcj48dXJscz48cmVsYXRlZC11
cmxzPjx1cmw+aHR0cDovL3d3dy51bml0YWlkLmV1L2VuL3Jlc291cmNlcy9wdWJsaWNhdGlvbnMv
dGVjaG5pY2FsLXJlcG9ydHM8L3VybD48L3JlbGF0ZWQtdXJscz48L3VybHM+PC9yZWNvcmQ+PC9D
aXRlPjxDaXRlPjxBdXRob3I+TW9vcmU8L0F1dGhvcj48WWVhcj4yMDA1PC9ZZWFyPjxSZWNOdW0+
MjAwPC9SZWNOdW0+PHJlY29yZD48cmVjLW51bWJlcj4yMDA8L3JlYy1udW1iZXI+PGZvcmVpZ24t
a2V5cz48a2V5IGFwcD0iRU4iIGRiLWlkPSJ6ZmR6OWRzZWF6ZjV2bWV0ZmZpNXZ6d3I5end3eDJk
NWZ4emQiPjIwMDwva2V5PjwvZm9yZWlnbi1rZXlzPjxyZWYtdHlwZSBuYW1lPSJKb3VybmFsIEFy
dGljbGUiPjE3PC9yZWYtdHlwZT48Y29udHJpYnV0b3JzPjxhdXRob3JzPjxhdXRob3I+TW9vcmUs
IERvdWdsYXMgRi48L2F1dGhvcj48YXV0aG9yPkd1em1hbiwgSm9zZXBoIEEuPC9hdXRob3I+PGF1
dGhvcj5NaWtoYWlsLCBMeWRpYSBULjwvYXV0aG9yPjwvYXV0aG9ycz48L2NvbnRyaWJ1dG9ycz48
dGl0bGVzPjx0aXRsZT5SZWR1Y3Rpb24gaW4gdHVybmFyb3VuZCB0aW1lIGZvciBsYWJvcmF0b3J5
IGRpYWdub3NpcyBvZiBwdWxtb25hcnkgdHViZXJjdWxvc2lzIGJ5IHJvdXRpbmUgdXNlIG9mIGEg
bnVjbGVpYyBhY2lkIGFtcGxpZmljYXRpb24gdGVzdDwvdGl0bGU+PHNlY29uZGFyeS10aXRsZT5E
aWFnbm9zdGljIE1pY3JvYmlvbG9neSBhbmQgSW5mZWN0aW91cyBEaXNlYXNlPC9zZWNvbmRhcnkt
dGl0bGU+PC90aXRsZXM+PHBlcmlvZGljYWw+PGZ1bGwtdGl0bGU+RGlhZ25vc3RpYyBNaWNyb2Jp
b2xvZ3kgYW5kIEluZmVjdGlvdXMgRGlzZWFzZTwvZnVsbC10aXRsZT48L3BlcmlvZGljYWw+PHBh
Z2VzPjI0N+KAkzI1NDwvcGFnZXM+PHZvbHVtZT41Mjwvdm9sdW1lPjxudW1iZXI+MzwvbnVtYmVy
PjxrZXl3b3Jkcz48a2V5d29yZD5NeWNvYmFjdGVyaXVtIHR1YmVyY3Vsb3Npczwva2V5d29yZD48
a2V5d29yZD5OdWNsZWljIGFjaWQgYW1wbGlmaWNhdGlvbjwva2V5d29yZD48a2V5d29yZD5OQUFU
PC9rZXl3b3JkPjxrZXl3b3JkPlR1cm5hcm91bmQgdGltZTwva2V5d29yZD48L2tleXdvcmRzPjxk
YXRlcz48eWVhcj4yMDA1PC95ZWFyPjxwdWItZGF0ZXM+PGRhdGU+Ny8vPC9kYXRlPjwvcHViLWRh
dGVzPjwvZGF0ZXM+PGlzYm4+MDczMi04ODkzPC9pc2JuPjx1cmxzPjxyZWxhdGVkLXVybHM+PHVy
bD5odHRwOi8vd3d3LnNjaWVuY2VkaXJlY3QuY29tL3NjaWVuY2UvYXJ0aWNsZS9waWkvUzA3MzI4
ODkzMDUwMDA1MzI8L3VybD48dXJsPmh0dHA6Ly9hYy5lbHMtY2RuLmNvbS9TMDczMjg4OTMwNTAw
MDUzMi8xLXMyLjAtUzA3MzI4ODkzMDUwMDA1MzItbWFpbi5wZGY/X3RpZD0zYjc4ODQwYy02ZWQw
LTExZTQtOGQwYi0wMDAwMGFhYjBmNmMmYW1wO2FjZG5hdD0xNDE2MjgwMzE1Xzk4ZGRlOTdiNmJh
ZDg3MTFmNGEyNjViYTQ4ZTJhODI3PC91cmw+PC9yZWxhdGVkLXVybHM+PC91cmxzPjxlbGVjdHJv
bmljLXJlc291cmNlLW51bT5odHRwOi8vZHguZG9pLm9yZy8xMC4xMDE2L2ouZGlhZ21pY3JvYmlv
LjIwMDUuMDIuMDE0PC9lbGVjdHJvbmljLXJlc291cmNlLW51bT48L3JlY29yZD48L0NpdGU+PENp
dGU+PEF1dGhvcj5QdWJsaWMgSGVhbHRoIGFuZCBBbWJ1bGF0b3J5IENhcmU8L0F1dGhvcj48WWVh
cj4yMDEyPC9ZZWFyPjxSZWNOdW0+MjAyPC9SZWNOdW0+PHJlY29yZD48cmVjLW51bWJlcj4yMDI8
L3JlYy1udW1iZXI+PGZvcmVpZ24ta2V5cz48a2V5IGFwcD0iRU4iIGRiLWlkPSJ6ZmR6OWRzZWF6
ZjV2bWV0ZmZpNXZ6d3I5end3eDJkNWZ4emQiPjIwMjwva2V5PjwvZm9yZWlnbi1rZXlzPjxyZWYt
dHlwZSBuYW1lPSJSZXBvcnQiPjI3PC9yZWYtdHlwZT48Y29udHJpYnV0b3JzPjxhdXRob3JzPjxh
dXRob3I+UHVibGljIEhlYWx0aCBhbmQgQW1idWxhdG9yeSBDYXJlLCBOb3J0aCBNZXRyb3BvbGl0
YW4gSGVhbHRoIFNlcnZpY2U8L2F1dGhvcj48L2F1dGhvcnM+PC9jb250cmlidXRvcnM+PHRpdGxl
cz48dGl0bGU+TGFib3JhdG9yeSBkaWFnbm9zaXMgb2YgdHViZXJjdWxvc2lzLiBXQSBUdWJlcmN1
bG9zaXMgQ29udHJvbCBQcm9ncmFtIFBvbGljeSAxLjE8L3RpdGxlPjwvdGl0bGVzPjxkYXRlcz48
eWVhcj4yMDEyPC95ZWFyPjwvZGF0ZXM+PHB1Ymxpc2hlcj5EZXBhcnRtZW50IG9mIEhlYWx0aCwg
R292ZXJubWVudCBvZiBXZXN0ZXJuIEF1c3RyYWxpYTwvcHVibGlzaGVyPjx1cmxzPjxyZWxhdGVk
LXVybHM+PHVybD5odHRwOi8vd3d3LmhlYWx0aC53YS5nb3YuYXUvYWNjL3RiL2hwLmNmbTwvdXJs
PjwvcmVsYXRlZC11cmxzPjwvdXJscz48L3JlY29yZD48L0NpdGU+PENpdGU+PEF1dGhvcj5OeWJv
PC9BdXRob3I+PFllYXI+MjAxMjwvWWVhcj48UmVjTnVtPjIwMzwvUmVjTnVtPjxyZWNvcmQ+PHJl
Yy1udW1iZXI+MjAzPC9yZWMtbnVtYmVyPjxmb3JlaWduLWtleXM+PGtleSBhcHA9IkVOIiBkYi1p
ZD0iemZkejlkc2VhemY1dm1ldGZmaTV2endyOXp3d3gyZDVmeHpkIj4yMDM8L2tleT48L2ZvcmVp
Z24ta2V5cz48cmVmLXR5cGUgbmFtZT0iV2ViIFBhZ2UiPjEyPC9yZWYtdHlwZT48Y29udHJpYnV0
b3JzPjxhdXRob3JzPjxhdXRob3I+TnlibywgSy48L2F1dGhvcj48L2F1dGhvcnM+PC9jb250cmli
dXRvcnM+PHRpdGxlcz48dGl0bGU+UENSIDIwMTM6IGFuIGV2b2x2aW5nIHRlY2hub2xvZ3kuIFll
YXIgaW4gcmV2aWV3PC90aXRsZT48L3RpdGxlcz48ZGF0ZXM+PHllYXI+MjAxMjwveWVhcj48L2Rh
dGVzPjxwdWJsaXNoZXI+QmlvVGVjaG5pcXVlcyBUaGUgSW50ZXJuYXRpb25hbCBKb3VybmFsIG9m
IExpZmUgU2NpZW5jZSBNZXRob2RzPC9wdWJsaXNoZXI+PHVybHM+PHJlbGF0ZWQtdXJscz48dXJs
Pmh0dHA6Ly93d3cuYmlvdGVjaG5pcXVlcy5jb20vbmV3cy9QQ1ItMjAxMy1Bbi1Fdm9sdmluZy1U
ZWNobm9sb2d5LS0yMDEyLVllYXItaW4tUmV2aWV3L2Jpb3RlY2huaXF1ZXMtMzM4MjA5Lmh0bWwg
PC91cmw+PC9yZWxhdGVkLXVybHM+PC91cmxzPjwvcmVjb3JkPjwvQ2l0ZT48L0VuZE5vdGU+AG==
</w:fldData>
        </w:fldChar>
      </w:r>
      <w:r>
        <w:instrText xml:space="preserve"> ADDIN EN.CITE </w:instrText>
      </w:r>
      <w:r>
        <w:fldChar w:fldCharType="begin">
          <w:fldData xml:space="preserve">PEVuZE5vdGU+PENpdGU+PEF1dGhvcj5Cb3lsZTwvQXV0aG9yPjxZZWFyPjIwMTI8L1llYXI+PFJl
Y051bT4yMDE8L1JlY051bT48RGlzcGxheVRleHQ+KEJveWxlICZhbXA7IFBhaSAyMDEyOyBNb29y
ZSwgR3V6bWFuICZhbXA7IE1pa2hhaWwgMjAwNTsgTnlibyAyMDEyOyBQdWJsaWMgSGVhbHRoIGFu
ZCBBbWJ1bGF0b3J5IENhcmUgMjAxMik8L0Rpc3BsYXlUZXh0PjxyZWNvcmQ+PHJlYy1udW1iZXI+
MjAxPC9yZWMtbnVtYmVyPjxmb3JlaWduLWtleXM+PGtleSBhcHA9IkVOIiBkYi1pZD0iemZkejlk
c2VhemY1dm1ldGZmaTV2endyOXp3d3gyZDVmeHpkIj4yMDE8L2tleT48L2ZvcmVpZ24ta2V5cz48
cmVmLXR5cGUgbmFtZT0iV2ViIFBhZ2UiPjEyPC9yZWYtdHlwZT48Y29udHJpYnV0b3JzPjxhdXRo
b3JzPjxhdXRob3I+Qm95bGUsIEQuPC9hdXRob3I+PGF1dGhvcj5QYWksIE0uPC9hdXRob3I+PC9h
dXRob3JzPjwvY29udHJpYnV0b3JzPjx0aXRsZXM+PHRpdGxlPlR1YmVyY3Vsb3NpcyBEaWFnbm9z
dGljIFRlY2hub2xvZ3kgTGFuZHNjYXBlLiA8L3RpdGxlPjwvdGl0bGVzPjxudW1iZXI+MTggTm92
ZW1iZXIgMjAxNDwvbnVtYmVyPjxkYXRlcz48eWVhcj4yMDEyPC95ZWFyPjwvZGF0ZXM+PHB1Yi1s
b2NhdGlvbj5HZW5ldmEgU3dpdHplcmxhbmQ8L3B1Yi1sb2NhdGlvbj48cHVibGlzaGVyPlVOSVRB
SUQsIFdvcmxkIEhlYWx0aCBPcmdhbml6YXRpb248L3B1Ymxpc2hlcj48dXJscz48cmVsYXRlZC11
cmxzPjx1cmw+aHR0cDovL3d3dy51bml0YWlkLmV1L2VuL3Jlc291cmNlcy9wdWJsaWNhdGlvbnMv
dGVjaG5pY2FsLXJlcG9ydHM8L3VybD48L3JlbGF0ZWQtdXJscz48L3VybHM+PC9yZWNvcmQ+PC9D
aXRlPjxDaXRlPjxBdXRob3I+TW9vcmU8L0F1dGhvcj48WWVhcj4yMDA1PC9ZZWFyPjxSZWNOdW0+
MjAwPC9SZWNOdW0+PHJlY29yZD48cmVjLW51bWJlcj4yMDA8L3JlYy1udW1iZXI+PGZvcmVpZ24t
a2V5cz48a2V5IGFwcD0iRU4iIGRiLWlkPSJ6ZmR6OWRzZWF6ZjV2bWV0ZmZpNXZ6d3I5end3eDJk
NWZ4emQiPjIwMDwva2V5PjwvZm9yZWlnbi1rZXlzPjxyZWYtdHlwZSBuYW1lPSJKb3VybmFsIEFy
dGljbGUiPjE3PC9yZWYtdHlwZT48Y29udHJpYnV0b3JzPjxhdXRob3JzPjxhdXRob3I+TW9vcmUs
IERvdWdsYXMgRi48L2F1dGhvcj48YXV0aG9yPkd1em1hbiwgSm9zZXBoIEEuPC9hdXRob3I+PGF1
dGhvcj5NaWtoYWlsLCBMeWRpYSBULjwvYXV0aG9yPjwvYXV0aG9ycz48L2NvbnRyaWJ1dG9ycz48
dGl0bGVzPjx0aXRsZT5SZWR1Y3Rpb24gaW4gdHVybmFyb3VuZCB0aW1lIGZvciBsYWJvcmF0b3J5
IGRpYWdub3NpcyBvZiBwdWxtb25hcnkgdHViZXJjdWxvc2lzIGJ5IHJvdXRpbmUgdXNlIG9mIGEg
bnVjbGVpYyBhY2lkIGFtcGxpZmljYXRpb24gdGVzdDwvdGl0bGU+PHNlY29uZGFyeS10aXRsZT5E
aWFnbm9zdGljIE1pY3JvYmlvbG9neSBhbmQgSW5mZWN0aW91cyBEaXNlYXNlPC9zZWNvbmRhcnkt
dGl0bGU+PC90aXRsZXM+PHBlcmlvZGljYWw+PGZ1bGwtdGl0bGU+RGlhZ25vc3RpYyBNaWNyb2Jp
b2xvZ3kgYW5kIEluZmVjdGlvdXMgRGlzZWFzZTwvZnVsbC10aXRsZT48L3BlcmlvZGljYWw+PHBh
Z2VzPjI0N+KAkzI1NDwvcGFnZXM+PHZvbHVtZT41Mjwvdm9sdW1lPjxudW1iZXI+MzwvbnVtYmVy
PjxrZXl3b3Jkcz48a2V5d29yZD5NeWNvYmFjdGVyaXVtIHR1YmVyY3Vsb3Npczwva2V5d29yZD48
a2V5d29yZD5OdWNsZWljIGFjaWQgYW1wbGlmaWNhdGlvbjwva2V5d29yZD48a2V5d29yZD5OQUFU
PC9rZXl3b3JkPjxrZXl3b3JkPlR1cm5hcm91bmQgdGltZTwva2V5d29yZD48L2tleXdvcmRzPjxk
YXRlcz48eWVhcj4yMDA1PC95ZWFyPjxwdWItZGF0ZXM+PGRhdGU+Ny8vPC9kYXRlPjwvcHViLWRh
dGVzPjwvZGF0ZXM+PGlzYm4+MDczMi04ODkzPC9pc2JuPjx1cmxzPjxyZWxhdGVkLXVybHM+PHVy
bD5odHRwOi8vd3d3LnNjaWVuY2VkaXJlY3QuY29tL3NjaWVuY2UvYXJ0aWNsZS9waWkvUzA3MzI4
ODkzMDUwMDA1MzI8L3VybD48dXJsPmh0dHA6Ly9hYy5lbHMtY2RuLmNvbS9TMDczMjg4OTMwNTAw
MDUzMi8xLXMyLjAtUzA3MzI4ODkzMDUwMDA1MzItbWFpbi5wZGY/X3RpZD0zYjc4ODQwYy02ZWQw
LTExZTQtOGQwYi0wMDAwMGFhYjBmNmMmYW1wO2FjZG5hdD0xNDE2MjgwMzE1Xzk4ZGRlOTdiNmJh
ZDg3MTFmNGEyNjViYTQ4ZTJhODI3PC91cmw+PC9yZWxhdGVkLXVybHM+PC91cmxzPjxlbGVjdHJv
bmljLXJlc291cmNlLW51bT5odHRwOi8vZHguZG9pLm9yZy8xMC4xMDE2L2ouZGlhZ21pY3JvYmlv
LjIwMDUuMDIuMDE0PC9lbGVjdHJvbmljLXJlc291cmNlLW51bT48L3JlY29yZD48L0NpdGU+PENp
dGU+PEF1dGhvcj5QdWJsaWMgSGVhbHRoIGFuZCBBbWJ1bGF0b3J5IENhcmU8L0F1dGhvcj48WWVh
cj4yMDEyPC9ZZWFyPjxSZWNOdW0+MjAyPC9SZWNOdW0+PHJlY29yZD48cmVjLW51bWJlcj4yMDI8
L3JlYy1udW1iZXI+PGZvcmVpZ24ta2V5cz48a2V5IGFwcD0iRU4iIGRiLWlkPSJ6ZmR6OWRzZWF6
ZjV2bWV0ZmZpNXZ6d3I5end3eDJkNWZ4emQiPjIwMjwva2V5PjwvZm9yZWlnbi1rZXlzPjxyZWYt
dHlwZSBuYW1lPSJSZXBvcnQiPjI3PC9yZWYtdHlwZT48Y29udHJpYnV0b3JzPjxhdXRob3JzPjxh
dXRob3I+UHVibGljIEhlYWx0aCBhbmQgQW1idWxhdG9yeSBDYXJlLCBOb3J0aCBNZXRyb3BvbGl0
YW4gSGVhbHRoIFNlcnZpY2U8L2F1dGhvcj48L2F1dGhvcnM+PC9jb250cmlidXRvcnM+PHRpdGxl
cz48dGl0bGU+TGFib3JhdG9yeSBkaWFnbm9zaXMgb2YgdHViZXJjdWxvc2lzLiBXQSBUdWJlcmN1
bG9zaXMgQ29udHJvbCBQcm9ncmFtIFBvbGljeSAxLjE8L3RpdGxlPjwvdGl0bGVzPjxkYXRlcz48
eWVhcj4yMDEyPC95ZWFyPjwvZGF0ZXM+PHB1Ymxpc2hlcj5EZXBhcnRtZW50IG9mIEhlYWx0aCwg
R292ZXJubWVudCBvZiBXZXN0ZXJuIEF1c3RyYWxpYTwvcHVibGlzaGVyPjx1cmxzPjxyZWxhdGVk
LXVybHM+PHVybD5odHRwOi8vd3d3LmhlYWx0aC53YS5nb3YuYXUvYWNjL3RiL2hwLmNmbTwvdXJs
PjwvcmVsYXRlZC11cmxzPjwvdXJscz48L3JlY29yZD48L0NpdGU+PENpdGU+PEF1dGhvcj5OeWJv
PC9BdXRob3I+PFllYXI+MjAxMjwvWWVhcj48UmVjTnVtPjIwMzwvUmVjTnVtPjxyZWNvcmQ+PHJl
Yy1udW1iZXI+MjAzPC9yZWMtbnVtYmVyPjxmb3JlaWduLWtleXM+PGtleSBhcHA9IkVOIiBkYi1p
ZD0iemZkejlkc2VhemY1dm1ldGZmaTV2endyOXp3d3gyZDVmeHpkIj4yMDM8L2tleT48L2ZvcmVp
Z24ta2V5cz48cmVmLXR5cGUgbmFtZT0iV2ViIFBhZ2UiPjEyPC9yZWYtdHlwZT48Y29udHJpYnV0
b3JzPjxhdXRob3JzPjxhdXRob3I+TnlibywgSy48L2F1dGhvcj48L2F1dGhvcnM+PC9jb250cmli
dXRvcnM+PHRpdGxlcz48dGl0bGU+UENSIDIwMTM6IGFuIGV2b2x2aW5nIHRlY2hub2xvZ3kuIFll
YXIgaW4gcmV2aWV3PC90aXRsZT48L3RpdGxlcz48ZGF0ZXM+PHllYXI+MjAxMjwveWVhcj48L2Rh
dGVzPjxwdWJsaXNoZXI+QmlvVGVjaG5pcXVlcyBUaGUgSW50ZXJuYXRpb25hbCBKb3VybmFsIG9m
IExpZmUgU2NpZW5jZSBNZXRob2RzPC9wdWJsaXNoZXI+PHVybHM+PHJlbGF0ZWQtdXJscz48dXJs
Pmh0dHA6Ly93d3cuYmlvdGVjaG5pcXVlcy5jb20vbmV3cy9QQ1ItMjAxMy1Bbi1Fdm9sdmluZy1U
ZWNobm9sb2d5LS0yMDEyLVllYXItaW4tUmV2aWV3L2Jpb3RlY2huaXF1ZXMtMzM4MjA5Lmh0bWwg
PC91cmw+PC9yZWxhdGVkLXVybHM+PC91cmxzPjwvcmVjb3JkPjwvQ2l0ZT48L0VuZE5vdGU+AG==
</w:fldData>
        </w:fldChar>
      </w:r>
      <w:r>
        <w:instrText xml:space="preserve"> ADDIN EN.CITE.DATA </w:instrText>
      </w:r>
      <w:r>
        <w:fldChar w:fldCharType="end"/>
      </w:r>
      <w:r>
        <w:fldChar w:fldCharType="separate"/>
      </w:r>
      <w:r>
        <w:rPr>
          <w:noProof/>
        </w:rPr>
        <w:t>(</w:t>
      </w:r>
      <w:hyperlink w:anchor="_ENREF_31" w:tooltip="Boyle, 2012 #201" w:history="1">
        <w:r>
          <w:rPr>
            <w:noProof/>
          </w:rPr>
          <w:t>Boyle &amp; Pai 2012</w:t>
        </w:r>
      </w:hyperlink>
      <w:r>
        <w:rPr>
          <w:noProof/>
        </w:rPr>
        <w:t xml:space="preserve">; </w:t>
      </w:r>
      <w:hyperlink w:anchor="_ENREF_146" w:tooltip="Moore, 2005 #200" w:history="1">
        <w:r>
          <w:rPr>
            <w:noProof/>
          </w:rPr>
          <w:t>Moore, Guzman &amp; Mikhail 2005</w:t>
        </w:r>
      </w:hyperlink>
      <w:r>
        <w:rPr>
          <w:noProof/>
        </w:rPr>
        <w:t xml:space="preserve">; </w:t>
      </w:r>
      <w:hyperlink w:anchor="_ENREF_161" w:tooltip="Nybo, 2012 #203" w:history="1">
        <w:r>
          <w:rPr>
            <w:noProof/>
          </w:rPr>
          <w:t>Nybo 2012</w:t>
        </w:r>
      </w:hyperlink>
      <w:r>
        <w:rPr>
          <w:noProof/>
        </w:rPr>
        <w:t xml:space="preserve">; </w:t>
      </w:r>
      <w:hyperlink w:anchor="_ENREF_171" w:tooltip="Public Health and Ambulatory Care, 2012 #202" w:history="1">
        <w:r>
          <w:rPr>
            <w:noProof/>
          </w:rPr>
          <w:t>Public Health and Ambulatory Care 2012</w:t>
        </w:r>
      </w:hyperlink>
      <w:r>
        <w:rPr>
          <w:noProof/>
        </w:rPr>
        <w:t>)</w:t>
      </w:r>
      <w:r>
        <w:fldChar w:fldCharType="end"/>
      </w:r>
      <w:r>
        <w:t xml:space="preserve">, it seemed reasonable to limit study eligibility to publications in the previous decade. </w:t>
      </w:r>
      <w:r w:rsidRPr="007A0DD4">
        <w:t xml:space="preserve">A total of 79 studies provided </w:t>
      </w:r>
      <w:r>
        <w:t xml:space="preserve">extractable </w:t>
      </w:r>
      <w:r w:rsidRPr="007A0DD4">
        <w:t>data</w:t>
      </w:r>
      <w:r>
        <w:t xml:space="preserve"> and were included.</w:t>
      </w:r>
    </w:p>
    <w:p w:rsidR="00EB28FC" w:rsidRDefault="00EB28FC" w:rsidP="00EB28FC"/>
    <w:p w:rsidR="00EB28FC" w:rsidRDefault="00EB28FC" w:rsidP="00EB28FC">
      <w:r w:rsidRPr="007101A3">
        <w:t xml:space="preserve">Twelve studies were identified that reported on the diagnostic accuracy of NAAT for the detection of NTM infections and were included in the review. Literature searches spanned </w:t>
      </w:r>
      <w:r>
        <w:t xml:space="preserve">the period </w:t>
      </w:r>
      <w:r w:rsidRPr="007101A3">
        <w:t>1990</w:t>
      </w:r>
      <w:r>
        <w:t>–</w:t>
      </w:r>
      <w:r w:rsidRPr="007101A3">
        <w:t>2014.</w:t>
      </w:r>
    </w:p>
    <w:p w:rsidR="00EB28FC" w:rsidRDefault="00EB28FC" w:rsidP="00EB28FC"/>
    <w:p w:rsidR="00EB28FC" w:rsidRDefault="00EB28FC" w:rsidP="00EB28FC">
      <w:r w:rsidRPr="00BE1DC7">
        <w:t xml:space="preserve">No studies </w:t>
      </w:r>
      <w:r>
        <w:t xml:space="preserve">were identified that reported </w:t>
      </w:r>
      <w:r w:rsidRPr="00BE1DC7">
        <w:t xml:space="preserve">on </w:t>
      </w:r>
      <w:r>
        <w:t xml:space="preserve">the </w:t>
      </w:r>
      <w:r w:rsidRPr="00BE1DC7">
        <w:t xml:space="preserve">safety of NAAT compared </w:t>
      </w:r>
      <w:r>
        <w:t>with</w:t>
      </w:r>
      <w:r w:rsidRPr="00BE1DC7">
        <w:t xml:space="preserve"> current testing. As NAAT is usually conducted on the same samples used for other testing, </w:t>
      </w:r>
      <w:r>
        <w:t xml:space="preserve">and there is no need for resampling, </w:t>
      </w:r>
      <w:r w:rsidRPr="00BE1DC7">
        <w:t>no adverse events</w:t>
      </w:r>
      <w:r>
        <w:t xml:space="preserve"> (AEs)</w:t>
      </w:r>
      <w:r w:rsidRPr="00BE1DC7">
        <w:t xml:space="preserve"> </w:t>
      </w:r>
      <w:r>
        <w:t>a</w:t>
      </w:r>
      <w:r w:rsidRPr="00BE1DC7">
        <w:t>re expected</w:t>
      </w:r>
      <w:r>
        <w:t xml:space="preserve"> from the testing procedure</w:t>
      </w:r>
      <w:r w:rsidRPr="00BE1DC7">
        <w:t>.</w:t>
      </w:r>
    </w:p>
    <w:p w:rsidR="00EB28FC" w:rsidRDefault="00EB28FC" w:rsidP="00EB28FC">
      <w:r>
        <w:t>However, more patients will receive a false-positive NAAT than a false-positive AFB result. Therefore, more patients will receive treatment</w:t>
      </w:r>
      <w:r w:rsidRPr="00663A78">
        <w:t xml:space="preserve"> </w:t>
      </w:r>
      <w:r>
        <w:t>for a disease they do not have and will possibly have an adverse reaction to the anti-TB drugs until clinical unresponsiveness is noted or culture results become available.</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EB28FC" w:rsidRPr="007D1079" w:rsidRDefault="00EB28FC" w:rsidP="00EB28FC">
      <w:pPr>
        <w:rPr>
          <w:u w:val="single"/>
        </w:rPr>
      </w:pPr>
      <w:r w:rsidRPr="007D1079">
        <w:rPr>
          <w:u w:val="single"/>
        </w:rPr>
        <w:t>Effectiveness of NAAT in the diagnosis of MTB</w:t>
      </w:r>
    </w:p>
    <w:p w:rsidR="00EB28FC" w:rsidRPr="00BB6FD5" w:rsidRDefault="00EB28FC" w:rsidP="00EB28FC">
      <w:pPr>
        <w:rPr>
          <w:b/>
        </w:rPr>
      </w:pPr>
    </w:p>
    <w:p w:rsidR="00EB28FC" w:rsidRPr="007D1079" w:rsidRDefault="00EB28FC" w:rsidP="00EB28FC">
      <w:pPr>
        <w:rPr>
          <w:u w:val="single"/>
        </w:rPr>
      </w:pPr>
      <w:r w:rsidRPr="007D1079">
        <w:rPr>
          <w:u w:val="single"/>
        </w:rPr>
        <w:t>Direct evidence: does NAAT improve health outcomes?</w:t>
      </w:r>
    </w:p>
    <w:p w:rsidR="00EB28FC" w:rsidRDefault="00EB28FC" w:rsidP="00EB28FC">
      <w:r>
        <w:t>Both</w:t>
      </w:r>
      <w:r w:rsidRPr="00657431">
        <w:t xml:space="preserve"> studies assess</w:t>
      </w:r>
      <w:r>
        <w:t>ing</w:t>
      </w:r>
      <w:r w:rsidRPr="00657431">
        <w:t xml:space="preserve"> the direct health impact of NAAT were conducted in a setting </w:t>
      </w:r>
      <w:r>
        <w:t xml:space="preserve">with a </w:t>
      </w:r>
      <w:r w:rsidRPr="00657431">
        <w:t xml:space="preserve">high </w:t>
      </w:r>
      <w:r>
        <w:t xml:space="preserve">TB </w:t>
      </w:r>
      <w:r w:rsidRPr="00657431">
        <w:t>prevalence</w:t>
      </w:r>
      <w:r>
        <w:t>;</w:t>
      </w:r>
      <w:r w:rsidRPr="00657431">
        <w:t xml:space="preserve"> </w:t>
      </w:r>
      <w:r>
        <w:t xml:space="preserve">therefore, the </w:t>
      </w:r>
      <w:r w:rsidRPr="00657431">
        <w:t xml:space="preserve">applicability to the Australian healthcare system is questionable. </w:t>
      </w:r>
      <w:r w:rsidRPr="002843CB">
        <w:t>A high</w:t>
      </w:r>
      <w:r>
        <w:t>-</w:t>
      </w:r>
      <w:r w:rsidRPr="002843CB">
        <w:t xml:space="preserve">quality randomised controlled trial </w:t>
      </w:r>
      <w:r>
        <w:t xml:space="preserve">(RCT) </w:t>
      </w:r>
      <w:r w:rsidRPr="002843CB">
        <w:t>reported no difference in morbidity outcomes at 2 and 6</w:t>
      </w:r>
      <w:r>
        <w:t> </w:t>
      </w:r>
      <w:r w:rsidRPr="002843CB">
        <w:t>months follow</w:t>
      </w:r>
      <w:r>
        <w:t>-</w:t>
      </w:r>
      <w:r w:rsidRPr="002843CB">
        <w:t xml:space="preserve">up when NAAT and AFB microscopy were compared. However, a strong trend indicating fewer deaths in the NAAT group compared </w:t>
      </w:r>
      <w:r>
        <w:t>with</w:t>
      </w:r>
      <w:r w:rsidRPr="002843CB">
        <w:t xml:space="preserve"> the AFB microscopy group was observed at </w:t>
      </w:r>
      <w:r>
        <w:t>2 </w:t>
      </w:r>
      <w:r w:rsidRPr="002843CB">
        <w:t>months, but this trend was no longer apparent at 6</w:t>
      </w:r>
      <w:r>
        <w:t> </w:t>
      </w:r>
      <w:r w:rsidRPr="002843CB">
        <w:t>months. A historical control study of medium quality found no difference in the mortality rate at 2</w:t>
      </w:r>
      <w:r>
        <w:t> </w:t>
      </w:r>
      <w:r w:rsidRPr="002843CB">
        <w:t xml:space="preserve">months follow-up when comparing NAAT </w:t>
      </w:r>
      <w:r>
        <w:t>with</w:t>
      </w:r>
      <w:r w:rsidRPr="002843CB">
        <w:t xml:space="preserve"> no NAAT. However, both </w:t>
      </w:r>
      <w:r w:rsidRPr="002843CB">
        <w:lastRenderedPageBreak/>
        <w:t xml:space="preserve">studies were confounded by high levels of treatment initiation based on </w:t>
      </w:r>
      <w:r>
        <w:t>clinical</w:t>
      </w:r>
      <w:r w:rsidRPr="002843CB">
        <w:t xml:space="preserve"> evidence in the comparator groups. </w:t>
      </w:r>
    </w:p>
    <w:p w:rsidR="00EB28FC" w:rsidRDefault="00EB28FC" w:rsidP="00EB28FC"/>
    <w:p w:rsidR="00EB28FC" w:rsidRPr="00657431" w:rsidRDefault="00EB28FC" w:rsidP="00EB28FC">
      <w:r w:rsidRPr="008E604D">
        <w:t xml:space="preserve">The difference in treatment initiation between groups in the study by </w:t>
      </w:r>
      <w:r w:rsidRPr="008E08BF">
        <w:t>Theron et al</w:t>
      </w:r>
      <w:r>
        <w:t xml:space="preserve">. </w:t>
      </w:r>
      <w:r>
        <w:fldChar w:fldCharType="begin">
          <w:fldData xml:space="preserve">PEVuZE5vdGU+PENpdGUgRXhjbHVkZUF1dGg9IjEiPjxBdXRob3I+VGhlcm9uPC9BdXRob3I+PFll
YXI+MjAxNDwvWWVhcj48UmVjTnVtPjM2PC9SZWNOdW0+PERpc3BsYXlUZXh0PigyMDE0KTwvRGlz
cGxheVRleHQ+PHJlY29yZD48cmVjLW51bWJlcj4zNjwvcmVjLW51bWJlcj48Zm9yZWlnbi1rZXlz
PjxrZXkgYXBwPSJFTiIgZGItaWQ9InpmZHo5ZHNlYXpmNXZtZXRmZmk1dnp3cjl6d3d4MmQ1Znh6
ZCI+MzY8L2tleT48L2ZvcmVpZ24ta2V5cz48cmVmLXR5cGUgbmFtZT0iSm91cm5hbCBBcnRpY2xl
Ij4xNzwvcmVmLXR5cGU+PGNvbnRyaWJ1dG9ycz48YXV0aG9ycz48YXV0aG9yPlRoZXJvbiwgRy48
L2F1dGhvcj48YXV0aG9yPlppamVuYWgsIEwuPC9hdXRob3I+PGF1dGhvcj5DaGFuZGEsIEQuPC9h
dXRob3I+PGF1dGhvcj5DbG93ZXMsIFAuPC9hdXRob3I+PGF1dGhvcj5SYWNob3csIEFuZHJlYTwv
YXV0aG9yPjxhdXRob3I+TGVzb3NreSwgTWFpYTwvYXV0aG9yPjxhdXRob3I+QmFyYSwgV2lsYmVy
dDwvYXV0aG9yPjxhdXRob3I+TXVuZ29mYSwgU3RhbmxleTwvYXV0aG9yPjxhdXRob3I+UGFpLCBN
YWRodWthcjwvYXV0aG9yPjxhdXRob3I+SG9lbHNjaGVyLCBNaWNoYWVsPC9hdXRob3I+PGF1dGhv
cj5Eb3dkeSwgRGF2aWQ8L2F1dGhvcj48YXV0aG9yPlB5bSwgQWxleDwvYXV0aG9yPjxhdXRob3I+
TXdhYmEsIFBldGVyPC9hdXRob3I+PGF1dGhvcj5NYXNvbiwgUGV0ZXI8L2F1dGhvcj48YXV0aG9y
PlBldGVyLCBKb25ueTwvYXV0aG9yPjxhdXRob3I+RGhlZGEsIEtlZXJ0YW48L2F1dGhvcj48L2F1
dGhvcnM+PC9jb250cmlidXRvcnM+PHRpdGxlcz48dGl0bGU+RmVhc2liaWxpdHksIGFjY3VyYWN5
LCBhbmQgY2xpbmljYWwgZWZmZWN0IG9mIHBvaW50LW9mLWNhcmUgWHBlcnQgTVRCL1JJRiB0ZXN0
aW5nIGZvciB0dWJlcmN1bG9zaXMgaW4gcHJpbWFyeS1jYXJlIHNldHRpbmdzIGluIEFmcmljYTog
YSBtdWx0aWNlbnRyZSwgcmFuZG9taXNlZCwgY29udHJvbGxlZCB0cmlhbDwvdGl0bGU+PHNlY29u
ZGFyeS10aXRsZT5UaGUgTGFuY2V0PC9zZWNvbmRhcnktdGl0bGU+PC90aXRsZXM+PHBlcmlvZGlj
YWw+PGZ1bGwtdGl0bGU+VGhlIExhbmNldDwvZnVsbC10aXRsZT48L3BlcmlvZGljYWw+PHBhZ2Vz
PjQyNOKAkzQzNTwvcGFnZXM+PHZvbHVtZT4zODM8L3ZvbHVtZT48bnVtYmVyPjk5MTU8L251bWJl
cj48a2V5d29yZHM+PGtleXdvcmQ+Q2xpbmljYWwgSW5mb3JtYXRpb24gU3lzdGVtcyAtLSBTdGFu
ZGFyZHM8L2tleXdvcmQ+PGtleXdvcmQ+VHViZXJjdWxvc2lzLCBQdWxtb25hcnkgLS0gRGlhZ25v
c2lzPC9rZXl3b3JkPjxrZXl3b3JkPkFkdWx0PC9rZXl3b3JkPjxrZXl3b3JkPkFmcmljYTwva2V5
d29yZD48a2V5d29yZD5CYWN0ZXJpb2xvZ2ljYWwgVGVjaG5pcXVlcyAtLSBTdGFuZGFyZHM8L2tl
eXdvcmQ+PGtleXdvcmQ+UGlsb3QgU3R1ZGllczwva2V5d29yZD48a2V5d29yZD5GZW1hbGU8L2tl
eXdvcmQ+PGtleXdvcmQ+SHVtYW48L2tleXdvcmQ+PGtleXdvcmQ+TWFsZTwva2V5d29yZD48a2V5
d29yZD5NaWRkbGUgQWdlPC9rZXl3b3JkPjxrZXl3b3JkPlByaW1hcnkgSGVhbHRoIENhcmU8L2tl
eXdvcmQ+PGtleXdvcmQ+U3B1dHVtIC0tIE1pY3JvYmlvbG9neTwva2V5d29yZD48a2V5d29yZD5U
dWJlcmN1bG9zaXMsIE11bHRpZHJ1Zy1SZXNpc3RhbnQgLS0gRGlhZ25vc2lzPC9rZXl3b3JkPjxr
ZXl3b3JkPlR1YmVyY3Vsb3NpcywgTXVsdGlkcnVnLVJlc2lzdGFudCAtLSBOdXJzaW5nPC9rZXl3
b3JkPjxrZXl3b3JkPlR1YmVyY3Vsb3NpcywgUHVsbW9uYXJ5IC0tIE51cnNpbmc8L2tleXdvcmQ+
PC9rZXl3b3Jkcz48ZGF0ZXM+PHllYXI+MjAxNDwveWVhcj48L2RhdGVzPjxpc2JuPjAwOTktNTM1
NTwvaXNibj48YWNjZXNzaW9uLW51bT4yMDEyNDYzMTYwLiBDb3Jwb3JhdGUgQXV0aG9yOiBUQi1O
RUFUIHRlYW0uIExhbmd1YWdlOiBFbmdsaXNoLiBFbnRyeSBEYXRlOiAyMDE0MDMxNC4gUmV2aXNp
b24gRGF0ZTogMjAxNDAzMTQuIFB1YmxpY2F0aW9uIFR5cGU6IGpvdXJuYWwgYXJ0aWNsZTwvYWNj
ZXNzaW9uLW51bT48dXJscz48cmVsYXRlZC11cmxzPjx1cmw+aHR0cDovL3Byb3h5LmxpYnJhcnku
YWRlbGFpZGUuZWR1LmF1L2xvZ2luP3VybD1odHRwOi8vc2VhcmNoLmVic2NvaG9zdC5jb20vbG9n
aW4uYXNweD9kaXJlY3Q9dHJ1ZSZhbXA7ZGI9YzhoJmFtcDtBTj0yMDEyNDYzMTYwJmFtcDtzaXRl
PWVob3N0LWxpdmUmYW1wO3Njb3BlPXNpdGU8L3VybD48dXJsPmh0dHA6Ly9hYy5lbHMtY2RuLmNv
bS9TMDE0MDY3MzYxMzYyMDczNS8xLXMyLjAtUzAxNDA2NzM2MTM2MjA3MzUtbWFpbi5wZGY/X3Rp
ZD03YjY2NzVlMC0xMDYzLTExZTQtYWVhZS0wMDAwMGFhYjBmMDImYW1wO2FjZG5hdD0xNDA1ODk4
MTk4XzcyYzhlYjRjMDAxYTE5YTk4YTBjZmRkNGNkZWUzZDVlPC91cmw+PC9yZWxhdGVkLXVybHM+
PC91cmxzPjxlbGVjdHJvbmljLXJlc291cmNlLW51bT4xMC4xMDE2L1MwMTQwLTY3MzYoMTMpNjIw
NzMtNTwvZWxlY3Ryb25pYy1yZXNvdXJjZS1udW0+PHJlbW90ZS1kYXRhYmFzZS1uYW1lPmM4aDwv
cmVtb3RlLWRhdGFiYXNlLW5hbWU+PHJlbW90ZS1kYXRhYmFzZS1wcm92aWRlcj5FQlNDT2hvc3Q8
L3JlbW90ZS1kYXRhYmFzZS1wcm92aWRlcj48L3JlY29yZD48L0NpdGU+PC9FbmROb3RlPn==
</w:fldData>
        </w:fldChar>
      </w:r>
      <w:r>
        <w:instrText xml:space="preserve"> ADDIN EN.CITE </w:instrText>
      </w:r>
      <w:r>
        <w:fldChar w:fldCharType="begin">
          <w:fldData xml:space="preserve">PEVuZE5vdGU+PENpdGUgRXhjbHVkZUF1dGg9IjEiPjxBdXRob3I+VGhlcm9uPC9BdXRob3I+PFll
YXI+MjAxNDwvWWVhcj48UmVjTnVtPjM2PC9SZWNOdW0+PERpc3BsYXlUZXh0PigyMDE0KTwvRGlz
cGxheVRleHQ+PHJlY29yZD48cmVjLW51bWJlcj4zNjwvcmVjLW51bWJlcj48Zm9yZWlnbi1rZXlz
PjxrZXkgYXBwPSJFTiIgZGItaWQ9InpmZHo5ZHNlYXpmNXZtZXRmZmk1dnp3cjl6d3d4MmQ1Znh6
ZCI+MzY8L2tleT48L2ZvcmVpZ24ta2V5cz48cmVmLXR5cGUgbmFtZT0iSm91cm5hbCBBcnRpY2xl
Ij4xNzwvcmVmLXR5cGU+PGNvbnRyaWJ1dG9ycz48YXV0aG9ycz48YXV0aG9yPlRoZXJvbiwgRy48
L2F1dGhvcj48YXV0aG9yPlppamVuYWgsIEwuPC9hdXRob3I+PGF1dGhvcj5DaGFuZGEsIEQuPC9h
dXRob3I+PGF1dGhvcj5DbG93ZXMsIFAuPC9hdXRob3I+PGF1dGhvcj5SYWNob3csIEFuZHJlYTwv
YXV0aG9yPjxhdXRob3I+TGVzb3NreSwgTWFpYTwvYXV0aG9yPjxhdXRob3I+QmFyYSwgV2lsYmVy
dDwvYXV0aG9yPjxhdXRob3I+TXVuZ29mYSwgU3RhbmxleTwvYXV0aG9yPjxhdXRob3I+UGFpLCBN
YWRodWthcjwvYXV0aG9yPjxhdXRob3I+SG9lbHNjaGVyLCBNaWNoYWVsPC9hdXRob3I+PGF1dGhv
cj5Eb3dkeSwgRGF2aWQ8L2F1dGhvcj48YXV0aG9yPlB5bSwgQWxleDwvYXV0aG9yPjxhdXRob3I+
TXdhYmEsIFBldGVyPC9hdXRob3I+PGF1dGhvcj5NYXNvbiwgUGV0ZXI8L2F1dGhvcj48YXV0aG9y
PlBldGVyLCBKb25ueTwvYXV0aG9yPjxhdXRob3I+RGhlZGEsIEtlZXJ0YW48L2F1dGhvcj48L2F1
dGhvcnM+PC9jb250cmlidXRvcnM+PHRpdGxlcz48dGl0bGU+RmVhc2liaWxpdHksIGFjY3VyYWN5
LCBhbmQgY2xpbmljYWwgZWZmZWN0IG9mIHBvaW50LW9mLWNhcmUgWHBlcnQgTVRCL1JJRiB0ZXN0
aW5nIGZvciB0dWJlcmN1bG9zaXMgaW4gcHJpbWFyeS1jYXJlIHNldHRpbmdzIGluIEFmcmljYTog
YSBtdWx0aWNlbnRyZSwgcmFuZG9taXNlZCwgY29udHJvbGxlZCB0cmlhbDwvdGl0bGU+PHNlY29u
ZGFyeS10aXRsZT5UaGUgTGFuY2V0PC9zZWNvbmRhcnktdGl0bGU+PC90aXRsZXM+PHBlcmlvZGlj
YWw+PGZ1bGwtdGl0bGU+VGhlIExhbmNldDwvZnVsbC10aXRsZT48L3BlcmlvZGljYWw+PHBhZ2Vz
PjQyNOKAkzQzNTwvcGFnZXM+PHZvbHVtZT4zODM8L3ZvbHVtZT48bnVtYmVyPjk5MTU8L251bWJl
cj48a2V5d29yZHM+PGtleXdvcmQ+Q2xpbmljYWwgSW5mb3JtYXRpb24gU3lzdGVtcyAtLSBTdGFu
ZGFyZHM8L2tleXdvcmQ+PGtleXdvcmQ+VHViZXJjdWxvc2lzLCBQdWxtb25hcnkgLS0gRGlhZ25v
c2lzPC9rZXl3b3JkPjxrZXl3b3JkPkFkdWx0PC9rZXl3b3JkPjxrZXl3b3JkPkFmcmljYTwva2V5
d29yZD48a2V5d29yZD5CYWN0ZXJpb2xvZ2ljYWwgVGVjaG5pcXVlcyAtLSBTdGFuZGFyZHM8L2tl
eXdvcmQ+PGtleXdvcmQ+UGlsb3QgU3R1ZGllczwva2V5d29yZD48a2V5d29yZD5GZW1hbGU8L2tl
eXdvcmQ+PGtleXdvcmQ+SHVtYW48L2tleXdvcmQ+PGtleXdvcmQ+TWFsZTwva2V5d29yZD48a2V5
d29yZD5NaWRkbGUgQWdlPC9rZXl3b3JkPjxrZXl3b3JkPlByaW1hcnkgSGVhbHRoIENhcmU8L2tl
eXdvcmQ+PGtleXdvcmQ+U3B1dHVtIC0tIE1pY3JvYmlvbG9neTwva2V5d29yZD48a2V5d29yZD5U
dWJlcmN1bG9zaXMsIE11bHRpZHJ1Zy1SZXNpc3RhbnQgLS0gRGlhZ25vc2lzPC9rZXl3b3JkPjxr
ZXl3b3JkPlR1YmVyY3Vsb3NpcywgTXVsdGlkcnVnLVJlc2lzdGFudCAtLSBOdXJzaW5nPC9rZXl3
b3JkPjxrZXl3b3JkPlR1YmVyY3Vsb3NpcywgUHVsbW9uYXJ5IC0tIE51cnNpbmc8L2tleXdvcmQ+
PC9rZXl3b3Jkcz48ZGF0ZXM+PHllYXI+MjAxNDwveWVhcj48L2RhdGVzPjxpc2JuPjAwOTktNTM1
NTwvaXNibj48YWNjZXNzaW9uLW51bT4yMDEyNDYzMTYwLiBDb3Jwb3JhdGUgQXV0aG9yOiBUQi1O
RUFUIHRlYW0uIExhbmd1YWdlOiBFbmdsaXNoLiBFbnRyeSBEYXRlOiAyMDE0MDMxNC4gUmV2aXNp
b24gRGF0ZTogMjAxNDAzMTQuIFB1YmxpY2F0aW9uIFR5cGU6IGpvdXJuYWwgYXJ0aWNsZTwvYWNj
ZXNzaW9uLW51bT48dXJscz48cmVsYXRlZC11cmxzPjx1cmw+aHR0cDovL3Byb3h5LmxpYnJhcnku
YWRlbGFpZGUuZWR1LmF1L2xvZ2luP3VybD1odHRwOi8vc2VhcmNoLmVic2NvaG9zdC5jb20vbG9n
aW4uYXNweD9kaXJlY3Q9dHJ1ZSZhbXA7ZGI9YzhoJmFtcDtBTj0yMDEyNDYzMTYwJmFtcDtzaXRl
PWVob3N0LWxpdmUmYW1wO3Njb3BlPXNpdGU8L3VybD48dXJsPmh0dHA6Ly9hYy5lbHMtY2RuLmNv
bS9TMDE0MDY3MzYxMzYyMDczNS8xLXMyLjAtUzAxNDA2NzM2MTM2MjA3MzUtbWFpbi5wZGY/X3Rp
ZD03YjY2NzVlMC0xMDYzLTExZTQtYWVhZS0wMDAwMGFhYjBmMDImYW1wO2FjZG5hdD0xNDA1ODk4
MTk4XzcyYzhlYjRjMDAxYTE5YTk4YTBjZmRkNGNkZWUzZDVlPC91cmw+PC9yZWxhdGVkLXVybHM+
PC91cmxzPjxlbGVjdHJvbmljLXJlc291cmNlLW51bT4xMC4xMDE2L1MwMTQwLTY3MzYoMTMpNjIw
NzMtNTwvZWxlY3Ryb25pYy1yZXNvdXJjZS1udW0+PHJlbW90ZS1kYXRhYmFzZS1uYW1lPmM4aDwv
cmVtb3RlLWRhdGFiYXNlLW5hbWU+PHJlbW90ZS1kYXRhYmFzZS1wcm92aWRlcj5FQlNDT2hvc3Q8
L3JlbW90ZS1kYXRhYmFzZS1wcm92aWRlcj48L3JlY29yZD48L0NpdGU+PC9FbmROb3RlPn==
</w:fldData>
        </w:fldChar>
      </w:r>
      <w:r>
        <w:instrText xml:space="preserve"> ADDIN EN.CITE.DATA </w:instrText>
      </w:r>
      <w:r>
        <w:fldChar w:fldCharType="end"/>
      </w:r>
      <w:r>
        <w:fldChar w:fldCharType="separate"/>
      </w:r>
      <w:r>
        <w:rPr>
          <w:noProof/>
        </w:rPr>
        <w:t>(</w:t>
      </w:r>
      <w:hyperlink w:anchor="_ENREF_200" w:tooltip="Theron, 2014 #36" w:history="1">
        <w:r>
          <w:rPr>
            <w:noProof/>
          </w:rPr>
          <w:t>2014</w:t>
        </w:r>
      </w:hyperlink>
      <w:r>
        <w:rPr>
          <w:noProof/>
        </w:rPr>
        <w:t>)</w:t>
      </w:r>
      <w:r>
        <w:fldChar w:fldCharType="end"/>
      </w:r>
      <w:r>
        <w:t xml:space="preserve"> </w:t>
      </w:r>
      <w:r w:rsidRPr="008E604D">
        <w:t>is unlikely to be reflected in treatment initiation rates in Australia because NAAT is suggested to be used as an adjunct to AFB testing. The incremental impact of NAAT over current testing practice in Australia, and the impact on patient morbidity and mortality, cannot be estimated from this study.</w:t>
      </w:r>
    </w:p>
    <w:p w:rsidR="00EB28FC" w:rsidRDefault="00EB28FC" w:rsidP="00EB28FC"/>
    <w:p w:rsidR="00EB28FC" w:rsidRPr="007D1079" w:rsidRDefault="00EB28FC" w:rsidP="00EB28FC">
      <w:pPr>
        <w:rPr>
          <w:u w:val="single"/>
        </w:rPr>
      </w:pPr>
      <w:r w:rsidRPr="007D1079">
        <w:rPr>
          <w:u w:val="single"/>
        </w:rPr>
        <w:t>Linked evidence of effectiveness of NAAT in the diagnosis of MTB</w:t>
      </w:r>
    </w:p>
    <w:p w:rsidR="00EB28FC" w:rsidRDefault="00EB28FC" w:rsidP="00EB28FC">
      <w:r>
        <w:t>Meta-analysis of studies investigating the diagnostic accuracy of NAAT compared with culture showed that b</w:t>
      </w:r>
      <w:r w:rsidRPr="004A3D28">
        <w:t xml:space="preserve">oth in-house NAATs and the commercial </w:t>
      </w:r>
      <w:proofErr w:type="spellStart"/>
      <w:r w:rsidRPr="004A3D28">
        <w:t>Xpert</w:t>
      </w:r>
      <w:proofErr w:type="spellEnd"/>
      <w:r w:rsidRPr="004A3D28">
        <w:t xml:space="preserve"> NAAT have diagnostic value </w:t>
      </w:r>
      <w:r>
        <w:t xml:space="preserve">for </w:t>
      </w:r>
      <w:r w:rsidRPr="004A3D28">
        <w:t xml:space="preserve">confirming or excluding </w:t>
      </w:r>
      <w:r w:rsidRPr="00D008FE">
        <w:t>culture-positive disease</w:t>
      </w:r>
      <w:r>
        <w:t>. Overall, patients with a positive NAAT result are likely to have culture-positive TB, whereas patients with a negative NAAT result are unlikely to be falsely negative.</w:t>
      </w:r>
    </w:p>
    <w:p w:rsidR="00EB28FC" w:rsidRDefault="00EB28FC" w:rsidP="00EB28FC"/>
    <w:p w:rsidR="00EB28FC" w:rsidRDefault="00EB28FC" w:rsidP="00EB28FC">
      <w:r>
        <w:t>In the context of interpreting NAAT results in conjunction with AFB findings, when specimens are AFB smear-positive a negative NAAT result can confidently exclude the likelihood of an MTB infection (as determined by culture), but a positive NAAT result does not eliminate the possibility of being culture-negative. The explanation for this is that culture is an imperfect reference standard. C</w:t>
      </w:r>
      <w:r w:rsidRPr="00F923E6">
        <w:t>ulture</w:t>
      </w:r>
      <w:r>
        <w:t xml:space="preserve"> in AFB smear-positive specimens likely resulted in misclassification of many of the 22% false-positive results</w:t>
      </w:r>
      <w:r w:rsidRPr="00F923E6">
        <w:t xml:space="preserve"> </w:t>
      </w:r>
      <w:r>
        <w:t>recorded</w:t>
      </w:r>
      <w:r w:rsidRPr="00F923E6">
        <w:t xml:space="preserve"> for NAAT</w:t>
      </w:r>
      <w:r>
        <w:t>.</w:t>
      </w:r>
    </w:p>
    <w:p w:rsidR="00EB28FC" w:rsidRDefault="00EB28FC" w:rsidP="00EB28FC"/>
    <w:p w:rsidR="00EB28FC" w:rsidRDefault="00EB28FC" w:rsidP="00EB28FC">
      <w:r>
        <w:t>In AFB smear-negative specimens a positive NAAT result is likely to correctly</w:t>
      </w:r>
      <w:r w:rsidRPr="008059D2">
        <w:t xml:space="preserve"> confir</w:t>
      </w:r>
      <w:r>
        <w:t>m the presence of MTB. However, interpretation of a negative NAAT result is dependent on the type of specimen tested. In patients with AFB smear-negative sputum, a negative NAAT result indicates that the patient may not be culture-positive but it cannot be ruled out. In patients with AFB smear-negative non-sputum specimens, a negative NAAT result provides no additional useful information. This is likely due to the low numbers of bacilli present in AFB smear-negative specimens. It should be noted that if few bacilli are present in the specimen, the possibility of a false-negative result would increase for all three tests.</w:t>
      </w:r>
    </w:p>
    <w:p w:rsidR="00EB28FC" w:rsidRDefault="00EB28FC" w:rsidP="00EB28FC"/>
    <w:p w:rsidR="00EB28FC" w:rsidRDefault="00EB28FC" w:rsidP="00EB28FC">
      <w:r>
        <w:t>When the results of the included studies were meta-analysed (k=11), NAAT was found to be both highly sensitive (93%, 95%CI 85, 97) and highly specific (98%, 95%CI 96, 99), compared with culture-based DST, in identifying rifampicin-resistant MTB</w:t>
      </w:r>
      <w:r w:rsidRPr="009501C1">
        <w:t>.</w:t>
      </w:r>
    </w:p>
    <w:p w:rsidR="00EB28FC" w:rsidRDefault="00EB28FC" w:rsidP="00EB28FC"/>
    <w:p w:rsidR="00EB28FC" w:rsidRDefault="00EB28FC" w:rsidP="00EB28FC">
      <w:r>
        <w:t>Further analyses indicated that there was no difference in the diagnostic accuracy of AFB microscopy or NAAT, compared with culture, in HIV-positive and HIV-negative patients (k=7 and k=6 studies, respectively). As HIV-positive patients commonly produce AFB smear-negative sputum samples, the difficulty associated with diagnosis of TB in HIV-positive patients is related to the reduced sensitivity of NAAT in this specimen type when compared with AFB smear-positive specimens.</w:t>
      </w:r>
    </w:p>
    <w:p w:rsidR="00EB28FC" w:rsidRDefault="00EB28FC" w:rsidP="00EB28FC"/>
    <w:p w:rsidR="00EB28FC" w:rsidRPr="00D008FE" w:rsidRDefault="00EB28FC" w:rsidP="00EB28FC">
      <w:pPr>
        <w:rPr>
          <w:u w:val="single"/>
        </w:rPr>
      </w:pPr>
      <w:r w:rsidRPr="00D008FE">
        <w:rPr>
          <w:u w:val="single"/>
        </w:rPr>
        <w:t>Does it change patient management?</w:t>
      </w:r>
    </w:p>
    <w:p w:rsidR="00EB28FC" w:rsidRDefault="00EB28FC" w:rsidP="00EB28FC">
      <w:r>
        <w:t>A</w:t>
      </w:r>
      <w:r w:rsidRPr="00714A30">
        <w:t xml:space="preserve">ll studies were in agreement that the use of NAAT resulted in a quicker diagnosis of patients with TB, especially in those who were </w:t>
      </w:r>
      <w:r>
        <w:t>AFB smear-negative (k=14)</w:t>
      </w:r>
      <w:r w:rsidRPr="00714A30">
        <w:t xml:space="preserve">. Predictably, this also resulted in earlier treatment in NAAT-positive patients. </w:t>
      </w:r>
      <w:r>
        <w:t xml:space="preserve">A historical control </w:t>
      </w:r>
      <w:r w:rsidRPr="0091475C">
        <w:t xml:space="preserve">study </w:t>
      </w:r>
      <w:r>
        <w:t>of poor quality and</w:t>
      </w:r>
      <w:r w:rsidRPr="00E71492">
        <w:t xml:space="preserve"> </w:t>
      </w:r>
      <w:r>
        <w:t xml:space="preserve">a retrospective cohort study of medium quality </w:t>
      </w:r>
      <w:r w:rsidRPr="00714A30">
        <w:t>reported that the median duration of unnecessary and/or over</w:t>
      </w:r>
      <w:r>
        <w:t>-</w:t>
      </w:r>
      <w:r w:rsidRPr="00714A30">
        <w:t xml:space="preserve">treatment </w:t>
      </w:r>
      <w:r>
        <w:t>of</w:t>
      </w:r>
      <w:r w:rsidRPr="00714A30">
        <w:t xml:space="preserve"> TB was shorter in patients when NAAT was used to guide treatment decisions compared </w:t>
      </w:r>
      <w:r>
        <w:t>with</w:t>
      </w:r>
      <w:r w:rsidRPr="00714A30">
        <w:t xml:space="preserve"> </w:t>
      </w:r>
      <w:r>
        <w:t>when</w:t>
      </w:r>
      <w:r w:rsidRPr="00714A30">
        <w:t xml:space="preserve"> NAAT</w:t>
      </w:r>
      <w:r>
        <w:t xml:space="preserve"> was not available</w:t>
      </w:r>
      <w:r w:rsidRPr="00714A30">
        <w:t>.</w:t>
      </w:r>
    </w:p>
    <w:p w:rsidR="00EB28FC" w:rsidRDefault="00EB28FC" w:rsidP="00EB28FC"/>
    <w:p w:rsidR="00EB28FC" w:rsidRDefault="00EB28FC" w:rsidP="00EB28FC">
      <w:r>
        <w:lastRenderedPageBreak/>
        <w:t>T</w:t>
      </w:r>
      <w:r w:rsidRPr="00021C25">
        <w:t>here w</w:t>
      </w:r>
      <w:r>
        <w:t>ere</w:t>
      </w:r>
      <w:r w:rsidRPr="00021C25">
        <w:t xml:space="preserve"> conflicting data on the likely impact of NAAT in the clinical setting. </w:t>
      </w:r>
      <w:r>
        <w:t>A retrospective cohort study of poor quality and a high risk of bias, conducted in the UK (medium TB incidence), concluded that clinician decision-making would be affected by NAAT results and that there would be significant clinical benefits from the use of NAAT in low-prevalence settings</w:t>
      </w:r>
      <w:r w:rsidRPr="00714A30">
        <w:t>.</w:t>
      </w:r>
      <w:r>
        <w:t xml:space="preserve"> </w:t>
      </w:r>
      <w:r w:rsidRPr="00021C25">
        <w:t xml:space="preserve">Two </w:t>
      </w:r>
      <w:r>
        <w:t xml:space="preserve">cohort </w:t>
      </w:r>
      <w:r w:rsidRPr="00021C25">
        <w:t>studies</w:t>
      </w:r>
      <w:r>
        <w:t xml:space="preserve"> of medium quality, one retrospective and conducted in Saudi Arabia (medium TB incidence) and the other conducted in Canada (low TB incidence), </w:t>
      </w:r>
      <w:r w:rsidRPr="00021C25">
        <w:t>suggest that clinicians w</w:t>
      </w:r>
      <w:r>
        <w:t>ould</w:t>
      </w:r>
      <w:r w:rsidRPr="00021C25">
        <w:t xml:space="preserve"> be reluctant to change patient management based on the NAAT </w:t>
      </w:r>
      <w:r>
        <w:t>result.</w:t>
      </w:r>
    </w:p>
    <w:p w:rsidR="00EB28FC" w:rsidRPr="00657431" w:rsidRDefault="00EB28FC" w:rsidP="00EB28FC"/>
    <w:p w:rsidR="00EB28FC" w:rsidRPr="00BB6FD5" w:rsidRDefault="00EB28FC" w:rsidP="00EB28FC">
      <w:pPr>
        <w:rPr>
          <w:b/>
        </w:rPr>
      </w:pPr>
      <w:r w:rsidRPr="00BB6FD5">
        <w:rPr>
          <w:b/>
        </w:rPr>
        <w:t>Does change in management improve patient outcomes?</w:t>
      </w:r>
    </w:p>
    <w:p w:rsidR="00EB28FC" w:rsidRDefault="00EB28FC" w:rsidP="00EB28FC">
      <w:r>
        <w:t>Two prospective cohort studies of poor quality, conducted in countries with a low incidence of TB, reported that a delay in time to diagnosis was significantly associated with an increased risk of transmission of TB among contacts. A retrospective cohort study of poor quality, conducted in New Zealand, indicated that, for the individual patient, the time between development of symptoms and diagnosis was not significantly associated with achieving a favourable treatment outcome (i.e. cure or treatment completed). Three cohort studies (two retrospective) of medium quality provided some evidence that patients with rifampicin-resistant TB who received a rifampicin-containing Category II treatment, before receiving the results of DST had slightly poorer health outcomes than those who did not.</w:t>
      </w:r>
    </w:p>
    <w:p w:rsidR="00EB28FC" w:rsidRDefault="00EB28FC" w:rsidP="00EB28FC"/>
    <w:p w:rsidR="00EB28FC" w:rsidRDefault="00EB28FC" w:rsidP="00EB28FC">
      <w:r>
        <w:t xml:space="preserve">All TB patients are at risk of adverse health events (e.g. hepatitis) associated with first-line treatment. Two SRs, one of medium quality and one of poor quality, found that some, but not all, AEs as a consequence of </w:t>
      </w:r>
      <w:r w:rsidRPr="00AE7123">
        <w:t>patients with active TB receiv</w:t>
      </w:r>
      <w:r>
        <w:t>ing</w:t>
      </w:r>
      <w:r w:rsidRPr="00AE7123">
        <w:t xml:space="preserve"> inappropriate antibiotic treatment</w:t>
      </w:r>
      <w:r>
        <w:t xml:space="preserve"> (due to MTB resistance) may be avoided with appropriate treatment, to which the MTB strain is sensitive. One SR of good quality found that patients have a higher risk of developing multidrug-resistant TB (MDR-TB) if they receive inappropriate drug treatment.</w:t>
      </w:r>
    </w:p>
    <w:p w:rsidR="00EB28FC" w:rsidRDefault="00EB28FC" w:rsidP="00EB28FC">
      <w:pPr>
        <w:rPr>
          <w:b/>
        </w:rPr>
      </w:pPr>
    </w:p>
    <w:p w:rsidR="00EB28FC" w:rsidRPr="00D008FE" w:rsidRDefault="00EB28FC" w:rsidP="00EB28FC">
      <w:pPr>
        <w:rPr>
          <w:u w:val="single"/>
        </w:rPr>
      </w:pPr>
      <w:r w:rsidRPr="00D008FE">
        <w:rPr>
          <w:u w:val="single"/>
        </w:rPr>
        <w:t>Overall conclusion with respect to comparative effectiveness</w:t>
      </w:r>
    </w:p>
    <w:p w:rsidR="00EB28FC" w:rsidRDefault="00EB28FC" w:rsidP="00EB28FC">
      <w:r w:rsidRPr="00133C63">
        <w:t>Comparison of AFB, NAAT</w:t>
      </w:r>
      <w:r>
        <w:t>,</w:t>
      </w:r>
      <w:r w:rsidRPr="00133C63">
        <w:t xml:space="preserve"> and AFB plus NAAT</w:t>
      </w:r>
      <w:r>
        <w:t>,</w:t>
      </w:r>
      <w:r w:rsidRPr="00133C63">
        <w:t xml:space="preserve"> using culture as the reference standard</w:t>
      </w:r>
      <w:r>
        <w:t>,</w:t>
      </w:r>
      <w:r w:rsidRPr="00133C63">
        <w:t xml:space="preserve"> showed that AFB plus NAAT</w:t>
      </w:r>
      <w:r>
        <w:t xml:space="preserve"> (the testing strategy proposed in the application)</w:t>
      </w:r>
      <w:r w:rsidRPr="00133C63">
        <w:t xml:space="preserve"> ha</w:t>
      </w:r>
      <w:r>
        <w:t>d</w:t>
      </w:r>
      <w:r w:rsidRPr="00133C63">
        <w:t xml:space="preserve"> the highest false-positive rate </w:t>
      </w:r>
      <w:r>
        <w:t>of</w:t>
      </w:r>
      <w:r w:rsidRPr="00133C63">
        <w:t xml:space="preserve"> 12%, </w:t>
      </w:r>
      <w:r>
        <w:t xml:space="preserve">with NAAT alone at 6% and AFB alone at 2%. </w:t>
      </w:r>
      <w:r w:rsidRPr="00133C63">
        <w:t xml:space="preserve">A false-positive result means </w:t>
      </w:r>
      <w:r>
        <w:t xml:space="preserve">that </w:t>
      </w:r>
      <w:r w:rsidRPr="00133C63">
        <w:t xml:space="preserve">a patient will receive treatment for a short time (until clinical unresponsiveness is noted or culture results are available) for a disease they do not have. </w:t>
      </w:r>
      <w:r>
        <w:t xml:space="preserve">However, as culture is an imperfect reference standard, a large proportion of these false-positive patients may actually have clinical disease. </w:t>
      </w:r>
      <w:r w:rsidRPr="00133C63">
        <w:t xml:space="preserve">AFB microscopy </w:t>
      </w:r>
      <w:r>
        <w:t xml:space="preserve">alone </w:t>
      </w:r>
      <w:r w:rsidRPr="00133C63">
        <w:t>ha</w:t>
      </w:r>
      <w:r>
        <w:t>d</w:t>
      </w:r>
      <w:r w:rsidRPr="00133C63">
        <w:t xml:space="preserve"> the highest false-negative rate at 38%, </w:t>
      </w:r>
      <w:r>
        <w:t xml:space="preserve">whereas </w:t>
      </w:r>
      <w:r w:rsidRPr="00133C63">
        <w:t xml:space="preserve">NAAT </w:t>
      </w:r>
      <w:r>
        <w:t>alone or AFB plus NAAT we</w:t>
      </w:r>
      <w:r w:rsidRPr="00133C63">
        <w:t>re much lower at 11% and 6%</w:t>
      </w:r>
      <w:r>
        <w:t>, respectively</w:t>
      </w:r>
      <w:r w:rsidRPr="00133C63">
        <w:t>. The consequences of a false-negative result are much more severe, as the patient may remain untreated for a longer time period and could potentially spread the disease to more individuals</w:t>
      </w:r>
      <w:r>
        <w:t xml:space="preserve"> in the community</w:t>
      </w:r>
      <w:r w:rsidRPr="00133C63">
        <w:t>.</w:t>
      </w:r>
    </w:p>
    <w:p w:rsidR="00EB28FC" w:rsidRDefault="00EB28FC" w:rsidP="00EB28FC"/>
    <w:p w:rsidR="00EB28FC" w:rsidRDefault="00EB28FC" w:rsidP="00EB28FC">
      <w:r>
        <w:t xml:space="preserve">The results of the meta-analyses presented in this report suggest that NAAT would be a useful addition to AFB microscopy and culture in the diagnosis of both pulmonary and </w:t>
      </w:r>
      <w:proofErr w:type="spellStart"/>
      <w:r>
        <w:t>extrapulmonary</w:t>
      </w:r>
      <w:proofErr w:type="spellEnd"/>
      <w:r>
        <w:t xml:space="preserve"> TB. P</w:t>
      </w:r>
      <w:r w:rsidRPr="00133C63">
        <w:t xml:space="preserve">atients with a positive AFB test </w:t>
      </w:r>
      <w:r>
        <w:t xml:space="preserve">or NAAT result </w:t>
      </w:r>
      <w:r w:rsidRPr="00133C63">
        <w:t xml:space="preserve">are likely </w:t>
      </w:r>
      <w:r>
        <w:t xml:space="preserve">to </w:t>
      </w:r>
      <w:r w:rsidRPr="00133C63">
        <w:t>have</w:t>
      </w:r>
      <w:r>
        <w:t xml:space="preserve"> culture-positive</w:t>
      </w:r>
      <w:r w:rsidRPr="00133C63">
        <w:t xml:space="preserve"> TB</w:t>
      </w:r>
      <w:r>
        <w:t>, and it becomes almost certain if both tests are positive. No useful information can be obtained directly from a negative AFB result, as these p</w:t>
      </w:r>
      <w:r w:rsidRPr="00133C63">
        <w:t>atients may or may not have TB</w:t>
      </w:r>
      <w:r>
        <w:t>. A negative</w:t>
      </w:r>
      <w:r w:rsidRPr="00133C63">
        <w:t xml:space="preserve"> NAAT result </w:t>
      </w:r>
      <w:r>
        <w:t>should be interpreted with reference to the AFB result—in a patient who was AFB smear-positive it almost completely eliminates the likelihood of being MTB culture-positive; conversely, in a patient who was AFB smear-negative it does not eliminate the possibility of culture-positive disease</w:t>
      </w:r>
      <w:r w:rsidRPr="00133C63">
        <w:t>.</w:t>
      </w:r>
    </w:p>
    <w:p w:rsidR="00EB28FC" w:rsidRDefault="00EB28FC" w:rsidP="00EB28FC"/>
    <w:p w:rsidR="00EB28FC" w:rsidRDefault="00EB28FC" w:rsidP="00EB28FC">
      <w:r>
        <w:t>The use of NAAT enables</w:t>
      </w:r>
      <w:r w:rsidRPr="00C42AC0">
        <w:t xml:space="preserve"> quicker diagnosis </w:t>
      </w:r>
      <w:r>
        <w:t xml:space="preserve">and treatment </w:t>
      </w:r>
      <w:r w:rsidRPr="00C42AC0">
        <w:t xml:space="preserve">of patients with TB, especially in those who </w:t>
      </w:r>
      <w:r>
        <w:t>a</w:t>
      </w:r>
      <w:r w:rsidRPr="00C42AC0">
        <w:t xml:space="preserve">re NAAT-positive </w:t>
      </w:r>
      <w:r>
        <w:t>and AFB smear-negative</w:t>
      </w:r>
      <w:r w:rsidRPr="00C42AC0">
        <w:t>.</w:t>
      </w:r>
      <w:r>
        <w:t xml:space="preserve"> It also reduces the </w:t>
      </w:r>
      <w:r w:rsidRPr="00C42AC0">
        <w:t xml:space="preserve">duration of </w:t>
      </w:r>
      <w:r w:rsidRPr="00C42AC0">
        <w:lastRenderedPageBreak/>
        <w:t>unnecessary and/or over</w:t>
      </w:r>
      <w:r>
        <w:t>-</w:t>
      </w:r>
      <w:r w:rsidRPr="00C42AC0">
        <w:t>treatment for TB</w:t>
      </w:r>
      <w:r>
        <w:t>, particularly in those patients who are NAAT-negative and AFB-positive.</w:t>
      </w:r>
    </w:p>
    <w:p w:rsidR="00EB28FC" w:rsidRDefault="00EB28FC" w:rsidP="00EB28FC"/>
    <w:p w:rsidR="00EB28FC" w:rsidRPr="00730826" w:rsidRDefault="00EB28FC" w:rsidP="00EB28FC">
      <w:r>
        <w:t>T</w:t>
      </w:r>
      <w:r w:rsidRPr="00730826">
        <w:t xml:space="preserve">he accuracy of NAAT compared </w:t>
      </w:r>
      <w:r>
        <w:t>with</w:t>
      </w:r>
      <w:r w:rsidRPr="00730826">
        <w:t xml:space="preserve"> culture-based DST </w:t>
      </w:r>
      <w:r>
        <w:t>indicates</w:t>
      </w:r>
      <w:r w:rsidRPr="00730826">
        <w:t xml:space="preserve"> that NAAT </w:t>
      </w:r>
      <w:r>
        <w:t>can accurately identify patients with</w:t>
      </w:r>
      <w:r w:rsidRPr="00730826">
        <w:t xml:space="preserve"> </w:t>
      </w:r>
      <w:r>
        <w:t>rifampicin</w:t>
      </w:r>
      <w:r w:rsidRPr="00730826">
        <w:t xml:space="preserve">-resistant MTB. Thus, NAAT could be used to inform </w:t>
      </w:r>
      <w:r>
        <w:t xml:space="preserve">the type of antibacterial treatment offered to TB patients. This would help </w:t>
      </w:r>
      <w:r w:rsidRPr="00730826">
        <w:t xml:space="preserve">avoid side effects </w:t>
      </w:r>
      <w:r>
        <w:t>such as</w:t>
      </w:r>
      <w:r w:rsidRPr="00730826">
        <w:t xml:space="preserve"> hepatitis from inappropriate use of </w:t>
      </w:r>
      <w:r>
        <w:t xml:space="preserve">rifampicin, and earlier appropriate treatment for rifampicin resistance would also reduce the </w:t>
      </w:r>
      <w:r w:rsidRPr="00730826">
        <w:t>risk of developing MDR-TB</w:t>
      </w:r>
      <w:r>
        <w:t>.</w:t>
      </w:r>
    </w:p>
    <w:p w:rsidR="00EB28FC" w:rsidRDefault="00EB28FC" w:rsidP="00EB28FC">
      <w:pPr>
        <w:rPr>
          <w:b/>
        </w:rPr>
      </w:pPr>
    </w:p>
    <w:p w:rsidR="00EB28FC" w:rsidRPr="007D1079" w:rsidRDefault="00EB28FC" w:rsidP="00EB28FC">
      <w:pPr>
        <w:rPr>
          <w:u w:val="single"/>
        </w:rPr>
      </w:pPr>
      <w:r w:rsidRPr="007D1079">
        <w:rPr>
          <w:u w:val="single"/>
        </w:rPr>
        <w:t>Linked evidence of diagnostic effectiveness of NAAT in the diagnosis of NTM</w:t>
      </w:r>
    </w:p>
    <w:p w:rsidR="00EB28FC" w:rsidRDefault="00EB28FC" w:rsidP="00EB28FC">
      <w:r w:rsidRPr="00DF2FCE">
        <w:t>NAAT</w:t>
      </w:r>
      <w:r>
        <w:t xml:space="preserve"> to detect NTM </w:t>
      </w:r>
      <w:r w:rsidRPr="00DF2FCE">
        <w:t xml:space="preserve">could be separated into </w:t>
      </w:r>
      <w:r>
        <w:t>three</w:t>
      </w:r>
      <w:r w:rsidRPr="00DF2FCE">
        <w:t xml:space="preserve"> distinct categories</w:t>
      </w:r>
      <w:r>
        <w:t xml:space="preserve">: </w:t>
      </w:r>
      <w:r w:rsidRPr="00DF2FCE">
        <w:t>detect</w:t>
      </w:r>
      <w:r>
        <w:t>ing</w:t>
      </w:r>
      <w:r w:rsidRPr="00DF2FCE">
        <w:t xml:space="preserve"> NTMs in general (NTM-NAAT)</w:t>
      </w:r>
      <w:r>
        <w:t xml:space="preserve">, </w:t>
      </w:r>
      <w:r w:rsidRPr="00DF2FCE">
        <w:t>specifically detect</w:t>
      </w:r>
      <w:r>
        <w:t>ing</w:t>
      </w:r>
      <w:r w:rsidRPr="00DF2FCE">
        <w:t xml:space="preserve"> </w:t>
      </w:r>
      <w:r w:rsidRPr="00F234BF">
        <w:rPr>
          <w:i/>
        </w:rPr>
        <w:t>M. avian</w:t>
      </w:r>
      <w:r w:rsidRPr="00DF2FCE">
        <w:t xml:space="preserve"> complex </w:t>
      </w:r>
      <w:r>
        <w:t xml:space="preserve">(MAC) </w:t>
      </w:r>
      <w:r w:rsidRPr="00DF2FCE">
        <w:t xml:space="preserve">strains (MAC-NAAT), </w:t>
      </w:r>
      <w:r>
        <w:t>and</w:t>
      </w:r>
      <w:r w:rsidRPr="00DF2FCE">
        <w:t xml:space="preserve"> detect</w:t>
      </w:r>
      <w:r>
        <w:t>ing</w:t>
      </w:r>
      <w:r w:rsidRPr="00DF2FCE">
        <w:t xml:space="preserve"> </w:t>
      </w:r>
      <w:r w:rsidRPr="00357C8E">
        <w:rPr>
          <w:i/>
        </w:rPr>
        <w:t xml:space="preserve">M. </w:t>
      </w:r>
      <w:proofErr w:type="spellStart"/>
      <w:r w:rsidRPr="00357C8E">
        <w:rPr>
          <w:i/>
        </w:rPr>
        <w:t>ulcerans</w:t>
      </w:r>
      <w:proofErr w:type="spellEnd"/>
      <w:r w:rsidRPr="00DF2FCE">
        <w:t xml:space="preserve"> in patients suspected of having </w:t>
      </w:r>
      <w:proofErr w:type="spellStart"/>
      <w:r w:rsidRPr="00DF2FCE">
        <w:t>Buruli</w:t>
      </w:r>
      <w:proofErr w:type="spellEnd"/>
      <w:r w:rsidRPr="00DF2FCE">
        <w:t xml:space="preserve"> ulcer</w:t>
      </w:r>
      <w:r>
        <w:t>.</w:t>
      </w:r>
      <w:r w:rsidRPr="00DF2FCE">
        <w:t xml:space="preserve"> </w:t>
      </w:r>
      <w:r>
        <w:t xml:space="preserve">The pooled accuracy of MAC-NAAT compared with culture showed that patients with a positive MAC-NAAT result were most likely to be infected with </w:t>
      </w:r>
      <w:r w:rsidRPr="00357C8E">
        <w:rPr>
          <w:i/>
        </w:rPr>
        <w:t>M. avian</w:t>
      </w:r>
      <w:r>
        <w:t xml:space="preserve">, but it is equivocal whether patients with a negative result have a culture-positive MAC infection (k=5 studies). Patients with a positive NTM-NAAT were more likely to have an infection than not, and patients with a negative result were more likely to be uninfected with NTM than to be infected (k=5 studies). The area under the </w:t>
      </w:r>
      <w:r w:rsidRPr="00183F52">
        <w:t>summary receiver–operator characteristic (SROC) curve indicated that both NTM- and M</w:t>
      </w:r>
      <w:r>
        <w:t xml:space="preserve">AC-NAAT performed well in predicting culture positivity. There was insufficient evidence of </w:t>
      </w:r>
      <w:r w:rsidRPr="00750F06">
        <w:t xml:space="preserve">the accuracy of NAAT in the diagnosis of NTM in </w:t>
      </w:r>
      <w:r>
        <w:t xml:space="preserve">AFB smear-positive </w:t>
      </w:r>
      <w:r w:rsidRPr="00750F06">
        <w:t xml:space="preserve">or </w:t>
      </w:r>
      <w:r>
        <w:t>-</w:t>
      </w:r>
      <w:r w:rsidRPr="00750F06">
        <w:t>negative specimens</w:t>
      </w:r>
      <w:r>
        <w:t>, so</w:t>
      </w:r>
      <w:r w:rsidRPr="00750F06">
        <w:t xml:space="preserve"> </w:t>
      </w:r>
      <w:r>
        <w:t>n</w:t>
      </w:r>
      <w:r w:rsidRPr="00750F06">
        <w:t>o conclusions could be reached about</w:t>
      </w:r>
      <w:r>
        <w:t xml:space="preserve"> the value of NAAT in conjunction with AFB microscopy in the detection of NTM infections</w:t>
      </w:r>
      <w:r w:rsidRPr="00750F06">
        <w:t>.</w:t>
      </w:r>
    </w:p>
    <w:p w:rsidR="00EB28FC" w:rsidRDefault="00EB28FC" w:rsidP="00EB28FC"/>
    <w:p w:rsidR="00EB28FC" w:rsidRDefault="00EB28FC" w:rsidP="00EB28FC">
      <w:r>
        <w:t>It should be noted that culture is an imperfect reference standard. When compared with a clinical reference standard, the median sensitivity for NTM-NAAT (k=2) was higher than for culture or AFB microscopy. NAAT appears to be able to identify a larger proportion of patients with an NTM infection than either AFB microscopy or culture. The results of these meta-analyses should be viewed with caution due to the small number of studies included and the wide 95% confidence intervals (CIs) for many of the analyses.</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EB28FC" w:rsidRDefault="00EB28FC" w:rsidP="00EB28FC">
      <w:r>
        <w:t xml:space="preserve">A cost–utility analysis is presented to assess the cost-effectiveness of adding NAAT to AFB smear microscopy, and culture and sensitivity (C&amp;S), testing in a population with clinical signs and symptoms of active TB. </w:t>
      </w:r>
    </w:p>
    <w:p w:rsidR="00C07CA6" w:rsidRDefault="00C07CA6" w:rsidP="00EB28FC"/>
    <w:p w:rsidR="00EB28FC" w:rsidRDefault="00EB28FC" w:rsidP="00EB28FC">
      <w:r>
        <w:t>As clinical management in Australia differs depending on the clinical suspicion (pre-test probability) of TB, the model is separated into patients with:</w:t>
      </w:r>
    </w:p>
    <w:p w:rsidR="00EB28FC" w:rsidRDefault="00EB28FC" w:rsidP="00EB28FC">
      <w:pPr>
        <w:pStyle w:val="ListParagraph"/>
        <w:numPr>
          <w:ilvl w:val="0"/>
          <w:numId w:val="28"/>
        </w:numPr>
        <w:ind w:left="284" w:hanging="284"/>
        <w:contextualSpacing w:val="0"/>
        <w:jc w:val="both"/>
      </w:pPr>
      <w:r>
        <w:t>a high clinical suspicion of TB, where treatment is initiated based on clinical suspicion, and the benefit of NAAT is to identify resistance mutations and initiate appropriate earlier treatment for MDR; and</w:t>
      </w:r>
    </w:p>
    <w:p w:rsidR="00EB28FC" w:rsidRDefault="00EB28FC" w:rsidP="00EB28FC">
      <w:pPr>
        <w:pStyle w:val="ListParagraph"/>
        <w:numPr>
          <w:ilvl w:val="0"/>
          <w:numId w:val="28"/>
        </w:numPr>
        <w:ind w:left="284" w:hanging="284"/>
        <w:contextualSpacing w:val="0"/>
        <w:jc w:val="both"/>
      </w:pPr>
      <w:proofErr w:type="gramStart"/>
      <w:r>
        <w:t>a</w:t>
      </w:r>
      <w:proofErr w:type="gramEnd"/>
      <w:r>
        <w:t xml:space="preserve"> low clinical suspicion of TB, where treatment decisions are initiated or delayed based on AFB ± NAAT results. In addition to earlier MDR treatment initiation, additional benefits of NAAT include the ability to differentiate between patients with MTB and NTM infections (who would have previously been treated on the basis of the AFB results alone), and to reduce the delay in treatment in those with true TB who returned a negative AFB result (who would not have been treated without the availability of NAAT).</w:t>
      </w:r>
    </w:p>
    <w:p w:rsidR="00EB28FC" w:rsidRDefault="00EB28FC" w:rsidP="00EB28FC"/>
    <w:p w:rsidR="00EB28FC" w:rsidRDefault="00EB28FC" w:rsidP="00EB28FC">
      <w:r>
        <w:t>Additional scenarios are presented to examine the extent to which treatment initiation decisions based on clinical suspicion affect the cost-effectiveness of NAAT.</w:t>
      </w:r>
    </w:p>
    <w:p w:rsidR="00EB28FC" w:rsidRPr="00587274" w:rsidRDefault="00EB28FC" w:rsidP="00EB28FC">
      <w:pPr>
        <w:pStyle w:val="Heading6"/>
        <w:rPr>
          <w:b/>
          <w:color w:val="auto"/>
        </w:rPr>
      </w:pPr>
      <w:r w:rsidRPr="00587274">
        <w:rPr>
          <w:b/>
          <w:color w:val="auto"/>
        </w:rPr>
        <w:lastRenderedPageBreak/>
        <w:t>Key model assumptions</w:t>
      </w:r>
    </w:p>
    <w:p w:rsidR="00EB28FC" w:rsidRDefault="00EB28FC" w:rsidP="00C07CA6">
      <w:pPr>
        <w:pStyle w:val="ListParagraph"/>
        <w:numPr>
          <w:ilvl w:val="0"/>
          <w:numId w:val="28"/>
        </w:numPr>
        <w:ind w:left="284" w:hanging="284"/>
        <w:contextualSpacing w:val="0"/>
      </w:pPr>
      <w:r>
        <w:t>When AFB smear and NAAT are discordant, the treatment decision is based on NAAT (i.e. consistent with PASC protocol).</w:t>
      </w:r>
    </w:p>
    <w:p w:rsidR="00EB28FC" w:rsidRDefault="00EB28FC" w:rsidP="00C07CA6">
      <w:pPr>
        <w:pStyle w:val="ListParagraph"/>
        <w:numPr>
          <w:ilvl w:val="0"/>
          <w:numId w:val="28"/>
        </w:numPr>
        <w:ind w:left="284" w:hanging="284"/>
        <w:contextualSpacing w:val="0"/>
      </w:pPr>
      <w:r>
        <w:t>C&amp;S testing (the reference standard) is assumed to be 100% sensitive and specific, as all patients have C&amp;S testing and at the end of 2 months all will have a correct diagnosis (i.e. MDR-TB, TB or no TB).</w:t>
      </w:r>
    </w:p>
    <w:p w:rsidR="00EB28FC" w:rsidRDefault="00EB28FC" w:rsidP="00C07CA6">
      <w:pPr>
        <w:pStyle w:val="ListParagraph"/>
        <w:numPr>
          <w:ilvl w:val="0"/>
          <w:numId w:val="28"/>
        </w:numPr>
        <w:ind w:left="284" w:hanging="284"/>
        <w:contextualSpacing w:val="0"/>
      </w:pPr>
      <w:r>
        <w:t>Once the decision to initiate or delay treatment has been made, the model assumes that there will be no change in treatment until the results of C&amp;S are available. This assumption may favour NAAT, as the earlier initiation of resistant drugs in the comparator arm would reduce the benefit of introducing NAAT.</w:t>
      </w:r>
    </w:p>
    <w:p w:rsidR="00EB28FC" w:rsidRDefault="00EB28FC" w:rsidP="00C07CA6">
      <w:pPr>
        <w:pStyle w:val="ListParagraph"/>
        <w:numPr>
          <w:ilvl w:val="0"/>
          <w:numId w:val="28"/>
        </w:numPr>
        <w:ind w:left="284" w:hanging="284"/>
        <w:contextualSpacing w:val="0"/>
      </w:pPr>
      <w:r>
        <w:t>Cost and utility penalties associated with the secondary transmission of TB are applied for each index case in the model, but the consequences (i.e. cost or health outcome) of further ongoing transmissions (e.g. tertiary transmissions and beyond) are not included in the base-case.</w:t>
      </w:r>
    </w:p>
    <w:p w:rsidR="00EB28FC" w:rsidRDefault="00EB28FC" w:rsidP="00EB28FC">
      <w:pPr>
        <w:pStyle w:val="ListParagraph"/>
        <w:ind w:left="284"/>
        <w:contextualSpacing w:val="0"/>
        <w:jc w:val="both"/>
      </w:pPr>
    </w:p>
    <w:p w:rsidR="00EB28FC" w:rsidRDefault="00EB28FC" w:rsidP="00EB28FC">
      <w:r>
        <w:t>The incremental cost-effectiveness of NAAT is presented, incorporating costs in a stepped manner. The base-case i</w:t>
      </w:r>
      <w:r w:rsidRPr="0052270C">
        <w:t>ncremental</w:t>
      </w:r>
      <w:r>
        <w:t xml:space="preserve"> </w:t>
      </w:r>
      <w:r w:rsidRPr="0052270C">
        <w:t>cost-effectiveness ratio</w:t>
      </w:r>
      <w:r>
        <w:t xml:space="preserve"> (ICER) for NAAT is $90,728/QALY. The addition of NAAT leads to more patients initially receiving the correct treatment, due to improved sensitivity in conjunction with AFB and the ability of NAAT to identify MDR-TB. The incremental cost of NAAT is driven predominantly by the cost of testing, offset by reduced TB transmissions and hospitalisation costs. The incremental QALY gain is driven by the shift in patients from being initially untreated TB (or standard treatment in the case of MDR-TB) to receiving correct treatment.</w:t>
      </w:r>
    </w:p>
    <w:p w:rsidR="00EB28FC" w:rsidRDefault="00EB28FC" w:rsidP="00EB28FC">
      <w:pPr>
        <w:pStyle w:val="TableHeading"/>
        <w:tabs>
          <w:tab w:val="clear" w:pos="851"/>
        </w:tabs>
        <w:ind w:left="1134" w:hanging="1134"/>
      </w:pPr>
      <w:bookmarkStart w:id="11" w:name="_Toc406660311"/>
      <w:r>
        <w:t xml:space="preserve">Table </w:t>
      </w:r>
      <w:r w:rsidR="00C07CA6">
        <w:t>2</w:t>
      </w:r>
      <w:r>
        <w:tab/>
      </w:r>
      <w:r w:rsidRPr="0032335C">
        <w:t>The incremental cost-effectiveness of NAAT</w:t>
      </w:r>
      <w:bookmarkEnd w:id="11"/>
    </w:p>
    <w:tbl>
      <w:tblPr>
        <w:tblStyle w:val="TableGrid"/>
        <w:tblW w:w="0" w:type="auto"/>
        <w:tblInd w:w="108" w:type="dxa"/>
        <w:tblLook w:val="04A0" w:firstRow="1" w:lastRow="0" w:firstColumn="1" w:lastColumn="0" w:noHBand="0" w:noVBand="1"/>
        <w:tblCaption w:val="The incremental cost-effectiveness of NAAT"/>
      </w:tblPr>
      <w:tblGrid>
        <w:gridCol w:w="2694"/>
        <w:gridCol w:w="5103"/>
        <w:gridCol w:w="1337"/>
      </w:tblGrid>
      <w:tr w:rsidR="00EB28FC" w:rsidTr="009420AD">
        <w:trPr>
          <w:tblHeader/>
        </w:trPr>
        <w:tc>
          <w:tcPr>
            <w:tcW w:w="2694" w:type="dxa"/>
            <w:tcBorders>
              <w:bottom w:val="single" w:sz="4" w:space="0" w:color="auto"/>
            </w:tcBorders>
          </w:tcPr>
          <w:p w:rsidR="00EB28FC" w:rsidRDefault="00EB28FC" w:rsidP="009420AD">
            <w:pPr>
              <w:pStyle w:val="TableHeading"/>
              <w:spacing w:before="40" w:after="40"/>
              <w:ind w:left="0" w:firstLine="0"/>
            </w:pPr>
            <w:r>
              <w:t>Utilities considered</w:t>
            </w:r>
          </w:p>
        </w:tc>
        <w:tc>
          <w:tcPr>
            <w:tcW w:w="5103" w:type="dxa"/>
          </w:tcPr>
          <w:p w:rsidR="00EB28FC" w:rsidRDefault="00EB28FC" w:rsidP="009420AD">
            <w:pPr>
              <w:pStyle w:val="TableHeading"/>
              <w:spacing w:before="40" w:after="40"/>
              <w:ind w:left="0" w:firstLine="0"/>
            </w:pPr>
            <w:r>
              <w:t>Costs included (NAAT cost applied in AFB + NAAT arm)</w:t>
            </w:r>
          </w:p>
        </w:tc>
        <w:tc>
          <w:tcPr>
            <w:tcW w:w="1337" w:type="dxa"/>
          </w:tcPr>
          <w:p w:rsidR="00EB28FC" w:rsidRDefault="00EB28FC" w:rsidP="009420AD">
            <w:pPr>
              <w:pStyle w:val="TableHeading"/>
              <w:spacing w:before="40" w:after="40"/>
              <w:ind w:left="0" w:firstLine="0"/>
              <w:jc w:val="right"/>
            </w:pPr>
            <w:r>
              <w:t>ICER</w:t>
            </w:r>
          </w:p>
        </w:tc>
      </w:tr>
      <w:tr w:rsidR="00EB28FC" w:rsidTr="009420AD">
        <w:tc>
          <w:tcPr>
            <w:tcW w:w="2694" w:type="dxa"/>
            <w:tcBorders>
              <w:bottom w:val="nil"/>
            </w:tcBorders>
          </w:tcPr>
          <w:p w:rsidR="00EB28FC" w:rsidRDefault="00EB28FC" w:rsidP="009420AD">
            <w:pPr>
              <w:pStyle w:val="Tabletext0"/>
              <w:keepNext/>
            </w:pPr>
            <w:r>
              <w:t>Index patient utility</w:t>
            </w:r>
          </w:p>
        </w:tc>
        <w:tc>
          <w:tcPr>
            <w:tcW w:w="5103" w:type="dxa"/>
          </w:tcPr>
          <w:p w:rsidR="00EB28FC" w:rsidRDefault="00EB28FC" w:rsidP="009420AD">
            <w:pPr>
              <w:pStyle w:val="Tabletext0"/>
              <w:keepNext/>
            </w:pPr>
            <w:r>
              <w:t>Treatment only</w:t>
            </w:r>
          </w:p>
        </w:tc>
        <w:tc>
          <w:tcPr>
            <w:tcW w:w="1337" w:type="dxa"/>
            <w:vAlign w:val="bottom"/>
          </w:tcPr>
          <w:p w:rsidR="00EB28FC" w:rsidRDefault="00EB28FC" w:rsidP="009420AD">
            <w:pPr>
              <w:pStyle w:val="Tabletext0"/>
              <w:jc w:val="right"/>
            </w:pPr>
            <w:r>
              <w:t>$188,307</w:t>
            </w:r>
          </w:p>
        </w:tc>
      </w:tr>
      <w:tr w:rsidR="00EB28FC" w:rsidTr="009420AD">
        <w:tc>
          <w:tcPr>
            <w:tcW w:w="2694" w:type="dxa"/>
            <w:tcBorders>
              <w:top w:val="nil"/>
              <w:bottom w:val="nil"/>
            </w:tcBorders>
          </w:tcPr>
          <w:p w:rsidR="00EB28FC" w:rsidRDefault="00EB28FC" w:rsidP="009420AD">
            <w:pPr>
              <w:pStyle w:val="Tabletext0"/>
              <w:keepNext/>
            </w:pPr>
            <w:r w:rsidRPr="00764602">
              <w:rPr>
                <w:color w:val="FFFFFF" w:themeColor="background1"/>
              </w:rPr>
              <w:t>Index patient utility</w:t>
            </w:r>
          </w:p>
        </w:tc>
        <w:tc>
          <w:tcPr>
            <w:tcW w:w="5103" w:type="dxa"/>
          </w:tcPr>
          <w:p w:rsidR="00EB28FC" w:rsidRDefault="00EB28FC" w:rsidP="009420AD">
            <w:pPr>
              <w:pStyle w:val="Tabletext0"/>
              <w:keepNext/>
            </w:pPr>
            <w:r>
              <w:t>Treatment and AEs</w:t>
            </w:r>
          </w:p>
        </w:tc>
        <w:tc>
          <w:tcPr>
            <w:tcW w:w="1337" w:type="dxa"/>
            <w:vAlign w:val="bottom"/>
          </w:tcPr>
          <w:p w:rsidR="00EB28FC" w:rsidRDefault="00EB28FC" w:rsidP="009420AD">
            <w:pPr>
              <w:pStyle w:val="Tabletext0"/>
              <w:jc w:val="right"/>
            </w:pPr>
            <w:r>
              <w:t>$188,238</w:t>
            </w:r>
          </w:p>
        </w:tc>
      </w:tr>
      <w:tr w:rsidR="00EB28FC" w:rsidTr="009420AD">
        <w:tc>
          <w:tcPr>
            <w:tcW w:w="2694" w:type="dxa"/>
            <w:tcBorders>
              <w:top w:val="nil"/>
              <w:bottom w:val="nil"/>
            </w:tcBorders>
          </w:tcPr>
          <w:p w:rsidR="00EB28FC" w:rsidRDefault="00EB28FC" w:rsidP="009420AD">
            <w:pPr>
              <w:pStyle w:val="Tabletext0"/>
              <w:keepNext/>
            </w:pPr>
            <w:r w:rsidRPr="00764602">
              <w:rPr>
                <w:color w:val="FFFFFF" w:themeColor="background1"/>
              </w:rPr>
              <w:t>Index patient utility</w:t>
            </w:r>
          </w:p>
        </w:tc>
        <w:tc>
          <w:tcPr>
            <w:tcW w:w="5103" w:type="dxa"/>
          </w:tcPr>
          <w:p w:rsidR="00EB28FC" w:rsidRDefault="00EB28FC" w:rsidP="009420AD">
            <w:pPr>
              <w:pStyle w:val="Tabletext0"/>
              <w:keepNext/>
            </w:pPr>
            <w:r>
              <w:t>Treatment, AEs and management</w:t>
            </w:r>
          </w:p>
        </w:tc>
        <w:tc>
          <w:tcPr>
            <w:tcW w:w="1337" w:type="dxa"/>
            <w:vAlign w:val="bottom"/>
          </w:tcPr>
          <w:p w:rsidR="00EB28FC" w:rsidRDefault="00EB28FC" w:rsidP="009420AD">
            <w:pPr>
              <w:pStyle w:val="Tabletext0"/>
              <w:jc w:val="right"/>
            </w:pPr>
            <w:r>
              <w:t>$185,882</w:t>
            </w:r>
          </w:p>
        </w:tc>
      </w:tr>
      <w:tr w:rsidR="00EB28FC" w:rsidTr="009420AD">
        <w:tc>
          <w:tcPr>
            <w:tcW w:w="2694" w:type="dxa"/>
            <w:tcBorders>
              <w:top w:val="nil"/>
              <w:bottom w:val="nil"/>
            </w:tcBorders>
          </w:tcPr>
          <w:p w:rsidR="00EB28FC" w:rsidRDefault="00EB28FC" w:rsidP="009420AD">
            <w:pPr>
              <w:pStyle w:val="Tabletext0"/>
              <w:keepNext/>
            </w:pPr>
            <w:r w:rsidRPr="00764602">
              <w:rPr>
                <w:color w:val="FFFFFF" w:themeColor="background1"/>
              </w:rPr>
              <w:t>Index patient utility</w:t>
            </w:r>
          </w:p>
        </w:tc>
        <w:tc>
          <w:tcPr>
            <w:tcW w:w="5103" w:type="dxa"/>
          </w:tcPr>
          <w:p w:rsidR="00EB28FC" w:rsidRDefault="00EB28FC" w:rsidP="009420AD">
            <w:pPr>
              <w:pStyle w:val="Tabletext0"/>
              <w:keepNext/>
            </w:pPr>
            <w:r>
              <w:t>Treatment, AEs, management and hospitalisation</w:t>
            </w:r>
          </w:p>
        </w:tc>
        <w:tc>
          <w:tcPr>
            <w:tcW w:w="1337" w:type="dxa"/>
            <w:vAlign w:val="bottom"/>
          </w:tcPr>
          <w:p w:rsidR="00EB28FC" w:rsidRDefault="00EB28FC" w:rsidP="009420AD">
            <w:pPr>
              <w:pStyle w:val="Tabletext0"/>
              <w:jc w:val="right"/>
            </w:pPr>
            <w:r>
              <w:t>$145,956</w:t>
            </w:r>
          </w:p>
        </w:tc>
      </w:tr>
      <w:tr w:rsidR="00EB28FC" w:rsidTr="009420AD">
        <w:tc>
          <w:tcPr>
            <w:tcW w:w="2694" w:type="dxa"/>
            <w:tcBorders>
              <w:top w:val="nil"/>
            </w:tcBorders>
          </w:tcPr>
          <w:p w:rsidR="00EB28FC" w:rsidRDefault="00EB28FC" w:rsidP="009420AD">
            <w:pPr>
              <w:pStyle w:val="Tabletext0"/>
              <w:keepNext/>
            </w:pPr>
            <w:r w:rsidRPr="00764602">
              <w:rPr>
                <w:color w:val="FFFFFF" w:themeColor="background1"/>
              </w:rPr>
              <w:t>Index patient utility</w:t>
            </w:r>
          </w:p>
        </w:tc>
        <w:tc>
          <w:tcPr>
            <w:tcW w:w="5103" w:type="dxa"/>
          </w:tcPr>
          <w:p w:rsidR="00EB28FC" w:rsidRDefault="00EB28FC" w:rsidP="009420AD">
            <w:pPr>
              <w:pStyle w:val="Tabletext0"/>
              <w:keepNext/>
            </w:pPr>
            <w:r>
              <w:t>Treatment, AEs, management, hospitalisation and transmission</w:t>
            </w:r>
          </w:p>
        </w:tc>
        <w:tc>
          <w:tcPr>
            <w:tcW w:w="1337" w:type="dxa"/>
            <w:vAlign w:val="bottom"/>
          </w:tcPr>
          <w:p w:rsidR="00EB28FC" w:rsidRDefault="00EB28FC" w:rsidP="009420AD">
            <w:pPr>
              <w:pStyle w:val="Tabletext0"/>
              <w:jc w:val="right"/>
            </w:pPr>
            <w:r>
              <w:t>$103,978</w:t>
            </w:r>
          </w:p>
        </w:tc>
      </w:tr>
      <w:tr w:rsidR="00EB28FC" w:rsidTr="009420AD">
        <w:tc>
          <w:tcPr>
            <w:tcW w:w="2694" w:type="dxa"/>
          </w:tcPr>
          <w:p w:rsidR="00EB28FC" w:rsidRDefault="00EB28FC" w:rsidP="009420AD">
            <w:pPr>
              <w:pStyle w:val="Tabletext0"/>
            </w:pPr>
            <w:r>
              <w:t>Index and secondary case utility</w:t>
            </w:r>
          </w:p>
        </w:tc>
        <w:tc>
          <w:tcPr>
            <w:tcW w:w="5103" w:type="dxa"/>
          </w:tcPr>
          <w:p w:rsidR="00EB28FC" w:rsidRDefault="00EB28FC" w:rsidP="009420AD">
            <w:pPr>
              <w:pStyle w:val="Tabletext0"/>
            </w:pPr>
            <w:r>
              <w:t>Treatment, AEs, management, hospitalisation and transmission</w:t>
            </w:r>
          </w:p>
        </w:tc>
        <w:tc>
          <w:tcPr>
            <w:tcW w:w="1337" w:type="dxa"/>
            <w:vAlign w:val="bottom"/>
          </w:tcPr>
          <w:p w:rsidR="00EB28FC" w:rsidRPr="0095115C" w:rsidRDefault="00EB28FC" w:rsidP="009420AD">
            <w:pPr>
              <w:pStyle w:val="Tabletext0"/>
              <w:jc w:val="right"/>
              <w:rPr>
                <w:b/>
              </w:rPr>
            </w:pPr>
            <w:r w:rsidRPr="0095115C">
              <w:rPr>
                <w:b/>
              </w:rPr>
              <w:t>$90,728</w:t>
            </w:r>
          </w:p>
        </w:tc>
      </w:tr>
    </w:tbl>
    <w:p w:rsidR="00EB28FC" w:rsidRDefault="00EB28FC" w:rsidP="00EB28FC">
      <w:pPr>
        <w:pStyle w:val="Caption"/>
      </w:pPr>
      <w:r>
        <w:t>AEs = adverse events; ICER = incremental cost-effectiveness ratio</w:t>
      </w:r>
    </w:p>
    <w:p w:rsidR="00EB28FC" w:rsidRDefault="00EB28FC" w:rsidP="00EB28FC"/>
    <w:p w:rsidR="00DB5833" w:rsidRPr="000F14B4" w:rsidRDefault="00EB28FC" w:rsidP="00A72C1B">
      <w:r>
        <w:t>Sensitivity analyses for the base-case (TB mixed) scenario were conducted around a number of parameters included in the economic modelling (using 95%CI or plausible upper and lower limits). The ICER is most sensitive to changes in the prevalence of TB in the tested population (decreasing the prevalence from 22% to 10% in the tested population increases the ICER to $967,000) and the specificity of NAAT (ICERs exceeding $200,000 when the lower limit of NAAT specificity estimates are used).</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0D2CBD" w:rsidRDefault="000D2CBD" w:rsidP="000D2CBD">
      <w:r>
        <w:t xml:space="preserve">A market-based approach is taken, using MBS data to estimate the number of patients who utilised at least one item of mycobacterial AFB </w:t>
      </w:r>
      <w:r w:rsidRPr="00D62EA9">
        <w:t>microscopy, culture and</w:t>
      </w:r>
      <w:r w:rsidRPr="00994188">
        <w:t xml:space="preserve"> </w:t>
      </w:r>
      <w:r w:rsidRPr="00D62EA9">
        <w:t>sensitivity</w:t>
      </w:r>
      <w:r>
        <w:t xml:space="preserve"> (MC&amp;S) testing in 2009</w:t>
      </w:r>
      <w:r>
        <w:sym w:font="Symbol" w:char="F02D"/>
      </w:r>
      <w:r>
        <w:t>13, and to project the expected number of patients who would be eligible for NAAT for TB and NTM (as requested) in 2015</w:t>
      </w:r>
      <w:r>
        <w:sym w:font="Symbol" w:char="F02D"/>
      </w:r>
      <w:r>
        <w:t xml:space="preserve">19. One NAAT is assumed per eligible patient. However, as this assumption may underestimate the number of tests when multiple mycobacteria are suspected (i.e. TB may be initially suspected with a pulmonary infection, but if negative then NAAT may be used to test for </w:t>
      </w:r>
      <w:r w:rsidRPr="00B0602C">
        <w:rPr>
          <w:i/>
        </w:rPr>
        <w:t xml:space="preserve">M. </w:t>
      </w:r>
      <w:proofErr w:type="spellStart"/>
      <w:r w:rsidRPr="00B0602C">
        <w:rPr>
          <w:i/>
        </w:rPr>
        <w:t>kansasii</w:t>
      </w:r>
      <w:proofErr w:type="spellEnd"/>
      <w:r>
        <w:t xml:space="preserve"> and/or </w:t>
      </w:r>
      <w:r w:rsidRPr="00D62EA9">
        <w:t>MAC</w:t>
      </w:r>
      <w:r>
        <w:t>). It is unclear how often this situation would occur—the applicant has estimated this in approximately 30% of patients initially suspected of TB.</w:t>
      </w:r>
    </w:p>
    <w:p w:rsidR="000D2CBD" w:rsidRDefault="000D2CBD" w:rsidP="000D2CBD"/>
    <w:p w:rsidR="000D2CBD" w:rsidRDefault="000D2CBD" w:rsidP="000D2CBD">
      <w:r>
        <w:lastRenderedPageBreak/>
        <w:t>As NAAT is not intended to replace current testing, the estimated net financial implication to the MBS is equal to the cost of the requested NAAT listings multiplied by the expected number of services. The financial implications to the MBS resulting from the proposed listings o</w:t>
      </w:r>
      <w:r w:rsidR="00C07CA6">
        <w:t>f NAAT are summarised in Table 3</w:t>
      </w:r>
      <w:r>
        <w:t>.</w:t>
      </w:r>
    </w:p>
    <w:p w:rsidR="000D2CBD" w:rsidRDefault="000D2CBD" w:rsidP="000D2CBD"/>
    <w:p w:rsidR="000D2CBD" w:rsidRDefault="000D2CBD" w:rsidP="000D2CBD">
      <w:pPr>
        <w:pStyle w:val="TableHeading"/>
        <w:tabs>
          <w:tab w:val="clear" w:pos="851"/>
          <w:tab w:val="left" w:pos="1134"/>
        </w:tabs>
        <w:ind w:left="1134" w:hanging="1134"/>
      </w:pPr>
      <w:bookmarkStart w:id="12" w:name="_Ref403137617"/>
      <w:bookmarkStart w:id="13" w:name="_Toc406660312"/>
      <w:r>
        <w:t xml:space="preserve">Table </w:t>
      </w:r>
      <w:bookmarkEnd w:id="12"/>
      <w:r w:rsidR="00C07CA6">
        <w:t>3</w:t>
      </w:r>
      <w:r>
        <w:tab/>
        <w:t>Financial implications of proposed NAAT listings</w:t>
      </w:r>
      <w:bookmarkEnd w:id="13"/>
    </w:p>
    <w:tbl>
      <w:tblPr>
        <w:tblStyle w:val="TableGrid"/>
        <w:tblW w:w="0" w:type="auto"/>
        <w:tblInd w:w="108" w:type="dxa"/>
        <w:tblLook w:val="04A0" w:firstRow="1" w:lastRow="0" w:firstColumn="1" w:lastColumn="0" w:noHBand="0" w:noVBand="1"/>
        <w:tblCaption w:val="Financial implications of proposed NAAT listings"/>
      </w:tblPr>
      <w:tblGrid>
        <w:gridCol w:w="3828"/>
        <w:gridCol w:w="1089"/>
        <w:gridCol w:w="1037"/>
        <w:gridCol w:w="1089"/>
        <w:gridCol w:w="1037"/>
        <w:gridCol w:w="1054"/>
      </w:tblGrid>
      <w:tr w:rsidR="000D2CBD" w:rsidTr="009420AD">
        <w:trPr>
          <w:tblHeader/>
        </w:trPr>
        <w:tc>
          <w:tcPr>
            <w:tcW w:w="3828" w:type="dxa"/>
          </w:tcPr>
          <w:p w:rsidR="000D2CBD" w:rsidRPr="00836A4D" w:rsidRDefault="000D2CBD" w:rsidP="009420AD">
            <w:pPr>
              <w:pStyle w:val="TableHeading"/>
              <w:spacing w:before="40" w:after="40"/>
              <w:ind w:left="0" w:firstLine="0"/>
              <w:jc w:val="center"/>
              <w:rPr>
                <w:color w:val="FFFFFF" w:themeColor="background1"/>
              </w:rPr>
            </w:pPr>
            <w:r w:rsidRPr="00836A4D">
              <w:rPr>
                <w:color w:val="FFFFFF" w:themeColor="background1"/>
              </w:rPr>
              <w:t>-</w:t>
            </w:r>
          </w:p>
        </w:tc>
        <w:tc>
          <w:tcPr>
            <w:tcW w:w="1089" w:type="dxa"/>
            <w:vAlign w:val="bottom"/>
          </w:tcPr>
          <w:p w:rsidR="000D2CBD" w:rsidRDefault="000D2CBD" w:rsidP="009420AD">
            <w:pPr>
              <w:pStyle w:val="TableHeading"/>
              <w:spacing w:before="40" w:after="40"/>
              <w:ind w:left="0" w:firstLine="0"/>
              <w:jc w:val="center"/>
            </w:pPr>
            <w:r>
              <w:t>2015</w:t>
            </w:r>
          </w:p>
        </w:tc>
        <w:tc>
          <w:tcPr>
            <w:tcW w:w="1037" w:type="dxa"/>
            <w:vAlign w:val="bottom"/>
          </w:tcPr>
          <w:p w:rsidR="000D2CBD" w:rsidRDefault="000D2CBD" w:rsidP="009420AD">
            <w:pPr>
              <w:pStyle w:val="TableHeading"/>
              <w:spacing w:before="40" w:after="40"/>
              <w:ind w:left="0" w:firstLine="0"/>
              <w:jc w:val="center"/>
            </w:pPr>
            <w:r>
              <w:t>2016</w:t>
            </w:r>
          </w:p>
        </w:tc>
        <w:tc>
          <w:tcPr>
            <w:tcW w:w="1089" w:type="dxa"/>
            <w:vAlign w:val="bottom"/>
          </w:tcPr>
          <w:p w:rsidR="000D2CBD" w:rsidRDefault="000D2CBD" w:rsidP="009420AD">
            <w:pPr>
              <w:pStyle w:val="TableHeading"/>
              <w:spacing w:before="40" w:after="40"/>
              <w:ind w:left="0" w:firstLine="0"/>
              <w:jc w:val="center"/>
            </w:pPr>
            <w:r>
              <w:t>2017</w:t>
            </w:r>
          </w:p>
        </w:tc>
        <w:tc>
          <w:tcPr>
            <w:tcW w:w="1037" w:type="dxa"/>
            <w:vAlign w:val="bottom"/>
          </w:tcPr>
          <w:p w:rsidR="000D2CBD" w:rsidRDefault="000D2CBD" w:rsidP="009420AD">
            <w:pPr>
              <w:pStyle w:val="TableHeading"/>
              <w:spacing w:before="40" w:after="40"/>
              <w:ind w:left="0" w:firstLine="0"/>
              <w:jc w:val="center"/>
            </w:pPr>
            <w:r>
              <w:t>2018</w:t>
            </w:r>
          </w:p>
        </w:tc>
        <w:tc>
          <w:tcPr>
            <w:tcW w:w="1054" w:type="dxa"/>
            <w:vAlign w:val="bottom"/>
          </w:tcPr>
          <w:p w:rsidR="000D2CBD" w:rsidRDefault="000D2CBD" w:rsidP="009420AD">
            <w:pPr>
              <w:pStyle w:val="TableHeading"/>
              <w:spacing w:before="40" w:after="40"/>
              <w:ind w:left="0" w:firstLine="0"/>
              <w:jc w:val="center"/>
            </w:pPr>
            <w:r>
              <w:t>2019</w:t>
            </w:r>
          </w:p>
        </w:tc>
      </w:tr>
      <w:tr w:rsidR="000D2CBD" w:rsidTr="009420AD">
        <w:tc>
          <w:tcPr>
            <w:tcW w:w="3828" w:type="dxa"/>
            <w:tcBorders>
              <w:bottom w:val="single" w:sz="4" w:space="0" w:color="auto"/>
            </w:tcBorders>
          </w:tcPr>
          <w:p w:rsidR="000D2CBD" w:rsidRDefault="000D2CBD" w:rsidP="009420AD">
            <w:pPr>
              <w:pStyle w:val="Tabletext0"/>
              <w:keepNext/>
            </w:pPr>
            <w:r>
              <w:t>Projected number of patients eligible for NAAT</w:t>
            </w:r>
          </w:p>
        </w:tc>
        <w:tc>
          <w:tcPr>
            <w:tcW w:w="1089" w:type="dxa"/>
            <w:tcBorders>
              <w:bottom w:val="single" w:sz="4" w:space="0" w:color="auto"/>
            </w:tcBorders>
            <w:vAlign w:val="bottom"/>
          </w:tcPr>
          <w:p w:rsidR="000D2CBD" w:rsidRDefault="000D2CBD" w:rsidP="009420AD">
            <w:pPr>
              <w:pStyle w:val="Tabletext0"/>
              <w:keepNext/>
              <w:jc w:val="center"/>
            </w:pPr>
            <w:r>
              <w:t>37,575</w:t>
            </w:r>
          </w:p>
        </w:tc>
        <w:tc>
          <w:tcPr>
            <w:tcW w:w="1037" w:type="dxa"/>
            <w:tcBorders>
              <w:bottom w:val="single" w:sz="4" w:space="0" w:color="auto"/>
            </w:tcBorders>
            <w:vAlign w:val="bottom"/>
          </w:tcPr>
          <w:p w:rsidR="000D2CBD" w:rsidRDefault="000D2CBD" w:rsidP="009420AD">
            <w:pPr>
              <w:pStyle w:val="Tabletext0"/>
              <w:keepNext/>
              <w:jc w:val="center"/>
            </w:pPr>
            <w:r>
              <w:t>39,299</w:t>
            </w:r>
          </w:p>
        </w:tc>
        <w:tc>
          <w:tcPr>
            <w:tcW w:w="1089" w:type="dxa"/>
            <w:tcBorders>
              <w:bottom w:val="single" w:sz="4" w:space="0" w:color="auto"/>
            </w:tcBorders>
            <w:vAlign w:val="bottom"/>
          </w:tcPr>
          <w:p w:rsidR="000D2CBD" w:rsidRDefault="000D2CBD" w:rsidP="009420AD">
            <w:pPr>
              <w:pStyle w:val="Tabletext0"/>
              <w:keepNext/>
              <w:jc w:val="center"/>
            </w:pPr>
            <w:r>
              <w:t>41,022</w:t>
            </w:r>
          </w:p>
        </w:tc>
        <w:tc>
          <w:tcPr>
            <w:tcW w:w="1037" w:type="dxa"/>
            <w:tcBorders>
              <w:bottom w:val="single" w:sz="4" w:space="0" w:color="auto"/>
            </w:tcBorders>
            <w:vAlign w:val="bottom"/>
          </w:tcPr>
          <w:p w:rsidR="000D2CBD" w:rsidRDefault="000D2CBD" w:rsidP="009420AD">
            <w:pPr>
              <w:pStyle w:val="Tabletext0"/>
              <w:keepNext/>
              <w:jc w:val="center"/>
            </w:pPr>
            <w:r>
              <w:t>42,745</w:t>
            </w:r>
          </w:p>
        </w:tc>
        <w:tc>
          <w:tcPr>
            <w:tcW w:w="1054" w:type="dxa"/>
            <w:tcBorders>
              <w:bottom w:val="single" w:sz="4" w:space="0" w:color="auto"/>
            </w:tcBorders>
            <w:vAlign w:val="bottom"/>
          </w:tcPr>
          <w:p w:rsidR="000D2CBD" w:rsidRDefault="000D2CBD" w:rsidP="009420AD">
            <w:pPr>
              <w:pStyle w:val="Tabletext0"/>
              <w:keepNext/>
              <w:jc w:val="center"/>
            </w:pPr>
            <w:r>
              <w:t>44,468</w:t>
            </w:r>
          </w:p>
        </w:tc>
      </w:tr>
      <w:tr w:rsidR="000D2CBD" w:rsidTr="009420AD">
        <w:tc>
          <w:tcPr>
            <w:tcW w:w="3828" w:type="dxa"/>
            <w:tcBorders>
              <w:right w:val="nil"/>
            </w:tcBorders>
          </w:tcPr>
          <w:p w:rsidR="000D2CBD" w:rsidRPr="00BB7234" w:rsidRDefault="000D2CBD" w:rsidP="009420AD">
            <w:pPr>
              <w:pStyle w:val="Tabletext0"/>
              <w:rPr>
                <w:i/>
                <w:u w:val="single"/>
              </w:rPr>
            </w:pPr>
            <w:r w:rsidRPr="00BB7234">
              <w:rPr>
                <w:i/>
                <w:u w:val="single"/>
              </w:rPr>
              <w:t>Population suspected of TB</w:t>
            </w:r>
          </w:p>
        </w:tc>
        <w:tc>
          <w:tcPr>
            <w:tcW w:w="1089" w:type="dxa"/>
            <w:tcBorders>
              <w:left w:val="nil"/>
              <w:right w:val="nil"/>
            </w:tcBorders>
            <w:vAlign w:val="bottom"/>
          </w:tcPr>
          <w:p w:rsidR="000D2CBD" w:rsidRDefault="000D2CBD" w:rsidP="009420AD">
            <w:pPr>
              <w:pStyle w:val="Tabletext0"/>
              <w:jc w:val="center"/>
            </w:pPr>
            <w:r w:rsidRPr="00BB7234">
              <w:rPr>
                <w:color w:val="FFFFFF" w:themeColor="background1"/>
              </w:rPr>
              <w:t>-</w:t>
            </w:r>
          </w:p>
        </w:tc>
        <w:tc>
          <w:tcPr>
            <w:tcW w:w="1037" w:type="dxa"/>
            <w:tcBorders>
              <w:left w:val="nil"/>
              <w:right w:val="nil"/>
            </w:tcBorders>
            <w:vAlign w:val="bottom"/>
          </w:tcPr>
          <w:p w:rsidR="000D2CBD" w:rsidRDefault="000D2CBD" w:rsidP="009420AD">
            <w:pPr>
              <w:pStyle w:val="Tabletext0"/>
              <w:jc w:val="center"/>
            </w:pPr>
            <w:r w:rsidRPr="00BB7234">
              <w:rPr>
                <w:color w:val="FFFFFF" w:themeColor="background1"/>
              </w:rPr>
              <w:t>-</w:t>
            </w:r>
          </w:p>
        </w:tc>
        <w:tc>
          <w:tcPr>
            <w:tcW w:w="1089" w:type="dxa"/>
            <w:tcBorders>
              <w:left w:val="nil"/>
              <w:right w:val="nil"/>
            </w:tcBorders>
            <w:vAlign w:val="bottom"/>
          </w:tcPr>
          <w:p w:rsidR="000D2CBD" w:rsidRDefault="000D2CBD" w:rsidP="009420AD">
            <w:pPr>
              <w:pStyle w:val="Tabletext0"/>
              <w:jc w:val="center"/>
            </w:pPr>
            <w:r w:rsidRPr="00BB7234">
              <w:rPr>
                <w:color w:val="FFFFFF" w:themeColor="background1"/>
              </w:rPr>
              <w:t>-</w:t>
            </w:r>
          </w:p>
        </w:tc>
        <w:tc>
          <w:tcPr>
            <w:tcW w:w="1037" w:type="dxa"/>
            <w:tcBorders>
              <w:left w:val="nil"/>
              <w:right w:val="nil"/>
            </w:tcBorders>
            <w:vAlign w:val="bottom"/>
          </w:tcPr>
          <w:p w:rsidR="000D2CBD" w:rsidRDefault="000D2CBD" w:rsidP="009420AD">
            <w:pPr>
              <w:pStyle w:val="Tabletext0"/>
              <w:jc w:val="center"/>
            </w:pPr>
            <w:r w:rsidRPr="00BB7234">
              <w:rPr>
                <w:color w:val="FFFFFF" w:themeColor="background1"/>
              </w:rPr>
              <w:t>-</w:t>
            </w:r>
          </w:p>
        </w:tc>
        <w:tc>
          <w:tcPr>
            <w:tcW w:w="1054" w:type="dxa"/>
            <w:tcBorders>
              <w:left w:val="nil"/>
            </w:tcBorders>
            <w:vAlign w:val="bottom"/>
          </w:tcPr>
          <w:p w:rsidR="000D2CBD" w:rsidRDefault="000D2CBD" w:rsidP="009420AD">
            <w:pPr>
              <w:pStyle w:val="Tabletext0"/>
              <w:jc w:val="center"/>
            </w:pPr>
            <w:r w:rsidRPr="00BB7234">
              <w:rPr>
                <w:color w:val="FFFFFF" w:themeColor="background1"/>
              </w:rPr>
              <w:t>-</w:t>
            </w:r>
          </w:p>
        </w:tc>
      </w:tr>
      <w:tr w:rsidR="000D2CBD" w:rsidTr="009420AD">
        <w:tc>
          <w:tcPr>
            <w:tcW w:w="3828" w:type="dxa"/>
          </w:tcPr>
          <w:p w:rsidR="000D2CBD" w:rsidRDefault="000D2CBD" w:rsidP="009420AD">
            <w:pPr>
              <w:pStyle w:val="Tabletext0"/>
            </w:pPr>
            <w:r>
              <w:t>Proportion of patients suspected of TB</w:t>
            </w:r>
          </w:p>
        </w:tc>
        <w:tc>
          <w:tcPr>
            <w:tcW w:w="1089" w:type="dxa"/>
            <w:vAlign w:val="bottom"/>
          </w:tcPr>
          <w:p w:rsidR="000D2CBD" w:rsidRDefault="000D2CBD" w:rsidP="009420AD">
            <w:pPr>
              <w:pStyle w:val="Tabletext0"/>
              <w:jc w:val="center"/>
            </w:pPr>
            <w:r>
              <w:t>50%</w:t>
            </w:r>
          </w:p>
        </w:tc>
        <w:tc>
          <w:tcPr>
            <w:tcW w:w="1037" w:type="dxa"/>
            <w:vAlign w:val="bottom"/>
          </w:tcPr>
          <w:p w:rsidR="000D2CBD" w:rsidRDefault="000D2CBD" w:rsidP="009420AD">
            <w:pPr>
              <w:pStyle w:val="Tabletext0"/>
              <w:jc w:val="center"/>
            </w:pPr>
            <w:r>
              <w:t>50%</w:t>
            </w:r>
          </w:p>
        </w:tc>
        <w:tc>
          <w:tcPr>
            <w:tcW w:w="1089" w:type="dxa"/>
            <w:vAlign w:val="bottom"/>
          </w:tcPr>
          <w:p w:rsidR="000D2CBD" w:rsidRDefault="000D2CBD" w:rsidP="009420AD">
            <w:pPr>
              <w:pStyle w:val="Tabletext0"/>
              <w:jc w:val="center"/>
            </w:pPr>
            <w:r>
              <w:t>50%</w:t>
            </w:r>
          </w:p>
        </w:tc>
        <w:tc>
          <w:tcPr>
            <w:tcW w:w="1037" w:type="dxa"/>
            <w:vAlign w:val="bottom"/>
          </w:tcPr>
          <w:p w:rsidR="000D2CBD" w:rsidRDefault="000D2CBD" w:rsidP="009420AD">
            <w:pPr>
              <w:pStyle w:val="Tabletext0"/>
              <w:jc w:val="center"/>
            </w:pPr>
            <w:r>
              <w:t>50%</w:t>
            </w:r>
          </w:p>
        </w:tc>
        <w:tc>
          <w:tcPr>
            <w:tcW w:w="1054" w:type="dxa"/>
            <w:vAlign w:val="bottom"/>
          </w:tcPr>
          <w:p w:rsidR="000D2CBD" w:rsidRDefault="000D2CBD" w:rsidP="009420AD">
            <w:pPr>
              <w:pStyle w:val="Tabletext0"/>
              <w:jc w:val="center"/>
            </w:pPr>
            <w:r>
              <w:t>50%</w:t>
            </w:r>
          </w:p>
        </w:tc>
      </w:tr>
      <w:tr w:rsidR="000D2CBD" w:rsidTr="009420AD">
        <w:tc>
          <w:tcPr>
            <w:tcW w:w="3828" w:type="dxa"/>
          </w:tcPr>
          <w:p w:rsidR="000D2CBD" w:rsidRDefault="000D2CBD" w:rsidP="009420AD">
            <w:pPr>
              <w:pStyle w:val="Tabletext0"/>
            </w:pPr>
            <w:r>
              <w:t>Number of patients suspected of TB</w:t>
            </w:r>
          </w:p>
        </w:tc>
        <w:tc>
          <w:tcPr>
            <w:tcW w:w="1089" w:type="dxa"/>
            <w:vAlign w:val="bottom"/>
          </w:tcPr>
          <w:p w:rsidR="000D2CBD" w:rsidRDefault="000D2CBD" w:rsidP="009420AD">
            <w:pPr>
              <w:pStyle w:val="Tabletext0"/>
              <w:jc w:val="center"/>
            </w:pPr>
            <w:r>
              <w:t>18,788</w:t>
            </w:r>
          </w:p>
        </w:tc>
        <w:tc>
          <w:tcPr>
            <w:tcW w:w="1037" w:type="dxa"/>
            <w:vAlign w:val="bottom"/>
          </w:tcPr>
          <w:p w:rsidR="000D2CBD" w:rsidRDefault="000D2CBD" w:rsidP="009420AD">
            <w:pPr>
              <w:pStyle w:val="Tabletext0"/>
              <w:jc w:val="center"/>
            </w:pPr>
            <w:r>
              <w:t>19,650</w:t>
            </w:r>
          </w:p>
        </w:tc>
        <w:tc>
          <w:tcPr>
            <w:tcW w:w="1089" w:type="dxa"/>
            <w:vAlign w:val="bottom"/>
          </w:tcPr>
          <w:p w:rsidR="000D2CBD" w:rsidRDefault="000D2CBD" w:rsidP="009420AD">
            <w:pPr>
              <w:pStyle w:val="Tabletext0"/>
              <w:jc w:val="center"/>
            </w:pPr>
            <w:r>
              <w:t>20,511</w:t>
            </w:r>
          </w:p>
        </w:tc>
        <w:tc>
          <w:tcPr>
            <w:tcW w:w="1037" w:type="dxa"/>
            <w:vAlign w:val="bottom"/>
          </w:tcPr>
          <w:p w:rsidR="000D2CBD" w:rsidRDefault="000D2CBD" w:rsidP="009420AD">
            <w:pPr>
              <w:pStyle w:val="Tabletext0"/>
              <w:jc w:val="center"/>
            </w:pPr>
            <w:r>
              <w:t>21,373</w:t>
            </w:r>
          </w:p>
        </w:tc>
        <w:tc>
          <w:tcPr>
            <w:tcW w:w="1054" w:type="dxa"/>
            <w:vAlign w:val="bottom"/>
          </w:tcPr>
          <w:p w:rsidR="000D2CBD" w:rsidRDefault="000D2CBD" w:rsidP="009420AD">
            <w:pPr>
              <w:pStyle w:val="Tabletext0"/>
              <w:jc w:val="center"/>
            </w:pPr>
            <w:r>
              <w:t>22,234</w:t>
            </w:r>
          </w:p>
        </w:tc>
      </w:tr>
      <w:tr w:rsidR="000D2CBD" w:rsidTr="009420AD">
        <w:tc>
          <w:tcPr>
            <w:tcW w:w="3828" w:type="dxa"/>
          </w:tcPr>
          <w:p w:rsidR="000D2CBD" w:rsidRDefault="000D2CBD" w:rsidP="009420AD">
            <w:pPr>
              <w:pStyle w:val="Tabletext0"/>
            </w:pPr>
            <w:r>
              <w:t>Proposed NAAT fee</w:t>
            </w:r>
          </w:p>
        </w:tc>
        <w:tc>
          <w:tcPr>
            <w:tcW w:w="1089" w:type="dxa"/>
            <w:vAlign w:val="bottom"/>
          </w:tcPr>
          <w:p w:rsidR="000D2CBD" w:rsidRDefault="000D2CBD" w:rsidP="009420AD">
            <w:pPr>
              <w:pStyle w:val="Tabletext0"/>
              <w:jc w:val="right"/>
            </w:pPr>
            <w:r>
              <w:t>$130.00</w:t>
            </w:r>
          </w:p>
        </w:tc>
        <w:tc>
          <w:tcPr>
            <w:tcW w:w="1037" w:type="dxa"/>
            <w:vAlign w:val="bottom"/>
          </w:tcPr>
          <w:p w:rsidR="000D2CBD" w:rsidRDefault="000D2CBD" w:rsidP="009420AD">
            <w:pPr>
              <w:pStyle w:val="Tabletext0"/>
              <w:jc w:val="right"/>
            </w:pPr>
            <w:r>
              <w:t>$130.00</w:t>
            </w:r>
          </w:p>
        </w:tc>
        <w:tc>
          <w:tcPr>
            <w:tcW w:w="1089" w:type="dxa"/>
            <w:vAlign w:val="bottom"/>
          </w:tcPr>
          <w:p w:rsidR="000D2CBD" w:rsidRDefault="000D2CBD" w:rsidP="009420AD">
            <w:pPr>
              <w:pStyle w:val="Tabletext0"/>
              <w:jc w:val="right"/>
            </w:pPr>
            <w:r>
              <w:t>$130.00</w:t>
            </w:r>
          </w:p>
        </w:tc>
        <w:tc>
          <w:tcPr>
            <w:tcW w:w="1037" w:type="dxa"/>
            <w:vAlign w:val="bottom"/>
          </w:tcPr>
          <w:p w:rsidR="000D2CBD" w:rsidRDefault="000D2CBD" w:rsidP="009420AD">
            <w:pPr>
              <w:pStyle w:val="Tabletext0"/>
              <w:jc w:val="right"/>
            </w:pPr>
            <w:r>
              <w:t>$130.00</w:t>
            </w:r>
          </w:p>
        </w:tc>
        <w:tc>
          <w:tcPr>
            <w:tcW w:w="1054" w:type="dxa"/>
            <w:vAlign w:val="bottom"/>
          </w:tcPr>
          <w:p w:rsidR="000D2CBD" w:rsidRDefault="000D2CBD" w:rsidP="009420AD">
            <w:pPr>
              <w:pStyle w:val="Tabletext0"/>
              <w:jc w:val="right"/>
            </w:pPr>
            <w:r>
              <w:t>$130.00</w:t>
            </w:r>
          </w:p>
        </w:tc>
      </w:tr>
      <w:tr w:rsidR="000D2CBD" w:rsidTr="009420AD">
        <w:tc>
          <w:tcPr>
            <w:tcW w:w="3828" w:type="dxa"/>
          </w:tcPr>
          <w:p w:rsidR="000D2CBD" w:rsidRDefault="000D2CBD" w:rsidP="009420AD">
            <w:pPr>
              <w:pStyle w:val="Tabletext0"/>
            </w:pPr>
            <w:r>
              <w:t>Proportion of patients bulk-billed</w:t>
            </w:r>
          </w:p>
        </w:tc>
        <w:tc>
          <w:tcPr>
            <w:tcW w:w="1089" w:type="dxa"/>
            <w:shd w:val="clear" w:color="auto" w:fill="auto"/>
            <w:vAlign w:val="bottom"/>
          </w:tcPr>
          <w:p w:rsidR="000D2CBD" w:rsidRDefault="000D2CBD" w:rsidP="009420AD">
            <w:pPr>
              <w:pStyle w:val="Tabletext0"/>
              <w:jc w:val="center"/>
            </w:pPr>
            <w:r>
              <w:t>61%</w:t>
            </w:r>
          </w:p>
        </w:tc>
        <w:tc>
          <w:tcPr>
            <w:tcW w:w="1037" w:type="dxa"/>
            <w:shd w:val="clear" w:color="auto" w:fill="auto"/>
            <w:vAlign w:val="bottom"/>
          </w:tcPr>
          <w:p w:rsidR="000D2CBD" w:rsidRDefault="000D2CBD" w:rsidP="009420AD">
            <w:pPr>
              <w:pStyle w:val="Tabletext0"/>
              <w:jc w:val="center"/>
            </w:pPr>
            <w:r>
              <w:t>61%</w:t>
            </w:r>
          </w:p>
        </w:tc>
        <w:tc>
          <w:tcPr>
            <w:tcW w:w="1089" w:type="dxa"/>
            <w:shd w:val="clear" w:color="auto" w:fill="auto"/>
            <w:vAlign w:val="bottom"/>
          </w:tcPr>
          <w:p w:rsidR="000D2CBD" w:rsidRDefault="000D2CBD" w:rsidP="009420AD">
            <w:pPr>
              <w:pStyle w:val="Tabletext0"/>
              <w:jc w:val="center"/>
            </w:pPr>
            <w:r>
              <w:t>61%</w:t>
            </w:r>
          </w:p>
        </w:tc>
        <w:tc>
          <w:tcPr>
            <w:tcW w:w="1037" w:type="dxa"/>
            <w:shd w:val="clear" w:color="auto" w:fill="auto"/>
            <w:vAlign w:val="bottom"/>
          </w:tcPr>
          <w:p w:rsidR="000D2CBD" w:rsidRDefault="000D2CBD" w:rsidP="009420AD">
            <w:pPr>
              <w:pStyle w:val="Tabletext0"/>
              <w:jc w:val="center"/>
            </w:pPr>
            <w:r>
              <w:t>61%</w:t>
            </w:r>
          </w:p>
        </w:tc>
        <w:tc>
          <w:tcPr>
            <w:tcW w:w="1054" w:type="dxa"/>
            <w:shd w:val="clear" w:color="auto" w:fill="auto"/>
            <w:vAlign w:val="bottom"/>
          </w:tcPr>
          <w:p w:rsidR="000D2CBD" w:rsidRDefault="000D2CBD" w:rsidP="009420AD">
            <w:pPr>
              <w:pStyle w:val="Tabletext0"/>
              <w:jc w:val="center"/>
            </w:pPr>
            <w:r>
              <w:t>61%</w:t>
            </w:r>
          </w:p>
        </w:tc>
      </w:tr>
      <w:tr w:rsidR="000D2CBD" w:rsidTr="009420AD">
        <w:tc>
          <w:tcPr>
            <w:tcW w:w="3828" w:type="dxa"/>
            <w:vAlign w:val="center"/>
          </w:tcPr>
          <w:p w:rsidR="000D2CBD" w:rsidRPr="00A4529B" w:rsidRDefault="000D2CBD" w:rsidP="009420AD">
            <w:pPr>
              <w:tabs>
                <w:tab w:val="left" w:pos="285"/>
              </w:tabs>
              <w:spacing w:after="40"/>
              <w:rPr>
                <w:rFonts w:ascii="Arial Narrow" w:hAnsi="Arial Narrow"/>
                <w:b/>
                <w:color w:val="000000" w:themeColor="text1"/>
                <w:sz w:val="20"/>
              </w:rPr>
            </w:pPr>
            <w:r w:rsidRPr="00A4529B">
              <w:rPr>
                <w:rFonts w:ascii="Arial Narrow" w:hAnsi="Arial Narrow"/>
                <w:b/>
                <w:color w:val="000000" w:themeColor="text1"/>
                <w:sz w:val="20"/>
              </w:rPr>
              <w:t xml:space="preserve">MBS </w:t>
            </w:r>
            <w:r>
              <w:rPr>
                <w:rFonts w:ascii="Arial Narrow" w:hAnsi="Arial Narrow"/>
                <w:b/>
                <w:color w:val="000000" w:themeColor="text1"/>
                <w:sz w:val="20"/>
              </w:rPr>
              <w:t>fee</w:t>
            </w:r>
            <w:r w:rsidRPr="00A4529B">
              <w:rPr>
                <w:rFonts w:ascii="Arial Narrow" w:hAnsi="Arial Narrow"/>
                <w:b/>
                <w:color w:val="000000" w:themeColor="text1"/>
                <w:sz w:val="20"/>
              </w:rPr>
              <w:t xml:space="preserve">s associated with </w:t>
            </w:r>
            <w:r>
              <w:rPr>
                <w:rFonts w:ascii="Arial Narrow" w:hAnsi="Arial Narrow"/>
                <w:b/>
                <w:color w:val="000000" w:themeColor="text1"/>
                <w:sz w:val="20"/>
              </w:rPr>
              <w:t xml:space="preserve">TB </w:t>
            </w:r>
            <w:r w:rsidRPr="00A4529B">
              <w:rPr>
                <w:rFonts w:ascii="Arial Narrow" w:hAnsi="Arial Narrow"/>
                <w:b/>
                <w:color w:val="000000" w:themeColor="text1"/>
                <w:sz w:val="20"/>
              </w:rPr>
              <w:t>listing</w:t>
            </w:r>
          </w:p>
        </w:tc>
        <w:tc>
          <w:tcPr>
            <w:tcW w:w="1089" w:type="dxa"/>
            <w:vAlign w:val="bottom"/>
          </w:tcPr>
          <w:p w:rsidR="000D2CBD" w:rsidRPr="001C2C73" w:rsidRDefault="000D2CBD" w:rsidP="009420AD">
            <w:pPr>
              <w:pStyle w:val="Tabletext0"/>
              <w:jc w:val="right"/>
              <w:rPr>
                <w:b/>
              </w:rPr>
            </w:pPr>
            <w:r w:rsidRPr="001C2C73">
              <w:rPr>
                <w:b/>
              </w:rPr>
              <w:t>$2,442,440</w:t>
            </w:r>
          </w:p>
        </w:tc>
        <w:tc>
          <w:tcPr>
            <w:tcW w:w="1037" w:type="dxa"/>
            <w:vAlign w:val="bottom"/>
          </w:tcPr>
          <w:p w:rsidR="000D2CBD" w:rsidRPr="001C2C73" w:rsidRDefault="000D2CBD" w:rsidP="009420AD">
            <w:pPr>
              <w:pStyle w:val="Tabletext0"/>
              <w:jc w:val="right"/>
              <w:rPr>
                <w:b/>
              </w:rPr>
            </w:pPr>
            <w:r w:rsidRPr="001C2C73">
              <w:rPr>
                <w:b/>
              </w:rPr>
              <w:t>$2,554,500</w:t>
            </w:r>
          </w:p>
        </w:tc>
        <w:tc>
          <w:tcPr>
            <w:tcW w:w="1089" w:type="dxa"/>
            <w:vAlign w:val="bottom"/>
          </w:tcPr>
          <w:p w:rsidR="000D2CBD" w:rsidRPr="001C2C73" w:rsidRDefault="000D2CBD" w:rsidP="009420AD">
            <w:pPr>
              <w:pStyle w:val="Tabletext0"/>
              <w:jc w:val="right"/>
              <w:rPr>
                <w:b/>
              </w:rPr>
            </w:pPr>
            <w:r w:rsidRPr="001C2C73">
              <w:rPr>
                <w:b/>
              </w:rPr>
              <w:t>$2,666,430</w:t>
            </w:r>
          </w:p>
        </w:tc>
        <w:tc>
          <w:tcPr>
            <w:tcW w:w="1037" w:type="dxa"/>
            <w:vAlign w:val="bottom"/>
          </w:tcPr>
          <w:p w:rsidR="000D2CBD" w:rsidRPr="001C2C73" w:rsidRDefault="000D2CBD" w:rsidP="009420AD">
            <w:pPr>
              <w:pStyle w:val="Tabletext0"/>
              <w:jc w:val="right"/>
              <w:rPr>
                <w:b/>
              </w:rPr>
            </w:pPr>
            <w:r w:rsidRPr="001C2C73">
              <w:rPr>
                <w:b/>
              </w:rPr>
              <w:t>$2,778,490</w:t>
            </w:r>
          </w:p>
        </w:tc>
        <w:tc>
          <w:tcPr>
            <w:tcW w:w="1054" w:type="dxa"/>
            <w:vAlign w:val="bottom"/>
          </w:tcPr>
          <w:p w:rsidR="000D2CBD" w:rsidRPr="001C2C73" w:rsidRDefault="000D2CBD" w:rsidP="009420AD">
            <w:pPr>
              <w:pStyle w:val="Tabletext0"/>
              <w:jc w:val="right"/>
              <w:rPr>
                <w:b/>
              </w:rPr>
            </w:pPr>
            <w:r w:rsidRPr="001C2C73">
              <w:rPr>
                <w:b/>
              </w:rPr>
              <w:t>$2,890,420</w:t>
            </w:r>
          </w:p>
        </w:tc>
      </w:tr>
      <w:tr w:rsidR="000D2CBD" w:rsidTr="009420AD">
        <w:tc>
          <w:tcPr>
            <w:tcW w:w="3828" w:type="dxa"/>
            <w:vAlign w:val="center"/>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r>
            <w:r w:rsidRPr="00A4529B">
              <w:rPr>
                <w:rFonts w:ascii="Arial Narrow" w:hAnsi="Arial Narrow"/>
                <w:color w:val="000000" w:themeColor="text1"/>
                <w:sz w:val="20"/>
              </w:rPr>
              <w:t xml:space="preserve">MBS benefits </w:t>
            </w:r>
            <w:r>
              <w:rPr>
                <w:rFonts w:ascii="Arial Narrow" w:hAnsi="Arial Narrow"/>
                <w:color w:val="000000" w:themeColor="text1"/>
                <w:sz w:val="20"/>
              </w:rPr>
              <w:t>payable (85%)</w:t>
            </w:r>
          </w:p>
        </w:tc>
        <w:tc>
          <w:tcPr>
            <w:tcW w:w="1089" w:type="dxa"/>
            <w:vAlign w:val="bottom"/>
          </w:tcPr>
          <w:p w:rsidR="000D2CBD" w:rsidRDefault="000D2CBD" w:rsidP="009420AD">
            <w:pPr>
              <w:pStyle w:val="Tabletext0"/>
              <w:jc w:val="right"/>
            </w:pPr>
            <w:r>
              <w:t>$2,076,074</w:t>
            </w:r>
          </w:p>
        </w:tc>
        <w:tc>
          <w:tcPr>
            <w:tcW w:w="1037" w:type="dxa"/>
            <w:vAlign w:val="bottom"/>
          </w:tcPr>
          <w:p w:rsidR="000D2CBD" w:rsidRDefault="000D2CBD" w:rsidP="009420AD">
            <w:pPr>
              <w:pStyle w:val="Tabletext0"/>
              <w:jc w:val="right"/>
            </w:pPr>
            <w:r>
              <w:t>$2,171,325</w:t>
            </w:r>
          </w:p>
        </w:tc>
        <w:tc>
          <w:tcPr>
            <w:tcW w:w="1089" w:type="dxa"/>
            <w:vAlign w:val="bottom"/>
          </w:tcPr>
          <w:p w:rsidR="000D2CBD" w:rsidRDefault="000D2CBD" w:rsidP="009420AD">
            <w:pPr>
              <w:pStyle w:val="Tabletext0"/>
              <w:jc w:val="right"/>
            </w:pPr>
            <w:r>
              <w:t>$2,266,466</w:t>
            </w:r>
          </w:p>
        </w:tc>
        <w:tc>
          <w:tcPr>
            <w:tcW w:w="1037" w:type="dxa"/>
            <w:vAlign w:val="bottom"/>
          </w:tcPr>
          <w:p w:rsidR="000D2CBD" w:rsidRDefault="000D2CBD" w:rsidP="009420AD">
            <w:pPr>
              <w:pStyle w:val="Tabletext0"/>
              <w:jc w:val="right"/>
            </w:pPr>
            <w:r>
              <w:t>$2,361,717</w:t>
            </w:r>
          </w:p>
        </w:tc>
        <w:tc>
          <w:tcPr>
            <w:tcW w:w="1054" w:type="dxa"/>
            <w:vAlign w:val="bottom"/>
          </w:tcPr>
          <w:p w:rsidR="000D2CBD" w:rsidRDefault="000D2CBD" w:rsidP="009420AD">
            <w:pPr>
              <w:pStyle w:val="Tabletext0"/>
              <w:jc w:val="right"/>
            </w:pPr>
            <w:r>
              <w:t>$2,456,857</w:t>
            </w:r>
          </w:p>
        </w:tc>
      </w:tr>
      <w:tr w:rsidR="000D2CBD" w:rsidTr="009420AD">
        <w:tc>
          <w:tcPr>
            <w:tcW w:w="3828" w:type="dxa"/>
            <w:tcBorders>
              <w:bottom w:val="single" w:sz="4" w:space="0" w:color="auto"/>
            </w:tcBorders>
            <w:vAlign w:val="center"/>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t xml:space="preserve">Patient co-payments </w:t>
            </w:r>
            <w:r w:rsidRPr="00CB667C">
              <w:rPr>
                <w:rFonts w:ascii="Arial Narrow" w:hAnsi="Arial Narrow"/>
                <w:color w:val="000000" w:themeColor="text1"/>
                <w:sz w:val="20"/>
                <w:vertAlign w:val="superscript"/>
              </w:rPr>
              <w:t>a</w:t>
            </w:r>
          </w:p>
        </w:tc>
        <w:tc>
          <w:tcPr>
            <w:tcW w:w="1089" w:type="dxa"/>
            <w:tcBorders>
              <w:bottom w:val="single" w:sz="4" w:space="0" w:color="auto"/>
            </w:tcBorders>
            <w:vAlign w:val="bottom"/>
          </w:tcPr>
          <w:p w:rsidR="000D2CBD" w:rsidRDefault="000D2CBD" w:rsidP="009420AD">
            <w:pPr>
              <w:pStyle w:val="Tabletext0"/>
              <w:jc w:val="right"/>
            </w:pPr>
            <w:r>
              <w:t>$144,715</w:t>
            </w:r>
          </w:p>
        </w:tc>
        <w:tc>
          <w:tcPr>
            <w:tcW w:w="1037" w:type="dxa"/>
            <w:tcBorders>
              <w:bottom w:val="single" w:sz="4" w:space="0" w:color="auto"/>
            </w:tcBorders>
            <w:vAlign w:val="bottom"/>
          </w:tcPr>
          <w:p w:rsidR="000D2CBD" w:rsidRDefault="000D2CBD" w:rsidP="009420AD">
            <w:pPr>
              <w:pStyle w:val="Tabletext0"/>
              <w:jc w:val="right"/>
            </w:pPr>
            <w:r>
              <w:t>$151,354</w:t>
            </w:r>
          </w:p>
        </w:tc>
        <w:tc>
          <w:tcPr>
            <w:tcW w:w="1089" w:type="dxa"/>
            <w:tcBorders>
              <w:bottom w:val="single" w:sz="4" w:space="0" w:color="auto"/>
            </w:tcBorders>
            <w:vAlign w:val="bottom"/>
          </w:tcPr>
          <w:p w:rsidR="000D2CBD" w:rsidRDefault="000D2CBD" w:rsidP="009420AD">
            <w:pPr>
              <w:pStyle w:val="Tabletext0"/>
              <w:jc w:val="right"/>
            </w:pPr>
            <w:r>
              <w:t>$157,986</w:t>
            </w:r>
          </w:p>
        </w:tc>
        <w:tc>
          <w:tcPr>
            <w:tcW w:w="1037" w:type="dxa"/>
            <w:tcBorders>
              <w:bottom w:val="single" w:sz="4" w:space="0" w:color="auto"/>
            </w:tcBorders>
            <w:vAlign w:val="bottom"/>
          </w:tcPr>
          <w:p w:rsidR="000D2CBD" w:rsidRDefault="000D2CBD" w:rsidP="009420AD">
            <w:pPr>
              <w:pStyle w:val="Tabletext0"/>
              <w:jc w:val="right"/>
            </w:pPr>
            <w:r>
              <w:t>$164,626</w:t>
            </w:r>
          </w:p>
        </w:tc>
        <w:tc>
          <w:tcPr>
            <w:tcW w:w="1054" w:type="dxa"/>
            <w:tcBorders>
              <w:bottom w:val="single" w:sz="4" w:space="0" w:color="auto"/>
            </w:tcBorders>
            <w:vAlign w:val="bottom"/>
          </w:tcPr>
          <w:p w:rsidR="000D2CBD" w:rsidRDefault="000D2CBD" w:rsidP="009420AD">
            <w:pPr>
              <w:pStyle w:val="Tabletext0"/>
              <w:jc w:val="right"/>
            </w:pPr>
            <w:r>
              <w:t>$171,257</w:t>
            </w:r>
          </w:p>
        </w:tc>
      </w:tr>
      <w:tr w:rsidR="000D2CBD" w:rsidTr="009420AD">
        <w:tc>
          <w:tcPr>
            <w:tcW w:w="3828" w:type="dxa"/>
            <w:tcBorders>
              <w:right w:val="nil"/>
            </w:tcBorders>
          </w:tcPr>
          <w:p w:rsidR="000D2CBD" w:rsidRPr="00BB7234" w:rsidRDefault="000D2CBD" w:rsidP="009420AD">
            <w:pPr>
              <w:pStyle w:val="Tabletext0"/>
              <w:rPr>
                <w:i/>
                <w:u w:val="single"/>
              </w:rPr>
            </w:pPr>
            <w:r w:rsidRPr="00BB7234">
              <w:rPr>
                <w:i/>
                <w:u w:val="single"/>
              </w:rPr>
              <w:t>Population sus</w:t>
            </w:r>
            <w:r>
              <w:rPr>
                <w:i/>
                <w:u w:val="single"/>
              </w:rPr>
              <w:t>pected of NTM</w:t>
            </w:r>
          </w:p>
        </w:tc>
        <w:tc>
          <w:tcPr>
            <w:tcW w:w="1089" w:type="dxa"/>
            <w:tcBorders>
              <w:left w:val="nil"/>
              <w:right w:val="nil"/>
            </w:tcBorders>
          </w:tcPr>
          <w:p w:rsidR="000D2CBD" w:rsidRDefault="000D2CBD" w:rsidP="009420AD">
            <w:pPr>
              <w:pStyle w:val="Tabletext0"/>
              <w:jc w:val="center"/>
            </w:pPr>
            <w:r w:rsidRPr="00BB7234">
              <w:rPr>
                <w:color w:val="FFFFFF" w:themeColor="background1"/>
              </w:rPr>
              <w:t>-</w:t>
            </w:r>
          </w:p>
        </w:tc>
        <w:tc>
          <w:tcPr>
            <w:tcW w:w="1037" w:type="dxa"/>
            <w:tcBorders>
              <w:left w:val="nil"/>
              <w:right w:val="nil"/>
            </w:tcBorders>
          </w:tcPr>
          <w:p w:rsidR="000D2CBD" w:rsidRDefault="000D2CBD" w:rsidP="009420AD">
            <w:pPr>
              <w:pStyle w:val="Tabletext0"/>
              <w:jc w:val="center"/>
            </w:pPr>
            <w:r w:rsidRPr="00BB7234">
              <w:rPr>
                <w:color w:val="FFFFFF" w:themeColor="background1"/>
              </w:rPr>
              <w:t>-</w:t>
            </w:r>
          </w:p>
        </w:tc>
        <w:tc>
          <w:tcPr>
            <w:tcW w:w="1089" w:type="dxa"/>
            <w:tcBorders>
              <w:left w:val="nil"/>
              <w:right w:val="nil"/>
            </w:tcBorders>
          </w:tcPr>
          <w:p w:rsidR="000D2CBD" w:rsidRDefault="000D2CBD" w:rsidP="009420AD">
            <w:pPr>
              <w:pStyle w:val="Tabletext0"/>
              <w:jc w:val="center"/>
            </w:pPr>
            <w:r w:rsidRPr="00BB7234">
              <w:rPr>
                <w:color w:val="FFFFFF" w:themeColor="background1"/>
              </w:rPr>
              <w:t>-</w:t>
            </w:r>
          </w:p>
        </w:tc>
        <w:tc>
          <w:tcPr>
            <w:tcW w:w="1037" w:type="dxa"/>
            <w:tcBorders>
              <w:left w:val="nil"/>
              <w:right w:val="nil"/>
            </w:tcBorders>
          </w:tcPr>
          <w:p w:rsidR="000D2CBD" w:rsidRDefault="000D2CBD" w:rsidP="009420AD">
            <w:pPr>
              <w:pStyle w:val="Tabletext0"/>
              <w:jc w:val="center"/>
            </w:pPr>
            <w:r w:rsidRPr="00BB7234">
              <w:rPr>
                <w:color w:val="FFFFFF" w:themeColor="background1"/>
              </w:rPr>
              <w:t>-</w:t>
            </w:r>
          </w:p>
        </w:tc>
        <w:tc>
          <w:tcPr>
            <w:tcW w:w="1054" w:type="dxa"/>
            <w:tcBorders>
              <w:left w:val="nil"/>
            </w:tcBorders>
          </w:tcPr>
          <w:p w:rsidR="000D2CBD" w:rsidRDefault="000D2CBD" w:rsidP="009420AD">
            <w:pPr>
              <w:pStyle w:val="Tabletext0"/>
              <w:jc w:val="center"/>
            </w:pPr>
            <w:r w:rsidRPr="00BB7234">
              <w:rPr>
                <w:color w:val="FFFFFF" w:themeColor="background1"/>
              </w:rPr>
              <w:t>-</w:t>
            </w:r>
          </w:p>
        </w:tc>
      </w:tr>
      <w:tr w:rsidR="000D2CBD" w:rsidTr="009420AD">
        <w:tc>
          <w:tcPr>
            <w:tcW w:w="3828" w:type="dxa"/>
          </w:tcPr>
          <w:p w:rsidR="000D2CBD" w:rsidRDefault="000D2CBD" w:rsidP="009420AD">
            <w:pPr>
              <w:pStyle w:val="Tabletext0"/>
            </w:pPr>
            <w:r>
              <w:t>Proportion of patients suspected of NTM</w:t>
            </w:r>
          </w:p>
        </w:tc>
        <w:tc>
          <w:tcPr>
            <w:tcW w:w="1089" w:type="dxa"/>
          </w:tcPr>
          <w:p w:rsidR="000D2CBD" w:rsidRDefault="000D2CBD" w:rsidP="009420AD">
            <w:pPr>
              <w:pStyle w:val="Tabletext0"/>
              <w:jc w:val="center"/>
            </w:pPr>
            <w:r>
              <w:t>50%</w:t>
            </w:r>
          </w:p>
        </w:tc>
        <w:tc>
          <w:tcPr>
            <w:tcW w:w="1037" w:type="dxa"/>
          </w:tcPr>
          <w:p w:rsidR="000D2CBD" w:rsidRDefault="000D2CBD" w:rsidP="009420AD">
            <w:pPr>
              <w:pStyle w:val="Tabletext0"/>
              <w:jc w:val="center"/>
            </w:pPr>
            <w:r>
              <w:t>50%</w:t>
            </w:r>
          </w:p>
        </w:tc>
        <w:tc>
          <w:tcPr>
            <w:tcW w:w="1089" w:type="dxa"/>
          </w:tcPr>
          <w:p w:rsidR="000D2CBD" w:rsidRDefault="000D2CBD" w:rsidP="009420AD">
            <w:pPr>
              <w:pStyle w:val="Tabletext0"/>
              <w:jc w:val="center"/>
            </w:pPr>
            <w:r>
              <w:t>50%</w:t>
            </w:r>
          </w:p>
        </w:tc>
        <w:tc>
          <w:tcPr>
            <w:tcW w:w="1037" w:type="dxa"/>
          </w:tcPr>
          <w:p w:rsidR="000D2CBD" w:rsidRDefault="000D2CBD" w:rsidP="009420AD">
            <w:pPr>
              <w:pStyle w:val="Tabletext0"/>
              <w:jc w:val="center"/>
            </w:pPr>
            <w:r>
              <w:t>50%</w:t>
            </w:r>
          </w:p>
        </w:tc>
        <w:tc>
          <w:tcPr>
            <w:tcW w:w="1054" w:type="dxa"/>
          </w:tcPr>
          <w:p w:rsidR="000D2CBD" w:rsidRDefault="000D2CBD" w:rsidP="009420AD">
            <w:pPr>
              <w:pStyle w:val="Tabletext0"/>
              <w:jc w:val="center"/>
            </w:pPr>
            <w:r>
              <w:t>50%</w:t>
            </w:r>
          </w:p>
        </w:tc>
      </w:tr>
      <w:tr w:rsidR="000D2CBD" w:rsidTr="009420AD">
        <w:tc>
          <w:tcPr>
            <w:tcW w:w="3828" w:type="dxa"/>
          </w:tcPr>
          <w:p w:rsidR="000D2CBD" w:rsidRDefault="000D2CBD" w:rsidP="009420AD">
            <w:pPr>
              <w:pStyle w:val="Tabletext0"/>
            </w:pPr>
            <w:r>
              <w:t>Number of patients suspected of NTM</w:t>
            </w:r>
          </w:p>
        </w:tc>
        <w:tc>
          <w:tcPr>
            <w:tcW w:w="1089" w:type="dxa"/>
          </w:tcPr>
          <w:p w:rsidR="000D2CBD" w:rsidRDefault="000D2CBD" w:rsidP="009420AD">
            <w:pPr>
              <w:pStyle w:val="Tabletext0"/>
              <w:jc w:val="center"/>
            </w:pPr>
            <w:r>
              <w:t>18,788</w:t>
            </w:r>
          </w:p>
        </w:tc>
        <w:tc>
          <w:tcPr>
            <w:tcW w:w="1037" w:type="dxa"/>
          </w:tcPr>
          <w:p w:rsidR="000D2CBD" w:rsidRDefault="000D2CBD" w:rsidP="009420AD">
            <w:pPr>
              <w:pStyle w:val="Tabletext0"/>
              <w:jc w:val="center"/>
            </w:pPr>
            <w:r>
              <w:t>19,650</w:t>
            </w:r>
          </w:p>
        </w:tc>
        <w:tc>
          <w:tcPr>
            <w:tcW w:w="1089" w:type="dxa"/>
          </w:tcPr>
          <w:p w:rsidR="000D2CBD" w:rsidRDefault="000D2CBD" w:rsidP="009420AD">
            <w:pPr>
              <w:pStyle w:val="Tabletext0"/>
              <w:jc w:val="center"/>
            </w:pPr>
            <w:r>
              <w:t>20,511</w:t>
            </w:r>
          </w:p>
        </w:tc>
        <w:tc>
          <w:tcPr>
            <w:tcW w:w="1037" w:type="dxa"/>
          </w:tcPr>
          <w:p w:rsidR="000D2CBD" w:rsidRDefault="000D2CBD" w:rsidP="009420AD">
            <w:pPr>
              <w:pStyle w:val="Tabletext0"/>
              <w:jc w:val="center"/>
            </w:pPr>
            <w:r>
              <w:t>21,373</w:t>
            </w:r>
          </w:p>
        </w:tc>
        <w:tc>
          <w:tcPr>
            <w:tcW w:w="1054" w:type="dxa"/>
          </w:tcPr>
          <w:p w:rsidR="000D2CBD" w:rsidRDefault="000D2CBD" w:rsidP="009420AD">
            <w:pPr>
              <w:pStyle w:val="Tabletext0"/>
              <w:jc w:val="center"/>
            </w:pPr>
            <w:r>
              <w:t>22,234</w:t>
            </w:r>
          </w:p>
        </w:tc>
      </w:tr>
      <w:tr w:rsidR="000D2CBD" w:rsidTr="009420AD">
        <w:tc>
          <w:tcPr>
            <w:tcW w:w="3828" w:type="dxa"/>
          </w:tcPr>
          <w:p w:rsidR="000D2CBD" w:rsidRDefault="000D2CBD" w:rsidP="009420AD">
            <w:pPr>
              <w:pStyle w:val="Tabletext0"/>
            </w:pPr>
            <w:r>
              <w:t>Proportion of initial TB suspects tested</w:t>
            </w:r>
          </w:p>
        </w:tc>
        <w:tc>
          <w:tcPr>
            <w:tcW w:w="1089" w:type="dxa"/>
          </w:tcPr>
          <w:p w:rsidR="000D2CBD" w:rsidRDefault="000D2CBD" w:rsidP="009420AD">
            <w:pPr>
              <w:pStyle w:val="Tabletext0"/>
              <w:jc w:val="center"/>
            </w:pPr>
            <w:r>
              <w:t>30%</w:t>
            </w:r>
          </w:p>
        </w:tc>
        <w:tc>
          <w:tcPr>
            <w:tcW w:w="1037" w:type="dxa"/>
          </w:tcPr>
          <w:p w:rsidR="000D2CBD" w:rsidRDefault="000D2CBD" w:rsidP="009420AD">
            <w:pPr>
              <w:pStyle w:val="Tabletext0"/>
              <w:jc w:val="center"/>
            </w:pPr>
            <w:r>
              <w:t>30%</w:t>
            </w:r>
          </w:p>
        </w:tc>
        <w:tc>
          <w:tcPr>
            <w:tcW w:w="1089" w:type="dxa"/>
          </w:tcPr>
          <w:p w:rsidR="000D2CBD" w:rsidRDefault="000D2CBD" w:rsidP="009420AD">
            <w:pPr>
              <w:pStyle w:val="Tabletext0"/>
              <w:jc w:val="center"/>
            </w:pPr>
            <w:r>
              <w:t>30%</w:t>
            </w:r>
          </w:p>
        </w:tc>
        <w:tc>
          <w:tcPr>
            <w:tcW w:w="1037" w:type="dxa"/>
          </w:tcPr>
          <w:p w:rsidR="000D2CBD" w:rsidRDefault="000D2CBD" w:rsidP="009420AD">
            <w:pPr>
              <w:pStyle w:val="Tabletext0"/>
              <w:jc w:val="center"/>
            </w:pPr>
            <w:r>
              <w:t>30%</w:t>
            </w:r>
          </w:p>
        </w:tc>
        <w:tc>
          <w:tcPr>
            <w:tcW w:w="1054" w:type="dxa"/>
          </w:tcPr>
          <w:p w:rsidR="000D2CBD" w:rsidRDefault="000D2CBD" w:rsidP="009420AD">
            <w:pPr>
              <w:pStyle w:val="Tabletext0"/>
              <w:jc w:val="center"/>
            </w:pPr>
            <w:r>
              <w:t>30%</w:t>
            </w:r>
          </w:p>
        </w:tc>
      </w:tr>
      <w:tr w:rsidR="000D2CBD" w:rsidTr="009420AD">
        <w:tc>
          <w:tcPr>
            <w:tcW w:w="3828" w:type="dxa"/>
          </w:tcPr>
          <w:p w:rsidR="000D2CBD" w:rsidRDefault="000D2CBD" w:rsidP="009420AD">
            <w:pPr>
              <w:pStyle w:val="Tabletext0"/>
            </w:pPr>
            <w:r>
              <w:t>Number of initial TB suspects tested</w:t>
            </w:r>
          </w:p>
        </w:tc>
        <w:tc>
          <w:tcPr>
            <w:tcW w:w="1089" w:type="dxa"/>
          </w:tcPr>
          <w:p w:rsidR="000D2CBD" w:rsidRDefault="000D2CBD" w:rsidP="009420AD">
            <w:pPr>
              <w:pStyle w:val="Tabletext0"/>
              <w:jc w:val="center"/>
            </w:pPr>
            <w:r>
              <w:t>5,636</w:t>
            </w:r>
          </w:p>
        </w:tc>
        <w:tc>
          <w:tcPr>
            <w:tcW w:w="1037" w:type="dxa"/>
          </w:tcPr>
          <w:p w:rsidR="000D2CBD" w:rsidRDefault="000D2CBD" w:rsidP="009420AD">
            <w:pPr>
              <w:pStyle w:val="Tabletext0"/>
              <w:jc w:val="center"/>
            </w:pPr>
            <w:r>
              <w:t>5,895</w:t>
            </w:r>
          </w:p>
        </w:tc>
        <w:tc>
          <w:tcPr>
            <w:tcW w:w="1089" w:type="dxa"/>
          </w:tcPr>
          <w:p w:rsidR="000D2CBD" w:rsidRDefault="000D2CBD" w:rsidP="009420AD">
            <w:pPr>
              <w:pStyle w:val="Tabletext0"/>
              <w:jc w:val="center"/>
            </w:pPr>
            <w:r>
              <w:t>6,153</w:t>
            </w:r>
          </w:p>
        </w:tc>
        <w:tc>
          <w:tcPr>
            <w:tcW w:w="1037" w:type="dxa"/>
          </w:tcPr>
          <w:p w:rsidR="000D2CBD" w:rsidRDefault="000D2CBD" w:rsidP="009420AD">
            <w:pPr>
              <w:pStyle w:val="Tabletext0"/>
              <w:jc w:val="center"/>
            </w:pPr>
            <w:r>
              <w:t>6,412</w:t>
            </w:r>
          </w:p>
        </w:tc>
        <w:tc>
          <w:tcPr>
            <w:tcW w:w="1054" w:type="dxa"/>
          </w:tcPr>
          <w:p w:rsidR="000D2CBD" w:rsidRDefault="000D2CBD" w:rsidP="009420AD">
            <w:pPr>
              <w:pStyle w:val="Tabletext0"/>
              <w:jc w:val="center"/>
            </w:pPr>
            <w:r>
              <w:t>6,670</w:t>
            </w:r>
          </w:p>
        </w:tc>
      </w:tr>
      <w:tr w:rsidR="000D2CBD" w:rsidTr="009420AD">
        <w:tc>
          <w:tcPr>
            <w:tcW w:w="3828" w:type="dxa"/>
          </w:tcPr>
          <w:p w:rsidR="000D2CBD" w:rsidRDefault="000D2CBD" w:rsidP="009420AD">
            <w:pPr>
              <w:pStyle w:val="Tabletext0"/>
            </w:pPr>
            <w:r>
              <w:t>Total number of patients tested for NTM</w:t>
            </w:r>
          </w:p>
        </w:tc>
        <w:tc>
          <w:tcPr>
            <w:tcW w:w="1089" w:type="dxa"/>
          </w:tcPr>
          <w:p w:rsidR="000D2CBD" w:rsidRDefault="000D2CBD" w:rsidP="009420AD">
            <w:pPr>
              <w:pStyle w:val="Tabletext0"/>
              <w:jc w:val="center"/>
            </w:pPr>
            <w:r>
              <w:t>24,424</w:t>
            </w:r>
          </w:p>
        </w:tc>
        <w:tc>
          <w:tcPr>
            <w:tcW w:w="1037" w:type="dxa"/>
          </w:tcPr>
          <w:p w:rsidR="000D2CBD" w:rsidRDefault="000D2CBD" w:rsidP="009420AD">
            <w:pPr>
              <w:pStyle w:val="Tabletext0"/>
              <w:jc w:val="center"/>
            </w:pPr>
            <w:r>
              <w:t>25,545</w:t>
            </w:r>
          </w:p>
        </w:tc>
        <w:tc>
          <w:tcPr>
            <w:tcW w:w="1089" w:type="dxa"/>
          </w:tcPr>
          <w:p w:rsidR="000D2CBD" w:rsidRDefault="000D2CBD" w:rsidP="009420AD">
            <w:pPr>
              <w:pStyle w:val="Tabletext0"/>
              <w:jc w:val="center"/>
            </w:pPr>
            <w:r>
              <w:t>26,664</w:t>
            </w:r>
          </w:p>
        </w:tc>
        <w:tc>
          <w:tcPr>
            <w:tcW w:w="1037" w:type="dxa"/>
          </w:tcPr>
          <w:p w:rsidR="000D2CBD" w:rsidRDefault="000D2CBD" w:rsidP="009420AD">
            <w:pPr>
              <w:pStyle w:val="Tabletext0"/>
              <w:jc w:val="center"/>
            </w:pPr>
            <w:r>
              <w:t>27,785</w:t>
            </w:r>
          </w:p>
        </w:tc>
        <w:tc>
          <w:tcPr>
            <w:tcW w:w="1054" w:type="dxa"/>
          </w:tcPr>
          <w:p w:rsidR="000D2CBD" w:rsidRDefault="000D2CBD" w:rsidP="009420AD">
            <w:pPr>
              <w:pStyle w:val="Tabletext0"/>
              <w:jc w:val="center"/>
            </w:pPr>
            <w:r>
              <w:t>28,904</w:t>
            </w:r>
          </w:p>
        </w:tc>
      </w:tr>
      <w:tr w:rsidR="000D2CBD" w:rsidTr="009420AD">
        <w:tc>
          <w:tcPr>
            <w:tcW w:w="3828" w:type="dxa"/>
          </w:tcPr>
          <w:p w:rsidR="000D2CBD" w:rsidRDefault="000D2CBD" w:rsidP="009420AD">
            <w:pPr>
              <w:pStyle w:val="Tabletext0"/>
            </w:pPr>
            <w:r>
              <w:t>Proposed NAAT fee</w:t>
            </w:r>
          </w:p>
        </w:tc>
        <w:tc>
          <w:tcPr>
            <w:tcW w:w="1089" w:type="dxa"/>
          </w:tcPr>
          <w:p w:rsidR="000D2CBD" w:rsidRDefault="000D2CBD" w:rsidP="009420AD">
            <w:pPr>
              <w:pStyle w:val="Tabletext0"/>
              <w:jc w:val="right"/>
            </w:pPr>
            <w:r>
              <w:t>$50.00</w:t>
            </w:r>
          </w:p>
        </w:tc>
        <w:tc>
          <w:tcPr>
            <w:tcW w:w="1037" w:type="dxa"/>
          </w:tcPr>
          <w:p w:rsidR="000D2CBD" w:rsidRDefault="000D2CBD" w:rsidP="009420AD">
            <w:pPr>
              <w:pStyle w:val="Tabletext0"/>
              <w:jc w:val="right"/>
            </w:pPr>
            <w:r>
              <w:t>$50.00</w:t>
            </w:r>
          </w:p>
        </w:tc>
        <w:tc>
          <w:tcPr>
            <w:tcW w:w="1089" w:type="dxa"/>
          </w:tcPr>
          <w:p w:rsidR="000D2CBD" w:rsidRDefault="000D2CBD" w:rsidP="009420AD">
            <w:pPr>
              <w:pStyle w:val="Tabletext0"/>
              <w:jc w:val="right"/>
            </w:pPr>
            <w:r>
              <w:t>$50.00</w:t>
            </w:r>
          </w:p>
        </w:tc>
        <w:tc>
          <w:tcPr>
            <w:tcW w:w="1037" w:type="dxa"/>
          </w:tcPr>
          <w:p w:rsidR="000D2CBD" w:rsidRDefault="000D2CBD" w:rsidP="009420AD">
            <w:pPr>
              <w:pStyle w:val="Tabletext0"/>
              <w:jc w:val="right"/>
            </w:pPr>
            <w:r>
              <w:t>$50.00</w:t>
            </w:r>
          </w:p>
        </w:tc>
        <w:tc>
          <w:tcPr>
            <w:tcW w:w="1054" w:type="dxa"/>
          </w:tcPr>
          <w:p w:rsidR="000D2CBD" w:rsidRDefault="000D2CBD" w:rsidP="009420AD">
            <w:pPr>
              <w:pStyle w:val="Tabletext0"/>
              <w:jc w:val="right"/>
            </w:pPr>
            <w:r>
              <w:t>$50.00</w:t>
            </w:r>
          </w:p>
        </w:tc>
      </w:tr>
      <w:tr w:rsidR="000D2CBD" w:rsidTr="009420AD">
        <w:tc>
          <w:tcPr>
            <w:tcW w:w="3828" w:type="dxa"/>
          </w:tcPr>
          <w:p w:rsidR="000D2CBD" w:rsidRDefault="000D2CBD" w:rsidP="009420AD">
            <w:pPr>
              <w:pStyle w:val="Tabletext0"/>
            </w:pPr>
            <w:r>
              <w:t>Proportion of patients bulk-billed</w:t>
            </w:r>
          </w:p>
        </w:tc>
        <w:tc>
          <w:tcPr>
            <w:tcW w:w="1089" w:type="dxa"/>
          </w:tcPr>
          <w:p w:rsidR="000D2CBD" w:rsidRDefault="000D2CBD" w:rsidP="009420AD">
            <w:pPr>
              <w:pStyle w:val="Tabletext0"/>
              <w:jc w:val="center"/>
            </w:pPr>
            <w:r>
              <w:t>61%</w:t>
            </w:r>
          </w:p>
        </w:tc>
        <w:tc>
          <w:tcPr>
            <w:tcW w:w="1037" w:type="dxa"/>
          </w:tcPr>
          <w:p w:rsidR="000D2CBD" w:rsidRDefault="000D2CBD" w:rsidP="009420AD">
            <w:pPr>
              <w:pStyle w:val="Tabletext0"/>
              <w:jc w:val="center"/>
            </w:pPr>
            <w:r>
              <w:t>61%</w:t>
            </w:r>
          </w:p>
        </w:tc>
        <w:tc>
          <w:tcPr>
            <w:tcW w:w="1089" w:type="dxa"/>
          </w:tcPr>
          <w:p w:rsidR="000D2CBD" w:rsidRDefault="000D2CBD" w:rsidP="009420AD">
            <w:pPr>
              <w:pStyle w:val="Tabletext0"/>
              <w:jc w:val="center"/>
            </w:pPr>
            <w:r>
              <w:t>61%</w:t>
            </w:r>
          </w:p>
        </w:tc>
        <w:tc>
          <w:tcPr>
            <w:tcW w:w="1037" w:type="dxa"/>
          </w:tcPr>
          <w:p w:rsidR="000D2CBD" w:rsidRDefault="000D2CBD" w:rsidP="009420AD">
            <w:pPr>
              <w:pStyle w:val="Tabletext0"/>
              <w:jc w:val="center"/>
            </w:pPr>
            <w:r>
              <w:t>61%</w:t>
            </w:r>
          </w:p>
        </w:tc>
        <w:tc>
          <w:tcPr>
            <w:tcW w:w="1054" w:type="dxa"/>
          </w:tcPr>
          <w:p w:rsidR="000D2CBD" w:rsidRDefault="000D2CBD" w:rsidP="009420AD">
            <w:pPr>
              <w:pStyle w:val="Tabletext0"/>
              <w:jc w:val="center"/>
            </w:pPr>
            <w:r>
              <w:t>61%</w:t>
            </w:r>
          </w:p>
        </w:tc>
      </w:tr>
      <w:tr w:rsidR="000D2CBD" w:rsidTr="009420AD">
        <w:tc>
          <w:tcPr>
            <w:tcW w:w="3828" w:type="dxa"/>
          </w:tcPr>
          <w:p w:rsidR="000D2CBD" w:rsidRPr="00A4529B" w:rsidRDefault="000D2CBD" w:rsidP="009420AD">
            <w:pPr>
              <w:tabs>
                <w:tab w:val="left" w:pos="285"/>
              </w:tabs>
              <w:spacing w:after="40"/>
              <w:rPr>
                <w:rFonts w:ascii="Arial Narrow" w:hAnsi="Arial Narrow"/>
                <w:b/>
                <w:color w:val="000000" w:themeColor="text1"/>
                <w:sz w:val="20"/>
              </w:rPr>
            </w:pPr>
            <w:r w:rsidRPr="00A4529B">
              <w:rPr>
                <w:rFonts w:ascii="Arial Narrow" w:hAnsi="Arial Narrow"/>
                <w:b/>
                <w:color w:val="000000" w:themeColor="text1"/>
                <w:sz w:val="20"/>
              </w:rPr>
              <w:t xml:space="preserve">MBS </w:t>
            </w:r>
            <w:r>
              <w:rPr>
                <w:rFonts w:ascii="Arial Narrow" w:hAnsi="Arial Narrow"/>
                <w:b/>
                <w:color w:val="000000" w:themeColor="text1"/>
                <w:sz w:val="20"/>
              </w:rPr>
              <w:t>fee</w:t>
            </w:r>
            <w:r w:rsidRPr="00A4529B">
              <w:rPr>
                <w:rFonts w:ascii="Arial Narrow" w:hAnsi="Arial Narrow"/>
                <w:b/>
                <w:color w:val="000000" w:themeColor="text1"/>
                <w:sz w:val="20"/>
              </w:rPr>
              <w:t xml:space="preserve">s associated with </w:t>
            </w:r>
            <w:r>
              <w:rPr>
                <w:rFonts w:ascii="Arial Narrow" w:hAnsi="Arial Narrow"/>
                <w:b/>
                <w:color w:val="000000" w:themeColor="text1"/>
                <w:sz w:val="20"/>
              </w:rPr>
              <w:t xml:space="preserve">NTM </w:t>
            </w:r>
            <w:r w:rsidRPr="00A4529B">
              <w:rPr>
                <w:rFonts w:ascii="Arial Narrow" w:hAnsi="Arial Narrow"/>
                <w:b/>
                <w:color w:val="000000" w:themeColor="text1"/>
                <w:sz w:val="20"/>
              </w:rPr>
              <w:t>listing</w:t>
            </w:r>
          </w:p>
        </w:tc>
        <w:tc>
          <w:tcPr>
            <w:tcW w:w="1089" w:type="dxa"/>
          </w:tcPr>
          <w:p w:rsidR="000D2CBD" w:rsidRPr="00EE4DCE" w:rsidRDefault="000D2CBD" w:rsidP="009420AD">
            <w:pPr>
              <w:pStyle w:val="Tabletext0"/>
              <w:jc w:val="right"/>
              <w:rPr>
                <w:b/>
              </w:rPr>
            </w:pPr>
            <w:r w:rsidRPr="00EE4DCE">
              <w:rPr>
                <w:b/>
              </w:rPr>
              <w:t>$1,221,220</w:t>
            </w:r>
          </w:p>
        </w:tc>
        <w:tc>
          <w:tcPr>
            <w:tcW w:w="1037" w:type="dxa"/>
          </w:tcPr>
          <w:p w:rsidR="000D2CBD" w:rsidRPr="00EE4DCE" w:rsidRDefault="000D2CBD" w:rsidP="009420AD">
            <w:pPr>
              <w:pStyle w:val="Tabletext0"/>
              <w:jc w:val="right"/>
              <w:rPr>
                <w:b/>
              </w:rPr>
            </w:pPr>
            <w:r w:rsidRPr="00EE4DCE">
              <w:rPr>
                <w:b/>
              </w:rPr>
              <w:t>$1,277,250</w:t>
            </w:r>
          </w:p>
        </w:tc>
        <w:tc>
          <w:tcPr>
            <w:tcW w:w="1089" w:type="dxa"/>
          </w:tcPr>
          <w:p w:rsidR="000D2CBD" w:rsidRPr="00EE4DCE" w:rsidRDefault="000D2CBD" w:rsidP="009420AD">
            <w:pPr>
              <w:pStyle w:val="Tabletext0"/>
              <w:jc w:val="right"/>
              <w:rPr>
                <w:b/>
              </w:rPr>
            </w:pPr>
            <w:r w:rsidRPr="00EE4DCE">
              <w:rPr>
                <w:b/>
              </w:rPr>
              <w:t>$1,333,215</w:t>
            </w:r>
          </w:p>
        </w:tc>
        <w:tc>
          <w:tcPr>
            <w:tcW w:w="1037" w:type="dxa"/>
          </w:tcPr>
          <w:p w:rsidR="000D2CBD" w:rsidRPr="00EE4DCE" w:rsidRDefault="000D2CBD" w:rsidP="009420AD">
            <w:pPr>
              <w:pStyle w:val="Tabletext0"/>
              <w:jc w:val="right"/>
              <w:rPr>
                <w:b/>
              </w:rPr>
            </w:pPr>
            <w:r w:rsidRPr="00EE4DCE">
              <w:rPr>
                <w:b/>
              </w:rPr>
              <w:t>$1,389,245</w:t>
            </w:r>
          </w:p>
        </w:tc>
        <w:tc>
          <w:tcPr>
            <w:tcW w:w="1054" w:type="dxa"/>
          </w:tcPr>
          <w:p w:rsidR="000D2CBD" w:rsidRPr="00EE4DCE" w:rsidRDefault="000D2CBD" w:rsidP="009420AD">
            <w:pPr>
              <w:pStyle w:val="Tabletext0"/>
              <w:jc w:val="right"/>
              <w:rPr>
                <w:b/>
              </w:rPr>
            </w:pPr>
            <w:r w:rsidRPr="00EE4DCE">
              <w:rPr>
                <w:b/>
              </w:rPr>
              <w:t>$1,445,210</w:t>
            </w:r>
          </w:p>
        </w:tc>
      </w:tr>
      <w:tr w:rsidR="000D2CBD" w:rsidTr="009420AD">
        <w:tc>
          <w:tcPr>
            <w:tcW w:w="3828" w:type="dxa"/>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r>
            <w:r w:rsidRPr="00A4529B">
              <w:rPr>
                <w:rFonts w:ascii="Arial Narrow" w:hAnsi="Arial Narrow"/>
                <w:color w:val="000000" w:themeColor="text1"/>
                <w:sz w:val="20"/>
              </w:rPr>
              <w:t xml:space="preserve">MBS benefits </w:t>
            </w:r>
            <w:r>
              <w:rPr>
                <w:rFonts w:ascii="Arial Narrow" w:hAnsi="Arial Narrow"/>
                <w:color w:val="000000" w:themeColor="text1"/>
                <w:sz w:val="20"/>
              </w:rPr>
              <w:t>payable (85%)</w:t>
            </w:r>
          </w:p>
        </w:tc>
        <w:tc>
          <w:tcPr>
            <w:tcW w:w="1089" w:type="dxa"/>
          </w:tcPr>
          <w:p w:rsidR="000D2CBD" w:rsidRDefault="000D2CBD" w:rsidP="009420AD">
            <w:pPr>
              <w:pStyle w:val="Tabletext0"/>
              <w:jc w:val="right"/>
            </w:pPr>
            <w:r>
              <w:t>$1,038,037</w:t>
            </w:r>
          </w:p>
        </w:tc>
        <w:tc>
          <w:tcPr>
            <w:tcW w:w="1037" w:type="dxa"/>
          </w:tcPr>
          <w:p w:rsidR="000D2CBD" w:rsidRDefault="000D2CBD" w:rsidP="009420AD">
            <w:pPr>
              <w:pStyle w:val="Tabletext0"/>
              <w:jc w:val="right"/>
            </w:pPr>
            <w:r>
              <w:t>$1,085,663</w:t>
            </w:r>
          </w:p>
        </w:tc>
        <w:tc>
          <w:tcPr>
            <w:tcW w:w="1089" w:type="dxa"/>
          </w:tcPr>
          <w:p w:rsidR="000D2CBD" w:rsidRDefault="000D2CBD" w:rsidP="009420AD">
            <w:pPr>
              <w:pStyle w:val="Tabletext0"/>
              <w:jc w:val="right"/>
            </w:pPr>
            <w:r>
              <w:t>$1,133,233</w:t>
            </w:r>
          </w:p>
        </w:tc>
        <w:tc>
          <w:tcPr>
            <w:tcW w:w="1037" w:type="dxa"/>
          </w:tcPr>
          <w:p w:rsidR="000D2CBD" w:rsidRDefault="000D2CBD" w:rsidP="009420AD">
            <w:pPr>
              <w:pStyle w:val="Tabletext0"/>
              <w:jc w:val="right"/>
            </w:pPr>
            <w:r>
              <w:t>$1,180,858</w:t>
            </w:r>
          </w:p>
        </w:tc>
        <w:tc>
          <w:tcPr>
            <w:tcW w:w="1054" w:type="dxa"/>
          </w:tcPr>
          <w:p w:rsidR="000D2CBD" w:rsidRDefault="000D2CBD" w:rsidP="009420AD">
            <w:pPr>
              <w:pStyle w:val="Tabletext0"/>
              <w:jc w:val="right"/>
            </w:pPr>
            <w:r>
              <w:t>$1,228,429</w:t>
            </w:r>
          </w:p>
        </w:tc>
      </w:tr>
      <w:tr w:rsidR="000D2CBD" w:rsidTr="009420AD">
        <w:tc>
          <w:tcPr>
            <w:tcW w:w="3828" w:type="dxa"/>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r>
            <w:r w:rsidRPr="00A4529B">
              <w:rPr>
                <w:rFonts w:ascii="Arial Narrow" w:hAnsi="Arial Narrow"/>
                <w:color w:val="000000" w:themeColor="text1"/>
                <w:sz w:val="20"/>
              </w:rPr>
              <w:t xml:space="preserve">Patient co-payments </w:t>
            </w:r>
            <w:r w:rsidRPr="00CB667C">
              <w:rPr>
                <w:rFonts w:ascii="Arial Narrow" w:hAnsi="Arial Narrow"/>
                <w:color w:val="000000" w:themeColor="text1"/>
                <w:sz w:val="20"/>
                <w:vertAlign w:val="superscript"/>
              </w:rPr>
              <w:t>a</w:t>
            </w:r>
          </w:p>
        </w:tc>
        <w:tc>
          <w:tcPr>
            <w:tcW w:w="1089" w:type="dxa"/>
          </w:tcPr>
          <w:p w:rsidR="000D2CBD" w:rsidRDefault="000D2CBD" w:rsidP="009420AD">
            <w:pPr>
              <w:pStyle w:val="Tabletext0"/>
              <w:jc w:val="right"/>
            </w:pPr>
            <w:r>
              <w:t>$72,357</w:t>
            </w:r>
          </w:p>
        </w:tc>
        <w:tc>
          <w:tcPr>
            <w:tcW w:w="1037" w:type="dxa"/>
          </w:tcPr>
          <w:p w:rsidR="000D2CBD" w:rsidRDefault="000D2CBD" w:rsidP="009420AD">
            <w:pPr>
              <w:pStyle w:val="Tabletext0"/>
              <w:jc w:val="right"/>
            </w:pPr>
            <w:r>
              <w:t>$75,677</w:t>
            </w:r>
          </w:p>
        </w:tc>
        <w:tc>
          <w:tcPr>
            <w:tcW w:w="1089" w:type="dxa"/>
          </w:tcPr>
          <w:p w:rsidR="000D2CBD" w:rsidRDefault="000D2CBD" w:rsidP="009420AD">
            <w:pPr>
              <w:pStyle w:val="Tabletext0"/>
              <w:jc w:val="right"/>
            </w:pPr>
            <w:r>
              <w:t>$78,993</w:t>
            </w:r>
          </w:p>
        </w:tc>
        <w:tc>
          <w:tcPr>
            <w:tcW w:w="1037" w:type="dxa"/>
          </w:tcPr>
          <w:p w:rsidR="000D2CBD" w:rsidRDefault="000D2CBD" w:rsidP="009420AD">
            <w:pPr>
              <w:pStyle w:val="Tabletext0"/>
              <w:jc w:val="right"/>
            </w:pPr>
            <w:r>
              <w:t>$82,313</w:t>
            </w:r>
          </w:p>
        </w:tc>
        <w:tc>
          <w:tcPr>
            <w:tcW w:w="1054" w:type="dxa"/>
          </w:tcPr>
          <w:p w:rsidR="000D2CBD" w:rsidRDefault="000D2CBD" w:rsidP="009420AD">
            <w:pPr>
              <w:pStyle w:val="Tabletext0"/>
              <w:jc w:val="right"/>
            </w:pPr>
            <w:r>
              <w:t>$85,629</w:t>
            </w:r>
          </w:p>
        </w:tc>
      </w:tr>
      <w:tr w:rsidR="000D2CBD" w:rsidTr="009420AD">
        <w:tc>
          <w:tcPr>
            <w:tcW w:w="3828" w:type="dxa"/>
          </w:tcPr>
          <w:p w:rsidR="000D2CBD" w:rsidRPr="00A4529B" w:rsidRDefault="000D2CBD" w:rsidP="009420AD">
            <w:pPr>
              <w:tabs>
                <w:tab w:val="left" w:pos="285"/>
              </w:tabs>
              <w:spacing w:after="40"/>
              <w:rPr>
                <w:rFonts w:ascii="Arial Narrow" w:hAnsi="Arial Narrow"/>
                <w:b/>
                <w:color w:val="000000" w:themeColor="text1"/>
                <w:sz w:val="20"/>
              </w:rPr>
            </w:pPr>
            <w:r w:rsidRPr="00A4529B">
              <w:rPr>
                <w:rFonts w:ascii="Arial Narrow" w:hAnsi="Arial Narrow"/>
                <w:b/>
                <w:color w:val="000000" w:themeColor="text1"/>
                <w:sz w:val="20"/>
              </w:rPr>
              <w:t xml:space="preserve">MBS </w:t>
            </w:r>
            <w:r>
              <w:rPr>
                <w:rFonts w:ascii="Arial Narrow" w:hAnsi="Arial Narrow"/>
                <w:b/>
                <w:color w:val="000000" w:themeColor="text1"/>
                <w:sz w:val="20"/>
              </w:rPr>
              <w:t>fee</w:t>
            </w:r>
            <w:r w:rsidRPr="00A4529B">
              <w:rPr>
                <w:rFonts w:ascii="Arial Narrow" w:hAnsi="Arial Narrow"/>
                <w:b/>
                <w:color w:val="000000" w:themeColor="text1"/>
                <w:sz w:val="20"/>
              </w:rPr>
              <w:t xml:space="preserve">s associated with </w:t>
            </w:r>
            <w:r>
              <w:rPr>
                <w:rFonts w:ascii="Arial Narrow" w:hAnsi="Arial Narrow"/>
                <w:b/>
                <w:color w:val="000000" w:themeColor="text1"/>
                <w:sz w:val="20"/>
              </w:rPr>
              <w:t xml:space="preserve">NAAT </w:t>
            </w:r>
            <w:r w:rsidRPr="00A4529B">
              <w:rPr>
                <w:rFonts w:ascii="Arial Narrow" w:hAnsi="Arial Narrow"/>
                <w:b/>
                <w:color w:val="000000" w:themeColor="text1"/>
                <w:sz w:val="20"/>
              </w:rPr>
              <w:t>listing</w:t>
            </w:r>
            <w:r>
              <w:rPr>
                <w:rFonts w:ascii="Arial Narrow" w:hAnsi="Arial Narrow"/>
                <w:b/>
                <w:color w:val="000000" w:themeColor="text1"/>
                <w:sz w:val="20"/>
              </w:rPr>
              <w:t>s</w:t>
            </w:r>
          </w:p>
        </w:tc>
        <w:tc>
          <w:tcPr>
            <w:tcW w:w="1089" w:type="dxa"/>
          </w:tcPr>
          <w:p w:rsidR="000D2CBD" w:rsidRPr="001C2C73" w:rsidRDefault="000D2CBD" w:rsidP="009420AD">
            <w:pPr>
              <w:pStyle w:val="Tabletext0"/>
              <w:jc w:val="right"/>
              <w:rPr>
                <w:b/>
              </w:rPr>
            </w:pPr>
            <w:r w:rsidRPr="001C2C73">
              <w:rPr>
                <w:b/>
              </w:rPr>
              <w:t>$3,663,660</w:t>
            </w:r>
          </w:p>
        </w:tc>
        <w:tc>
          <w:tcPr>
            <w:tcW w:w="1037" w:type="dxa"/>
          </w:tcPr>
          <w:p w:rsidR="000D2CBD" w:rsidRPr="001C2C73" w:rsidRDefault="000D2CBD" w:rsidP="009420AD">
            <w:pPr>
              <w:pStyle w:val="Tabletext0"/>
              <w:jc w:val="right"/>
              <w:rPr>
                <w:b/>
              </w:rPr>
            </w:pPr>
            <w:r w:rsidRPr="001C2C73">
              <w:rPr>
                <w:b/>
              </w:rPr>
              <w:t>$3,831,750</w:t>
            </w:r>
          </w:p>
        </w:tc>
        <w:tc>
          <w:tcPr>
            <w:tcW w:w="1089" w:type="dxa"/>
          </w:tcPr>
          <w:p w:rsidR="000D2CBD" w:rsidRPr="001C2C73" w:rsidRDefault="000D2CBD" w:rsidP="009420AD">
            <w:pPr>
              <w:pStyle w:val="Tabletext0"/>
              <w:jc w:val="right"/>
              <w:rPr>
                <w:b/>
              </w:rPr>
            </w:pPr>
            <w:r w:rsidRPr="001C2C73">
              <w:rPr>
                <w:b/>
              </w:rPr>
              <w:t>$3,999,645</w:t>
            </w:r>
          </w:p>
        </w:tc>
        <w:tc>
          <w:tcPr>
            <w:tcW w:w="1037" w:type="dxa"/>
          </w:tcPr>
          <w:p w:rsidR="000D2CBD" w:rsidRPr="001C2C73" w:rsidRDefault="000D2CBD" w:rsidP="009420AD">
            <w:pPr>
              <w:pStyle w:val="Tabletext0"/>
              <w:jc w:val="right"/>
              <w:rPr>
                <w:b/>
              </w:rPr>
            </w:pPr>
            <w:r w:rsidRPr="001C2C73">
              <w:rPr>
                <w:b/>
              </w:rPr>
              <w:t>$4,167,735</w:t>
            </w:r>
          </w:p>
        </w:tc>
        <w:tc>
          <w:tcPr>
            <w:tcW w:w="1054" w:type="dxa"/>
          </w:tcPr>
          <w:p w:rsidR="000D2CBD" w:rsidRPr="001C2C73" w:rsidRDefault="000D2CBD" w:rsidP="009420AD">
            <w:pPr>
              <w:pStyle w:val="Tabletext0"/>
              <w:jc w:val="right"/>
              <w:rPr>
                <w:b/>
              </w:rPr>
            </w:pPr>
            <w:r w:rsidRPr="001C2C73">
              <w:rPr>
                <w:b/>
              </w:rPr>
              <w:t>$4,335,630</w:t>
            </w:r>
          </w:p>
        </w:tc>
      </w:tr>
      <w:tr w:rsidR="000D2CBD" w:rsidTr="009420AD">
        <w:tc>
          <w:tcPr>
            <w:tcW w:w="3828" w:type="dxa"/>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r>
            <w:r w:rsidRPr="00A4529B">
              <w:rPr>
                <w:rFonts w:ascii="Arial Narrow" w:hAnsi="Arial Narrow"/>
                <w:color w:val="000000" w:themeColor="text1"/>
                <w:sz w:val="20"/>
              </w:rPr>
              <w:t xml:space="preserve">MBS benefits </w:t>
            </w:r>
            <w:r>
              <w:rPr>
                <w:rFonts w:ascii="Arial Narrow" w:hAnsi="Arial Narrow"/>
                <w:color w:val="000000" w:themeColor="text1"/>
                <w:sz w:val="20"/>
              </w:rPr>
              <w:t>payable (85%)</w:t>
            </w:r>
          </w:p>
        </w:tc>
        <w:tc>
          <w:tcPr>
            <w:tcW w:w="1089" w:type="dxa"/>
          </w:tcPr>
          <w:p w:rsidR="000D2CBD" w:rsidRDefault="000D2CBD" w:rsidP="009420AD">
            <w:pPr>
              <w:pStyle w:val="Tabletext0"/>
              <w:jc w:val="right"/>
            </w:pPr>
            <w:r>
              <w:t>$3,114,111</w:t>
            </w:r>
          </w:p>
        </w:tc>
        <w:tc>
          <w:tcPr>
            <w:tcW w:w="1037" w:type="dxa"/>
          </w:tcPr>
          <w:p w:rsidR="000D2CBD" w:rsidRDefault="000D2CBD" w:rsidP="009420AD">
            <w:pPr>
              <w:pStyle w:val="Tabletext0"/>
              <w:jc w:val="right"/>
            </w:pPr>
            <w:r>
              <w:t>$3,256,988</w:t>
            </w:r>
          </w:p>
        </w:tc>
        <w:tc>
          <w:tcPr>
            <w:tcW w:w="1089" w:type="dxa"/>
          </w:tcPr>
          <w:p w:rsidR="000D2CBD" w:rsidRDefault="000D2CBD" w:rsidP="009420AD">
            <w:pPr>
              <w:pStyle w:val="Tabletext0"/>
              <w:jc w:val="right"/>
            </w:pPr>
            <w:r>
              <w:t>$3,399,698</w:t>
            </w:r>
          </w:p>
        </w:tc>
        <w:tc>
          <w:tcPr>
            <w:tcW w:w="1037" w:type="dxa"/>
          </w:tcPr>
          <w:p w:rsidR="000D2CBD" w:rsidRDefault="000D2CBD" w:rsidP="009420AD">
            <w:pPr>
              <w:pStyle w:val="Tabletext0"/>
              <w:jc w:val="right"/>
            </w:pPr>
            <w:r>
              <w:t>$3,542,575</w:t>
            </w:r>
          </w:p>
        </w:tc>
        <w:tc>
          <w:tcPr>
            <w:tcW w:w="1054" w:type="dxa"/>
          </w:tcPr>
          <w:p w:rsidR="000D2CBD" w:rsidRDefault="000D2CBD" w:rsidP="009420AD">
            <w:pPr>
              <w:pStyle w:val="Tabletext0"/>
              <w:jc w:val="right"/>
            </w:pPr>
            <w:r>
              <w:t>$3,685,286</w:t>
            </w:r>
          </w:p>
        </w:tc>
      </w:tr>
      <w:tr w:rsidR="000D2CBD" w:rsidTr="009420AD">
        <w:tc>
          <w:tcPr>
            <w:tcW w:w="3828" w:type="dxa"/>
          </w:tcPr>
          <w:p w:rsidR="000D2CBD" w:rsidRPr="00A4529B" w:rsidRDefault="000D2CBD" w:rsidP="009420AD">
            <w:pPr>
              <w:tabs>
                <w:tab w:val="left" w:pos="285"/>
              </w:tabs>
              <w:spacing w:after="40"/>
              <w:rPr>
                <w:rFonts w:ascii="Arial Narrow" w:hAnsi="Arial Narrow"/>
                <w:color w:val="000000" w:themeColor="text1"/>
                <w:sz w:val="20"/>
              </w:rPr>
            </w:pPr>
            <w:r>
              <w:rPr>
                <w:rFonts w:ascii="Arial Narrow" w:hAnsi="Arial Narrow"/>
                <w:color w:val="000000" w:themeColor="text1"/>
                <w:sz w:val="20"/>
              </w:rPr>
              <w:tab/>
            </w:r>
            <w:r w:rsidRPr="00A4529B">
              <w:rPr>
                <w:rFonts w:ascii="Arial Narrow" w:hAnsi="Arial Narrow"/>
                <w:color w:val="000000" w:themeColor="text1"/>
                <w:sz w:val="20"/>
              </w:rPr>
              <w:t xml:space="preserve">Patient co-payments </w:t>
            </w:r>
            <w:r w:rsidRPr="00CB667C">
              <w:rPr>
                <w:rFonts w:ascii="Arial Narrow" w:hAnsi="Arial Narrow"/>
                <w:color w:val="000000" w:themeColor="text1"/>
                <w:sz w:val="20"/>
                <w:vertAlign w:val="superscript"/>
              </w:rPr>
              <w:t>a</w:t>
            </w:r>
          </w:p>
        </w:tc>
        <w:tc>
          <w:tcPr>
            <w:tcW w:w="1089" w:type="dxa"/>
          </w:tcPr>
          <w:p w:rsidR="000D2CBD" w:rsidRDefault="000D2CBD" w:rsidP="009420AD">
            <w:pPr>
              <w:pStyle w:val="Tabletext0"/>
              <w:jc w:val="right"/>
            </w:pPr>
            <w:r>
              <w:t>$217,072</w:t>
            </w:r>
          </w:p>
        </w:tc>
        <w:tc>
          <w:tcPr>
            <w:tcW w:w="1037" w:type="dxa"/>
          </w:tcPr>
          <w:p w:rsidR="000D2CBD" w:rsidRDefault="000D2CBD" w:rsidP="009420AD">
            <w:pPr>
              <w:pStyle w:val="Tabletext0"/>
              <w:jc w:val="right"/>
            </w:pPr>
            <w:r>
              <w:t>$227,031</w:t>
            </w:r>
          </w:p>
        </w:tc>
        <w:tc>
          <w:tcPr>
            <w:tcW w:w="1089" w:type="dxa"/>
          </w:tcPr>
          <w:p w:rsidR="000D2CBD" w:rsidRDefault="000D2CBD" w:rsidP="009420AD">
            <w:pPr>
              <w:pStyle w:val="Tabletext0"/>
              <w:jc w:val="right"/>
            </w:pPr>
            <w:r>
              <w:t>$236,979</w:t>
            </w:r>
          </w:p>
        </w:tc>
        <w:tc>
          <w:tcPr>
            <w:tcW w:w="1037" w:type="dxa"/>
          </w:tcPr>
          <w:p w:rsidR="000D2CBD" w:rsidRDefault="000D2CBD" w:rsidP="009420AD">
            <w:pPr>
              <w:pStyle w:val="Tabletext0"/>
              <w:jc w:val="right"/>
            </w:pPr>
            <w:r>
              <w:t>$246,938</w:t>
            </w:r>
          </w:p>
        </w:tc>
        <w:tc>
          <w:tcPr>
            <w:tcW w:w="1054" w:type="dxa"/>
          </w:tcPr>
          <w:p w:rsidR="000D2CBD" w:rsidRDefault="000D2CBD" w:rsidP="009420AD">
            <w:pPr>
              <w:pStyle w:val="Tabletext0"/>
              <w:jc w:val="right"/>
            </w:pPr>
            <w:r>
              <w:t>$256,886</w:t>
            </w:r>
          </w:p>
        </w:tc>
      </w:tr>
    </w:tbl>
    <w:p w:rsidR="000D2CBD" w:rsidRPr="00A8330A" w:rsidRDefault="000D2CBD" w:rsidP="00A8330A">
      <w:pPr>
        <w:rPr>
          <w:rFonts w:ascii="Arial Narrow" w:hAnsi="Arial Narrow"/>
          <w:sz w:val="16"/>
          <w:szCs w:val="16"/>
        </w:rPr>
      </w:pPr>
      <w:proofErr w:type="spellStart"/>
      <w:proofErr w:type="gramStart"/>
      <w:r w:rsidRPr="00A8330A">
        <w:rPr>
          <w:rFonts w:ascii="Arial Narrow" w:hAnsi="Arial Narrow"/>
          <w:sz w:val="16"/>
          <w:szCs w:val="16"/>
          <w:vertAlign w:val="superscript"/>
        </w:rPr>
        <w:t>a</w:t>
      </w:r>
      <w:proofErr w:type="spellEnd"/>
      <w:proofErr w:type="gramEnd"/>
      <w:r w:rsidRPr="00A8330A">
        <w:rPr>
          <w:rFonts w:ascii="Arial Narrow" w:hAnsi="Arial Narrow"/>
          <w:sz w:val="16"/>
          <w:szCs w:val="16"/>
        </w:rPr>
        <w:t xml:space="preserve"> Only payable by patients who are not bulk-billed</w:t>
      </w:r>
    </w:p>
    <w:p w:rsidR="000D2CBD" w:rsidRPr="00A8330A" w:rsidRDefault="000D2CBD" w:rsidP="00A8330A">
      <w:pPr>
        <w:rPr>
          <w:rFonts w:ascii="Arial Narrow" w:hAnsi="Arial Narrow"/>
          <w:sz w:val="16"/>
          <w:szCs w:val="16"/>
        </w:rPr>
      </w:pPr>
      <w:r w:rsidRPr="00A8330A">
        <w:rPr>
          <w:rFonts w:ascii="Arial Narrow" w:hAnsi="Arial Narrow"/>
          <w:sz w:val="16"/>
          <w:szCs w:val="16"/>
        </w:rPr>
        <w:t>NAAT = nucleic acid amplification test; NTM = non-tuberculous mycobacteria; TB = tuberculosis</w:t>
      </w:r>
    </w:p>
    <w:p w:rsidR="000D2CBD" w:rsidRDefault="000D2CBD" w:rsidP="000D2CBD"/>
    <w:p w:rsidR="000D2CBD" w:rsidRDefault="000D2CBD" w:rsidP="000D2CBD">
      <w:r>
        <w:t xml:space="preserve">The approach used may overestimate the population eligible for NAAT, as testing of patients suspected of </w:t>
      </w:r>
      <w:r w:rsidRPr="00B0602C">
        <w:rPr>
          <w:i/>
        </w:rPr>
        <w:t xml:space="preserve">M. </w:t>
      </w:r>
      <w:proofErr w:type="spellStart"/>
      <w:r w:rsidRPr="00B0602C">
        <w:rPr>
          <w:i/>
        </w:rPr>
        <w:t>leprae</w:t>
      </w:r>
      <w:proofErr w:type="spellEnd"/>
      <w:r>
        <w:t xml:space="preserve"> may be included (but would not be eligible for NAAT) and, as these tests are used to monitor treatment effectiveness, patients may receive testing across multiple years for the same infection. Furthermore, the current MBS items are not restricted to patients with clinical signs and symptoms of a mycobacterial infection; as testing may be ordered as part of the initial work-up of a </w:t>
      </w:r>
      <w:r>
        <w:rPr>
          <w:rStyle w:val="st"/>
        </w:rPr>
        <w:t>chronic obstructive pulmonary disease</w:t>
      </w:r>
      <w:r>
        <w:t xml:space="preserve"> or some renal diseases, this approach may further overestimate the eligible population.</w:t>
      </w:r>
    </w:p>
    <w:p w:rsidR="000D2CBD" w:rsidRDefault="000D2CBD" w:rsidP="000D2CBD"/>
    <w:p w:rsidR="000D2CBD" w:rsidRDefault="000D2CBD" w:rsidP="000D2CBD">
      <w:pPr>
        <w:rPr>
          <w:color w:val="000000" w:themeColor="text1"/>
        </w:rPr>
      </w:pPr>
      <w:r>
        <w:t xml:space="preserve">Given the uncertainties in estimating the eligible population, the financial implications of introducing NAAT are uncertain. However, as NAAT is proposed to be used as an add-on test, net costs to the MBS are implied. Estimates presented in the assessment </w:t>
      </w:r>
      <w:r w:rsidR="008E017B">
        <w:br/>
      </w:r>
      <w:r>
        <w:t>($3.7</w:t>
      </w:r>
      <w:r w:rsidR="008E017B">
        <w:t xml:space="preserve"> – </w:t>
      </w:r>
      <w:r>
        <w:t>$4.3 million over the 5-year period) are likely to represent the upper limits of proposed use, as all assumptions regarding the eligible population are likely to be overestimated. The financial implications are most sensitive to changes in the cost per test. While benefits associated with reduced transmissions may be expected, these have not been quantified.</w:t>
      </w:r>
      <w:r w:rsidR="008E017B">
        <w:t xml:space="preserve"> </w:t>
      </w:r>
      <w:r>
        <w:t xml:space="preserve">As NAAT is currently being used (the extent of which is uncertain), </w:t>
      </w:r>
      <w:r>
        <w:rPr>
          <w:color w:val="000000" w:themeColor="text1"/>
        </w:rPr>
        <w:t>some shifting of costs from the states to the federal health budget is anticipated, and so the net societal cost of NAAT may be lower than the net costs to the MBS.</w:t>
      </w:r>
    </w:p>
    <w:p w:rsidR="000D2CBD" w:rsidRPr="0066331B" w:rsidRDefault="000D2CBD" w:rsidP="000D2CBD"/>
    <w:p w:rsidR="006A0D97" w:rsidRDefault="006A0D97" w:rsidP="006A0D97">
      <w:pPr>
        <w:pStyle w:val="Heading1"/>
        <w:numPr>
          <w:ilvl w:val="0"/>
          <w:numId w:val="23"/>
        </w:numPr>
        <w:ind w:hanging="720"/>
      </w:pPr>
      <w:r w:rsidRPr="006A0D97">
        <w:lastRenderedPageBreak/>
        <w:t>Key issues from ESC for MSAC</w:t>
      </w:r>
    </w:p>
    <w:p w:rsidR="000D2CBD" w:rsidRDefault="000D2CBD" w:rsidP="00A72C1B">
      <w:pPr>
        <w:tabs>
          <w:tab w:val="left" w:pos="720"/>
          <w:tab w:val="left" w:pos="1140"/>
        </w:tabs>
        <w:spacing w:before="120"/>
        <w:rPr>
          <w:szCs w:val="24"/>
        </w:rPr>
      </w:pPr>
      <w:r w:rsidRPr="002F3E63">
        <w:rPr>
          <w:szCs w:val="24"/>
        </w:rPr>
        <w:t xml:space="preserve">ESC noted that the proposed NTM population eligible for NAAT had been expanded from the population specified in the Protocol to include all patients suspected of having NTM infection. ESC considered that although there was an insufficient evidence-base for NTM infections as a whole there was value in including patients with other specimen types such as HIV-positive with M. </w:t>
      </w:r>
      <w:proofErr w:type="spellStart"/>
      <w:r w:rsidRPr="002F3E63">
        <w:rPr>
          <w:szCs w:val="24"/>
        </w:rPr>
        <w:t>avium</w:t>
      </w:r>
      <w:proofErr w:type="spellEnd"/>
      <w:r w:rsidRPr="002F3E63">
        <w:rPr>
          <w:szCs w:val="24"/>
        </w:rPr>
        <w:t xml:space="preserve"> complex (MAC) disease or patients with disseminated bacteraemia.</w:t>
      </w:r>
    </w:p>
    <w:p w:rsidR="000D2CBD" w:rsidRPr="002F3E63" w:rsidRDefault="000D2CBD" w:rsidP="000D2CBD">
      <w:pPr>
        <w:tabs>
          <w:tab w:val="left" w:pos="720"/>
          <w:tab w:val="left" w:pos="1140"/>
        </w:tabs>
        <w:rPr>
          <w:szCs w:val="24"/>
        </w:rPr>
      </w:pPr>
    </w:p>
    <w:p w:rsidR="000D2CBD" w:rsidRDefault="000D2CBD" w:rsidP="000D2CBD">
      <w:pPr>
        <w:tabs>
          <w:tab w:val="left" w:pos="720"/>
          <w:tab w:val="left" w:pos="1140"/>
        </w:tabs>
        <w:rPr>
          <w:szCs w:val="24"/>
        </w:rPr>
      </w:pPr>
      <w:r w:rsidRPr="002F3E63">
        <w:rPr>
          <w:szCs w:val="24"/>
        </w:rPr>
        <w:t xml:space="preserve">NAAT testing identifies a complex of mycobacteria </w:t>
      </w:r>
      <w:proofErr w:type="gramStart"/>
      <w:r w:rsidRPr="002F3E63">
        <w:rPr>
          <w:szCs w:val="24"/>
        </w:rPr>
        <w:t>however,</w:t>
      </w:r>
      <w:proofErr w:type="gramEnd"/>
      <w:r w:rsidRPr="002F3E63">
        <w:rPr>
          <w:szCs w:val="24"/>
        </w:rPr>
        <w:t xml:space="preserve"> there are different NAAT tests for different types of mycobacteria. ESC considered that under certain circumstances for one patient for the same episode multiple NAAT tests may be required.</w:t>
      </w:r>
    </w:p>
    <w:p w:rsidR="000D2CBD" w:rsidRPr="002F3E63" w:rsidRDefault="000D2CBD" w:rsidP="000D2CBD">
      <w:pPr>
        <w:tabs>
          <w:tab w:val="left" w:pos="720"/>
          <w:tab w:val="left" w:pos="1140"/>
        </w:tabs>
        <w:rPr>
          <w:szCs w:val="24"/>
        </w:rPr>
      </w:pPr>
    </w:p>
    <w:p w:rsidR="000D2CBD" w:rsidRDefault="000D2CBD" w:rsidP="00B02DE8">
      <w:pPr>
        <w:tabs>
          <w:tab w:val="left" w:pos="720"/>
          <w:tab w:val="left" w:pos="1140"/>
        </w:tabs>
        <w:rPr>
          <w:szCs w:val="24"/>
        </w:rPr>
      </w:pPr>
      <w:r w:rsidRPr="002F3E63">
        <w:rPr>
          <w:szCs w:val="24"/>
        </w:rPr>
        <w:t>ESC agreed that the proposed comparators were appropriate. However, ESC noted that culture is an imperfect reference standard</w:t>
      </w:r>
      <w:r>
        <w:rPr>
          <w:szCs w:val="24"/>
        </w:rPr>
        <w:t xml:space="preserve"> and</w:t>
      </w:r>
      <w:r w:rsidRPr="002F3E63">
        <w:rPr>
          <w:szCs w:val="24"/>
        </w:rPr>
        <w:t xml:space="preserve"> therefore a large proportion of false-positive patients (NAAT positive &amp; culture negative) could have clinical disease.</w:t>
      </w:r>
    </w:p>
    <w:p w:rsidR="007C35D2" w:rsidRPr="002F3E63" w:rsidRDefault="007C35D2">
      <w:pPr>
        <w:tabs>
          <w:tab w:val="left" w:pos="720"/>
          <w:tab w:val="left" w:pos="1140"/>
        </w:tabs>
        <w:rPr>
          <w:szCs w:val="24"/>
        </w:rPr>
      </w:pPr>
    </w:p>
    <w:p w:rsidR="000D2CBD" w:rsidRPr="00D519CF" w:rsidRDefault="000D2CBD">
      <w:pPr>
        <w:tabs>
          <w:tab w:val="left" w:pos="720"/>
          <w:tab w:val="left" w:pos="1140"/>
        </w:tabs>
        <w:rPr>
          <w:rFonts w:ascii="Arial" w:hAnsi="Arial" w:cs="Arial"/>
          <w:szCs w:val="24"/>
        </w:rPr>
      </w:pPr>
      <w:r>
        <w:t>ESC noted that more patients were likely to receive a false-positive NAAT result than a false-positive AFB result indicating they could potentially have TB. Therefore, it was likely that these patients would receive treatment that was unnecessary and there was potential for adverse reactions to anti-TB treatment.</w:t>
      </w:r>
    </w:p>
    <w:p w:rsidR="000D2CBD" w:rsidRDefault="000D2CBD">
      <w:pPr>
        <w:tabs>
          <w:tab w:val="left" w:pos="720"/>
          <w:tab w:val="left" w:pos="1140"/>
        </w:tabs>
        <w:rPr>
          <w:rFonts w:ascii="Arial" w:hAnsi="Arial" w:cs="Arial"/>
          <w:szCs w:val="24"/>
          <w:u w:val="single"/>
        </w:rPr>
      </w:pPr>
    </w:p>
    <w:p w:rsidR="000D2CBD" w:rsidRDefault="000D2CBD" w:rsidP="00A72C1B">
      <w:pPr>
        <w:ind w:right="136"/>
        <w:rPr>
          <w:szCs w:val="24"/>
        </w:rPr>
      </w:pPr>
      <w:r w:rsidRPr="002F3E63">
        <w:rPr>
          <w:szCs w:val="24"/>
        </w:rPr>
        <w:t xml:space="preserve">ESC </w:t>
      </w:r>
      <w:r>
        <w:rPr>
          <w:szCs w:val="24"/>
        </w:rPr>
        <w:t>considered</w:t>
      </w:r>
      <w:r w:rsidRPr="002F3E63">
        <w:rPr>
          <w:szCs w:val="24"/>
        </w:rPr>
        <w:t xml:space="preserve"> that the two studies which provided direct evidence </w:t>
      </w:r>
      <w:r>
        <w:rPr>
          <w:szCs w:val="24"/>
        </w:rPr>
        <w:t>were</w:t>
      </w:r>
      <w:r w:rsidRPr="002F3E63">
        <w:rPr>
          <w:szCs w:val="24"/>
        </w:rPr>
        <w:t xml:space="preserve"> not likely to be applicable to the Australian setting as they </w:t>
      </w:r>
      <w:r>
        <w:rPr>
          <w:szCs w:val="24"/>
        </w:rPr>
        <w:t>were</w:t>
      </w:r>
      <w:r w:rsidRPr="002F3E63">
        <w:rPr>
          <w:szCs w:val="24"/>
        </w:rPr>
        <w:t xml:space="preserve"> conducted in a population with a high TB prevalence. </w:t>
      </w:r>
      <w:r>
        <w:rPr>
          <w:szCs w:val="24"/>
        </w:rPr>
        <w:t>T</w:t>
      </w:r>
      <w:r w:rsidRPr="002F3E63">
        <w:rPr>
          <w:szCs w:val="24"/>
        </w:rPr>
        <w:t xml:space="preserve">he results </w:t>
      </w:r>
      <w:r>
        <w:rPr>
          <w:szCs w:val="24"/>
        </w:rPr>
        <w:t xml:space="preserve">were </w:t>
      </w:r>
      <w:r w:rsidRPr="002F3E63">
        <w:rPr>
          <w:szCs w:val="24"/>
        </w:rPr>
        <w:t>likely confounded by the high treatment initiation in the comparator arm.</w:t>
      </w:r>
    </w:p>
    <w:p w:rsidR="000D2CBD" w:rsidRPr="002F3E63" w:rsidRDefault="000D2CBD" w:rsidP="000D2CBD">
      <w:pPr>
        <w:ind w:right="135"/>
        <w:rPr>
          <w:szCs w:val="24"/>
        </w:rPr>
      </w:pPr>
    </w:p>
    <w:p w:rsidR="000D2CBD" w:rsidRDefault="000D2CBD" w:rsidP="000D2CBD">
      <w:pPr>
        <w:ind w:right="135"/>
        <w:rPr>
          <w:szCs w:val="24"/>
        </w:rPr>
      </w:pPr>
      <w:r w:rsidRPr="002F3E63">
        <w:rPr>
          <w:szCs w:val="24"/>
        </w:rPr>
        <w:t xml:space="preserve">ESC considered that NAAT </w:t>
      </w:r>
      <w:r>
        <w:rPr>
          <w:szCs w:val="24"/>
        </w:rPr>
        <w:t>was</w:t>
      </w:r>
      <w:r w:rsidRPr="002F3E63">
        <w:rPr>
          <w:szCs w:val="24"/>
        </w:rPr>
        <w:t xml:space="preserve"> likely to be more effective at confirming the presence of an MTB infection than</w:t>
      </w:r>
      <w:r>
        <w:rPr>
          <w:szCs w:val="24"/>
        </w:rPr>
        <w:t xml:space="preserve"> was indicated by</w:t>
      </w:r>
      <w:r w:rsidRPr="002F3E63">
        <w:rPr>
          <w:szCs w:val="24"/>
        </w:rPr>
        <w:t xml:space="preserve"> the meta-analysis presented </w:t>
      </w:r>
      <w:r>
        <w:rPr>
          <w:szCs w:val="24"/>
        </w:rPr>
        <w:t xml:space="preserve">which </w:t>
      </w:r>
      <w:r w:rsidRPr="002F3E63">
        <w:rPr>
          <w:szCs w:val="24"/>
        </w:rPr>
        <w:t>us</w:t>
      </w:r>
      <w:r>
        <w:rPr>
          <w:szCs w:val="24"/>
        </w:rPr>
        <w:t>ed</w:t>
      </w:r>
      <w:r w:rsidRPr="002F3E63">
        <w:rPr>
          <w:szCs w:val="24"/>
        </w:rPr>
        <w:t xml:space="preserve"> culture as a reference standard.</w:t>
      </w:r>
    </w:p>
    <w:p w:rsidR="000D2CBD" w:rsidRPr="002F3E63" w:rsidRDefault="000D2CBD" w:rsidP="000D2CBD">
      <w:pPr>
        <w:ind w:right="135"/>
        <w:rPr>
          <w:szCs w:val="24"/>
        </w:rPr>
      </w:pPr>
    </w:p>
    <w:p w:rsidR="000D2CBD" w:rsidRPr="002F3E63" w:rsidRDefault="000D2CBD" w:rsidP="000D2CBD">
      <w:pPr>
        <w:tabs>
          <w:tab w:val="left" w:pos="720"/>
          <w:tab w:val="left" w:pos="1140"/>
        </w:tabs>
        <w:rPr>
          <w:szCs w:val="24"/>
        </w:rPr>
      </w:pPr>
      <w:r w:rsidRPr="002F3E63">
        <w:rPr>
          <w:szCs w:val="24"/>
        </w:rPr>
        <w:t xml:space="preserve">ESC noted that NAAT could potentially make the time to diagnosis </w:t>
      </w:r>
      <w:r>
        <w:rPr>
          <w:szCs w:val="24"/>
        </w:rPr>
        <w:t>shorter</w:t>
      </w:r>
      <w:r w:rsidRPr="002F3E63">
        <w:rPr>
          <w:szCs w:val="24"/>
        </w:rPr>
        <w:t xml:space="preserve"> and </w:t>
      </w:r>
      <w:proofErr w:type="gramStart"/>
      <w:r w:rsidRPr="002F3E63">
        <w:rPr>
          <w:szCs w:val="24"/>
        </w:rPr>
        <w:t>allow</w:t>
      </w:r>
      <w:proofErr w:type="gramEnd"/>
      <w:r w:rsidRPr="002F3E63">
        <w:rPr>
          <w:szCs w:val="24"/>
        </w:rPr>
        <w:t xml:space="preserve"> earlier treatment, especially in patients who are AFB </w:t>
      </w:r>
      <w:r>
        <w:rPr>
          <w:szCs w:val="24"/>
        </w:rPr>
        <w:t xml:space="preserve">smear </w:t>
      </w:r>
      <w:r w:rsidRPr="002F3E63">
        <w:rPr>
          <w:szCs w:val="24"/>
        </w:rPr>
        <w:t>negative. However, ESC considered that a delay in time to diagnosis would not have a major impact overall except potentially on the risk of transmission; and that management of these patients is highly dependent on the clinical setting and their pre-test probability.</w:t>
      </w:r>
    </w:p>
    <w:p w:rsidR="000D2CBD" w:rsidRDefault="000D2CBD" w:rsidP="000D2CBD">
      <w:pPr>
        <w:tabs>
          <w:tab w:val="left" w:pos="720"/>
          <w:tab w:val="left" w:pos="1140"/>
        </w:tabs>
        <w:rPr>
          <w:szCs w:val="24"/>
        </w:rPr>
      </w:pPr>
    </w:p>
    <w:p w:rsidR="000D2CBD" w:rsidRPr="002F3E63" w:rsidRDefault="000D2CBD" w:rsidP="00B02DE8">
      <w:pPr>
        <w:tabs>
          <w:tab w:val="left" w:pos="720"/>
          <w:tab w:val="left" w:pos="1140"/>
        </w:tabs>
        <w:rPr>
          <w:szCs w:val="24"/>
        </w:rPr>
      </w:pPr>
      <w:r w:rsidRPr="002F3E63">
        <w:rPr>
          <w:szCs w:val="24"/>
        </w:rPr>
        <w:t xml:space="preserve">ESC considered there was insufficient evidence presented to demonstrate the accuracy of NAAT in diagnosis of NTM in AFB </w:t>
      </w:r>
      <w:r>
        <w:rPr>
          <w:szCs w:val="24"/>
        </w:rPr>
        <w:t xml:space="preserve">smear </w:t>
      </w:r>
      <w:r w:rsidRPr="002F3E63">
        <w:rPr>
          <w:szCs w:val="24"/>
        </w:rPr>
        <w:t>positive or negative patients. ESC was not convinced there would be value using NAAT in addition to AFB microscopy testing to impact health outcomes in this patient population.</w:t>
      </w:r>
    </w:p>
    <w:p w:rsidR="007C35D2" w:rsidRDefault="007C35D2" w:rsidP="00A72C1B">
      <w:pPr>
        <w:tabs>
          <w:tab w:val="left" w:pos="720"/>
          <w:tab w:val="left" w:pos="1140"/>
        </w:tabs>
        <w:rPr>
          <w:rFonts w:ascii="Arial" w:hAnsi="Arial" w:cs="Arial"/>
          <w:u w:val="single"/>
        </w:rPr>
      </w:pPr>
    </w:p>
    <w:p w:rsidR="000D2CBD" w:rsidRPr="00823AE4" w:rsidRDefault="000D2CBD">
      <w:pPr>
        <w:tabs>
          <w:tab w:val="left" w:pos="720"/>
          <w:tab w:val="left" w:pos="1140"/>
        </w:tabs>
      </w:pPr>
      <w:r w:rsidRPr="00823AE4">
        <w:t>ESC considered that the three key translation issues were:</w:t>
      </w:r>
    </w:p>
    <w:p w:rsidR="000D2CBD" w:rsidRPr="00823AE4" w:rsidRDefault="000D2CBD" w:rsidP="000D2CBD">
      <w:pPr>
        <w:pStyle w:val="ListParagraph"/>
        <w:numPr>
          <w:ilvl w:val="0"/>
          <w:numId w:val="29"/>
        </w:numPr>
        <w:tabs>
          <w:tab w:val="left" w:pos="720"/>
          <w:tab w:val="left" w:pos="1140"/>
        </w:tabs>
      </w:pPr>
      <w:r w:rsidRPr="00823AE4">
        <w:t>the poor to moderate quality of the studies;</w:t>
      </w:r>
    </w:p>
    <w:p w:rsidR="000D2CBD" w:rsidRPr="00823AE4" w:rsidRDefault="000D2CBD" w:rsidP="000D2CBD">
      <w:pPr>
        <w:pStyle w:val="ListParagraph"/>
        <w:numPr>
          <w:ilvl w:val="0"/>
          <w:numId w:val="29"/>
        </w:numPr>
        <w:tabs>
          <w:tab w:val="left" w:pos="720"/>
          <w:tab w:val="left" w:pos="1140"/>
        </w:tabs>
      </w:pPr>
      <w:r w:rsidRPr="00823AE4">
        <w:t>whether culture was an appropriate reference standard; and</w:t>
      </w:r>
    </w:p>
    <w:p w:rsidR="000D2CBD" w:rsidRDefault="000D2CBD" w:rsidP="00A72C1B">
      <w:pPr>
        <w:pStyle w:val="ListParagraph"/>
        <w:numPr>
          <w:ilvl w:val="0"/>
          <w:numId w:val="29"/>
        </w:numPr>
        <w:tabs>
          <w:tab w:val="left" w:pos="720"/>
          <w:tab w:val="left" w:pos="1140"/>
        </w:tabs>
      </w:pPr>
      <w:proofErr w:type="gramStart"/>
      <w:r w:rsidRPr="00823AE4">
        <w:t>applicability</w:t>
      </w:r>
      <w:proofErr w:type="gramEnd"/>
      <w:r w:rsidRPr="00823AE4">
        <w:t xml:space="preserve"> of the studies conducted in countries with a high TB and/or high HIV population.</w:t>
      </w:r>
    </w:p>
    <w:p w:rsidR="000D2CBD" w:rsidRPr="00823AE4" w:rsidRDefault="000D2CBD" w:rsidP="00A72C1B">
      <w:pPr>
        <w:pStyle w:val="ListParagraph"/>
        <w:tabs>
          <w:tab w:val="left" w:pos="720"/>
          <w:tab w:val="left" w:pos="1140"/>
        </w:tabs>
        <w:ind w:left="360"/>
      </w:pPr>
    </w:p>
    <w:p w:rsidR="000D2CBD" w:rsidRDefault="000D2CBD" w:rsidP="00A72C1B">
      <w:pPr>
        <w:rPr>
          <w:szCs w:val="24"/>
          <w:lang w:val="en-US"/>
        </w:rPr>
      </w:pPr>
      <w:r>
        <w:rPr>
          <w:szCs w:val="24"/>
        </w:rPr>
        <w:t xml:space="preserve">ESC noted that a cost-utility analysis was provided for the patient population with </w:t>
      </w:r>
      <w:r w:rsidRPr="00956C53">
        <w:rPr>
          <w:szCs w:val="24"/>
        </w:rPr>
        <w:t xml:space="preserve">signs and symptoms of active TB with </w:t>
      </w:r>
      <w:r>
        <w:rPr>
          <w:szCs w:val="24"/>
        </w:rPr>
        <w:t xml:space="preserve">an </w:t>
      </w:r>
      <w:r w:rsidRPr="00956C53">
        <w:rPr>
          <w:szCs w:val="24"/>
        </w:rPr>
        <w:t>AFB specimen</w:t>
      </w:r>
      <w:r>
        <w:rPr>
          <w:szCs w:val="24"/>
        </w:rPr>
        <w:t xml:space="preserve">. However, </w:t>
      </w:r>
      <w:r w:rsidRPr="00956C53">
        <w:rPr>
          <w:szCs w:val="24"/>
        </w:rPr>
        <w:t>no economic evaluation</w:t>
      </w:r>
      <w:r>
        <w:rPr>
          <w:szCs w:val="24"/>
        </w:rPr>
        <w:t xml:space="preserve"> was conducted in the patient populations </w:t>
      </w:r>
      <w:r>
        <w:rPr>
          <w:szCs w:val="24"/>
          <w:lang w:val="en-US"/>
        </w:rPr>
        <w:t xml:space="preserve">with </w:t>
      </w:r>
      <w:r w:rsidRPr="00956C53">
        <w:rPr>
          <w:szCs w:val="24"/>
        </w:rPr>
        <w:t xml:space="preserve">signs and symptoms of active TB but no AFB </w:t>
      </w:r>
      <w:r w:rsidRPr="00956C53">
        <w:rPr>
          <w:szCs w:val="24"/>
        </w:rPr>
        <w:lastRenderedPageBreak/>
        <w:t>specimen</w:t>
      </w:r>
      <w:r>
        <w:rPr>
          <w:szCs w:val="24"/>
          <w:lang w:val="en-US"/>
        </w:rPr>
        <w:t xml:space="preserve"> and </w:t>
      </w:r>
      <w:r w:rsidRPr="00956C53">
        <w:rPr>
          <w:szCs w:val="24"/>
        </w:rPr>
        <w:t>suspected of NT</w:t>
      </w:r>
      <w:r>
        <w:rPr>
          <w:szCs w:val="24"/>
        </w:rPr>
        <w:t xml:space="preserve">M infection </w:t>
      </w:r>
      <w:proofErr w:type="gramStart"/>
      <w:r>
        <w:rPr>
          <w:szCs w:val="24"/>
        </w:rPr>
        <w:t>who</w:t>
      </w:r>
      <w:proofErr w:type="gramEnd"/>
      <w:r>
        <w:rPr>
          <w:szCs w:val="24"/>
        </w:rPr>
        <w:t xml:space="preserve"> have C&amp;S testing,</w:t>
      </w:r>
      <w:r w:rsidRPr="00956C53">
        <w:rPr>
          <w:szCs w:val="24"/>
        </w:rPr>
        <w:t xml:space="preserve"> </w:t>
      </w:r>
      <w:r>
        <w:rPr>
          <w:szCs w:val="24"/>
        </w:rPr>
        <w:t>as there was n</w:t>
      </w:r>
      <w:r w:rsidRPr="00956C53">
        <w:rPr>
          <w:szCs w:val="24"/>
        </w:rPr>
        <w:t>o evidence of effectiveness</w:t>
      </w:r>
      <w:r>
        <w:rPr>
          <w:szCs w:val="24"/>
          <w:lang w:val="en-US"/>
        </w:rPr>
        <w:t>.</w:t>
      </w:r>
    </w:p>
    <w:p w:rsidR="000D2CBD" w:rsidRPr="008E4F0D" w:rsidRDefault="000D2CBD" w:rsidP="000D2CBD">
      <w:pPr>
        <w:rPr>
          <w:szCs w:val="24"/>
          <w:lang w:val="en-US"/>
        </w:rPr>
      </w:pPr>
    </w:p>
    <w:p w:rsidR="000D2CBD" w:rsidRPr="00823AE4" w:rsidRDefault="000D2CBD" w:rsidP="000D2CBD">
      <w:pPr>
        <w:rPr>
          <w:szCs w:val="24"/>
        </w:rPr>
      </w:pPr>
      <w:r w:rsidRPr="00823AE4">
        <w:rPr>
          <w:szCs w:val="24"/>
        </w:rPr>
        <w:t>ESC was concerned that the model assumed 100% sensitivity and specificity for culture and sensitivity testing when it is clearly an imperfect reference standard.</w:t>
      </w:r>
    </w:p>
    <w:p w:rsidR="000D2CBD" w:rsidRDefault="000D2CBD" w:rsidP="000D2CBD">
      <w:pPr>
        <w:tabs>
          <w:tab w:val="left" w:pos="720"/>
        </w:tabs>
        <w:rPr>
          <w:szCs w:val="24"/>
        </w:rPr>
      </w:pPr>
    </w:p>
    <w:p w:rsidR="000D2CBD" w:rsidRPr="00823AE4" w:rsidRDefault="000D2CBD" w:rsidP="000D2CBD">
      <w:pPr>
        <w:tabs>
          <w:tab w:val="left" w:pos="720"/>
        </w:tabs>
        <w:rPr>
          <w:szCs w:val="24"/>
        </w:rPr>
      </w:pPr>
      <w:r w:rsidRPr="00823AE4">
        <w:rPr>
          <w:szCs w:val="24"/>
        </w:rPr>
        <w:t>Cost and utility penalties associated with the secondary transmission of TB were appropriately applied for each index case, but ESC noted that the consequences (i.e. cost or health outcome) of further ongoing transmissions (e.g. tertiary transmissions and beyond) were not included in base-case.</w:t>
      </w:r>
    </w:p>
    <w:p w:rsidR="000D2CBD" w:rsidRPr="00823AE4" w:rsidRDefault="000D2CBD" w:rsidP="000D2CBD">
      <w:pPr>
        <w:ind w:right="135"/>
        <w:rPr>
          <w:szCs w:val="24"/>
        </w:rPr>
      </w:pPr>
    </w:p>
    <w:p w:rsidR="000D2CBD" w:rsidRPr="00823AE4" w:rsidRDefault="000D2CBD" w:rsidP="000D2CBD">
      <w:pPr>
        <w:ind w:right="135"/>
        <w:rPr>
          <w:szCs w:val="24"/>
        </w:rPr>
      </w:pPr>
      <w:r w:rsidRPr="00823AE4">
        <w:rPr>
          <w:szCs w:val="24"/>
        </w:rPr>
        <w:t>ESC noted that the cost of NAAT is the main driver of the incremental costs in the economic modelling. The applicant did not propose a fee. The fees used in the model were based on a Victorian laboratory, $130 for the NAAT TB test and $50 for the NAAT NTM test</w:t>
      </w:r>
      <w:r>
        <w:rPr>
          <w:szCs w:val="24"/>
        </w:rPr>
        <w:t xml:space="preserve"> a</w:t>
      </w:r>
      <w:r w:rsidRPr="00823AE4">
        <w:rPr>
          <w:szCs w:val="24"/>
        </w:rPr>
        <w:t>lthough, there are large variations in test cost observed across Australian pathology providers.</w:t>
      </w:r>
    </w:p>
    <w:p w:rsidR="000D2CBD" w:rsidRDefault="000D2CBD" w:rsidP="00A8330A"/>
    <w:p w:rsidR="000D2CBD" w:rsidRDefault="000D2CBD" w:rsidP="00A8330A">
      <w:r w:rsidRPr="00823AE4">
        <w:t xml:space="preserve">Sensitivity analyses showed that the cost-effectiveness of NAAT is highly sensitive to reductions in the prevalence of TB in the tested </w:t>
      </w:r>
      <w:proofErr w:type="gramStart"/>
      <w:r w:rsidRPr="00823AE4">
        <w:t>population,</w:t>
      </w:r>
      <w:proofErr w:type="gramEnd"/>
      <w:r w:rsidRPr="00823AE4">
        <w:t xml:space="preserve"> ESC noted that decreasing the prevalence from 22% to 10% in the tested population increases the ICER to $967,000. Sensitivity analyses also showed the ICER was sensitive to reductions in the specificity parameters of </w:t>
      </w:r>
      <w:proofErr w:type="gramStart"/>
      <w:r w:rsidRPr="00823AE4">
        <w:t>NAAT,</w:t>
      </w:r>
      <w:proofErr w:type="gramEnd"/>
      <w:r w:rsidRPr="00823AE4">
        <w:t xml:space="preserve"> ESC noted that the ICERs exceed $200,000 when the lower limit of NAAT specificity estimates were used.</w:t>
      </w:r>
    </w:p>
    <w:p w:rsidR="000D2CBD" w:rsidRPr="00823AE4" w:rsidRDefault="000D2CBD" w:rsidP="00A8330A">
      <w:pPr>
        <w:rPr>
          <w:b/>
        </w:rPr>
      </w:pPr>
    </w:p>
    <w:p w:rsidR="000D2CBD" w:rsidRDefault="000D2CBD" w:rsidP="00A72C1B">
      <w:pPr>
        <w:ind w:right="136"/>
        <w:rPr>
          <w:szCs w:val="24"/>
        </w:rPr>
      </w:pPr>
      <w:r w:rsidRPr="00823AE4">
        <w:rPr>
          <w:szCs w:val="24"/>
        </w:rPr>
        <w:t xml:space="preserve">ESC considered that the </w:t>
      </w:r>
      <w:r>
        <w:rPr>
          <w:szCs w:val="24"/>
        </w:rPr>
        <w:t xml:space="preserve">estimated </w:t>
      </w:r>
      <w:r w:rsidRPr="00823AE4">
        <w:rPr>
          <w:szCs w:val="24"/>
        </w:rPr>
        <w:t xml:space="preserve">population </w:t>
      </w:r>
      <w:r>
        <w:rPr>
          <w:szCs w:val="24"/>
        </w:rPr>
        <w:t>w</w:t>
      </w:r>
      <w:bookmarkStart w:id="14" w:name="_GoBack"/>
      <w:bookmarkEnd w:id="14"/>
      <w:r>
        <w:rPr>
          <w:szCs w:val="24"/>
        </w:rPr>
        <w:t>as</w:t>
      </w:r>
      <w:r w:rsidRPr="00823AE4">
        <w:rPr>
          <w:szCs w:val="24"/>
        </w:rPr>
        <w:t xml:space="preserve"> likely to be an overestimate, as </w:t>
      </w:r>
      <w:r>
        <w:rPr>
          <w:szCs w:val="24"/>
        </w:rPr>
        <w:t xml:space="preserve">it </w:t>
      </w:r>
      <w:r w:rsidRPr="00823AE4">
        <w:rPr>
          <w:szCs w:val="24"/>
        </w:rPr>
        <w:t xml:space="preserve">may </w:t>
      </w:r>
      <w:r>
        <w:rPr>
          <w:szCs w:val="24"/>
        </w:rPr>
        <w:t xml:space="preserve">have </w:t>
      </w:r>
      <w:r w:rsidRPr="00823AE4">
        <w:rPr>
          <w:szCs w:val="24"/>
        </w:rPr>
        <w:t>include</w:t>
      </w:r>
      <w:r>
        <w:rPr>
          <w:szCs w:val="24"/>
        </w:rPr>
        <w:t>d</w:t>
      </w:r>
      <w:r w:rsidRPr="00823AE4">
        <w:rPr>
          <w:szCs w:val="24"/>
        </w:rPr>
        <w:t xml:space="preserve"> patients who </w:t>
      </w:r>
      <w:r>
        <w:rPr>
          <w:szCs w:val="24"/>
        </w:rPr>
        <w:t xml:space="preserve">were </w:t>
      </w:r>
      <w:r w:rsidRPr="00823AE4">
        <w:rPr>
          <w:szCs w:val="24"/>
        </w:rPr>
        <w:t xml:space="preserve">ineligible for NAAT, such as those suspected of Mycobacterium </w:t>
      </w:r>
      <w:proofErr w:type="spellStart"/>
      <w:r w:rsidRPr="00823AE4">
        <w:rPr>
          <w:szCs w:val="24"/>
        </w:rPr>
        <w:t>leprae</w:t>
      </w:r>
      <w:proofErr w:type="spellEnd"/>
      <w:r w:rsidRPr="00823AE4">
        <w:rPr>
          <w:szCs w:val="24"/>
        </w:rPr>
        <w:t xml:space="preserve">, patients receiving testing across multiple years for the same infection, or patients who </w:t>
      </w:r>
      <w:r>
        <w:rPr>
          <w:szCs w:val="24"/>
        </w:rPr>
        <w:t xml:space="preserve">did </w:t>
      </w:r>
      <w:r w:rsidRPr="00823AE4">
        <w:rPr>
          <w:szCs w:val="24"/>
        </w:rPr>
        <w:t xml:space="preserve">not have clinical signs and symptoms of a mycobacterial infection. ESC also noted that no data </w:t>
      </w:r>
      <w:r>
        <w:rPr>
          <w:szCs w:val="24"/>
        </w:rPr>
        <w:t xml:space="preserve">were </w:t>
      </w:r>
      <w:r w:rsidRPr="00823AE4">
        <w:rPr>
          <w:szCs w:val="24"/>
        </w:rPr>
        <w:t xml:space="preserve">provided to support the applicant’s </w:t>
      </w:r>
      <w:r>
        <w:rPr>
          <w:szCs w:val="24"/>
        </w:rPr>
        <w:t>estimation</w:t>
      </w:r>
      <w:r w:rsidRPr="00823AE4">
        <w:rPr>
          <w:szCs w:val="24"/>
        </w:rPr>
        <w:t xml:space="preserve"> that 50% of patients currently tested for mycobacterial infections are suspected of TB and 50% are suspected of NTM.</w:t>
      </w:r>
    </w:p>
    <w:p w:rsidR="000D2CBD" w:rsidRDefault="000D2CBD" w:rsidP="000D2CBD">
      <w:pPr>
        <w:ind w:right="135"/>
        <w:rPr>
          <w:szCs w:val="24"/>
        </w:rPr>
      </w:pPr>
    </w:p>
    <w:p w:rsidR="000D2CBD" w:rsidRPr="00024252" w:rsidRDefault="000D2CBD" w:rsidP="00A72C1B">
      <w:pPr>
        <w:widowControl w:val="0"/>
        <w:rPr>
          <w:szCs w:val="24"/>
        </w:rPr>
      </w:pPr>
      <w:r w:rsidRPr="002F03BB">
        <w:rPr>
          <w:szCs w:val="24"/>
        </w:rPr>
        <w:t>E</w:t>
      </w:r>
      <w:r>
        <w:rPr>
          <w:szCs w:val="24"/>
        </w:rPr>
        <w:t>SC</w:t>
      </w:r>
      <w:r w:rsidRPr="002F03BB">
        <w:rPr>
          <w:szCs w:val="24"/>
        </w:rPr>
        <w:t xml:space="preserve"> noted that one NAAT is assumed per eligible patient and considered that this may</w:t>
      </w:r>
      <w:r w:rsidRPr="009D492F">
        <w:rPr>
          <w:szCs w:val="24"/>
        </w:rPr>
        <w:t xml:space="preserve"> underestimated the number of tests when multiple mycobacteria are suspected. </w:t>
      </w:r>
      <w:r>
        <w:rPr>
          <w:szCs w:val="24"/>
        </w:rPr>
        <w:t>E</w:t>
      </w:r>
      <w:r w:rsidR="008519F6">
        <w:rPr>
          <w:szCs w:val="24"/>
        </w:rPr>
        <w:t>SC</w:t>
      </w:r>
      <w:r>
        <w:rPr>
          <w:szCs w:val="24"/>
        </w:rPr>
        <w:t xml:space="preserve"> also noted that no data were provided to support the applicant’s estimation that </w:t>
      </w:r>
      <w:r>
        <w:t xml:space="preserve">30% of patients initially suspected of TB would undertake NAAT for NTM. </w:t>
      </w:r>
      <w:r w:rsidRPr="00024252">
        <w:rPr>
          <w:szCs w:val="24"/>
        </w:rPr>
        <w:t xml:space="preserve">ESC considered that the financial implications for listing NAAT on the MBS </w:t>
      </w:r>
      <w:r>
        <w:rPr>
          <w:szCs w:val="24"/>
        </w:rPr>
        <w:t>were</w:t>
      </w:r>
      <w:r w:rsidRPr="00024252">
        <w:rPr>
          <w:szCs w:val="24"/>
        </w:rPr>
        <w:t xml:space="preserve"> unclear given the uncertainties with </w:t>
      </w:r>
      <w:r>
        <w:rPr>
          <w:szCs w:val="24"/>
        </w:rPr>
        <w:t xml:space="preserve">the </w:t>
      </w:r>
      <w:r w:rsidRPr="00024252">
        <w:rPr>
          <w:szCs w:val="24"/>
        </w:rPr>
        <w:t xml:space="preserve">estimated eligible population particularly as NAAT </w:t>
      </w:r>
      <w:r>
        <w:rPr>
          <w:szCs w:val="24"/>
        </w:rPr>
        <w:t>was an</w:t>
      </w:r>
      <w:r w:rsidRPr="00024252">
        <w:rPr>
          <w:szCs w:val="24"/>
        </w:rPr>
        <w:t xml:space="preserve"> add</w:t>
      </w:r>
      <w:r>
        <w:rPr>
          <w:szCs w:val="24"/>
        </w:rPr>
        <w:noBreakHyphen/>
      </w:r>
      <w:r w:rsidRPr="00024252">
        <w:rPr>
          <w:szCs w:val="24"/>
        </w:rPr>
        <w:t>on test</w:t>
      </w:r>
      <w:r>
        <w:rPr>
          <w:szCs w:val="24"/>
        </w:rPr>
        <w:t xml:space="preserve">. </w:t>
      </w:r>
    </w:p>
    <w:p w:rsidR="000D2CBD" w:rsidRPr="00024252" w:rsidRDefault="000D2CBD" w:rsidP="000D2CBD">
      <w:pPr>
        <w:tabs>
          <w:tab w:val="left" w:pos="720"/>
        </w:tabs>
        <w:rPr>
          <w:szCs w:val="24"/>
        </w:rPr>
      </w:pPr>
    </w:p>
    <w:p w:rsidR="000D2CBD" w:rsidRPr="00024252" w:rsidRDefault="000D2CBD" w:rsidP="000D2CBD">
      <w:pPr>
        <w:tabs>
          <w:tab w:val="left" w:pos="720"/>
        </w:tabs>
        <w:rPr>
          <w:szCs w:val="24"/>
        </w:rPr>
      </w:pPr>
      <w:r w:rsidRPr="00024252">
        <w:rPr>
          <w:szCs w:val="24"/>
        </w:rPr>
        <w:t>As NAAT i</w:t>
      </w:r>
      <w:r>
        <w:rPr>
          <w:szCs w:val="24"/>
        </w:rPr>
        <w:t>s already well established within existing public health protocols for active TB (given it is a nationally notifiable disease) and NA</w:t>
      </w:r>
      <w:r w:rsidR="008519F6">
        <w:rPr>
          <w:szCs w:val="24"/>
        </w:rPr>
        <w:t>A</w:t>
      </w:r>
      <w:r>
        <w:rPr>
          <w:szCs w:val="24"/>
        </w:rPr>
        <w:t xml:space="preserve">T testing more generally is believed to be widely disseminated across public health laboratory settings for use both in this and other clinical indications </w:t>
      </w:r>
      <w:r w:rsidRPr="00024252">
        <w:rPr>
          <w:szCs w:val="24"/>
        </w:rPr>
        <w:t xml:space="preserve">  (the extent of</w:t>
      </w:r>
      <w:r>
        <w:rPr>
          <w:szCs w:val="24"/>
        </w:rPr>
        <w:t xml:space="preserve"> which was not entirely clear in the documentation provided</w:t>
      </w:r>
      <w:r w:rsidRPr="00024252">
        <w:rPr>
          <w:szCs w:val="24"/>
        </w:rPr>
        <w:t xml:space="preserve"> ), some shifting of costs from the states to the federal health budget </w:t>
      </w:r>
      <w:r>
        <w:rPr>
          <w:szCs w:val="24"/>
        </w:rPr>
        <w:t>would be</w:t>
      </w:r>
      <w:r w:rsidRPr="00024252">
        <w:rPr>
          <w:szCs w:val="24"/>
        </w:rPr>
        <w:t xml:space="preserve"> likely </w:t>
      </w:r>
      <w:r>
        <w:rPr>
          <w:szCs w:val="24"/>
        </w:rPr>
        <w:t xml:space="preserve">if a MBS item were granted </w:t>
      </w:r>
      <w:r w:rsidRPr="00024252">
        <w:rPr>
          <w:szCs w:val="24"/>
        </w:rPr>
        <w:t>but ha</w:t>
      </w:r>
      <w:r>
        <w:rPr>
          <w:szCs w:val="24"/>
        </w:rPr>
        <w:t>d</w:t>
      </w:r>
      <w:r w:rsidRPr="00024252">
        <w:rPr>
          <w:szCs w:val="24"/>
        </w:rPr>
        <w:t xml:space="preserve"> not been costed in the financial analyses.</w:t>
      </w:r>
    </w:p>
    <w:p w:rsidR="000D2CBD" w:rsidRPr="00024252" w:rsidRDefault="000D2CBD" w:rsidP="000D2CBD">
      <w:pPr>
        <w:ind w:right="135"/>
        <w:rPr>
          <w:szCs w:val="24"/>
        </w:rPr>
      </w:pPr>
    </w:p>
    <w:p w:rsidR="000D2CBD" w:rsidRPr="00794F99" w:rsidRDefault="000D2CBD" w:rsidP="000D2CBD">
      <w:pPr>
        <w:ind w:right="135"/>
        <w:rPr>
          <w:szCs w:val="24"/>
        </w:rPr>
      </w:pPr>
      <w:r w:rsidRPr="000C308A">
        <w:rPr>
          <w:szCs w:val="24"/>
        </w:rPr>
        <w:t xml:space="preserve">To further inform MSAC regarding these uncertainties, ESC requested that the department </w:t>
      </w:r>
      <w:r w:rsidR="004B2B07">
        <w:rPr>
          <w:szCs w:val="24"/>
        </w:rPr>
        <w:t xml:space="preserve">seek advice from the National Tuberculosis </w:t>
      </w:r>
      <w:r w:rsidRPr="000C308A">
        <w:rPr>
          <w:szCs w:val="24"/>
        </w:rPr>
        <w:t>Advisory Committee</w:t>
      </w:r>
      <w:r w:rsidR="004B2B07">
        <w:rPr>
          <w:szCs w:val="24"/>
        </w:rPr>
        <w:t xml:space="preserve"> </w:t>
      </w:r>
      <w:r>
        <w:rPr>
          <w:szCs w:val="24"/>
        </w:rPr>
        <w:t xml:space="preserve">(NTAC) and the Public Health Laboratory Network (PHLN), </w:t>
      </w:r>
      <w:r w:rsidRPr="000C308A">
        <w:rPr>
          <w:szCs w:val="24"/>
        </w:rPr>
        <w:t xml:space="preserve">regarding current usage of </w:t>
      </w:r>
      <w:r>
        <w:rPr>
          <w:szCs w:val="24"/>
        </w:rPr>
        <w:t xml:space="preserve"> NAAT testing in the management of active TB </w:t>
      </w:r>
      <w:r w:rsidRPr="000C308A">
        <w:rPr>
          <w:szCs w:val="24"/>
        </w:rPr>
        <w:t>;</w:t>
      </w:r>
      <w:r>
        <w:rPr>
          <w:szCs w:val="24"/>
        </w:rPr>
        <w:t xml:space="preserve"> including a better understanding of the relationship between </w:t>
      </w:r>
      <w:r w:rsidRPr="000C308A">
        <w:rPr>
          <w:szCs w:val="24"/>
        </w:rPr>
        <w:t xml:space="preserve">  private sector laboratories </w:t>
      </w:r>
      <w:r>
        <w:rPr>
          <w:szCs w:val="24"/>
        </w:rPr>
        <w:t xml:space="preserve">and </w:t>
      </w:r>
      <w:r w:rsidRPr="000C308A">
        <w:rPr>
          <w:szCs w:val="24"/>
        </w:rPr>
        <w:t xml:space="preserve"> </w:t>
      </w:r>
      <w:r>
        <w:rPr>
          <w:szCs w:val="24"/>
        </w:rPr>
        <w:t xml:space="preserve">public </w:t>
      </w:r>
      <w:r w:rsidRPr="000C308A">
        <w:rPr>
          <w:szCs w:val="24"/>
        </w:rPr>
        <w:t xml:space="preserve">reference laboratories </w:t>
      </w:r>
      <w:r>
        <w:rPr>
          <w:szCs w:val="24"/>
        </w:rPr>
        <w:t xml:space="preserve">in both the coordination and confirmation of test results </w:t>
      </w:r>
      <w:r w:rsidRPr="000C308A">
        <w:rPr>
          <w:szCs w:val="24"/>
        </w:rPr>
        <w:t xml:space="preserve">; </w:t>
      </w:r>
      <w:r>
        <w:rPr>
          <w:szCs w:val="24"/>
        </w:rPr>
        <w:t xml:space="preserve"> as well as better understanding </w:t>
      </w:r>
      <w:r w:rsidRPr="000C308A">
        <w:rPr>
          <w:szCs w:val="24"/>
        </w:rPr>
        <w:t xml:space="preserve"> on the patient population </w:t>
      </w:r>
      <w:r w:rsidRPr="000C308A">
        <w:rPr>
          <w:szCs w:val="24"/>
        </w:rPr>
        <w:lastRenderedPageBreak/>
        <w:t>estimates.</w:t>
      </w:r>
      <w:r>
        <w:rPr>
          <w:szCs w:val="24"/>
        </w:rPr>
        <w:t xml:space="preserve"> This information will better inform MSAC as to the potential consequences of changing current public funding arrangements for NAAT testing for the clinical indications under consideration in this application. </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0D2CBD" w:rsidRPr="000D2CBD" w:rsidRDefault="000D2CBD" w:rsidP="000D2CBD">
      <w:pPr>
        <w:rPr>
          <w:u w:val="single"/>
        </w:rPr>
      </w:pPr>
      <w:r w:rsidRPr="000D2CBD">
        <w:rPr>
          <w:u w:val="single"/>
        </w:rPr>
        <w:t>TB in the Indigenous population</w:t>
      </w:r>
    </w:p>
    <w:p w:rsidR="000D2CBD" w:rsidRPr="000D2CBD" w:rsidRDefault="000D2CBD" w:rsidP="00A72C1B">
      <w:pPr>
        <w:spacing w:before="120"/>
      </w:pPr>
      <w:r w:rsidRPr="000D2CBD">
        <w:t>The incidence of TB in the Australian Indigenous population was 11 times higher than in the Australian non-Indigenous population in 2010</w:t>
      </w:r>
      <w:r w:rsidRPr="000D2CBD">
        <w:rPr>
          <w:vertAlign w:val="superscript"/>
        </w:rPr>
        <w:footnoteReference w:id="1"/>
      </w:r>
      <w:r w:rsidRPr="000D2CBD">
        <w:t>. Higher rates of hospitalisation and mortality from TB also occur in the Indigenous population. The rapid diagnosis and treatment of TB is essential in remote communities in order to quickly contain the spread of infection. This is particularly important for children and infants, given the challenges in accessing adequate health care in these communities. Point-of-care testing with same-day results would likely offer easier access to diagnosis and more rapid treatment initiation in small regional hospitals and clinics in rural areas of Australia, if suitable training of personnel was available.</w:t>
      </w:r>
    </w:p>
    <w:p w:rsidR="008E017B" w:rsidRDefault="008E017B" w:rsidP="000D2CBD"/>
    <w:p w:rsidR="000D2CBD" w:rsidRPr="000D2CBD" w:rsidRDefault="008519F6" w:rsidP="000D2CBD">
      <w:r>
        <w:t>T</w:t>
      </w:r>
      <w:r w:rsidR="000D2CBD" w:rsidRPr="000D2CBD">
        <w:t xml:space="preserve">he first fully automated NAAT developed for the point-of-care diagnosis of MTB and rifampicin-resistant MTB, was endorsed by </w:t>
      </w:r>
      <w:r w:rsidR="002B130F">
        <w:t>WHO</w:t>
      </w:r>
      <w:r w:rsidR="000D2CBD" w:rsidRPr="000D2CBD">
        <w:t xml:space="preserve"> in December 2010 </w:t>
      </w:r>
      <w:r w:rsidR="000D2CBD" w:rsidRPr="000D2CBD">
        <w:fldChar w:fldCharType="begin"/>
      </w:r>
      <w:r w:rsidR="000D2CBD" w:rsidRPr="000D2CBD">
        <w:instrText xml:space="preserve"> ADDIN EN.CITE &lt;EndNote&gt;&lt;Cite&gt;&lt;Author&gt;WHO&lt;/Author&gt;&lt;Year&gt;2014&lt;/Year&gt;&lt;RecNum&gt;199&lt;/RecNum&gt;&lt;DisplayText&gt;(WHO 2014)&lt;/DisplayText&gt;&lt;record&gt;&lt;rec-number&gt;199&lt;/rec-number&gt;&lt;foreign-keys&gt;&lt;key app="EN" db-id="zfdz9dseazf5vmetffi5vzwr9zwwx2d5fxzd"&gt;199&lt;/key&gt;&lt;/foreign-keys&gt;&lt;ref-type name="Electronic Book"&gt;44&lt;/ref-type&gt;&lt;contributors&gt;&lt;authors&gt;&lt;author&gt;WHO&lt;/author&gt;&lt;/authors&gt;&lt;/contributors&gt;&lt;titles&gt;&lt;title&gt;Xpert MTB/RIF implementation manual. Technical and operational ‘how-to’: practical considerations&lt;/title&gt;&lt;/titles&gt;&lt;edition&gt;second&lt;/edition&gt;&lt;dates&gt;&lt;year&gt;2014&lt;/year&gt;&lt;pub-dates&gt;&lt;date&gt;2 November 2014&lt;/date&gt;&lt;/pub-dates&gt;&lt;/dates&gt;&lt;pub-location&gt;Geneva, Switzerland&lt;/pub-location&gt;&lt;publisher&gt;World Health Organization&lt;/publisher&gt;&lt;urls&gt;&lt;related-urls&gt;&lt;url&gt;http://www.who.int/tb/laboratory/policy_statements/en/&lt;/url&gt;&lt;/related-urls&gt;&lt;/urls&gt;&lt;/record&gt;&lt;/Cite&gt;&lt;/EndNote&gt;</w:instrText>
      </w:r>
      <w:r w:rsidR="000D2CBD" w:rsidRPr="000D2CBD">
        <w:fldChar w:fldCharType="separate"/>
      </w:r>
      <w:r w:rsidR="000D2CBD" w:rsidRPr="000D2CBD">
        <w:rPr>
          <w:noProof/>
        </w:rPr>
        <w:t>(</w:t>
      </w:r>
      <w:hyperlink w:anchor="_ENREF_223" w:tooltip="WHO, 2014 #199" w:history="1">
        <w:r w:rsidR="000D2CBD" w:rsidRPr="000D2CBD">
          <w:rPr>
            <w:noProof/>
          </w:rPr>
          <w:t>WHO 2014</w:t>
        </w:r>
      </w:hyperlink>
      <w:r w:rsidR="000D2CBD" w:rsidRPr="000D2CBD">
        <w:rPr>
          <w:noProof/>
        </w:rPr>
        <w:t>)</w:t>
      </w:r>
      <w:r w:rsidR="000D2CBD" w:rsidRPr="000D2CBD">
        <w:fldChar w:fldCharType="end"/>
      </w:r>
      <w:r w:rsidR="000D2CBD" w:rsidRPr="000D2CBD">
        <w:t xml:space="preserve">. Three studies that met the inclusion criteria looked at the use of </w:t>
      </w:r>
      <w:r>
        <w:t>this NAAT</w:t>
      </w:r>
      <w:r w:rsidRPr="000D2CBD">
        <w:t xml:space="preserve"> </w:t>
      </w:r>
      <w:r w:rsidR="000D2CBD" w:rsidRPr="000D2CBD">
        <w:t xml:space="preserve">in a point-of-care setting. One study reported that nurse-administered results had substantial agreement with those done by a laboratory technician on paired sputum specimens (κ=0·69, 95%CI 0·64, 0·74), and a similar sensitivity and proportion of unusable results. Two studies reported that most patients who were </w:t>
      </w:r>
      <w:r>
        <w:t>NAAT</w:t>
      </w:r>
      <w:r w:rsidR="000D2CBD" w:rsidRPr="000D2CBD">
        <w:t xml:space="preserve">-positive were started on anti-TB treatment on the same day as specimen collection, compared with a median delay of 13–14 days for </w:t>
      </w:r>
      <w:r>
        <w:t>NAAT</w:t>
      </w:r>
      <w:r w:rsidR="000D2CBD" w:rsidRPr="000D2CBD">
        <w:t>-negative patients.</w:t>
      </w:r>
    </w:p>
    <w:p w:rsidR="000D2CBD" w:rsidRPr="000D2CBD" w:rsidRDefault="000D2CBD" w:rsidP="000D2CBD"/>
    <w:p w:rsidR="000D2CBD" w:rsidRPr="000D2CBD" w:rsidRDefault="000D2CBD" w:rsidP="000D2CBD">
      <w:r w:rsidRPr="000D2CBD">
        <w:t xml:space="preserve">In addition, the early knowledge of rifampicin resistance may influence treatment decisions, ensuring that appropriate anti-TB drugs are given immediately, thus reducing the likelihood of developing MDR-TB. </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0F75DF" w:rsidRPr="00A052F1" w:rsidRDefault="00A052F1" w:rsidP="000F75DF">
      <w:pPr>
        <w:rPr>
          <w:szCs w:val="24"/>
        </w:rPr>
      </w:pPr>
      <w:r w:rsidRPr="00A052F1">
        <w:rPr>
          <w:szCs w:val="24"/>
        </w:rPr>
        <w:t>The applicant had no comments.</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default" r:id="rId15"/>
      <w:footerReference w:type="defaul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BB" w:rsidRDefault="00440BBB" w:rsidP="00065623">
      <w:r>
        <w:separator/>
      </w:r>
    </w:p>
  </w:endnote>
  <w:endnote w:type="continuationSeparator" w:id="0">
    <w:p w:rsidR="00440BBB" w:rsidRDefault="00440BB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2F0894" w:rsidRDefault="002F0894">
        <w:pPr>
          <w:pStyle w:val="Footer"/>
          <w:jc w:val="right"/>
        </w:pPr>
        <w:r>
          <w:fldChar w:fldCharType="begin"/>
        </w:r>
        <w:r>
          <w:instrText xml:space="preserve"> PAGE   \* MERGEFORMAT </w:instrText>
        </w:r>
        <w:r>
          <w:fldChar w:fldCharType="separate"/>
        </w:r>
        <w:r w:rsidR="00A8330A">
          <w:rPr>
            <w:noProof/>
          </w:rPr>
          <w:t>15</w:t>
        </w:r>
        <w:r>
          <w:rPr>
            <w:noProof/>
          </w:rPr>
          <w:fldChar w:fldCharType="end"/>
        </w:r>
      </w:p>
    </w:sdtContent>
  </w:sdt>
  <w:p w:rsidR="002F0894" w:rsidRDefault="002F0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BB" w:rsidRDefault="00440BBB" w:rsidP="00065623">
      <w:r>
        <w:separator/>
      </w:r>
    </w:p>
  </w:footnote>
  <w:footnote w:type="continuationSeparator" w:id="0">
    <w:p w:rsidR="00440BBB" w:rsidRDefault="00440BBB" w:rsidP="00065623">
      <w:r>
        <w:continuationSeparator/>
      </w:r>
    </w:p>
  </w:footnote>
  <w:footnote w:id="1">
    <w:p w:rsidR="002F0894" w:rsidRPr="000D2CBD" w:rsidRDefault="002F0894" w:rsidP="000D2C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AB" w:rsidRDefault="004F5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5021454"/>
    <w:multiLevelType w:val="hybridMultilevel"/>
    <w:tmpl w:val="1CE2518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7C638A1"/>
    <w:multiLevelType w:val="hybridMultilevel"/>
    <w:tmpl w:val="EA601A3A"/>
    <w:lvl w:ilvl="0" w:tplc="737CE7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F2392F"/>
    <w:multiLevelType w:val="hybridMultilevel"/>
    <w:tmpl w:val="1DAC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1C2297"/>
    <w:multiLevelType w:val="hybridMultilevel"/>
    <w:tmpl w:val="8054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0B013A4"/>
    <w:multiLevelType w:val="hybridMultilevel"/>
    <w:tmpl w:val="5D20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
  </w:num>
  <w:num w:numId="4">
    <w:abstractNumId w:val="18"/>
  </w:num>
  <w:num w:numId="5">
    <w:abstractNumId w:val="10"/>
  </w:num>
  <w:num w:numId="6">
    <w:abstractNumId w:val="16"/>
  </w:num>
  <w:num w:numId="7">
    <w:abstractNumId w:val="23"/>
  </w:num>
  <w:num w:numId="8">
    <w:abstractNumId w:val="11"/>
  </w:num>
  <w:num w:numId="9">
    <w:abstractNumId w:val="29"/>
  </w:num>
  <w:num w:numId="10">
    <w:abstractNumId w:val="0"/>
  </w:num>
  <w:num w:numId="11">
    <w:abstractNumId w:val="21"/>
  </w:num>
  <w:num w:numId="12">
    <w:abstractNumId w:val="24"/>
  </w:num>
  <w:num w:numId="13">
    <w:abstractNumId w:val="5"/>
  </w:num>
  <w:num w:numId="14">
    <w:abstractNumId w:val="28"/>
  </w:num>
  <w:num w:numId="15">
    <w:abstractNumId w:val="19"/>
  </w:num>
  <w:num w:numId="16">
    <w:abstractNumId w:val="25"/>
  </w:num>
  <w:num w:numId="17">
    <w:abstractNumId w:val="13"/>
  </w:num>
  <w:num w:numId="18">
    <w:abstractNumId w:val="14"/>
  </w:num>
  <w:num w:numId="19">
    <w:abstractNumId w:val="27"/>
  </w:num>
  <w:num w:numId="20">
    <w:abstractNumId w:val="26"/>
  </w:num>
  <w:num w:numId="21">
    <w:abstractNumId w:val="3"/>
  </w:num>
  <w:num w:numId="22">
    <w:abstractNumId w:val="9"/>
  </w:num>
  <w:num w:numId="23">
    <w:abstractNumId w:val="2"/>
  </w:num>
  <w:num w:numId="24">
    <w:abstractNumId w:val="8"/>
  </w:num>
  <w:num w:numId="25">
    <w:abstractNumId w:val="6"/>
  </w:num>
  <w:num w:numId="26">
    <w:abstractNumId w:val="12"/>
  </w:num>
  <w:num w:numId="27">
    <w:abstractNumId w:val="20"/>
  </w:num>
  <w:num w:numId="28">
    <w:abstractNumId w:val="17"/>
  </w:num>
  <w:num w:numId="29">
    <w:abstractNumId w:val="4"/>
  </w:num>
  <w:num w:numId="3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C43"/>
    <w:rsid w:val="00011A36"/>
    <w:rsid w:val="00047606"/>
    <w:rsid w:val="00065623"/>
    <w:rsid w:val="000756B9"/>
    <w:rsid w:val="00096B67"/>
    <w:rsid w:val="00096DAF"/>
    <w:rsid w:val="000A6C13"/>
    <w:rsid w:val="000C2F47"/>
    <w:rsid w:val="000D2CBD"/>
    <w:rsid w:val="000D38E9"/>
    <w:rsid w:val="000D6C00"/>
    <w:rsid w:val="000E4E04"/>
    <w:rsid w:val="000F00C6"/>
    <w:rsid w:val="000F14B4"/>
    <w:rsid w:val="000F75DF"/>
    <w:rsid w:val="00102B0E"/>
    <w:rsid w:val="001328FA"/>
    <w:rsid w:val="00147AAF"/>
    <w:rsid w:val="001552C0"/>
    <w:rsid w:val="00162DD6"/>
    <w:rsid w:val="001640B1"/>
    <w:rsid w:val="0018435E"/>
    <w:rsid w:val="00184EC4"/>
    <w:rsid w:val="001D2CE2"/>
    <w:rsid w:val="002011D4"/>
    <w:rsid w:val="002041A1"/>
    <w:rsid w:val="002054F0"/>
    <w:rsid w:val="002236DB"/>
    <w:rsid w:val="0022767D"/>
    <w:rsid w:val="00230555"/>
    <w:rsid w:val="00230D6B"/>
    <w:rsid w:val="00232068"/>
    <w:rsid w:val="002330F2"/>
    <w:rsid w:val="00243D9E"/>
    <w:rsid w:val="00253B66"/>
    <w:rsid w:val="00261DF1"/>
    <w:rsid w:val="00271F18"/>
    <w:rsid w:val="00275822"/>
    <w:rsid w:val="00282779"/>
    <w:rsid w:val="0028334D"/>
    <w:rsid w:val="00285909"/>
    <w:rsid w:val="002B130F"/>
    <w:rsid w:val="002B3518"/>
    <w:rsid w:val="002B7FFA"/>
    <w:rsid w:val="002C2A38"/>
    <w:rsid w:val="002C2BCF"/>
    <w:rsid w:val="002F0894"/>
    <w:rsid w:val="002F279D"/>
    <w:rsid w:val="002F43B8"/>
    <w:rsid w:val="0034554D"/>
    <w:rsid w:val="00352224"/>
    <w:rsid w:val="003671E6"/>
    <w:rsid w:val="00384272"/>
    <w:rsid w:val="00386D67"/>
    <w:rsid w:val="003945B8"/>
    <w:rsid w:val="003D7F29"/>
    <w:rsid w:val="00405A6B"/>
    <w:rsid w:val="00407B1F"/>
    <w:rsid w:val="00414C57"/>
    <w:rsid w:val="0041758C"/>
    <w:rsid w:val="00440BBB"/>
    <w:rsid w:val="00451B59"/>
    <w:rsid w:val="004539DE"/>
    <w:rsid w:val="00462368"/>
    <w:rsid w:val="00477A06"/>
    <w:rsid w:val="00487050"/>
    <w:rsid w:val="004A2CF1"/>
    <w:rsid w:val="004B2B07"/>
    <w:rsid w:val="004C3035"/>
    <w:rsid w:val="004C307F"/>
    <w:rsid w:val="004D1C88"/>
    <w:rsid w:val="004E4BA8"/>
    <w:rsid w:val="004F340F"/>
    <w:rsid w:val="004F5CAB"/>
    <w:rsid w:val="004F7B7C"/>
    <w:rsid w:val="0052243D"/>
    <w:rsid w:val="00532435"/>
    <w:rsid w:val="005350B0"/>
    <w:rsid w:val="0053514E"/>
    <w:rsid w:val="00550354"/>
    <w:rsid w:val="00571236"/>
    <w:rsid w:val="005953A1"/>
    <w:rsid w:val="005D0332"/>
    <w:rsid w:val="005D0D8C"/>
    <w:rsid w:val="005E3778"/>
    <w:rsid w:val="00650AA2"/>
    <w:rsid w:val="006A0D97"/>
    <w:rsid w:val="006A7DA4"/>
    <w:rsid w:val="006B1F86"/>
    <w:rsid w:val="006C0A91"/>
    <w:rsid w:val="006C51D9"/>
    <w:rsid w:val="007054BB"/>
    <w:rsid w:val="00707064"/>
    <w:rsid w:val="00730683"/>
    <w:rsid w:val="00736216"/>
    <w:rsid w:val="00741863"/>
    <w:rsid w:val="0075261F"/>
    <w:rsid w:val="0075468E"/>
    <w:rsid w:val="007665D8"/>
    <w:rsid w:val="00766E36"/>
    <w:rsid w:val="007765F4"/>
    <w:rsid w:val="00776633"/>
    <w:rsid w:val="00784D53"/>
    <w:rsid w:val="00797797"/>
    <w:rsid w:val="007A63C9"/>
    <w:rsid w:val="007B32D1"/>
    <w:rsid w:val="007B7095"/>
    <w:rsid w:val="007C35D2"/>
    <w:rsid w:val="007D24E1"/>
    <w:rsid w:val="007D77D2"/>
    <w:rsid w:val="007F0009"/>
    <w:rsid w:val="007F4CE9"/>
    <w:rsid w:val="007F4E20"/>
    <w:rsid w:val="00822C7E"/>
    <w:rsid w:val="00845381"/>
    <w:rsid w:val="00847060"/>
    <w:rsid w:val="008519F6"/>
    <w:rsid w:val="00856A33"/>
    <w:rsid w:val="00892620"/>
    <w:rsid w:val="008C7D37"/>
    <w:rsid w:val="008D5885"/>
    <w:rsid w:val="008E017B"/>
    <w:rsid w:val="00902740"/>
    <w:rsid w:val="00923FA2"/>
    <w:rsid w:val="00924814"/>
    <w:rsid w:val="009420AD"/>
    <w:rsid w:val="0096060D"/>
    <w:rsid w:val="00974A50"/>
    <w:rsid w:val="0097585A"/>
    <w:rsid w:val="009779B5"/>
    <w:rsid w:val="009924B0"/>
    <w:rsid w:val="009942C9"/>
    <w:rsid w:val="009B35C4"/>
    <w:rsid w:val="009C630A"/>
    <w:rsid w:val="009E0D98"/>
    <w:rsid w:val="009F4527"/>
    <w:rsid w:val="00A052F1"/>
    <w:rsid w:val="00A068A1"/>
    <w:rsid w:val="00A1207D"/>
    <w:rsid w:val="00A12FD8"/>
    <w:rsid w:val="00A346FC"/>
    <w:rsid w:val="00A66B21"/>
    <w:rsid w:val="00A72C1B"/>
    <w:rsid w:val="00A8330A"/>
    <w:rsid w:val="00A84F93"/>
    <w:rsid w:val="00A94EA6"/>
    <w:rsid w:val="00AB1AC5"/>
    <w:rsid w:val="00AB3BFC"/>
    <w:rsid w:val="00AC4F2E"/>
    <w:rsid w:val="00AD0C37"/>
    <w:rsid w:val="00AD148A"/>
    <w:rsid w:val="00AD385F"/>
    <w:rsid w:val="00AE6E2A"/>
    <w:rsid w:val="00B02DE8"/>
    <w:rsid w:val="00B31E9C"/>
    <w:rsid w:val="00B33156"/>
    <w:rsid w:val="00B35595"/>
    <w:rsid w:val="00B51C6D"/>
    <w:rsid w:val="00B72D76"/>
    <w:rsid w:val="00B86D64"/>
    <w:rsid w:val="00BA4AC5"/>
    <w:rsid w:val="00BC1364"/>
    <w:rsid w:val="00BC7DE9"/>
    <w:rsid w:val="00BF479B"/>
    <w:rsid w:val="00C02577"/>
    <w:rsid w:val="00C07CA6"/>
    <w:rsid w:val="00C204FB"/>
    <w:rsid w:val="00C20BEE"/>
    <w:rsid w:val="00C51E52"/>
    <w:rsid w:val="00C666A1"/>
    <w:rsid w:val="00C67DD2"/>
    <w:rsid w:val="00C725CB"/>
    <w:rsid w:val="00C76F5C"/>
    <w:rsid w:val="00C96BAD"/>
    <w:rsid w:val="00CA6944"/>
    <w:rsid w:val="00CA71B6"/>
    <w:rsid w:val="00CB0F8E"/>
    <w:rsid w:val="00CB7E7D"/>
    <w:rsid w:val="00CC2911"/>
    <w:rsid w:val="00CF0C6D"/>
    <w:rsid w:val="00CF7307"/>
    <w:rsid w:val="00CF7C68"/>
    <w:rsid w:val="00D07424"/>
    <w:rsid w:val="00D124FA"/>
    <w:rsid w:val="00D2588D"/>
    <w:rsid w:val="00D340DE"/>
    <w:rsid w:val="00D34F95"/>
    <w:rsid w:val="00D47B68"/>
    <w:rsid w:val="00D55723"/>
    <w:rsid w:val="00D56F38"/>
    <w:rsid w:val="00D62FAD"/>
    <w:rsid w:val="00D70450"/>
    <w:rsid w:val="00D728D6"/>
    <w:rsid w:val="00D83BFD"/>
    <w:rsid w:val="00D90A38"/>
    <w:rsid w:val="00D9173C"/>
    <w:rsid w:val="00DA0515"/>
    <w:rsid w:val="00DA0764"/>
    <w:rsid w:val="00DA171E"/>
    <w:rsid w:val="00DA56AA"/>
    <w:rsid w:val="00DB5833"/>
    <w:rsid w:val="00DD2858"/>
    <w:rsid w:val="00DD2BE9"/>
    <w:rsid w:val="00DF2955"/>
    <w:rsid w:val="00E03E33"/>
    <w:rsid w:val="00E16909"/>
    <w:rsid w:val="00E31B8A"/>
    <w:rsid w:val="00E3642A"/>
    <w:rsid w:val="00E415C4"/>
    <w:rsid w:val="00E50016"/>
    <w:rsid w:val="00E50EAA"/>
    <w:rsid w:val="00E656D6"/>
    <w:rsid w:val="00E958D4"/>
    <w:rsid w:val="00E977EE"/>
    <w:rsid w:val="00EA67A2"/>
    <w:rsid w:val="00EB1D10"/>
    <w:rsid w:val="00EB28FC"/>
    <w:rsid w:val="00EC4F98"/>
    <w:rsid w:val="00EF55E4"/>
    <w:rsid w:val="00F12F02"/>
    <w:rsid w:val="00F35134"/>
    <w:rsid w:val="00F41812"/>
    <w:rsid w:val="00F53717"/>
    <w:rsid w:val="00F73333"/>
    <w:rsid w:val="00F95D8F"/>
    <w:rsid w:val="00FB350A"/>
    <w:rsid w:val="00FE731D"/>
    <w:rsid w:val="00FE7A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EB28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0F00C6"/>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0F00C6"/>
    <w:rPr>
      <w:rFonts w:ascii="Arial" w:eastAsia="Times New Roman" w:hAnsi="Arial" w:cs="Arial"/>
      <w:b/>
      <w:i/>
      <w:color w:val="000080"/>
      <w:sz w:val="28"/>
      <w:szCs w:val="28"/>
    </w:rPr>
  </w:style>
  <w:style w:type="table" w:styleId="TableGrid">
    <w:name w:val="Table Grid"/>
    <w:basedOn w:val="TableNormal"/>
    <w:uiPriority w:val="59"/>
    <w:locked/>
    <w:rsid w:val="000F00C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0F00C6"/>
    <w:pPr>
      <w:keepNext/>
      <w:tabs>
        <w:tab w:val="left" w:pos="851"/>
      </w:tabs>
      <w:spacing w:before="120" w:after="120"/>
      <w:ind w:left="851" w:hanging="851"/>
      <w:jc w:val="both"/>
    </w:pPr>
    <w:rPr>
      <w:rFonts w:ascii="Arial Narrow" w:hAnsi="Arial Narrow"/>
      <w:b/>
      <w:bCs/>
      <w:sz w:val="20"/>
      <w:lang w:eastAsia="en-US"/>
    </w:rPr>
  </w:style>
  <w:style w:type="character" w:customStyle="1" w:styleId="TableHeadingChar">
    <w:name w:val="TableHeading Char"/>
    <w:link w:val="TableHeading"/>
    <w:rsid w:val="000F00C6"/>
    <w:rPr>
      <w:rFonts w:ascii="Arial Narrow" w:eastAsia="Times New Roman" w:hAnsi="Arial Narrow"/>
      <w:b/>
      <w:bCs/>
      <w:sz w:val="20"/>
      <w:szCs w:val="20"/>
      <w:lang w:eastAsia="en-US"/>
    </w:rPr>
  </w:style>
  <w:style w:type="paragraph" w:customStyle="1" w:styleId="TableText">
    <w:name w:val="Table Text"/>
    <w:basedOn w:val="Normal"/>
    <w:link w:val="TableTextChar"/>
    <w:qFormat/>
    <w:rsid w:val="000F00C6"/>
    <w:pPr>
      <w:keepNext/>
      <w:spacing w:before="40" w:after="40" w:line="312" w:lineRule="auto"/>
      <w:jc w:val="both"/>
    </w:pPr>
    <w:rPr>
      <w:rFonts w:ascii="Arial" w:hAnsi="Arial" w:cs="Tahoma"/>
      <w:sz w:val="18"/>
      <w:szCs w:val="22"/>
      <w:lang w:eastAsia="en-US"/>
    </w:rPr>
  </w:style>
  <w:style w:type="character" w:customStyle="1" w:styleId="TableTextChar">
    <w:name w:val="Table Text Char"/>
    <w:link w:val="TableText"/>
    <w:rsid w:val="000F00C6"/>
    <w:rPr>
      <w:rFonts w:ascii="Arial" w:eastAsia="Times New Roman" w:hAnsi="Arial" w:cs="Tahoma"/>
      <w:sz w:val="18"/>
      <w:lang w:eastAsia="en-US"/>
    </w:rPr>
  </w:style>
  <w:style w:type="paragraph" w:customStyle="1" w:styleId="Figureheading">
    <w:name w:val="Figureheading"/>
    <w:basedOn w:val="Normal"/>
    <w:link w:val="FigureheadingChar"/>
    <w:qFormat/>
    <w:rsid w:val="000F00C6"/>
    <w:pPr>
      <w:tabs>
        <w:tab w:val="left" w:pos="851"/>
      </w:tabs>
      <w:spacing w:before="40" w:after="40"/>
      <w:ind w:left="851" w:hanging="851"/>
      <w:jc w:val="both"/>
    </w:pPr>
    <w:rPr>
      <w:rFonts w:ascii="Arial Narrow" w:hAnsi="Arial Narrow"/>
      <w:b/>
      <w:bCs/>
      <w:sz w:val="20"/>
      <w:lang w:eastAsia="en-US"/>
    </w:rPr>
  </w:style>
  <w:style w:type="character" w:customStyle="1" w:styleId="FigureheadingChar">
    <w:name w:val="Figureheading Char"/>
    <w:basedOn w:val="DefaultParagraphFont"/>
    <w:link w:val="Figureheading"/>
    <w:rsid w:val="000F00C6"/>
    <w:rPr>
      <w:rFonts w:ascii="Arial Narrow" w:eastAsia="Times New Roman" w:hAnsi="Arial Narrow"/>
      <w:b/>
      <w:bCs/>
      <w:sz w:val="20"/>
      <w:szCs w:val="20"/>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unhideWhenUsed/>
    <w:qFormat/>
    <w:locked/>
    <w:rsid w:val="000F00C6"/>
    <w:pPr>
      <w:keepNext/>
      <w:jc w:val="both"/>
      <w:outlineLvl w:val="4"/>
    </w:pPr>
    <w:rPr>
      <w:rFonts w:ascii="Arial Narrow" w:hAnsi="Arial Narrow" w:cs="Arial"/>
      <w:b/>
      <w:bCs/>
      <w:iCs/>
      <w:sz w:val="20"/>
      <w:lang w:eastAsia="en-US"/>
    </w:rPr>
  </w:style>
  <w:style w:type="character" w:customStyle="1" w:styleId="Heading6Char">
    <w:name w:val="Heading 6 Char"/>
    <w:basedOn w:val="DefaultParagraphFont"/>
    <w:link w:val="Heading6"/>
    <w:uiPriority w:val="9"/>
    <w:semiHidden/>
    <w:rsid w:val="00EB28FC"/>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EB28FC"/>
    <w:rPr>
      <w:rFonts w:ascii="Arial Narrow" w:hAnsi="Arial Narrow"/>
      <w:sz w:val="20"/>
      <w:szCs w:val="24"/>
      <w:lang w:eastAsia="en-US"/>
    </w:rPr>
  </w:style>
  <w:style w:type="character" w:customStyle="1" w:styleId="TabletextChar0">
    <w:name w:val="Table text Char"/>
    <w:basedOn w:val="DefaultParagraphFont"/>
    <w:link w:val="Tabletext0"/>
    <w:rsid w:val="00EB28FC"/>
    <w:rPr>
      <w:rFonts w:ascii="Arial Narrow" w:eastAsia="Times New Roman" w:hAnsi="Arial Narrow"/>
      <w:sz w:val="20"/>
      <w:szCs w:val="24"/>
      <w:lang w:eastAsia="en-US"/>
    </w:rPr>
  </w:style>
  <w:style w:type="character" w:customStyle="1" w:styleId="st">
    <w:name w:val="st"/>
    <w:basedOn w:val="DefaultParagraphFont"/>
    <w:rsid w:val="000D2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EB28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0F00C6"/>
    <w:pPr>
      <w:tabs>
        <w:tab w:val="left" w:pos="4320"/>
      </w:tabs>
      <w:spacing w:before="12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0F00C6"/>
    <w:rPr>
      <w:rFonts w:ascii="Arial" w:eastAsia="Times New Roman" w:hAnsi="Arial" w:cs="Arial"/>
      <w:b/>
      <w:i/>
      <w:color w:val="000080"/>
      <w:sz w:val="28"/>
      <w:szCs w:val="28"/>
    </w:rPr>
  </w:style>
  <w:style w:type="table" w:styleId="TableGrid">
    <w:name w:val="Table Grid"/>
    <w:basedOn w:val="TableNormal"/>
    <w:uiPriority w:val="59"/>
    <w:locked/>
    <w:rsid w:val="000F00C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0F00C6"/>
    <w:pPr>
      <w:keepNext/>
      <w:tabs>
        <w:tab w:val="left" w:pos="851"/>
      </w:tabs>
      <w:spacing w:before="120" w:after="120"/>
      <w:ind w:left="851" w:hanging="851"/>
      <w:jc w:val="both"/>
    </w:pPr>
    <w:rPr>
      <w:rFonts w:ascii="Arial Narrow" w:hAnsi="Arial Narrow"/>
      <w:b/>
      <w:bCs/>
      <w:sz w:val="20"/>
      <w:lang w:eastAsia="en-US"/>
    </w:rPr>
  </w:style>
  <w:style w:type="character" w:customStyle="1" w:styleId="TableHeadingChar">
    <w:name w:val="TableHeading Char"/>
    <w:link w:val="TableHeading"/>
    <w:rsid w:val="000F00C6"/>
    <w:rPr>
      <w:rFonts w:ascii="Arial Narrow" w:eastAsia="Times New Roman" w:hAnsi="Arial Narrow"/>
      <w:b/>
      <w:bCs/>
      <w:sz w:val="20"/>
      <w:szCs w:val="20"/>
      <w:lang w:eastAsia="en-US"/>
    </w:rPr>
  </w:style>
  <w:style w:type="paragraph" w:customStyle="1" w:styleId="TableText">
    <w:name w:val="Table Text"/>
    <w:basedOn w:val="Normal"/>
    <w:link w:val="TableTextChar"/>
    <w:qFormat/>
    <w:rsid w:val="000F00C6"/>
    <w:pPr>
      <w:keepNext/>
      <w:spacing w:before="40" w:after="40" w:line="312" w:lineRule="auto"/>
      <w:jc w:val="both"/>
    </w:pPr>
    <w:rPr>
      <w:rFonts w:ascii="Arial" w:hAnsi="Arial" w:cs="Tahoma"/>
      <w:sz w:val="18"/>
      <w:szCs w:val="22"/>
      <w:lang w:eastAsia="en-US"/>
    </w:rPr>
  </w:style>
  <w:style w:type="character" w:customStyle="1" w:styleId="TableTextChar">
    <w:name w:val="Table Text Char"/>
    <w:link w:val="TableText"/>
    <w:rsid w:val="000F00C6"/>
    <w:rPr>
      <w:rFonts w:ascii="Arial" w:eastAsia="Times New Roman" w:hAnsi="Arial" w:cs="Tahoma"/>
      <w:sz w:val="18"/>
      <w:lang w:eastAsia="en-US"/>
    </w:rPr>
  </w:style>
  <w:style w:type="paragraph" w:customStyle="1" w:styleId="Figureheading">
    <w:name w:val="Figureheading"/>
    <w:basedOn w:val="Normal"/>
    <w:link w:val="FigureheadingChar"/>
    <w:qFormat/>
    <w:rsid w:val="000F00C6"/>
    <w:pPr>
      <w:tabs>
        <w:tab w:val="left" w:pos="851"/>
      </w:tabs>
      <w:spacing w:before="40" w:after="40"/>
      <w:ind w:left="851" w:hanging="851"/>
      <w:jc w:val="both"/>
    </w:pPr>
    <w:rPr>
      <w:rFonts w:ascii="Arial Narrow" w:hAnsi="Arial Narrow"/>
      <w:b/>
      <w:bCs/>
      <w:sz w:val="20"/>
      <w:lang w:eastAsia="en-US"/>
    </w:rPr>
  </w:style>
  <w:style w:type="character" w:customStyle="1" w:styleId="FigureheadingChar">
    <w:name w:val="Figureheading Char"/>
    <w:basedOn w:val="DefaultParagraphFont"/>
    <w:link w:val="Figureheading"/>
    <w:rsid w:val="000F00C6"/>
    <w:rPr>
      <w:rFonts w:ascii="Arial Narrow" w:eastAsia="Times New Roman" w:hAnsi="Arial Narrow"/>
      <w:b/>
      <w:bCs/>
      <w:sz w:val="20"/>
      <w:szCs w:val="20"/>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unhideWhenUsed/>
    <w:qFormat/>
    <w:locked/>
    <w:rsid w:val="000F00C6"/>
    <w:pPr>
      <w:keepNext/>
      <w:jc w:val="both"/>
      <w:outlineLvl w:val="4"/>
    </w:pPr>
    <w:rPr>
      <w:rFonts w:ascii="Arial Narrow" w:hAnsi="Arial Narrow" w:cs="Arial"/>
      <w:b/>
      <w:bCs/>
      <w:iCs/>
      <w:sz w:val="20"/>
      <w:lang w:eastAsia="en-US"/>
    </w:rPr>
  </w:style>
  <w:style w:type="character" w:customStyle="1" w:styleId="Heading6Char">
    <w:name w:val="Heading 6 Char"/>
    <w:basedOn w:val="DefaultParagraphFont"/>
    <w:link w:val="Heading6"/>
    <w:uiPriority w:val="9"/>
    <w:semiHidden/>
    <w:rsid w:val="00EB28FC"/>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EB28FC"/>
    <w:rPr>
      <w:rFonts w:ascii="Arial Narrow" w:hAnsi="Arial Narrow"/>
      <w:sz w:val="20"/>
      <w:szCs w:val="24"/>
      <w:lang w:eastAsia="en-US"/>
    </w:rPr>
  </w:style>
  <w:style w:type="character" w:customStyle="1" w:styleId="TabletextChar0">
    <w:name w:val="Table text Char"/>
    <w:basedOn w:val="DefaultParagraphFont"/>
    <w:link w:val="Tabletext0"/>
    <w:rsid w:val="00EB28FC"/>
    <w:rPr>
      <w:rFonts w:ascii="Arial Narrow" w:eastAsia="Times New Roman" w:hAnsi="Arial Narrow"/>
      <w:sz w:val="20"/>
      <w:szCs w:val="24"/>
      <w:lang w:eastAsia="en-US"/>
    </w:rPr>
  </w:style>
  <w:style w:type="character" w:customStyle="1" w:styleId="st">
    <w:name w:val="st"/>
    <w:basedOn w:val="DefaultParagraphFont"/>
    <w:rsid w:val="000D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B7D7-9ACB-42A1-9C4F-7672D0EB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6949</Words>
  <Characters>43016</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2014-01-23T05:11:00Z</cp:lastPrinted>
  <dcterms:created xsi:type="dcterms:W3CDTF">2015-06-02T00:39:00Z</dcterms:created>
  <dcterms:modified xsi:type="dcterms:W3CDTF">2015-06-02T00:39:00Z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