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E66C12" w:rsidRPr="00BB418D" w:rsidRDefault="00BC1364" w:rsidP="00E66C12">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Application</w:t>
      </w:r>
      <w:r w:rsidR="00E66C12">
        <w:rPr>
          <w:rFonts w:ascii="Arial" w:hAnsi="Arial" w:cs="Arial"/>
          <w:b/>
          <w:bCs/>
          <w:i/>
          <w:color w:val="000080"/>
          <w:sz w:val="28"/>
          <w:szCs w:val="28"/>
        </w:rPr>
        <w:t xml:space="preserve"> 1269</w:t>
      </w:r>
      <w:r w:rsidRPr="007B32D1">
        <w:rPr>
          <w:rFonts w:ascii="Arial" w:hAnsi="Arial" w:cs="Arial"/>
          <w:b/>
          <w:bCs/>
          <w:i/>
          <w:color w:val="000080"/>
          <w:sz w:val="28"/>
          <w:szCs w:val="28"/>
        </w:rPr>
        <w:t xml:space="preserve"> – </w:t>
      </w:r>
      <w:r w:rsidR="00E66C12">
        <w:rPr>
          <w:rFonts w:ascii="Arial" w:hAnsi="Arial" w:cs="Arial"/>
          <w:b/>
          <w:i/>
          <w:color w:val="000080"/>
          <w:sz w:val="28"/>
          <w:szCs w:val="28"/>
        </w:rPr>
        <w:t xml:space="preserve">Computed Tomography </w:t>
      </w:r>
      <w:proofErr w:type="spellStart"/>
      <w:r w:rsidR="00F04B3D">
        <w:rPr>
          <w:rFonts w:ascii="Arial" w:hAnsi="Arial" w:cs="Arial"/>
          <w:b/>
          <w:i/>
          <w:color w:val="000080"/>
          <w:sz w:val="28"/>
          <w:szCs w:val="28"/>
        </w:rPr>
        <w:t>C</w:t>
      </w:r>
      <w:r w:rsidR="00E66C12">
        <w:rPr>
          <w:rFonts w:ascii="Arial" w:hAnsi="Arial" w:cs="Arial"/>
          <w:b/>
          <w:i/>
          <w:color w:val="000080"/>
          <w:sz w:val="28"/>
          <w:szCs w:val="28"/>
        </w:rPr>
        <w:t>olonography</w:t>
      </w:r>
      <w:proofErr w:type="spellEnd"/>
      <w:r w:rsidR="00E66C12">
        <w:rPr>
          <w:rFonts w:ascii="Arial" w:hAnsi="Arial" w:cs="Arial"/>
          <w:b/>
          <w:i/>
          <w:color w:val="000080"/>
          <w:sz w:val="28"/>
          <w:szCs w:val="28"/>
        </w:rPr>
        <w:t xml:space="preserve"> for the diagnosis or exclusion of colorectal neoplasia</w:t>
      </w:r>
    </w:p>
    <w:p w:rsidR="00BC1364" w:rsidRDefault="00BC1364" w:rsidP="00E66C12">
      <w:pPr>
        <w:jc w:val="center"/>
        <w:rPr>
          <w:szCs w:val="24"/>
        </w:rPr>
      </w:pPr>
    </w:p>
    <w:p w:rsidR="00BC1364" w:rsidRPr="00707064" w:rsidRDefault="00BC1364" w:rsidP="00065623">
      <w:pPr>
        <w:tabs>
          <w:tab w:val="left" w:pos="3600"/>
        </w:tabs>
        <w:ind w:left="3600" w:hanging="3600"/>
        <w:rPr>
          <w:szCs w:val="24"/>
        </w:rPr>
      </w:pPr>
    </w:p>
    <w:p w:rsidR="00BC1364" w:rsidRPr="00D90A38" w:rsidRDefault="00E66C12" w:rsidP="005838E3">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5838E3" w:rsidRPr="00D90A38" w:rsidDel="005838E3">
        <w:rPr>
          <w:rFonts w:ascii="Arial" w:hAnsi="Arial" w:cs="Arial"/>
          <w:b/>
          <w:szCs w:val="24"/>
        </w:rPr>
        <w:t xml:space="preserve"> </w:t>
      </w:r>
      <w:r w:rsidR="005838E3">
        <w:rPr>
          <w:rFonts w:ascii="Arial" w:hAnsi="Arial" w:cs="Arial"/>
          <w:b/>
          <w:szCs w:val="24"/>
        </w:rPr>
        <w:tab/>
      </w:r>
      <w:r>
        <w:rPr>
          <w:rFonts w:ascii="Arial" w:hAnsi="Arial" w:cs="Arial"/>
          <w:b/>
          <w:szCs w:val="24"/>
        </w:rPr>
        <w:t xml:space="preserve">Abdominal Radiology Group of Australia and </w:t>
      </w:r>
      <w:r>
        <w:rPr>
          <w:rFonts w:ascii="Arial" w:hAnsi="Arial" w:cs="Arial"/>
          <w:b/>
          <w:szCs w:val="24"/>
        </w:rPr>
        <w:tab/>
      </w:r>
      <w:r>
        <w:rPr>
          <w:rFonts w:ascii="Arial" w:hAnsi="Arial" w:cs="Arial"/>
          <w:b/>
          <w:szCs w:val="24"/>
        </w:rPr>
        <w:tab/>
        <w:t>New Zealand (ARGANZ)</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5838E3">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E66C12">
        <w:rPr>
          <w:rFonts w:ascii="Arial" w:hAnsi="Arial" w:cs="Arial"/>
          <w:b/>
          <w:szCs w:val="24"/>
        </w:rPr>
        <w:t>62</w:t>
      </w:r>
      <w:r w:rsidR="00E66C12" w:rsidRPr="00E66C12">
        <w:rPr>
          <w:rFonts w:ascii="Arial" w:hAnsi="Arial" w:cs="Arial"/>
          <w:b/>
          <w:szCs w:val="24"/>
          <w:vertAlign w:val="superscript"/>
        </w:rPr>
        <w:t>nd</w:t>
      </w:r>
      <w:r w:rsidR="00E66C12">
        <w:rPr>
          <w:rFonts w:ascii="Arial" w:hAnsi="Arial" w:cs="Arial"/>
          <w:b/>
          <w:szCs w:val="24"/>
        </w:rPr>
        <w:t xml:space="preserve"> MSAC Meeting 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DA194D">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DA194D">
      <w:pPr>
        <w:tabs>
          <w:tab w:val="left" w:pos="720"/>
          <w:tab w:val="left" w:pos="1140"/>
        </w:tabs>
        <w:ind w:left="720"/>
        <w:rPr>
          <w:b/>
          <w:bCs/>
          <w:szCs w:val="24"/>
        </w:rPr>
      </w:pPr>
    </w:p>
    <w:p w:rsidR="00E66C12" w:rsidRPr="00BB418D" w:rsidRDefault="00E66C12" w:rsidP="00DA194D">
      <w:pPr>
        <w:tabs>
          <w:tab w:val="left" w:pos="720"/>
          <w:tab w:val="left" w:pos="1140"/>
        </w:tabs>
        <w:rPr>
          <w:szCs w:val="24"/>
        </w:rPr>
      </w:pPr>
      <w:r>
        <w:rPr>
          <w:szCs w:val="24"/>
        </w:rPr>
        <w:t xml:space="preserve">An application requesting an extension of the indications for the MBS listing of computed tomography </w:t>
      </w:r>
      <w:proofErr w:type="spellStart"/>
      <w:r>
        <w:rPr>
          <w:szCs w:val="24"/>
        </w:rPr>
        <w:t>colonography</w:t>
      </w:r>
      <w:proofErr w:type="spellEnd"/>
      <w:r>
        <w:rPr>
          <w:szCs w:val="24"/>
        </w:rPr>
        <w:t xml:space="preserve"> (CTC) was received from the Abdominal Radiology Group of Australia and New Zealand (ARGANZ) by the Department of Health in December 2011.</w:t>
      </w:r>
    </w:p>
    <w:p w:rsidR="00E66C12" w:rsidRDefault="00E66C12" w:rsidP="00DA194D">
      <w:pPr>
        <w:tabs>
          <w:tab w:val="left" w:pos="720"/>
          <w:tab w:val="left" w:pos="1140"/>
        </w:tabs>
        <w:rPr>
          <w:szCs w:val="24"/>
        </w:rPr>
      </w:pPr>
      <w:r>
        <w:rPr>
          <w:szCs w:val="24"/>
        </w:rPr>
        <w:t>The application proposed a change to the descriptor of the current MBS item numbers (56552 and 56554) under which CTC is funded to allow for reimbursement of CTC services provided for the exclusion of diagnosis of colorectal neoplasia in symptomatic patients who have a contraindication to colonoscopy, or in high risk, asymptomatic patients who have had an incomplete or technically difficult colonoscopy.</w:t>
      </w:r>
    </w:p>
    <w:p w:rsidR="00DA194D" w:rsidRDefault="00DA194D" w:rsidP="00DA194D">
      <w:pPr>
        <w:tabs>
          <w:tab w:val="left" w:pos="720"/>
          <w:tab w:val="left" w:pos="1140"/>
        </w:tabs>
        <w:rPr>
          <w:szCs w:val="24"/>
        </w:rPr>
      </w:pPr>
    </w:p>
    <w:p w:rsidR="00E66C12" w:rsidRDefault="00E66C12" w:rsidP="00DA194D">
      <w:pPr>
        <w:tabs>
          <w:tab w:val="left" w:pos="720"/>
          <w:tab w:val="left" w:pos="1140"/>
        </w:tabs>
        <w:rPr>
          <w:szCs w:val="24"/>
        </w:rPr>
      </w:pPr>
      <w:r>
        <w:rPr>
          <w:szCs w:val="24"/>
        </w:rPr>
        <w:t xml:space="preserve">Under current listing arrangements, MBS item number 56552 stipulates incomplete colonoscopy must have occurred no more than three months prior to CTC, with the date of incomplete colonoscopy set out on the scan request. MBS item 56554 limits contraindications specifically to suspected perforation of the colon and complete or high grade obstruction that will not allow passage of the scope. </w:t>
      </w:r>
    </w:p>
    <w:p w:rsidR="00DA194D" w:rsidRDefault="00DA194D" w:rsidP="00DA194D">
      <w:pPr>
        <w:tabs>
          <w:tab w:val="left" w:pos="720"/>
          <w:tab w:val="left" w:pos="1140"/>
        </w:tabs>
        <w:rPr>
          <w:szCs w:val="24"/>
        </w:rPr>
      </w:pPr>
    </w:p>
    <w:p w:rsidR="00E66C12" w:rsidRPr="00BB418D" w:rsidRDefault="00E66C12" w:rsidP="00DA194D">
      <w:pPr>
        <w:tabs>
          <w:tab w:val="left" w:pos="720"/>
          <w:tab w:val="left" w:pos="1140"/>
        </w:tabs>
        <w:rPr>
          <w:szCs w:val="24"/>
        </w:rPr>
      </w:pPr>
      <w:r>
        <w:rPr>
          <w:szCs w:val="24"/>
        </w:rPr>
        <w:t xml:space="preserve">In addition to MBS item changes, a new item </w:t>
      </w:r>
      <w:r w:rsidR="00DA194D">
        <w:rPr>
          <w:szCs w:val="24"/>
        </w:rPr>
        <w:t>was</w:t>
      </w:r>
      <w:r>
        <w:rPr>
          <w:szCs w:val="24"/>
        </w:rPr>
        <w:t xml:space="preserve"> proposed for patients with inadequate access to colonoscopy, such as to cause delay in diagnosis.</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4536EF" w:rsidRPr="006E369E" w:rsidRDefault="004536EF" w:rsidP="0004730F">
      <w:r>
        <w:t xml:space="preserve">After considering the available evidence in relation to safety, clinical effectiveness and cost-effectiveness, MSAC supported public funding of </w:t>
      </w:r>
      <w:r w:rsidRPr="006E369E">
        <w:t>a new consolidated MBS item (derived from current MBS items 56552 and 56554) for CTC for the diagnosis or exclusion of colorectal neoplasia in symptomatic high risk patients with a history of incomplete colonoscopy or medical and/or technical contraindication(s) to colonoscopy.</w:t>
      </w:r>
    </w:p>
    <w:p w:rsidR="004536EF" w:rsidRPr="006E369E" w:rsidRDefault="004536EF" w:rsidP="004536EF">
      <w:pPr>
        <w:ind w:left="59"/>
      </w:pPr>
    </w:p>
    <w:p w:rsidR="004536EF" w:rsidRPr="006E369E" w:rsidRDefault="004536EF" w:rsidP="004536EF">
      <w:pPr>
        <w:ind w:left="59"/>
      </w:pPr>
      <w:r w:rsidRPr="006E369E">
        <w:lastRenderedPageBreak/>
        <w:t xml:space="preserve">MSAC considered the </w:t>
      </w:r>
      <w:r>
        <w:t xml:space="preserve">MBS item </w:t>
      </w:r>
      <w:r w:rsidRPr="006E369E">
        <w:t>descriptor should retain the requirement that an incomplete colonoscopy must have occurred no more than three months prior to CTC</w:t>
      </w:r>
      <w:r>
        <w:t>. MSAC</w:t>
      </w:r>
      <w:r w:rsidRPr="006E369E">
        <w:t xml:space="preserve"> agreed t</w:t>
      </w:r>
      <w:r>
        <w:t xml:space="preserve">hat the </w:t>
      </w:r>
      <w:r w:rsidRPr="006E369E">
        <w:t xml:space="preserve">eligibility </w:t>
      </w:r>
      <w:r>
        <w:t xml:space="preserve">for CTC could be widened by extending </w:t>
      </w:r>
      <w:r w:rsidRPr="006E369E">
        <w:t xml:space="preserve">the list of medical and technical contraindications </w:t>
      </w:r>
      <w:r>
        <w:t xml:space="preserve">to colonoscopy </w:t>
      </w:r>
      <w:r w:rsidRPr="006E369E">
        <w:t xml:space="preserve">included in the associated explanatory notes. MSAC also considered that the new MBS item should be limited to one </w:t>
      </w:r>
      <w:r>
        <w:t xml:space="preserve">CTC </w:t>
      </w:r>
      <w:r w:rsidRPr="006E369E">
        <w:t>scan per patient every three years and the MBS fee should be negotiated commensurate with the current MBS fees for abdominal CT and double contrast barium enema (DCBE).</w:t>
      </w:r>
    </w:p>
    <w:p w:rsidR="004536EF" w:rsidRPr="006E369E" w:rsidRDefault="004536EF" w:rsidP="004536EF"/>
    <w:p w:rsidR="004536EF" w:rsidRPr="00F93291" w:rsidRDefault="004536EF" w:rsidP="004536EF">
      <w:r w:rsidRPr="006E369E">
        <w:t xml:space="preserve">MSAC </w:t>
      </w:r>
      <w:r w:rsidRPr="00B82B5F">
        <w:t>did not</w:t>
      </w:r>
      <w:r w:rsidRPr="0040697E">
        <w:t xml:space="preserve"> </w:t>
      </w:r>
      <w:r w:rsidRPr="006E369E">
        <w:t>support public funding for a new MBS item to provide CTC for patients with limited access to colonoscopy because of the uncertain clinical impact of delayed diagnosis of CRC</w:t>
      </w:r>
      <w:r>
        <w:t xml:space="preserve"> given current triaging practice</w:t>
      </w:r>
      <w:r w:rsidRPr="006E369E">
        <w:t>, uncertain potential volume of additional CTC services and considerable potential for use outside the intended population.</w:t>
      </w:r>
      <w:r>
        <w:t xml:space="preserve"> </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4536EF" w:rsidRDefault="004536EF" w:rsidP="004536EF">
      <w:r>
        <w:t>MSAC considered the</w:t>
      </w:r>
      <w:r w:rsidRPr="00EA6D7C">
        <w:t xml:space="preserve"> application for MBS </w:t>
      </w:r>
      <w:r>
        <w:t>funding</w:t>
      </w:r>
      <w:r w:rsidRPr="00EA6D7C">
        <w:t xml:space="preserve"> of </w:t>
      </w:r>
      <w:r>
        <w:t xml:space="preserve">CTC for the diagnosis or exclusion of colorectal neoplasia. CTC is less invasive than colonoscopy or DCBE. The procedure does not require an endoscope and pain relief and anaesthesia is usually not necessary. A </w:t>
      </w:r>
      <w:proofErr w:type="spellStart"/>
      <w:r>
        <w:t>multidetector</w:t>
      </w:r>
      <w:proofErr w:type="spellEnd"/>
      <w:r>
        <w:t xml:space="preserve"> CT scanner (minimum 8 rows) with dedicated post-processing soft-ware is required and patients still need to undergo bowel preparation involving laxation.</w:t>
      </w:r>
    </w:p>
    <w:p w:rsidR="004536EF" w:rsidRDefault="004536EF" w:rsidP="004536EF"/>
    <w:p w:rsidR="004536EF" w:rsidRPr="00681CBB" w:rsidRDefault="004536EF" w:rsidP="004536EF">
      <w:pPr>
        <w:rPr>
          <w:bCs/>
        </w:rPr>
      </w:pPr>
      <w:r>
        <w:t xml:space="preserve">MSAC agreed that CTC could not be considered a replacement for colonoscopy and could not be used as a primary screening tool. </w:t>
      </w:r>
      <w:r w:rsidR="00DA194D">
        <w:t>MSAC noted that c</w:t>
      </w:r>
      <w:r>
        <w:t>olonoscopy is considered the gold standard for diagnosis or exclusion of CRC.</w:t>
      </w:r>
      <w:r w:rsidR="00DA194D">
        <w:t xml:space="preserve"> </w:t>
      </w:r>
      <w:r>
        <w:t xml:space="preserve">The proposed changes </w:t>
      </w:r>
      <w:r w:rsidR="00F04B3D">
        <w:t xml:space="preserve">would </w:t>
      </w:r>
      <w:r>
        <w:t xml:space="preserve">broaden access to items 56552 and 56554 to include a larger population of symptomatic and high risk patients who have contraindications to colonoscopy such as active colitis, large abdominal aneurisms and patients with coagulopathies. </w:t>
      </w:r>
      <w:r w:rsidR="00072EC1">
        <w:rPr>
          <w:bCs/>
        </w:rPr>
        <w:t>M</w:t>
      </w:r>
      <w:r w:rsidRPr="00681CBB">
        <w:rPr>
          <w:bCs/>
        </w:rPr>
        <w:t>SAC noted</w:t>
      </w:r>
      <w:r>
        <w:rPr>
          <w:bCs/>
        </w:rPr>
        <w:t xml:space="preserve"> the proposed item descriptors require significant amendments, including the explanatory notes</w:t>
      </w:r>
      <w:r w:rsidR="00F04B3D">
        <w:rPr>
          <w:bCs/>
        </w:rPr>
        <w:t>,</w:t>
      </w:r>
      <w:r>
        <w:rPr>
          <w:bCs/>
        </w:rPr>
        <w:t xml:space="preserve"> especially for high risk patients. MSAC also considered a reduced fee for this item to help reduce expenses and leakage. </w:t>
      </w:r>
    </w:p>
    <w:p w:rsidR="004536EF" w:rsidRDefault="004536EF" w:rsidP="004536EF">
      <w:pPr>
        <w:pStyle w:val="ListParagraph"/>
      </w:pPr>
    </w:p>
    <w:p w:rsidR="004536EF" w:rsidRDefault="004536EF" w:rsidP="004536EF">
      <w:pPr>
        <w:pStyle w:val="ListParagraph"/>
        <w:ind w:left="0"/>
      </w:pPr>
      <w:r>
        <w:t>MSAC considered the safety, efficacy and cost effectiveness of CTC compared to the proposed comparator, DCBE</w:t>
      </w:r>
      <w:r w:rsidR="00F04B3D">
        <w:t>,</w:t>
      </w:r>
      <w:r>
        <w:t xml:space="preserve"> in patients who are clinically unsuitable for colonoscopy and identified by incomplete or technically difficult colonoscopy; or who are contraindicated to colonoscopy; or delayed colonoscopy for patients who have limited access to colonoscopy services. MSAC noted that the reference standard for diagnosis or exclusion of CRC is optical colonoscopy with 95% sensitivity for polyps and precancerous lesions. </w:t>
      </w:r>
    </w:p>
    <w:p w:rsidR="004536EF" w:rsidRDefault="004536EF" w:rsidP="004536EF">
      <w:pPr>
        <w:pStyle w:val="ListParagraph"/>
        <w:ind w:left="0"/>
      </w:pPr>
    </w:p>
    <w:p w:rsidR="00815303" w:rsidRDefault="004536EF" w:rsidP="00815303">
      <w:pPr>
        <w:pStyle w:val="ListParagraph"/>
        <w:ind w:left="0"/>
      </w:pPr>
      <w:r>
        <w:t>Overall</w:t>
      </w:r>
      <w:r w:rsidR="00815303">
        <w:t>, MSAC noted that</w:t>
      </w:r>
      <w:r>
        <w:t xml:space="preserve"> the results of the limited available evidence</w:t>
      </w:r>
      <w:r w:rsidR="00072EC1">
        <w:t xml:space="preserve"> showed that</w:t>
      </w:r>
      <w:r>
        <w:t xml:space="preserve"> CTC is at least as safe as DCBE with equivalent rates of serious adverse events and fewer minor adverse events. The reported radiation dose is lower with CTC </w:t>
      </w:r>
      <w:proofErr w:type="gramStart"/>
      <w:r>
        <w:t>however</w:t>
      </w:r>
      <w:r w:rsidR="00815303">
        <w:t>,</w:t>
      </w:r>
      <w:proofErr w:type="gramEnd"/>
      <w:r>
        <w:t xml:space="preserve"> there is a large amount of variation in dose so the clinical relevance is uncertain. </w:t>
      </w:r>
      <w:r w:rsidR="00815303">
        <w:t>Based on the limited evidence presented, the 4 year survival rate of patients receiving CTC is the same as those receiving DCBE. MSAC noted that CTC would be more acceptable to patients than DCBE particularly with willingness to repeat the procedure.</w:t>
      </w:r>
    </w:p>
    <w:p w:rsidR="004536EF" w:rsidRDefault="004536EF" w:rsidP="004536EF">
      <w:pPr>
        <w:pStyle w:val="ListParagraph"/>
        <w:ind w:left="0"/>
      </w:pPr>
    </w:p>
    <w:p w:rsidR="005838E3" w:rsidRDefault="00815303" w:rsidP="004536EF">
      <w:pPr>
        <w:pStyle w:val="ListParagraph"/>
        <w:ind w:left="0"/>
      </w:pPr>
      <w:r>
        <w:t>N</w:t>
      </w:r>
      <w:r w:rsidR="004536EF">
        <w:t xml:space="preserve">o evidence </w:t>
      </w:r>
      <w:r>
        <w:t xml:space="preserve">was </w:t>
      </w:r>
      <w:r w:rsidR="004536EF">
        <w:t xml:space="preserve">presented comparing the safety of CTC with delayed colonoscopy. </w:t>
      </w:r>
      <w:r>
        <w:t>F</w:t>
      </w:r>
      <w:r w:rsidR="004536EF">
        <w:t>or symptomatic or high risk patients who have limited access to colonoscopy, no evidence was presented that demonstrated access to CTC improved health outcomes compared to delayed colonoscopy. MSAC noted that in the absence of clinical evidence of efficacy no economic analysis was presented for this population.</w:t>
      </w:r>
      <w:r w:rsidR="005838E3" w:rsidDel="005838E3">
        <w:t xml:space="preserve"> </w:t>
      </w:r>
    </w:p>
    <w:p w:rsidR="005838E3" w:rsidRDefault="005838E3" w:rsidP="004536EF">
      <w:pPr>
        <w:pStyle w:val="ListParagraph"/>
        <w:ind w:left="0"/>
      </w:pPr>
    </w:p>
    <w:p w:rsidR="004536EF" w:rsidRDefault="006C7AA4" w:rsidP="004536EF">
      <w:pPr>
        <w:pStyle w:val="ListParagraph"/>
        <w:ind w:left="0"/>
      </w:pPr>
      <w:r>
        <w:t>MSAC noted that the</w:t>
      </w:r>
      <w:r w:rsidR="004536EF">
        <w:t xml:space="preserve"> economic analysis was based on a decision analytic model developed from a randomised controlled trial. This trial showed no clinical differences between DCBE and CTC and therefore, cost-utility was not shown as it would result in an unacceptable degree of </w:t>
      </w:r>
      <w:r w:rsidR="004536EF">
        <w:lastRenderedPageBreak/>
        <w:t xml:space="preserve">uncertainty in the outcomes. However, differences in test accuracy were used to estimate the incremental cost-effectiveness ratio (ICER) per additional CRC diagnosed or large polyp identified in patients who have had a positive screening faecal occult blood test result. These ICERs for CTC compared with DCBE were calculated as $26,260 per CRC or large polyp and $19,380 per large polyp diagnosed. </w:t>
      </w:r>
    </w:p>
    <w:p w:rsidR="004536EF" w:rsidRDefault="004536EF" w:rsidP="004536EF">
      <w:pPr>
        <w:pStyle w:val="ListParagraph"/>
        <w:ind w:left="0"/>
      </w:pPr>
    </w:p>
    <w:p w:rsidR="004536EF" w:rsidRDefault="004536EF" w:rsidP="004536EF">
      <w:pPr>
        <w:pStyle w:val="ListParagraph"/>
        <w:ind w:left="0"/>
      </w:pPr>
      <w:r>
        <w:t xml:space="preserve">MSAC noted that the patient population for the proposed new MBS item number </w:t>
      </w:r>
      <w:r w:rsidR="00B018FC">
        <w:t>was</w:t>
      </w:r>
      <w:r>
        <w:t xml:space="preserve"> poorly defined and </w:t>
      </w:r>
      <w:r w:rsidR="00B018FC">
        <w:t xml:space="preserve">considered </w:t>
      </w:r>
      <w:r>
        <w:t xml:space="preserve">there is potential for use outside the restriction. Additional CTC services for patients with limited access to colonoscopy are estimated at 18,316 in 2015 rising to 19,308 in 2019. The projected estimated cost to the MBS of these additional services is $9,913,328 in 2019. However, MSAC noted that the considerable risk for use outside the restriction means that there is high uncertainty in this estimate. </w:t>
      </w:r>
    </w:p>
    <w:p w:rsidR="00550354" w:rsidRPr="00707064" w:rsidRDefault="00550354" w:rsidP="00550354">
      <w:pPr>
        <w:rPr>
          <w:szCs w:val="24"/>
        </w:rPr>
      </w:pPr>
    </w:p>
    <w:p w:rsidR="00BC1364" w:rsidRPr="00D90A38" w:rsidRDefault="00BC1364">
      <w:pPr>
        <w:pStyle w:val="Heading1"/>
        <w:numPr>
          <w:ilvl w:val="0"/>
          <w:numId w:val="23"/>
        </w:numPr>
        <w:ind w:hanging="720"/>
      </w:pPr>
      <w:r w:rsidRPr="00D90A38">
        <w:t>Background</w:t>
      </w:r>
    </w:p>
    <w:p w:rsidR="00BC1364" w:rsidRDefault="00BC1364">
      <w:pPr>
        <w:rPr>
          <w:b/>
          <w:szCs w:val="24"/>
        </w:rPr>
      </w:pPr>
    </w:p>
    <w:p w:rsidR="00E66C12" w:rsidRPr="00BB418D" w:rsidRDefault="00E66C12" w:rsidP="0004730F">
      <w:pPr>
        <w:tabs>
          <w:tab w:val="left" w:pos="720"/>
          <w:tab w:val="left" w:pos="1140"/>
        </w:tabs>
        <w:rPr>
          <w:szCs w:val="24"/>
        </w:rPr>
      </w:pPr>
      <w:r w:rsidRPr="00834490">
        <w:rPr>
          <w:szCs w:val="24"/>
        </w:rPr>
        <w:t>MBS items 56552 and 56554 were added to the schedule on 1 July 2007 following the completion of a previous review on CTC on behalf of MSAC, which was published in 2006. Under current listing arrangements MBS item 56552 stipulates that an incomplete colonoscopy must have occurred not more than 3 months prior to CTC, with the date of the incomplete colonoscopy set out on the scan request. Item 56554 limits contraindications specifically to suspected perforation of the colon, and complete or high-grade obstruction that will not allow passage of the endoscope.</w:t>
      </w:r>
    </w:p>
    <w:p w:rsidR="007B32D1" w:rsidRPr="007B32D1" w:rsidRDefault="007B32D1" w:rsidP="007B32D1"/>
    <w:p w:rsidR="00BC1364" w:rsidRPr="00D90A38" w:rsidRDefault="00BC1364">
      <w:pPr>
        <w:pStyle w:val="Heading1"/>
        <w:numPr>
          <w:ilvl w:val="0"/>
          <w:numId w:val="23"/>
        </w:numPr>
        <w:ind w:hanging="720"/>
      </w:pPr>
      <w:r w:rsidRPr="00D90A38">
        <w:t>Prerequisites to implementation of any funding advice</w:t>
      </w:r>
    </w:p>
    <w:p w:rsidR="00BC1364" w:rsidRPr="00707064" w:rsidRDefault="00BC1364">
      <w:pPr>
        <w:tabs>
          <w:tab w:val="left" w:pos="720"/>
          <w:tab w:val="left" w:pos="1140"/>
        </w:tabs>
        <w:ind w:left="706"/>
        <w:rPr>
          <w:b/>
          <w:szCs w:val="24"/>
        </w:rPr>
      </w:pPr>
    </w:p>
    <w:p w:rsidR="00E66C12" w:rsidRPr="00BB418D" w:rsidRDefault="00E66C12" w:rsidP="0004730F">
      <w:pPr>
        <w:tabs>
          <w:tab w:val="left" w:pos="720"/>
          <w:tab w:val="left" w:pos="1140"/>
        </w:tabs>
        <w:rPr>
          <w:szCs w:val="24"/>
        </w:rPr>
      </w:pPr>
      <w:r>
        <w:rPr>
          <w:szCs w:val="24"/>
        </w:rPr>
        <w:t xml:space="preserve">Under the </w:t>
      </w:r>
      <w:r w:rsidRPr="0004730F">
        <w:rPr>
          <w:i/>
          <w:szCs w:val="24"/>
        </w:rPr>
        <w:t>Therapeutic Goods Ac</w:t>
      </w:r>
      <w:r w:rsidR="00F04B3D">
        <w:rPr>
          <w:i/>
          <w:szCs w:val="24"/>
        </w:rPr>
        <w:t>t 1989</w:t>
      </w:r>
      <w:r>
        <w:rPr>
          <w:szCs w:val="24"/>
        </w:rPr>
        <w:t>, CT Scanners are classified as medical devices and are required to be registered as such. Legislation for medical devices is administered by the Officer of Device Authorisation (ODA) for pre-market regulation. The proposed medical service does not involve any changes to the medical device (CT scanner) or associated services used for items 56552 or 56554. There are currently several CT systems registered with the TGA.</w:t>
      </w:r>
    </w:p>
    <w:p w:rsidR="00B018FC" w:rsidRDefault="00B018FC"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t>Computed tomography is a form of diagnostic radiology and its usage is also overseen by the Australian Radiation Protection and Nuclear Safety Agency.</w:t>
      </w:r>
    </w:p>
    <w:p w:rsidR="00B018FC" w:rsidRDefault="00B018FC" w:rsidP="0004730F">
      <w:pPr>
        <w:tabs>
          <w:tab w:val="left" w:pos="720"/>
          <w:tab w:val="left" w:pos="1140"/>
        </w:tabs>
        <w:rPr>
          <w:szCs w:val="24"/>
        </w:rPr>
      </w:pPr>
    </w:p>
    <w:p w:rsidR="00E66C12" w:rsidRDefault="00F04B3D" w:rsidP="0004730F">
      <w:pPr>
        <w:tabs>
          <w:tab w:val="left" w:pos="720"/>
          <w:tab w:val="left" w:pos="1140"/>
        </w:tabs>
        <w:rPr>
          <w:szCs w:val="24"/>
        </w:rPr>
      </w:pPr>
      <w:r>
        <w:rPr>
          <w:szCs w:val="24"/>
        </w:rPr>
        <w:t>The Royal Australian and New Zealand College of Radiologists (</w:t>
      </w:r>
      <w:r w:rsidR="00E66C12">
        <w:rPr>
          <w:szCs w:val="24"/>
        </w:rPr>
        <w:t>RANZCR</w:t>
      </w:r>
      <w:r>
        <w:rPr>
          <w:szCs w:val="24"/>
        </w:rPr>
        <w:t>)</w:t>
      </w:r>
      <w:r w:rsidR="00E66C12">
        <w:rPr>
          <w:szCs w:val="24"/>
        </w:rPr>
        <w:t xml:space="preserve"> has also developed guidelines for the training and practice of CTC and has recently published their requirements for practice of the procedure (RANZCR 2012).  The publication provides a statement of training requirements for practitioners, and facility requirements. </w:t>
      </w:r>
    </w:p>
    <w:p w:rsidR="00E66C12" w:rsidRDefault="00E66C12" w:rsidP="0004730F">
      <w:pPr>
        <w:tabs>
          <w:tab w:val="left" w:pos="720"/>
          <w:tab w:val="left" w:pos="1140"/>
        </w:tabs>
        <w:rPr>
          <w:szCs w:val="24"/>
        </w:rPr>
      </w:pPr>
      <w:r>
        <w:rPr>
          <w:szCs w:val="24"/>
        </w:rPr>
        <w:t>Practices that perform Medicare eligible CT services must be accredited under the Diagnostic Imaging Accreditation Scheme (DIAS). To achieve accreditation, practices must submit an application, including documentary evidence in support of compliance with the full suite of standards to the accreditor of their choice. The accreditor per</w:t>
      </w:r>
      <w:r w:rsidR="00B018FC">
        <w:rPr>
          <w:szCs w:val="24"/>
        </w:rPr>
        <w:t>f</w:t>
      </w:r>
      <w:r>
        <w:rPr>
          <w:szCs w:val="24"/>
        </w:rPr>
        <w:t>orms an off-site desk-top audit to determine the extent of the practice’s compliance with the Standards. Those practices that demonstrate compliance are granted accreditation for 4 years. Those granted accreditation then enter the accreditation maintenance program, which requires practices to be re-accredited every 4 years.</w:t>
      </w:r>
    </w:p>
    <w:p w:rsidR="00BC1364" w:rsidRPr="00707064" w:rsidRDefault="00BC1364" w:rsidP="009E0D98">
      <w:pPr>
        <w:tabs>
          <w:tab w:val="left" w:pos="720"/>
          <w:tab w:val="left" w:pos="1140"/>
        </w:tabs>
        <w:rPr>
          <w:color w:val="0070C0"/>
          <w:szCs w:val="24"/>
        </w:rPr>
      </w:pPr>
    </w:p>
    <w:p w:rsidR="00BC1364" w:rsidRPr="007B32D1" w:rsidRDefault="00BC1364">
      <w:pPr>
        <w:pStyle w:val="Heading1"/>
        <w:numPr>
          <w:ilvl w:val="0"/>
          <w:numId w:val="23"/>
        </w:numPr>
        <w:ind w:hanging="720"/>
      </w:pPr>
      <w:r w:rsidRPr="007B32D1">
        <w:t>Proposal for public funding</w:t>
      </w:r>
    </w:p>
    <w:p w:rsidR="00BC1364" w:rsidRDefault="00BC1364">
      <w:pPr>
        <w:tabs>
          <w:tab w:val="left" w:pos="720"/>
          <w:tab w:val="left" w:pos="1140"/>
        </w:tabs>
        <w:rPr>
          <w:sz w:val="23"/>
          <w:szCs w:val="23"/>
        </w:rPr>
      </w:pPr>
    </w:p>
    <w:p w:rsidR="00E66C12" w:rsidRDefault="00E66C12" w:rsidP="0004730F">
      <w:pPr>
        <w:tabs>
          <w:tab w:val="left" w:pos="720"/>
          <w:tab w:val="left" w:pos="1140"/>
        </w:tabs>
        <w:rPr>
          <w:szCs w:val="24"/>
        </w:rPr>
      </w:pPr>
      <w:r>
        <w:rPr>
          <w:szCs w:val="24"/>
        </w:rPr>
        <w:t>The application proposed changes to MBS items 56552 and 56554. The item changes are highlighted in the tables below. The changes will broaden access to items 56552 and 56554 to include a larger population of symptomatic and high risk patients who have contraindications to colonoscopy such as:</w:t>
      </w:r>
    </w:p>
    <w:p w:rsidR="00E66C12" w:rsidRDefault="00E66C12" w:rsidP="0004730F">
      <w:pPr>
        <w:pStyle w:val="ListParagraph"/>
        <w:numPr>
          <w:ilvl w:val="0"/>
          <w:numId w:val="27"/>
        </w:numPr>
        <w:tabs>
          <w:tab w:val="left" w:pos="720"/>
          <w:tab w:val="left" w:pos="1140"/>
        </w:tabs>
        <w:rPr>
          <w:szCs w:val="24"/>
        </w:rPr>
      </w:pPr>
      <w:r>
        <w:rPr>
          <w:szCs w:val="24"/>
        </w:rPr>
        <w:t>Active colitis;</w:t>
      </w:r>
    </w:p>
    <w:p w:rsidR="00E66C12" w:rsidRDefault="00E66C12" w:rsidP="00E66C12">
      <w:pPr>
        <w:pStyle w:val="ListParagraph"/>
        <w:numPr>
          <w:ilvl w:val="0"/>
          <w:numId w:val="27"/>
        </w:numPr>
        <w:tabs>
          <w:tab w:val="left" w:pos="720"/>
          <w:tab w:val="left" w:pos="1140"/>
        </w:tabs>
        <w:spacing w:before="120"/>
        <w:rPr>
          <w:szCs w:val="24"/>
        </w:rPr>
      </w:pPr>
      <w:r>
        <w:rPr>
          <w:szCs w:val="24"/>
        </w:rPr>
        <w:lastRenderedPageBreak/>
        <w:t>Large abdominal aortic aneurysms;</w:t>
      </w:r>
    </w:p>
    <w:p w:rsidR="00E66C12" w:rsidRDefault="00E66C12" w:rsidP="00E66C12">
      <w:pPr>
        <w:pStyle w:val="ListParagraph"/>
        <w:numPr>
          <w:ilvl w:val="0"/>
          <w:numId w:val="27"/>
        </w:numPr>
        <w:tabs>
          <w:tab w:val="left" w:pos="720"/>
          <w:tab w:val="left" w:pos="1140"/>
        </w:tabs>
        <w:spacing w:before="120"/>
        <w:rPr>
          <w:szCs w:val="24"/>
        </w:rPr>
      </w:pPr>
      <w:r>
        <w:rPr>
          <w:szCs w:val="24"/>
        </w:rPr>
        <w:t>Recent myocardial infarction or pulmonary embolism;</w:t>
      </w:r>
    </w:p>
    <w:p w:rsidR="00E66C12" w:rsidRDefault="00E66C12" w:rsidP="00E66C12">
      <w:pPr>
        <w:pStyle w:val="ListParagraph"/>
        <w:numPr>
          <w:ilvl w:val="0"/>
          <w:numId w:val="27"/>
        </w:numPr>
        <w:tabs>
          <w:tab w:val="left" w:pos="720"/>
          <w:tab w:val="left" w:pos="1140"/>
        </w:tabs>
        <w:spacing w:before="120"/>
        <w:rPr>
          <w:szCs w:val="24"/>
        </w:rPr>
      </w:pPr>
      <w:r>
        <w:rPr>
          <w:szCs w:val="24"/>
        </w:rPr>
        <w:t>Coagulopathies, including therapeutic anticoagulation;</w:t>
      </w:r>
    </w:p>
    <w:p w:rsidR="00E66C12" w:rsidRDefault="00E66C12" w:rsidP="00E66C12">
      <w:pPr>
        <w:pStyle w:val="ListParagraph"/>
        <w:numPr>
          <w:ilvl w:val="0"/>
          <w:numId w:val="27"/>
        </w:numPr>
        <w:tabs>
          <w:tab w:val="left" w:pos="720"/>
          <w:tab w:val="left" w:pos="1140"/>
        </w:tabs>
        <w:spacing w:before="120"/>
        <w:rPr>
          <w:szCs w:val="24"/>
        </w:rPr>
      </w:pPr>
      <w:r>
        <w:rPr>
          <w:szCs w:val="24"/>
        </w:rPr>
        <w:t>Patients unable to tolerate adequate bowel preparation for colonoscopy;</w:t>
      </w:r>
    </w:p>
    <w:p w:rsidR="00E66C12" w:rsidRDefault="00E66C12" w:rsidP="00E66C12">
      <w:pPr>
        <w:pStyle w:val="ListParagraph"/>
        <w:numPr>
          <w:ilvl w:val="0"/>
          <w:numId w:val="27"/>
        </w:numPr>
        <w:tabs>
          <w:tab w:val="left" w:pos="720"/>
          <w:tab w:val="left" w:pos="1140"/>
        </w:tabs>
        <w:spacing w:before="120"/>
        <w:rPr>
          <w:szCs w:val="24"/>
        </w:rPr>
      </w:pPr>
      <w:r>
        <w:rPr>
          <w:szCs w:val="24"/>
        </w:rPr>
        <w:t>Frail patients of advanced age;</w:t>
      </w:r>
    </w:p>
    <w:p w:rsidR="00E66C12" w:rsidRDefault="00E66C12" w:rsidP="00E66C12">
      <w:pPr>
        <w:pStyle w:val="ListParagraph"/>
        <w:numPr>
          <w:ilvl w:val="0"/>
          <w:numId w:val="27"/>
        </w:numPr>
        <w:tabs>
          <w:tab w:val="left" w:pos="720"/>
          <w:tab w:val="left" w:pos="1140"/>
        </w:tabs>
        <w:spacing w:before="120"/>
        <w:rPr>
          <w:szCs w:val="24"/>
        </w:rPr>
      </w:pPr>
      <w:r>
        <w:rPr>
          <w:szCs w:val="24"/>
        </w:rPr>
        <w:t>Abdominal large bowel hernias; and</w:t>
      </w:r>
    </w:p>
    <w:p w:rsidR="00E66C12" w:rsidRDefault="00E66C12" w:rsidP="0004730F">
      <w:pPr>
        <w:pStyle w:val="ListParagraph"/>
        <w:numPr>
          <w:ilvl w:val="0"/>
          <w:numId w:val="27"/>
        </w:numPr>
        <w:tabs>
          <w:tab w:val="left" w:pos="720"/>
          <w:tab w:val="left" w:pos="1140"/>
        </w:tabs>
        <w:rPr>
          <w:szCs w:val="24"/>
        </w:rPr>
      </w:pPr>
      <w:r>
        <w:rPr>
          <w:szCs w:val="24"/>
        </w:rPr>
        <w:t>Splenomegaly.</w:t>
      </w:r>
    </w:p>
    <w:p w:rsidR="00B018FC" w:rsidRDefault="00B018FC" w:rsidP="0004730F">
      <w:pPr>
        <w:tabs>
          <w:tab w:val="left" w:pos="720"/>
          <w:tab w:val="left" w:pos="1140"/>
        </w:tabs>
        <w:rPr>
          <w:szCs w:val="24"/>
        </w:rPr>
      </w:pPr>
    </w:p>
    <w:p w:rsidR="00B018FC" w:rsidRDefault="00E66C12" w:rsidP="0004730F">
      <w:pPr>
        <w:tabs>
          <w:tab w:val="left" w:pos="720"/>
          <w:tab w:val="left" w:pos="1140"/>
        </w:tabs>
        <w:rPr>
          <w:szCs w:val="24"/>
        </w:rPr>
      </w:pPr>
      <w:r>
        <w:rPr>
          <w:szCs w:val="24"/>
        </w:rPr>
        <w:t>The application claim</w:t>
      </w:r>
      <w:r w:rsidR="00B018FC">
        <w:rPr>
          <w:szCs w:val="24"/>
        </w:rPr>
        <w:t>ed</w:t>
      </w:r>
      <w:r>
        <w:rPr>
          <w:szCs w:val="24"/>
        </w:rPr>
        <w:t xml:space="preserve"> that the proposed changes reflect the current demand for CTC from referring clinicians. Patients who require ongoing monitoring for polyps or neoplasia but underwent an incomplete colonoscopy more than three months previously, or underwent a colonoscopy with difficulties due to poor patient tolerance or technical problems would benefit from the changes to items 56552 and 56554. </w:t>
      </w:r>
    </w:p>
    <w:p w:rsidR="00E66C12" w:rsidRPr="003E1FA0" w:rsidRDefault="00E66C12" w:rsidP="00E66C12">
      <w:pPr>
        <w:widowControl w:val="0"/>
        <w:tabs>
          <w:tab w:val="left" w:pos="1100"/>
        </w:tabs>
        <w:autoSpaceDE w:val="0"/>
        <w:autoSpaceDN w:val="0"/>
        <w:adjustRightInd w:val="0"/>
        <w:spacing w:before="120"/>
        <w:ind w:right="-68"/>
        <w:rPr>
          <w:rFonts w:ascii="Arial Narrow" w:eastAsiaTheme="minorEastAsia" w:hAnsi="Arial Narrow" w:cs="Arial Narrow"/>
          <w:b/>
          <w:bCs/>
          <w:color w:val="000000"/>
          <w:sz w:val="20"/>
        </w:rPr>
      </w:pPr>
      <w:r w:rsidRPr="003E1FA0">
        <w:rPr>
          <w:rFonts w:ascii="Arial Narrow" w:eastAsiaTheme="minorEastAsia" w:hAnsi="Arial Narrow" w:cs="Arial Narrow"/>
          <w:b/>
          <w:bCs/>
          <w:color w:val="000000"/>
          <w:sz w:val="20"/>
        </w:rPr>
        <w:t>Propos</w:t>
      </w:r>
      <w:r w:rsidRPr="003E1FA0">
        <w:rPr>
          <w:rFonts w:ascii="Arial Narrow" w:eastAsiaTheme="minorEastAsia" w:hAnsi="Arial Narrow" w:cs="Arial Narrow"/>
          <w:b/>
          <w:bCs/>
          <w:color w:val="000000"/>
          <w:spacing w:val="-1"/>
          <w:sz w:val="20"/>
        </w:rPr>
        <w:t>e</w:t>
      </w:r>
      <w:r w:rsidRPr="003E1FA0">
        <w:rPr>
          <w:rFonts w:ascii="Arial Narrow" w:eastAsiaTheme="minorEastAsia" w:hAnsi="Arial Narrow" w:cs="Arial Narrow"/>
          <w:b/>
          <w:bCs/>
          <w:color w:val="000000"/>
          <w:sz w:val="20"/>
        </w:rPr>
        <w:t>d MBS</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item</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descriptor</w:t>
      </w:r>
      <w:r w:rsidRPr="003E1FA0">
        <w:rPr>
          <w:rFonts w:ascii="Arial Narrow" w:eastAsiaTheme="minorEastAsia" w:hAnsi="Arial Narrow" w:cs="Arial Narrow"/>
          <w:b/>
          <w:bCs/>
          <w:color w:val="000000"/>
          <w:spacing w:val="-2"/>
          <w:sz w:val="20"/>
        </w:rPr>
        <w:t xml:space="preserve"> </w:t>
      </w:r>
      <w:r w:rsidRPr="003E1FA0">
        <w:rPr>
          <w:rFonts w:ascii="Arial Narrow" w:eastAsiaTheme="minorEastAsia" w:hAnsi="Arial Narrow" w:cs="Arial Narrow"/>
          <w:b/>
          <w:bCs/>
          <w:color w:val="000000"/>
          <w:sz w:val="20"/>
        </w:rPr>
        <w:t>for 56552</w:t>
      </w:r>
    </w:p>
    <w:tbl>
      <w:tblPr>
        <w:tblStyle w:val="TableGrid"/>
        <w:tblW w:w="0" w:type="auto"/>
        <w:tblInd w:w="120" w:type="dxa"/>
        <w:tblLook w:val="04A0" w:firstRow="1" w:lastRow="0" w:firstColumn="1" w:lastColumn="0" w:noHBand="0" w:noVBand="1"/>
        <w:tblCaption w:val="Table 6 Proposed MBS item descriptor for 56552"/>
        <w:tblDescription w:val="Table 6 Proposed MBS item descriptor for 56552"/>
      </w:tblPr>
      <w:tblGrid>
        <w:gridCol w:w="9496"/>
      </w:tblGrid>
      <w:tr w:rsidR="00E66C12" w:rsidRPr="003E1FA0" w:rsidTr="00E66C12">
        <w:trPr>
          <w:tblHeader/>
        </w:trPr>
        <w:tc>
          <w:tcPr>
            <w:tcW w:w="9496" w:type="dxa"/>
          </w:tcPr>
          <w:p w:rsidR="00E66C12" w:rsidRPr="003E1FA0" w:rsidRDefault="00E66C12" w:rsidP="00E66C12">
            <w:pPr>
              <w:widowControl w:val="0"/>
              <w:autoSpaceDE w:val="0"/>
              <w:autoSpaceDN w:val="0"/>
              <w:adjustRightInd w:val="0"/>
              <w:ind w:right="-20"/>
              <w:jc w:val="right"/>
              <w:rPr>
                <w:rFonts w:ascii="Arial Narrow" w:eastAsiaTheme="minorEastAsia" w:hAnsi="Arial Narrow" w:cs="Arial Narrow"/>
                <w:b/>
                <w:bCs/>
                <w:color w:val="000000"/>
                <w:sz w:val="20"/>
              </w:rPr>
            </w:pPr>
            <w:r w:rsidRPr="003E1FA0">
              <w:rPr>
                <w:rFonts w:ascii="Arial Narrow" w:eastAsiaTheme="minorEastAsia" w:hAnsi="Arial Narrow" w:cs="Arial Narrow"/>
                <w:color w:val="000000"/>
                <w:sz w:val="20"/>
              </w:rPr>
              <w:t>Category 5 – Diagnostic Imagi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g Services</w:t>
            </w:r>
          </w:p>
        </w:tc>
      </w:tr>
      <w:tr w:rsidR="00E66C12" w:rsidRPr="003E1FA0" w:rsidTr="00E66C12">
        <w:tc>
          <w:tcPr>
            <w:tcW w:w="9496" w:type="dxa"/>
          </w:tcPr>
          <w:p w:rsidR="00E66C12" w:rsidRPr="003E1FA0" w:rsidRDefault="00E66C12" w:rsidP="00E66C12">
            <w:pPr>
              <w:widowControl w:val="0"/>
              <w:autoSpaceDE w:val="0"/>
              <w:autoSpaceDN w:val="0"/>
              <w:adjustRightInd w:val="0"/>
              <w:ind w:left="228" w:right="-20"/>
              <w:rPr>
                <w:rFonts w:ascii="Arial Narrow" w:eastAsiaTheme="minorEastAsia" w:hAnsi="Arial Narrow" w:cs="Arial Narrow"/>
                <w:color w:val="000000"/>
                <w:sz w:val="20"/>
              </w:rPr>
            </w:pPr>
            <w:r w:rsidRPr="003E1FA0">
              <w:rPr>
                <w:rFonts w:ascii="Arial Narrow" w:eastAsiaTheme="minorEastAsia" w:hAnsi="Arial Narrow" w:cs="Arial Narrow"/>
                <w:b/>
                <w:bCs/>
                <w:color w:val="000000"/>
                <w:position w:val="-1"/>
                <w:sz w:val="20"/>
              </w:rPr>
              <w:t>56552</w:t>
            </w:r>
          </w:p>
          <w:p w:rsidR="00E66C12" w:rsidRPr="003E1FA0" w:rsidRDefault="00E66C12" w:rsidP="00E66C12">
            <w:pPr>
              <w:widowControl w:val="0"/>
              <w:autoSpaceDE w:val="0"/>
              <w:autoSpaceDN w:val="0"/>
              <w:adjustRightInd w:val="0"/>
              <w:ind w:left="228" w:right="353"/>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COMPUTED</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TOMOGRAPHY OF</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COLON for e</w:t>
            </w:r>
            <w:r w:rsidRPr="003E1FA0">
              <w:rPr>
                <w:rFonts w:ascii="Arial Narrow" w:eastAsiaTheme="minorEastAsia" w:hAnsi="Arial Narrow" w:cs="Arial Narrow"/>
                <w:color w:val="000000"/>
                <w:spacing w:val="-2"/>
                <w:sz w:val="20"/>
              </w:rPr>
              <w:t>x</w:t>
            </w:r>
            <w:r w:rsidRPr="003E1FA0">
              <w:rPr>
                <w:rFonts w:ascii="Arial Narrow" w:eastAsiaTheme="minorEastAsia" w:hAnsi="Arial Narrow" w:cs="Arial Narrow"/>
                <w:color w:val="000000"/>
                <w:sz w:val="20"/>
              </w:rPr>
              <w:t xml:space="preserve">clusion </w:t>
            </w:r>
            <w:r w:rsidRPr="003E1FA0">
              <w:rPr>
                <w:rFonts w:ascii="Arial Narrow" w:eastAsiaTheme="minorEastAsia" w:hAnsi="Arial Narrow" w:cs="Arial Narrow"/>
                <w:color w:val="000000"/>
                <w:sz w:val="20"/>
                <w:highlight w:val="yellow"/>
              </w:rPr>
              <w:t>or diag</w:t>
            </w:r>
            <w:r w:rsidRPr="003E1FA0">
              <w:rPr>
                <w:rFonts w:ascii="Arial Narrow" w:eastAsiaTheme="minorEastAsia" w:hAnsi="Arial Narrow" w:cs="Arial Narrow"/>
                <w:color w:val="000000"/>
                <w:spacing w:val="1"/>
                <w:sz w:val="20"/>
                <w:highlight w:val="yellow"/>
              </w:rPr>
              <w:t>n</w:t>
            </w:r>
            <w:r w:rsidRPr="003E1FA0">
              <w:rPr>
                <w:rFonts w:ascii="Arial Narrow" w:eastAsiaTheme="minorEastAsia" w:hAnsi="Arial Narrow" w:cs="Arial Narrow"/>
                <w:color w:val="000000"/>
                <w:sz w:val="20"/>
                <w:highlight w:val="yellow"/>
              </w:rPr>
              <w:t>osis</w:t>
            </w:r>
            <w:r w:rsidRPr="003E1FA0">
              <w:rPr>
                <w:rFonts w:ascii="Arial Narrow" w:eastAsiaTheme="minorEastAsia" w:hAnsi="Arial Narrow" w:cs="Arial Narrow"/>
                <w:color w:val="000000"/>
                <w:sz w:val="20"/>
              </w:rPr>
              <w:t xml:space="preserve"> of c</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lorectal neoplasia in</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symptomatic or high risk patients if:</w:t>
            </w:r>
          </w:p>
          <w:p w:rsidR="00E66C12" w:rsidRPr="003E1FA0" w:rsidRDefault="00E66C12" w:rsidP="00E66C12">
            <w:pPr>
              <w:widowControl w:val="0"/>
              <w:tabs>
                <w:tab w:val="left" w:pos="940"/>
              </w:tabs>
              <w:autoSpaceDE w:val="0"/>
              <w:autoSpaceDN w:val="0"/>
              <w:adjustRightInd w:val="0"/>
              <w:ind w:left="58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a)</w:t>
            </w:r>
            <w:r w:rsidRPr="003E1FA0">
              <w:rPr>
                <w:rFonts w:ascii="Arial Narrow" w:eastAsiaTheme="minorEastAsia" w:hAnsi="Arial Narrow" w:cs="Arial Narrow"/>
                <w:color w:val="000000"/>
                <w:sz w:val="20"/>
              </w:rPr>
              <w:tab/>
              <w:t xml:space="preserve">the patient has </w:t>
            </w:r>
            <w:r w:rsidRPr="003E1FA0">
              <w:rPr>
                <w:rFonts w:ascii="Arial Narrow" w:eastAsiaTheme="minorEastAsia" w:hAnsi="Arial Narrow" w:cs="Arial Narrow"/>
                <w:color w:val="000000"/>
                <w:spacing w:val="1"/>
                <w:sz w:val="20"/>
              </w:rPr>
              <w:t>h</w:t>
            </w:r>
            <w:r w:rsidRPr="003E1FA0">
              <w:rPr>
                <w:rFonts w:ascii="Arial Narrow" w:eastAsiaTheme="minorEastAsia" w:hAnsi="Arial Narrow" w:cs="Arial Narrow"/>
                <w:color w:val="000000"/>
                <w:sz w:val="20"/>
              </w:rPr>
              <w:t>ad an incomple</w:t>
            </w:r>
            <w:r w:rsidRPr="003E1FA0">
              <w:rPr>
                <w:rFonts w:ascii="Arial Narrow" w:eastAsiaTheme="minorEastAsia" w:hAnsi="Arial Narrow" w:cs="Arial Narrow"/>
                <w:color w:val="000000"/>
                <w:spacing w:val="1"/>
                <w:sz w:val="20"/>
              </w:rPr>
              <w:t>t</w:t>
            </w:r>
            <w:r w:rsidRPr="003E1FA0">
              <w:rPr>
                <w:rFonts w:ascii="Arial Narrow" w:eastAsiaTheme="minorEastAsia" w:hAnsi="Arial Narrow" w:cs="Arial Narrow"/>
                <w:color w:val="000000"/>
                <w:sz w:val="20"/>
              </w:rPr>
              <w:t xml:space="preserve">e </w:t>
            </w:r>
            <w:r w:rsidRPr="003E1FA0">
              <w:rPr>
                <w:rFonts w:ascii="Arial Narrow" w:eastAsiaTheme="minorEastAsia" w:hAnsi="Arial Narrow" w:cs="Arial Narrow"/>
                <w:color w:val="000000"/>
                <w:sz w:val="20"/>
                <w:highlight w:val="yellow"/>
              </w:rPr>
              <w:t>or technically</w:t>
            </w:r>
            <w:r w:rsidRPr="003E1FA0">
              <w:rPr>
                <w:rFonts w:ascii="Arial Narrow" w:eastAsiaTheme="minorEastAsia" w:hAnsi="Arial Narrow" w:cs="Arial Narrow"/>
                <w:color w:val="000000"/>
                <w:spacing w:val="1"/>
                <w:sz w:val="20"/>
                <w:highlight w:val="yellow"/>
              </w:rPr>
              <w:t xml:space="preserve"> </w:t>
            </w:r>
            <w:r w:rsidRPr="003E1FA0">
              <w:rPr>
                <w:rFonts w:ascii="Arial Narrow" w:eastAsiaTheme="minorEastAsia" w:hAnsi="Arial Narrow" w:cs="Arial Narrow"/>
                <w:color w:val="000000"/>
                <w:sz w:val="20"/>
                <w:highlight w:val="yellow"/>
              </w:rPr>
              <w:t>difficult</w:t>
            </w:r>
            <w:r w:rsidRPr="003E1FA0">
              <w:rPr>
                <w:rFonts w:ascii="Arial Narrow" w:eastAsiaTheme="minorEastAsia" w:hAnsi="Arial Narrow" w:cs="Arial Narrow"/>
                <w:color w:val="000000"/>
                <w:spacing w:val="1"/>
                <w:sz w:val="20"/>
                <w:highlight w:val="yellow"/>
              </w:rPr>
              <w:t xml:space="preserve"> </w:t>
            </w:r>
            <w:r w:rsidRPr="003E1FA0">
              <w:rPr>
                <w:rFonts w:ascii="Arial Narrow" w:eastAsiaTheme="minorEastAsia" w:hAnsi="Arial Narrow" w:cs="Arial Narrow"/>
                <w:color w:val="000000"/>
                <w:sz w:val="20"/>
                <w:highlight w:val="yellow"/>
              </w:rPr>
              <w:t>colon</w:t>
            </w:r>
            <w:r w:rsidRPr="003E1FA0">
              <w:rPr>
                <w:rFonts w:ascii="Arial Narrow" w:eastAsiaTheme="minorEastAsia" w:hAnsi="Arial Narrow" w:cs="Arial Narrow"/>
                <w:color w:val="000000"/>
                <w:spacing w:val="1"/>
                <w:sz w:val="20"/>
                <w:highlight w:val="yellow"/>
              </w:rPr>
              <w:t>o</w:t>
            </w:r>
            <w:r w:rsidRPr="003E1FA0">
              <w:rPr>
                <w:rFonts w:ascii="Arial Narrow" w:eastAsiaTheme="minorEastAsia" w:hAnsi="Arial Narrow" w:cs="Arial Narrow"/>
                <w:color w:val="000000"/>
                <w:sz w:val="20"/>
                <w:highlight w:val="yellow"/>
              </w:rPr>
              <w:t xml:space="preserve">scopy; </w:t>
            </w:r>
            <w:r w:rsidRPr="003E1FA0">
              <w:rPr>
                <w:rFonts w:ascii="Arial Narrow" w:eastAsiaTheme="minorEastAsia" w:hAnsi="Arial Narrow" w:cs="Arial Narrow"/>
                <w:color w:val="000000"/>
                <w:sz w:val="20"/>
              </w:rPr>
              <w:t>and</w:t>
            </w:r>
          </w:p>
          <w:p w:rsidR="00E66C12" w:rsidRPr="003E1FA0" w:rsidRDefault="00E66C12" w:rsidP="00E66C12">
            <w:pPr>
              <w:widowControl w:val="0"/>
              <w:tabs>
                <w:tab w:val="left" w:pos="940"/>
              </w:tabs>
              <w:autoSpaceDE w:val="0"/>
              <w:autoSpaceDN w:val="0"/>
              <w:adjustRightInd w:val="0"/>
              <w:ind w:left="58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b)</w:t>
            </w:r>
            <w:r w:rsidRPr="003E1FA0">
              <w:rPr>
                <w:rFonts w:ascii="Arial Narrow" w:eastAsiaTheme="minorEastAsia" w:hAnsi="Arial Narrow" w:cs="Arial Narrow"/>
                <w:color w:val="000000"/>
                <w:sz w:val="20"/>
              </w:rPr>
              <w:tab/>
              <w:t>the service is n</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t a service to which items 56301,</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56307, 56401, 56407, 56409, 56412, 56501, 56507, 56801,</w:t>
            </w:r>
          </w:p>
          <w:p w:rsidR="00E66C12" w:rsidRPr="003E1FA0" w:rsidRDefault="00E66C12" w:rsidP="00E66C12">
            <w:pPr>
              <w:widowControl w:val="0"/>
              <w:autoSpaceDE w:val="0"/>
              <w:autoSpaceDN w:val="0"/>
              <w:adjustRightInd w:val="0"/>
              <w:ind w:left="228" w:right="6010" w:firstLine="7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56807 or 57001 applies (R) (K) Bulk b</w:t>
            </w:r>
            <w:r w:rsidRPr="003E1FA0">
              <w:rPr>
                <w:rFonts w:ascii="Arial Narrow" w:eastAsiaTheme="minorEastAsia" w:hAnsi="Arial Narrow" w:cs="Arial Narrow"/>
                <w:color w:val="000000"/>
                <w:spacing w:val="1"/>
                <w:sz w:val="20"/>
              </w:rPr>
              <w:t>i</w:t>
            </w:r>
            <w:r w:rsidRPr="003E1FA0">
              <w:rPr>
                <w:rFonts w:ascii="Arial Narrow" w:eastAsiaTheme="minorEastAsia" w:hAnsi="Arial Narrow" w:cs="Arial Narrow"/>
                <w:color w:val="000000"/>
                <w:sz w:val="20"/>
              </w:rPr>
              <w:t>ll 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centi</w:t>
            </w:r>
            <w:r w:rsidRPr="003E1FA0">
              <w:rPr>
                <w:rFonts w:ascii="Arial Narrow" w:eastAsiaTheme="minorEastAsia" w:hAnsi="Arial Narrow" w:cs="Arial Narrow"/>
                <w:color w:val="000000"/>
                <w:spacing w:val="1"/>
                <w:sz w:val="20"/>
              </w:rPr>
              <w:t>v</w:t>
            </w:r>
            <w:r w:rsidRPr="003E1FA0">
              <w:rPr>
                <w:rFonts w:ascii="Arial Narrow" w:eastAsiaTheme="minorEastAsia" w:hAnsi="Arial Narrow" w:cs="Arial Narrow"/>
                <w:color w:val="000000"/>
                <w:sz w:val="20"/>
              </w:rPr>
              <w:t>e</w:t>
            </w:r>
          </w:p>
          <w:p w:rsidR="00E66C12" w:rsidRPr="003E1FA0" w:rsidRDefault="00E66C12" w:rsidP="00E66C12">
            <w:pPr>
              <w:widowControl w:val="0"/>
              <w:autoSpaceDE w:val="0"/>
              <w:autoSpaceDN w:val="0"/>
              <w:adjustRightInd w:val="0"/>
              <w:ind w:left="22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w:t>
            </w:r>
            <w:proofErr w:type="spellStart"/>
            <w:r w:rsidRPr="003E1FA0">
              <w:rPr>
                <w:rFonts w:ascii="Arial Narrow" w:eastAsiaTheme="minorEastAsia" w:hAnsi="Arial Narrow" w:cs="Arial Narrow"/>
                <w:color w:val="000000"/>
                <w:sz w:val="20"/>
              </w:rPr>
              <w:t>Anaes</w:t>
            </w:r>
            <w:proofErr w:type="spellEnd"/>
            <w:r w:rsidRPr="003E1FA0">
              <w:rPr>
                <w:rFonts w:ascii="Arial Narrow" w:eastAsiaTheme="minorEastAsia" w:hAnsi="Arial Narrow" w:cs="Arial Narrow"/>
                <w:color w:val="000000"/>
                <w:sz w:val="20"/>
              </w:rPr>
              <w:t>.)</w:t>
            </w:r>
          </w:p>
          <w:p w:rsidR="00E66C12" w:rsidRPr="003E1FA0" w:rsidRDefault="00E66C12" w:rsidP="00E66C12">
            <w:pPr>
              <w:widowControl w:val="0"/>
              <w:tabs>
                <w:tab w:val="left" w:pos="1660"/>
              </w:tabs>
              <w:autoSpaceDE w:val="0"/>
              <w:autoSpaceDN w:val="0"/>
              <w:adjustRightInd w:val="0"/>
              <w:ind w:left="228" w:right="4275"/>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Fee: $600.00</w:t>
            </w:r>
            <w:r w:rsidRPr="003E1FA0">
              <w:rPr>
                <w:rFonts w:ascii="Arial Narrow" w:eastAsiaTheme="minorEastAsia" w:hAnsi="Arial Narrow" w:cs="Arial Narrow"/>
                <w:color w:val="000000"/>
                <w:sz w:val="20"/>
              </w:rPr>
              <w:tab/>
              <w:t>Benefit: 7</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xml:space="preserve">= </w:t>
            </w:r>
            <w:r w:rsidRPr="003E1FA0">
              <w:rPr>
                <w:rFonts w:ascii="Arial Narrow" w:eastAsiaTheme="minorEastAsia" w:hAnsi="Arial Narrow" w:cs="Arial Narrow"/>
                <w:color w:val="000000"/>
                <w:spacing w:val="1"/>
                <w:sz w:val="20"/>
              </w:rPr>
              <w:t>$</w:t>
            </w:r>
            <w:r w:rsidRPr="003E1FA0">
              <w:rPr>
                <w:rFonts w:ascii="Arial Narrow" w:eastAsiaTheme="minorEastAsia" w:hAnsi="Arial Narrow" w:cs="Arial Narrow"/>
                <w:color w:val="000000"/>
                <w:sz w:val="20"/>
              </w:rPr>
              <w:t>450.00</w:t>
            </w:r>
            <w:r w:rsidRPr="003E1FA0">
              <w:rPr>
                <w:rFonts w:ascii="Arial Narrow" w:eastAsiaTheme="minorEastAsia" w:hAnsi="Arial Narrow" w:cs="Arial Narrow"/>
                <w:color w:val="000000"/>
                <w:sz w:val="20"/>
              </w:rPr>
              <w:tab/>
              <w:t>8</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$526.30 (See para DIL,</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DIQ of explanatory notes to this</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Category)</w:t>
            </w:r>
          </w:p>
        </w:tc>
      </w:tr>
    </w:tbl>
    <w:p w:rsidR="00E66C12" w:rsidRPr="003E1FA0" w:rsidRDefault="00E66C12" w:rsidP="00E66C12">
      <w:pPr>
        <w:widowControl w:val="0"/>
        <w:tabs>
          <w:tab w:val="left" w:pos="1100"/>
        </w:tabs>
        <w:autoSpaceDE w:val="0"/>
        <w:autoSpaceDN w:val="0"/>
        <w:adjustRightInd w:val="0"/>
        <w:spacing w:before="36"/>
        <w:ind w:right="-70"/>
        <w:rPr>
          <w:rFonts w:ascii="Arial Narrow" w:eastAsiaTheme="minorEastAsia" w:hAnsi="Arial Narrow" w:cs="Arial Narrow"/>
          <w:color w:val="000000"/>
          <w:sz w:val="20"/>
        </w:rPr>
      </w:pPr>
      <w:r w:rsidRPr="003E1FA0">
        <w:rPr>
          <w:rFonts w:ascii="Arial Narrow" w:eastAsiaTheme="minorEastAsia" w:hAnsi="Arial Narrow" w:cs="Arial Narrow"/>
          <w:b/>
          <w:bCs/>
          <w:color w:val="000000"/>
          <w:sz w:val="20"/>
        </w:rPr>
        <w:t>Propos</w:t>
      </w:r>
      <w:r w:rsidRPr="003E1FA0">
        <w:rPr>
          <w:rFonts w:ascii="Arial Narrow" w:eastAsiaTheme="minorEastAsia" w:hAnsi="Arial Narrow" w:cs="Arial Narrow"/>
          <w:b/>
          <w:bCs/>
          <w:color w:val="000000"/>
          <w:spacing w:val="-1"/>
          <w:sz w:val="20"/>
        </w:rPr>
        <w:t>e</w:t>
      </w:r>
      <w:r w:rsidRPr="003E1FA0">
        <w:rPr>
          <w:rFonts w:ascii="Arial Narrow" w:eastAsiaTheme="minorEastAsia" w:hAnsi="Arial Narrow" w:cs="Arial Narrow"/>
          <w:b/>
          <w:bCs/>
          <w:color w:val="000000"/>
          <w:sz w:val="20"/>
        </w:rPr>
        <w:t>d MBS</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item</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descriptor</w:t>
      </w:r>
      <w:r w:rsidRPr="003E1FA0">
        <w:rPr>
          <w:rFonts w:ascii="Arial Narrow" w:eastAsiaTheme="minorEastAsia" w:hAnsi="Arial Narrow" w:cs="Arial Narrow"/>
          <w:b/>
          <w:bCs/>
          <w:color w:val="000000"/>
          <w:spacing w:val="-2"/>
          <w:sz w:val="20"/>
        </w:rPr>
        <w:t xml:space="preserve"> </w:t>
      </w:r>
      <w:r w:rsidRPr="003E1FA0">
        <w:rPr>
          <w:rFonts w:ascii="Arial Narrow" w:eastAsiaTheme="minorEastAsia" w:hAnsi="Arial Narrow" w:cs="Arial Narrow"/>
          <w:b/>
          <w:bCs/>
          <w:color w:val="000000"/>
          <w:sz w:val="20"/>
        </w:rPr>
        <w:t>for 56554</w:t>
      </w:r>
    </w:p>
    <w:tbl>
      <w:tblPr>
        <w:tblStyle w:val="TableGrid"/>
        <w:tblW w:w="0" w:type="auto"/>
        <w:tblLook w:val="04A0" w:firstRow="1" w:lastRow="0" w:firstColumn="1" w:lastColumn="0" w:noHBand="0" w:noVBand="1"/>
        <w:tblCaption w:val="Table 7 Proposed MBS item descriptor for 56554"/>
        <w:tblDescription w:val="Table 7 Proposed MBS item descriptor for 56554"/>
      </w:tblPr>
      <w:tblGrid>
        <w:gridCol w:w="9476"/>
      </w:tblGrid>
      <w:tr w:rsidR="00E66C12" w:rsidRPr="003E1FA0" w:rsidTr="00E66C12">
        <w:trPr>
          <w:tblHeader/>
        </w:trPr>
        <w:tc>
          <w:tcPr>
            <w:tcW w:w="9476" w:type="dxa"/>
          </w:tcPr>
          <w:p w:rsidR="00E66C12" w:rsidRPr="003E1FA0" w:rsidRDefault="00E66C12" w:rsidP="00E66C12">
            <w:pPr>
              <w:widowControl w:val="0"/>
              <w:autoSpaceDE w:val="0"/>
              <w:autoSpaceDN w:val="0"/>
              <w:adjustRightInd w:val="0"/>
              <w:ind w:right="-20"/>
              <w:jc w:val="right"/>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Category 5 – Diagnostic Imagi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g Services</w:t>
            </w:r>
          </w:p>
        </w:tc>
      </w:tr>
      <w:tr w:rsidR="00E66C12" w:rsidRPr="003E1FA0" w:rsidTr="00E66C12">
        <w:tc>
          <w:tcPr>
            <w:tcW w:w="9476" w:type="dxa"/>
          </w:tcPr>
          <w:p w:rsidR="00E66C12" w:rsidRPr="003E1FA0" w:rsidRDefault="00E66C12" w:rsidP="00E66C12">
            <w:pPr>
              <w:widowControl w:val="0"/>
              <w:autoSpaceDE w:val="0"/>
              <w:autoSpaceDN w:val="0"/>
              <w:adjustRightInd w:val="0"/>
              <w:ind w:left="228" w:right="-20"/>
              <w:rPr>
                <w:rFonts w:ascii="Arial Narrow" w:eastAsiaTheme="minorEastAsia" w:hAnsi="Arial Narrow" w:cs="Arial Narrow"/>
                <w:color w:val="000000"/>
                <w:sz w:val="20"/>
              </w:rPr>
            </w:pPr>
            <w:r w:rsidRPr="003E1FA0">
              <w:rPr>
                <w:rFonts w:ascii="Arial Narrow" w:eastAsiaTheme="minorEastAsia" w:hAnsi="Arial Narrow" w:cs="Arial Narrow"/>
                <w:b/>
                <w:bCs/>
                <w:color w:val="000000"/>
                <w:position w:val="-1"/>
                <w:sz w:val="20"/>
              </w:rPr>
              <w:t>56554</w:t>
            </w:r>
          </w:p>
          <w:p w:rsidR="00E66C12" w:rsidRPr="003E1FA0" w:rsidRDefault="00E66C12" w:rsidP="00E66C12">
            <w:pPr>
              <w:widowControl w:val="0"/>
              <w:autoSpaceDE w:val="0"/>
              <w:autoSpaceDN w:val="0"/>
              <w:adjustRightInd w:val="0"/>
              <w:ind w:left="228" w:right="64"/>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COMPUTED</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TOMOGRA</w:t>
            </w:r>
            <w:r w:rsidRPr="003E1FA0">
              <w:rPr>
                <w:rFonts w:ascii="Arial Narrow" w:eastAsiaTheme="minorEastAsia" w:hAnsi="Arial Narrow" w:cs="Arial Narrow"/>
                <w:color w:val="000000"/>
                <w:spacing w:val="-2"/>
                <w:sz w:val="20"/>
              </w:rPr>
              <w:t>P</w:t>
            </w:r>
            <w:r w:rsidRPr="003E1FA0">
              <w:rPr>
                <w:rFonts w:ascii="Arial Narrow" w:eastAsiaTheme="minorEastAsia" w:hAnsi="Arial Narrow" w:cs="Arial Narrow"/>
                <w:color w:val="000000"/>
                <w:sz w:val="20"/>
              </w:rPr>
              <w:t>HY</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OF</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CO</w:t>
            </w:r>
            <w:r w:rsidRPr="003E1FA0">
              <w:rPr>
                <w:rFonts w:ascii="Arial Narrow" w:eastAsiaTheme="minorEastAsia" w:hAnsi="Arial Narrow" w:cs="Arial Narrow"/>
                <w:color w:val="000000"/>
                <w:spacing w:val="-1"/>
                <w:sz w:val="20"/>
              </w:rPr>
              <w:t>L</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N</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f</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r</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exclusion</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or</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diagnosis</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of</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c</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lorectal</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neoplasia</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in</w:t>
            </w:r>
            <w:r w:rsidRPr="003E1FA0">
              <w:rPr>
                <w:rFonts w:ascii="Arial Narrow" w:eastAsiaTheme="minorEastAsia" w:hAnsi="Arial Narrow" w:cs="Arial Narrow"/>
                <w:color w:val="000000"/>
                <w:spacing w:val="20"/>
                <w:sz w:val="20"/>
              </w:rPr>
              <w:t xml:space="preserve"> </w:t>
            </w:r>
            <w:r w:rsidRPr="003E1FA0">
              <w:rPr>
                <w:rFonts w:ascii="Arial Narrow" w:eastAsiaTheme="minorEastAsia" w:hAnsi="Arial Narrow" w:cs="Arial Narrow"/>
                <w:color w:val="000000"/>
                <w:sz w:val="20"/>
              </w:rPr>
              <w:t>symptomatic</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or</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high</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risk patients if:</w:t>
            </w:r>
          </w:p>
          <w:p w:rsidR="00E66C12" w:rsidRPr="003E1FA0" w:rsidRDefault="00E66C12" w:rsidP="00E66C12">
            <w:pPr>
              <w:widowControl w:val="0"/>
              <w:tabs>
                <w:tab w:val="left" w:pos="940"/>
              </w:tabs>
              <w:autoSpaceDE w:val="0"/>
              <w:autoSpaceDN w:val="0"/>
              <w:adjustRightInd w:val="0"/>
              <w:ind w:left="58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a)</w:t>
            </w:r>
            <w:r w:rsidRPr="003E1FA0">
              <w:rPr>
                <w:rFonts w:ascii="Arial Narrow" w:eastAsiaTheme="minorEastAsia" w:hAnsi="Arial Narrow" w:cs="Arial Narrow"/>
                <w:color w:val="000000"/>
                <w:sz w:val="20"/>
              </w:rPr>
              <w:tab/>
              <w:t>a contraindicati</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n to colonosco</w:t>
            </w:r>
            <w:r w:rsidRPr="003E1FA0">
              <w:rPr>
                <w:rFonts w:ascii="Arial Narrow" w:eastAsiaTheme="minorEastAsia" w:hAnsi="Arial Narrow" w:cs="Arial Narrow"/>
                <w:color w:val="000000"/>
                <w:spacing w:val="1"/>
                <w:sz w:val="20"/>
              </w:rPr>
              <w:t>p</w:t>
            </w:r>
            <w:r w:rsidRPr="003E1FA0">
              <w:rPr>
                <w:rFonts w:ascii="Arial Narrow" w:eastAsiaTheme="minorEastAsia" w:hAnsi="Arial Narrow" w:cs="Arial Narrow"/>
                <w:color w:val="000000"/>
                <w:sz w:val="20"/>
              </w:rPr>
              <w:t>y</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exis</w:t>
            </w:r>
            <w:r w:rsidRPr="003E1FA0">
              <w:rPr>
                <w:rFonts w:ascii="Arial Narrow" w:eastAsiaTheme="minorEastAsia" w:hAnsi="Arial Narrow" w:cs="Arial Narrow"/>
                <w:color w:val="000000"/>
                <w:spacing w:val="1"/>
                <w:sz w:val="20"/>
              </w:rPr>
              <w:t>t</w:t>
            </w:r>
            <w:r w:rsidRPr="003E1FA0">
              <w:rPr>
                <w:rFonts w:ascii="Arial Narrow" w:eastAsiaTheme="minorEastAsia" w:hAnsi="Arial Narrow" w:cs="Arial Narrow"/>
                <w:color w:val="000000"/>
                <w:sz w:val="20"/>
              </w:rPr>
              <w:t>s</w:t>
            </w:r>
          </w:p>
          <w:p w:rsidR="00E66C12" w:rsidRPr="003E1FA0" w:rsidRDefault="00E66C12" w:rsidP="00E66C12">
            <w:pPr>
              <w:widowControl w:val="0"/>
              <w:tabs>
                <w:tab w:val="left" w:pos="940"/>
              </w:tabs>
              <w:autoSpaceDE w:val="0"/>
              <w:autoSpaceDN w:val="0"/>
              <w:adjustRightInd w:val="0"/>
              <w:ind w:left="58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b)</w:t>
            </w:r>
            <w:r w:rsidRPr="003E1FA0">
              <w:rPr>
                <w:rFonts w:ascii="Arial Narrow" w:eastAsiaTheme="minorEastAsia" w:hAnsi="Arial Narrow" w:cs="Arial Narrow"/>
                <w:color w:val="000000"/>
                <w:sz w:val="20"/>
              </w:rPr>
              <w:tab/>
              <w:t>the</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service</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must</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not</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be</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a</w:t>
            </w:r>
            <w:r w:rsidRPr="003E1FA0">
              <w:rPr>
                <w:rFonts w:ascii="Arial Narrow" w:eastAsiaTheme="minorEastAsia" w:hAnsi="Arial Narrow" w:cs="Arial Narrow"/>
                <w:color w:val="000000"/>
                <w:spacing w:val="24"/>
                <w:sz w:val="20"/>
              </w:rPr>
              <w:t xml:space="preserve"> </w:t>
            </w:r>
            <w:r w:rsidRPr="003E1FA0">
              <w:rPr>
                <w:rFonts w:ascii="Arial Narrow" w:eastAsiaTheme="minorEastAsia" w:hAnsi="Arial Narrow" w:cs="Arial Narrow"/>
                <w:color w:val="000000"/>
                <w:sz w:val="20"/>
              </w:rPr>
              <w:t>service</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to</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which</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item</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56301,</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563</w:t>
            </w:r>
            <w:r w:rsidRPr="003E1FA0">
              <w:rPr>
                <w:rFonts w:ascii="Arial Narrow" w:eastAsiaTheme="minorEastAsia" w:hAnsi="Arial Narrow" w:cs="Arial Narrow"/>
                <w:color w:val="000000"/>
                <w:spacing w:val="-1"/>
                <w:sz w:val="20"/>
              </w:rPr>
              <w:t>0</w:t>
            </w:r>
            <w:r w:rsidRPr="003E1FA0">
              <w:rPr>
                <w:rFonts w:ascii="Arial Narrow" w:eastAsiaTheme="minorEastAsia" w:hAnsi="Arial Narrow" w:cs="Arial Narrow"/>
                <w:color w:val="000000"/>
                <w:sz w:val="20"/>
              </w:rPr>
              <w:t>7,</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56401,</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564</w:t>
            </w:r>
            <w:r w:rsidRPr="003E1FA0">
              <w:rPr>
                <w:rFonts w:ascii="Arial Narrow" w:eastAsiaTheme="minorEastAsia" w:hAnsi="Arial Narrow" w:cs="Arial Narrow"/>
                <w:color w:val="000000"/>
                <w:spacing w:val="-1"/>
                <w:sz w:val="20"/>
              </w:rPr>
              <w:t>0</w:t>
            </w:r>
            <w:r w:rsidRPr="003E1FA0">
              <w:rPr>
                <w:rFonts w:ascii="Arial Narrow" w:eastAsiaTheme="minorEastAsia" w:hAnsi="Arial Narrow" w:cs="Arial Narrow"/>
                <w:color w:val="000000"/>
                <w:sz w:val="20"/>
              </w:rPr>
              <w:t>7,</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56409,</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564</w:t>
            </w:r>
            <w:r w:rsidRPr="003E1FA0">
              <w:rPr>
                <w:rFonts w:ascii="Arial Narrow" w:eastAsiaTheme="minorEastAsia" w:hAnsi="Arial Narrow" w:cs="Arial Narrow"/>
                <w:color w:val="000000"/>
                <w:spacing w:val="-1"/>
                <w:sz w:val="20"/>
              </w:rPr>
              <w:t>1</w:t>
            </w:r>
            <w:r w:rsidRPr="003E1FA0">
              <w:rPr>
                <w:rFonts w:ascii="Arial Narrow" w:eastAsiaTheme="minorEastAsia" w:hAnsi="Arial Narrow" w:cs="Arial Narrow"/>
                <w:color w:val="000000"/>
                <w:sz w:val="20"/>
              </w:rPr>
              <w:t>2,</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56501,</w:t>
            </w:r>
            <w:r w:rsidRPr="003E1FA0">
              <w:rPr>
                <w:rFonts w:ascii="Arial Narrow" w:eastAsiaTheme="minorEastAsia" w:hAnsi="Arial Narrow" w:cs="Arial Narrow"/>
                <w:color w:val="000000"/>
                <w:spacing w:val="25"/>
                <w:sz w:val="20"/>
              </w:rPr>
              <w:t xml:space="preserve"> </w:t>
            </w:r>
            <w:r w:rsidRPr="003E1FA0">
              <w:rPr>
                <w:rFonts w:ascii="Arial Narrow" w:eastAsiaTheme="minorEastAsia" w:hAnsi="Arial Narrow" w:cs="Arial Narrow"/>
                <w:color w:val="000000"/>
                <w:sz w:val="20"/>
              </w:rPr>
              <w:t>565</w:t>
            </w:r>
            <w:r w:rsidRPr="003E1FA0">
              <w:rPr>
                <w:rFonts w:ascii="Arial Narrow" w:eastAsiaTheme="minorEastAsia" w:hAnsi="Arial Narrow" w:cs="Arial Narrow"/>
                <w:color w:val="000000"/>
                <w:spacing w:val="-1"/>
                <w:sz w:val="20"/>
              </w:rPr>
              <w:t>0</w:t>
            </w:r>
            <w:r w:rsidRPr="003E1FA0">
              <w:rPr>
                <w:rFonts w:ascii="Arial Narrow" w:eastAsiaTheme="minorEastAsia" w:hAnsi="Arial Narrow" w:cs="Arial Narrow"/>
                <w:color w:val="000000"/>
                <w:sz w:val="20"/>
              </w:rPr>
              <w:t>7,</w:t>
            </w:r>
          </w:p>
          <w:p w:rsidR="00E66C12" w:rsidRPr="003E1FA0" w:rsidRDefault="00E66C12" w:rsidP="00E66C12">
            <w:pPr>
              <w:widowControl w:val="0"/>
              <w:autoSpaceDE w:val="0"/>
              <w:autoSpaceDN w:val="0"/>
              <w:adjustRightInd w:val="0"/>
              <w:ind w:left="228" w:right="5462" w:firstLine="7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 xml:space="preserve">56801, 56807 or 57001 applies </w:t>
            </w:r>
            <w:r w:rsidRPr="003E1FA0">
              <w:rPr>
                <w:rFonts w:ascii="Arial Narrow" w:eastAsiaTheme="minorEastAsia" w:hAnsi="Arial Narrow" w:cs="Arial Narrow"/>
                <w:color w:val="000000"/>
                <w:spacing w:val="2"/>
                <w:sz w:val="20"/>
              </w:rPr>
              <w:t>(</w:t>
            </w:r>
            <w:r w:rsidRPr="003E1FA0">
              <w:rPr>
                <w:rFonts w:ascii="Arial Narrow" w:eastAsiaTheme="minorEastAsia" w:hAnsi="Arial Narrow" w:cs="Arial Narrow"/>
                <w:color w:val="000000"/>
                <w:sz w:val="20"/>
              </w:rPr>
              <w:t>R) (</w:t>
            </w:r>
            <w:r w:rsidRPr="003E1FA0">
              <w:rPr>
                <w:rFonts w:ascii="Arial Narrow" w:eastAsiaTheme="minorEastAsia" w:hAnsi="Arial Narrow" w:cs="Arial Narrow"/>
                <w:color w:val="000000"/>
                <w:spacing w:val="-2"/>
                <w:sz w:val="20"/>
              </w:rPr>
              <w:t>K</w:t>
            </w:r>
            <w:r w:rsidRPr="003E1FA0">
              <w:rPr>
                <w:rFonts w:ascii="Arial Narrow" w:eastAsiaTheme="minorEastAsia" w:hAnsi="Arial Narrow" w:cs="Arial Narrow"/>
                <w:color w:val="000000"/>
                <w:sz w:val="20"/>
              </w:rPr>
              <w:t>) Bulk b</w:t>
            </w:r>
            <w:r w:rsidRPr="003E1FA0">
              <w:rPr>
                <w:rFonts w:ascii="Arial Narrow" w:eastAsiaTheme="minorEastAsia" w:hAnsi="Arial Narrow" w:cs="Arial Narrow"/>
                <w:color w:val="000000"/>
                <w:spacing w:val="1"/>
                <w:sz w:val="20"/>
              </w:rPr>
              <w:t>i</w:t>
            </w:r>
            <w:r w:rsidRPr="003E1FA0">
              <w:rPr>
                <w:rFonts w:ascii="Arial Narrow" w:eastAsiaTheme="minorEastAsia" w:hAnsi="Arial Narrow" w:cs="Arial Narrow"/>
                <w:color w:val="000000"/>
                <w:sz w:val="20"/>
              </w:rPr>
              <w:t>ll 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centi</w:t>
            </w:r>
            <w:r w:rsidRPr="003E1FA0">
              <w:rPr>
                <w:rFonts w:ascii="Arial Narrow" w:eastAsiaTheme="minorEastAsia" w:hAnsi="Arial Narrow" w:cs="Arial Narrow"/>
                <w:color w:val="000000"/>
                <w:spacing w:val="1"/>
                <w:sz w:val="20"/>
              </w:rPr>
              <w:t>v</w:t>
            </w:r>
            <w:r w:rsidRPr="003E1FA0">
              <w:rPr>
                <w:rFonts w:ascii="Arial Narrow" w:eastAsiaTheme="minorEastAsia" w:hAnsi="Arial Narrow" w:cs="Arial Narrow"/>
                <w:color w:val="000000"/>
                <w:sz w:val="20"/>
              </w:rPr>
              <w:t>e</w:t>
            </w:r>
          </w:p>
          <w:p w:rsidR="00E66C12" w:rsidRPr="003E1FA0" w:rsidRDefault="00E66C12" w:rsidP="00E66C12">
            <w:pPr>
              <w:widowControl w:val="0"/>
              <w:autoSpaceDE w:val="0"/>
              <w:autoSpaceDN w:val="0"/>
              <w:adjustRightInd w:val="0"/>
              <w:ind w:left="228"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w:t>
            </w:r>
            <w:proofErr w:type="spellStart"/>
            <w:r w:rsidRPr="003E1FA0">
              <w:rPr>
                <w:rFonts w:ascii="Arial Narrow" w:eastAsiaTheme="minorEastAsia" w:hAnsi="Arial Narrow" w:cs="Arial Narrow"/>
                <w:color w:val="000000"/>
                <w:sz w:val="20"/>
              </w:rPr>
              <w:t>Anaes</w:t>
            </w:r>
            <w:proofErr w:type="spellEnd"/>
            <w:r w:rsidRPr="003E1FA0">
              <w:rPr>
                <w:rFonts w:ascii="Arial Narrow" w:eastAsiaTheme="minorEastAsia" w:hAnsi="Arial Narrow" w:cs="Arial Narrow"/>
                <w:color w:val="000000"/>
                <w:sz w:val="20"/>
              </w:rPr>
              <w:t>.)</w:t>
            </w:r>
          </w:p>
          <w:p w:rsidR="00E66C12" w:rsidRPr="003E1FA0" w:rsidRDefault="00E66C12" w:rsidP="00E66C12">
            <w:pPr>
              <w:widowControl w:val="0"/>
              <w:tabs>
                <w:tab w:val="left" w:pos="1660"/>
              </w:tabs>
              <w:autoSpaceDE w:val="0"/>
              <w:autoSpaceDN w:val="0"/>
              <w:adjustRightInd w:val="0"/>
              <w:ind w:left="228" w:right="4275"/>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Fee: $600.00</w:t>
            </w:r>
            <w:r w:rsidRPr="003E1FA0">
              <w:rPr>
                <w:rFonts w:ascii="Arial Narrow" w:eastAsiaTheme="minorEastAsia" w:hAnsi="Arial Narrow" w:cs="Arial Narrow"/>
                <w:color w:val="000000"/>
                <w:sz w:val="20"/>
              </w:rPr>
              <w:tab/>
              <w:t>Benefit: 7</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xml:space="preserve">= </w:t>
            </w:r>
            <w:r w:rsidRPr="003E1FA0">
              <w:rPr>
                <w:rFonts w:ascii="Arial Narrow" w:eastAsiaTheme="minorEastAsia" w:hAnsi="Arial Narrow" w:cs="Arial Narrow"/>
                <w:color w:val="000000"/>
                <w:spacing w:val="1"/>
                <w:sz w:val="20"/>
              </w:rPr>
              <w:t>$</w:t>
            </w:r>
            <w:r w:rsidRPr="003E1FA0">
              <w:rPr>
                <w:rFonts w:ascii="Arial Narrow" w:eastAsiaTheme="minorEastAsia" w:hAnsi="Arial Narrow" w:cs="Arial Narrow"/>
                <w:color w:val="000000"/>
                <w:sz w:val="20"/>
              </w:rPr>
              <w:t>450.00</w:t>
            </w:r>
            <w:r w:rsidRPr="003E1FA0">
              <w:rPr>
                <w:rFonts w:ascii="Arial Narrow" w:eastAsiaTheme="minorEastAsia" w:hAnsi="Arial Narrow" w:cs="Arial Narrow"/>
                <w:color w:val="000000"/>
                <w:sz w:val="20"/>
              </w:rPr>
              <w:tab/>
              <w:t>8</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$526.30 (See para DIL,</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DIQ of explanatory notes to this</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Category)</w:t>
            </w:r>
          </w:p>
        </w:tc>
      </w:tr>
    </w:tbl>
    <w:p w:rsidR="00E66C12" w:rsidRDefault="00E66C12" w:rsidP="0004730F">
      <w:pPr>
        <w:widowControl w:val="0"/>
        <w:autoSpaceDE w:val="0"/>
        <w:autoSpaceDN w:val="0"/>
        <w:adjustRightInd w:val="0"/>
        <w:spacing w:before="22"/>
        <w:ind w:right="57"/>
        <w:rPr>
          <w:rFonts w:eastAsiaTheme="minorEastAsia"/>
          <w:color w:val="000000"/>
          <w:szCs w:val="24"/>
        </w:rPr>
      </w:pPr>
      <w:r w:rsidRPr="003E1FA0">
        <w:rPr>
          <w:rFonts w:eastAsiaTheme="minorEastAsia"/>
          <w:color w:val="000000"/>
          <w:szCs w:val="24"/>
        </w:rPr>
        <w:t>The</w:t>
      </w:r>
      <w:r w:rsidRPr="003E1FA0">
        <w:rPr>
          <w:rFonts w:eastAsiaTheme="minorEastAsia"/>
          <w:color w:val="000000"/>
          <w:spacing w:val="5"/>
          <w:szCs w:val="24"/>
        </w:rPr>
        <w:t xml:space="preserve"> </w:t>
      </w:r>
      <w:r>
        <w:rPr>
          <w:rFonts w:eastAsiaTheme="minorEastAsia"/>
          <w:color w:val="000000"/>
          <w:szCs w:val="24"/>
        </w:rPr>
        <w:t>application</w:t>
      </w:r>
      <w:r w:rsidRPr="003E1FA0">
        <w:rPr>
          <w:rFonts w:eastAsiaTheme="minorEastAsia"/>
          <w:color w:val="000000"/>
          <w:szCs w:val="24"/>
        </w:rPr>
        <w:t xml:space="preserve"> further</w:t>
      </w:r>
      <w:r w:rsidRPr="003E1FA0">
        <w:rPr>
          <w:rFonts w:eastAsiaTheme="minorEastAsia"/>
          <w:color w:val="000000"/>
          <w:spacing w:val="2"/>
          <w:szCs w:val="24"/>
        </w:rPr>
        <w:t xml:space="preserve"> </w:t>
      </w:r>
      <w:r w:rsidRPr="003E1FA0">
        <w:rPr>
          <w:rFonts w:eastAsiaTheme="minorEastAsia"/>
          <w:color w:val="000000"/>
          <w:szCs w:val="24"/>
        </w:rPr>
        <w:t>propos</w:t>
      </w:r>
      <w:r w:rsidR="00B018FC">
        <w:rPr>
          <w:rFonts w:eastAsiaTheme="minorEastAsia"/>
          <w:color w:val="000000"/>
          <w:szCs w:val="24"/>
        </w:rPr>
        <w:t>ed</w:t>
      </w:r>
      <w:r w:rsidRPr="003E1FA0">
        <w:rPr>
          <w:rFonts w:eastAsiaTheme="minorEastAsia"/>
          <w:color w:val="000000"/>
          <w:szCs w:val="24"/>
        </w:rPr>
        <w:t xml:space="preserve"> a</w:t>
      </w:r>
      <w:r w:rsidRPr="003E1FA0">
        <w:rPr>
          <w:rFonts w:eastAsiaTheme="minorEastAsia"/>
          <w:color w:val="000000"/>
          <w:spacing w:val="8"/>
          <w:szCs w:val="24"/>
        </w:rPr>
        <w:t xml:space="preserve"> </w:t>
      </w:r>
      <w:r w:rsidRPr="003E1FA0">
        <w:rPr>
          <w:rFonts w:eastAsiaTheme="minorEastAsia"/>
          <w:color w:val="000000"/>
          <w:szCs w:val="24"/>
        </w:rPr>
        <w:t>new</w:t>
      </w:r>
      <w:r w:rsidRPr="003E1FA0">
        <w:rPr>
          <w:rFonts w:eastAsiaTheme="minorEastAsia"/>
          <w:color w:val="000000"/>
          <w:spacing w:val="6"/>
          <w:szCs w:val="24"/>
        </w:rPr>
        <w:t xml:space="preserve"> </w:t>
      </w:r>
      <w:r w:rsidRPr="003E1FA0">
        <w:rPr>
          <w:rFonts w:eastAsiaTheme="minorEastAsia"/>
          <w:color w:val="000000"/>
          <w:szCs w:val="24"/>
        </w:rPr>
        <w:t>item</w:t>
      </w:r>
      <w:r w:rsidRPr="003E1FA0">
        <w:rPr>
          <w:rFonts w:eastAsiaTheme="minorEastAsia"/>
          <w:color w:val="000000"/>
          <w:spacing w:val="6"/>
          <w:szCs w:val="24"/>
        </w:rPr>
        <w:t xml:space="preserve"> </w:t>
      </w:r>
      <w:r w:rsidRPr="003E1FA0">
        <w:rPr>
          <w:rFonts w:eastAsiaTheme="minorEastAsia"/>
          <w:color w:val="000000"/>
          <w:szCs w:val="24"/>
        </w:rPr>
        <w:t>which</w:t>
      </w:r>
      <w:r w:rsidRPr="003E1FA0">
        <w:rPr>
          <w:rFonts w:eastAsiaTheme="minorEastAsia"/>
          <w:color w:val="000000"/>
          <w:spacing w:val="3"/>
          <w:szCs w:val="24"/>
        </w:rPr>
        <w:t xml:space="preserve"> </w:t>
      </w:r>
      <w:r w:rsidRPr="003E1FA0">
        <w:rPr>
          <w:rFonts w:eastAsiaTheme="minorEastAsia"/>
          <w:color w:val="000000"/>
          <w:szCs w:val="24"/>
        </w:rPr>
        <w:t>will</w:t>
      </w:r>
      <w:r w:rsidRPr="003E1FA0">
        <w:rPr>
          <w:rFonts w:eastAsiaTheme="minorEastAsia"/>
          <w:color w:val="000000"/>
          <w:spacing w:val="7"/>
          <w:szCs w:val="24"/>
        </w:rPr>
        <w:t xml:space="preserve"> </w:t>
      </w:r>
      <w:r w:rsidRPr="003E1FA0">
        <w:rPr>
          <w:rFonts w:eastAsiaTheme="minorEastAsia"/>
          <w:color w:val="000000"/>
          <w:szCs w:val="24"/>
        </w:rPr>
        <w:t>provide</w:t>
      </w:r>
      <w:r w:rsidRPr="003E1FA0">
        <w:rPr>
          <w:rFonts w:eastAsiaTheme="minorEastAsia"/>
          <w:color w:val="000000"/>
          <w:spacing w:val="2"/>
          <w:szCs w:val="24"/>
        </w:rPr>
        <w:t xml:space="preserve"> </w:t>
      </w:r>
      <w:r w:rsidRPr="003E1FA0">
        <w:rPr>
          <w:rFonts w:eastAsiaTheme="minorEastAsia"/>
          <w:color w:val="000000"/>
          <w:szCs w:val="24"/>
        </w:rPr>
        <w:t>acce</w:t>
      </w:r>
      <w:r w:rsidRPr="003E1FA0">
        <w:rPr>
          <w:rFonts w:eastAsiaTheme="minorEastAsia"/>
          <w:color w:val="000000"/>
          <w:spacing w:val="1"/>
          <w:szCs w:val="24"/>
        </w:rPr>
        <w:t>s</w:t>
      </w:r>
      <w:r w:rsidRPr="003E1FA0">
        <w:rPr>
          <w:rFonts w:eastAsiaTheme="minorEastAsia"/>
          <w:color w:val="000000"/>
          <w:szCs w:val="24"/>
        </w:rPr>
        <w:t>s</w:t>
      </w:r>
      <w:r w:rsidRPr="003E1FA0">
        <w:rPr>
          <w:rFonts w:eastAsiaTheme="minorEastAsia"/>
          <w:color w:val="000000"/>
          <w:spacing w:val="2"/>
          <w:szCs w:val="24"/>
        </w:rPr>
        <w:t xml:space="preserve"> </w:t>
      </w:r>
      <w:r w:rsidRPr="003E1FA0">
        <w:rPr>
          <w:rFonts w:eastAsiaTheme="minorEastAsia"/>
          <w:color w:val="000000"/>
          <w:szCs w:val="24"/>
        </w:rPr>
        <w:t>to</w:t>
      </w:r>
      <w:r w:rsidRPr="003E1FA0">
        <w:rPr>
          <w:rFonts w:eastAsiaTheme="minorEastAsia"/>
          <w:color w:val="000000"/>
          <w:spacing w:val="7"/>
          <w:szCs w:val="24"/>
        </w:rPr>
        <w:t xml:space="preserve"> </w:t>
      </w:r>
      <w:r w:rsidRPr="003E1FA0">
        <w:rPr>
          <w:rFonts w:eastAsiaTheme="minorEastAsia"/>
          <w:color w:val="000000"/>
          <w:szCs w:val="24"/>
        </w:rPr>
        <w:t>CTC</w:t>
      </w:r>
      <w:r w:rsidRPr="003E1FA0">
        <w:rPr>
          <w:rFonts w:eastAsiaTheme="minorEastAsia"/>
          <w:color w:val="000000"/>
          <w:spacing w:val="5"/>
          <w:szCs w:val="24"/>
        </w:rPr>
        <w:t xml:space="preserve"> </w:t>
      </w:r>
      <w:r w:rsidRPr="003E1FA0">
        <w:rPr>
          <w:rFonts w:eastAsiaTheme="minorEastAsia"/>
          <w:color w:val="000000"/>
          <w:szCs w:val="24"/>
        </w:rPr>
        <w:t>for</w:t>
      </w:r>
      <w:r w:rsidRPr="003E1FA0">
        <w:rPr>
          <w:rFonts w:eastAsiaTheme="minorEastAsia"/>
          <w:color w:val="000000"/>
          <w:spacing w:val="6"/>
          <w:szCs w:val="24"/>
        </w:rPr>
        <w:t xml:space="preserve"> </w:t>
      </w:r>
      <w:r w:rsidRPr="003E1FA0">
        <w:rPr>
          <w:rFonts w:eastAsiaTheme="minorEastAsia"/>
          <w:color w:val="000000"/>
          <w:szCs w:val="24"/>
        </w:rPr>
        <w:t>pat</w:t>
      </w:r>
      <w:r w:rsidRPr="003E1FA0">
        <w:rPr>
          <w:rFonts w:eastAsiaTheme="minorEastAsia"/>
          <w:color w:val="000000"/>
          <w:spacing w:val="2"/>
          <w:szCs w:val="24"/>
        </w:rPr>
        <w:t>i</w:t>
      </w:r>
      <w:r w:rsidRPr="003E1FA0">
        <w:rPr>
          <w:rFonts w:eastAsiaTheme="minorEastAsia"/>
          <w:color w:val="000000"/>
          <w:szCs w:val="24"/>
        </w:rPr>
        <w:t>ents with</w:t>
      </w:r>
      <w:r w:rsidRPr="003E1FA0">
        <w:rPr>
          <w:rFonts w:eastAsiaTheme="minorEastAsia"/>
          <w:color w:val="000000"/>
          <w:spacing w:val="8"/>
          <w:szCs w:val="24"/>
        </w:rPr>
        <w:t xml:space="preserve"> </w:t>
      </w:r>
      <w:r w:rsidRPr="003E1FA0">
        <w:rPr>
          <w:rFonts w:eastAsiaTheme="minorEastAsia"/>
          <w:color w:val="000000"/>
          <w:szCs w:val="24"/>
        </w:rPr>
        <w:t>limited</w:t>
      </w:r>
      <w:r w:rsidRPr="003E1FA0">
        <w:rPr>
          <w:rFonts w:eastAsiaTheme="minorEastAsia"/>
          <w:color w:val="000000"/>
          <w:spacing w:val="6"/>
          <w:szCs w:val="24"/>
        </w:rPr>
        <w:t xml:space="preserve"> </w:t>
      </w:r>
      <w:r w:rsidRPr="003E1FA0">
        <w:rPr>
          <w:rFonts w:eastAsiaTheme="minorEastAsia"/>
          <w:color w:val="000000"/>
          <w:szCs w:val="24"/>
        </w:rPr>
        <w:t>access</w:t>
      </w:r>
      <w:r w:rsidRPr="003E1FA0">
        <w:rPr>
          <w:rFonts w:eastAsiaTheme="minorEastAsia"/>
          <w:color w:val="000000"/>
          <w:spacing w:val="5"/>
          <w:szCs w:val="24"/>
        </w:rPr>
        <w:t xml:space="preserve"> </w:t>
      </w:r>
      <w:r w:rsidRPr="003E1FA0">
        <w:rPr>
          <w:rFonts w:eastAsiaTheme="minorEastAsia"/>
          <w:color w:val="000000"/>
          <w:szCs w:val="24"/>
        </w:rPr>
        <w:t>to</w:t>
      </w:r>
      <w:r w:rsidRPr="003E1FA0">
        <w:rPr>
          <w:rFonts w:eastAsiaTheme="minorEastAsia"/>
          <w:color w:val="000000"/>
          <w:spacing w:val="11"/>
          <w:szCs w:val="24"/>
        </w:rPr>
        <w:t xml:space="preserve"> </w:t>
      </w:r>
      <w:r w:rsidRPr="003E1FA0">
        <w:rPr>
          <w:rFonts w:eastAsiaTheme="minorEastAsia"/>
          <w:color w:val="000000"/>
          <w:szCs w:val="24"/>
        </w:rPr>
        <w:t>co</w:t>
      </w:r>
      <w:r w:rsidRPr="003E1FA0">
        <w:rPr>
          <w:rFonts w:eastAsiaTheme="minorEastAsia"/>
          <w:color w:val="000000"/>
          <w:spacing w:val="1"/>
          <w:szCs w:val="24"/>
        </w:rPr>
        <w:t>l</w:t>
      </w:r>
      <w:r w:rsidRPr="003E1FA0">
        <w:rPr>
          <w:rFonts w:eastAsiaTheme="minorEastAsia"/>
          <w:color w:val="000000"/>
          <w:szCs w:val="24"/>
        </w:rPr>
        <w:t>ono</w:t>
      </w:r>
      <w:r w:rsidRPr="003E1FA0">
        <w:rPr>
          <w:rFonts w:eastAsiaTheme="minorEastAsia"/>
          <w:color w:val="000000"/>
          <w:spacing w:val="2"/>
          <w:szCs w:val="24"/>
        </w:rPr>
        <w:t>s</w:t>
      </w:r>
      <w:r w:rsidRPr="003E1FA0">
        <w:rPr>
          <w:rFonts w:eastAsiaTheme="minorEastAsia"/>
          <w:color w:val="000000"/>
          <w:spacing w:val="-1"/>
          <w:szCs w:val="24"/>
        </w:rPr>
        <w:t>c</w:t>
      </w:r>
      <w:r w:rsidRPr="003E1FA0">
        <w:rPr>
          <w:rFonts w:eastAsiaTheme="minorEastAsia"/>
          <w:color w:val="000000"/>
          <w:szCs w:val="24"/>
        </w:rPr>
        <w:t>opy, part</w:t>
      </w:r>
      <w:r w:rsidRPr="003E1FA0">
        <w:rPr>
          <w:rFonts w:eastAsiaTheme="minorEastAsia"/>
          <w:color w:val="000000"/>
          <w:spacing w:val="1"/>
          <w:szCs w:val="24"/>
        </w:rPr>
        <w:t>i</w:t>
      </w:r>
      <w:r w:rsidRPr="003E1FA0">
        <w:rPr>
          <w:rFonts w:eastAsiaTheme="minorEastAsia"/>
          <w:color w:val="000000"/>
          <w:spacing w:val="-1"/>
          <w:szCs w:val="24"/>
        </w:rPr>
        <w:t>c</w:t>
      </w:r>
      <w:r w:rsidRPr="003E1FA0">
        <w:rPr>
          <w:rFonts w:eastAsiaTheme="minorEastAsia"/>
          <w:color w:val="000000"/>
          <w:szCs w:val="24"/>
        </w:rPr>
        <w:t>ular</w:t>
      </w:r>
      <w:r w:rsidRPr="003E1FA0">
        <w:rPr>
          <w:rFonts w:eastAsiaTheme="minorEastAsia"/>
          <w:color w:val="000000"/>
          <w:spacing w:val="2"/>
          <w:szCs w:val="24"/>
        </w:rPr>
        <w:t>l</w:t>
      </w:r>
      <w:r w:rsidRPr="003E1FA0">
        <w:rPr>
          <w:rFonts w:eastAsiaTheme="minorEastAsia"/>
          <w:color w:val="000000"/>
          <w:szCs w:val="24"/>
        </w:rPr>
        <w:t>y</w:t>
      </w:r>
      <w:r w:rsidRPr="003E1FA0">
        <w:rPr>
          <w:rFonts w:eastAsiaTheme="minorEastAsia"/>
          <w:color w:val="000000"/>
          <w:spacing w:val="1"/>
          <w:szCs w:val="24"/>
        </w:rPr>
        <w:t xml:space="preserve"> </w:t>
      </w:r>
      <w:r w:rsidRPr="003E1FA0">
        <w:rPr>
          <w:rFonts w:eastAsiaTheme="minorEastAsia"/>
          <w:color w:val="000000"/>
          <w:szCs w:val="24"/>
        </w:rPr>
        <w:t>those</w:t>
      </w:r>
      <w:r w:rsidRPr="003E1FA0">
        <w:rPr>
          <w:rFonts w:eastAsiaTheme="minorEastAsia"/>
          <w:color w:val="000000"/>
          <w:spacing w:val="6"/>
          <w:szCs w:val="24"/>
        </w:rPr>
        <w:t xml:space="preserve"> </w:t>
      </w:r>
      <w:r w:rsidRPr="003E1FA0">
        <w:rPr>
          <w:rFonts w:eastAsiaTheme="minorEastAsia"/>
          <w:color w:val="000000"/>
          <w:szCs w:val="24"/>
        </w:rPr>
        <w:t>in</w:t>
      </w:r>
      <w:r w:rsidRPr="003E1FA0">
        <w:rPr>
          <w:rFonts w:eastAsiaTheme="minorEastAsia"/>
          <w:color w:val="000000"/>
          <w:spacing w:val="12"/>
          <w:szCs w:val="24"/>
        </w:rPr>
        <w:t xml:space="preserve"> </w:t>
      </w:r>
      <w:r w:rsidRPr="003E1FA0">
        <w:rPr>
          <w:rFonts w:eastAsiaTheme="minorEastAsia"/>
          <w:color w:val="000000"/>
          <w:szCs w:val="24"/>
        </w:rPr>
        <w:t>rural</w:t>
      </w:r>
      <w:r w:rsidRPr="003E1FA0">
        <w:rPr>
          <w:rFonts w:eastAsiaTheme="minorEastAsia"/>
          <w:color w:val="000000"/>
          <w:spacing w:val="8"/>
          <w:szCs w:val="24"/>
        </w:rPr>
        <w:t xml:space="preserve"> </w:t>
      </w:r>
      <w:r w:rsidRPr="003E1FA0">
        <w:rPr>
          <w:rFonts w:eastAsiaTheme="minorEastAsia"/>
          <w:color w:val="000000"/>
          <w:szCs w:val="24"/>
        </w:rPr>
        <w:t>and</w:t>
      </w:r>
      <w:r w:rsidRPr="003E1FA0">
        <w:rPr>
          <w:rFonts w:eastAsiaTheme="minorEastAsia"/>
          <w:color w:val="000000"/>
          <w:spacing w:val="9"/>
          <w:szCs w:val="24"/>
        </w:rPr>
        <w:t xml:space="preserve"> </w:t>
      </w:r>
      <w:r w:rsidRPr="003E1FA0">
        <w:rPr>
          <w:rFonts w:eastAsiaTheme="minorEastAsia"/>
          <w:color w:val="000000"/>
          <w:spacing w:val="1"/>
          <w:szCs w:val="24"/>
        </w:rPr>
        <w:t>r</w:t>
      </w:r>
      <w:r w:rsidRPr="003E1FA0">
        <w:rPr>
          <w:rFonts w:eastAsiaTheme="minorEastAsia"/>
          <w:color w:val="000000"/>
          <w:szCs w:val="24"/>
        </w:rPr>
        <w:t>egio</w:t>
      </w:r>
      <w:r w:rsidRPr="003E1FA0">
        <w:rPr>
          <w:rFonts w:eastAsiaTheme="minorEastAsia"/>
          <w:color w:val="000000"/>
          <w:spacing w:val="1"/>
          <w:szCs w:val="24"/>
        </w:rPr>
        <w:t>n</w:t>
      </w:r>
      <w:r w:rsidRPr="003E1FA0">
        <w:rPr>
          <w:rFonts w:eastAsiaTheme="minorEastAsia"/>
          <w:color w:val="000000"/>
          <w:szCs w:val="24"/>
        </w:rPr>
        <w:t>al</w:t>
      </w:r>
      <w:r w:rsidRPr="003E1FA0">
        <w:rPr>
          <w:rFonts w:eastAsiaTheme="minorEastAsia"/>
          <w:color w:val="000000"/>
          <w:spacing w:val="5"/>
          <w:szCs w:val="24"/>
        </w:rPr>
        <w:t xml:space="preserve"> </w:t>
      </w:r>
      <w:r w:rsidRPr="003E1FA0">
        <w:rPr>
          <w:rFonts w:eastAsiaTheme="minorEastAsia"/>
          <w:color w:val="000000"/>
          <w:szCs w:val="24"/>
        </w:rPr>
        <w:t>areas.</w:t>
      </w:r>
      <w:r w:rsidRPr="003E1FA0">
        <w:rPr>
          <w:rFonts w:eastAsiaTheme="minorEastAsia"/>
          <w:color w:val="000000"/>
          <w:spacing w:val="6"/>
          <w:szCs w:val="24"/>
        </w:rPr>
        <w:t xml:space="preserve"> </w:t>
      </w:r>
      <w:r w:rsidRPr="003E1FA0">
        <w:rPr>
          <w:rFonts w:eastAsiaTheme="minorEastAsia"/>
          <w:color w:val="000000"/>
          <w:szCs w:val="24"/>
        </w:rPr>
        <w:t>It</w:t>
      </w:r>
      <w:r w:rsidRPr="003E1FA0">
        <w:rPr>
          <w:rFonts w:eastAsiaTheme="minorEastAsia"/>
          <w:color w:val="000000"/>
          <w:spacing w:val="10"/>
          <w:szCs w:val="24"/>
        </w:rPr>
        <w:t xml:space="preserve"> </w:t>
      </w:r>
      <w:r w:rsidRPr="003E1FA0">
        <w:rPr>
          <w:rFonts w:eastAsiaTheme="minorEastAsia"/>
          <w:color w:val="000000"/>
          <w:szCs w:val="24"/>
        </w:rPr>
        <w:t>is expected that</w:t>
      </w:r>
      <w:r w:rsidRPr="003E1FA0">
        <w:rPr>
          <w:rFonts w:eastAsiaTheme="minorEastAsia"/>
          <w:color w:val="000000"/>
          <w:spacing w:val="4"/>
          <w:szCs w:val="24"/>
        </w:rPr>
        <w:t xml:space="preserve"> </w:t>
      </w:r>
      <w:r w:rsidRPr="003E1FA0">
        <w:rPr>
          <w:rFonts w:eastAsiaTheme="minorEastAsia"/>
          <w:color w:val="000000"/>
          <w:szCs w:val="24"/>
        </w:rPr>
        <w:t xml:space="preserve">patients </w:t>
      </w:r>
      <w:r w:rsidRPr="003E1FA0">
        <w:rPr>
          <w:rFonts w:eastAsiaTheme="minorEastAsia"/>
          <w:color w:val="000000"/>
          <w:spacing w:val="2"/>
          <w:szCs w:val="24"/>
        </w:rPr>
        <w:t>i</w:t>
      </w:r>
      <w:r w:rsidRPr="003E1FA0">
        <w:rPr>
          <w:rFonts w:eastAsiaTheme="minorEastAsia"/>
          <w:color w:val="000000"/>
          <w:szCs w:val="24"/>
        </w:rPr>
        <w:t>n</w:t>
      </w:r>
      <w:r w:rsidRPr="003E1FA0">
        <w:rPr>
          <w:rFonts w:eastAsiaTheme="minorEastAsia"/>
          <w:color w:val="000000"/>
          <w:spacing w:val="6"/>
          <w:szCs w:val="24"/>
        </w:rPr>
        <w:t xml:space="preserve"> </w:t>
      </w:r>
      <w:r w:rsidRPr="003E1FA0">
        <w:rPr>
          <w:rFonts w:eastAsiaTheme="minorEastAsia"/>
          <w:color w:val="000000"/>
          <w:szCs w:val="24"/>
        </w:rPr>
        <w:t>re</w:t>
      </w:r>
      <w:r w:rsidRPr="003E1FA0">
        <w:rPr>
          <w:rFonts w:eastAsiaTheme="minorEastAsia"/>
          <w:color w:val="000000"/>
          <w:spacing w:val="1"/>
          <w:szCs w:val="24"/>
        </w:rPr>
        <w:t>m</w:t>
      </w:r>
      <w:r w:rsidRPr="003E1FA0">
        <w:rPr>
          <w:rFonts w:eastAsiaTheme="minorEastAsia"/>
          <w:color w:val="000000"/>
          <w:spacing w:val="-1"/>
          <w:szCs w:val="24"/>
        </w:rPr>
        <w:t>o</w:t>
      </w:r>
      <w:r w:rsidRPr="003E1FA0">
        <w:rPr>
          <w:rFonts w:eastAsiaTheme="minorEastAsia"/>
          <w:color w:val="000000"/>
          <w:szCs w:val="24"/>
        </w:rPr>
        <w:t>te</w:t>
      </w:r>
      <w:r w:rsidRPr="003E1FA0">
        <w:rPr>
          <w:rFonts w:eastAsiaTheme="minorEastAsia"/>
          <w:color w:val="000000"/>
          <w:spacing w:val="1"/>
          <w:szCs w:val="24"/>
        </w:rPr>
        <w:t xml:space="preserve"> </w:t>
      </w:r>
      <w:r w:rsidRPr="003E1FA0">
        <w:rPr>
          <w:rFonts w:eastAsiaTheme="minorEastAsia"/>
          <w:color w:val="000000"/>
          <w:szCs w:val="24"/>
        </w:rPr>
        <w:t>or</w:t>
      </w:r>
      <w:r w:rsidRPr="003E1FA0">
        <w:rPr>
          <w:rFonts w:eastAsiaTheme="minorEastAsia"/>
          <w:color w:val="000000"/>
          <w:spacing w:val="6"/>
          <w:szCs w:val="24"/>
        </w:rPr>
        <w:t xml:space="preserve"> </w:t>
      </w:r>
      <w:r w:rsidRPr="003E1FA0">
        <w:rPr>
          <w:rFonts w:eastAsiaTheme="minorEastAsia"/>
          <w:color w:val="000000"/>
          <w:szCs w:val="24"/>
        </w:rPr>
        <w:t>rural</w:t>
      </w:r>
      <w:r w:rsidRPr="003E1FA0">
        <w:rPr>
          <w:rFonts w:eastAsiaTheme="minorEastAsia"/>
          <w:color w:val="000000"/>
          <w:spacing w:val="4"/>
          <w:szCs w:val="24"/>
        </w:rPr>
        <w:t xml:space="preserve"> </w:t>
      </w:r>
      <w:r w:rsidRPr="003E1FA0">
        <w:rPr>
          <w:rFonts w:eastAsiaTheme="minorEastAsia"/>
          <w:color w:val="000000"/>
          <w:szCs w:val="24"/>
        </w:rPr>
        <w:t>areas</w:t>
      </w:r>
      <w:r w:rsidRPr="003E1FA0">
        <w:rPr>
          <w:rFonts w:eastAsiaTheme="minorEastAsia"/>
          <w:color w:val="000000"/>
          <w:spacing w:val="3"/>
          <w:szCs w:val="24"/>
        </w:rPr>
        <w:t xml:space="preserve"> </w:t>
      </w:r>
      <w:r w:rsidRPr="003E1FA0">
        <w:rPr>
          <w:rFonts w:eastAsiaTheme="minorEastAsia"/>
          <w:color w:val="000000"/>
          <w:szCs w:val="24"/>
        </w:rPr>
        <w:t>are</w:t>
      </w:r>
      <w:r w:rsidRPr="003E1FA0">
        <w:rPr>
          <w:rFonts w:eastAsiaTheme="minorEastAsia"/>
          <w:color w:val="000000"/>
          <w:spacing w:val="5"/>
          <w:szCs w:val="24"/>
        </w:rPr>
        <w:t xml:space="preserve"> </w:t>
      </w:r>
      <w:r w:rsidRPr="003E1FA0">
        <w:rPr>
          <w:rFonts w:eastAsiaTheme="minorEastAsia"/>
          <w:color w:val="000000"/>
          <w:szCs w:val="24"/>
        </w:rPr>
        <w:t>more</w:t>
      </w:r>
      <w:r w:rsidRPr="003E1FA0">
        <w:rPr>
          <w:rFonts w:eastAsiaTheme="minorEastAsia"/>
          <w:color w:val="000000"/>
          <w:spacing w:val="3"/>
          <w:szCs w:val="24"/>
        </w:rPr>
        <w:t xml:space="preserve"> </w:t>
      </w:r>
      <w:r w:rsidRPr="003E1FA0">
        <w:rPr>
          <w:rFonts w:eastAsiaTheme="minorEastAsia"/>
          <w:color w:val="000000"/>
          <w:szCs w:val="24"/>
        </w:rPr>
        <w:t>l</w:t>
      </w:r>
      <w:r w:rsidRPr="003E1FA0">
        <w:rPr>
          <w:rFonts w:eastAsiaTheme="minorEastAsia"/>
          <w:color w:val="000000"/>
          <w:spacing w:val="2"/>
          <w:szCs w:val="24"/>
        </w:rPr>
        <w:t>i</w:t>
      </w:r>
      <w:r w:rsidRPr="003E1FA0">
        <w:rPr>
          <w:rFonts w:eastAsiaTheme="minorEastAsia"/>
          <w:color w:val="000000"/>
          <w:szCs w:val="24"/>
        </w:rPr>
        <w:t>k</w:t>
      </w:r>
      <w:r w:rsidRPr="003E1FA0">
        <w:rPr>
          <w:rFonts w:eastAsiaTheme="minorEastAsia"/>
          <w:color w:val="000000"/>
          <w:spacing w:val="-1"/>
          <w:szCs w:val="24"/>
        </w:rPr>
        <w:t>e</w:t>
      </w:r>
      <w:r w:rsidRPr="003E1FA0">
        <w:rPr>
          <w:rFonts w:eastAsiaTheme="minorEastAsia"/>
          <w:color w:val="000000"/>
          <w:szCs w:val="24"/>
        </w:rPr>
        <w:t>ly</w:t>
      </w:r>
      <w:r w:rsidRPr="003E1FA0">
        <w:rPr>
          <w:rFonts w:eastAsiaTheme="minorEastAsia"/>
          <w:color w:val="000000"/>
          <w:spacing w:val="4"/>
          <w:szCs w:val="24"/>
        </w:rPr>
        <w:t xml:space="preserve"> </w:t>
      </w:r>
      <w:r w:rsidRPr="003E1FA0">
        <w:rPr>
          <w:rFonts w:eastAsiaTheme="minorEastAsia"/>
          <w:color w:val="000000"/>
          <w:szCs w:val="24"/>
        </w:rPr>
        <w:t>to</w:t>
      </w:r>
      <w:r w:rsidRPr="003E1FA0">
        <w:rPr>
          <w:rFonts w:eastAsiaTheme="minorEastAsia"/>
          <w:color w:val="000000"/>
          <w:spacing w:val="6"/>
          <w:szCs w:val="24"/>
        </w:rPr>
        <w:t xml:space="preserve"> </w:t>
      </w:r>
      <w:r w:rsidRPr="003E1FA0">
        <w:rPr>
          <w:rFonts w:eastAsiaTheme="minorEastAsia"/>
          <w:color w:val="000000"/>
          <w:szCs w:val="24"/>
        </w:rPr>
        <w:t>have</w:t>
      </w:r>
      <w:r w:rsidRPr="003E1FA0">
        <w:rPr>
          <w:rFonts w:eastAsiaTheme="minorEastAsia"/>
          <w:color w:val="000000"/>
          <w:spacing w:val="3"/>
          <w:szCs w:val="24"/>
        </w:rPr>
        <w:t xml:space="preserve"> </w:t>
      </w:r>
      <w:r w:rsidRPr="003E1FA0">
        <w:rPr>
          <w:rFonts w:eastAsiaTheme="minorEastAsia"/>
          <w:color w:val="000000"/>
          <w:szCs w:val="24"/>
        </w:rPr>
        <w:t>access</w:t>
      </w:r>
      <w:r w:rsidRPr="003E1FA0">
        <w:rPr>
          <w:rFonts w:eastAsiaTheme="minorEastAsia"/>
          <w:color w:val="000000"/>
          <w:spacing w:val="1"/>
          <w:szCs w:val="24"/>
        </w:rPr>
        <w:t xml:space="preserve"> </w:t>
      </w:r>
      <w:r w:rsidRPr="003E1FA0">
        <w:rPr>
          <w:rFonts w:eastAsiaTheme="minorEastAsia"/>
          <w:color w:val="000000"/>
          <w:szCs w:val="24"/>
        </w:rPr>
        <w:t>to</w:t>
      </w:r>
      <w:r w:rsidRPr="003E1FA0">
        <w:rPr>
          <w:rFonts w:eastAsiaTheme="minorEastAsia"/>
          <w:color w:val="000000"/>
          <w:spacing w:val="7"/>
          <w:szCs w:val="24"/>
        </w:rPr>
        <w:t xml:space="preserve"> </w:t>
      </w:r>
      <w:r w:rsidRPr="003E1FA0">
        <w:rPr>
          <w:rFonts w:eastAsiaTheme="minorEastAsia"/>
          <w:color w:val="000000"/>
          <w:szCs w:val="24"/>
        </w:rPr>
        <w:t>facilit</w:t>
      </w:r>
      <w:r w:rsidRPr="003E1FA0">
        <w:rPr>
          <w:rFonts w:eastAsiaTheme="minorEastAsia"/>
          <w:color w:val="000000"/>
          <w:spacing w:val="2"/>
          <w:szCs w:val="24"/>
        </w:rPr>
        <w:t>i</w:t>
      </w:r>
      <w:r w:rsidRPr="003E1FA0">
        <w:rPr>
          <w:rFonts w:eastAsiaTheme="minorEastAsia"/>
          <w:color w:val="000000"/>
          <w:szCs w:val="24"/>
        </w:rPr>
        <w:t>es which</w:t>
      </w:r>
      <w:r w:rsidRPr="003E1FA0">
        <w:rPr>
          <w:rFonts w:eastAsiaTheme="minorEastAsia"/>
          <w:color w:val="000000"/>
          <w:spacing w:val="32"/>
          <w:szCs w:val="24"/>
        </w:rPr>
        <w:t xml:space="preserve"> </w:t>
      </w:r>
      <w:r w:rsidRPr="003E1FA0">
        <w:rPr>
          <w:rFonts w:eastAsiaTheme="minorEastAsia"/>
          <w:color w:val="000000"/>
          <w:szCs w:val="24"/>
        </w:rPr>
        <w:t>prov</w:t>
      </w:r>
      <w:r w:rsidRPr="003E1FA0">
        <w:rPr>
          <w:rFonts w:eastAsiaTheme="minorEastAsia"/>
          <w:color w:val="000000"/>
          <w:spacing w:val="2"/>
          <w:szCs w:val="24"/>
        </w:rPr>
        <w:t>i</w:t>
      </w:r>
      <w:r w:rsidRPr="003E1FA0">
        <w:rPr>
          <w:rFonts w:eastAsiaTheme="minorEastAsia"/>
          <w:color w:val="000000"/>
          <w:szCs w:val="24"/>
        </w:rPr>
        <w:t>de</w:t>
      </w:r>
      <w:r w:rsidRPr="003E1FA0">
        <w:rPr>
          <w:rFonts w:eastAsiaTheme="minorEastAsia"/>
          <w:color w:val="000000"/>
          <w:spacing w:val="31"/>
          <w:szCs w:val="24"/>
        </w:rPr>
        <w:t xml:space="preserve"> </w:t>
      </w:r>
      <w:r w:rsidRPr="003E1FA0">
        <w:rPr>
          <w:rFonts w:eastAsiaTheme="minorEastAsia"/>
          <w:color w:val="000000"/>
          <w:szCs w:val="24"/>
        </w:rPr>
        <w:t>CTC</w:t>
      </w:r>
      <w:r w:rsidRPr="003E1FA0">
        <w:rPr>
          <w:rFonts w:eastAsiaTheme="minorEastAsia"/>
          <w:color w:val="000000"/>
          <w:spacing w:val="36"/>
          <w:szCs w:val="24"/>
        </w:rPr>
        <w:t xml:space="preserve"> </w:t>
      </w:r>
      <w:r w:rsidRPr="003E1FA0">
        <w:rPr>
          <w:rFonts w:eastAsiaTheme="minorEastAsia"/>
          <w:color w:val="000000"/>
          <w:szCs w:val="24"/>
        </w:rPr>
        <w:t>than</w:t>
      </w:r>
      <w:r w:rsidRPr="003E1FA0">
        <w:rPr>
          <w:rFonts w:eastAsiaTheme="minorEastAsia"/>
          <w:color w:val="000000"/>
          <w:spacing w:val="34"/>
          <w:szCs w:val="24"/>
        </w:rPr>
        <w:t xml:space="preserve"> </w:t>
      </w:r>
      <w:r w:rsidRPr="003E1FA0">
        <w:rPr>
          <w:rFonts w:eastAsiaTheme="minorEastAsia"/>
          <w:color w:val="000000"/>
          <w:szCs w:val="24"/>
        </w:rPr>
        <w:t>tho</w:t>
      </w:r>
      <w:r w:rsidRPr="003E1FA0">
        <w:rPr>
          <w:rFonts w:eastAsiaTheme="minorEastAsia"/>
          <w:color w:val="000000"/>
          <w:spacing w:val="2"/>
          <w:szCs w:val="24"/>
        </w:rPr>
        <w:t>s</w:t>
      </w:r>
      <w:r w:rsidRPr="003E1FA0">
        <w:rPr>
          <w:rFonts w:eastAsiaTheme="minorEastAsia"/>
          <w:color w:val="000000"/>
          <w:szCs w:val="24"/>
        </w:rPr>
        <w:t>e</w:t>
      </w:r>
      <w:r w:rsidRPr="003E1FA0">
        <w:rPr>
          <w:rFonts w:eastAsiaTheme="minorEastAsia"/>
          <w:color w:val="000000"/>
          <w:spacing w:val="33"/>
          <w:szCs w:val="24"/>
        </w:rPr>
        <w:t xml:space="preserve"> </w:t>
      </w:r>
      <w:r w:rsidRPr="003E1FA0">
        <w:rPr>
          <w:rFonts w:eastAsiaTheme="minorEastAsia"/>
          <w:color w:val="000000"/>
          <w:szCs w:val="24"/>
        </w:rPr>
        <w:t>wh</w:t>
      </w:r>
      <w:r w:rsidRPr="003E1FA0">
        <w:rPr>
          <w:rFonts w:eastAsiaTheme="minorEastAsia"/>
          <w:color w:val="000000"/>
          <w:spacing w:val="2"/>
          <w:szCs w:val="24"/>
        </w:rPr>
        <w:t>i</w:t>
      </w:r>
      <w:r w:rsidRPr="003E1FA0">
        <w:rPr>
          <w:rFonts w:eastAsiaTheme="minorEastAsia"/>
          <w:color w:val="000000"/>
          <w:spacing w:val="-1"/>
          <w:szCs w:val="24"/>
        </w:rPr>
        <w:t>c</w:t>
      </w:r>
      <w:r w:rsidRPr="003E1FA0">
        <w:rPr>
          <w:rFonts w:eastAsiaTheme="minorEastAsia"/>
          <w:color w:val="000000"/>
          <w:szCs w:val="24"/>
        </w:rPr>
        <w:t>h</w:t>
      </w:r>
      <w:r w:rsidRPr="003E1FA0">
        <w:rPr>
          <w:rFonts w:eastAsiaTheme="minorEastAsia"/>
          <w:color w:val="000000"/>
          <w:spacing w:val="32"/>
          <w:szCs w:val="24"/>
        </w:rPr>
        <w:t xml:space="preserve"> </w:t>
      </w:r>
      <w:r w:rsidRPr="003E1FA0">
        <w:rPr>
          <w:rFonts w:eastAsiaTheme="minorEastAsia"/>
          <w:color w:val="000000"/>
          <w:szCs w:val="24"/>
        </w:rPr>
        <w:t>provide</w:t>
      </w:r>
      <w:r w:rsidRPr="003E1FA0">
        <w:rPr>
          <w:rFonts w:eastAsiaTheme="minorEastAsia"/>
          <w:color w:val="000000"/>
          <w:spacing w:val="32"/>
          <w:szCs w:val="24"/>
        </w:rPr>
        <w:t xml:space="preserve"> </w:t>
      </w:r>
      <w:r w:rsidRPr="003E1FA0">
        <w:rPr>
          <w:rFonts w:eastAsiaTheme="minorEastAsia"/>
          <w:color w:val="000000"/>
          <w:szCs w:val="24"/>
        </w:rPr>
        <w:t>co</w:t>
      </w:r>
      <w:r w:rsidRPr="003E1FA0">
        <w:rPr>
          <w:rFonts w:eastAsiaTheme="minorEastAsia"/>
          <w:color w:val="000000"/>
          <w:spacing w:val="2"/>
          <w:szCs w:val="24"/>
        </w:rPr>
        <w:t>l</w:t>
      </w:r>
      <w:r w:rsidRPr="003E1FA0">
        <w:rPr>
          <w:rFonts w:eastAsiaTheme="minorEastAsia"/>
          <w:color w:val="000000"/>
          <w:szCs w:val="24"/>
        </w:rPr>
        <w:t>ono</w:t>
      </w:r>
      <w:r w:rsidRPr="003E1FA0">
        <w:rPr>
          <w:rFonts w:eastAsiaTheme="minorEastAsia"/>
          <w:color w:val="000000"/>
          <w:spacing w:val="2"/>
          <w:szCs w:val="24"/>
        </w:rPr>
        <w:t>s</w:t>
      </w:r>
      <w:r w:rsidRPr="003E1FA0">
        <w:rPr>
          <w:rFonts w:eastAsiaTheme="minorEastAsia"/>
          <w:color w:val="000000"/>
          <w:spacing w:val="-1"/>
          <w:szCs w:val="24"/>
        </w:rPr>
        <w:t>c</w:t>
      </w:r>
      <w:r w:rsidRPr="003E1FA0">
        <w:rPr>
          <w:rFonts w:eastAsiaTheme="minorEastAsia"/>
          <w:color w:val="000000"/>
          <w:szCs w:val="24"/>
        </w:rPr>
        <w:t>opy.</w:t>
      </w:r>
      <w:r w:rsidRPr="003E1FA0">
        <w:rPr>
          <w:rFonts w:eastAsiaTheme="minorEastAsia"/>
          <w:color w:val="000000"/>
          <w:spacing w:val="25"/>
          <w:szCs w:val="24"/>
        </w:rPr>
        <w:t xml:space="preserve"> </w:t>
      </w:r>
      <w:r w:rsidRPr="003E1FA0">
        <w:rPr>
          <w:rFonts w:eastAsiaTheme="minorEastAsia"/>
          <w:color w:val="000000"/>
          <w:szCs w:val="24"/>
        </w:rPr>
        <w:t>This</w:t>
      </w:r>
      <w:r w:rsidRPr="003E1FA0">
        <w:rPr>
          <w:rFonts w:eastAsiaTheme="minorEastAsia"/>
          <w:color w:val="000000"/>
          <w:spacing w:val="34"/>
          <w:szCs w:val="24"/>
        </w:rPr>
        <w:t xml:space="preserve"> </w:t>
      </w:r>
      <w:r w:rsidRPr="003E1FA0">
        <w:rPr>
          <w:rFonts w:eastAsiaTheme="minorEastAsia"/>
          <w:color w:val="000000"/>
          <w:szCs w:val="24"/>
        </w:rPr>
        <w:t>new</w:t>
      </w:r>
      <w:r w:rsidRPr="003E1FA0">
        <w:rPr>
          <w:rFonts w:eastAsiaTheme="minorEastAsia"/>
          <w:color w:val="000000"/>
          <w:spacing w:val="35"/>
          <w:szCs w:val="24"/>
        </w:rPr>
        <w:t xml:space="preserve"> </w:t>
      </w:r>
      <w:r w:rsidRPr="003E1FA0">
        <w:rPr>
          <w:rFonts w:eastAsiaTheme="minorEastAsia"/>
          <w:color w:val="000000"/>
          <w:szCs w:val="24"/>
        </w:rPr>
        <w:t>item</w:t>
      </w:r>
      <w:r w:rsidRPr="003E1FA0">
        <w:rPr>
          <w:rFonts w:eastAsiaTheme="minorEastAsia"/>
          <w:color w:val="000000"/>
          <w:spacing w:val="34"/>
          <w:szCs w:val="24"/>
        </w:rPr>
        <w:t xml:space="preserve"> </w:t>
      </w:r>
      <w:r w:rsidRPr="003E1FA0">
        <w:rPr>
          <w:rFonts w:eastAsiaTheme="minorEastAsia"/>
          <w:color w:val="000000"/>
          <w:szCs w:val="24"/>
        </w:rPr>
        <w:t>is</w:t>
      </w:r>
      <w:r w:rsidRPr="003E1FA0">
        <w:rPr>
          <w:rFonts w:eastAsiaTheme="minorEastAsia"/>
          <w:color w:val="000000"/>
          <w:spacing w:val="36"/>
          <w:szCs w:val="24"/>
        </w:rPr>
        <w:t xml:space="preserve"> </w:t>
      </w:r>
      <w:r w:rsidRPr="003E1FA0">
        <w:rPr>
          <w:rFonts w:eastAsiaTheme="minorEastAsia"/>
          <w:color w:val="000000"/>
          <w:szCs w:val="24"/>
        </w:rPr>
        <w:t>de</w:t>
      </w:r>
      <w:r w:rsidRPr="003E1FA0">
        <w:rPr>
          <w:rFonts w:eastAsiaTheme="minorEastAsia"/>
          <w:color w:val="000000"/>
          <w:spacing w:val="2"/>
          <w:szCs w:val="24"/>
        </w:rPr>
        <w:t>s</w:t>
      </w:r>
      <w:r w:rsidRPr="003E1FA0">
        <w:rPr>
          <w:rFonts w:eastAsiaTheme="minorEastAsia"/>
          <w:color w:val="000000"/>
          <w:spacing w:val="1"/>
          <w:szCs w:val="24"/>
        </w:rPr>
        <w:t>c</w:t>
      </w:r>
      <w:r w:rsidRPr="003E1FA0">
        <w:rPr>
          <w:rFonts w:eastAsiaTheme="minorEastAsia"/>
          <w:color w:val="000000"/>
          <w:szCs w:val="24"/>
        </w:rPr>
        <w:t>ribed below:</w:t>
      </w:r>
    </w:p>
    <w:p w:rsidR="00E66C12" w:rsidRPr="003E1FA0" w:rsidRDefault="00E66C12" w:rsidP="00E66C12">
      <w:pPr>
        <w:widowControl w:val="0"/>
        <w:autoSpaceDE w:val="0"/>
        <w:autoSpaceDN w:val="0"/>
        <w:adjustRightInd w:val="0"/>
        <w:spacing w:before="120"/>
        <w:ind w:left="119" w:right="57"/>
        <w:jc w:val="both"/>
        <w:rPr>
          <w:rFonts w:ascii="Arial Narrow" w:eastAsiaTheme="minorEastAsia" w:hAnsi="Arial Narrow" w:cs="Arial Narrow"/>
          <w:b/>
          <w:bCs/>
          <w:color w:val="000000"/>
          <w:sz w:val="20"/>
        </w:rPr>
      </w:pPr>
      <w:r w:rsidRPr="003E1FA0">
        <w:rPr>
          <w:rFonts w:ascii="Arial Narrow" w:eastAsiaTheme="minorEastAsia" w:hAnsi="Arial Narrow" w:cs="Arial Narrow"/>
          <w:b/>
          <w:bCs/>
          <w:color w:val="000000"/>
          <w:sz w:val="20"/>
        </w:rPr>
        <w:t>Propos</w:t>
      </w:r>
      <w:r w:rsidRPr="003E1FA0">
        <w:rPr>
          <w:rFonts w:ascii="Arial Narrow" w:eastAsiaTheme="minorEastAsia" w:hAnsi="Arial Narrow" w:cs="Arial Narrow"/>
          <w:b/>
          <w:bCs/>
          <w:color w:val="000000"/>
          <w:spacing w:val="-1"/>
          <w:sz w:val="20"/>
        </w:rPr>
        <w:t>e</w:t>
      </w:r>
      <w:r w:rsidRPr="003E1FA0">
        <w:rPr>
          <w:rFonts w:ascii="Arial Narrow" w:eastAsiaTheme="minorEastAsia" w:hAnsi="Arial Narrow" w:cs="Arial Narrow"/>
          <w:b/>
          <w:bCs/>
          <w:color w:val="000000"/>
          <w:sz w:val="20"/>
        </w:rPr>
        <w:t>d n</w:t>
      </w:r>
      <w:r w:rsidRPr="003E1FA0">
        <w:rPr>
          <w:rFonts w:ascii="Arial Narrow" w:eastAsiaTheme="minorEastAsia" w:hAnsi="Arial Narrow" w:cs="Arial Narrow"/>
          <w:b/>
          <w:bCs/>
          <w:color w:val="000000"/>
          <w:spacing w:val="-1"/>
          <w:sz w:val="20"/>
        </w:rPr>
        <w:t>e</w:t>
      </w:r>
      <w:r w:rsidRPr="003E1FA0">
        <w:rPr>
          <w:rFonts w:ascii="Arial Narrow" w:eastAsiaTheme="minorEastAsia" w:hAnsi="Arial Narrow" w:cs="Arial Narrow"/>
          <w:b/>
          <w:bCs/>
          <w:color w:val="000000"/>
          <w:sz w:val="20"/>
        </w:rPr>
        <w:t>w</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MBS item</w:t>
      </w:r>
      <w:r w:rsidRPr="003E1FA0">
        <w:rPr>
          <w:rFonts w:ascii="Arial Narrow" w:eastAsiaTheme="minorEastAsia" w:hAnsi="Arial Narrow" w:cs="Arial Narrow"/>
          <w:b/>
          <w:bCs/>
          <w:color w:val="000000"/>
          <w:spacing w:val="-1"/>
          <w:sz w:val="20"/>
        </w:rPr>
        <w:t xml:space="preserve"> </w:t>
      </w:r>
      <w:r w:rsidRPr="003E1FA0">
        <w:rPr>
          <w:rFonts w:ascii="Arial Narrow" w:eastAsiaTheme="minorEastAsia" w:hAnsi="Arial Narrow" w:cs="Arial Narrow"/>
          <w:b/>
          <w:bCs/>
          <w:color w:val="000000"/>
          <w:sz w:val="20"/>
        </w:rPr>
        <w:t>des</w:t>
      </w:r>
      <w:r w:rsidRPr="003E1FA0">
        <w:rPr>
          <w:rFonts w:ascii="Arial Narrow" w:eastAsiaTheme="minorEastAsia" w:hAnsi="Arial Narrow" w:cs="Arial Narrow"/>
          <w:b/>
          <w:bCs/>
          <w:color w:val="000000"/>
          <w:spacing w:val="-1"/>
          <w:sz w:val="20"/>
        </w:rPr>
        <w:t>c</w:t>
      </w:r>
      <w:r w:rsidRPr="003E1FA0">
        <w:rPr>
          <w:rFonts w:ascii="Arial Narrow" w:eastAsiaTheme="minorEastAsia" w:hAnsi="Arial Narrow" w:cs="Arial Narrow"/>
          <w:b/>
          <w:bCs/>
          <w:color w:val="000000"/>
          <w:sz w:val="20"/>
        </w:rPr>
        <w:t>riptor</w:t>
      </w:r>
    </w:p>
    <w:tbl>
      <w:tblPr>
        <w:tblStyle w:val="TableGrid"/>
        <w:tblW w:w="0" w:type="auto"/>
        <w:tblInd w:w="120" w:type="dxa"/>
        <w:tblLook w:val="04A0" w:firstRow="1" w:lastRow="0" w:firstColumn="1" w:lastColumn="0" w:noHBand="0" w:noVBand="1"/>
        <w:tblCaption w:val="Table 8 Proposed new MBS item descriptor"/>
        <w:tblDescription w:val="Table 8 Proposed new MBS item descriptor"/>
      </w:tblPr>
      <w:tblGrid>
        <w:gridCol w:w="9496"/>
      </w:tblGrid>
      <w:tr w:rsidR="00E66C12" w:rsidRPr="003E1FA0" w:rsidTr="00E66C12">
        <w:trPr>
          <w:tblHeader/>
        </w:trPr>
        <w:tc>
          <w:tcPr>
            <w:tcW w:w="9496" w:type="dxa"/>
          </w:tcPr>
          <w:p w:rsidR="00E66C12" w:rsidRPr="003E1FA0" w:rsidRDefault="00E66C12" w:rsidP="00E66C12">
            <w:pPr>
              <w:widowControl w:val="0"/>
              <w:autoSpaceDE w:val="0"/>
              <w:autoSpaceDN w:val="0"/>
              <w:adjustRightInd w:val="0"/>
              <w:ind w:right="-20"/>
              <w:jc w:val="right"/>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Category 5 – Diagnostic Imagi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g Services</w:t>
            </w:r>
          </w:p>
        </w:tc>
      </w:tr>
      <w:tr w:rsidR="00E66C12" w:rsidRPr="003E1FA0" w:rsidTr="00E66C12">
        <w:tc>
          <w:tcPr>
            <w:tcW w:w="9496" w:type="dxa"/>
          </w:tcPr>
          <w:p w:rsidR="00E66C12" w:rsidRPr="003E1FA0" w:rsidRDefault="00E66C12" w:rsidP="00E66C12">
            <w:pPr>
              <w:widowControl w:val="0"/>
              <w:autoSpaceDE w:val="0"/>
              <w:autoSpaceDN w:val="0"/>
              <w:adjustRightInd w:val="0"/>
              <w:ind w:left="227" w:right="-20"/>
              <w:rPr>
                <w:rFonts w:ascii="Arial Narrow" w:eastAsiaTheme="minorEastAsia" w:hAnsi="Arial Narrow" w:cs="Arial Narrow"/>
                <w:color w:val="000000"/>
                <w:sz w:val="20"/>
              </w:rPr>
            </w:pPr>
            <w:r w:rsidRPr="003E1FA0">
              <w:rPr>
                <w:rFonts w:ascii="Arial Narrow" w:eastAsiaTheme="minorEastAsia" w:hAnsi="Arial Narrow" w:cs="Arial Narrow"/>
                <w:b/>
                <w:bCs/>
                <w:color w:val="000000"/>
                <w:position w:val="-1"/>
                <w:sz w:val="20"/>
              </w:rPr>
              <w:t>[it</w:t>
            </w:r>
            <w:r w:rsidRPr="003E1FA0">
              <w:rPr>
                <w:rFonts w:ascii="Arial Narrow" w:eastAsiaTheme="minorEastAsia" w:hAnsi="Arial Narrow" w:cs="Arial Narrow"/>
                <w:b/>
                <w:bCs/>
                <w:color w:val="000000"/>
                <w:spacing w:val="-1"/>
                <w:position w:val="-1"/>
                <w:sz w:val="20"/>
              </w:rPr>
              <w:t>e</w:t>
            </w:r>
            <w:r w:rsidRPr="003E1FA0">
              <w:rPr>
                <w:rFonts w:ascii="Arial Narrow" w:eastAsiaTheme="minorEastAsia" w:hAnsi="Arial Narrow" w:cs="Arial Narrow"/>
                <w:b/>
                <w:bCs/>
                <w:color w:val="000000"/>
                <w:position w:val="-1"/>
                <w:sz w:val="20"/>
              </w:rPr>
              <w:t xml:space="preserve">m </w:t>
            </w:r>
            <w:r w:rsidRPr="003E1FA0">
              <w:rPr>
                <w:rFonts w:ascii="Arial Narrow" w:eastAsiaTheme="minorEastAsia" w:hAnsi="Arial Narrow" w:cs="Arial Narrow"/>
                <w:b/>
                <w:bCs/>
                <w:color w:val="000000"/>
                <w:spacing w:val="-1"/>
                <w:position w:val="-1"/>
                <w:sz w:val="20"/>
              </w:rPr>
              <w:t>n</w:t>
            </w:r>
            <w:r w:rsidRPr="003E1FA0">
              <w:rPr>
                <w:rFonts w:ascii="Arial Narrow" w:eastAsiaTheme="minorEastAsia" w:hAnsi="Arial Narrow" w:cs="Arial Narrow"/>
                <w:b/>
                <w:bCs/>
                <w:color w:val="000000"/>
                <w:position w:val="-1"/>
                <w:sz w:val="20"/>
              </w:rPr>
              <w:t>u</w:t>
            </w:r>
            <w:r w:rsidRPr="003E1FA0">
              <w:rPr>
                <w:rFonts w:ascii="Arial Narrow" w:eastAsiaTheme="minorEastAsia" w:hAnsi="Arial Narrow" w:cs="Arial Narrow"/>
                <w:b/>
                <w:bCs/>
                <w:color w:val="000000"/>
                <w:spacing w:val="-1"/>
                <w:position w:val="-1"/>
                <w:sz w:val="20"/>
              </w:rPr>
              <w:t>m</w:t>
            </w:r>
            <w:r w:rsidRPr="003E1FA0">
              <w:rPr>
                <w:rFonts w:ascii="Arial Narrow" w:eastAsiaTheme="minorEastAsia" w:hAnsi="Arial Narrow" w:cs="Arial Narrow"/>
                <w:b/>
                <w:bCs/>
                <w:color w:val="000000"/>
                <w:position w:val="-1"/>
                <w:sz w:val="20"/>
              </w:rPr>
              <w:t>ber]</w:t>
            </w:r>
          </w:p>
          <w:p w:rsidR="00E66C12" w:rsidRPr="003E1FA0" w:rsidRDefault="00E66C12" w:rsidP="00E66C12">
            <w:pPr>
              <w:widowControl w:val="0"/>
              <w:autoSpaceDE w:val="0"/>
              <w:autoSpaceDN w:val="0"/>
              <w:adjustRightInd w:val="0"/>
              <w:ind w:left="227" w:right="64"/>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COMPUTED</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TOMOGRA</w:t>
            </w:r>
            <w:r w:rsidRPr="003E1FA0">
              <w:rPr>
                <w:rFonts w:ascii="Arial Narrow" w:eastAsiaTheme="minorEastAsia" w:hAnsi="Arial Narrow" w:cs="Arial Narrow"/>
                <w:color w:val="000000"/>
                <w:spacing w:val="-2"/>
                <w:sz w:val="20"/>
              </w:rPr>
              <w:t>P</w:t>
            </w:r>
            <w:r w:rsidRPr="003E1FA0">
              <w:rPr>
                <w:rFonts w:ascii="Arial Narrow" w:eastAsiaTheme="minorEastAsia" w:hAnsi="Arial Narrow" w:cs="Arial Narrow"/>
                <w:color w:val="000000"/>
                <w:sz w:val="20"/>
              </w:rPr>
              <w:t>HY</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OF</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CO</w:t>
            </w:r>
            <w:r w:rsidRPr="003E1FA0">
              <w:rPr>
                <w:rFonts w:ascii="Arial Narrow" w:eastAsiaTheme="minorEastAsia" w:hAnsi="Arial Narrow" w:cs="Arial Narrow"/>
                <w:color w:val="000000"/>
                <w:spacing w:val="-1"/>
                <w:sz w:val="20"/>
              </w:rPr>
              <w:t>L</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N</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f</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r</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exclusion</w:t>
            </w:r>
            <w:r w:rsidRPr="003E1FA0">
              <w:rPr>
                <w:rFonts w:ascii="Arial Narrow" w:eastAsiaTheme="minorEastAsia" w:hAnsi="Arial Narrow" w:cs="Arial Narrow"/>
                <w:color w:val="000000"/>
                <w:spacing w:val="19"/>
                <w:sz w:val="20"/>
              </w:rPr>
              <w:t xml:space="preserve"> </w:t>
            </w:r>
            <w:r w:rsidRPr="008402F2">
              <w:rPr>
                <w:rFonts w:ascii="Arial Narrow" w:eastAsiaTheme="minorEastAsia" w:hAnsi="Arial Narrow" w:cs="Arial Narrow"/>
                <w:color w:val="000000"/>
                <w:sz w:val="20"/>
              </w:rPr>
              <w:t>or</w:t>
            </w:r>
            <w:r w:rsidRPr="008402F2">
              <w:rPr>
                <w:rFonts w:ascii="Arial Narrow" w:eastAsiaTheme="minorEastAsia" w:hAnsi="Arial Narrow" w:cs="Arial Narrow"/>
                <w:color w:val="000000"/>
                <w:spacing w:val="19"/>
                <w:sz w:val="20"/>
              </w:rPr>
              <w:t xml:space="preserve"> </w:t>
            </w:r>
            <w:r w:rsidRPr="008402F2">
              <w:rPr>
                <w:rFonts w:ascii="Arial Narrow" w:eastAsiaTheme="minorEastAsia" w:hAnsi="Arial Narrow" w:cs="Arial Narrow"/>
                <w:color w:val="000000"/>
                <w:sz w:val="20"/>
              </w:rPr>
              <w:t>diagnosis</w:t>
            </w:r>
            <w:r w:rsidRPr="008402F2">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of</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c</w:t>
            </w:r>
            <w:r w:rsidRPr="003E1FA0">
              <w:rPr>
                <w:rFonts w:ascii="Arial Narrow" w:eastAsiaTheme="minorEastAsia" w:hAnsi="Arial Narrow" w:cs="Arial Narrow"/>
                <w:color w:val="000000"/>
                <w:spacing w:val="1"/>
                <w:sz w:val="20"/>
              </w:rPr>
              <w:t>o</w:t>
            </w:r>
            <w:r w:rsidRPr="003E1FA0">
              <w:rPr>
                <w:rFonts w:ascii="Arial Narrow" w:eastAsiaTheme="minorEastAsia" w:hAnsi="Arial Narrow" w:cs="Arial Narrow"/>
                <w:color w:val="000000"/>
                <w:sz w:val="20"/>
              </w:rPr>
              <w:t>lorectal</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neoplasia</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in</w:t>
            </w:r>
            <w:r w:rsidRPr="003E1FA0">
              <w:rPr>
                <w:rFonts w:ascii="Arial Narrow" w:eastAsiaTheme="minorEastAsia" w:hAnsi="Arial Narrow" w:cs="Arial Narrow"/>
                <w:color w:val="000000"/>
                <w:spacing w:val="20"/>
                <w:sz w:val="20"/>
              </w:rPr>
              <w:t xml:space="preserve"> </w:t>
            </w:r>
            <w:r w:rsidRPr="003E1FA0">
              <w:rPr>
                <w:rFonts w:ascii="Arial Narrow" w:eastAsiaTheme="minorEastAsia" w:hAnsi="Arial Narrow" w:cs="Arial Narrow"/>
                <w:color w:val="000000"/>
                <w:sz w:val="20"/>
              </w:rPr>
              <w:t>symptomatic</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or</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high</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risk patients if:</w:t>
            </w:r>
          </w:p>
          <w:p w:rsidR="00E66C12" w:rsidRPr="003E1FA0" w:rsidRDefault="00E66C12" w:rsidP="00E66C12">
            <w:pPr>
              <w:widowControl w:val="0"/>
              <w:autoSpaceDE w:val="0"/>
              <w:autoSpaceDN w:val="0"/>
              <w:adjustRightInd w:val="0"/>
              <w:ind w:left="227"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 xml:space="preserve">(a) </w:t>
            </w:r>
            <w:r w:rsidRPr="008402F2">
              <w:rPr>
                <w:rFonts w:ascii="Arial Narrow" w:eastAsiaTheme="minorEastAsia" w:hAnsi="Arial Narrow" w:cs="Arial Narrow"/>
                <w:color w:val="000000"/>
                <w:sz w:val="20"/>
              </w:rPr>
              <w:t>th</w:t>
            </w:r>
            <w:r w:rsidRPr="008402F2">
              <w:rPr>
                <w:rFonts w:ascii="Arial Narrow" w:eastAsiaTheme="minorEastAsia" w:hAnsi="Arial Narrow" w:cs="Arial Narrow"/>
                <w:color w:val="000000"/>
                <w:spacing w:val="-1"/>
                <w:sz w:val="20"/>
              </w:rPr>
              <w:t>e</w:t>
            </w:r>
            <w:r w:rsidRPr="008402F2">
              <w:rPr>
                <w:rFonts w:ascii="Arial Narrow" w:eastAsiaTheme="minorEastAsia" w:hAnsi="Arial Narrow" w:cs="Arial Narrow"/>
                <w:color w:val="000000"/>
                <w:spacing w:val="1"/>
                <w:sz w:val="20"/>
              </w:rPr>
              <w:t>r</w:t>
            </w:r>
            <w:r w:rsidRPr="008402F2">
              <w:rPr>
                <w:rFonts w:ascii="Arial Narrow" w:eastAsiaTheme="minorEastAsia" w:hAnsi="Arial Narrow" w:cs="Arial Narrow"/>
                <w:color w:val="000000"/>
                <w:sz w:val="20"/>
              </w:rPr>
              <w:t>e is limit</w:t>
            </w:r>
            <w:r w:rsidRPr="008402F2">
              <w:rPr>
                <w:rFonts w:ascii="Arial Narrow" w:eastAsiaTheme="minorEastAsia" w:hAnsi="Arial Narrow" w:cs="Arial Narrow"/>
                <w:color w:val="000000"/>
                <w:spacing w:val="1"/>
                <w:sz w:val="20"/>
              </w:rPr>
              <w:t>e</w:t>
            </w:r>
            <w:r w:rsidRPr="008402F2">
              <w:rPr>
                <w:rFonts w:ascii="Arial Narrow" w:eastAsiaTheme="minorEastAsia" w:hAnsi="Arial Narrow" w:cs="Arial Narrow"/>
                <w:color w:val="000000"/>
                <w:sz w:val="20"/>
              </w:rPr>
              <w:t>d access to</w:t>
            </w:r>
            <w:r w:rsidRPr="008402F2">
              <w:rPr>
                <w:rFonts w:ascii="Arial Narrow" w:eastAsiaTheme="minorEastAsia" w:hAnsi="Arial Narrow" w:cs="Arial Narrow"/>
                <w:color w:val="000000"/>
                <w:spacing w:val="1"/>
                <w:sz w:val="20"/>
              </w:rPr>
              <w:t xml:space="preserve"> </w:t>
            </w:r>
            <w:r w:rsidRPr="008402F2">
              <w:rPr>
                <w:rFonts w:ascii="Arial Narrow" w:eastAsiaTheme="minorEastAsia" w:hAnsi="Arial Narrow" w:cs="Arial Narrow"/>
                <w:color w:val="000000"/>
                <w:sz w:val="20"/>
              </w:rPr>
              <w:t>col</w:t>
            </w:r>
            <w:r w:rsidRPr="008402F2">
              <w:rPr>
                <w:rFonts w:ascii="Arial Narrow" w:eastAsiaTheme="minorEastAsia" w:hAnsi="Arial Narrow" w:cs="Arial Narrow"/>
                <w:color w:val="000000"/>
                <w:spacing w:val="1"/>
                <w:sz w:val="20"/>
              </w:rPr>
              <w:t>o</w:t>
            </w:r>
            <w:r w:rsidRPr="008402F2">
              <w:rPr>
                <w:rFonts w:ascii="Arial Narrow" w:eastAsiaTheme="minorEastAsia" w:hAnsi="Arial Narrow" w:cs="Arial Narrow"/>
                <w:color w:val="000000"/>
                <w:sz w:val="20"/>
              </w:rPr>
              <w:t>noscopy s</w:t>
            </w:r>
            <w:r w:rsidRPr="008402F2">
              <w:rPr>
                <w:rFonts w:ascii="Arial Narrow" w:eastAsiaTheme="minorEastAsia" w:hAnsi="Arial Narrow" w:cs="Arial Narrow"/>
                <w:color w:val="000000"/>
                <w:spacing w:val="1"/>
                <w:sz w:val="20"/>
              </w:rPr>
              <w:t>u</w:t>
            </w:r>
            <w:r w:rsidRPr="008402F2">
              <w:rPr>
                <w:rFonts w:ascii="Arial Narrow" w:eastAsiaTheme="minorEastAsia" w:hAnsi="Arial Narrow" w:cs="Arial Narrow"/>
                <w:color w:val="000000"/>
                <w:sz w:val="20"/>
              </w:rPr>
              <w:t>ch as to cause delay</w:t>
            </w:r>
            <w:r w:rsidRPr="008402F2">
              <w:rPr>
                <w:rFonts w:ascii="Arial Narrow" w:eastAsiaTheme="minorEastAsia" w:hAnsi="Arial Narrow" w:cs="Arial Narrow"/>
                <w:color w:val="000000"/>
                <w:spacing w:val="1"/>
                <w:sz w:val="20"/>
              </w:rPr>
              <w:t xml:space="preserve"> </w:t>
            </w:r>
            <w:r w:rsidRPr="008402F2">
              <w:rPr>
                <w:rFonts w:ascii="Arial Narrow" w:eastAsiaTheme="minorEastAsia" w:hAnsi="Arial Narrow" w:cs="Arial Narrow"/>
                <w:color w:val="000000"/>
                <w:sz w:val="20"/>
              </w:rPr>
              <w:t>in diagnosis</w:t>
            </w:r>
          </w:p>
          <w:p w:rsidR="00E66C12" w:rsidRDefault="00E66C12" w:rsidP="00E66C12">
            <w:pPr>
              <w:widowControl w:val="0"/>
              <w:autoSpaceDE w:val="0"/>
              <w:autoSpaceDN w:val="0"/>
              <w:adjustRightInd w:val="0"/>
              <w:ind w:left="227"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(b)</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the</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service</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must</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not</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be</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a</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service</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to</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which</w:t>
            </w:r>
            <w:r w:rsidRPr="003E1FA0">
              <w:rPr>
                <w:rFonts w:ascii="Arial Narrow" w:eastAsiaTheme="minorEastAsia" w:hAnsi="Arial Narrow" w:cs="Arial Narrow"/>
                <w:color w:val="000000"/>
                <w:spacing w:val="19"/>
                <w:sz w:val="20"/>
              </w:rPr>
              <w:t xml:space="preserve"> </w:t>
            </w:r>
            <w:r w:rsidRPr="003E1FA0">
              <w:rPr>
                <w:rFonts w:ascii="Arial Narrow" w:eastAsiaTheme="minorEastAsia" w:hAnsi="Arial Narrow" w:cs="Arial Narrow"/>
                <w:color w:val="000000"/>
                <w:sz w:val="20"/>
              </w:rPr>
              <w:t>item</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56301,</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56307,</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56401,</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56407,</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56409,</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56412,</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56501,</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56507,</w:t>
            </w:r>
            <w:r w:rsidRPr="003E1FA0">
              <w:rPr>
                <w:rFonts w:ascii="Arial Narrow" w:eastAsiaTheme="minorEastAsia" w:hAnsi="Arial Narrow" w:cs="Arial Narrow"/>
                <w:color w:val="000000"/>
                <w:spacing w:val="18"/>
                <w:sz w:val="20"/>
              </w:rPr>
              <w:t xml:space="preserve"> </w:t>
            </w:r>
            <w:r w:rsidRPr="003E1FA0">
              <w:rPr>
                <w:rFonts w:ascii="Arial Narrow" w:eastAsiaTheme="minorEastAsia" w:hAnsi="Arial Narrow" w:cs="Arial Narrow"/>
                <w:color w:val="000000"/>
                <w:sz w:val="20"/>
              </w:rPr>
              <w:t>568</w:t>
            </w:r>
            <w:r w:rsidRPr="003E1FA0">
              <w:rPr>
                <w:rFonts w:ascii="Arial Narrow" w:eastAsiaTheme="minorEastAsia" w:hAnsi="Arial Narrow" w:cs="Arial Narrow"/>
                <w:color w:val="000000"/>
                <w:spacing w:val="1"/>
                <w:sz w:val="20"/>
              </w:rPr>
              <w:t>01</w:t>
            </w:r>
            <w:r w:rsidRPr="003E1FA0">
              <w:rPr>
                <w:rFonts w:ascii="Arial Narrow" w:eastAsiaTheme="minorEastAsia" w:hAnsi="Arial Narrow" w:cs="Arial Narrow"/>
                <w:color w:val="000000"/>
                <w:sz w:val="20"/>
              </w:rPr>
              <w:t>,</w:t>
            </w:r>
            <w:r>
              <w:rPr>
                <w:rFonts w:ascii="Arial Narrow" w:eastAsiaTheme="minorEastAsia" w:hAnsi="Arial Narrow" w:cs="Arial Narrow"/>
                <w:color w:val="000000"/>
                <w:sz w:val="20"/>
              </w:rPr>
              <w:t xml:space="preserve"> </w:t>
            </w:r>
            <w:r w:rsidRPr="003E1FA0">
              <w:rPr>
                <w:rFonts w:ascii="Arial Narrow" w:eastAsiaTheme="minorEastAsia" w:hAnsi="Arial Narrow" w:cs="Arial Narrow"/>
                <w:color w:val="000000"/>
                <w:sz w:val="20"/>
              </w:rPr>
              <w:t>56807 or 57001 applies (R)</w:t>
            </w:r>
          </w:p>
          <w:p w:rsidR="00E66C12" w:rsidRPr="003E1FA0" w:rsidRDefault="00E66C12" w:rsidP="00E66C12">
            <w:pPr>
              <w:widowControl w:val="0"/>
              <w:autoSpaceDE w:val="0"/>
              <w:autoSpaceDN w:val="0"/>
              <w:adjustRightInd w:val="0"/>
              <w:ind w:left="227"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(K) Bulk b</w:t>
            </w:r>
            <w:r w:rsidRPr="003E1FA0">
              <w:rPr>
                <w:rFonts w:ascii="Arial Narrow" w:eastAsiaTheme="minorEastAsia" w:hAnsi="Arial Narrow" w:cs="Arial Narrow"/>
                <w:color w:val="000000"/>
                <w:spacing w:val="1"/>
                <w:sz w:val="20"/>
              </w:rPr>
              <w:t>i</w:t>
            </w:r>
            <w:r w:rsidRPr="003E1FA0">
              <w:rPr>
                <w:rFonts w:ascii="Arial Narrow" w:eastAsiaTheme="minorEastAsia" w:hAnsi="Arial Narrow" w:cs="Arial Narrow"/>
                <w:color w:val="000000"/>
                <w:sz w:val="20"/>
              </w:rPr>
              <w:t>ll i</w:t>
            </w:r>
            <w:r w:rsidRPr="003E1FA0">
              <w:rPr>
                <w:rFonts w:ascii="Arial Narrow" w:eastAsiaTheme="minorEastAsia" w:hAnsi="Arial Narrow" w:cs="Arial Narrow"/>
                <w:color w:val="000000"/>
                <w:spacing w:val="1"/>
                <w:sz w:val="20"/>
              </w:rPr>
              <w:t>n</w:t>
            </w:r>
            <w:r w:rsidRPr="003E1FA0">
              <w:rPr>
                <w:rFonts w:ascii="Arial Narrow" w:eastAsiaTheme="minorEastAsia" w:hAnsi="Arial Narrow" w:cs="Arial Narrow"/>
                <w:color w:val="000000"/>
                <w:sz w:val="20"/>
              </w:rPr>
              <w:t>centi</w:t>
            </w:r>
            <w:r w:rsidRPr="003E1FA0">
              <w:rPr>
                <w:rFonts w:ascii="Arial Narrow" w:eastAsiaTheme="minorEastAsia" w:hAnsi="Arial Narrow" w:cs="Arial Narrow"/>
                <w:color w:val="000000"/>
                <w:spacing w:val="1"/>
                <w:sz w:val="20"/>
              </w:rPr>
              <w:t>v</w:t>
            </w:r>
            <w:r w:rsidRPr="003E1FA0">
              <w:rPr>
                <w:rFonts w:ascii="Arial Narrow" w:eastAsiaTheme="minorEastAsia" w:hAnsi="Arial Narrow" w:cs="Arial Narrow"/>
                <w:color w:val="000000"/>
                <w:sz w:val="20"/>
              </w:rPr>
              <w:t>e</w:t>
            </w:r>
          </w:p>
          <w:p w:rsidR="00E66C12" w:rsidRPr="003E1FA0" w:rsidRDefault="00E66C12" w:rsidP="00E66C12">
            <w:pPr>
              <w:widowControl w:val="0"/>
              <w:autoSpaceDE w:val="0"/>
              <w:autoSpaceDN w:val="0"/>
              <w:adjustRightInd w:val="0"/>
              <w:ind w:left="227" w:right="-20"/>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w:t>
            </w:r>
            <w:proofErr w:type="spellStart"/>
            <w:r w:rsidRPr="003E1FA0">
              <w:rPr>
                <w:rFonts w:ascii="Arial Narrow" w:eastAsiaTheme="minorEastAsia" w:hAnsi="Arial Narrow" w:cs="Arial Narrow"/>
                <w:color w:val="000000"/>
                <w:sz w:val="20"/>
              </w:rPr>
              <w:t>Anaes</w:t>
            </w:r>
            <w:proofErr w:type="spellEnd"/>
            <w:r w:rsidRPr="003E1FA0">
              <w:rPr>
                <w:rFonts w:ascii="Arial Narrow" w:eastAsiaTheme="minorEastAsia" w:hAnsi="Arial Narrow" w:cs="Arial Narrow"/>
                <w:color w:val="000000"/>
                <w:sz w:val="20"/>
              </w:rPr>
              <w:t>.)</w:t>
            </w:r>
          </w:p>
          <w:p w:rsidR="00E66C12" w:rsidRPr="003E1FA0" w:rsidRDefault="00E66C12" w:rsidP="00E66C12">
            <w:pPr>
              <w:widowControl w:val="0"/>
              <w:tabs>
                <w:tab w:val="left" w:pos="1660"/>
              </w:tabs>
              <w:autoSpaceDE w:val="0"/>
              <w:autoSpaceDN w:val="0"/>
              <w:adjustRightInd w:val="0"/>
              <w:ind w:left="227" w:right="4275"/>
              <w:rPr>
                <w:rFonts w:ascii="Arial Narrow" w:eastAsiaTheme="minorEastAsia" w:hAnsi="Arial Narrow" w:cs="Arial Narrow"/>
                <w:color w:val="000000"/>
                <w:sz w:val="20"/>
              </w:rPr>
            </w:pPr>
            <w:r w:rsidRPr="003E1FA0">
              <w:rPr>
                <w:rFonts w:ascii="Arial Narrow" w:eastAsiaTheme="minorEastAsia" w:hAnsi="Arial Narrow" w:cs="Arial Narrow"/>
                <w:color w:val="000000"/>
                <w:sz w:val="20"/>
              </w:rPr>
              <w:t>Fee: $600.00</w:t>
            </w:r>
            <w:r w:rsidRPr="003E1FA0">
              <w:rPr>
                <w:rFonts w:ascii="Arial Narrow" w:eastAsiaTheme="minorEastAsia" w:hAnsi="Arial Narrow" w:cs="Arial Narrow"/>
                <w:color w:val="000000"/>
                <w:sz w:val="20"/>
              </w:rPr>
              <w:tab/>
              <w:t>Benefit: 7</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xml:space="preserve">= </w:t>
            </w:r>
            <w:r w:rsidRPr="003E1FA0">
              <w:rPr>
                <w:rFonts w:ascii="Arial Narrow" w:eastAsiaTheme="minorEastAsia" w:hAnsi="Arial Narrow" w:cs="Arial Narrow"/>
                <w:color w:val="000000"/>
                <w:spacing w:val="1"/>
                <w:sz w:val="20"/>
              </w:rPr>
              <w:t>$</w:t>
            </w:r>
            <w:r w:rsidRPr="003E1FA0">
              <w:rPr>
                <w:rFonts w:ascii="Arial Narrow" w:eastAsiaTheme="minorEastAsia" w:hAnsi="Arial Narrow" w:cs="Arial Narrow"/>
                <w:color w:val="000000"/>
                <w:sz w:val="20"/>
              </w:rPr>
              <w:t>450.00</w:t>
            </w:r>
            <w:r w:rsidRPr="003E1FA0">
              <w:rPr>
                <w:rFonts w:ascii="Arial Narrow" w:eastAsiaTheme="minorEastAsia" w:hAnsi="Arial Narrow" w:cs="Arial Narrow"/>
                <w:color w:val="000000"/>
                <w:sz w:val="20"/>
              </w:rPr>
              <w:tab/>
              <w:t>8</w:t>
            </w:r>
            <w:r w:rsidRPr="003E1FA0">
              <w:rPr>
                <w:rFonts w:ascii="Arial Narrow" w:eastAsiaTheme="minorEastAsia" w:hAnsi="Arial Narrow" w:cs="Arial Narrow"/>
                <w:color w:val="000000"/>
                <w:spacing w:val="1"/>
                <w:sz w:val="20"/>
              </w:rPr>
              <w:t>5</w:t>
            </w:r>
            <w:r w:rsidRPr="003E1FA0">
              <w:rPr>
                <w:rFonts w:ascii="Arial Narrow" w:eastAsiaTheme="minorEastAsia" w:hAnsi="Arial Narrow" w:cs="Arial Narrow"/>
                <w:color w:val="000000"/>
                <w:sz w:val="20"/>
              </w:rPr>
              <w:t>%</w:t>
            </w:r>
            <w:r w:rsidRPr="003E1FA0">
              <w:rPr>
                <w:rFonts w:ascii="Arial Narrow" w:eastAsiaTheme="minorEastAsia" w:hAnsi="Arial Narrow" w:cs="Arial Narrow"/>
                <w:color w:val="000000"/>
                <w:spacing w:val="-2"/>
                <w:sz w:val="20"/>
              </w:rPr>
              <w:t xml:space="preserve"> </w:t>
            </w:r>
            <w:r w:rsidRPr="003E1FA0">
              <w:rPr>
                <w:rFonts w:ascii="Arial Narrow" w:eastAsiaTheme="minorEastAsia" w:hAnsi="Arial Narrow" w:cs="Arial Narrow"/>
                <w:color w:val="000000"/>
                <w:sz w:val="20"/>
              </w:rPr>
              <w:t>= $526.30 (See para DIL,</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DIQ of explanatory notes to this</w:t>
            </w:r>
            <w:r w:rsidRPr="003E1FA0">
              <w:rPr>
                <w:rFonts w:ascii="Arial Narrow" w:eastAsiaTheme="minorEastAsia" w:hAnsi="Arial Narrow" w:cs="Arial Narrow"/>
                <w:color w:val="000000"/>
                <w:spacing w:val="1"/>
                <w:sz w:val="20"/>
              </w:rPr>
              <w:t xml:space="preserve"> </w:t>
            </w:r>
            <w:r w:rsidRPr="003E1FA0">
              <w:rPr>
                <w:rFonts w:ascii="Arial Narrow" w:eastAsiaTheme="minorEastAsia" w:hAnsi="Arial Narrow" w:cs="Arial Narrow"/>
                <w:color w:val="000000"/>
                <w:sz w:val="20"/>
              </w:rPr>
              <w:t>Category)</w:t>
            </w:r>
          </w:p>
        </w:tc>
      </w:tr>
    </w:tbl>
    <w:p w:rsidR="00BC1364" w:rsidRDefault="00E66C12">
      <w:pPr>
        <w:tabs>
          <w:tab w:val="left" w:pos="720"/>
          <w:tab w:val="left" w:pos="1140"/>
        </w:tabs>
        <w:rPr>
          <w:szCs w:val="24"/>
        </w:rPr>
      </w:pPr>
      <w:r>
        <w:rPr>
          <w:szCs w:val="24"/>
        </w:rPr>
        <w:t>The MBS item descriptor</w:t>
      </w:r>
      <w:r w:rsidR="003C5C2B">
        <w:rPr>
          <w:szCs w:val="24"/>
        </w:rPr>
        <w:t>s</w:t>
      </w:r>
      <w:r>
        <w:rPr>
          <w:szCs w:val="24"/>
        </w:rPr>
        <w:t xml:space="preserve"> restrict CTC being performed with other CT items. </w:t>
      </w:r>
    </w:p>
    <w:p w:rsidR="00736A69" w:rsidRPr="00707064" w:rsidRDefault="00736A69">
      <w:pPr>
        <w:tabs>
          <w:tab w:val="left" w:pos="720"/>
          <w:tab w:val="left" w:pos="1140"/>
        </w:tabs>
        <w:rPr>
          <w:color w:val="0070C0"/>
          <w:szCs w:val="24"/>
        </w:rPr>
      </w:pPr>
    </w:p>
    <w:p w:rsidR="00BC1364" w:rsidRPr="007B32D1" w:rsidRDefault="00BC1364">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pPr>
        <w:rPr>
          <w:b/>
          <w:szCs w:val="24"/>
        </w:rPr>
      </w:pPr>
    </w:p>
    <w:p w:rsidR="005838E3" w:rsidRDefault="00E66C12" w:rsidP="0004730F">
      <w:pPr>
        <w:tabs>
          <w:tab w:val="left" w:pos="720"/>
          <w:tab w:val="left" w:pos="1140"/>
        </w:tabs>
        <w:rPr>
          <w:szCs w:val="24"/>
        </w:rPr>
      </w:pPr>
      <w:r>
        <w:rPr>
          <w:szCs w:val="24"/>
        </w:rPr>
        <w:lastRenderedPageBreak/>
        <w:t>Seven</w:t>
      </w:r>
      <w:r w:rsidRPr="00B11BAE">
        <w:rPr>
          <w:szCs w:val="24"/>
        </w:rPr>
        <w:t xml:space="preserve"> responses were received to the public consultation (one </w:t>
      </w:r>
      <w:r>
        <w:rPr>
          <w:szCs w:val="24"/>
        </w:rPr>
        <w:t>consumer body</w:t>
      </w:r>
      <w:r w:rsidRPr="00B11BAE">
        <w:rPr>
          <w:szCs w:val="24"/>
        </w:rPr>
        <w:t xml:space="preserve">; </w:t>
      </w:r>
      <w:r>
        <w:rPr>
          <w:szCs w:val="24"/>
        </w:rPr>
        <w:t>three specialists</w:t>
      </w:r>
      <w:r w:rsidRPr="00B11BAE">
        <w:rPr>
          <w:szCs w:val="24"/>
        </w:rPr>
        <w:t xml:space="preserve">; </w:t>
      </w:r>
      <w:r>
        <w:rPr>
          <w:szCs w:val="24"/>
        </w:rPr>
        <w:t>and two professional bodies</w:t>
      </w:r>
      <w:r w:rsidRPr="00B11BAE">
        <w:rPr>
          <w:szCs w:val="24"/>
        </w:rPr>
        <w:t>).</w:t>
      </w:r>
      <w:r>
        <w:rPr>
          <w:szCs w:val="24"/>
        </w:rPr>
        <w:t xml:space="preserve"> Feedback was</w:t>
      </w:r>
      <w:r w:rsidRPr="006033D4">
        <w:rPr>
          <w:szCs w:val="24"/>
        </w:rPr>
        <w:t xml:space="preserve"> generally supportive of </w:t>
      </w:r>
      <w:r>
        <w:rPr>
          <w:szCs w:val="24"/>
        </w:rPr>
        <w:t>the</w:t>
      </w:r>
      <w:r w:rsidRPr="006033D4">
        <w:rPr>
          <w:szCs w:val="24"/>
        </w:rPr>
        <w:t xml:space="preserve"> application</w:t>
      </w:r>
      <w:r>
        <w:rPr>
          <w:szCs w:val="24"/>
        </w:rPr>
        <w:t>, but noted that there is currently a long waiting list for colonoscopy.</w:t>
      </w:r>
      <w:r w:rsidR="005838E3" w:rsidDel="005838E3">
        <w:rPr>
          <w:szCs w:val="24"/>
        </w:rPr>
        <w:t xml:space="preserve"> </w:t>
      </w:r>
    </w:p>
    <w:p w:rsidR="005838E3" w:rsidRDefault="005838E3"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t>Professional body feedback supported the</w:t>
      </w:r>
      <w:r w:rsidRPr="008E09FC">
        <w:rPr>
          <w:szCs w:val="24"/>
        </w:rPr>
        <w:t xml:space="preserve"> removal of the “within 3 months” </w:t>
      </w:r>
      <w:r>
        <w:rPr>
          <w:szCs w:val="24"/>
        </w:rPr>
        <w:t xml:space="preserve">requirement </w:t>
      </w:r>
      <w:r w:rsidRPr="008E09FC">
        <w:rPr>
          <w:szCs w:val="24"/>
        </w:rPr>
        <w:t>from the item descriptor</w:t>
      </w:r>
      <w:r>
        <w:rPr>
          <w:szCs w:val="24"/>
        </w:rPr>
        <w:t xml:space="preserve"> as</w:t>
      </w:r>
      <w:r w:rsidRPr="008E09FC">
        <w:rPr>
          <w:szCs w:val="24"/>
        </w:rPr>
        <w:t xml:space="preserve"> patients who have had</w:t>
      </w:r>
      <w:r>
        <w:rPr>
          <w:szCs w:val="24"/>
        </w:rPr>
        <w:t xml:space="preserve"> an incomplete colonoscopy by a </w:t>
      </w:r>
      <w:r w:rsidRPr="008E09FC">
        <w:rPr>
          <w:szCs w:val="24"/>
        </w:rPr>
        <w:t xml:space="preserve">credentialed </w:t>
      </w:r>
      <w:proofErr w:type="spellStart"/>
      <w:r w:rsidRPr="008E09FC">
        <w:rPr>
          <w:szCs w:val="24"/>
        </w:rPr>
        <w:t>colonoscopist</w:t>
      </w:r>
      <w:proofErr w:type="spellEnd"/>
      <w:r w:rsidRPr="008E09FC">
        <w:rPr>
          <w:szCs w:val="24"/>
        </w:rPr>
        <w:t xml:space="preserve"> are likely to remain unsuitable for</w:t>
      </w:r>
      <w:r>
        <w:rPr>
          <w:szCs w:val="24"/>
        </w:rPr>
        <w:t xml:space="preserve"> optical colonoscopy (OC). Therefore, </w:t>
      </w:r>
      <w:r w:rsidRPr="008E09FC">
        <w:rPr>
          <w:szCs w:val="24"/>
        </w:rPr>
        <w:t xml:space="preserve">patients requiring regular </w:t>
      </w:r>
      <w:proofErr w:type="spellStart"/>
      <w:r w:rsidRPr="008E09FC">
        <w:rPr>
          <w:szCs w:val="24"/>
        </w:rPr>
        <w:t>colonoscopic</w:t>
      </w:r>
      <w:proofErr w:type="spellEnd"/>
      <w:r w:rsidRPr="008E09FC">
        <w:rPr>
          <w:szCs w:val="24"/>
        </w:rPr>
        <w:t xml:space="preserve"> surveillance for neoplasia should have access to CTC</w:t>
      </w:r>
      <w:r>
        <w:rPr>
          <w:szCs w:val="24"/>
        </w:rPr>
        <w:t>.  The professional body feedback also noted</w:t>
      </w:r>
      <w:r w:rsidRPr="008E09FC">
        <w:rPr>
          <w:szCs w:val="24"/>
        </w:rPr>
        <w:t xml:space="preserve"> that some patients undergoing colonoscopy with </w:t>
      </w:r>
      <w:r>
        <w:rPr>
          <w:szCs w:val="24"/>
        </w:rPr>
        <w:t xml:space="preserve">conscious sedation poorly tolerate the procedure.  </w:t>
      </w:r>
      <w:r w:rsidRPr="008E09FC">
        <w:rPr>
          <w:szCs w:val="24"/>
        </w:rPr>
        <w:t xml:space="preserve">However, </w:t>
      </w:r>
      <w:r>
        <w:rPr>
          <w:szCs w:val="24"/>
        </w:rPr>
        <w:t xml:space="preserve">they were concerned that large </w:t>
      </w:r>
      <w:r w:rsidRPr="008E09FC">
        <w:rPr>
          <w:szCs w:val="24"/>
        </w:rPr>
        <w:t>numbers of patients may be inappropriately deemed to “have t</w:t>
      </w:r>
      <w:r>
        <w:rPr>
          <w:szCs w:val="24"/>
        </w:rPr>
        <w:t xml:space="preserve">olerated colonoscopy poorly” in </w:t>
      </w:r>
      <w:r w:rsidRPr="008E09FC">
        <w:rPr>
          <w:szCs w:val="24"/>
        </w:rPr>
        <w:t xml:space="preserve">order to obtain access to CTC. </w:t>
      </w:r>
      <w:r>
        <w:rPr>
          <w:szCs w:val="24"/>
        </w:rPr>
        <w:t xml:space="preserve">The feedback </w:t>
      </w:r>
      <w:r w:rsidRPr="008E09FC">
        <w:rPr>
          <w:szCs w:val="24"/>
        </w:rPr>
        <w:t>argue</w:t>
      </w:r>
      <w:r>
        <w:rPr>
          <w:szCs w:val="24"/>
        </w:rPr>
        <w:t>d</w:t>
      </w:r>
      <w:r w:rsidRPr="008E09FC">
        <w:rPr>
          <w:szCs w:val="24"/>
        </w:rPr>
        <w:t xml:space="preserve"> that C</w:t>
      </w:r>
      <w:r>
        <w:rPr>
          <w:szCs w:val="24"/>
        </w:rPr>
        <w:t xml:space="preserve">TC should be reserved for those </w:t>
      </w:r>
      <w:r w:rsidRPr="008E09FC">
        <w:rPr>
          <w:szCs w:val="24"/>
        </w:rPr>
        <w:t>patients who have had previous incomplete colonoscopy – m</w:t>
      </w:r>
      <w:r>
        <w:rPr>
          <w:szCs w:val="24"/>
        </w:rPr>
        <w:t xml:space="preserve">any of these patients will have </w:t>
      </w:r>
      <w:r w:rsidRPr="008E09FC">
        <w:rPr>
          <w:szCs w:val="24"/>
        </w:rPr>
        <w:t xml:space="preserve">“tolerated colonoscopy poorly”. </w:t>
      </w:r>
      <w:r>
        <w:rPr>
          <w:szCs w:val="24"/>
        </w:rPr>
        <w:t xml:space="preserve"> </w:t>
      </w:r>
      <w:r w:rsidRPr="008E09FC">
        <w:rPr>
          <w:szCs w:val="24"/>
        </w:rPr>
        <w:t>Patients who have had unple</w:t>
      </w:r>
      <w:r>
        <w:rPr>
          <w:szCs w:val="24"/>
        </w:rPr>
        <w:t xml:space="preserve">asant experiences with complete </w:t>
      </w:r>
      <w:r w:rsidRPr="008E09FC">
        <w:rPr>
          <w:szCs w:val="24"/>
        </w:rPr>
        <w:t xml:space="preserve">colonoscopy could be offered </w:t>
      </w:r>
      <w:r>
        <w:rPr>
          <w:szCs w:val="24"/>
        </w:rPr>
        <w:t>OC</w:t>
      </w:r>
      <w:r w:rsidRPr="008E09FC">
        <w:rPr>
          <w:szCs w:val="24"/>
        </w:rPr>
        <w:t xml:space="preserve"> with general anaesthesia.</w:t>
      </w:r>
      <w:r>
        <w:rPr>
          <w:szCs w:val="24"/>
        </w:rPr>
        <w:t xml:space="preserve">  Concern was expressed that determination of a contraindication, an incomplete technically difficult or poorly tolerated procedure and</w:t>
      </w:r>
      <w:r w:rsidRPr="00641094">
        <w:t xml:space="preserve"> </w:t>
      </w:r>
      <w:r w:rsidRPr="00641094">
        <w:rPr>
          <w:szCs w:val="24"/>
        </w:rPr>
        <w:t>investiga</w:t>
      </w:r>
      <w:r>
        <w:rPr>
          <w:szCs w:val="24"/>
        </w:rPr>
        <w:t xml:space="preserve">tion of colorectal neoplasia in </w:t>
      </w:r>
      <w:r w:rsidRPr="00641094">
        <w:rPr>
          <w:szCs w:val="24"/>
        </w:rPr>
        <w:t>symptomatic patients where there is a limited availability to colonoscopy</w:t>
      </w:r>
      <w:r>
        <w:rPr>
          <w:szCs w:val="24"/>
        </w:rPr>
        <w:t xml:space="preserve"> should all be limited to an accredited </w:t>
      </w:r>
      <w:proofErr w:type="spellStart"/>
      <w:r>
        <w:rPr>
          <w:szCs w:val="24"/>
        </w:rPr>
        <w:t>colonoscopist</w:t>
      </w:r>
      <w:proofErr w:type="spellEnd"/>
      <w:r>
        <w:rPr>
          <w:szCs w:val="24"/>
        </w:rPr>
        <w:t>.</w:t>
      </w:r>
    </w:p>
    <w:p w:rsidR="003C5C2B" w:rsidRDefault="003C5C2B"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t xml:space="preserve">Feedback from the consumer body noted that this would address inequity of access between public and private patients as well as allow </w:t>
      </w:r>
      <w:r w:rsidRPr="001C4335">
        <w:rPr>
          <w:szCs w:val="24"/>
        </w:rPr>
        <w:t xml:space="preserve">people in rural or remote locations access </w:t>
      </w:r>
      <w:r>
        <w:rPr>
          <w:szCs w:val="24"/>
        </w:rPr>
        <w:t xml:space="preserve">to </w:t>
      </w:r>
      <w:r w:rsidRPr="001C4335">
        <w:rPr>
          <w:szCs w:val="24"/>
        </w:rPr>
        <w:t>a CTC closer to home</w:t>
      </w:r>
      <w:r>
        <w:rPr>
          <w:szCs w:val="24"/>
        </w:rPr>
        <w:t xml:space="preserve"> </w:t>
      </w:r>
      <w:r w:rsidRPr="001C4335">
        <w:rPr>
          <w:szCs w:val="24"/>
        </w:rPr>
        <w:t>and more readily than a colonoscopy</w:t>
      </w:r>
      <w:r>
        <w:rPr>
          <w:szCs w:val="24"/>
        </w:rPr>
        <w:t>.  It would also assist patients by r</w:t>
      </w:r>
      <w:r w:rsidRPr="001C4335">
        <w:rPr>
          <w:szCs w:val="24"/>
        </w:rPr>
        <w:t>educing delays in diagnosis</w:t>
      </w:r>
      <w:r>
        <w:rPr>
          <w:szCs w:val="24"/>
        </w:rPr>
        <w:t>,</w:t>
      </w:r>
      <w:r w:rsidRPr="001C4335">
        <w:rPr>
          <w:szCs w:val="24"/>
        </w:rPr>
        <w:t xml:space="preserve"> </w:t>
      </w:r>
      <w:r>
        <w:rPr>
          <w:szCs w:val="24"/>
        </w:rPr>
        <w:t>therefore</w:t>
      </w:r>
      <w:r w:rsidRPr="001C4335">
        <w:rPr>
          <w:szCs w:val="24"/>
        </w:rPr>
        <w:t xml:space="preserve"> patients and their</w:t>
      </w:r>
      <w:r>
        <w:rPr>
          <w:szCs w:val="24"/>
        </w:rPr>
        <w:t xml:space="preserve"> families would</w:t>
      </w:r>
      <w:r w:rsidRPr="001C4335">
        <w:rPr>
          <w:szCs w:val="24"/>
        </w:rPr>
        <w:t xml:space="preserve"> not have to go through </w:t>
      </w:r>
      <w:r>
        <w:rPr>
          <w:szCs w:val="24"/>
        </w:rPr>
        <w:t xml:space="preserve">the </w:t>
      </w:r>
      <w:r w:rsidRPr="001C4335">
        <w:rPr>
          <w:szCs w:val="24"/>
        </w:rPr>
        <w:t>prolonged anxiety of waiting to have symptoms</w:t>
      </w:r>
      <w:r>
        <w:rPr>
          <w:szCs w:val="24"/>
        </w:rPr>
        <w:t xml:space="preserve"> </w:t>
      </w:r>
      <w:r w:rsidRPr="001C4335">
        <w:rPr>
          <w:szCs w:val="24"/>
        </w:rPr>
        <w:t>investigated to find out if cancer is the cause for the symptoms</w:t>
      </w:r>
      <w:r>
        <w:rPr>
          <w:szCs w:val="24"/>
        </w:rPr>
        <w:t>.</w:t>
      </w:r>
    </w:p>
    <w:p w:rsidR="003C5C2B" w:rsidRDefault="003C5C2B"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t xml:space="preserve">Feedback from the specialists agreed that CTC is a less invasive procedure which would lead to earlier </w:t>
      </w:r>
      <w:r w:rsidRPr="001C4335">
        <w:rPr>
          <w:szCs w:val="24"/>
        </w:rPr>
        <w:t xml:space="preserve">diagnosis of bowel cancer and </w:t>
      </w:r>
      <w:r>
        <w:rPr>
          <w:szCs w:val="24"/>
        </w:rPr>
        <w:t xml:space="preserve">potentially </w:t>
      </w:r>
      <w:r w:rsidRPr="001C4335">
        <w:rPr>
          <w:szCs w:val="24"/>
        </w:rPr>
        <w:t>decrease waiting lists for investigation</w:t>
      </w:r>
      <w:r>
        <w:rPr>
          <w:szCs w:val="24"/>
        </w:rPr>
        <w:t xml:space="preserve"> at </w:t>
      </w:r>
      <w:r>
        <w:rPr>
          <w:rFonts w:eastAsiaTheme="minorHAnsi"/>
          <w:szCs w:val="24"/>
          <w:lang w:eastAsia="en-US"/>
        </w:rPr>
        <w:t>significantly less cost than a colonoscopy</w:t>
      </w:r>
      <w:r w:rsidRPr="001C4335">
        <w:rPr>
          <w:szCs w:val="24"/>
        </w:rPr>
        <w:t>.</w:t>
      </w:r>
    </w:p>
    <w:p w:rsidR="00E66C12" w:rsidRDefault="00E66C12" w:rsidP="00E66C12">
      <w:pPr>
        <w:tabs>
          <w:tab w:val="left" w:pos="720"/>
          <w:tab w:val="left" w:pos="1140"/>
        </w:tabs>
        <w:spacing w:before="120"/>
        <w:rPr>
          <w:szCs w:val="24"/>
        </w:rPr>
      </w:pPr>
    </w:p>
    <w:p w:rsidR="00E66C12" w:rsidRDefault="003C5C2B" w:rsidP="00E66C12">
      <w:pPr>
        <w:rPr>
          <w:szCs w:val="24"/>
        </w:rPr>
      </w:pPr>
      <w:r>
        <w:rPr>
          <w:szCs w:val="24"/>
        </w:rPr>
        <w:t>C</w:t>
      </w:r>
      <w:r w:rsidR="00E66C12">
        <w:rPr>
          <w:szCs w:val="24"/>
        </w:rPr>
        <w:t>onsumer representatives noted that there is limited access to the proposed intervention and that the treatment regime is disruptive and may incur travel and accommodation costs for the patient. Due to the travel costs, consumer representatives also noted that there would be a subsequent loss of productivity.</w:t>
      </w:r>
      <w:r>
        <w:rPr>
          <w:szCs w:val="24"/>
        </w:rPr>
        <w:t xml:space="preserve"> T</w:t>
      </w:r>
      <w:r w:rsidR="00E66C12">
        <w:rPr>
          <w:szCs w:val="24"/>
        </w:rPr>
        <w:t>he lack of evidence regarding comparators was unhelpful to consumers and their deliberation process. Consumer representatives also questioned whether consumers would have to repeat or combine treatments.</w:t>
      </w:r>
    </w:p>
    <w:p w:rsidR="00E66C12" w:rsidRDefault="00E66C12" w:rsidP="00E66C12">
      <w:pPr>
        <w:rPr>
          <w:szCs w:val="24"/>
        </w:rPr>
      </w:pPr>
    </w:p>
    <w:p w:rsidR="00E66C12" w:rsidRDefault="00E66C12" w:rsidP="00E66C12">
      <w:pPr>
        <w:rPr>
          <w:szCs w:val="24"/>
        </w:rPr>
      </w:pPr>
      <w:r>
        <w:rPr>
          <w:szCs w:val="24"/>
        </w:rPr>
        <w:t xml:space="preserve">Consumer representatives also noted that although the long term impact/benefit for consumers had been identified, they were concerned that the higher cost of the intervention when the </w:t>
      </w:r>
      <w:proofErr w:type="gramStart"/>
      <w:r>
        <w:rPr>
          <w:szCs w:val="24"/>
        </w:rPr>
        <w:t>cost of subsequent confirmatory investigations are</w:t>
      </w:r>
      <w:proofErr w:type="gramEnd"/>
      <w:r>
        <w:rPr>
          <w:szCs w:val="24"/>
        </w:rPr>
        <w:t xml:space="preserve"> included was not justified. </w:t>
      </w:r>
    </w:p>
    <w:p w:rsidR="00E66C12" w:rsidRDefault="00E66C12" w:rsidP="00E66C12">
      <w:pPr>
        <w:rPr>
          <w:szCs w:val="24"/>
        </w:rPr>
      </w:pPr>
    </w:p>
    <w:p w:rsidR="00E66C12" w:rsidRPr="001F36AE" w:rsidRDefault="00E66C12" w:rsidP="00E66C12">
      <w:pPr>
        <w:rPr>
          <w:szCs w:val="24"/>
        </w:rPr>
      </w:pPr>
      <w:r>
        <w:rPr>
          <w:szCs w:val="24"/>
        </w:rPr>
        <w:t xml:space="preserve">Consumer representatives also noted that the consumer impact should be balanced against the national screening program as this would be important for those with genetic links to colorectal cancer. </w:t>
      </w:r>
    </w:p>
    <w:p w:rsidR="00BC1364" w:rsidRPr="00707064" w:rsidRDefault="00BC1364" w:rsidP="00DD2858">
      <w:pPr>
        <w:rPr>
          <w:b/>
          <w:szCs w:val="24"/>
        </w:rPr>
      </w:pPr>
    </w:p>
    <w:p w:rsidR="00BC1364" w:rsidRDefault="00BC1364">
      <w:pPr>
        <w:pStyle w:val="Heading1"/>
        <w:numPr>
          <w:ilvl w:val="0"/>
          <w:numId w:val="23"/>
        </w:numPr>
        <w:ind w:hanging="720"/>
      </w:pPr>
      <w:r w:rsidRPr="00D90A38">
        <w:t>Proposed intervention’s place in clinical management</w:t>
      </w:r>
    </w:p>
    <w:p w:rsidR="00BC1364" w:rsidRDefault="00BC1364">
      <w:pPr>
        <w:rPr>
          <w:color w:val="3366FF"/>
          <w:szCs w:val="24"/>
        </w:rPr>
      </w:pPr>
    </w:p>
    <w:p w:rsidR="00DA194D" w:rsidRDefault="00DA194D" w:rsidP="0004730F">
      <w:pPr>
        <w:tabs>
          <w:tab w:val="left" w:pos="720"/>
          <w:tab w:val="left" w:pos="1140"/>
        </w:tabs>
        <w:rPr>
          <w:szCs w:val="24"/>
        </w:rPr>
      </w:pPr>
      <w:r>
        <w:rPr>
          <w:szCs w:val="24"/>
        </w:rPr>
        <w:t xml:space="preserve">Epidemiological data shows </w:t>
      </w:r>
      <w:r w:rsidR="00F04B3D">
        <w:rPr>
          <w:szCs w:val="24"/>
        </w:rPr>
        <w:t>c</w:t>
      </w:r>
      <w:r w:rsidRPr="00BD7CF2">
        <w:rPr>
          <w:szCs w:val="24"/>
        </w:rPr>
        <w:t xml:space="preserve">olorectal (bowel) cancer </w:t>
      </w:r>
      <w:r>
        <w:rPr>
          <w:szCs w:val="24"/>
        </w:rPr>
        <w:t xml:space="preserve">(CRC) is the second most frequently occurring cancer and the second most common cause of cancer-related death after lung cancer (10.7% and 19.0% of cancer deaths, respectively, in 2005). The AIHW have reported that CRC incidence has been gradually increasing in women with a rise in new cases of 30% predicted between 2001 and 2011. </w:t>
      </w:r>
    </w:p>
    <w:p w:rsidR="003C5C2B" w:rsidRDefault="003C5C2B" w:rsidP="0004730F">
      <w:pPr>
        <w:tabs>
          <w:tab w:val="left" w:pos="720"/>
          <w:tab w:val="left" w:pos="1140"/>
        </w:tabs>
        <w:rPr>
          <w:szCs w:val="24"/>
        </w:rPr>
      </w:pPr>
    </w:p>
    <w:p w:rsidR="00DA194D" w:rsidRDefault="00DA194D" w:rsidP="0004730F">
      <w:pPr>
        <w:tabs>
          <w:tab w:val="left" w:pos="720"/>
          <w:tab w:val="left" w:pos="1140"/>
        </w:tabs>
        <w:rPr>
          <w:szCs w:val="24"/>
        </w:rPr>
      </w:pPr>
      <w:r>
        <w:rPr>
          <w:szCs w:val="24"/>
        </w:rPr>
        <w:lastRenderedPageBreak/>
        <w:t>CRC is a relatively slow developing disease, which can arise from de novo lesions, but most often develops from benign adenomas which can vary in size from tiny nodules to polyps 12mm across. Benign adenomatous polyps develop in the lining of the bowel, and are considered to have malignant potential, so that removal of polyps at an early stage is recommended.</w:t>
      </w:r>
    </w:p>
    <w:p w:rsidR="003C5C2B" w:rsidRDefault="003C5C2B" w:rsidP="0004730F">
      <w:pPr>
        <w:tabs>
          <w:tab w:val="left" w:pos="720"/>
          <w:tab w:val="left" w:pos="1140"/>
        </w:tabs>
        <w:rPr>
          <w:szCs w:val="24"/>
        </w:rPr>
      </w:pPr>
    </w:p>
    <w:p w:rsidR="003C5C2B" w:rsidRPr="00BD7CF2" w:rsidRDefault="003C5C2B" w:rsidP="0004730F">
      <w:pPr>
        <w:tabs>
          <w:tab w:val="left" w:pos="720"/>
          <w:tab w:val="left" w:pos="1140"/>
        </w:tabs>
        <w:rPr>
          <w:szCs w:val="24"/>
        </w:rPr>
      </w:pPr>
      <w:r>
        <w:t xml:space="preserve">CTC involves the use of a computed tomography (CT) scanner to image the patient’s colon. This is a preferable alternative to a barium enema and an alternative to colonoscopy when the latter is considered potentially dangerous for the patient or if a colonoscopy has been unable to examine the whole of the colon.  Although there are variations in the technique used, CTC nearly always involves laxative preparation of the bowel beforehand, followed by distension of the colon with air or gas while the patient is on the CT scanner.  The scan is then performed without sedation (usually taking only a few minutes or less), and the images obtained are subsequently examined by the radiologist using special computer software to enable a diagnosis. </w:t>
      </w:r>
    </w:p>
    <w:p w:rsidR="003C5C2B" w:rsidRDefault="003C5C2B" w:rsidP="0004730F">
      <w:pPr>
        <w:tabs>
          <w:tab w:val="left" w:pos="720"/>
          <w:tab w:val="left" w:pos="1140"/>
        </w:tabs>
        <w:rPr>
          <w:szCs w:val="24"/>
        </w:rPr>
      </w:pPr>
    </w:p>
    <w:p w:rsidR="00DA194D" w:rsidRDefault="00DA194D" w:rsidP="0004730F">
      <w:pPr>
        <w:tabs>
          <w:tab w:val="left" w:pos="720"/>
          <w:tab w:val="left" w:pos="1140"/>
        </w:tabs>
        <w:rPr>
          <w:szCs w:val="24"/>
        </w:rPr>
      </w:pPr>
      <w:r>
        <w:rPr>
          <w:szCs w:val="24"/>
        </w:rPr>
        <w:t xml:space="preserve">CTC </w:t>
      </w:r>
      <w:r w:rsidR="003C5C2B">
        <w:rPr>
          <w:szCs w:val="24"/>
        </w:rPr>
        <w:t xml:space="preserve">is </w:t>
      </w:r>
      <w:r>
        <w:rPr>
          <w:szCs w:val="24"/>
        </w:rPr>
        <w:t>currently Medicare funded for the exclusion or diagnosis of colorectal neoplasia in symptomatic high risk patients if:</w:t>
      </w:r>
    </w:p>
    <w:p w:rsidR="00DA194D" w:rsidRDefault="00DA194D" w:rsidP="0004730F">
      <w:pPr>
        <w:pStyle w:val="ListParagraph"/>
        <w:numPr>
          <w:ilvl w:val="0"/>
          <w:numId w:val="25"/>
        </w:numPr>
        <w:tabs>
          <w:tab w:val="left" w:pos="720"/>
          <w:tab w:val="left" w:pos="1140"/>
        </w:tabs>
        <w:rPr>
          <w:szCs w:val="24"/>
        </w:rPr>
      </w:pPr>
      <w:r>
        <w:rPr>
          <w:szCs w:val="24"/>
        </w:rPr>
        <w:t>the patient has had an incomplete or technically difficult colonoscopy; or</w:t>
      </w:r>
    </w:p>
    <w:p w:rsidR="00DA194D" w:rsidRDefault="00DA194D" w:rsidP="0004730F">
      <w:pPr>
        <w:pStyle w:val="ListParagraph"/>
        <w:numPr>
          <w:ilvl w:val="0"/>
          <w:numId w:val="25"/>
        </w:numPr>
        <w:tabs>
          <w:tab w:val="left" w:pos="720"/>
          <w:tab w:val="left" w:pos="1140"/>
        </w:tabs>
        <w:rPr>
          <w:szCs w:val="24"/>
        </w:rPr>
      </w:pPr>
      <w:proofErr w:type="gramStart"/>
      <w:r>
        <w:rPr>
          <w:szCs w:val="24"/>
        </w:rPr>
        <w:t>a</w:t>
      </w:r>
      <w:proofErr w:type="gramEnd"/>
      <w:r>
        <w:rPr>
          <w:szCs w:val="24"/>
        </w:rPr>
        <w:t xml:space="preserve"> contraindication to colonoscopy exists.</w:t>
      </w:r>
    </w:p>
    <w:p w:rsidR="003C5C2B" w:rsidRDefault="003C5C2B" w:rsidP="0004730F">
      <w:pPr>
        <w:tabs>
          <w:tab w:val="left" w:pos="720"/>
          <w:tab w:val="left" w:pos="1140"/>
        </w:tabs>
        <w:rPr>
          <w:szCs w:val="24"/>
        </w:rPr>
      </w:pPr>
    </w:p>
    <w:p w:rsidR="00DA194D" w:rsidRDefault="00DA194D" w:rsidP="0004730F">
      <w:pPr>
        <w:tabs>
          <w:tab w:val="left" w:pos="720"/>
          <w:tab w:val="left" w:pos="1140"/>
        </w:tabs>
        <w:rPr>
          <w:szCs w:val="24"/>
        </w:rPr>
      </w:pPr>
      <w:r>
        <w:rPr>
          <w:szCs w:val="24"/>
        </w:rPr>
        <w:t>It is proposed that CTC also be Medicare funded for the exclusion or diagnosis or colorectal neoplasia in symptomatic high risk patients where:</w:t>
      </w:r>
    </w:p>
    <w:p w:rsidR="00DA194D" w:rsidRPr="00F04B3D" w:rsidRDefault="00DA194D" w:rsidP="0004730F">
      <w:pPr>
        <w:pStyle w:val="ListParagraph"/>
        <w:numPr>
          <w:ilvl w:val="0"/>
          <w:numId w:val="26"/>
        </w:numPr>
        <w:tabs>
          <w:tab w:val="left" w:pos="720"/>
          <w:tab w:val="left" w:pos="1140"/>
        </w:tabs>
        <w:rPr>
          <w:szCs w:val="24"/>
        </w:rPr>
      </w:pPr>
      <w:proofErr w:type="gramStart"/>
      <w:r>
        <w:rPr>
          <w:szCs w:val="24"/>
        </w:rPr>
        <w:t>there</w:t>
      </w:r>
      <w:proofErr w:type="gramEnd"/>
      <w:r>
        <w:rPr>
          <w:szCs w:val="24"/>
        </w:rPr>
        <w:t xml:space="preserve"> is limited access to colonoscopy such as to cause delay in diagnosis.</w:t>
      </w:r>
    </w:p>
    <w:p w:rsidR="003C5C2B" w:rsidRDefault="003C5C2B" w:rsidP="0004730F">
      <w:pPr>
        <w:tabs>
          <w:tab w:val="left" w:pos="720"/>
          <w:tab w:val="left" w:pos="1140"/>
        </w:tabs>
        <w:rPr>
          <w:szCs w:val="24"/>
        </w:rPr>
      </w:pPr>
    </w:p>
    <w:p w:rsidR="00E66C12" w:rsidRPr="005A6994" w:rsidRDefault="00E66C12" w:rsidP="0004730F">
      <w:pPr>
        <w:tabs>
          <w:tab w:val="left" w:pos="720"/>
          <w:tab w:val="left" w:pos="1140"/>
        </w:tabs>
        <w:rPr>
          <w:szCs w:val="24"/>
        </w:rPr>
      </w:pPr>
      <w:r w:rsidRPr="005A6994">
        <w:rPr>
          <w:szCs w:val="24"/>
        </w:rPr>
        <w:t xml:space="preserve">The role of CTC for the diagnosis or exclusion of CRC indicates that CTC is a replacement for DCBE or delayed colonoscopy in the defined patient groups. </w:t>
      </w:r>
    </w:p>
    <w:p w:rsidR="003C5C2B" w:rsidRDefault="003C5C2B" w:rsidP="0004730F">
      <w:pPr>
        <w:widowControl w:val="0"/>
        <w:autoSpaceDE w:val="0"/>
        <w:autoSpaceDN w:val="0"/>
        <w:adjustRightInd w:val="0"/>
        <w:ind w:right="147"/>
        <w:rPr>
          <w:color w:val="000000"/>
        </w:rPr>
      </w:pPr>
    </w:p>
    <w:p w:rsidR="00E66C12" w:rsidRPr="00D52B1D" w:rsidRDefault="00E66C12" w:rsidP="0004730F">
      <w:pPr>
        <w:widowControl w:val="0"/>
        <w:autoSpaceDE w:val="0"/>
        <w:autoSpaceDN w:val="0"/>
        <w:adjustRightInd w:val="0"/>
        <w:ind w:right="147"/>
        <w:rPr>
          <w:color w:val="000000"/>
          <w:szCs w:val="24"/>
        </w:rPr>
      </w:pPr>
      <w:r>
        <w:rPr>
          <w:color w:val="000000"/>
        </w:rPr>
        <w:t>CTC</w:t>
      </w:r>
      <w:r w:rsidRPr="00D52B1D">
        <w:rPr>
          <w:color w:val="000000"/>
          <w:spacing w:val="-13"/>
        </w:rPr>
        <w:t xml:space="preserve"> </w:t>
      </w:r>
      <w:r w:rsidRPr="00D52B1D">
        <w:rPr>
          <w:color w:val="000000"/>
        </w:rPr>
        <w:t>f</w:t>
      </w:r>
      <w:r w:rsidRPr="00D52B1D">
        <w:rPr>
          <w:color w:val="000000"/>
          <w:spacing w:val="1"/>
        </w:rPr>
        <w:t>o</w:t>
      </w:r>
      <w:r w:rsidRPr="00D52B1D">
        <w:rPr>
          <w:color w:val="000000"/>
        </w:rPr>
        <w:t>r</w:t>
      </w:r>
      <w:r w:rsidRPr="00D52B1D">
        <w:rPr>
          <w:color w:val="000000"/>
          <w:spacing w:val="-3"/>
        </w:rPr>
        <w:t xml:space="preserve"> </w:t>
      </w:r>
      <w:r w:rsidRPr="00D52B1D">
        <w:rPr>
          <w:color w:val="000000"/>
        </w:rPr>
        <w:t>e</w:t>
      </w:r>
      <w:r w:rsidRPr="00D52B1D">
        <w:rPr>
          <w:color w:val="000000"/>
          <w:spacing w:val="2"/>
        </w:rPr>
        <w:t>x</w:t>
      </w:r>
      <w:r w:rsidRPr="00D52B1D">
        <w:rPr>
          <w:color w:val="000000"/>
        </w:rPr>
        <w:t>clus</w:t>
      </w:r>
      <w:r w:rsidRPr="00D52B1D">
        <w:rPr>
          <w:color w:val="000000"/>
          <w:spacing w:val="2"/>
        </w:rPr>
        <w:t>i</w:t>
      </w:r>
      <w:r w:rsidRPr="00D52B1D">
        <w:rPr>
          <w:color w:val="000000"/>
        </w:rPr>
        <w:t>on</w:t>
      </w:r>
      <w:r w:rsidRPr="00D52B1D">
        <w:rPr>
          <w:color w:val="000000"/>
          <w:spacing w:val="-8"/>
        </w:rPr>
        <w:t xml:space="preserve"> </w:t>
      </w:r>
      <w:r w:rsidRPr="00D52B1D">
        <w:rPr>
          <w:color w:val="000000"/>
        </w:rPr>
        <w:t>of</w:t>
      </w:r>
      <w:r w:rsidRPr="00D52B1D">
        <w:rPr>
          <w:color w:val="000000"/>
          <w:spacing w:val="-2"/>
        </w:rPr>
        <w:t xml:space="preserve"> </w:t>
      </w:r>
      <w:r w:rsidRPr="00D52B1D">
        <w:rPr>
          <w:color w:val="000000"/>
        </w:rPr>
        <w:t>co</w:t>
      </w:r>
      <w:r w:rsidRPr="00D52B1D">
        <w:rPr>
          <w:color w:val="000000"/>
          <w:spacing w:val="1"/>
        </w:rPr>
        <w:t>l</w:t>
      </w:r>
      <w:r w:rsidRPr="00D52B1D">
        <w:rPr>
          <w:color w:val="000000"/>
        </w:rPr>
        <w:t>or</w:t>
      </w:r>
      <w:r w:rsidRPr="00D52B1D">
        <w:rPr>
          <w:color w:val="000000"/>
          <w:spacing w:val="1"/>
        </w:rPr>
        <w:t>e</w:t>
      </w:r>
      <w:r w:rsidRPr="00D52B1D">
        <w:rPr>
          <w:color w:val="000000"/>
        </w:rPr>
        <w:t>ctal</w:t>
      </w:r>
      <w:r w:rsidRPr="00D52B1D">
        <w:rPr>
          <w:color w:val="000000"/>
          <w:spacing w:val="-9"/>
        </w:rPr>
        <w:t xml:space="preserve"> </w:t>
      </w:r>
      <w:r w:rsidRPr="00D52B1D">
        <w:rPr>
          <w:color w:val="000000"/>
        </w:rPr>
        <w:t>n</w:t>
      </w:r>
      <w:r w:rsidRPr="00D52B1D">
        <w:rPr>
          <w:color w:val="000000"/>
          <w:spacing w:val="1"/>
        </w:rPr>
        <w:t>e</w:t>
      </w:r>
      <w:r w:rsidRPr="00D52B1D">
        <w:rPr>
          <w:color w:val="000000"/>
        </w:rPr>
        <w:t>oplas</w:t>
      </w:r>
      <w:r w:rsidRPr="00D52B1D">
        <w:rPr>
          <w:color w:val="000000"/>
          <w:spacing w:val="2"/>
        </w:rPr>
        <w:t>i</w:t>
      </w:r>
      <w:r w:rsidRPr="00D52B1D">
        <w:rPr>
          <w:color w:val="000000"/>
        </w:rPr>
        <w:t>a</w:t>
      </w:r>
      <w:r w:rsidRPr="00D52B1D">
        <w:rPr>
          <w:color w:val="000000"/>
          <w:spacing w:val="-9"/>
        </w:rPr>
        <w:t xml:space="preserve"> </w:t>
      </w:r>
      <w:r w:rsidRPr="00D52B1D">
        <w:rPr>
          <w:color w:val="000000"/>
        </w:rPr>
        <w:t>in</w:t>
      </w:r>
      <w:r w:rsidRPr="00D52B1D">
        <w:rPr>
          <w:color w:val="000000"/>
          <w:spacing w:val="-2"/>
        </w:rPr>
        <w:t xml:space="preserve"> </w:t>
      </w:r>
      <w:r w:rsidRPr="00D52B1D">
        <w:rPr>
          <w:color w:val="000000"/>
        </w:rPr>
        <w:t>sym</w:t>
      </w:r>
      <w:r w:rsidRPr="00D52B1D">
        <w:rPr>
          <w:color w:val="000000"/>
          <w:spacing w:val="1"/>
        </w:rPr>
        <w:t>p</w:t>
      </w:r>
      <w:r w:rsidRPr="00D52B1D">
        <w:rPr>
          <w:color w:val="000000"/>
        </w:rPr>
        <w:t>t</w:t>
      </w:r>
      <w:r w:rsidRPr="00D52B1D">
        <w:rPr>
          <w:color w:val="000000"/>
          <w:spacing w:val="1"/>
        </w:rPr>
        <w:t>o</w:t>
      </w:r>
      <w:r w:rsidRPr="00D52B1D">
        <w:rPr>
          <w:color w:val="000000"/>
        </w:rPr>
        <w:t>matic</w:t>
      </w:r>
      <w:r w:rsidRPr="00D52B1D">
        <w:rPr>
          <w:color w:val="000000"/>
          <w:spacing w:val="-11"/>
        </w:rPr>
        <w:t xml:space="preserve"> </w:t>
      </w:r>
      <w:r w:rsidRPr="00D52B1D">
        <w:rPr>
          <w:color w:val="000000"/>
        </w:rPr>
        <w:t>or asymp</w:t>
      </w:r>
      <w:r w:rsidRPr="00D52B1D">
        <w:rPr>
          <w:color w:val="000000"/>
          <w:spacing w:val="1"/>
        </w:rPr>
        <w:t>t</w:t>
      </w:r>
      <w:r w:rsidRPr="00D52B1D">
        <w:rPr>
          <w:color w:val="000000"/>
        </w:rPr>
        <w:t>oma</w:t>
      </w:r>
      <w:r w:rsidRPr="00D52B1D">
        <w:rPr>
          <w:color w:val="000000"/>
          <w:spacing w:val="1"/>
        </w:rPr>
        <w:t>t</w:t>
      </w:r>
      <w:r w:rsidRPr="00D52B1D">
        <w:rPr>
          <w:color w:val="000000"/>
        </w:rPr>
        <w:t>ic</w:t>
      </w:r>
      <w:r w:rsidRPr="00D52B1D">
        <w:rPr>
          <w:color w:val="000000"/>
          <w:spacing w:val="-13"/>
        </w:rPr>
        <w:t xml:space="preserve"> </w:t>
      </w:r>
      <w:r w:rsidRPr="00D52B1D">
        <w:rPr>
          <w:color w:val="000000"/>
        </w:rPr>
        <w:t>high</w:t>
      </w:r>
      <w:r w:rsidRPr="00D52B1D">
        <w:rPr>
          <w:color w:val="000000"/>
          <w:spacing w:val="-3"/>
        </w:rPr>
        <w:t xml:space="preserve"> </w:t>
      </w:r>
      <w:r w:rsidRPr="00D52B1D">
        <w:rPr>
          <w:color w:val="000000"/>
        </w:rPr>
        <w:t>risk</w:t>
      </w:r>
      <w:r w:rsidRPr="00D52B1D">
        <w:rPr>
          <w:color w:val="000000"/>
          <w:spacing w:val="-2"/>
        </w:rPr>
        <w:t xml:space="preserve"> </w:t>
      </w:r>
      <w:r w:rsidRPr="00D52B1D">
        <w:rPr>
          <w:color w:val="000000"/>
        </w:rPr>
        <w:t>patie</w:t>
      </w:r>
      <w:r w:rsidRPr="00D52B1D">
        <w:rPr>
          <w:color w:val="000000"/>
          <w:spacing w:val="1"/>
        </w:rPr>
        <w:t>n</w:t>
      </w:r>
      <w:r w:rsidRPr="00D52B1D">
        <w:rPr>
          <w:color w:val="000000"/>
        </w:rPr>
        <w:t>ts</w:t>
      </w:r>
      <w:r w:rsidRPr="00D52B1D">
        <w:rPr>
          <w:color w:val="000000"/>
          <w:spacing w:val="-8"/>
        </w:rPr>
        <w:t xml:space="preserve"> </w:t>
      </w:r>
      <w:r w:rsidRPr="00D52B1D">
        <w:rPr>
          <w:color w:val="000000"/>
        </w:rPr>
        <w:t>is current</w:t>
      </w:r>
      <w:r w:rsidRPr="00D52B1D">
        <w:rPr>
          <w:color w:val="000000"/>
          <w:spacing w:val="1"/>
        </w:rPr>
        <w:t>l</w:t>
      </w:r>
      <w:r w:rsidRPr="00D52B1D">
        <w:rPr>
          <w:color w:val="000000"/>
        </w:rPr>
        <w:t>y</w:t>
      </w:r>
      <w:r w:rsidRPr="00D52B1D">
        <w:rPr>
          <w:color w:val="000000"/>
          <w:spacing w:val="-9"/>
        </w:rPr>
        <w:t xml:space="preserve"> </w:t>
      </w:r>
      <w:r w:rsidRPr="00D52B1D">
        <w:rPr>
          <w:color w:val="000000"/>
        </w:rPr>
        <w:t>a</w:t>
      </w:r>
      <w:r w:rsidRPr="00D52B1D">
        <w:rPr>
          <w:color w:val="000000"/>
          <w:spacing w:val="2"/>
        </w:rPr>
        <w:t>v</w:t>
      </w:r>
      <w:r w:rsidRPr="00D52B1D">
        <w:rPr>
          <w:color w:val="000000"/>
        </w:rPr>
        <w:t>a</w:t>
      </w:r>
      <w:r w:rsidRPr="00D52B1D">
        <w:rPr>
          <w:color w:val="000000"/>
          <w:spacing w:val="2"/>
        </w:rPr>
        <w:t>i</w:t>
      </w:r>
      <w:r w:rsidRPr="00D52B1D">
        <w:rPr>
          <w:color w:val="000000"/>
        </w:rPr>
        <w:t>lable</w:t>
      </w:r>
      <w:r w:rsidRPr="00D52B1D">
        <w:rPr>
          <w:color w:val="000000"/>
          <w:spacing w:val="-8"/>
        </w:rPr>
        <w:t xml:space="preserve"> </w:t>
      </w:r>
      <w:r w:rsidRPr="00D52B1D">
        <w:rPr>
          <w:color w:val="000000"/>
        </w:rPr>
        <w:t>as</w:t>
      </w:r>
      <w:r w:rsidRPr="00D52B1D">
        <w:rPr>
          <w:color w:val="000000"/>
          <w:spacing w:val="-1"/>
        </w:rPr>
        <w:t xml:space="preserve"> </w:t>
      </w:r>
      <w:r w:rsidRPr="00D52B1D">
        <w:rPr>
          <w:color w:val="000000"/>
        </w:rPr>
        <w:t>a</w:t>
      </w:r>
      <w:r w:rsidRPr="00D52B1D">
        <w:rPr>
          <w:color w:val="000000"/>
          <w:spacing w:val="-1"/>
        </w:rPr>
        <w:t xml:space="preserve"> </w:t>
      </w:r>
      <w:r w:rsidRPr="00D52B1D">
        <w:rPr>
          <w:color w:val="000000"/>
        </w:rPr>
        <w:t>publicly</w:t>
      </w:r>
      <w:r w:rsidRPr="00D52B1D">
        <w:rPr>
          <w:color w:val="000000"/>
          <w:spacing w:val="-7"/>
        </w:rPr>
        <w:t xml:space="preserve"> </w:t>
      </w:r>
      <w:r w:rsidRPr="00D52B1D">
        <w:rPr>
          <w:color w:val="000000"/>
        </w:rPr>
        <w:t>reimbursed</w:t>
      </w:r>
      <w:r w:rsidRPr="00D52B1D">
        <w:rPr>
          <w:color w:val="000000"/>
          <w:spacing w:val="-11"/>
        </w:rPr>
        <w:t xml:space="preserve"> </w:t>
      </w:r>
      <w:r w:rsidRPr="00D52B1D">
        <w:rPr>
          <w:color w:val="000000"/>
        </w:rPr>
        <w:t>a</w:t>
      </w:r>
      <w:r w:rsidRPr="00D52B1D">
        <w:rPr>
          <w:color w:val="000000"/>
          <w:spacing w:val="2"/>
        </w:rPr>
        <w:t>l</w:t>
      </w:r>
      <w:r w:rsidRPr="00D52B1D">
        <w:rPr>
          <w:color w:val="000000"/>
        </w:rPr>
        <w:t>ternative</w:t>
      </w:r>
      <w:r w:rsidRPr="00D52B1D">
        <w:rPr>
          <w:color w:val="000000"/>
          <w:spacing w:val="-10"/>
        </w:rPr>
        <w:t xml:space="preserve"> </w:t>
      </w:r>
      <w:r w:rsidRPr="00D52B1D">
        <w:rPr>
          <w:color w:val="000000"/>
        </w:rPr>
        <w:t>to co</w:t>
      </w:r>
      <w:r w:rsidRPr="00D52B1D">
        <w:rPr>
          <w:color w:val="000000"/>
          <w:spacing w:val="1"/>
        </w:rPr>
        <w:t>l</w:t>
      </w:r>
      <w:r w:rsidRPr="00D52B1D">
        <w:rPr>
          <w:color w:val="000000"/>
        </w:rPr>
        <w:t>ono</w:t>
      </w:r>
      <w:r w:rsidRPr="00D52B1D">
        <w:rPr>
          <w:color w:val="000000"/>
          <w:spacing w:val="2"/>
        </w:rPr>
        <w:t>s</w:t>
      </w:r>
      <w:r w:rsidRPr="00D52B1D">
        <w:rPr>
          <w:color w:val="000000"/>
          <w:spacing w:val="-1"/>
        </w:rPr>
        <w:t>c</w:t>
      </w:r>
      <w:r w:rsidRPr="00D52B1D">
        <w:rPr>
          <w:color w:val="000000"/>
          <w:spacing w:val="1"/>
        </w:rPr>
        <w:t>o</w:t>
      </w:r>
      <w:r w:rsidRPr="00D52B1D">
        <w:rPr>
          <w:color w:val="000000"/>
        </w:rPr>
        <w:t>py</w:t>
      </w:r>
      <w:r w:rsidRPr="00D52B1D">
        <w:rPr>
          <w:color w:val="000000"/>
          <w:spacing w:val="-12"/>
        </w:rPr>
        <w:t xml:space="preserve"> </w:t>
      </w:r>
      <w:r w:rsidRPr="00D52B1D">
        <w:rPr>
          <w:color w:val="000000"/>
        </w:rPr>
        <w:t>whe</w:t>
      </w:r>
      <w:r w:rsidRPr="00D52B1D">
        <w:rPr>
          <w:color w:val="000000"/>
          <w:spacing w:val="1"/>
        </w:rPr>
        <w:t>r</w:t>
      </w:r>
      <w:r w:rsidRPr="00D52B1D">
        <w:rPr>
          <w:color w:val="000000"/>
        </w:rPr>
        <w:t>e</w:t>
      </w:r>
      <w:r w:rsidRPr="00D52B1D">
        <w:rPr>
          <w:color w:val="000000"/>
          <w:spacing w:val="-6"/>
        </w:rPr>
        <w:t xml:space="preserve"> </w:t>
      </w:r>
      <w:r w:rsidRPr="00D52B1D">
        <w:rPr>
          <w:color w:val="000000"/>
        </w:rPr>
        <w:t>a</w:t>
      </w:r>
      <w:r w:rsidRPr="00D52B1D">
        <w:rPr>
          <w:color w:val="000000"/>
          <w:spacing w:val="-1"/>
        </w:rPr>
        <w:t xml:space="preserve"> </w:t>
      </w:r>
      <w:r w:rsidRPr="00D52B1D">
        <w:rPr>
          <w:color w:val="000000"/>
        </w:rPr>
        <w:t>p</w:t>
      </w:r>
      <w:r w:rsidRPr="00D52B1D">
        <w:rPr>
          <w:color w:val="000000"/>
          <w:spacing w:val="1"/>
        </w:rPr>
        <w:t>r</w:t>
      </w:r>
      <w:r w:rsidRPr="00D52B1D">
        <w:rPr>
          <w:color w:val="000000"/>
        </w:rPr>
        <w:t>evious</w:t>
      </w:r>
      <w:r w:rsidRPr="00D52B1D">
        <w:rPr>
          <w:color w:val="000000"/>
          <w:spacing w:val="-7"/>
        </w:rPr>
        <w:t xml:space="preserve"> </w:t>
      </w:r>
      <w:r w:rsidRPr="00D52B1D">
        <w:rPr>
          <w:color w:val="000000"/>
        </w:rPr>
        <w:t>colo</w:t>
      </w:r>
      <w:r w:rsidRPr="00D52B1D">
        <w:rPr>
          <w:color w:val="000000"/>
          <w:spacing w:val="1"/>
        </w:rPr>
        <w:t>n</w:t>
      </w:r>
      <w:r w:rsidRPr="00D52B1D">
        <w:rPr>
          <w:color w:val="000000"/>
        </w:rPr>
        <w:t>osc</w:t>
      </w:r>
      <w:r w:rsidRPr="00D52B1D">
        <w:rPr>
          <w:color w:val="000000"/>
          <w:spacing w:val="1"/>
        </w:rPr>
        <w:t>o</w:t>
      </w:r>
      <w:r w:rsidRPr="00D52B1D">
        <w:rPr>
          <w:color w:val="000000"/>
        </w:rPr>
        <w:t>py</w:t>
      </w:r>
      <w:r w:rsidRPr="00D52B1D">
        <w:rPr>
          <w:color w:val="000000"/>
          <w:spacing w:val="-12"/>
        </w:rPr>
        <w:t xml:space="preserve"> </w:t>
      </w:r>
      <w:r w:rsidRPr="00D52B1D">
        <w:rPr>
          <w:color w:val="000000"/>
        </w:rPr>
        <w:t>has</w:t>
      </w:r>
      <w:r w:rsidRPr="00D52B1D">
        <w:rPr>
          <w:color w:val="000000"/>
          <w:spacing w:val="-2"/>
        </w:rPr>
        <w:t xml:space="preserve"> </w:t>
      </w:r>
      <w:r w:rsidRPr="00D52B1D">
        <w:rPr>
          <w:color w:val="000000"/>
        </w:rPr>
        <w:t>been</w:t>
      </w:r>
      <w:r w:rsidRPr="00D52B1D">
        <w:rPr>
          <w:color w:val="000000"/>
          <w:spacing w:val="-5"/>
        </w:rPr>
        <w:t xml:space="preserve"> </w:t>
      </w:r>
      <w:r w:rsidRPr="00D52B1D">
        <w:rPr>
          <w:color w:val="000000"/>
        </w:rPr>
        <w:t>inco</w:t>
      </w:r>
      <w:r w:rsidRPr="00D52B1D">
        <w:rPr>
          <w:color w:val="000000"/>
          <w:spacing w:val="2"/>
        </w:rPr>
        <w:t>m</w:t>
      </w:r>
      <w:r w:rsidRPr="00D52B1D">
        <w:rPr>
          <w:color w:val="000000"/>
        </w:rPr>
        <w:t>plete</w:t>
      </w:r>
      <w:r w:rsidRPr="00D52B1D">
        <w:rPr>
          <w:color w:val="000000"/>
          <w:spacing w:val="-11"/>
        </w:rPr>
        <w:t xml:space="preserve"> </w:t>
      </w:r>
      <w:r w:rsidRPr="00D52B1D">
        <w:rPr>
          <w:color w:val="000000"/>
        </w:rPr>
        <w:t>or</w:t>
      </w:r>
      <w:r w:rsidRPr="00D52B1D">
        <w:rPr>
          <w:color w:val="000000"/>
          <w:spacing w:val="-2"/>
        </w:rPr>
        <w:t xml:space="preserve"> </w:t>
      </w:r>
      <w:r w:rsidRPr="00D52B1D">
        <w:rPr>
          <w:color w:val="000000"/>
        </w:rPr>
        <w:t>colonoscopy</w:t>
      </w:r>
      <w:r w:rsidRPr="00D52B1D">
        <w:rPr>
          <w:color w:val="000000"/>
          <w:spacing w:val="-12"/>
        </w:rPr>
        <w:t xml:space="preserve"> </w:t>
      </w:r>
      <w:r w:rsidRPr="00D52B1D">
        <w:rPr>
          <w:color w:val="000000"/>
        </w:rPr>
        <w:t xml:space="preserve">is </w:t>
      </w:r>
      <w:r w:rsidRPr="00D52B1D">
        <w:rPr>
          <w:color w:val="000000"/>
          <w:szCs w:val="24"/>
        </w:rPr>
        <w:t>contraind</w:t>
      </w:r>
      <w:r w:rsidRPr="00D52B1D">
        <w:rPr>
          <w:color w:val="000000"/>
          <w:spacing w:val="2"/>
          <w:szCs w:val="24"/>
        </w:rPr>
        <w:t>i</w:t>
      </w:r>
      <w:r w:rsidRPr="00D52B1D">
        <w:rPr>
          <w:color w:val="000000"/>
          <w:szCs w:val="24"/>
        </w:rPr>
        <w:t>cated.</w:t>
      </w:r>
      <w:r w:rsidRPr="00D52B1D">
        <w:rPr>
          <w:color w:val="000000"/>
          <w:spacing w:val="-16"/>
          <w:szCs w:val="24"/>
        </w:rPr>
        <w:t xml:space="preserve"> </w:t>
      </w:r>
      <w:r w:rsidRPr="00D52B1D">
        <w:rPr>
          <w:color w:val="000000"/>
          <w:spacing w:val="1"/>
          <w:szCs w:val="24"/>
        </w:rPr>
        <w:t>T</w:t>
      </w:r>
      <w:r w:rsidRPr="00D52B1D">
        <w:rPr>
          <w:color w:val="000000"/>
          <w:szCs w:val="24"/>
        </w:rPr>
        <w:t>o</w:t>
      </w:r>
      <w:r w:rsidRPr="00D52B1D">
        <w:rPr>
          <w:color w:val="000000"/>
          <w:spacing w:val="-3"/>
          <w:szCs w:val="24"/>
        </w:rPr>
        <w:t xml:space="preserve"> </w:t>
      </w:r>
      <w:r w:rsidRPr="00D52B1D">
        <w:rPr>
          <w:color w:val="000000"/>
          <w:szCs w:val="24"/>
        </w:rPr>
        <w:t>be</w:t>
      </w:r>
      <w:r w:rsidRPr="00D52B1D">
        <w:rPr>
          <w:color w:val="000000"/>
          <w:spacing w:val="-2"/>
          <w:szCs w:val="24"/>
        </w:rPr>
        <w:t xml:space="preserve"> </w:t>
      </w:r>
      <w:r w:rsidRPr="00D52B1D">
        <w:rPr>
          <w:color w:val="000000"/>
          <w:szCs w:val="24"/>
        </w:rPr>
        <w:t>eligible,</w:t>
      </w:r>
      <w:r w:rsidRPr="00D52B1D">
        <w:rPr>
          <w:color w:val="000000"/>
          <w:spacing w:val="-7"/>
          <w:szCs w:val="24"/>
        </w:rPr>
        <w:t xml:space="preserve"> </w:t>
      </w:r>
      <w:r w:rsidRPr="00D52B1D">
        <w:rPr>
          <w:color w:val="000000"/>
          <w:szCs w:val="24"/>
        </w:rPr>
        <w:t>t</w:t>
      </w:r>
      <w:r w:rsidRPr="00D52B1D">
        <w:rPr>
          <w:color w:val="000000"/>
          <w:spacing w:val="1"/>
          <w:szCs w:val="24"/>
        </w:rPr>
        <w:t>h</w:t>
      </w:r>
      <w:r w:rsidRPr="00D52B1D">
        <w:rPr>
          <w:color w:val="000000"/>
          <w:szCs w:val="24"/>
        </w:rPr>
        <w:t>e</w:t>
      </w:r>
      <w:r w:rsidRPr="00D52B1D">
        <w:rPr>
          <w:color w:val="000000"/>
          <w:spacing w:val="-3"/>
          <w:szCs w:val="24"/>
        </w:rPr>
        <w:t xml:space="preserve"> </w:t>
      </w:r>
      <w:r w:rsidRPr="00D52B1D">
        <w:rPr>
          <w:color w:val="000000"/>
          <w:spacing w:val="1"/>
          <w:szCs w:val="24"/>
        </w:rPr>
        <w:t>p</w:t>
      </w:r>
      <w:r w:rsidRPr="00D52B1D">
        <w:rPr>
          <w:color w:val="000000"/>
          <w:szCs w:val="24"/>
        </w:rPr>
        <w:t>atient</w:t>
      </w:r>
      <w:r w:rsidRPr="00D52B1D">
        <w:rPr>
          <w:color w:val="000000"/>
          <w:spacing w:val="-7"/>
          <w:szCs w:val="24"/>
        </w:rPr>
        <w:t xml:space="preserve"> </w:t>
      </w:r>
      <w:r w:rsidRPr="00D52B1D">
        <w:rPr>
          <w:color w:val="000000"/>
          <w:szCs w:val="24"/>
        </w:rPr>
        <w:t>must</w:t>
      </w:r>
      <w:r w:rsidRPr="00D52B1D">
        <w:rPr>
          <w:color w:val="000000"/>
          <w:spacing w:val="-4"/>
          <w:szCs w:val="24"/>
        </w:rPr>
        <w:t xml:space="preserve"> </w:t>
      </w:r>
      <w:r w:rsidRPr="00D52B1D">
        <w:rPr>
          <w:color w:val="000000"/>
          <w:szCs w:val="24"/>
        </w:rPr>
        <w:t>satisfy</w:t>
      </w:r>
      <w:r w:rsidRPr="00D52B1D">
        <w:rPr>
          <w:color w:val="000000"/>
          <w:spacing w:val="-6"/>
          <w:szCs w:val="24"/>
        </w:rPr>
        <w:t xml:space="preserve"> </w:t>
      </w:r>
      <w:r w:rsidRPr="00D52B1D">
        <w:rPr>
          <w:color w:val="000000"/>
          <w:szCs w:val="24"/>
        </w:rPr>
        <w:t>t</w:t>
      </w:r>
      <w:r w:rsidRPr="00D52B1D">
        <w:rPr>
          <w:color w:val="000000"/>
          <w:spacing w:val="1"/>
          <w:szCs w:val="24"/>
        </w:rPr>
        <w:t>w</w:t>
      </w:r>
      <w:r w:rsidRPr="00D52B1D">
        <w:rPr>
          <w:color w:val="000000"/>
          <w:szCs w:val="24"/>
        </w:rPr>
        <w:t>o</w:t>
      </w:r>
      <w:r w:rsidRPr="00D52B1D">
        <w:rPr>
          <w:color w:val="000000"/>
          <w:spacing w:val="-3"/>
          <w:szCs w:val="24"/>
        </w:rPr>
        <w:t xml:space="preserve"> </w:t>
      </w:r>
      <w:r w:rsidRPr="00D52B1D">
        <w:rPr>
          <w:color w:val="000000"/>
          <w:szCs w:val="24"/>
        </w:rPr>
        <w:t>main</w:t>
      </w:r>
      <w:r w:rsidRPr="00D52B1D">
        <w:rPr>
          <w:color w:val="000000"/>
          <w:spacing w:val="-5"/>
          <w:szCs w:val="24"/>
        </w:rPr>
        <w:t xml:space="preserve"> </w:t>
      </w:r>
      <w:r w:rsidRPr="00D52B1D">
        <w:rPr>
          <w:color w:val="000000"/>
          <w:szCs w:val="24"/>
        </w:rPr>
        <w:t>cri</w:t>
      </w:r>
      <w:r w:rsidRPr="00D52B1D">
        <w:rPr>
          <w:color w:val="000000"/>
          <w:spacing w:val="1"/>
          <w:szCs w:val="24"/>
        </w:rPr>
        <w:t>t</w:t>
      </w:r>
      <w:r w:rsidRPr="00D52B1D">
        <w:rPr>
          <w:color w:val="000000"/>
          <w:szCs w:val="24"/>
        </w:rPr>
        <w:t>eria</w:t>
      </w:r>
      <w:r w:rsidRPr="00D52B1D">
        <w:rPr>
          <w:color w:val="000000"/>
          <w:spacing w:val="-6"/>
          <w:szCs w:val="24"/>
        </w:rPr>
        <w:t xml:space="preserve"> </w:t>
      </w:r>
      <w:r w:rsidRPr="00D52B1D">
        <w:rPr>
          <w:color w:val="000000"/>
          <w:szCs w:val="24"/>
        </w:rPr>
        <w:t>as</w:t>
      </w:r>
      <w:r w:rsidRPr="00D52B1D">
        <w:rPr>
          <w:color w:val="000000"/>
          <w:spacing w:val="-2"/>
          <w:szCs w:val="24"/>
        </w:rPr>
        <w:t xml:space="preserve"> </w:t>
      </w:r>
      <w:r w:rsidRPr="00D52B1D">
        <w:rPr>
          <w:color w:val="000000"/>
          <w:szCs w:val="24"/>
        </w:rPr>
        <w:t>determi</w:t>
      </w:r>
      <w:r w:rsidRPr="00D52B1D">
        <w:rPr>
          <w:color w:val="000000"/>
          <w:spacing w:val="1"/>
          <w:szCs w:val="24"/>
        </w:rPr>
        <w:t>n</w:t>
      </w:r>
      <w:r w:rsidRPr="00D52B1D">
        <w:rPr>
          <w:color w:val="000000"/>
          <w:szCs w:val="24"/>
        </w:rPr>
        <w:t>ed</w:t>
      </w:r>
      <w:r w:rsidRPr="00D52B1D">
        <w:rPr>
          <w:color w:val="000000"/>
          <w:spacing w:val="-11"/>
          <w:szCs w:val="24"/>
        </w:rPr>
        <w:t xml:space="preserve"> </w:t>
      </w:r>
      <w:r w:rsidRPr="00D52B1D">
        <w:rPr>
          <w:color w:val="000000"/>
          <w:spacing w:val="1"/>
          <w:szCs w:val="24"/>
        </w:rPr>
        <w:t>b</w:t>
      </w:r>
      <w:r w:rsidRPr="00D52B1D">
        <w:rPr>
          <w:color w:val="000000"/>
          <w:szCs w:val="24"/>
        </w:rPr>
        <w:t>y documentat</w:t>
      </w:r>
      <w:r w:rsidRPr="00D52B1D">
        <w:rPr>
          <w:color w:val="000000"/>
          <w:spacing w:val="1"/>
          <w:szCs w:val="24"/>
        </w:rPr>
        <w:t>i</w:t>
      </w:r>
      <w:r w:rsidRPr="00D52B1D">
        <w:rPr>
          <w:color w:val="000000"/>
          <w:szCs w:val="24"/>
        </w:rPr>
        <w:t>on</w:t>
      </w:r>
      <w:r w:rsidRPr="00D52B1D">
        <w:rPr>
          <w:color w:val="000000"/>
          <w:spacing w:val="-14"/>
          <w:szCs w:val="24"/>
        </w:rPr>
        <w:t xml:space="preserve"> </w:t>
      </w:r>
      <w:r w:rsidRPr="00D52B1D">
        <w:rPr>
          <w:color w:val="000000"/>
          <w:szCs w:val="24"/>
        </w:rPr>
        <w:t>with</w:t>
      </w:r>
      <w:r w:rsidRPr="00D52B1D">
        <w:rPr>
          <w:color w:val="000000"/>
          <w:spacing w:val="-4"/>
          <w:szCs w:val="24"/>
        </w:rPr>
        <w:t xml:space="preserve"> </w:t>
      </w:r>
      <w:r w:rsidRPr="00D52B1D">
        <w:rPr>
          <w:color w:val="000000"/>
          <w:szCs w:val="24"/>
        </w:rPr>
        <w:t>the</w:t>
      </w:r>
      <w:r w:rsidRPr="00D52B1D">
        <w:rPr>
          <w:color w:val="000000"/>
          <w:spacing w:val="-2"/>
          <w:szCs w:val="24"/>
        </w:rPr>
        <w:t xml:space="preserve"> </w:t>
      </w:r>
      <w:r w:rsidRPr="00D52B1D">
        <w:rPr>
          <w:color w:val="000000"/>
          <w:szCs w:val="24"/>
        </w:rPr>
        <w:t>scan</w:t>
      </w:r>
      <w:r w:rsidRPr="00D52B1D">
        <w:rPr>
          <w:color w:val="000000"/>
          <w:spacing w:val="-4"/>
          <w:szCs w:val="24"/>
        </w:rPr>
        <w:t xml:space="preserve"> </w:t>
      </w:r>
      <w:r w:rsidRPr="00D52B1D">
        <w:rPr>
          <w:color w:val="000000"/>
          <w:spacing w:val="1"/>
          <w:szCs w:val="24"/>
        </w:rPr>
        <w:t>r</w:t>
      </w:r>
      <w:r w:rsidRPr="00D52B1D">
        <w:rPr>
          <w:color w:val="000000"/>
          <w:szCs w:val="24"/>
        </w:rPr>
        <w:t>eque</w:t>
      </w:r>
      <w:r w:rsidRPr="00D52B1D">
        <w:rPr>
          <w:color w:val="000000"/>
          <w:spacing w:val="2"/>
          <w:szCs w:val="24"/>
        </w:rPr>
        <w:t>s</w:t>
      </w:r>
      <w:r w:rsidRPr="00D52B1D">
        <w:rPr>
          <w:color w:val="000000"/>
          <w:szCs w:val="24"/>
        </w:rPr>
        <w:t>t.</w:t>
      </w:r>
      <w:r w:rsidRPr="00D52B1D">
        <w:rPr>
          <w:color w:val="000000"/>
          <w:spacing w:val="-8"/>
          <w:szCs w:val="24"/>
        </w:rPr>
        <w:t xml:space="preserve"> </w:t>
      </w:r>
      <w:r w:rsidRPr="00D52B1D">
        <w:rPr>
          <w:color w:val="000000"/>
          <w:szCs w:val="24"/>
        </w:rPr>
        <w:t>As</w:t>
      </w:r>
      <w:r w:rsidRPr="00D52B1D">
        <w:rPr>
          <w:color w:val="000000"/>
          <w:spacing w:val="-2"/>
          <w:szCs w:val="24"/>
        </w:rPr>
        <w:t xml:space="preserve"> </w:t>
      </w:r>
      <w:r w:rsidRPr="00D52B1D">
        <w:rPr>
          <w:color w:val="000000"/>
          <w:szCs w:val="24"/>
        </w:rPr>
        <w:t>per</w:t>
      </w:r>
      <w:r w:rsidRPr="00D52B1D">
        <w:rPr>
          <w:color w:val="000000"/>
          <w:spacing w:val="-1"/>
          <w:szCs w:val="24"/>
        </w:rPr>
        <w:t xml:space="preserve"> </w:t>
      </w:r>
      <w:r w:rsidRPr="00D52B1D">
        <w:rPr>
          <w:color w:val="000000"/>
          <w:szCs w:val="24"/>
        </w:rPr>
        <w:t>the</w:t>
      </w:r>
      <w:r w:rsidRPr="00D52B1D">
        <w:rPr>
          <w:color w:val="000000"/>
          <w:spacing w:val="-3"/>
          <w:szCs w:val="24"/>
        </w:rPr>
        <w:t xml:space="preserve"> </w:t>
      </w:r>
      <w:r w:rsidRPr="00D52B1D">
        <w:rPr>
          <w:color w:val="000000"/>
          <w:szCs w:val="24"/>
        </w:rPr>
        <w:t>cur</w:t>
      </w:r>
      <w:r w:rsidRPr="00D52B1D">
        <w:rPr>
          <w:color w:val="000000"/>
          <w:spacing w:val="1"/>
          <w:szCs w:val="24"/>
        </w:rPr>
        <w:t>r</w:t>
      </w:r>
      <w:r w:rsidRPr="00D52B1D">
        <w:rPr>
          <w:color w:val="000000"/>
          <w:szCs w:val="24"/>
        </w:rPr>
        <w:t>ent</w:t>
      </w:r>
      <w:r w:rsidRPr="00D52B1D">
        <w:rPr>
          <w:color w:val="000000"/>
          <w:spacing w:val="-7"/>
          <w:szCs w:val="24"/>
        </w:rPr>
        <w:t xml:space="preserve"> </w:t>
      </w:r>
      <w:r w:rsidRPr="00D52B1D">
        <w:rPr>
          <w:color w:val="000000"/>
          <w:szCs w:val="24"/>
        </w:rPr>
        <w:t>M</w:t>
      </w:r>
      <w:r w:rsidRPr="00D52B1D">
        <w:rPr>
          <w:color w:val="000000"/>
          <w:spacing w:val="1"/>
          <w:szCs w:val="24"/>
        </w:rPr>
        <w:t>B</w:t>
      </w:r>
      <w:r w:rsidRPr="00D52B1D">
        <w:rPr>
          <w:color w:val="000000"/>
          <w:szCs w:val="24"/>
        </w:rPr>
        <w:t>S</w:t>
      </w:r>
      <w:r w:rsidRPr="00D52B1D">
        <w:rPr>
          <w:color w:val="000000"/>
          <w:spacing w:val="-4"/>
          <w:szCs w:val="24"/>
        </w:rPr>
        <w:t xml:space="preserve"> </w:t>
      </w:r>
      <w:r w:rsidRPr="00D52B1D">
        <w:rPr>
          <w:color w:val="000000"/>
          <w:szCs w:val="24"/>
        </w:rPr>
        <w:t>item</w:t>
      </w:r>
      <w:r w:rsidRPr="00D52B1D">
        <w:rPr>
          <w:color w:val="000000"/>
          <w:spacing w:val="-3"/>
          <w:szCs w:val="24"/>
        </w:rPr>
        <w:t xml:space="preserve"> </w:t>
      </w:r>
      <w:r w:rsidRPr="00D52B1D">
        <w:rPr>
          <w:color w:val="000000"/>
          <w:szCs w:val="24"/>
        </w:rPr>
        <w:t>de</w:t>
      </w:r>
      <w:r w:rsidRPr="00D52B1D">
        <w:rPr>
          <w:color w:val="000000"/>
          <w:spacing w:val="2"/>
          <w:szCs w:val="24"/>
        </w:rPr>
        <w:t>s</w:t>
      </w:r>
      <w:r w:rsidRPr="00D52B1D">
        <w:rPr>
          <w:color w:val="000000"/>
          <w:spacing w:val="-1"/>
          <w:szCs w:val="24"/>
        </w:rPr>
        <w:t>c</w:t>
      </w:r>
      <w:r w:rsidRPr="00D52B1D">
        <w:rPr>
          <w:color w:val="000000"/>
          <w:spacing w:val="1"/>
          <w:szCs w:val="24"/>
        </w:rPr>
        <w:t>r</w:t>
      </w:r>
      <w:r w:rsidRPr="00D52B1D">
        <w:rPr>
          <w:color w:val="000000"/>
          <w:szCs w:val="24"/>
        </w:rPr>
        <w:t>iptors</w:t>
      </w:r>
      <w:r w:rsidRPr="00D52B1D">
        <w:rPr>
          <w:color w:val="000000"/>
          <w:spacing w:val="-11"/>
          <w:szCs w:val="24"/>
        </w:rPr>
        <w:t xml:space="preserve"> </w:t>
      </w:r>
      <w:r w:rsidRPr="00D52B1D">
        <w:rPr>
          <w:color w:val="000000"/>
          <w:szCs w:val="24"/>
        </w:rPr>
        <w:t>(565</w:t>
      </w:r>
      <w:r w:rsidRPr="00D52B1D">
        <w:rPr>
          <w:color w:val="000000"/>
          <w:spacing w:val="1"/>
          <w:szCs w:val="24"/>
        </w:rPr>
        <w:t>5</w:t>
      </w:r>
      <w:r w:rsidRPr="00D52B1D">
        <w:rPr>
          <w:color w:val="000000"/>
          <w:szCs w:val="24"/>
        </w:rPr>
        <w:t>2</w:t>
      </w:r>
      <w:r w:rsidRPr="00D52B1D">
        <w:rPr>
          <w:color w:val="000000"/>
          <w:spacing w:val="-7"/>
          <w:szCs w:val="24"/>
        </w:rPr>
        <w:t xml:space="preserve"> </w:t>
      </w:r>
      <w:r w:rsidRPr="00D52B1D">
        <w:rPr>
          <w:color w:val="000000"/>
          <w:szCs w:val="24"/>
        </w:rPr>
        <w:t>and</w:t>
      </w:r>
      <w:r>
        <w:rPr>
          <w:color w:val="000000"/>
          <w:szCs w:val="24"/>
        </w:rPr>
        <w:t xml:space="preserve"> </w:t>
      </w:r>
      <w:r w:rsidRPr="00D52B1D">
        <w:rPr>
          <w:color w:val="000000"/>
          <w:szCs w:val="24"/>
        </w:rPr>
        <w:t>56554),</w:t>
      </w:r>
      <w:r w:rsidRPr="00D52B1D">
        <w:rPr>
          <w:color w:val="000000"/>
          <w:spacing w:val="-7"/>
          <w:szCs w:val="24"/>
        </w:rPr>
        <w:t xml:space="preserve"> </w:t>
      </w:r>
      <w:r w:rsidRPr="00D52B1D">
        <w:rPr>
          <w:color w:val="000000"/>
          <w:szCs w:val="24"/>
        </w:rPr>
        <w:t>the</w:t>
      </w:r>
      <w:r w:rsidRPr="00D52B1D">
        <w:rPr>
          <w:color w:val="000000"/>
          <w:spacing w:val="-2"/>
          <w:szCs w:val="24"/>
        </w:rPr>
        <w:t xml:space="preserve"> </w:t>
      </w:r>
      <w:r w:rsidRPr="00D52B1D">
        <w:rPr>
          <w:color w:val="000000"/>
          <w:szCs w:val="24"/>
        </w:rPr>
        <w:t>request</w:t>
      </w:r>
      <w:r w:rsidRPr="00D52B1D">
        <w:rPr>
          <w:color w:val="000000"/>
          <w:spacing w:val="-7"/>
          <w:szCs w:val="24"/>
        </w:rPr>
        <w:t xml:space="preserve"> </w:t>
      </w:r>
      <w:r w:rsidRPr="00D52B1D">
        <w:rPr>
          <w:color w:val="000000"/>
          <w:szCs w:val="24"/>
        </w:rPr>
        <w:t>for</w:t>
      </w:r>
      <w:r w:rsidRPr="00D52B1D">
        <w:rPr>
          <w:color w:val="000000"/>
          <w:spacing w:val="-2"/>
          <w:szCs w:val="24"/>
        </w:rPr>
        <w:t xml:space="preserve"> </w:t>
      </w:r>
      <w:r w:rsidRPr="00D52B1D">
        <w:rPr>
          <w:color w:val="000000"/>
          <w:szCs w:val="24"/>
        </w:rPr>
        <w:t>scan</w:t>
      </w:r>
      <w:r w:rsidRPr="00D52B1D">
        <w:rPr>
          <w:color w:val="000000"/>
          <w:spacing w:val="-4"/>
          <w:szCs w:val="24"/>
        </w:rPr>
        <w:t xml:space="preserve"> </w:t>
      </w:r>
      <w:r w:rsidRPr="00D52B1D">
        <w:rPr>
          <w:color w:val="000000"/>
          <w:szCs w:val="24"/>
        </w:rPr>
        <w:t>must</w:t>
      </w:r>
      <w:r w:rsidRPr="00D52B1D">
        <w:rPr>
          <w:color w:val="000000"/>
          <w:spacing w:val="-5"/>
          <w:szCs w:val="24"/>
        </w:rPr>
        <w:t xml:space="preserve"> </w:t>
      </w:r>
      <w:r w:rsidRPr="00D52B1D">
        <w:rPr>
          <w:color w:val="000000"/>
          <w:szCs w:val="24"/>
        </w:rPr>
        <w:t>indicate</w:t>
      </w:r>
      <w:r w:rsidRPr="00D52B1D">
        <w:rPr>
          <w:color w:val="000000"/>
          <w:spacing w:val="-8"/>
          <w:szCs w:val="24"/>
        </w:rPr>
        <w:t xml:space="preserve"> </w:t>
      </w:r>
      <w:r w:rsidRPr="00D52B1D">
        <w:rPr>
          <w:color w:val="000000"/>
          <w:szCs w:val="24"/>
        </w:rPr>
        <w:t>that:</w:t>
      </w:r>
    </w:p>
    <w:p w:rsidR="00E66C12" w:rsidRPr="00D52B1D" w:rsidRDefault="00E66C12" w:rsidP="00E66C12">
      <w:pPr>
        <w:widowControl w:val="0"/>
        <w:autoSpaceDE w:val="0"/>
        <w:autoSpaceDN w:val="0"/>
        <w:adjustRightInd w:val="0"/>
        <w:ind w:left="851" w:right="-20" w:hanging="371"/>
        <w:rPr>
          <w:color w:val="000000"/>
          <w:szCs w:val="24"/>
        </w:rPr>
      </w:pPr>
      <w:r w:rsidRPr="00D52B1D">
        <w:rPr>
          <w:color w:val="000000"/>
          <w:szCs w:val="24"/>
        </w:rPr>
        <w:t xml:space="preserve">1. </w:t>
      </w:r>
      <w:r w:rsidRPr="00D52B1D">
        <w:rPr>
          <w:color w:val="000000"/>
          <w:spacing w:val="34"/>
          <w:szCs w:val="24"/>
        </w:rPr>
        <w:t xml:space="preserve"> </w:t>
      </w:r>
      <w:proofErr w:type="gramStart"/>
      <w:r w:rsidRPr="00D52B1D">
        <w:rPr>
          <w:color w:val="000000"/>
          <w:szCs w:val="24"/>
        </w:rPr>
        <w:t>the</w:t>
      </w:r>
      <w:proofErr w:type="gramEnd"/>
      <w:r w:rsidRPr="00D52B1D">
        <w:rPr>
          <w:color w:val="000000"/>
          <w:spacing w:val="-2"/>
          <w:szCs w:val="24"/>
        </w:rPr>
        <w:t xml:space="preserve"> </w:t>
      </w:r>
      <w:r w:rsidRPr="00D52B1D">
        <w:rPr>
          <w:color w:val="000000"/>
          <w:szCs w:val="24"/>
        </w:rPr>
        <w:t>da</w:t>
      </w:r>
      <w:r w:rsidRPr="00D52B1D">
        <w:rPr>
          <w:color w:val="000000"/>
          <w:spacing w:val="1"/>
          <w:szCs w:val="24"/>
        </w:rPr>
        <w:t>t</w:t>
      </w:r>
      <w:r w:rsidRPr="00D52B1D">
        <w:rPr>
          <w:color w:val="000000"/>
          <w:szCs w:val="24"/>
        </w:rPr>
        <w:t>e</w:t>
      </w:r>
      <w:r w:rsidRPr="00D52B1D">
        <w:rPr>
          <w:color w:val="000000"/>
          <w:spacing w:val="-5"/>
          <w:szCs w:val="24"/>
        </w:rPr>
        <w:t xml:space="preserve"> </w:t>
      </w:r>
      <w:r w:rsidRPr="00D52B1D">
        <w:rPr>
          <w:color w:val="000000"/>
          <w:spacing w:val="1"/>
          <w:szCs w:val="24"/>
        </w:rPr>
        <w:t>a</w:t>
      </w:r>
      <w:r w:rsidRPr="00D52B1D">
        <w:rPr>
          <w:color w:val="000000"/>
          <w:szCs w:val="24"/>
        </w:rPr>
        <w:t>t</w:t>
      </w:r>
      <w:r w:rsidRPr="00D52B1D">
        <w:rPr>
          <w:color w:val="000000"/>
          <w:spacing w:val="-2"/>
          <w:szCs w:val="24"/>
        </w:rPr>
        <w:t xml:space="preserve"> </w:t>
      </w:r>
      <w:r w:rsidRPr="00D52B1D">
        <w:rPr>
          <w:color w:val="000000"/>
          <w:szCs w:val="24"/>
        </w:rPr>
        <w:t>which</w:t>
      </w:r>
      <w:r w:rsidRPr="00D52B1D">
        <w:rPr>
          <w:color w:val="000000"/>
          <w:spacing w:val="-5"/>
          <w:szCs w:val="24"/>
        </w:rPr>
        <w:t xml:space="preserve"> </w:t>
      </w:r>
      <w:r w:rsidRPr="00D52B1D">
        <w:rPr>
          <w:color w:val="000000"/>
          <w:szCs w:val="24"/>
        </w:rPr>
        <w:t>the</w:t>
      </w:r>
      <w:r w:rsidRPr="00D52B1D">
        <w:rPr>
          <w:color w:val="000000"/>
          <w:spacing w:val="-3"/>
          <w:szCs w:val="24"/>
        </w:rPr>
        <w:t xml:space="preserve"> </w:t>
      </w:r>
      <w:r w:rsidRPr="00D52B1D">
        <w:rPr>
          <w:color w:val="000000"/>
          <w:spacing w:val="1"/>
          <w:szCs w:val="24"/>
        </w:rPr>
        <w:t>p</w:t>
      </w:r>
      <w:r w:rsidRPr="00D52B1D">
        <w:rPr>
          <w:color w:val="000000"/>
          <w:szCs w:val="24"/>
        </w:rPr>
        <w:t>atient</w:t>
      </w:r>
      <w:r w:rsidRPr="00D52B1D">
        <w:rPr>
          <w:color w:val="000000"/>
          <w:spacing w:val="-7"/>
          <w:szCs w:val="24"/>
        </w:rPr>
        <w:t xml:space="preserve"> </w:t>
      </w:r>
      <w:r w:rsidRPr="00D52B1D">
        <w:rPr>
          <w:color w:val="000000"/>
          <w:szCs w:val="24"/>
        </w:rPr>
        <w:t>has</w:t>
      </w:r>
      <w:r w:rsidRPr="00D52B1D">
        <w:rPr>
          <w:color w:val="000000"/>
          <w:spacing w:val="-2"/>
          <w:szCs w:val="24"/>
        </w:rPr>
        <w:t xml:space="preserve"> </w:t>
      </w:r>
      <w:r w:rsidRPr="00D52B1D">
        <w:rPr>
          <w:color w:val="000000"/>
          <w:spacing w:val="1"/>
          <w:szCs w:val="24"/>
        </w:rPr>
        <w:t>u</w:t>
      </w:r>
      <w:r w:rsidRPr="00D52B1D">
        <w:rPr>
          <w:color w:val="000000"/>
          <w:szCs w:val="24"/>
        </w:rPr>
        <w:t>nder</w:t>
      </w:r>
      <w:r w:rsidRPr="00D52B1D">
        <w:rPr>
          <w:color w:val="000000"/>
          <w:spacing w:val="1"/>
          <w:szCs w:val="24"/>
        </w:rPr>
        <w:t>g</w:t>
      </w:r>
      <w:r w:rsidRPr="00D52B1D">
        <w:rPr>
          <w:color w:val="000000"/>
          <w:szCs w:val="24"/>
        </w:rPr>
        <w:t>one</w:t>
      </w:r>
      <w:r w:rsidRPr="00D52B1D">
        <w:rPr>
          <w:color w:val="000000"/>
          <w:spacing w:val="-10"/>
          <w:szCs w:val="24"/>
        </w:rPr>
        <w:t xml:space="preserve"> </w:t>
      </w:r>
      <w:r w:rsidRPr="00D52B1D">
        <w:rPr>
          <w:color w:val="000000"/>
          <w:szCs w:val="24"/>
        </w:rPr>
        <w:t>a prev</w:t>
      </w:r>
      <w:r w:rsidRPr="00D52B1D">
        <w:rPr>
          <w:color w:val="000000"/>
          <w:spacing w:val="1"/>
          <w:szCs w:val="24"/>
        </w:rPr>
        <w:t>i</w:t>
      </w:r>
      <w:r w:rsidRPr="00D52B1D">
        <w:rPr>
          <w:color w:val="000000"/>
          <w:szCs w:val="24"/>
        </w:rPr>
        <w:t>ous</w:t>
      </w:r>
      <w:r w:rsidRPr="00D52B1D">
        <w:rPr>
          <w:color w:val="000000"/>
          <w:spacing w:val="-8"/>
          <w:szCs w:val="24"/>
        </w:rPr>
        <w:t xml:space="preserve"> </w:t>
      </w:r>
      <w:r w:rsidRPr="00D52B1D">
        <w:rPr>
          <w:color w:val="000000"/>
          <w:szCs w:val="24"/>
        </w:rPr>
        <w:t>incomplete</w:t>
      </w:r>
      <w:r w:rsidRPr="00D52B1D">
        <w:rPr>
          <w:color w:val="000000"/>
          <w:spacing w:val="-10"/>
          <w:szCs w:val="24"/>
        </w:rPr>
        <w:t xml:space="preserve"> </w:t>
      </w:r>
      <w:r w:rsidRPr="00D52B1D">
        <w:rPr>
          <w:color w:val="000000"/>
          <w:szCs w:val="24"/>
        </w:rPr>
        <w:t>co</w:t>
      </w:r>
      <w:r w:rsidRPr="00D52B1D">
        <w:rPr>
          <w:color w:val="000000"/>
          <w:spacing w:val="1"/>
          <w:szCs w:val="24"/>
        </w:rPr>
        <w:t>l</w:t>
      </w:r>
      <w:r w:rsidRPr="00D52B1D">
        <w:rPr>
          <w:color w:val="000000"/>
          <w:szCs w:val="24"/>
        </w:rPr>
        <w:t>ono</w:t>
      </w:r>
      <w:r w:rsidRPr="00D52B1D">
        <w:rPr>
          <w:color w:val="000000"/>
          <w:spacing w:val="2"/>
          <w:szCs w:val="24"/>
        </w:rPr>
        <w:t>s</w:t>
      </w:r>
      <w:r w:rsidRPr="00D52B1D">
        <w:rPr>
          <w:color w:val="000000"/>
          <w:spacing w:val="-1"/>
          <w:szCs w:val="24"/>
        </w:rPr>
        <w:t>c</w:t>
      </w:r>
      <w:r w:rsidRPr="00D52B1D">
        <w:rPr>
          <w:color w:val="000000"/>
          <w:szCs w:val="24"/>
        </w:rPr>
        <w:t>opy</w:t>
      </w:r>
      <w:r w:rsidRPr="00D52B1D">
        <w:rPr>
          <w:color w:val="000000"/>
          <w:spacing w:val="-12"/>
          <w:szCs w:val="24"/>
        </w:rPr>
        <w:t xml:space="preserve"> </w:t>
      </w:r>
      <w:r w:rsidRPr="00D52B1D">
        <w:rPr>
          <w:color w:val="000000"/>
          <w:szCs w:val="24"/>
        </w:rPr>
        <w:t>is</w:t>
      </w:r>
      <w:r>
        <w:rPr>
          <w:color w:val="000000"/>
          <w:szCs w:val="24"/>
        </w:rPr>
        <w:t xml:space="preserve"> within </w:t>
      </w:r>
      <w:r w:rsidRPr="00D52B1D">
        <w:rPr>
          <w:color w:val="000000"/>
          <w:szCs w:val="24"/>
        </w:rPr>
        <w:t>t</w:t>
      </w:r>
      <w:r w:rsidRPr="00D52B1D">
        <w:rPr>
          <w:color w:val="000000"/>
          <w:spacing w:val="1"/>
          <w:szCs w:val="24"/>
        </w:rPr>
        <w:t>h</w:t>
      </w:r>
      <w:r w:rsidRPr="00D52B1D">
        <w:rPr>
          <w:color w:val="000000"/>
          <w:szCs w:val="24"/>
        </w:rPr>
        <w:t>e</w:t>
      </w:r>
      <w:r w:rsidRPr="00D52B1D">
        <w:rPr>
          <w:color w:val="000000"/>
          <w:spacing w:val="-2"/>
          <w:szCs w:val="24"/>
        </w:rPr>
        <w:t xml:space="preserve"> </w:t>
      </w:r>
      <w:r w:rsidRPr="00D52B1D">
        <w:rPr>
          <w:color w:val="000000"/>
          <w:spacing w:val="1"/>
          <w:szCs w:val="24"/>
        </w:rPr>
        <w:t>p</w:t>
      </w:r>
      <w:r w:rsidRPr="00D52B1D">
        <w:rPr>
          <w:color w:val="000000"/>
          <w:szCs w:val="24"/>
        </w:rPr>
        <w:t>revi</w:t>
      </w:r>
      <w:r w:rsidRPr="00D52B1D">
        <w:rPr>
          <w:color w:val="000000"/>
          <w:spacing w:val="1"/>
          <w:szCs w:val="24"/>
        </w:rPr>
        <w:t>o</w:t>
      </w:r>
      <w:r w:rsidRPr="00D52B1D">
        <w:rPr>
          <w:color w:val="000000"/>
          <w:szCs w:val="24"/>
        </w:rPr>
        <w:t>us</w:t>
      </w:r>
      <w:r w:rsidRPr="00D52B1D">
        <w:rPr>
          <w:color w:val="000000"/>
          <w:spacing w:val="-8"/>
          <w:szCs w:val="24"/>
        </w:rPr>
        <w:t xml:space="preserve"> </w:t>
      </w:r>
      <w:r w:rsidRPr="00D52B1D">
        <w:rPr>
          <w:color w:val="000000"/>
          <w:szCs w:val="24"/>
        </w:rPr>
        <w:t>th</w:t>
      </w:r>
      <w:r w:rsidRPr="00D52B1D">
        <w:rPr>
          <w:color w:val="000000"/>
          <w:spacing w:val="1"/>
          <w:szCs w:val="24"/>
        </w:rPr>
        <w:t>re</w:t>
      </w:r>
      <w:r>
        <w:rPr>
          <w:color w:val="000000"/>
          <w:szCs w:val="24"/>
        </w:rPr>
        <w:t>e months</w:t>
      </w:r>
      <w:r w:rsidRPr="00D52B1D">
        <w:rPr>
          <w:color w:val="000000"/>
          <w:w w:val="99"/>
          <w:szCs w:val="24"/>
        </w:rPr>
        <w:t>;</w:t>
      </w:r>
    </w:p>
    <w:p w:rsidR="00E66C12" w:rsidRPr="00D52B1D" w:rsidRDefault="00E66C12" w:rsidP="0004730F">
      <w:pPr>
        <w:widowControl w:val="0"/>
        <w:autoSpaceDE w:val="0"/>
        <w:autoSpaceDN w:val="0"/>
        <w:adjustRightInd w:val="0"/>
        <w:ind w:left="820" w:right="450" w:hanging="360"/>
        <w:rPr>
          <w:color w:val="000000"/>
        </w:rPr>
      </w:pPr>
      <w:r w:rsidRPr="00D52B1D">
        <w:rPr>
          <w:color w:val="000000"/>
        </w:rPr>
        <w:t xml:space="preserve">2. </w:t>
      </w:r>
      <w:r w:rsidRPr="00D52B1D">
        <w:rPr>
          <w:color w:val="000000"/>
          <w:spacing w:val="34"/>
        </w:rPr>
        <w:t xml:space="preserve"> </w:t>
      </w:r>
      <w:proofErr w:type="gramStart"/>
      <w:r w:rsidRPr="00D52B1D">
        <w:rPr>
          <w:color w:val="000000"/>
        </w:rPr>
        <w:t>the</w:t>
      </w:r>
      <w:proofErr w:type="gramEnd"/>
      <w:r w:rsidRPr="00D52B1D">
        <w:rPr>
          <w:color w:val="000000"/>
          <w:spacing w:val="-3"/>
        </w:rPr>
        <w:t xml:space="preserve"> </w:t>
      </w:r>
      <w:r w:rsidRPr="00D52B1D">
        <w:rPr>
          <w:color w:val="000000"/>
        </w:rPr>
        <w:t>pat</w:t>
      </w:r>
      <w:r w:rsidRPr="00D52B1D">
        <w:rPr>
          <w:color w:val="000000"/>
          <w:spacing w:val="2"/>
        </w:rPr>
        <w:t>i</w:t>
      </w:r>
      <w:r w:rsidRPr="00D52B1D">
        <w:rPr>
          <w:color w:val="000000"/>
        </w:rPr>
        <w:t>ent</w:t>
      </w:r>
      <w:r w:rsidRPr="00D52B1D">
        <w:rPr>
          <w:color w:val="000000"/>
          <w:spacing w:val="-7"/>
        </w:rPr>
        <w:t xml:space="preserve"> </w:t>
      </w:r>
      <w:r w:rsidRPr="00D52B1D">
        <w:rPr>
          <w:color w:val="000000"/>
          <w:spacing w:val="2"/>
        </w:rPr>
        <w:t>i</w:t>
      </w:r>
      <w:r w:rsidRPr="00D52B1D">
        <w:rPr>
          <w:color w:val="000000"/>
        </w:rPr>
        <w:t>s</w:t>
      </w:r>
      <w:r w:rsidRPr="00D52B1D">
        <w:rPr>
          <w:color w:val="000000"/>
          <w:spacing w:val="-1"/>
        </w:rPr>
        <w:t xml:space="preserve"> </w:t>
      </w:r>
      <w:r w:rsidRPr="00D52B1D">
        <w:rPr>
          <w:color w:val="000000"/>
        </w:rPr>
        <w:t>co</w:t>
      </w:r>
      <w:r w:rsidRPr="00D52B1D">
        <w:rPr>
          <w:color w:val="000000"/>
          <w:spacing w:val="1"/>
        </w:rPr>
        <w:t>n</w:t>
      </w:r>
      <w:r w:rsidRPr="00D52B1D">
        <w:rPr>
          <w:color w:val="000000"/>
        </w:rPr>
        <w:t>trai</w:t>
      </w:r>
      <w:r w:rsidRPr="00D52B1D">
        <w:rPr>
          <w:color w:val="000000"/>
          <w:spacing w:val="1"/>
        </w:rPr>
        <w:t>n</w:t>
      </w:r>
      <w:r w:rsidRPr="00D52B1D">
        <w:rPr>
          <w:color w:val="000000"/>
        </w:rPr>
        <w:t>dicated</w:t>
      </w:r>
      <w:r w:rsidRPr="00D52B1D">
        <w:rPr>
          <w:color w:val="000000"/>
          <w:spacing w:val="-15"/>
        </w:rPr>
        <w:t xml:space="preserve"> </w:t>
      </w:r>
      <w:r w:rsidRPr="00D52B1D">
        <w:rPr>
          <w:color w:val="000000"/>
          <w:spacing w:val="1"/>
        </w:rPr>
        <w:t>f</w:t>
      </w:r>
      <w:r w:rsidRPr="00D52B1D">
        <w:rPr>
          <w:color w:val="000000"/>
        </w:rPr>
        <w:t>or</w:t>
      </w:r>
      <w:r w:rsidRPr="00D52B1D">
        <w:rPr>
          <w:color w:val="000000"/>
          <w:spacing w:val="-2"/>
        </w:rPr>
        <w:t xml:space="preserve"> </w:t>
      </w:r>
      <w:r w:rsidRPr="00D52B1D">
        <w:rPr>
          <w:color w:val="000000"/>
        </w:rPr>
        <w:t>colonoscopy</w:t>
      </w:r>
      <w:r w:rsidRPr="00D52B1D">
        <w:rPr>
          <w:color w:val="000000"/>
          <w:spacing w:val="-11"/>
        </w:rPr>
        <w:t xml:space="preserve"> </w:t>
      </w:r>
      <w:r w:rsidRPr="00D52B1D">
        <w:rPr>
          <w:color w:val="000000"/>
        </w:rPr>
        <w:t>d</w:t>
      </w:r>
      <w:r w:rsidRPr="00D52B1D">
        <w:rPr>
          <w:color w:val="000000"/>
          <w:spacing w:val="1"/>
        </w:rPr>
        <w:t>u</w:t>
      </w:r>
      <w:r w:rsidRPr="00D52B1D">
        <w:rPr>
          <w:color w:val="000000"/>
        </w:rPr>
        <w:t>e</w:t>
      </w:r>
      <w:r w:rsidRPr="00D52B1D">
        <w:rPr>
          <w:color w:val="000000"/>
          <w:spacing w:val="-4"/>
        </w:rPr>
        <w:t xml:space="preserve"> </w:t>
      </w:r>
      <w:r w:rsidRPr="00D52B1D">
        <w:rPr>
          <w:color w:val="000000"/>
        </w:rPr>
        <w:t>to</w:t>
      </w:r>
      <w:r w:rsidRPr="00D52B1D">
        <w:rPr>
          <w:color w:val="000000"/>
          <w:spacing w:val="-2"/>
        </w:rPr>
        <w:t xml:space="preserve"> </w:t>
      </w:r>
      <w:r w:rsidRPr="00D52B1D">
        <w:rPr>
          <w:color w:val="000000"/>
        </w:rPr>
        <w:t>su</w:t>
      </w:r>
      <w:r w:rsidRPr="00D52B1D">
        <w:rPr>
          <w:color w:val="000000"/>
          <w:spacing w:val="2"/>
        </w:rPr>
        <w:t>s</w:t>
      </w:r>
      <w:r w:rsidRPr="00D52B1D">
        <w:rPr>
          <w:color w:val="000000"/>
        </w:rPr>
        <w:t>pec</w:t>
      </w:r>
      <w:r w:rsidRPr="00D52B1D">
        <w:rPr>
          <w:color w:val="000000"/>
          <w:spacing w:val="1"/>
        </w:rPr>
        <w:t>te</w:t>
      </w:r>
      <w:r w:rsidRPr="00D52B1D">
        <w:rPr>
          <w:color w:val="000000"/>
        </w:rPr>
        <w:t>d</w:t>
      </w:r>
      <w:r w:rsidRPr="00D52B1D">
        <w:rPr>
          <w:color w:val="000000"/>
          <w:spacing w:val="-10"/>
        </w:rPr>
        <w:t xml:space="preserve"> </w:t>
      </w:r>
      <w:r w:rsidRPr="00D52B1D">
        <w:rPr>
          <w:color w:val="000000"/>
        </w:rPr>
        <w:t>perfo</w:t>
      </w:r>
      <w:r w:rsidRPr="00D52B1D">
        <w:rPr>
          <w:color w:val="000000"/>
          <w:spacing w:val="1"/>
        </w:rPr>
        <w:t>r</w:t>
      </w:r>
      <w:r w:rsidRPr="00D52B1D">
        <w:rPr>
          <w:color w:val="000000"/>
        </w:rPr>
        <w:t>ation</w:t>
      </w:r>
      <w:r w:rsidRPr="00D52B1D">
        <w:rPr>
          <w:color w:val="000000"/>
          <w:spacing w:val="-11"/>
        </w:rPr>
        <w:t xml:space="preserve"> </w:t>
      </w:r>
      <w:r w:rsidRPr="00D52B1D">
        <w:rPr>
          <w:color w:val="000000"/>
        </w:rPr>
        <w:t>of</w:t>
      </w:r>
      <w:r w:rsidRPr="00D52B1D">
        <w:rPr>
          <w:color w:val="000000"/>
          <w:spacing w:val="-2"/>
        </w:rPr>
        <w:t xml:space="preserve"> </w:t>
      </w:r>
      <w:r w:rsidRPr="00D52B1D">
        <w:rPr>
          <w:color w:val="000000"/>
        </w:rPr>
        <w:t>t</w:t>
      </w:r>
      <w:r w:rsidRPr="00D52B1D">
        <w:rPr>
          <w:color w:val="000000"/>
          <w:spacing w:val="1"/>
        </w:rPr>
        <w:t>h</w:t>
      </w:r>
      <w:r w:rsidRPr="00D52B1D">
        <w:rPr>
          <w:color w:val="000000"/>
        </w:rPr>
        <w:t>e co</w:t>
      </w:r>
      <w:r w:rsidRPr="00D52B1D">
        <w:rPr>
          <w:color w:val="000000"/>
          <w:spacing w:val="1"/>
        </w:rPr>
        <w:t>l</w:t>
      </w:r>
      <w:r w:rsidRPr="00D52B1D">
        <w:rPr>
          <w:color w:val="000000"/>
        </w:rPr>
        <w:t>on,</w:t>
      </w:r>
      <w:r w:rsidRPr="00D52B1D">
        <w:rPr>
          <w:color w:val="000000"/>
          <w:spacing w:val="-6"/>
        </w:rPr>
        <w:t xml:space="preserve"> </w:t>
      </w:r>
      <w:r w:rsidRPr="00D52B1D">
        <w:rPr>
          <w:color w:val="000000"/>
        </w:rPr>
        <w:t>or</w:t>
      </w:r>
      <w:r w:rsidRPr="00D52B1D">
        <w:rPr>
          <w:color w:val="000000"/>
          <w:spacing w:val="-1"/>
        </w:rPr>
        <w:t xml:space="preserve"> </w:t>
      </w:r>
      <w:r w:rsidRPr="00D52B1D">
        <w:rPr>
          <w:color w:val="000000"/>
        </w:rPr>
        <w:t>complete</w:t>
      </w:r>
      <w:r w:rsidRPr="00D52B1D">
        <w:rPr>
          <w:color w:val="000000"/>
          <w:spacing w:val="-9"/>
        </w:rPr>
        <w:t xml:space="preserve"> </w:t>
      </w:r>
      <w:r w:rsidRPr="00D52B1D">
        <w:rPr>
          <w:color w:val="000000"/>
        </w:rPr>
        <w:t>or</w:t>
      </w:r>
      <w:r w:rsidRPr="00D52B1D">
        <w:rPr>
          <w:color w:val="000000"/>
          <w:spacing w:val="-2"/>
        </w:rPr>
        <w:t xml:space="preserve"> </w:t>
      </w:r>
      <w:r w:rsidRPr="00D52B1D">
        <w:rPr>
          <w:color w:val="000000"/>
        </w:rPr>
        <w:t>h</w:t>
      </w:r>
      <w:r w:rsidRPr="00D52B1D">
        <w:rPr>
          <w:color w:val="000000"/>
          <w:spacing w:val="2"/>
        </w:rPr>
        <w:t>i</w:t>
      </w:r>
      <w:r w:rsidRPr="00D52B1D">
        <w:rPr>
          <w:color w:val="000000"/>
        </w:rPr>
        <w:t>gh-grade</w:t>
      </w:r>
      <w:r w:rsidRPr="00D52B1D">
        <w:rPr>
          <w:color w:val="000000"/>
          <w:spacing w:val="-11"/>
        </w:rPr>
        <w:t xml:space="preserve"> </w:t>
      </w:r>
      <w:r w:rsidRPr="00D52B1D">
        <w:rPr>
          <w:color w:val="000000"/>
        </w:rPr>
        <w:t>obstruct</w:t>
      </w:r>
      <w:r w:rsidRPr="00D52B1D">
        <w:rPr>
          <w:color w:val="000000"/>
          <w:spacing w:val="1"/>
        </w:rPr>
        <w:t>i</w:t>
      </w:r>
      <w:r w:rsidRPr="00D52B1D">
        <w:rPr>
          <w:color w:val="000000"/>
        </w:rPr>
        <w:t>on</w:t>
      </w:r>
      <w:r w:rsidRPr="00D52B1D">
        <w:rPr>
          <w:color w:val="000000"/>
          <w:spacing w:val="-10"/>
        </w:rPr>
        <w:t xml:space="preserve"> </w:t>
      </w:r>
      <w:r w:rsidRPr="00D52B1D">
        <w:rPr>
          <w:color w:val="000000"/>
        </w:rPr>
        <w:t>that</w:t>
      </w:r>
      <w:r w:rsidRPr="00D52B1D">
        <w:rPr>
          <w:color w:val="000000"/>
          <w:spacing w:val="-4"/>
        </w:rPr>
        <w:t xml:space="preserve"> </w:t>
      </w:r>
      <w:r w:rsidRPr="00D52B1D">
        <w:rPr>
          <w:color w:val="000000"/>
        </w:rPr>
        <w:t>will</w:t>
      </w:r>
      <w:r w:rsidRPr="00D52B1D">
        <w:rPr>
          <w:color w:val="000000"/>
          <w:spacing w:val="-3"/>
        </w:rPr>
        <w:t xml:space="preserve"> </w:t>
      </w:r>
      <w:r w:rsidRPr="00D52B1D">
        <w:rPr>
          <w:color w:val="000000"/>
        </w:rPr>
        <w:t>not</w:t>
      </w:r>
      <w:r w:rsidRPr="00D52B1D">
        <w:rPr>
          <w:color w:val="000000"/>
          <w:spacing w:val="-3"/>
        </w:rPr>
        <w:t xml:space="preserve"> </w:t>
      </w:r>
      <w:r w:rsidRPr="00D52B1D">
        <w:rPr>
          <w:color w:val="000000"/>
        </w:rPr>
        <w:t>permit</w:t>
      </w:r>
      <w:r w:rsidRPr="00D52B1D">
        <w:rPr>
          <w:color w:val="000000"/>
          <w:spacing w:val="-6"/>
        </w:rPr>
        <w:t xml:space="preserve"> </w:t>
      </w:r>
      <w:r w:rsidRPr="00D52B1D">
        <w:rPr>
          <w:color w:val="000000"/>
        </w:rPr>
        <w:t>passage</w:t>
      </w:r>
      <w:r w:rsidRPr="00D52B1D">
        <w:rPr>
          <w:color w:val="000000"/>
          <w:spacing w:val="-8"/>
        </w:rPr>
        <w:t xml:space="preserve"> </w:t>
      </w:r>
      <w:r w:rsidRPr="00D52B1D">
        <w:rPr>
          <w:color w:val="000000"/>
        </w:rPr>
        <w:t>of</w:t>
      </w:r>
      <w:r w:rsidRPr="00D52B1D">
        <w:rPr>
          <w:color w:val="000000"/>
          <w:spacing w:val="-1"/>
        </w:rPr>
        <w:t xml:space="preserve"> </w:t>
      </w:r>
      <w:r w:rsidRPr="00D52B1D">
        <w:rPr>
          <w:color w:val="000000"/>
        </w:rPr>
        <w:t>the scope.</w:t>
      </w:r>
    </w:p>
    <w:p w:rsidR="003C5C2B" w:rsidRDefault="003C5C2B" w:rsidP="0004730F">
      <w:pPr>
        <w:widowControl w:val="0"/>
        <w:autoSpaceDE w:val="0"/>
        <w:autoSpaceDN w:val="0"/>
        <w:adjustRightInd w:val="0"/>
        <w:ind w:left="100" w:right="109"/>
        <w:rPr>
          <w:color w:val="000000"/>
        </w:rPr>
      </w:pPr>
    </w:p>
    <w:p w:rsidR="00E66C12" w:rsidRPr="00D52B1D" w:rsidRDefault="00E66C12" w:rsidP="0004730F">
      <w:pPr>
        <w:widowControl w:val="0"/>
        <w:autoSpaceDE w:val="0"/>
        <w:autoSpaceDN w:val="0"/>
        <w:adjustRightInd w:val="0"/>
        <w:ind w:left="102" w:right="109"/>
        <w:rPr>
          <w:color w:val="000000"/>
        </w:rPr>
      </w:pPr>
      <w:r w:rsidRPr="00D52B1D">
        <w:rPr>
          <w:color w:val="000000"/>
        </w:rPr>
        <w:t>The</w:t>
      </w:r>
      <w:r w:rsidRPr="00D52B1D">
        <w:rPr>
          <w:color w:val="000000"/>
          <w:spacing w:val="-4"/>
        </w:rPr>
        <w:t xml:space="preserve"> </w:t>
      </w:r>
      <w:r>
        <w:rPr>
          <w:color w:val="000000"/>
        </w:rPr>
        <w:t>application</w:t>
      </w:r>
      <w:r w:rsidRPr="00D52B1D">
        <w:rPr>
          <w:color w:val="000000"/>
          <w:spacing w:val="-9"/>
        </w:rPr>
        <w:t xml:space="preserve"> </w:t>
      </w:r>
      <w:r w:rsidRPr="00D52B1D">
        <w:rPr>
          <w:color w:val="000000"/>
        </w:rPr>
        <w:t>p</w:t>
      </w:r>
      <w:r w:rsidRPr="00D52B1D">
        <w:rPr>
          <w:color w:val="000000"/>
          <w:spacing w:val="1"/>
        </w:rPr>
        <w:t>r</w:t>
      </w:r>
      <w:r w:rsidRPr="00D52B1D">
        <w:rPr>
          <w:color w:val="000000"/>
        </w:rPr>
        <w:t>opose</w:t>
      </w:r>
      <w:r>
        <w:rPr>
          <w:color w:val="000000"/>
        </w:rPr>
        <w:t>d</w:t>
      </w:r>
      <w:r w:rsidRPr="00D52B1D">
        <w:rPr>
          <w:color w:val="000000"/>
          <w:spacing w:val="-8"/>
        </w:rPr>
        <w:t xml:space="preserve"> </w:t>
      </w:r>
      <w:r w:rsidRPr="00D52B1D">
        <w:rPr>
          <w:color w:val="000000"/>
        </w:rPr>
        <w:t>changes</w:t>
      </w:r>
      <w:r w:rsidRPr="00D52B1D">
        <w:rPr>
          <w:color w:val="000000"/>
          <w:spacing w:val="-7"/>
        </w:rPr>
        <w:t xml:space="preserve"> </w:t>
      </w:r>
      <w:r w:rsidRPr="00D52B1D">
        <w:rPr>
          <w:color w:val="000000"/>
        </w:rPr>
        <w:t>to</w:t>
      </w:r>
      <w:r w:rsidRPr="00D52B1D">
        <w:rPr>
          <w:color w:val="000000"/>
          <w:spacing w:val="-2"/>
        </w:rPr>
        <w:t xml:space="preserve"> </w:t>
      </w:r>
      <w:r w:rsidRPr="00D52B1D">
        <w:rPr>
          <w:color w:val="000000"/>
          <w:spacing w:val="2"/>
        </w:rPr>
        <w:t>i</w:t>
      </w:r>
      <w:r w:rsidRPr="00D52B1D">
        <w:rPr>
          <w:color w:val="000000"/>
        </w:rPr>
        <w:t>tem</w:t>
      </w:r>
      <w:r w:rsidRPr="00D52B1D">
        <w:rPr>
          <w:color w:val="000000"/>
          <w:spacing w:val="-4"/>
        </w:rPr>
        <w:t xml:space="preserve"> </w:t>
      </w:r>
      <w:r w:rsidRPr="00D52B1D">
        <w:rPr>
          <w:color w:val="000000"/>
        </w:rPr>
        <w:t>n</w:t>
      </w:r>
      <w:r w:rsidRPr="00D52B1D">
        <w:rPr>
          <w:color w:val="000000"/>
          <w:spacing w:val="-1"/>
        </w:rPr>
        <w:t>u</w:t>
      </w:r>
      <w:r w:rsidRPr="00D52B1D">
        <w:rPr>
          <w:color w:val="000000"/>
        </w:rPr>
        <w:t>mbe</w:t>
      </w:r>
      <w:r w:rsidRPr="00D52B1D">
        <w:rPr>
          <w:color w:val="000000"/>
          <w:spacing w:val="1"/>
        </w:rPr>
        <w:t>r</w:t>
      </w:r>
      <w:r w:rsidRPr="00D52B1D">
        <w:rPr>
          <w:color w:val="000000"/>
        </w:rPr>
        <w:t>s</w:t>
      </w:r>
      <w:r w:rsidRPr="00D52B1D">
        <w:rPr>
          <w:color w:val="000000"/>
          <w:spacing w:val="-8"/>
        </w:rPr>
        <w:t xml:space="preserve"> </w:t>
      </w:r>
      <w:r w:rsidRPr="00D52B1D">
        <w:rPr>
          <w:color w:val="000000"/>
        </w:rPr>
        <w:t>56552</w:t>
      </w:r>
      <w:r w:rsidRPr="00D52B1D">
        <w:rPr>
          <w:color w:val="000000"/>
          <w:spacing w:val="-6"/>
        </w:rPr>
        <w:t xml:space="preserve"> </w:t>
      </w:r>
      <w:r w:rsidRPr="00D52B1D">
        <w:rPr>
          <w:color w:val="000000"/>
        </w:rPr>
        <w:t>and</w:t>
      </w:r>
      <w:r w:rsidRPr="00D52B1D">
        <w:rPr>
          <w:color w:val="000000"/>
          <w:spacing w:val="-4"/>
        </w:rPr>
        <w:t xml:space="preserve"> </w:t>
      </w:r>
      <w:r w:rsidRPr="00D52B1D">
        <w:rPr>
          <w:color w:val="000000"/>
        </w:rPr>
        <w:t>56554</w:t>
      </w:r>
      <w:r w:rsidRPr="00D52B1D">
        <w:rPr>
          <w:color w:val="000000"/>
          <w:spacing w:val="-6"/>
        </w:rPr>
        <w:t xml:space="preserve"> </w:t>
      </w:r>
      <w:r w:rsidRPr="00D52B1D">
        <w:rPr>
          <w:color w:val="000000"/>
        </w:rPr>
        <w:t>in</w:t>
      </w:r>
      <w:r w:rsidRPr="00D52B1D">
        <w:rPr>
          <w:color w:val="000000"/>
          <w:spacing w:val="-1"/>
        </w:rPr>
        <w:t xml:space="preserve"> </w:t>
      </w:r>
      <w:r w:rsidRPr="00D52B1D">
        <w:rPr>
          <w:color w:val="000000"/>
        </w:rPr>
        <w:t>o</w:t>
      </w:r>
      <w:r w:rsidRPr="00D52B1D">
        <w:rPr>
          <w:color w:val="000000"/>
          <w:spacing w:val="1"/>
        </w:rPr>
        <w:t>r</w:t>
      </w:r>
      <w:r w:rsidRPr="00D52B1D">
        <w:rPr>
          <w:color w:val="000000"/>
        </w:rPr>
        <w:t>der</w:t>
      </w:r>
      <w:r w:rsidRPr="00D52B1D">
        <w:rPr>
          <w:color w:val="000000"/>
          <w:spacing w:val="-5"/>
        </w:rPr>
        <w:t xml:space="preserve"> </w:t>
      </w:r>
      <w:r w:rsidRPr="00D52B1D">
        <w:rPr>
          <w:color w:val="000000"/>
        </w:rPr>
        <w:t>to</w:t>
      </w:r>
      <w:r w:rsidRPr="00D52B1D">
        <w:rPr>
          <w:color w:val="000000"/>
          <w:spacing w:val="-1"/>
        </w:rPr>
        <w:t xml:space="preserve"> </w:t>
      </w:r>
      <w:r w:rsidRPr="00D52B1D">
        <w:rPr>
          <w:color w:val="000000"/>
        </w:rPr>
        <w:t>broaden</w:t>
      </w:r>
      <w:r w:rsidRPr="00D52B1D">
        <w:rPr>
          <w:color w:val="000000"/>
          <w:spacing w:val="-8"/>
        </w:rPr>
        <w:t xml:space="preserve"> </w:t>
      </w:r>
      <w:r w:rsidRPr="00D52B1D">
        <w:rPr>
          <w:color w:val="000000"/>
        </w:rPr>
        <w:t>the clinical</w:t>
      </w:r>
      <w:r w:rsidRPr="00D52B1D">
        <w:rPr>
          <w:color w:val="000000"/>
          <w:spacing w:val="-6"/>
        </w:rPr>
        <w:t xml:space="preserve"> </w:t>
      </w:r>
      <w:r w:rsidRPr="00D52B1D">
        <w:rPr>
          <w:color w:val="000000"/>
          <w:spacing w:val="2"/>
        </w:rPr>
        <w:t>i</w:t>
      </w:r>
      <w:r w:rsidRPr="00D52B1D">
        <w:rPr>
          <w:color w:val="000000"/>
        </w:rPr>
        <w:t>ndications</w:t>
      </w:r>
      <w:r w:rsidRPr="00D52B1D">
        <w:rPr>
          <w:color w:val="000000"/>
          <w:spacing w:val="-9"/>
        </w:rPr>
        <w:t xml:space="preserve"> </w:t>
      </w:r>
      <w:r w:rsidRPr="00D52B1D">
        <w:rPr>
          <w:color w:val="000000"/>
        </w:rPr>
        <w:t>under</w:t>
      </w:r>
      <w:r w:rsidRPr="00D52B1D">
        <w:rPr>
          <w:color w:val="000000"/>
          <w:spacing w:val="-6"/>
        </w:rPr>
        <w:t xml:space="preserve"> </w:t>
      </w:r>
      <w:r w:rsidRPr="00D52B1D">
        <w:rPr>
          <w:color w:val="000000"/>
        </w:rPr>
        <w:t>which</w:t>
      </w:r>
      <w:r w:rsidRPr="00D52B1D">
        <w:rPr>
          <w:color w:val="000000"/>
          <w:spacing w:val="-6"/>
        </w:rPr>
        <w:t xml:space="preserve"> </w:t>
      </w:r>
      <w:r w:rsidRPr="00D52B1D">
        <w:rPr>
          <w:color w:val="000000"/>
        </w:rPr>
        <w:t>CTC</w:t>
      </w:r>
      <w:r w:rsidRPr="00D52B1D">
        <w:rPr>
          <w:color w:val="000000"/>
          <w:spacing w:val="-4"/>
        </w:rPr>
        <w:t xml:space="preserve"> </w:t>
      </w:r>
      <w:r w:rsidRPr="00D52B1D">
        <w:rPr>
          <w:color w:val="000000"/>
          <w:spacing w:val="2"/>
        </w:rPr>
        <w:t>i</w:t>
      </w:r>
      <w:r w:rsidRPr="00D52B1D">
        <w:rPr>
          <w:color w:val="000000"/>
        </w:rPr>
        <w:t>s</w:t>
      </w:r>
      <w:r w:rsidRPr="00D52B1D">
        <w:rPr>
          <w:color w:val="000000"/>
          <w:spacing w:val="-1"/>
        </w:rPr>
        <w:t xml:space="preserve"> </w:t>
      </w:r>
      <w:r w:rsidRPr="00D52B1D">
        <w:rPr>
          <w:color w:val="000000"/>
        </w:rPr>
        <w:t>publi</w:t>
      </w:r>
      <w:r w:rsidRPr="00D52B1D">
        <w:rPr>
          <w:color w:val="000000"/>
          <w:spacing w:val="-3"/>
        </w:rPr>
        <w:t>c</w:t>
      </w:r>
      <w:r w:rsidRPr="00D52B1D">
        <w:rPr>
          <w:color w:val="000000"/>
          <w:spacing w:val="2"/>
        </w:rPr>
        <w:t>l</w:t>
      </w:r>
      <w:r w:rsidRPr="00D52B1D">
        <w:rPr>
          <w:color w:val="000000"/>
        </w:rPr>
        <w:t>y</w:t>
      </w:r>
      <w:r w:rsidRPr="00D52B1D">
        <w:rPr>
          <w:color w:val="000000"/>
          <w:spacing w:val="-7"/>
        </w:rPr>
        <w:t xml:space="preserve"> </w:t>
      </w:r>
      <w:r w:rsidRPr="00D52B1D">
        <w:rPr>
          <w:color w:val="000000"/>
        </w:rPr>
        <w:t>re</w:t>
      </w:r>
      <w:r w:rsidRPr="00D52B1D">
        <w:rPr>
          <w:color w:val="000000"/>
          <w:spacing w:val="1"/>
        </w:rPr>
        <w:t>i</w:t>
      </w:r>
      <w:r w:rsidRPr="00D52B1D">
        <w:rPr>
          <w:color w:val="000000"/>
        </w:rPr>
        <w:t>mburse</w:t>
      </w:r>
      <w:r w:rsidRPr="00D52B1D">
        <w:rPr>
          <w:color w:val="000000"/>
          <w:spacing w:val="1"/>
        </w:rPr>
        <w:t>d</w:t>
      </w:r>
      <w:r w:rsidRPr="00D52B1D">
        <w:rPr>
          <w:color w:val="000000"/>
        </w:rPr>
        <w:t>.</w:t>
      </w:r>
      <w:r w:rsidRPr="00D52B1D">
        <w:rPr>
          <w:color w:val="000000"/>
          <w:spacing w:val="-12"/>
        </w:rPr>
        <w:t xml:space="preserve"> </w:t>
      </w:r>
      <w:r>
        <w:rPr>
          <w:color w:val="000000"/>
          <w:spacing w:val="-12"/>
        </w:rPr>
        <w:t xml:space="preserve"> </w:t>
      </w:r>
      <w:r w:rsidRPr="00D52B1D">
        <w:rPr>
          <w:color w:val="000000"/>
          <w:spacing w:val="1"/>
        </w:rPr>
        <w:t>T</w:t>
      </w:r>
      <w:r w:rsidRPr="00D52B1D">
        <w:rPr>
          <w:color w:val="000000"/>
        </w:rPr>
        <w:t>he</w:t>
      </w:r>
      <w:r w:rsidRPr="00D52B1D">
        <w:rPr>
          <w:color w:val="000000"/>
          <w:spacing w:val="-4"/>
        </w:rPr>
        <w:t xml:space="preserve"> </w:t>
      </w:r>
      <w:r w:rsidRPr="00D52B1D">
        <w:rPr>
          <w:color w:val="000000"/>
        </w:rPr>
        <w:t>cha</w:t>
      </w:r>
      <w:r w:rsidRPr="00D52B1D">
        <w:rPr>
          <w:color w:val="000000"/>
          <w:spacing w:val="1"/>
        </w:rPr>
        <w:t>n</w:t>
      </w:r>
      <w:r w:rsidRPr="00D52B1D">
        <w:rPr>
          <w:color w:val="000000"/>
        </w:rPr>
        <w:t>ges</w:t>
      </w:r>
      <w:r w:rsidRPr="00D52B1D">
        <w:rPr>
          <w:color w:val="000000"/>
          <w:spacing w:val="-8"/>
        </w:rPr>
        <w:t xml:space="preserve"> </w:t>
      </w:r>
      <w:r w:rsidRPr="00D52B1D">
        <w:rPr>
          <w:color w:val="000000"/>
        </w:rPr>
        <w:t>would</w:t>
      </w:r>
      <w:r w:rsidRPr="00D52B1D">
        <w:rPr>
          <w:color w:val="000000"/>
          <w:spacing w:val="-6"/>
        </w:rPr>
        <w:t xml:space="preserve"> </w:t>
      </w:r>
      <w:r w:rsidRPr="00D52B1D">
        <w:rPr>
          <w:color w:val="000000"/>
          <w:spacing w:val="1"/>
        </w:rPr>
        <w:t>r</w:t>
      </w:r>
      <w:r w:rsidRPr="00D52B1D">
        <w:rPr>
          <w:color w:val="000000"/>
        </w:rPr>
        <w:t>esult</w:t>
      </w:r>
      <w:r w:rsidRPr="00D52B1D">
        <w:rPr>
          <w:color w:val="000000"/>
          <w:spacing w:val="-5"/>
        </w:rPr>
        <w:t xml:space="preserve"> </w:t>
      </w:r>
      <w:r w:rsidRPr="00D52B1D">
        <w:rPr>
          <w:color w:val="000000"/>
        </w:rPr>
        <w:t>in eligibility</w:t>
      </w:r>
      <w:r w:rsidRPr="00D52B1D">
        <w:rPr>
          <w:color w:val="000000"/>
          <w:spacing w:val="-6"/>
        </w:rPr>
        <w:t xml:space="preserve"> </w:t>
      </w:r>
      <w:r w:rsidRPr="00D52B1D">
        <w:rPr>
          <w:color w:val="000000"/>
        </w:rPr>
        <w:t>for</w:t>
      </w:r>
      <w:r w:rsidRPr="00D52B1D">
        <w:rPr>
          <w:color w:val="000000"/>
          <w:spacing w:val="-3"/>
        </w:rPr>
        <w:t xml:space="preserve"> </w:t>
      </w:r>
      <w:r w:rsidRPr="00D52B1D">
        <w:rPr>
          <w:color w:val="000000"/>
        </w:rPr>
        <w:t>CTC</w:t>
      </w:r>
      <w:r w:rsidRPr="00D52B1D">
        <w:rPr>
          <w:color w:val="000000"/>
          <w:spacing w:val="-4"/>
        </w:rPr>
        <w:t xml:space="preserve"> </w:t>
      </w:r>
      <w:r w:rsidRPr="00D52B1D">
        <w:rPr>
          <w:color w:val="000000"/>
        </w:rPr>
        <w:t>a</w:t>
      </w:r>
      <w:r w:rsidRPr="00D52B1D">
        <w:rPr>
          <w:color w:val="000000"/>
          <w:spacing w:val="2"/>
        </w:rPr>
        <w:t>m</w:t>
      </w:r>
      <w:r w:rsidRPr="00D52B1D">
        <w:rPr>
          <w:color w:val="000000"/>
        </w:rPr>
        <w:t>ong</w:t>
      </w:r>
      <w:r w:rsidRPr="00D52B1D">
        <w:rPr>
          <w:color w:val="000000"/>
          <w:spacing w:val="-7"/>
        </w:rPr>
        <w:t xml:space="preserve"> </w:t>
      </w:r>
      <w:r w:rsidRPr="00D52B1D">
        <w:rPr>
          <w:color w:val="000000"/>
        </w:rPr>
        <w:t>pat</w:t>
      </w:r>
      <w:r w:rsidRPr="00D52B1D">
        <w:rPr>
          <w:color w:val="000000"/>
          <w:spacing w:val="2"/>
        </w:rPr>
        <w:t>i</w:t>
      </w:r>
      <w:r w:rsidRPr="00D52B1D">
        <w:rPr>
          <w:color w:val="000000"/>
        </w:rPr>
        <w:t>ents</w:t>
      </w:r>
      <w:r w:rsidRPr="00D52B1D">
        <w:rPr>
          <w:color w:val="000000"/>
          <w:spacing w:val="-8"/>
        </w:rPr>
        <w:t xml:space="preserve"> </w:t>
      </w:r>
      <w:r w:rsidRPr="00D52B1D">
        <w:rPr>
          <w:color w:val="000000"/>
        </w:rPr>
        <w:t>who</w:t>
      </w:r>
      <w:r w:rsidRPr="00D52B1D">
        <w:rPr>
          <w:color w:val="000000"/>
          <w:spacing w:val="-4"/>
        </w:rPr>
        <w:t xml:space="preserve"> </w:t>
      </w:r>
      <w:r w:rsidRPr="00D52B1D">
        <w:rPr>
          <w:color w:val="000000"/>
        </w:rPr>
        <w:t>have</w:t>
      </w:r>
      <w:r w:rsidRPr="00D52B1D">
        <w:rPr>
          <w:color w:val="000000"/>
          <w:spacing w:val="-4"/>
        </w:rPr>
        <w:t xml:space="preserve"> </w:t>
      </w:r>
      <w:r w:rsidRPr="00D52B1D">
        <w:rPr>
          <w:color w:val="000000"/>
        </w:rPr>
        <w:t>unde</w:t>
      </w:r>
      <w:r w:rsidRPr="00D52B1D">
        <w:rPr>
          <w:color w:val="000000"/>
          <w:spacing w:val="-3"/>
        </w:rPr>
        <w:t>r</w:t>
      </w:r>
      <w:r w:rsidRPr="00D52B1D">
        <w:rPr>
          <w:color w:val="000000"/>
        </w:rPr>
        <w:t>gone</w:t>
      </w:r>
      <w:r w:rsidRPr="00D52B1D">
        <w:rPr>
          <w:color w:val="000000"/>
          <w:spacing w:val="-10"/>
        </w:rPr>
        <w:t xml:space="preserve"> </w:t>
      </w:r>
      <w:r w:rsidRPr="00D52B1D">
        <w:rPr>
          <w:color w:val="000000"/>
        </w:rPr>
        <w:t>a previous</w:t>
      </w:r>
      <w:r w:rsidRPr="00D52B1D">
        <w:rPr>
          <w:color w:val="000000"/>
          <w:spacing w:val="-8"/>
        </w:rPr>
        <w:t xml:space="preserve"> </w:t>
      </w:r>
      <w:r w:rsidRPr="00D52B1D">
        <w:rPr>
          <w:color w:val="000000"/>
        </w:rPr>
        <w:t>inco</w:t>
      </w:r>
      <w:r w:rsidRPr="00D52B1D">
        <w:rPr>
          <w:color w:val="000000"/>
          <w:spacing w:val="2"/>
        </w:rPr>
        <w:t>m</w:t>
      </w:r>
      <w:r w:rsidRPr="00D52B1D">
        <w:rPr>
          <w:color w:val="000000"/>
        </w:rPr>
        <w:t>plete</w:t>
      </w:r>
      <w:r w:rsidRPr="00D52B1D">
        <w:rPr>
          <w:color w:val="000000"/>
          <w:spacing w:val="-11"/>
        </w:rPr>
        <w:t xml:space="preserve"> </w:t>
      </w:r>
      <w:r w:rsidRPr="00D52B1D">
        <w:rPr>
          <w:color w:val="000000"/>
        </w:rPr>
        <w:t>or</w:t>
      </w:r>
      <w:r w:rsidRPr="00D52B1D">
        <w:rPr>
          <w:color w:val="000000"/>
          <w:spacing w:val="-2"/>
        </w:rPr>
        <w:t xml:space="preserve"> </w:t>
      </w:r>
      <w:r w:rsidRPr="00D52B1D">
        <w:rPr>
          <w:color w:val="000000"/>
        </w:rPr>
        <w:t>technically difficult</w:t>
      </w:r>
      <w:r w:rsidRPr="00D52B1D">
        <w:rPr>
          <w:color w:val="000000"/>
          <w:spacing w:val="-6"/>
        </w:rPr>
        <w:t xml:space="preserve"> </w:t>
      </w:r>
      <w:r w:rsidRPr="00D52B1D">
        <w:rPr>
          <w:color w:val="000000"/>
        </w:rPr>
        <w:t>co</w:t>
      </w:r>
      <w:r w:rsidRPr="00D52B1D">
        <w:rPr>
          <w:color w:val="000000"/>
          <w:spacing w:val="1"/>
        </w:rPr>
        <w:t>lo</w:t>
      </w:r>
      <w:r w:rsidRPr="00D52B1D">
        <w:rPr>
          <w:color w:val="000000"/>
        </w:rPr>
        <w:t>noscopy</w:t>
      </w:r>
      <w:r w:rsidRPr="00D52B1D">
        <w:rPr>
          <w:color w:val="000000"/>
          <w:spacing w:val="-12"/>
        </w:rPr>
        <w:t xml:space="preserve"> </w:t>
      </w:r>
      <w:r w:rsidRPr="00D52B1D">
        <w:rPr>
          <w:color w:val="000000"/>
        </w:rPr>
        <w:t>at</w:t>
      </w:r>
      <w:r w:rsidRPr="00D52B1D">
        <w:rPr>
          <w:color w:val="000000"/>
          <w:spacing w:val="-1"/>
        </w:rPr>
        <w:t xml:space="preserve"> </w:t>
      </w:r>
      <w:r w:rsidRPr="00D52B1D">
        <w:rPr>
          <w:color w:val="000000"/>
        </w:rPr>
        <w:t>any</w:t>
      </w:r>
      <w:r w:rsidRPr="00D52B1D">
        <w:rPr>
          <w:color w:val="000000"/>
          <w:spacing w:val="-3"/>
        </w:rPr>
        <w:t xml:space="preserve"> </w:t>
      </w:r>
      <w:r w:rsidRPr="00D52B1D">
        <w:rPr>
          <w:color w:val="000000"/>
        </w:rPr>
        <w:t>ti</w:t>
      </w:r>
      <w:r w:rsidRPr="00D52B1D">
        <w:rPr>
          <w:color w:val="000000"/>
          <w:spacing w:val="2"/>
        </w:rPr>
        <w:t>m</w:t>
      </w:r>
      <w:r w:rsidRPr="00D52B1D">
        <w:rPr>
          <w:color w:val="000000"/>
        </w:rPr>
        <w:t>e,</w:t>
      </w:r>
      <w:r w:rsidRPr="00D52B1D">
        <w:rPr>
          <w:color w:val="000000"/>
          <w:spacing w:val="-5"/>
        </w:rPr>
        <w:t xml:space="preserve"> </w:t>
      </w:r>
      <w:r w:rsidRPr="00D52B1D">
        <w:rPr>
          <w:color w:val="000000"/>
        </w:rPr>
        <w:t>a</w:t>
      </w:r>
      <w:r w:rsidRPr="00D52B1D">
        <w:rPr>
          <w:color w:val="000000"/>
          <w:spacing w:val="1"/>
        </w:rPr>
        <w:t>n</w:t>
      </w:r>
      <w:r w:rsidRPr="00D52B1D">
        <w:rPr>
          <w:color w:val="000000"/>
        </w:rPr>
        <w:t>d</w:t>
      </w:r>
      <w:r w:rsidRPr="00D52B1D">
        <w:rPr>
          <w:color w:val="000000"/>
          <w:spacing w:val="-4"/>
        </w:rPr>
        <w:t xml:space="preserve"> </w:t>
      </w:r>
      <w:r w:rsidRPr="00D52B1D">
        <w:rPr>
          <w:color w:val="000000"/>
        </w:rPr>
        <w:t>t</w:t>
      </w:r>
      <w:r w:rsidRPr="00D52B1D">
        <w:rPr>
          <w:color w:val="000000"/>
          <w:spacing w:val="1"/>
        </w:rPr>
        <w:t>h</w:t>
      </w:r>
      <w:r w:rsidRPr="00D52B1D">
        <w:rPr>
          <w:color w:val="000000"/>
        </w:rPr>
        <w:t>ose</w:t>
      </w:r>
      <w:r w:rsidRPr="00D52B1D">
        <w:rPr>
          <w:color w:val="000000"/>
          <w:spacing w:val="-5"/>
        </w:rPr>
        <w:t xml:space="preserve"> </w:t>
      </w:r>
      <w:r w:rsidRPr="00D52B1D">
        <w:rPr>
          <w:color w:val="000000"/>
          <w:spacing w:val="1"/>
        </w:rPr>
        <w:t>w</w:t>
      </w:r>
      <w:r w:rsidRPr="00D52B1D">
        <w:rPr>
          <w:color w:val="000000"/>
        </w:rPr>
        <w:t>ho</w:t>
      </w:r>
      <w:r w:rsidRPr="00D52B1D">
        <w:rPr>
          <w:color w:val="000000"/>
          <w:spacing w:val="-4"/>
        </w:rPr>
        <w:t xml:space="preserve"> </w:t>
      </w:r>
      <w:r w:rsidRPr="00D52B1D">
        <w:rPr>
          <w:color w:val="000000"/>
        </w:rPr>
        <w:t>ha</w:t>
      </w:r>
      <w:r w:rsidRPr="00D52B1D">
        <w:rPr>
          <w:color w:val="000000"/>
          <w:spacing w:val="1"/>
        </w:rPr>
        <w:t>v</w:t>
      </w:r>
      <w:r w:rsidRPr="00D52B1D">
        <w:rPr>
          <w:color w:val="000000"/>
        </w:rPr>
        <w:t>e</w:t>
      </w:r>
      <w:r w:rsidRPr="00D52B1D">
        <w:rPr>
          <w:color w:val="000000"/>
          <w:spacing w:val="-6"/>
        </w:rPr>
        <w:t xml:space="preserve"> </w:t>
      </w:r>
      <w:r w:rsidRPr="00D52B1D">
        <w:rPr>
          <w:color w:val="000000"/>
        </w:rPr>
        <w:t>co</w:t>
      </w:r>
      <w:r w:rsidRPr="00D52B1D">
        <w:rPr>
          <w:color w:val="000000"/>
          <w:spacing w:val="1"/>
        </w:rPr>
        <w:t>n</w:t>
      </w:r>
      <w:r w:rsidRPr="00D52B1D">
        <w:rPr>
          <w:color w:val="000000"/>
        </w:rPr>
        <w:t>tr</w:t>
      </w:r>
      <w:r w:rsidRPr="00D52B1D">
        <w:rPr>
          <w:color w:val="000000"/>
          <w:spacing w:val="1"/>
        </w:rPr>
        <w:t>a</w:t>
      </w:r>
      <w:r w:rsidRPr="00D52B1D">
        <w:rPr>
          <w:color w:val="000000"/>
        </w:rPr>
        <w:t>indicat</w:t>
      </w:r>
      <w:r w:rsidRPr="00D52B1D">
        <w:rPr>
          <w:color w:val="000000"/>
          <w:spacing w:val="2"/>
        </w:rPr>
        <w:t>i</w:t>
      </w:r>
      <w:r w:rsidRPr="00D52B1D">
        <w:rPr>
          <w:color w:val="000000"/>
        </w:rPr>
        <w:t>ons</w:t>
      </w:r>
      <w:r w:rsidRPr="00D52B1D">
        <w:rPr>
          <w:color w:val="000000"/>
          <w:spacing w:val="-15"/>
        </w:rPr>
        <w:t xml:space="preserve"> </w:t>
      </w:r>
      <w:r w:rsidRPr="00D52B1D">
        <w:rPr>
          <w:color w:val="000000"/>
          <w:spacing w:val="1"/>
        </w:rPr>
        <w:t>t</w:t>
      </w:r>
      <w:r w:rsidRPr="00D52B1D">
        <w:rPr>
          <w:color w:val="000000"/>
        </w:rPr>
        <w:t>o</w:t>
      </w:r>
      <w:r w:rsidRPr="00D52B1D">
        <w:rPr>
          <w:color w:val="000000"/>
          <w:spacing w:val="-3"/>
        </w:rPr>
        <w:t xml:space="preserve"> </w:t>
      </w:r>
      <w:r w:rsidRPr="00D52B1D">
        <w:rPr>
          <w:color w:val="000000"/>
        </w:rPr>
        <w:t>colono</w:t>
      </w:r>
      <w:r w:rsidRPr="00D52B1D">
        <w:rPr>
          <w:color w:val="000000"/>
          <w:spacing w:val="2"/>
        </w:rPr>
        <w:t>s</w:t>
      </w:r>
      <w:r w:rsidRPr="00D52B1D">
        <w:rPr>
          <w:color w:val="000000"/>
          <w:spacing w:val="-1"/>
        </w:rPr>
        <w:t>c</w:t>
      </w:r>
      <w:r w:rsidRPr="00D52B1D">
        <w:rPr>
          <w:color w:val="000000"/>
        </w:rPr>
        <w:t>opy</w:t>
      </w:r>
      <w:r w:rsidRPr="00D52B1D">
        <w:rPr>
          <w:color w:val="000000"/>
          <w:spacing w:val="-12"/>
        </w:rPr>
        <w:t xml:space="preserve"> </w:t>
      </w:r>
      <w:r w:rsidRPr="00D52B1D">
        <w:rPr>
          <w:color w:val="000000"/>
        </w:rPr>
        <w:t>as determined</w:t>
      </w:r>
      <w:r w:rsidRPr="00D52B1D">
        <w:rPr>
          <w:color w:val="000000"/>
          <w:spacing w:val="-10"/>
        </w:rPr>
        <w:t xml:space="preserve"> </w:t>
      </w:r>
      <w:r w:rsidRPr="00D52B1D">
        <w:rPr>
          <w:color w:val="000000"/>
        </w:rPr>
        <w:t>by</w:t>
      </w:r>
      <w:r w:rsidRPr="00D52B1D">
        <w:rPr>
          <w:color w:val="000000"/>
          <w:spacing w:val="-2"/>
        </w:rPr>
        <w:t xml:space="preserve"> </w:t>
      </w:r>
      <w:r w:rsidRPr="00D52B1D">
        <w:rPr>
          <w:color w:val="000000"/>
        </w:rPr>
        <w:t>their</w:t>
      </w:r>
      <w:r w:rsidRPr="00D52B1D">
        <w:rPr>
          <w:color w:val="000000"/>
          <w:spacing w:val="-3"/>
        </w:rPr>
        <w:t xml:space="preserve"> </w:t>
      </w:r>
      <w:r w:rsidRPr="00D52B1D">
        <w:rPr>
          <w:color w:val="000000"/>
        </w:rPr>
        <w:t>clin</w:t>
      </w:r>
      <w:r w:rsidRPr="00D52B1D">
        <w:rPr>
          <w:color w:val="000000"/>
          <w:spacing w:val="2"/>
        </w:rPr>
        <w:t>i</w:t>
      </w:r>
      <w:r w:rsidRPr="00D52B1D">
        <w:rPr>
          <w:color w:val="000000"/>
          <w:spacing w:val="-1"/>
        </w:rPr>
        <w:t>c</w:t>
      </w:r>
      <w:r w:rsidRPr="00D52B1D">
        <w:rPr>
          <w:color w:val="000000"/>
        </w:rPr>
        <w:t>ian.</w:t>
      </w:r>
      <w:r w:rsidRPr="00D52B1D">
        <w:rPr>
          <w:color w:val="000000"/>
          <w:spacing w:val="-4"/>
        </w:rPr>
        <w:t xml:space="preserve"> </w:t>
      </w:r>
      <w:r w:rsidRPr="00D52B1D">
        <w:rPr>
          <w:color w:val="000000"/>
        </w:rPr>
        <w:t>In</w:t>
      </w:r>
      <w:r w:rsidRPr="00D52B1D">
        <w:rPr>
          <w:color w:val="000000"/>
          <w:spacing w:val="-2"/>
        </w:rPr>
        <w:t xml:space="preserve"> </w:t>
      </w:r>
      <w:r w:rsidRPr="00D52B1D">
        <w:rPr>
          <w:color w:val="000000"/>
        </w:rPr>
        <w:t>addit</w:t>
      </w:r>
      <w:r w:rsidRPr="00D52B1D">
        <w:rPr>
          <w:color w:val="000000"/>
          <w:spacing w:val="2"/>
        </w:rPr>
        <w:t>i</w:t>
      </w:r>
      <w:r w:rsidRPr="00D52B1D">
        <w:rPr>
          <w:color w:val="000000"/>
        </w:rPr>
        <w:t>o</w:t>
      </w:r>
      <w:r w:rsidRPr="00D52B1D">
        <w:rPr>
          <w:color w:val="000000"/>
          <w:spacing w:val="1"/>
        </w:rPr>
        <w:t>n</w:t>
      </w:r>
      <w:r w:rsidRPr="00D52B1D">
        <w:rPr>
          <w:color w:val="000000"/>
        </w:rPr>
        <w:t>,</w:t>
      </w:r>
      <w:r w:rsidRPr="00D52B1D">
        <w:rPr>
          <w:color w:val="000000"/>
          <w:spacing w:val="-8"/>
        </w:rPr>
        <w:t xml:space="preserve"> </w:t>
      </w:r>
      <w:r w:rsidRPr="00D52B1D">
        <w:rPr>
          <w:color w:val="000000"/>
        </w:rPr>
        <w:t>the</w:t>
      </w:r>
      <w:r w:rsidRPr="00D52B1D">
        <w:rPr>
          <w:color w:val="000000"/>
          <w:spacing w:val="-3"/>
        </w:rPr>
        <w:t xml:space="preserve"> </w:t>
      </w:r>
      <w:r>
        <w:rPr>
          <w:color w:val="000000"/>
        </w:rPr>
        <w:t>application</w:t>
      </w:r>
      <w:r w:rsidRPr="00D52B1D">
        <w:rPr>
          <w:color w:val="000000"/>
          <w:spacing w:val="-9"/>
        </w:rPr>
        <w:t xml:space="preserve"> </w:t>
      </w:r>
      <w:r w:rsidRPr="00D52B1D">
        <w:rPr>
          <w:color w:val="000000"/>
          <w:spacing w:val="2"/>
        </w:rPr>
        <w:t>s</w:t>
      </w:r>
      <w:r w:rsidRPr="00D52B1D">
        <w:rPr>
          <w:color w:val="000000"/>
        </w:rPr>
        <w:t>ugge</w:t>
      </w:r>
      <w:r w:rsidRPr="00D52B1D">
        <w:rPr>
          <w:color w:val="000000"/>
          <w:spacing w:val="2"/>
        </w:rPr>
        <w:t>s</w:t>
      </w:r>
      <w:r w:rsidRPr="00D52B1D">
        <w:rPr>
          <w:color w:val="000000"/>
        </w:rPr>
        <w:t>t</w:t>
      </w:r>
      <w:r>
        <w:rPr>
          <w:color w:val="000000"/>
        </w:rPr>
        <w:t>ed</w:t>
      </w:r>
      <w:r w:rsidRPr="00D52B1D">
        <w:rPr>
          <w:color w:val="000000"/>
          <w:spacing w:val="-8"/>
        </w:rPr>
        <w:t xml:space="preserve"> </w:t>
      </w:r>
      <w:r w:rsidRPr="00D52B1D">
        <w:rPr>
          <w:color w:val="000000"/>
        </w:rPr>
        <w:t>elig</w:t>
      </w:r>
      <w:r w:rsidRPr="00D52B1D">
        <w:rPr>
          <w:color w:val="000000"/>
          <w:spacing w:val="2"/>
        </w:rPr>
        <w:t>i</w:t>
      </w:r>
      <w:r w:rsidRPr="00D52B1D">
        <w:rPr>
          <w:color w:val="000000"/>
        </w:rPr>
        <w:t>bility</w:t>
      </w:r>
      <w:r w:rsidRPr="00D52B1D">
        <w:rPr>
          <w:color w:val="000000"/>
          <w:spacing w:val="-9"/>
        </w:rPr>
        <w:t xml:space="preserve"> </w:t>
      </w:r>
      <w:r w:rsidRPr="00D52B1D">
        <w:rPr>
          <w:color w:val="000000"/>
        </w:rPr>
        <w:t>of</w:t>
      </w:r>
      <w:r w:rsidRPr="00D52B1D">
        <w:rPr>
          <w:color w:val="000000"/>
          <w:spacing w:val="-2"/>
        </w:rPr>
        <w:t xml:space="preserve"> </w:t>
      </w:r>
      <w:r w:rsidRPr="00D52B1D">
        <w:rPr>
          <w:color w:val="000000"/>
        </w:rPr>
        <w:t>pat</w:t>
      </w:r>
      <w:r w:rsidRPr="00D52B1D">
        <w:rPr>
          <w:color w:val="000000"/>
          <w:spacing w:val="2"/>
        </w:rPr>
        <w:t>i</w:t>
      </w:r>
      <w:r w:rsidRPr="00D52B1D">
        <w:rPr>
          <w:color w:val="000000"/>
        </w:rPr>
        <w:t>ents</w:t>
      </w:r>
      <w:r w:rsidRPr="00D52B1D">
        <w:rPr>
          <w:color w:val="000000"/>
          <w:spacing w:val="-7"/>
        </w:rPr>
        <w:t xml:space="preserve"> </w:t>
      </w:r>
      <w:r w:rsidRPr="00D52B1D">
        <w:rPr>
          <w:color w:val="000000"/>
        </w:rPr>
        <w:t>for</w:t>
      </w:r>
      <w:r w:rsidRPr="00D52B1D">
        <w:rPr>
          <w:color w:val="000000"/>
          <w:spacing w:val="-3"/>
        </w:rPr>
        <w:t xml:space="preserve"> </w:t>
      </w:r>
      <w:r w:rsidRPr="00D52B1D">
        <w:rPr>
          <w:color w:val="000000"/>
          <w:spacing w:val="1"/>
        </w:rPr>
        <w:t>w</w:t>
      </w:r>
      <w:r w:rsidRPr="00D52B1D">
        <w:rPr>
          <w:color w:val="000000"/>
        </w:rPr>
        <w:t>hom</w:t>
      </w:r>
      <w:r w:rsidRPr="00D52B1D">
        <w:rPr>
          <w:color w:val="000000"/>
          <w:spacing w:val="-6"/>
        </w:rPr>
        <w:t xml:space="preserve"> </w:t>
      </w:r>
      <w:r w:rsidRPr="00D52B1D">
        <w:rPr>
          <w:color w:val="000000"/>
        </w:rPr>
        <w:t>access</w:t>
      </w:r>
      <w:r w:rsidRPr="00D52B1D">
        <w:rPr>
          <w:color w:val="000000"/>
          <w:spacing w:val="-6"/>
        </w:rPr>
        <w:t xml:space="preserve"> </w:t>
      </w:r>
      <w:r w:rsidRPr="00D52B1D">
        <w:rPr>
          <w:color w:val="000000"/>
        </w:rPr>
        <w:t>to co</w:t>
      </w:r>
      <w:r w:rsidRPr="00D52B1D">
        <w:rPr>
          <w:color w:val="000000"/>
          <w:spacing w:val="1"/>
        </w:rPr>
        <w:t>l</w:t>
      </w:r>
      <w:r w:rsidRPr="00D52B1D">
        <w:rPr>
          <w:color w:val="000000"/>
        </w:rPr>
        <w:t>ono</w:t>
      </w:r>
      <w:r w:rsidRPr="00D52B1D">
        <w:rPr>
          <w:color w:val="000000"/>
          <w:spacing w:val="2"/>
        </w:rPr>
        <w:t>s</w:t>
      </w:r>
      <w:r w:rsidRPr="00D52B1D">
        <w:rPr>
          <w:color w:val="000000"/>
          <w:spacing w:val="-1"/>
        </w:rPr>
        <w:t>c</w:t>
      </w:r>
      <w:r w:rsidRPr="00D52B1D">
        <w:rPr>
          <w:color w:val="000000"/>
        </w:rPr>
        <w:t>opy</w:t>
      </w:r>
      <w:r w:rsidRPr="00D52B1D">
        <w:rPr>
          <w:color w:val="000000"/>
          <w:spacing w:val="-12"/>
        </w:rPr>
        <w:t xml:space="preserve"> </w:t>
      </w:r>
      <w:r w:rsidRPr="00D52B1D">
        <w:rPr>
          <w:color w:val="000000"/>
        </w:rPr>
        <w:t>is</w:t>
      </w:r>
      <w:r w:rsidRPr="00D52B1D">
        <w:rPr>
          <w:color w:val="000000"/>
          <w:spacing w:val="-1"/>
        </w:rPr>
        <w:t xml:space="preserve"> </w:t>
      </w:r>
      <w:r w:rsidRPr="00D52B1D">
        <w:rPr>
          <w:color w:val="000000"/>
        </w:rPr>
        <w:t>limited</w:t>
      </w:r>
      <w:r w:rsidRPr="00D52B1D">
        <w:rPr>
          <w:color w:val="000000"/>
          <w:spacing w:val="-6"/>
        </w:rPr>
        <w:t xml:space="preserve"> </w:t>
      </w:r>
      <w:r w:rsidRPr="00D52B1D">
        <w:rPr>
          <w:color w:val="000000"/>
        </w:rPr>
        <w:t>such</w:t>
      </w:r>
      <w:r w:rsidRPr="00D52B1D">
        <w:rPr>
          <w:color w:val="000000"/>
          <w:spacing w:val="-4"/>
        </w:rPr>
        <w:t xml:space="preserve"> </w:t>
      </w:r>
      <w:r w:rsidRPr="00D52B1D">
        <w:rPr>
          <w:color w:val="000000"/>
        </w:rPr>
        <w:t>as</w:t>
      </w:r>
      <w:r w:rsidRPr="00D52B1D">
        <w:rPr>
          <w:color w:val="000000"/>
          <w:spacing w:val="-1"/>
        </w:rPr>
        <w:t xml:space="preserve"> </w:t>
      </w:r>
      <w:r w:rsidRPr="00D52B1D">
        <w:rPr>
          <w:color w:val="000000"/>
        </w:rPr>
        <w:t>to</w:t>
      </w:r>
      <w:r w:rsidRPr="00D52B1D">
        <w:rPr>
          <w:color w:val="000000"/>
          <w:spacing w:val="-2"/>
        </w:rPr>
        <w:t xml:space="preserve"> </w:t>
      </w:r>
      <w:r w:rsidRPr="00D52B1D">
        <w:rPr>
          <w:color w:val="000000"/>
        </w:rPr>
        <w:t>cause</w:t>
      </w:r>
      <w:r w:rsidRPr="00D52B1D">
        <w:rPr>
          <w:color w:val="000000"/>
          <w:spacing w:val="-6"/>
        </w:rPr>
        <w:t xml:space="preserve"> </w:t>
      </w:r>
      <w:r w:rsidRPr="00D52B1D">
        <w:rPr>
          <w:color w:val="000000"/>
        </w:rPr>
        <w:t>de</w:t>
      </w:r>
      <w:r w:rsidRPr="00D52B1D">
        <w:rPr>
          <w:color w:val="000000"/>
          <w:spacing w:val="2"/>
        </w:rPr>
        <w:t>l</w:t>
      </w:r>
      <w:r w:rsidRPr="00D52B1D">
        <w:rPr>
          <w:color w:val="000000"/>
        </w:rPr>
        <w:t>ay</w:t>
      </w:r>
      <w:r w:rsidRPr="00D52B1D">
        <w:rPr>
          <w:color w:val="000000"/>
          <w:spacing w:val="-5"/>
        </w:rPr>
        <w:t xml:space="preserve"> </w:t>
      </w:r>
      <w:r w:rsidRPr="00D52B1D">
        <w:rPr>
          <w:color w:val="000000"/>
        </w:rPr>
        <w:t>in</w:t>
      </w:r>
      <w:r w:rsidRPr="00D52B1D">
        <w:rPr>
          <w:color w:val="000000"/>
          <w:spacing w:val="-2"/>
        </w:rPr>
        <w:t xml:space="preserve"> </w:t>
      </w:r>
      <w:r w:rsidRPr="00D52B1D">
        <w:rPr>
          <w:color w:val="000000"/>
        </w:rPr>
        <w:t>diagnosis,</w:t>
      </w:r>
      <w:r w:rsidRPr="00D52B1D">
        <w:rPr>
          <w:color w:val="000000"/>
          <w:spacing w:val="-10"/>
        </w:rPr>
        <w:t xml:space="preserve"> </w:t>
      </w:r>
      <w:r w:rsidRPr="00D52B1D">
        <w:rPr>
          <w:color w:val="000000"/>
        </w:rPr>
        <w:t>regardless</w:t>
      </w:r>
      <w:r w:rsidRPr="00D52B1D">
        <w:rPr>
          <w:color w:val="000000"/>
          <w:spacing w:val="-10"/>
        </w:rPr>
        <w:t xml:space="preserve"> </w:t>
      </w:r>
      <w:r w:rsidRPr="00D52B1D">
        <w:rPr>
          <w:color w:val="000000"/>
        </w:rPr>
        <w:t>of</w:t>
      </w:r>
      <w:r w:rsidRPr="00D52B1D">
        <w:rPr>
          <w:color w:val="000000"/>
          <w:spacing w:val="-2"/>
        </w:rPr>
        <w:t xml:space="preserve"> </w:t>
      </w:r>
      <w:r w:rsidRPr="00D52B1D">
        <w:rPr>
          <w:color w:val="000000"/>
        </w:rPr>
        <w:t>whether</w:t>
      </w:r>
      <w:r w:rsidRPr="00D52B1D">
        <w:rPr>
          <w:color w:val="000000"/>
          <w:spacing w:val="-7"/>
        </w:rPr>
        <w:t xml:space="preserve"> </w:t>
      </w:r>
      <w:r w:rsidRPr="00D52B1D">
        <w:rPr>
          <w:color w:val="000000"/>
        </w:rPr>
        <w:t>or</w:t>
      </w:r>
      <w:r w:rsidRPr="00D52B1D">
        <w:rPr>
          <w:color w:val="000000"/>
          <w:spacing w:val="-2"/>
        </w:rPr>
        <w:t xml:space="preserve"> </w:t>
      </w:r>
      <w:r w:rsidRPr="00D52B1D">
        <w:rPr>
          <w:color w:val="000000"/>
        </w:rPr>
        <w:t>not</w:t>
      </w:r>
      <w:r w:rsidRPr="00D52B1D">
        <w:rPr>
          <w:color w:val="000000"/>
          <w:spacing w:val="-3"/>
        </w:rPr>
        <w:t xml:space="preserve"> </w:t>
      </w:r>
      <w:r w:rsidRPr="00D52B1D">
        <w:rPr>
          <w:color w:val="000000"/>
        </w:rPr>
        <w:t>they have</w:t>
      </w:r>
      <w:r w:rsidRPr="00D52B1D">
        <w:rPr>
          <w:color w:val="000000"/>
          <w:spacing w:val="-5"/>
        </w:rPr>
        <w:t xml:space="preserve"> </w:t>
      </w:r>
      <w:r w:rsidRPr="00D52B1D">
        <w:rPr>
          <w:color w:val="000000"/>
        </w:rPr>
        <w:t>had</w:t>
      </w:r>
      <w:r w:rsidRPr="00D52B1D">
        <w:rPr>
          <w:color w:val="000000"/>
          <w:spacing w:val="-3"/>
        </w:rPr>
        <w:t xml:space="preserve"> </w:t>
      </w:r>
      <w:r w:rsidRPr="00D52B1D">
        <w:rPr>
          <w:color w:val="000000"/>
        </w:rPr>
        <w:t>a prev</w:t>
      </w:r>
      <w:r w:rsidRPr="00D52B1D">
        <w:rPr>
          <w:color w:val="000000"/>
          <w:spacing w:val="1"/>
        </w:rPr>
        <w:t>i</w:t>
      </w:r>
      <w:r w:rsidRPr="00D52B1D">
        <w:rPr>
          <w:color w:val="000000"/>
        </w:rPr>
        <w:t>ous</w:t>
      </w:r>
      <w:r w:rsidRPr="00D52B1D">
        <w:rPr>
          <w:color w:val="000000"/>
          <w:spacing w:val="-8"/>
        </w:rPr>
        <w:t xml:space="preserve"> </w:t>
      </w:r>
      <w:r w:rsidRPr="00D52B1D">
        <w:rPr>
          <w:color w:val="000000"/>
        </w:rPr>
        <w:t>d</w:t>
      </w:r>
      <w:r w:rsidRPr="00D52B1D">
        <w:rPr>
          <w:color w:val="000000"/>
          <w:spacing w:val="2"/>
        </w:rPr>
        <w:t>i</w:t>
      </w:r>
      <w:r w:rsidRPr="00D52B1D">
        <w:rPr>
          <w:color w:val="000000"/>
        </w:rPr>
        <w:t>f</w:t>
      </w:r>
      <w:r w:rsidRPr="00D52B1D">
        <w:rPr>
          <w:color w:val="000000"/>
          <w:spacing w:val="1"/>
        </w:rPr>
        <w:t>f</w:t>
      </w:r>
      <w:r w:rsidRPr="00D52B1D">
        <w:rPr>
          <w:color w:val="000000"/>
        </w:rPr>
        <w:t>icult</w:t>
      </w:r>
      <w:r w:rsidRPr="00D52B1D">
        <w:rPr>
          <w:color w:val="000000"/>
          <w:spacing w:val="-7"/>
        </w:rPr>
        <w:t xml:space="preserve"> </w:t>
      </w:r>
      <w:r w:rsidRPr="00D52B1D">
        <w:rPr>
          <w:color w:val="000000"/>
          <w:spacing w:val="1"/>
        </w:rPr>
        <w:t>(</w:t>
      </w:r>
      <w:r w:rsidRPr="00D52B1D">
        <w:rPr>
          <w:color w:val="000000"/>
        </w:rPr>
        <w:t>or</w:t>
      </w:r>
      <w:r w:rsidRPr="00D52B1D">
        <w:rPr>
          <w:color w:val="000000"/>
          <w:spacing w:val="-3"/>
        </w:rPr>
        <w:t xml:space="preserve"> </w:t>
      </w:r>
      <w:r w:rsidRPr="00D52B1D">
        <w:rPr>
          <w:color w:val="000000"/>
        </w:rPr>
        <w:t>e</w:t>
      </w:r>
      <w:r w:rsidRPr="00D52B1D">
        <w:rPr>
          <w:color w:val="000000"/>
          <w:spacing w:val="1"/>
        </w:rPr>
        <w:t>ve</w:t>
      </w:r>
      <w:r w:rsidRPr="00D52B1D">
        <w:rPr>
          <w:color w:val="000000"/>
        </w:rPr>
        <w:t>n</w:t>
      </w:r>
      <w:r w:rsidRPr="00D52B1D">
        <w:rPr>
          <w:color w:val="000000"/>
          <w:spacing w:val="-5"/>
        </w:rPr>
        <w:t xml:space="preserve"> </w:t>
      </w:r>
      <w:r w:rsidRPr="00D52B1D">
        <w:rPr>
          <w:color w:val="000000"/>
        </w:rPr>
        <w:t>successfu</w:t>
      </w:r>
      <w:r w:rsidRPr="00D52B1D">
        <w:rPr>
          <w:color w:val="000000"/>
          <w:spacing w:val="1"/>
        </w:rPr>
        <w:t>l</w:t>
      </w:r>
      <w:r w:rsidRPr="00D52B1D">
        <w:rPr>
          <w:color w:val="000000"/>
        </w:rPr>
        <w:t>)</w:t>
      </w:r>
      <w:r w:rsidRPr="00D52B1D">
        <w:rPr>
          <w:color w:val="000000"/>
          <w:spacing w:val="-11"/>
        </w:rPr>
        <w:t xml:space="preserve"> </w:t>
      </w:r>
      <w:r w:rsidRPr="00D52B1D">
        <w:rPr>
          <w:color w:val="000000"/>
        </w:rPr>
        <w:t>O</w:t>
      </w:r>
      <w:r w:rsidRPr="00D52B1D">
        <w:rPr>
          <w:color w:val="000000"/>
          <w:spacing w:val="2"/>
        </w:rPr>
        <w:t>C</w:t>
      </w:r>
      <w:r w:rsidRPr="00D52B1D">
        <w:rPr>
          <w:color w:val="000000"/>
        </w:rPr>
        <w:t>.</w:t>
      </w:r>
      <w:r w:rsidRPr="00D52B1D">
        <w:rPr>
          <w:color w:val="000000"/>
          <w:spacing w:val="-4"/>
        </w:rPr>
        <w:t xml:space="preserve"> </w:t>
      </w:r>
      <w:r w:rsidRPr="00D52B1D">
        <w:rPr>
          <w:color w:val="000000"/>
        </w:rPr>
        <w:t>T</w:t>
      </w:r>
      <w:r w:rsidRPr="00D52B1D">
        <w:rPr>
          <w:color w:val="000000"/>
          <w:spacing w:val="1"/>
        </w:rPr>
        <w:t>h</w:t>
      </w:r>
      <w:r w:rsidRPr="00D52B1D">
        <w:rPr>
          <w:color w:val="000000"/>
        </w:rPr>
        <w:t>ese</w:t>
      </w:r>
      <w:r w:rsidRPr="00D52B1D">
        <w:rPr>
          <w:color w:val="000000"/>
          <w:spacing w:val="-6"/>
        </w:rPr>
        <w:t xml:space="preserve"> </w:t>
      </w:r>
      <w:r w:rsidRPr="00D52B1D">
        <w:rPr>
          <w:color w:val="000000"/>
        </w:rPr>
        <w:t>pro</w:t>
      </w:r>
      <w:r w:rsidRPr="00D52B1D">
        <w:rPr>
          <w:color w:val="000000"/>
          <w:spacing w:val="1"/>
        </w:rPr>
        <w:t>p</w:t>
      </w:r>
      <w:r w:rsidRPr="00D52B1D">
        <w:rPr>
          <w:color w:val="000000"/>
        </w:rPr>
        <w:t>osed</w:t>
      </w:r>
      <w:r w:rsidRPr="00D52B1D">
        <w:rPr>
          <w:color w:val="000000"/>
          <w:spacing w:val="-9"/>
        </w:rPr>
        <w:t xml:space="preserve"> </w:t>
      </w:r>
      <w:r w:rsidRPr="00D52B1D">
        <w:rPr>
          <w:color w:val="000000"/>
        </w:rPr>
        <w:t>a</w:t>
      </w:r>
      <w:r w:rsidRPr="00D52B1D">
        <w:rPr>
          <w:color w:val="000000"/>
          <w:spacing w:val="1"/>
        </w:rPr>
        <w:t>r</w:t>
      </w:r>
      <w:r w:rsidRPr="00D52B1D">
        <w:rPr>
          <w:color w:val="000000"/>
        </w:rPr>
        <w:t>range</w:t>
      </w:r>
      <w:r w:rsidRPr="00D52B1D">
        <w:rPr>
          <w:color w:val="000000"/>
          <w:spacing w:val="2"/>
        </w:rPr>
        <w:t>m</w:t>
      </w:r>
      <w:r w:rsidRPr="00D52B1D">
        <w:rPr>
          <w:color w:val="000000"/>
        </w:rPr>
        <w:t>ents</w:t>
      </w:r>
      <w:r w:rsidRPr="00D52B1D">
        <w:rPr>
          <w:color w:val="000000"/>
          <w:spacing w:val="-13"/>
        </w:rPr>
        <w:t xml:space="preserve"> </w:t>
      </w:r>
      <w:r w:rsidRPr="00D52B1D">
        <w:rPr>
          <w:color w:val="000000"/>
        </w:rPr>
        <w:t>are pred</w:t>
      </w:r>
      <w:r w:rsidRPr="00D52B1D">
        <w:rPr>
          <w:color w:val="000000"/>
          <w:spacing w:val="1"/>
        </w:rPr>
        <w:t>i</w:t>
      </w:r>
      <w:r w:rsidRPr="00D52B1D">
        <w:rPr>
          <w:color w:val="000000"/>
          <w:spacing w:val="-1"/>
        </w:rPr>
        <w:t>c</w:t>
      </w:r>
      <w:r w:rsidRPr="00D52B1D">
        <w:rPr>
          <w:color w:val="000000"/>
          <w:spacing w:val="1"/>
        </w:rPr>
        <w:t>t</w:t>
      </w:r>
      <w:r w:rsidRPr="00D52B1D">
        <w:rPr>
          <w:color w:val="000000"/>
        </w:rPr>
        <w:t>ed</w:t>
      </w:r>
      <w:r w:rsidRPr="00D52B1D">
        <w:rPr>
          <w:color w:val="000000"/>
          <w:spacing w:val="-9"/>
        </w:rPr>
        <w:t xml:space="preserve"> </w:t>
      </w:r>
      <w:r w:rsidRPr="00D52B1D">
        <w:rPr>
          <w:color w:val="000000"/>
          <w:spacing w:val="1"/>
        </w:rPr>
        <w:t>t</w:t>
      </w:r>
      <w:r w:rsidRPr="00D52B1D">
        <w:rPr>
          <w:color w:val="000000"/>
        </w:rPr>
        <w:t>o</w:t>
      </w:r>
      <w:r w:rsidRPr="00D52B1D">
        <w:rPr>
          <w:color w:val="000000"/>
          <w:spacing w:val="-2"/>
        </w:rPr>
        <w:t xml:space="preserve"> </w:t>
      </w:r>
      <w:r w:rsidRPr="00D52B1D">
        <w:rPr>
          <w:color w:val="000000"/>
        </w:rPr>
        <w:t>lead</w:t>
      </w:r>
      <w:r w:rsidRPr="00D52B1D">
        <w:rPr>
          <w:color w:val="000000"/>
          <w:spacing w:val="-3"/>
        </w:rPr>
        <w:t xml:space="preserve"> </w:t>
      </w:r>
      <w:r w:rsidRPr="00D52B1D">
        <w:rPr>
          <w:color w:val="000000"/>
        </w:rPr>
        <w:t>to</w:t>
      </w:r>
      <w:r w:rsidRPr="00D52B1D">
        <w:rPr>
          <w:color w:val="000000"/>
          <w:spacing w:val="-2"/>
        </w:rPr>
        <w:t xml:space="preserve"> </w:t>
      </w:r>
      <w:r w:rsidRPr="00D52B1D">
        <w:rPr>
          <w:color w:val="000000"/>
        </w:rPr>
        <w:t>a decrea</w:t>
      </w:r>
      <w:r w:rsidRPr="00D52B1D">
        <w:rPr>
          <w:color w:val="000000"/>
          <w:spacing w:val="1"/>
        </w:rPr>
        <w:t>s</w:t>
      </w:r>
      <w:r w:rsidRPr="00D52B1D">
        <w:rPr>
          <w:color w:val="000000"/>
        </w:rPr>
        <w:t>e</w:t>
      </w:r>
      <w:r w:rsidRPr="00D52B1D">
        <w:rPr>
          <w:color w:val="000000"/>
          <w:spacing w:val="-10"/>
        </w:rPr>
        <w:t xml:space="preserve"> </w:t>
      </w:r>
      <w:r w:rsidRPr="00D52B1D">
        <w:rPr>
          <w:color w:val="000000"/>
        </w:rPr>
        <w:t>in</w:t>
      </w:r>
      <w:r w:rsidRPr="00D52B1D">
        <w:rPr>
          <w:color w:val="000000"/>
          <w:spacing w:val="-1"/>
        </w:rPr>
        <w:t xml:space="preserve"> </w:t>
      </w:r>
      <w:r w:rsidRPr="00D52B1D">
        <w:rPr>
          <w:color w:val="000000"/>
        </w:rPr>
        <w:t>t</w:t>
      </w:r>
      <w:r w:rsidRPr="00D52B1D">
        <w:rPr>
          <w:color w:val="000000"/>
          <w:spacing w:val="1"/>
        </w:rPr>
        <w:t>h</w:t>
      </w:r>
      <w:r w:rsidRPr="00D52B1D">
        <w:rPr>
          <w:color w:val="000000"/>
        </w:rPr>
        <w:t>e</w:t>
      </w:r>
      <w:r w:rsidRPr="00D52B1D">
        <w:rPr>
          <w:color w:val="000000"/>
          <w:spacing w:val="-3"/>
        </w:rPr>
        <w:t xml:space="preserve"> </w:t>
      </w:r>
      <w:r w:rsidRPr="00D52B1D">
        <w:rPr>
          <w:color w:val="000000"/>
        </w:rPr>
        <w:t>use</w:t>
      </w:r>
      <w:r w:rsidRPr="00D52B1D">
        <w:rPr>
          <w:color w:val="000000"/>
          <w:spacing w:val="-3"/>
        </w:rPr>
        <w:t xml:space="preserve"> </w:t>
      </w:r>
      <w:r w:rsidRPr="00D52B1D">
        <w:rPr>
          <w:color w:val="000000"/>
        </w:rPr>
        <w:t>of</w:t>
      </w:r>
      <w:r w:rsidRPr="00D52B1D">
        <w:rPr>
          <w:color w:val="000000"/>
          <w:spacing w:val="-2"/>
        </w:rPr>
        <w:t xml:space="preserve"> </w:t>
      </w:r>
      <w:r w:rsidRPr="00D52B1D">
        <w:rPr>
          <w:color w:val="000000"/>
          <w:spacing w:val="1"/>
        </w:rPr>
        <w:t>d</w:t>
      </w:r>
      <w:r w:rsidRPr="00D52B1D">
        <w:rPr>
          <w:color w:val="000000"/>
        </w:rPr>
        <w:t>o</w:t>
      </w:r>
      <w:r w:rsidRPr="00D52B1D">
        <w:rPr>
          <w:color w:val="000000"/>
          <w:spacing w:val="1"/>
        </w:rPr>
        <w:t>u</w:t>
      </w:r>
      <w:r w:rsidRPr="00D52B1D">
        <w:rPr>
          <w:color w:val="000000"/>
        </w:rPr>
        <w:t>b</w:t>
      </w:r>
      <w:r w:rsidRPr="00D52B1D">
        <w:rPr>
          <w:color w:val="000000"/>
          <w:spacing w:val="1"/>
        </w:rPr>
        <w:t>l</w:t>
      </w:r>
      <w:r w:rsidRPr="00D52B1D">
        <w:rPr>
          <w:color w:val="000000"/>
        </w:rPr>
        <w:t>e</w:t>
      </w:r>
      <w:r w:rsidRPr="00D52B1D">
        <w:rPr>
          <w:color w:val="000000"/>
          <w:spacing w:val="-7"/>
        </w:rPr>
        <w:t xml:space="preserve"> </w:t>
      </w:r>
      <w:r w:rsidRPr="00D52B1D">
        <w:rPr>
          <w:color w:val="000000"/>
          <w:spacing w:val="-1"/>
        </w:rPr>
        <w:t>c</w:t>
      </w:r>
      <w:r w:rsidRPr="00D52B1D">
        <w:rPr>
          <w:color w:val="000000"/>
        </w:rPr>
        <w:t>o</w:t>
      </w:r>
      <w:r w:rsidRPr="00D52B1D">
        <w:rPr>
          <w:color w:val="000000"/>
          <w:spacing w:val="1"/>
        </w:rPr>
        <w:t>n</w:t>
      </w:r>
      <w:r w:rsidRPr="00D52B1D">
        <w:rPr>
          <w:color w:val="000000"/>
        </w:rPr>
        <w:t>t</w:t>
      </w:r>
      <w:r w:rsidRPr="00D52B1D">
        <w:rPr>
          <w:color w:val="000000"/>
          <w:spacing w:val="1"/>
        </w:rPr>
        <w:t>r</w:t>
      </w:r>
      <w:r w:rsidRPr="00D52B1D">
        <w:rPr>
          <w:color w:val="000000"/>
        </w:rPr>
        <w:t>a</w:t>
      </w:r>
      <w:r w:rsidRPr="00D52B1D">
        <w:rPr>
          <w:color w:val="000000"/>
          <w:spacing w:val="1"/>
        </w:rPr>
        <w:t>s</w:t>
      </w:r>
      <w:r w:rsidRPr="00D52B1D">
        <w:rPr>
          <w:color w:val="000000"/>
        </w:rPr>
        <w:t>t</w:t>
      </w:r>
      <w:r w:rsidRPr="00D52B1D">
        <w:rPr>
          <w:color w:val="000000"/>
          <w:spacing w:val="-8"/>
        </w:rPr>
        <w:t xml:space="preserve"> </w:t>
      </w:r>
      <w:r w:rsidRPr="00D52B1D">
        <w:rPr>
          <w:color w:val="000000"/>
        </w:rPr>
        <w:t>ba</w:t>
      </w:r>
      <w:r w:rsidRPr="00D52B1D">
        <w:rPr>
          <w:color w:val="000000"/>
          <w:spacing w:val="1"/>
        </w:rPr>
        <w:t>ri</w:t>
      </w:r>
      <w:r w:rsidRPr="00D52B1D">
        <w:rPr>
          <w:color w:val="000000"/>
        </w:rPr>
        <w:t>um</w:t>
      </w:r>
      <w:r w:rsidRPr="00D52B1D">
        <w:rPr>
          <w:color w:val="000000"/>
          <w:spacing w:val="-8"/>
        </w:rPr>
        <w:t xml:space="preserve"> </w:t>
      </w:r>
      <w:r w:rsidRPr="00D52B1D">
        <w:rPr>
          <w:color w:val="000000"/>
        </w:rPr>
        <w:t>enema</w:t>
      </w:r>
      <w:r w:rsidRPr="00D52B1D">
        <w:rPr>
          <w:color w:val="000000"/>
          <w:spacing w:val="-7"/>
        </w:rPr>
        <w:t xml:space="preserve"> </w:t>
      </w:r>
      <w:r w:rsidRPr="00D52B1D">
        <w:rPr>
          <w:color w:val="000000"/>
        </w:rPr>
        <w:t>(DCBE)</w:t>
      </w:r>
      <w:r w:rsidRPr="00D52B1D">
        <w:rPr>
          <w:color w:val="000000"/>
          <w:spacing w:val="-6"/>
        </w:rPr>
        <w:t xml:space="preserve"> </w:t>
      </w:r>
      <w:r w:rsidRPr="00D52B1D">
        <w:rPr>
          <w:color w:val="000000"/>
        </w:rPr>
        <w:t>which</w:t>
      </w:r>
      <w:r w:rsidRPr="00D52B1D">
        <w:rPr>
          <w:color w:val="000000"/>
          <w:spacing w:val="-6"/>
        </w:rPr>
        <w:t xml:space="preserve"> </w:t>
      </w:r>
      <w:r w:rsidRPr="00D52B1D">
        <w:rPr>
          <w:color w:val="000000"/>
        </w:rPr>
        <w:t>is the</w:t>
      </w:r>
      <w:r w:rsidRPr="00D52B1D">
        <w:rPr>
          <w:color w:val="000000"/>
          <w:spacing w:val="-3"/>
        </w:rPr>
        <w:t xml:space="preserve"> </w:t>
      </w:r>
      <w:r w:rsidRPr="00D52B1D">
        <w:rPr>
          <w:color w:val="000000"/>
        </w:rPr>
        <w:t>alte</w:t>
      </w:r>
      <w:r w:rsidRPr="00D52B1D">
        <w:rPr>
          <w:color w:val="000000"/>
          <w:spacing w:val="1"/>
        </w:rPr>
        <w:t>r</w:t>
      </w:r>
      <w:r w:rsidRPr="00D52B1D">
        <w:rPr>
          <w:color w:val="000000"/>
        </w:rPr>
        <w:t>nat</w:t>
      </w:r>
      <w:r w:rsidRPr="00D52B1D">
        <w:rPr>
          <w:color w:val="000000"/>
          <w:spacing w:val="1"/>
        </w:rPr>
        <w:t>i</w:t>
      </w:r>
      <w:r w:rsidRPr="00D52B1D">
        <w:rPr>
          <w:color w:val="000000"/>
        </w:rPr>
        <w:t>ve</w:t>
      </w:r>
      <w:r w:rsidRPr="00D52B1D">
        <w:rPr>
          <w:color w:val="000000"/>
          <w:spacing w:val="-10"/>
        </w:rPr>
        <w:t xml:space="preserve"> </w:t>
      </w:r>
      <w:r w:rsidRPr="00D52B1D">
        <w:rPr>
          <w:color w:val="000000"/>
        </w:rPr>
        <w:t>d</w:t>
      </w:r>
      <w:r w:rsidRPr="00D52B1D">
        <w:rPr>
          <w:color w:val="000000"/>
          <w:spacing w:val="2"/>
        </w:rPr>
        <w:t>i</w:t>
      </w:r>
      <w:r w:rsidRPr="00D52B1D">
        <w:rPr>
          <w:color w:val="000000"/>
        </w:rPr>
        <w:t>ag</w:t>
      </w:r>
      <w:r w:rsidRPr="00D52B1D">
        <w:rPr>
          <w:color w:val="000000"/>
          <w:spacing w:val="1"/>
        </w:rPr>
        <w:t>n</w:t>
      </w:r>
      <w:r w:rsidRPr="00D52B1D">
        <w:rPr>
          <w:color w:val="000000"/>
        </w:rPr>
        <w:t>ost</w:t>
      </w:r>
      <w:r w:rsidRPr="00D52B1D">
        <w:rPr>
          <w:color w:val="000000"/>
          <w:spacing w:val="1"/>
        </w:rPr>
        <w:t>i</w:t>
      </w:r>
      <w:r w:rsidRPr="00D52B1D">
        <w:rPr>
          <w:color w:val="000000"/>
        </w:rPr>
        <w:t>c</w:t>
      </w:r>
      <w:r w:rsidRPr="00D52B1D">
        <w:rPr>
          <w:color w:val="000000"/>
          <w:spacing w:val="-11"/>
        </w:rPr>
        <w:t xml:space="preserve"> </w:t>
      </w:r>
      <w:r w:rsidRPr="00D52B1D">
        <w:rPr>
          <w:color w:val="000000"/>
        </w:rPr>
        <w:t>in</w:t>
      </w:r>
      <w:r w:rsidRPr="00D52B1D">
        <w:rPr>
          <w:color w:val="000000"/>
          <w:spacing w:val="1"/>
        </w:rPr>
        <w:t>t</w:t>
      </w:r>
      <w:r w:rsidRPr="00D52B1D">
        <w:rPr>
          <w:color w:val="000000"/>
        </w:rPr>
        <w:t>er</w:t>
      </w:r>
      <w:r w:rsidRPr="00D52B1D">
        <w:rPr>
          <w:color w:val="000000"/>
          <w:spacing w:val="1"/>
        </w:rPr>
        <w:t>v</w:t>
      </w:r>
      <w:r w:rsidRPr="00D52B1D">
        <w:rPr>
          <w:color w:val="000000"/>
        </w:rPr>
        <w:t>ent</w:t>
      </w:r>
      <w:r w:rsidRPr="00D52B1D">
        <w:rPr>
          <w:color w:val="000000"/>
          <w:spacing w:val="1"/>
        </w:rPr>
        <w:t>i</w:t>
      </w:r>
      <w:r w:rsidRPr="00D52B1D">
        <w:rPr>
          <w:color w:val="000000"/>
        </w:rPr>
        <w:t>on</w:t>
      </w:r>
      <w:r w:rsidRPr="00D52B1D">
        <w:rPr>
          <w:color w:val="000000"/>
          <w:spacing w:val="-12"/>
        </w:rPr>
        <w:t xml:space="preserve"> </w:t>
      </w:r>
      <w:r w:rsidRPr="00D52B1D">
        <w:rPr>
          <w:color w:val="000000"/>
        </w:rPr>
        <w:t>for</w:t>
      </w:r>
      <w:r w:rsidRPr="00D52B1D">
        <w:rPr>
          <w:color w:val="000000"/>
          <w:spacing w:val="-2"/>
        </w:rPr>
        <w:t xml:space="preserve"> </w:t>
      </w:r>
      <w:r w:rsidRPr="00D52B1D">
        <w:rPr>
          <w:color w:val="000000"/>
        </w:rPr>
        <w:t>p</w:t>
      </w:r>
      <w:r w:rsidRPr="00D52B1D">
        <w:rPr>
          <w:color w:val="000000"/>
          <w:spacing w:val="1"/>
        </w:rPr>
        <w:t>a</w:t>
      </w:r>
      <w:r w:rsidRPr="00D52B1D">
        <w:rPr>
          <w:color w:val="000000"/>
        </w:rPr>
        <w:t>tie</w:t>
      </w:r>
      <w:r w:rsidRPr="00D52B1D">
        <w:rPr>
          <w:color w:val="000000"/>
          <w:spacing w:val="1"/>
        </w:rPr>
        <w:t>nt</w:t>
      </w:r>
      <w:r w:rsidRPr="00D52B1D">
        <w:rPr>
          <w:color w:val="000000"/>
        </w:rPr>
        <w:t>s</w:t>
      </w:r>
      <w:r w:rsidRPr="00D52B1D">
        <w:rPr>
          <w:color w:val="000000"/>
          <w:spacing w:val="-8"/>
        </w:rPr>
        <w:t xml:space="preserve"> </w:t>
      </w:r>
      <w:r w:rsidRPr="00D52B1D">
        <w:rPr>
          <w:color w:val="000000"/>
        </w:rPr>
        <w:t>who</w:t>
      </w:r>
      <w:r w:rsidRPr="00D52B1D">
        <w:rPr>
          <w:color w:val="000000"/>
          <w:spacing w:val="-4"/>
        </w:rPr>
        <w:t xml:space="preserve"> </w:t>
      </w:r>
      <w:r w:rsidRPr="00D52B1D">
        <w:rPr>
          <w:color w:val="000000"/>
          <w:spacing w:val="1"/>
        </w:rPr>
        <w:t>h</w:t>
      </w:r>
      <w:r w:rsidRPr="00D52B1D">
        <w:rPr>
          <w:color w:val="000000"/>
        </w:rPr>
        <w:t>ave</w:t>
      </w:r>
      <w:r w:rsidRPr="00D52B1D">
        <w:rPr>
          <w:color w:val="000000"/>
          <w:spacing w:val="-5"/>
        </w:rPr>
        <w:t xml:space="preserve"> </w:t>
      </w:r>
      <w:r w:rsidRPr="00D52B1D">
        <w:rPr>
          <w:color w:val="000000"/>
        </w:rPr>
        <w:t>co</w:t>
      </w:r>
      <w:r w:rsidRPr="00D52B1D">
        <w:rPr>
          <w:color w:val="000000"/>
          <w:spacing w:val="1"/>
        </w:rPr>
        <w:t>n</w:t>
      </w:r>
      <w:r w:rsidRPr="00D52B1D">
        <w:rPr>
          <w:color w:val="000000"/>
        </w:rPr>
        <w:t>traind</w:t>
      </w:r>
      <w:r w:rsidRPr="00D52B1D">
        <w:rPr>
          <w:color w:val="000000"/>
          <w:spacing w:val="2"/>
        </w:rPr>
        <w:t>i</w:t>
      </w:r>
      <w:r w:rsidRPr="00D52B1D">
        <w:rPr>
          <w:color w:val="000000"/>
        </w:rPr>
        <w:t>c</w:t>
      </w:r>
      <w:r w:rsidRPr="00D52B1D">
        <w:rPr>
          <w:color w:val="000000"/>
          <w:spacing w:val="1"/>
        </w:rPr>
        <w:t>a</w:t>
      </w:r>
      <w:r w:rsidRPr="00D52B1D">
        <w:rPr>
          <w:color w:val="000000"/>
        </w:rPr>
        <w:t>tions</w:t>
      </w:r>
      <w:r w:rsidRPr="00D52B1D">
        <w:rPr>
          <w:color w:val="000000"/>
          <w:spacing w:val="-16"/>
        </w:rPr>
        <w:t xml:space="preserve"> </w:t>
      </w:r>
      <w:r w:rsidRPr="00D52B1D">
        <w:rPr>
          <w:color w:val="000000"/>
          <w:spacing w:val="1"/>
        </w:rPr>
        <w:t>t</w:t>
      </w:r>
      <w:r w:rsidRPr="00D52B1D">
        <w:rPr>
          <w:color w:val="000000"/>
        </w:rPr>
        <w:t>o</w:t>
      </w:r>
      <w:r>
        <w:rPr>
          <w:color w:val="000000"/>
        </w:rPr>
        <w:t xml:space="preserve"> </w:t>
      </w:r>
      <w:r w:rsidRPr="00D52B1D">
        <w:rPr>
          <w:color w:val="000000"/>
        </w:rPr>
        <w:t>co</w:t>
      </w:r>
      <w:r w:rsidRPr="00D52B1D">
        <w:rPr>
          <w:color w:val="000000"/>
          <w:spacing w:val="1"/>
        </w:rPr>
        <w:t>l</w:t>
      </w:r>
      <w:r w:rsidRPr="00D52B1D">
        <w:rPr>
          <w:color w:val="000000"/>
        </w:rPr>
        <w:t>ono</w:t>
      </w:r>
      <w:r w:rsidRPr="00D52B1D">
        <w:rPr>
          <w:color w:val="000000"/>
          <w:spacing w:val="2"/>
        </w:rPr>
        <w:t>s</w:t>
      </w:r>
      <w:r w:rsidRPr="00D52B1D">
        <w:rPr>
          <w:color w:val="000000"/>
          <w:spacing w:val="-1"/>
        </w:rPr>
        <w:t>c</w:t>
      </w:r>
      <w:r w:rsidRPr="00D52B1D">
        <w:rPr>
          <w:color w:val="000000"/>
        </w:rPr>
        <w:t>opy</w:t>
      </w:r>
      <w:r w:rsidRPr="00D52B1D">
        <w:rPr>
          <w:color w:val="000000"/>
          <w:spacing w:val="-11"/>
        </w:rPr>
        <w:t xml:space="preserve"> </w:t>
      </w:r>
      <w:r w:rsidRPr="00D52B1D">
        <w:rPr>
          <w:color w:val="000000"/>
        </w:rPr>
        <w:t>but</w:t>
      </w:r>
      <w:r w:rsidRPr="00D52B1D">
        <w:rPr>
          <w:color w:val="000000"/>
          <w:spacing w:val="-2"/>
        </w:rPr>
        <w:t xml:space="preserve"> </w:t>
      </w:r>
      <w:r w:rsidRPr="00D52B1D">
        <w:rPr>
          <w:color w:val="000000"/>
        </w:rPr>
        <w:t>do</w:t>
      </w:r>
      <w:r w:rsidRPr="00D52B1D">
        <w:rPr>
          <w:color w:val="000000"/>
          <w:spacing w:val="-2"/>
        </w:rPr>
        <w:t xml:space="preserve"> </w:t>
      </w:r>
      <w:r w:rsidRPr="00D52B1D">
        <w:rPr>
          <w:color w:val="000000"/>
        </w:rPr>
        <w:t>not</w:t>
      </w:r>
      <w:r w:rsidRPr="00D52B1D">
        <w:rPr>
          <w:color w:val="000000"/>
          <w:spacing w:val="-2"/>
        </w:rPr>
        <w:t xml:space="preserve"> </w:t>
      </w:r>
      <w:r w:rsidRPr="00D52B1D">
        <w:rPr>
          <w:color w:val="000000"/>
        </w:rPr>
        <w:t>meet</w:t>
      </w:r>
      <w:r w:rsidRPr="00D52B1D">
        <w:rPr>
          <w:color w:val="000000"/>
          <w:spacing w:val="-5"/>
        </w:rPr>
        <w:t xml:space="preserve"> </w:t>
      </w:r>
      <w:r w:rsidRPr="00D52B1D">
        <w:rPr>
          <w:color w:val="000000"/>
        </w:rPr>
        <w:t>t</w:t>
      </w:r>
      <w:r w:rsidRPr="00D52B1D">
        <w:rPr>
          <w:color w:val="000000"/>
          <w:spacing w:val="1"/>
        </w:rPr>
        <w:t>h</w:t>
      </w:r>
      <w:r w:rsidRPr="00D52B1D">
        <w:rPr>
          <w:color w:val="000000"/>
        </w:rPr>
        <w:t>e</w:t>
      </w:r>
      <w:r w:rsidRPr="00D52B1D">
        <w:rPr>
          <w:color w:val="000000"/>
          <w:spacing w:val="-3"/>
        </w:rPr>
        <w:t xml:space="preserve"> </w:t>
      </w:r>
      <w:r w:rsidRPr="00D52B1D">
        <w:rPr>
          <w:color w:val="000000"/>
        </w:rPr>
        <w:t>c</w:t>
      </w:r>
      <w:r w:rsidRPr="00D52B1D">
        <w:rPr>
          <w:color w:val="000000"/>
          <w:spacing w:val="1"/>
        </w:rPr>
        <w:t>u</w:t>
      </w:r>
      <w:r w:rsidRPr="00D52B1D">
        <w:rPr>
          <w:color w:val="000000"/>
        </w:rPr>
        <w:t>rrent</w:t>
      </w:r>
      <w:r w:rsidRPr="00D52B1D">
        <w:rPr>
          <w:color w:val="000000"/>
          <w:spacing w:val="-6"/>
        </w:rPr>
        <w:t xml:space="preserve"> </w:t>
      </w:r>
      <w:r w:rsidRPr="00D52B1D">
        <w:rPr>
          <w:color w:val="000000"/>
        </w:rPr>
        <w:t>eligibil</w:t>
      </w:r>
      <w:r w:rsidRPr="00D52B1D">
        <w:rPr>
          <w:color w:val="000000"/>
          <w:spacing w:val="2"/>
        </w:rPr>
        <w:t>i</w:t>
      </w:r>
      <w:r w:rsidRPr="00D52B1D">
        <w:rPr>
          <w:color w:val="000000"/>
        </w:rPr>
        <w:t>ty</w:t>
      </w:r>
      <w:r w:rsidRPr="00D52B1D">
        <w:rPr>
          <w:color w:val="000000"/>
          <w:spacing w:val="-7"/>
        </w:rPr>
        <w:t xml:space="preserve"> </w:t>
      </w:r>
      <w:r w:rsidRPr="00D52B1D">
        <w:rPr>
          <w:color w:val="000000"/>
        </w:rPr>
        <w:t>criteria</w:t>
      </w:r>
      <w:r w:rsidRPr="00D52B1D">
        <w:rPr>
          <w:color w:val="000000"/>
          <w:spacing w:val="-7"/>
        </w:rPr>
        <w:t xml:space="preserve"> </w:t>
      </w:r>
      <w:r w:rsidRPr="00D52B1D">
        <w:rPr>
          <w:color w:val="000000"/>
        </w:rPr>
        <w:t>for</w:t>
      </w:r>
      <w:r w:rsidRPr="00D52B1D">
        <w:rPr>
          <w:color w:val="000000"/>
          <w:spacing w:val="-3"/>
        </w:rPr>
        <w:t xml:space="preserve"> </w:t>
      </w:r>
      <w:r w:rsidRPr="00D52B1D">
        <w:rPr>
          <w:color w:val="000000"/>
        </w:rPr>
        <w:t>CTC.</w:t>
      </w:r>
    </w:p>
    <w:p w:rsidR="003C5C2B" w:rsidRDefault="003C5C2B" w:rsidP="0004730F">
      <w:pPr>
        <w:widowControl w:val="0"/>
        <w:autoSpaceDE w:val="0"/>
        <w:autoSpaceDN w:val="0"/>
        <w:adjustRightInd w:val="0"/>
        <w:ind w:left="102" w:right="75"/>
        <w:rPr>
          <w:color w:val="000000"/>
        </w:rPr>
      </w:pPr>
    </w:p>
    <w:p w:rsidR="0016771D" w:rsidRDefault="00E66C12" w:rsidP="0016771D">
      <w:pPr>
        <w:widowControl w:val="0"/>
        <w:autoSpaceDE w:val="0"/>
        <w:autoSpaceDN w:val="0"/>
        <w:adjustRightInd w:val="0"/>
        <w:ind w:left="102" w:right="75"/>
        <w:rPr>
          <w:color w:val="000000"/>
        </w:rPr>
      </w:pPr>
      <w:r w:rsidRPr="00D52B1D">
        <w:rPr>
          <w:color w:val="000000"/>
        </w:rPr>
        <w:t>The</w:t>
      </w:r>
      <w:r w:rsidRPr="00D52B1D">
        <w:rPr>
          <w:color w:val="000000"/>
          <w:spacing w:val="-4"/>
        </w:rPr>
        <w:t xml:space="preserve"> </w:t>
      </w:r>
      <w:r w:rsidRPr="00D52B1D">
        <w:rPr>
          <w:color w:val="000000"/>
        </w:rPr>
        <w:t>management</w:t>
      </w:r>
      <w:r w:rsidRPr="00D52B1D">
        <w:rPr>
          <w:color w:val="000000"/>
          <w:spacing w:val="-12"/>
        </w:rPr>
        <w:t xml:space="preserve"> </w:t>
      </w:r>
      <w:r w:rsidRPr="00D52B1D">
        <w:rPr>
          <w:color w:val="000000"/>
        </w:rPr>
        <w:t>algorithms</w:t>
      </w:r>
      <w:r w:rsidRPr="00D52B1D">
        <w:rPr>
          <w:color w:val="000000"/>
          <w:spacing w:val="-10"/>
        </w:rPr>
        <w:t xml:space="preserve"> </w:t>
      </w:r>
      <w:r w:rsidRPr="00D52B1D">
        <w:rPr>
          <w:color w:val="000000"/>
        </w:rPr>
        <w:t>provided</w:t>
      </w:r>
      <w:r w:rsidRPr="00D52B1D">
        <w:rPr>
          <w:color w:val="000000"/>
          <w:spacing w:val="-8"/>
        </w:rPr>
        <w:t xml:space="preserve"> </w:t>
      </w:r>
      <w:r w:rsidRPr="00D52B1D">
        <w:rPr>
          <w:color w:val="000000"/>
        </w:rPr>
        <w:t>in</w:t>
      </w:r>
      <w:r w:rsidRPr="00D52B1D">
        <w:rPr>
          <w:color w:val="000000"/>
          <w:spacing w:val="-2"/>
        </w:rPr>
        <w:t xml:space="preserve"> </w:t>
      </w:r>
      <w:r w:rsidRPr="00D52B1D">
        <w:rPr>
          <w:color w:val="000000"/>
          <w:szCs w:val="24"/>
        </w:rPr>
        <w:t>Figure 1</w:t>
      </w:r>
      <w:r w:rsidRPr="00D52B1D">
        <w:rPr>
          <w:color w:val="000000"/>
          <w:spacing w:val="7"/>
          <w:szCs w:val="24"/>
        </w:rPr>
        <w:t xml:space="preserve"> </w:t>
      </w:r>
      <w:r w:rsidRPr="00D52B1D">
        <w:rPr>
          <w:color w:val="000000"/>
          <w:szCs w:val="24"/>
        </w:rPr>
        <w:t>to</w:t>
      </w:r>
      <w:r w:rsidRPr="00D52B1D">
        <w:rPr>
          <w:color w:val="000000"/>
          <w:spacing w:val="-3"/>
          <w:szCs w:val="24"/>
        </w:rPr>
        <w:t xml:space="preserve"> </w:t>
      </w:r>
      <w:r w:rsidRPr="00D52B1D">
        <w:rPr>
          <w:color w:val="000000"/>
          <w:szCs w:val="24"/>
        </w:rPr>
        <w:t>3</w:t>
      </w:r>
      <w:r w:rsidRPr="00D52B1D">
        <w:rPr>
          <w:color w:val="000000"/>
          <w:spacing w:val="6"/>
          <w:sz w:val="20"/>
        </w:rPr>
        <w:t xml:space="preserve"> </w:t>
      </w:r>
      <w:r w:rsidRPr="00D52B1D">
        <w:rPr>
          <w:color w:val="000000"/>
          <w:spacing w:val="2"/>
        </w:rPr>
        <w:t>s</w:t>
      </w:r>
      <w:r w:rsidRPr="00D52B1D">
        <w:rPr>
          <w:color w:val="000000"/>
        </w:rPr>
        <w:t>ummarise</w:t>
      </w:r>
      <w:r w:rsidRPr="00D52B1D">
        <w:rPr>
          <w:color w:val="000000"/>
          <w:spacing w:val="-10"/>
        </w:rPr>
        <w:t xml:space="preserve"> </w:t>
      </w:r>
      <w:r w:rsidRPr="00D52B1D">
        <w:rPr>
          <w:color w:val="000000"/>
        </w:rPr>
        <w:t>t</w:t>
      </w:r>
      <w:r w:rsidRPr="00D52B1D">
        <w:rPr>
          <w:color w:val="000000"/>
          <w:spacing w:val="1"/>
        </w:rPr>
        <w:t>h</w:t>
      </w:r>
      <w:r w:rsidRPr="00D52B1D">
        <w:rPr>
          <w:color w:val="000000"/>
        </w:rPr>
        <w:t>e</w:t>
      </w:r>
      <w:r w:rsidRPr="00D52B1D">
        <w:rPr>
          <w:color w:val="000000"/>
          <w:spacing w:val="-3"/>
        </w:rPr>
        <w:t xml:space="preserve"> </w:t>
      </w:r>
      <w:r w:rsidRPr="00D52B1D">
        <w:rPr>
          <w:color w:val="000000"/>
        </w:rPr>
        <w:t>p</w:t>
      </w:r>
      <w:r w:rsidRPr="00D52B1D">
        <w:rPr>
          <w:color w:val="000000"/>
          <w:spacing w:val="1"/>
        </w:rPr>
        <w:t>a</w:t>
      </w:r>
      <w:r w:rsidRPr="00D52B1D">
        <w:rPr>
          <w:color w:val="000000"/>
        </w:rPr>
        <w:t>tie</w:t>
      </w:r>
      <w:r w:rsidRPr="00D52B1D">
        <w:rPr>
          <w:color w:val="000000"/>
          <w:spacing w:val="1"/>
        </w:rPr>
        <w:t>n</w:t>
      </w:r>
      <w:r w:rsidRPr="00D52B1D">
        <w:rPr>
          <w:color w:val="000000"/>
        </w:rPr>
        <w:t>t</w:t>
      </w:r>
      <w:r w:rsidRPr="00D52B1D">
        <w:rPr>
          <w:color w:val="000000"/>
          <w:spacing w:val="-7"/>
        </w:rPr>
        <w:t xml:space="preserve"> </w:t>
      </w:r>
      <w:r w:rsidRPr="00D52B1D">
        <w:rPr>
          <w:color w:val="000000"/>
        </w:rPr>
        <w:t>p</w:t>
      </w:r>
      <w:r w:rsidRPr="00D52B1D">
        <w:rPr>
          <w:color w:val="000000"/>
          <w:spacing w:val="1"/>
        </w:rPr>
        <w:t>a</w:t>
      </w:r>
      <w:r w:rsidRPr="00D52B1D">
        <w:rPr>
          <w:color w:val="000000"/>
        </w:rPr>
        <w:t>thways under</w:t>
      </w:r>
      <w:r w:rsidRPr="00D52B1D">
        <w:rPr>
          <w:color w:val="000000"/>
          <w:spacing w:val="-5"/>
        </w:rPr>
        <w:t xml:space="preserve"> </w:t>
      </w:r>
      <w:r w:rsidRPr="00D52B1D">
        <w:rPr>
          <w:color w:val="000000"/>
        </w:rPr>
        <w:t>c</w:t>
      </w:r>
      <w:r w:rsidRPr="00D52B1D">
        <w:rPr>
          <w:color w:val="000000"/>
          <w:spacing w:val="1"/>
        </w:rPr>
        <w:t>u</w:t>
      </w:r>
      <w:r w:rsidRPr="00D52B1D">
        <w:rPr>
          <w:color w:val="000000"/>
        </w:rPr>
        <w:t>rr</w:t>
      </w:r>
      <w:r w:rsidRPr="00D52B1D">
        <w:rPr>
          <w:color w:val="000000"/>
          <w:spacing w:val="1"/>
        </w:rPr>
        <w:t>e</w:t>
      </w:r>
      <w:r w:rsidRPr="00D52B1D">
        <w:rPr>
          <w:color w:val="000000"/>
        </w:rPr>
        <w:t>nt</w:t>
      </w:r>
      <w:r w:rsidRPr="00D52B1D">
        <w:rPr>
          <w:color w:val="000000"/>
          <w:spacing w:val="-7"/>
        </w:rPr>
        <w:t xml:space="preserve"> </w:t>
      </w:r>
      <w:r w:rsidRPr="00D52B1D">
        <w:rPr>
          <w:color w:val="000000"/>
        </w:rPr>
        <w:t>MBS</w:t>
      </w:r>
      <w:r w:rsidRPr="00D52B1D">
        <w:rPr>
          <w:color w:val="000000"/>
          <w:spacing w:val="-3"/>
        </w:rPr>
        <w:t xml:space="preserve"> </w:t>
      </w:r>
      <w:r w:rsidRPr="00D52B1D">
        <w:rPr>
          <w:color w:val="000000"/>
        </w:rPr>
        <w:t>arr</w:t>
      </w:r>
      <w:r w:rsidRPr="00D52B1D">
        <w:rPr>
          <w:color w:val="000000"/>
          <w:spacing w:val="1"/>
        </w:rPr>
        <w:t>a</w:t>
      </w:r>
      <w:r w:rsidRPr="00D52B1D">
        <w:rPr>
          <w:color w:val="000000"/>
        </w:rPr>
        <w:t>nge</w:t>
      </w:r>
      <w:r w:rsidRPr="00D52B1D">
        <w:rPr>
          <w:color w:val="000000"/>
          <w:spacing w:val="2"/>
        </w:rPr>
        <w:t>m</w:t>
      </w:r>
      <w:r w:rsidRPr="00D52B1D">
        <w:rPr>
          <w:color w:val="000000"/>
        </w:rPr>
        <w:t>ents</w:t>
      </w:r>
      <w:r w:rsidRPr="00D52B1D">
        <w:rPr>
          <w:color w:val="000000"/>
          <w:spacing w:val="-13"/>
        </w:rPr>
        <w:t xml:space="preserve"> </w:t>
      </w:r>
      <w:r w:rsidRPr="00D52B1D">
        <w:rPr>
          <w:color w:val="000000"/>
          <w:spacing w:val="1"/>
        </w:rPr>
        <w:t>(a</w:t>
      </w:r>
      <w:r w:rsidRPr="00D52B1D">
        <w:rPr>
          <w:color w:val="000000"/>
        </w:rPr>
        <w:t>s</w:t>
      </w:r>
      <w:r w:rsidRPr="00D52B1D">
        <w:rPr>
          <w:color w:val="000000"/>
          <w:spacing w:val="-3"/>
        </w:rPr>
        <w:t xml:space="preserve"> </w:t>
      </w:r>
      <w:r w:rsidRPr="00D52B1D">
        <w:rPr>
          <w:color w:val="000000"/>
        </w:rPr>
        <w:t>shown</w:t>
      </w:r>
      <w:r w:rsidRPr="00D52B1D">
        <w:rPr>
          <w:color w:val="000000"/>
          <w:spacing w:val="-6"/>
        </w:rPr>
        <w:t xml:space="preserve"> </w:t>
      </w:r>
      <w:r w:rsidRPr="00D52B1D">
        <w:rPr>
          <w:color w:val="000000"/>
        </w:rPr>
        <w:t>in</w:t>
      </w:r>
      <w:r w:rsidRPr="00D52B1D">
        <w:rPr>
          <w:color w:val="000000"/>
          <w:spacing w:val="-1"/>
        </w:rPr>
        <w:t xml:space="preserve"> </w:t>
      </w:r>
      <w:r w:rsidRPr="00D52B1D">
        <w:rPr>
          <w:color w:val="000000"/>
          <w:spacing w:val="1"/>
        </w:rPr>
        <w:t>g</w:t>
      </w:r>
      <w:r w:rsidRPr="00D52B1D">
        <w:rPr>
          <w:color w:val="000000"/>
        </w:rPr>
        <w:t>reen</w:t>
      </w:r>
      <w:r w:rsidRPr="00D52B1D">
        <w:rPr>
          <w:color w:val="000000"/>
          <w:spacing w:val="1"/>
        </w:rPr>
        <w:t>)</w:t>
      </w:r>
      <w:r w:rsidRPr="00D52B1D">
        <w:rPr>
          <w:color w:val="000000"/>
        </w:rPr>
        <w:t>,</w:t>
      </w:r>
      <w:r w:rsidRPr="00D52B1D">
        <w:rPr>
          <w:color w:val="000000"/>
          <w:spacing w:val="-8"/>
        </w:rPr>
        <w:t xml:space="preserve"> </w:t>
      </w:r>
      <w:r w:rsidRPr="00D52B1D">
        <w:rPr>
          <w:color w:val="000000"/>
          <w:spacing w:val="1"/>
        </w:rPr>
        <w:t>a</w:t>
      </w:r>
      <w:r w:rsidRPr="00D52B1D">
        <w:rPr>
          <w:color w:val="000000"/>
        </w:rPr>
        <w:t>nd</w:t>
      </w:r>
      <w:r w:rsidRPr="00D52B1D">
        <w:rPr>
          <w:color w:val="000000"/>
          <w:spacing w:val="-3"/>
        </w:rPr>
        <w:t xml:space="preserve"> </w:t>
      </w:r>
      <w:r w:rsidRPr="00D52B1D">
        <w:rPr>
          <w:color w:val="000000"/>
          <w:spacing w:val="1"/>
        </w:rPr>
        <w:t>t</w:t>
      </w:r>
      <w:r w:rsidRPr="00D52B1D">
        <w:rPr>
          <w:color w:val="000000"/>
        </w:rPr>
        <w:t>he</w:t>
      </w:r>
      <w:r w:rsidRPr="00D52B1D">
        <w:rPr>
          <w:color w:val="000000"/>
          <w:spacing w:val="-3"/>
        </w:rPr>
        <w:t xml:space="preserve"> </w:t>
      </w:r>
      <w:r w:rsidRPr="00D52B1D">
        <w:rPr>
          <w:color w:val="000000"/>
          <w:spacing w:val="1"/>
        </w:rPr>
        <w:t>p</w:t>
      </w:r>
      <w:r w:rsidRPr="00D52B1D">
        <w:rPr>
          <w:color w:val="000000"/>
        </w:rPr>
        <w:t>athw</w:t>
      </w:r>
      <w:r w:rsidRPr="00D52B1D">
        <w:rPr>
          <w:color w:val="000000"/>
          <w:spacing w:val="1"/>
        </w:rPr>
        <w:t>a</w:t>
      </w:r>
      <w:r w:rsidRPr="00D52B1D">
        <w:rPr>
          <w:color w:val="000000"/>
        </w:rPr>
        <w:t>y</w:t>
      </w:r>
      <w:r w:rsidRPr="00D52B1D">
        <w:rPr>
          <w:color w:val="000000"/>
          <w:spacing w:val="-7"/>
        </w:rPr>
        <w:t xml:space="preserve"> </w:t>
      </w:r>
      <w:r w:rsidRPr="00D52B1D">
        <w:rPr>
          <w:color w:val="000000"/>
        </w:rPr>
        <w:t>as</w:t>
      </w:r>
      <w:r w:rsidRPr="00D52B1D">
        <w:rPr>
          <w:color w:val="000000"/>
          <w:spacing w:val="-2"/>
        </w:rPr>
        <w:t xml:space="preserve"> </w:t>
      </w:r>
      <w:r w:rsidRPr="00D52B1D">
        <w:rPr>
          <w:color w:val="000000"/>
        </w:rPr>
        <w:t>pr</w:t>
      </w:r>
      <w:r w:rsidRPr="00D52B1D">
        <w:rPr>
          <w:color w:val="000000"/>
          <w:spacing w:val="1"/>
        </w:rPr>
        <w:t>o</w:t>
      </w:r>
      <w:r w:rsidRPr="00D52B1D">
        <w:rPr>
          <w:color w:val="000000"/>
        </w:rPr>
        <w:t>pos</w:t>
      </w:r>
      <w:r w:rsidRPr="00D52B1D">
        <w:rPr>
          <w:color w:val="000000"/>
          <w:spacing w:val="1"/>
        </w:rPr>
        <w:t>e</w:t>
      </w:r>
      <w:r w:rsidRPr="00D52B1D">
        <w:rPr>
          <w:color w:val="000000"/>
        </w:rPr>
        <w:t>d</w:t>
      </w:r>
      <w:r w:rsidRPr="00D52B1D">
        <w:rPr>
          <w:color w:val="000000"/>
          <w:spacing w:val="-8"/>
        </w:rPr>
        <w:t xml:space="preserve"> </w:t>
      </w:r>
      <w:r w:rsidRPr="00D52B1D">
        <w:rPr>
          <w:color w:val="000000"/>
        </w:rPr>
        <w:t>by</w:t>
      </w:r>
      <w:r w:rsidRPr="00D52B1D">
        <w:rPr>
          <w:color w:val="000000"/>
          <w:spacing w:val="-1"/>
        </w:rPr>
        <w:t xml:space="preserve"> </w:t>
      </w:r>
      <w:r w:rsidRPr="00D52B1D">
        <w:rPr>
          <w:color w:val="000000"/>
        </w:rPr>
        <w:t>the applic</w:t>
      </w:r>
      <w:r w:rsidRPr="00D52B1D">
        <w:rPr>
          <w:color w:val="000000"/>
          <w:spacing w:val="1"/>
        </w:rPr>
        <w:t>a</w:t>
      </w:r>
      <w:r w:rsidRPr="00D52B1D">
        <w:rPr>
          <w:color w:val="000000"/>
        </w:rPr>
        <w:t>nt</w:t>
      </w:r>
      <w:r w:rsidRPr="00D52B1D">
        <w:rPr>
          <w:color w:val="000000"/>
          <w:spacing w:val="-9"/>
        </w:rPr>
        <w:t xml:space="preserve"> </w:t>
      </w:r>
      <w:r w:rsidRPr="00D52B1D">
        <w:rPr>
          <w:color w:val="000000"/>
        </w:rPr>
        <w:t>(b</w:t>
      </w:r>
      <w:r w:rsidRPr="00D52B1D">
        <w:rPr>
          <w:color w:val="000000"/>
          <w:spacing w:val="2"/>
        </w:rPr>
        <w:t>l</w:t>
      </w:r>
      <w:r w:rsidRPr="00D52B1D">
        <w:rPr>
          <w:color w:val="000000"/>
        </w:rPr>
        <w:t>ue),</w:t>
      </w:r>
      <w:r w:rsidRPr="00D52B1D">
        <w:rPr>
          <w:color w:val="000000"/>
          <w:spacing w:val="-6"/>
        </w:rPr>
        <w:t xml:space="preserve"> </w:t>
      </w:r>
      <w:r w:rsidRPr="00D52B1D">
        <w:rPr>
          <w:color w:val="000000"/>
        </w:rPr>
        <w:t>divi</w:t>
      </w:r>
      <w:r w:rsidRPr="00D52B1D">
        <w:rPr>
          <w:color w:val="000000"/>
          <w:spacing w:val="1"/>
        </w:rPr>
        <w:t>d</w:t>
      </w:r>
      <w:r w:rsidRPr="00D52B1D">
        <w:rPr>
          <w:color w:val="000000"/>
        </w:rPr>
        <w:t>ed</w:t>
      </w:r>
      <w:r w:rsidRPr="00D52B1D">
        <w:rPr>
          <w:color w:val="000000"/>
          <w:spacing w:val="-5"/>
        </w:rPr>
        <w:t xml:space="preserve"> </w:t>
      </w:r>
      <w:r w:rsidRPr="00D52B1D">
        <w:rPr>
          <w:color w:val="000000"/>
        </w:rPr>
        <w:t>by</w:t>
      </w:r>
      <w:r w:rsidRPr="00D52B1D">
        <w:rPr>
          <w:color w:val="000000"/>
          <w:spacing w:val="-2"/>
        </w:rPr>
        <w:t xml:space="preserve"> </w:t>
      </w:r>
      <w:r w:rsidRPr="00D52B1D">
        <w:rPr>
          <w:color w:val="000000"/>
        </w:rPr>
        <w:t>ind</w:t>
      </w:r>
      <w:r w:rsidRPr="00D52B1D">
        <w:rPr>
          <w:color w:val="000000"/>
          <w:spacing w:val="2"/>
        </w:rPr>
        <w:t>i</w:t>
      </w:r>
      <w:r w:rsidRPr="00D52B1D">
        <w:rPr>
          <w:color w:val="000000"/>
        </w:rPr>
        <w:t>cat</w:t>
      </w:r>
      <w:r w:rsidRPr="00D52B1D">
        <w:rPr>
          <w:color w:val="000000"/>
          <w:spacing w:val="1"/>
        </w:rPr>
        <w:t>i</w:t>
      </w:r>
      <w:r w:rsidRPr="00D52B1D">
        <w:rPr>
          <w:color w:val="000000"/>
        </w:rPr>
        <w:t>o</w:t>
      </w:r>
      <w:r w:rsidRPr="00D52B1D">
        <w:rPr>
          <w:color w:val="000000"/>
          <w:spacing w:val="1"/>
        </w:rPr>
        <w:t>n</w:t>
      </w:r>
      <w:r w:rsidRPr="00D52B1D">
        <w:rPr>
          <w:color w:val="000000"/>
        </w:rPr>
        <w:t>.</w:t>
      </w:r>
    </w:p>
    <w:p w:rsidR="0016771D" w:rsidRDefault="0016771D">
      <w:pPr>
        <w:rPr>
          <w:color w:val="000000"/>
        </w:rPr>
      </w:pPr>
    </w:p>
    <w:p w:rsidR="0016771D" w:rsidRDefault="0016771D">
      <w:pPr>
        <w:rPr>
          <w:color w:val="000000"/>
        </w:rPr>
      </w:pPr>
      <w:r>
        <w:rPr>
          <w:color w:val="000000"/>
        </w:rPr>
        <w:br w:type="page"/>
      </w:r>
    </w:p>
    <w:p w:rsidR="0016771D" w:rsidRDefault="0016771D">
      <w:pPr>
        <w:rPr>
          <w:color w:val="000000"/>
        </w:rPr>
      </w:pPr>
      <w:r w:rsidRPr="0016771D">
        <w:rPr>
          <w:noProof/>
        </w:rPr>
        <w:lastRenderedPageBreak/>
        <w:drawing>
          <wp:inline distT="0" distB="0" distL="0" distR="0" wp14:anchorId="2A7C85E2" wp14:editId="0628E6ED">
            <wp:extent cx="5895975" cy="6143625"/>
            <wp:effectExtent l="0" t="0" r="9525" b="9525"/>
            <wp:docPr id="4" name="Picture 4" title="clinical management algorithm for patients who have had an incomplete of technically difficult 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95975" cy="6143625"/>
                    </a:xfrm>
                    <a:prstGeom prst="rect">
                      <a:avLst/>
                    </a:prstGeom>
                  </pic:spPr>
                </pic:pic>
              </a:graphicData>
            </a:graphic>
          </wp:inline>
        </w:drawing>
      </w:r>
      <w:r>
        <w:rPr>
          <w:color w:val="000000"/>
        </w:rPr>
        <w:br w:type="page"/>
      </w:r>
    </w:p>
    <w:p w:rsidR="00E66C12" w:rsidRPr="0016771D" w:rsidRDefault="008078C2" w:rsidP="0016771D">
      <w:r>
        <w:rPr>
          <w:rFonts w:ascii="Arial Narrow" w:hAnsi="Arial Narrow" w:cs="Arial Narrow"/>
          <w:b/>
          <w:bCs/>
          <w:noProof/>
          <w:color w:val="000000"/>
          <w:sz w:val="20"/>
        </w:rPr>
        <w:lastRenderedPageBreak/>
        <w:drawing>
          <wp:inline distT="0" distB="0" distL="0" distR="0">
            <wp:extent cx="5806440" cy="6067425"/>
            <wp:effectExtent l="0" t="0" r="3810" b="9525"/>
            <wp:docPr id="3" name="Picture 3" title="Clinical management algorithm for patients with contraindications to 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5\hamblc\Desktop\Misc\PSD 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6067425"/>
                    </a:xfrm>
                    <a:prstGeom prst="rect">
                      <a:avLst/>
                    </a:prstGeom>
                    <a:noFill/>
                    <a:ln>
                      <a:noFill/>
                    </a:ln>
                  </pic:spPr>
                </pic:pic>
              </a:graphicData>
            </a:graphic>
          </wp:inline>
        </w:drawing>
      </w:r>
    </w:p>
    <w:p w:rsidR="00E66C12" w:rsidRPr="0016771D" w:rsidRDefault="00E66C12" w:rsidP="0016771D">
      <w:pPr>
        <w:sectPr w:rsidR="00E66C12" w:rsidRPr="0016771D" w:rsidSect="0016771D">
          <w:pgSz w:w="11920" w:h="16840"/>
          <w:pgMar w:top="1580" w:right="1180" w:bottom="280" w:left="1320" w:header="720" w:footer="720" w:gutter="0"/>
          <w:cols w:space="720" w:equalWidth="0">
            <w:col w:w="9420"/>
          </w:cols>
          <w:noEndnote/>
        </w:sectPr>
      </w:pPr>
    </w:p>
    <w:p w:rsidR="0016771D" w:rsidRPr="0016771D" w:rsidRDefault="0016771D" w:rsidP="0016771D">
      <w:pPr>
        <w:widowControl w:val="0"/>
      </w:pPr>
    </w:p>
    <w:p w:rsidR="00E66C12" w:rsidRDefault="00E66C12" w:rsidP="00E66C12">
      <w:pPr>
        <w:widowControl w:val="0"/>
        <w:autoSpaceDE w:val="0"/>
        <w:autoSpaceDN w:val="0"/>
        <w:adjustRightInd w:val="0"/>
        <w:spacing w:line="225" w:lineRule="exact"/>
        <w:ind w:right="-20"/>
        <w:rPr>
          <w:rFonts w:ascii="Arial Narrow" w:hAnsi="Arial Narrow" w:cs="Arial Narrow"/>
          <w:color w:val="000000"/>
          <w:sz w:val="20"/>
        </w:rPr>
      </w:pPr>
    </w:p>
    <w:p w:rsidR="00E66C12" w:rsidRDefault="00E66C12" w:rsidP="00E66C12">
      <w:pPr>
        <w:widowControl w:val="0"/>
        <w:autoSpaceDE w:val="0"/>
        <w:autoSpaceDN w:val="0"/>
        <w:adjustRightInd w:val="0"/>
        <w:spacing w:before="35"/>
        <w:ind w:right="-20"/>
        <w:rPr>
          <w:rFonts w:ascii="Arial Narrow" w:hAnsi="Arial Narrow" w:cs="Arial Narrow"/>
          <w:color w:val="000000"/>
          <w:sz w:val="20"/>
        </w:rPr>
        <w:sectPr w:rsidR="00E66C12">
          <w:type w:val="continuous"/>
          <w:pgSz w:w="11920" w:h="16840"/>
          <w:pgMar w:top="1580" w:right="1200" w:bottom="280" w:left="1320" w:header="720" w:footer="720" w:gutter="0"/>
          <w:cols w:num="2" w:space="720" w:equalWidth="0">
            <w:col w:w="3803" w:space="2734"/>
            <w:col w:w="2863"/>
          </w:cols>
          <w:noEndnote/>
        </w:sectPr>
      </w:pPr>
    </w:p>
    <w:p w:rsidR="00E66C12" w:rsidRDefault="00E66C12" w:rsidP="00E66C12">
      <w:pPr>
        <w:tabs>
          <w:tab w:val="left" w:pos="720"/>
          <w:tab w:val="left" w:pos="1140"/>
        </w:tabs>
        <w:spacing w:before="240"/>
        <w:ind w:left="720" w:hanging="720"/>
        <w:rPr>
          <w:rFonts w:ascii="Arial" w:hAnsi="Arial" w:cs="Arial"/>
          <w:b/>
        </w:rPr>
      </w:pPr>
      <w:r>
        <w:rPr>
          <w:noProof/>
        </w:rPr>
        <w:lastRenderedPageBreak/>
        <w:drawing>
          <wp:inline distT="0" distB="0" distL="0" distR="0" wp14:anchorId="767A683D" wp14:editId="50FDD150">
            <wp:extent cx="5731510" cy="5276541"/>
            <wp:effectExtent l="0" t="0" r="2540" b="635"/>
            <wp:docPr id="1" name="Picture 1" descr="Clinical management algorithm for patients with limited access to OC"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5276541"/>
                    </a:xfrm>
                    <a:prstGeom prst="rect">
                      <a:avLst/>
                    </a:prstGeom>
                  </pic:spPr>
                </pic:pic>
              </a:graphicData>
            </a:graphic>
          </wp:inline>
        </w:drawing>
      </w:r>
    </w:p>
    <w:p w:rsidR="00BC1364" w:rsidRPr="00707064" w:rsidRDefault="00BC1364"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E66C12" w:rsidRDefault="00E66C12" w:rsidP="0004730F">
      <w:pPr>
        <w:tabs>
          <w:tab w:val="left" w:pos="720"/>
          <w:tab w:val="left" w:pos="1140"/>
        </w:tabs>
        <w:rPr>
          <w:szCs w:val="24"/>
        </w:rPr>
      </w:pPr>
      <w:r w:rsidRPr="00D74CA6">
        <w:rPr>
          <w:szCs w:val="24"/>
        </w:rPr>
        <w:t>The role of CTC for the diagnosis or exclusion of CRC indicates that CTC is a replacement for DCBE or delayed c</w:t>
      </w:r>
      <w:r>
        <w:rPr>
          <w:szCs w:val="24"/>
        </w:rPr>
        <w:t>olonoscopy in the defined patient groups</w:t>
      </w:r>
      <w:r w:rsidRPr="00D74CA6">
        <w:rPr>
          <w:szCs w:val="24"/>
        </w:rPr>
        <w:t xml:space="preserve">. </w:t>
      </w:r>
    </w:p>
    <w:p w:rsidR="003C5C2B" w:rsidRDefault="003C5C2B" w:rsidP="0004730F">
      <w:pPr>
        <w:tabs>
          <w:tab w:val="left" w:pos="720"/>
          <w:tab w:val="left" w:pos="1140"/>
        </w:tabs>
        <w:rPr>
          <w:szCs w:val="24"/>
        </w:rPr>
      </w:pPr>
    </w:p>
    <w:p w:rsidR="00E66C12" w:rsidRPr="00BB418D" w:rsidRDefault="003C5C2B" w:rsidP="0004730F">
      <w:pPr>
        <w:tabs>
          <w:tab w:val="left" w:pos="720"/>
          <w:tab w:val="left" w:pos="1140"/>
        </w:tabs>
        <w:rPr>
          <w:szCs w:val="24"/>
        </w:rPr>
      </w:pPr>
      <w:r>
        <w:rPr>
          <w:szCs w:val="24"/>
        </w:rPr>
        <w:t xml:space="preserve">If </w:t>
      </w:r>
      <w:r w:rsidR="00E66C12" w:rsidRPr="00D74CA6">
        <w:rPr>
          <w:szCs w:val="24"/>
        </w:rPr>
        <w:t xml:space="preserve">the MBS items for CTC </w:t>
      </w:r>
      <w:r>
        <w:rPr>
          <w:szCs w:val="24"/>
        </w:rPr>
        <w:t>are</w:t>
      </w:r>
      <w:r w:rsidRPr="00D74CA6">
        <w:rPr>
          <w:szCs w:val="24"/>
        </w:rPr>
        <w:t xml:space="preserve"> </w:t>
      </w:r>
      <w:r w:rsidR="00E66C12" w:rsidRPr="00D74CA6">
        <w:rPr>
          <w:szCs w:val="24"/>
        </w:rPr>
        <w:t>broaden</w:t>
      </w:r>
      <w:r>
        <w:rPr>
          <w:szCs w:val="24"/>
        </w:rPr>
        <w:t>ed to</w:t>
      </w:r>
      <w:r w:rsidR="00E66C12" w:rsidRPr="00D74CA6">
        <w:rPr>
          <w:szCs w:val="24"/>
        </w:rPr>
        <w:t xml:space="preserve"> the eligible population in line with the applicant’s proposal, it is envisaged that uptake of CTC services would slowly increase, with a consequent downward turn in DCBE services until it becomes obsolete.</w:t>
      </w:r>
    </w:p>
    <w:p w:rsidR="003C5C2B" w:rsidRDefault="003C5C2B" w:rsidP="0004730F">
      <w:pPr>
        <w:tabs>
          <w:tab w:val="left" w:pos="720"/>
          <w:tab w:val="left" w:pos="1140"/>
        </w:tabs>
        <w:rPr>
          <w:szCs w:val="24"/>
        </w:rPr>
      </w:pPr>
    </w:p>
    <w:p w:rsidR="00E66C12" w:rsidRPr="00333786" w:rsidRDefault="00E66C12" w:rsidP="0004730F">
      <w:pPr>
        <w:tabs>
          <w:tab w:val="left" w:pos="720"/>
          <w:tab w:val="left" w:pos="1140"/>
        </w:tabs>
        <w:rPr>
          <w:szCs w:val="24"/>
        </w:rPr>
      </w:pPr>
      <w:r w:rsidRPr="00333786">
        <w:rPr>
          <w:szCs w:val="24"/>
        </w:rPr>
        <w:t>For patients who are: (a) clinically unsuitable for colonoscopy, as identified by an incomplete or technically difficult colonoscopy, or (b) contraindicated to colonoscopy, the appropriate comparator is DCBE.</w:t>
      </w:r>
    </w:p>
    <w:p w:rsidR="003C5C2B" w:rsidRDefault="003C5C2B" w:rsidP="0004730F">
      <w:pPr>
        <w:tabs>
          <w:tab w:val="left" w:pos="720"/>
          <w:tab w:val="left" w:pos="1140"/>
        </w:tabs>
        <w:rPr>
          <w:szCs w:val="24"/>
        </w:rPr>
      </w:pPr>
    </w:p>
    <w:p w:rsidR="00E66C12" w:rsidRPr="00333786" w:rsidRDefault="00E66C12" w:rsidP="0004730F">
      <w:pPr>
        <w:tabs>
          <w:tab w:val="left" w:pos="720"/>
          <w:tab w:val="left" w:pos="1140"/>
        </w:tabs>
        <w:rPr>
          <w:i/>
          <w:szCs w:val="24"/>
        </w:rPr>
      </w:pPr>
      <w:r w:rsidRPr="00333786">
        <w:rPr>
          <w:szCs w:val="24"/>
        </w:rPr>
        <w:t xml:space="preserve">For patients with limited access to colonoscopy, the nominated and appropriate comparators are DCBE and ‘delayed colonoscopy’, although if access to colonoscopy is limited </w:t>
      </w:r>
      <w:r>
        <w:rPr>
          <w:szCs w:val="24"/>
        </w:rPr>
        <w:t>it has been suggested that access to DCBE would also be limited.</w:t>
      </w:r>
    </w:p>
    <w:p w:rsidR="000E72BB" w:rsidRDefault="000E72BB">
      <w:pPr>
        <w:rPr>
          <w:szCs w:val="24"/>
        </w:rPr>
      </w:pPr>
      <w:r>
        <w:rPr>
          <w:szCs w:val="24"/>
        </w:rPr>
        <w:br w:type="page"/>
      </w:r>
    </w:p>
    <w:p w:rsidR="00BC1364" w:rsidRPr="008D5885" w:rsidRDefault="00BC1364" w:rsidP="007B32D1">
      <w:pPr>
        <w:pStyle w:val="Heading1"/>
        <w:numPr>
          <w:ilvl w:val="0"/>
          <w:numId w:val="23"/>
        </w:numPr>
        <w:ind w:hanging="720"/>
      </w:pPr>
      <w:r w:rsidRPr="008D5885">
        <w:lastRenderedPageBreak/>
        <w:t>Comparative safety</w:t>
      </w:r>
    </w:p>
    <w:p w:rsidR="00BC1364" w:rsidRDefault="00BC1364" w:rsidP="00DD2858">
      <w:pPr>
        <w:pStyle w:val="ListParagraph"/>
        <w:ind w:left="0"/>
        <w:rPr>
          <w:b/>
          <w:szCs w:val="24"/>
        </w:rPr>
      </w:pPr>
    </w:p>
    <w:p w:rsidR="00E66C12" w:rsidRDefault="000E72BB">
      <w:r w:rsidRPr="0004730F">
        <w:rPr>
          <w:szCs w:val="24"/>
        </w:rPr>
        <w:t>T</w:t>
      </w:r>
      <w:r w:rsidR="00E66C12" w:rsidRPr="00F04B3D">
        <w:rPr>
          <w:szCs w:val="24"/>
        </w:rPr>
        <w:t xml:space="preserve">wo </w:t>
      </w:r>
      <w:r w:rsidR="00E66C12" w:rsidRPr="00D5584D">
        <w:t>articles report</w:t>
      </w:r>
      <w:r>
        <w:t>ing</w:t>
      </w:r>
      <w:r w:rsidR="00E66C12" w:rsidRPr="00D5584D">
        <w:t xml:space="preserve"> on one randomised</w:t>
      </w:r>
      <w:r w:rsidR="00E66C12">
        <w:t xml:space="preserve"> controlled</w:t>
      </w:r>
      <w:r w:rsidR="00E66C12" w:rsidRPr="00D5584D">
        <w:t xml:space="preserve"> trial </w:t>
      </w:r>
      <w:r w:rsidR="00E66C12" w:rsidRPr="001B3C26">
        <w:fldChar w:fldCharType="begin">
          <w:fldData xml:space="preserve">PEVuZE5vdGU+PENpdGU+PEF1dGhvcj5IYWxsaWdhbjwvQXV0aG9yPjxZZWFyPjIwMTM8L1llYXI+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ZXQ8L2Z1bGwtdGl0bGU+PC9hbHQtcGVyaW9kaWNhbD48cGFnZXM+MTE4NS05MzwvcGFnZXM+PHZv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</w:fldData>
        </w:fldChar>
      </w:r>
      <w:r w:rsidR="00E66C12">
        <w:instrText xml:space="preserve"> ADDIN EN.CITE </w:instrText>
      </w:r>
      <w:r w:rsidR="00E66C12">
        <w:fldChar w:fldCharType="begin">
          <w:fldData xml:space="preserve">PEVuZE5vdGU+PENpdGU+PEF1dGhvcj5IYWxsaWdhbjwvQXV0aG9yPjxZZWFyPjIwMTM8L1llYXI+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ZXQ8L2Z1bGwtdGl0bGU+PC9hbHQtcGVyaW9kaWNhbD48cGFnZXM+MTE4NS05MzwvcGFnZXM+PHZv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</w:fldData>
        </w:fldChar>
      </w:r>
      <w:r w:rsidR="00E66C12">
        <w:instrText xml:space="preserve"> ADDIN EN.CITE.DATA </w:instrText>
      </w:r>
      <w:r w:rsidR="00E66C12">
        <w:fldChar w:fldCharType="end"/>
      </w:r>
      <w:r w:rsidR="00E66C12" w:rsidRPr="001B3C26">
        <w:fldChar w:fldCharType="separate"/>
      </w:r>
      <w:r w:rsidR="00E66C12">
        <w:rPr>
          <w:noProof/>
        </w:rPr>
        <w:t>(</w:t>
      </w:r>
      <w:hyperlink w:anchor="_ENREF_25" w:tooltip="Halligan, 2013 #1111" w:history="1">
        <w:r w:rsidR="00E66C12">
          <w:rPr>
            <w:noProof/>
          </w:rPr>
          <w:t>Halligan et al. 2013</w:t>
        </w:r>
      </w:hyperlink>
      <w:r w:rsidR="00E66C12">
        <w:rPr>
          <w:noProof/>
        </w:rPr>
        <w:t xml:space="preserve">; </w:t>
      </w:r>
      <w:hyperlink w:anchor="_ENREF_88" w:tooltip="von Wagner, 2011 #478" w:history="1">
        <w:r w:rsidR="00E66C12">
          <w:rPr>
            <w:noProof/>
          </w:rPr>
          <w:t>von Wagner et al. 2011</w:t>
        </w:r>
      </w:hyperlink>
      <w:r w:rsidR="00E66C12">
        <w:rPr>
          <w:noProof/>
        </w:rPr>
        <w:t>)</w:t>
      </w:r>
      <w:r w:rsidR="00E66C12" w:rsidRPr="001B3C26">
        <w:fldChar w:fldCharType="end"/>
      </w:r>
      <w:r w:rsidR="00E66C12" w:rsidRPr="00D5584D">
        <w:t xml:space="preserve"> compared CTC </w:t>
      </w:r>
      <w:r w:rsidR="00E66C12">
        <w:t>and</w:t>
      </w:r>
      <w:r w:rsidR="00E66C12" w:rsidRPr="00D5584D">
        <w:t xml:space="preserve"> DCBE with respect to primary and secondary safety outcomes. </w:t>
      </w:r>
      <w:r w:rsidR="00E66C12" w:rsidRPr="00764EE3">
        <w:t>No studies comparing the safety of CTC and delayed colonoscopy were identified.</w:t>
      </w:r>
    </w:p>
    <w:p w:rsidR="00483B5C" w:rsidRDefault="00483B5C" w:rsidP="0004730F">
      <w:pPr>
        <w:tabs>
          <w:tab w:val="num" w:pos="426"/>
        </w:tabs>
      </w:pPr>
    </w:p>
    <w:p w:rsidR="00E33C70" w:rsidRDefault="00E33C70" w:rsidP="0004730F">
      <w:pPr>
        <w:tabs>
          <w:tab w:val="num" w:pos="426"/>
        </w:tabs>
      </w:pPr>
      <w:r>
        <w:t>Halligan et al 2013 reported that there was no difference in serious adverse events (requiring hospitalisation) between DCBE and CTC. In both groups adverse events were rare: four events versus one event in the DCBE and CTC groups, respectively (RR=1.00, 95% CI 0.99, 1.00). Similarly, any deaths reported were not considered attributable to the imaging received.</w:t>
      </w:r>
    </w:p>
    <w:p w:rsidR="00E33C70" w:rsidRDefault="00E33C70" w:rsidP="0004730F">
      <w:pPr>
        <w:tabs>
          <w:tab w:val="num" w:pos="426"/>
        </w:tabs>
      </w:pPr>
    </w:p>
    <w:p w:rsidR="00E66C12" w:rsidRDefault="00E66C12" w:rsidP="0004730F">
      <w:pPr>
        <w:tabs>
          <w:tab w:val="num" w:pos="426"/>
        </w:tabs>
      </w:pPr>
      <w:proofErr w:type="spellStart"/>
      <w:r>
        <w:t>Neri</w:t>
      </w:r>
      <w:proofErr w:type="spellEnd"/>
      <w:r>
        <w:t xml:space="preserve"> et al. 2010 compared the radiation dose required for CTC and DCBE and found that the radiation dose required for DCBE was almost double that for CTC </w:t>
      </w:r>
      <w:r w:rsidRPr="00D5584D">
        <w:t>(4.12 ± 0.17</w:t>
      </w:r>
      <w:r>
        <w:t> </w:t>
      </w:r>
      <w:proofErr w:type="spellStart"/>
      <w:r w:rsidRPr="00D5584D">
        <w:t>mSv</w:t>
      </w:r>
      <w:proofErr w:type="spellEnd"/>
      <w:r w:rsidRPr="00D5584D">
        <w:t xml:space="preserve"> vs 2.17 ± 12</w:t>
      </w:r>
      <w:r>
        <w:t> </w:t>
      </w:r>
      <w:proofErr w:type="spellStart"/>
      <w:r w:rsidRPr="00D5584D">
        <w:t>mSv</w:t>
      </w:r>
      <w:proofErr w:type="spellEnd"/>
      <w:r w:rsidRPr="00D5584D">
        <w:t>, respectively; p&lt;0.001)</w:t>
      </w:r>
      <w:r>
        <w:t>.</w:t>
      </w:r>
    </w:p>
    <w:p w:rsidR="00483B5C" w:rsidRDefault="00483B5C" w:rsidP="0004730F">
      <w:pPr>
        <w:tabs>
          <w:tab w:val="left" w:pos="720"/>
          <w:tab w:val="left" w:pos="1140"/>
        </w:tabs>
        <w:rPr>
          <w:szCs w:val="24"/>
        </w:rPr>
      </w:pPr>
    </w:p>
    <w:p w:rsidR="00E66C12" w:rsidRPr="00B511C7" w:rsidRDefault="00E66C12" w:rsidP="0004730F">
      <w:pPr>
        <w:tabs>
          <w:tab w:val="left" w:pos="720"/>
          <w:tab w:val="left" w:pos="1140"/>
        </w:tabs>
        <w:rPr>
          <w:szCs w:val="24"/>
        </w:rPr>
      </w:pPr>
      <w:r w:rsidRPr="00B511C7">
        <w:rPr>
          <w:szCs w:val="24"/>
        </w:rPr>
        <w:t xml:space="preserve">CTC is as safe as, or </w:t>
      </w:r>
      <w:r>
        <w:rPr>
          <w:szCs w:val="24"/>
        </w:rPr>
        <w:t>safer</w:t>
      </w:r>
      <w:r w:rsidRPr="00B511C7">
        <w:rPr>
          <w:szCs w:val="24"/>
        </w:rPr>
        <w:t xml:space="preserve"> than, DCBE, with equivalent rates of serious adverse events and fewer minor adverse events. Repeat testing due to clinical uncertainty or inadequate examination was more frequent after DCBE than CTC. However, the risk of an additional investigation due to visualisation of suspected polyps was higher for those undergoing CTC than for DCBE (an indicator of increased sensitivity).</w:t>
      </w:r>
    </w:p>
    <w:p w:rsidR="00483B5C" w:rsidRDefault="00483B5C" w:rsidP="0004730F">
      <w:pPr>
        <w:tabs>
          <w:tab w:val="left" w:pos="720"/>
          <w:tab w:val="left" w:pos="1140"/>
        </w:tabs>
        <w:rPr>
          <w:szCs w:val="24"/>
        </w:rPr>
      </w:pPr>
    </w:p>
    <w:p w:rsidR="00E66C12" w:rsidRPr="00B511C7" w:rsidRDefault="00E66C12" w:rsidP="0004730F">
      <w:pPr>
        <w:tabs>
          <w:tab w:val="left" w:pos="720"/>
          <w:tab w:val="left" w:pos="1140"/>
        </w:tabs>
        <w:rPr>
          <w:szCs w:val="24"/>
        </w:rPr>
      </w:pPr>
      <w:r w:rsidRPr="00B511C7">
        <w:rPr>
          <w:szCs w:val="24"/>
        </w:rPr>
        <w:t>No safety data were identified comparing CTC against delayed colonoscopy.</w:t>
      </w:r>
    </w:p>
    <w:p w:rsidR="00483B5C" w:rsidRDefault="00483B5C" w:rsidP="0004730F">
      <w:pPr>
        <w:tabs>
          <w:tab w:val="left" w:pos="720"/>
          <w:tab w:val="left" w:pos="1140"/>
        </w:tabs>
        <w:rPr>
          <w:szCs w:val="24"/>
        </w:rPr>
      </w:pPr>
    </w:p>
    <w:p w:rsidR="00E66C12" w:rsidRPr="00B511C7" w:rsidRDefault="00E66C12" w:rsidP="0004730F">
      <w:pPr>
        <w:tabs>
          <w:tab w:val="left" w:pos="720"/>
          <w:tab w:val="left" w:pos="1140"/>
        </w:tabs>
        <w:rPr>
          <w:szCs w:val="24"/>
        </w:rPr>
      </w:pPr>
      <w:r w:rsidRPr="00B511C7">
        <w:rPr>
          <w:szCs w:val="24"/>
        </w:rPr>
        <w:t>CTC is more acceptable to patients than DCBE, and is associated with less discomfort and worry, higher satisfaction and a higher proportion of patients who would be willing to undergo the procedure again.</w:t>
      </w:r>
    </w:p>
    <w:p w:rsidR="00483B5C" w:rsidRDefault="00483B5C" w:rsidP="0004730F">
      <w:pPr>
        <w:tabs>
          <w:tab w:val="left" w:pos="720"/>
          <w:tab w:val="left" w:pos="1140"/>
        </w:tabs>
        <w:rPr>
          <w:szCs w:val="24"/>
        </w:rPr>
      </w:pPr>
    </w:p>
    <w:p w:rsidR="00DB5833" w:rsidRPr="000F14B4" w:rsidRDefault="00E66C12" w:rsidP="0004730F">
      <w:pPr>
        <w:tabs>
          <w:tab w:val="left" w:pos="720"/>
          <w:tab w:val="left" w:pos="1140"/>
        </w:tabs>
      </w:pPr>
      <w:r w:rsidRPr="00B511C7">
        <w:rPr>
          <w:szCs w:val="24"/>
        </w:rPr>
        <w:t>There was no evidence available to determine acceptance by patients of CTC compared with delayed colonoscopy, but one systematic review on CTC versus colonoscopy with no specified time delay</w:t>
      </w:r>
      <w:r>
        <w:rPr>
          <w:szCs w:val="24"/>
        </w:rPr>
        <w:t>,</w:t>
      </w:r>
      <w:r w:rsidRPr="00B511C7">
        <w:rPr>
          <w:szCs w:val="24"/>
        </w:rPr>
        <w:t xml:space="preserve"> reported that the majority of studies found more patients preferred CTC to colonoscopy.</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E66C12" w:rsidRPr="00D5584D" w:rsidRDefault="00E66C12" w:rsidP="00E66C12">
      <w:pPr>
        <w:pStyle w:val="TableHeading"/>
      </w:pPr>
      <w:r w:rsidRPr="00D5584D">
        <w:t>Studies reporting effectiveness of CTC compared with DCBE in patients symptomatic or at high risk of CRC</w:t>
      </w:r>
      <w:r w:rsidRPr="00D5584D">
        <w:tab/>
      </w:r>
    </w:p>
    <w:tbl>
      <w:tblPr>
        <w:tblStyle w:val="TableGrid"/>
        <w:tblW w:w="4896" w:type="pct"/>
        <w:tblLook w:val="01E0" w:firstRow="1" w:lastRow="1" w:firstColumn="1" w:lastColumn="1" w:noHBand="0" w:noVBand="0"/>
        <w:tblCaption w:val="Table for study reporting effectiveness of CTC compared with DCBE in patients symptomatic or at high risk of CRC"/>
      </w:tblPr>
      <w:tblGrid>
        <w:gridCol w:w="1254"/>
        <w:gridCol w:w="2409"/>
        <w:gridCol w:w="1984"/>
        <w:gridCol w:w="3403"/>
      </w:tblGrid>
      <w:tr w:rsidR="00E66C12" w:rsidRPr="00D5584D" w:rsidTr="004931BC">
        <w:trPr>
          <w:tblHeader/>
        </w:trPr>
        <w:tc>
          <w:tcPr>
            <w:tcW w:w="693" w:type="pct"/>
          </w:tcPr>
          <w:p w:rsidR="00E66C12" w:rsidRPr="00D5584D" w:rsidRDefault="00E66C12" w:rsidP="00E66C12">
            <w:pPr>
              <w:pStyle w:val="Tabletext"/>
              <w:rPr>
                <w:b/>
              </w:rPr>
            </w:pPr>
            <w:r w:rsidRPr="00D5584D">
              <w:rPr>
                <w:b/>
              </w:rPr>
              <w:t>Study</w:t>
            </w:r>
          </w:p>
        </w:tc>
        <w:tc>
          <w:tcPr>
            <w:tcW w:w="1331" w:type="pct"/>
          </w:tcPr>
          <w:p w:rsidR="00E66C12" w:rsidRPr="00D5584D" w:rsidRDefault="00E66C12" w:rsidP="00E66C12">
            <w:pPr>
              <w:pStyle w:val="Tabletext"/>
              <w:rPr>
                <w:b/>
              </w:rPr>
            </w:pPr>
            <w:r w:rsidRPr="00D5584D">
              <w:rPr>
                <w:b/>
              </w:rPr>
              <w:t>Study design and quality appraisal</w:t>
            </w:r>
          </w:p>
        </w:tc>
        <w:tc>
          <w:tcPr>
            <w:tcW w:w="1096" w:type="pct"/>
          </w:tcPr>
          <w:p w:rsidR="00E66C12" w:rsidRPr="00D5584D" w:rsidRDefault="00E66C12" w:rsidP="00E66C12">
            <w:pPr>
              <w:pStyle w:val="Tabletext"/>
              <w:rPr>
                <w:b/>
              </w:rPr>
            </w:pPr>
            <w:r w:rsidRPr="00D5584D">
              <w:rPr>
                <w:b/>
              </w:rPr>
              <w:t>Population</w:t>
            </w:r>
          </w:p>
        </w:tc>
        <w:tc>
          <w:tcPr>
            <w:tcW w:w="1880" w:type="pct"/>
          </w:tcPr>
          <w:p w:rsidR="00E66C12" w:rsidRPr="00D5584D" w:rsidRDefault="00E66C12" w:rsidP="00E66C12">
            <w:pPr>
              <w:pStyle w:val="Tabletext"/>
              <w:rPr>
                <w:b/>
              </w:rPr>
            </w:pPr>
            <w:r w:rsidRPr="00D5584D">
              <w:rPr>
                <w:b/>
              </w:rPr>
              <w:t xml:space="preserve">Effectiveness outcomes assessed </w:t>
            </w:r>
          </w:p>
        </w:tc>
      </w:tr>
      <w:tr w:rsidR="00E66C12" w:rsidRPr="00D5584D" w:rsidTr="004931BC">
        <w:trPr>
          <w:trHeight w:val="849"/>
        </w:trPr>
        <w:tc>
          <w:tcPr>
            <w:tcW w:w="693" w:type="pct"/>
          </w:tcPr>
          <w:p w:rsidR="00E66C12" w:rsidRPr="00D5584D" w:rsidRDefault="00E66C12" w:rsidP="00E66C12">
            <w:pPr>
              <w:pStyle w:val="Tabletext"/>
            </w:pPr>
            <w:r w:rsidRPr="00685AF6">
              <w:fldChar w:fldCharType="begin">
                <w:fldData xml:space="preserve">PEVuZE5vdGU+PENpdGU+PEF1dGhvcj5IYWxsaWdhbjwvQXV0aG9yPjxZZWFyPjIwMTM8L1llYXI+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dWxsLXRpdGxlPkxhbmNldDwvZnVsbC10aXRsZT48L2FsdC1wZXJpb2RpY2FsPjxwYWdlcz4xMTg1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</w:fldData>
              </w:fldChar>
            </w:r>
            <w:r w:rsidRPr="00D5584D">
              <w:instrText xml:space="preserve"> ADDIN EN.CITE </w:instrText>
            </w:r>
            <w:r w:rsidRPr="00325E01">
              <w:fldChar w:fldCharType="begin">
                <w:fldData xml:space="preserve">PEVuZE5vdGU+PENpdGU+PEF1dGhvcj5IYWxsaWdhbjwvQXV0aG9yPjxZZWFyPjIwMTM8L1llYXI+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</w:fldData>
              </w:fldChar>
            </w:r>
            <w:r w:rsidRPr="00D5584D">
              <w:instrText xml:space="preserve"> ADDIN EN.CITE.DATA </w:instrText>
            </w:r>
            <w:r w:rsidRPr="00325E01">
              <w:fldChar w:fldCharType="end"/>
            </w:r>
            <w:r w:rsidRPr="00685AF6">
              <w:fldChar w:fldCharType="separate"/>
            </w:r>
            <w:hyperlink w:anchor="_ENREF_25" w:tooltip="Halligan, 2013 #1111" w:history="1">
              <w:r w:rsidRPr="00D5584D">
                <w:rPr>
                  <w:noProof/>
                </w:rPr>
                <w:t xml:space="preserve">Halligan et al. </w:t>
              </w:r>
              <w:r>
                <w:rPr>
                  <w:noProof/>
                </w:rPr>
                <w:t>(</w:t>
              </w:r>
              <w:r w:rsidRPr="00D5584D">
                <w:rPr>
                  <w:noProof/>
                </w:rPr>
                <w:t>2013</w:t>
              </w:r>
            </w:hyperlink>
            <w:r w:rsidRPr="00D5584D">
              <w:rPr>
                <w:noProof/>
              </w:rPr>
              <w:t>)</w:t>
            </w:r>
            <w:r w:rsidRPr="00685AF6">
              <w:fldChar w:fldCharType="end"/>
            </w:r>
          </w:p>
        </w:tc>
        <w:tc>
          <w:tcPr>
            <w:tcW w:w="1331" w:type="pct"/>
          </w:tcPr>
          <w:p w:rsidR="00E66C12" w:rsidRPr="00D5584D" w:rsidRDefault="00E66C12" w:rsidP="00E66C12">
            <w:pPr>
              <w:pStyle w:val="Tabletext"/>
            </w:pPr>
            <w:r w:rsidRPr="00D5584D">
              <w:t>Level II evidence</w:t>
            </w:r>
          </w:p>
          <w:p w:rsidR="00E66C12" w:rsidRPr="00D5584D" w:rsidRDefault="00E66C12" w:rsidP="00E66C12">
            <w:pPr>
              <w:pStyle w:val="Tabletext"/>
            </w:pPr>
            <w:r w:rsidRPr="00D5584D">
              <w:t>Multi-centre, two-armed randomised controlled trial</w:t>
            </w:r>
          </w:p>
          <w:p w:rsidR="00E66C12" w:rsidRPr="00D5584D" w:rsidRDefault="00E66C12" w:rsidP="00E66C12">
            <w:pPr>
              <w:pStyle w:val="Tabletext"/>
            </w:pPr>
            <w:r w:rsidRPr="00D5584D">
              <w:t>Quality: Moderate</w:t>
            </w:r>
          </w:p>
        </w:tc>
        <w:tc>
          <w:tcPr>
            <w:tcW w:w="1096" w:type="pct"/>
          </w:tcPr>
          <w:p w:rsidR="00E66C12" w:rsidRPr="00D5584D" w:rsidRDefault="00E66C12" w:rsidP="00E66C12">
            <w:pPr>
              <w:pStyle w:val="Tabletext"/>
            </w:pPr>
            <w:r w:rsidRPr="00D5584D">
              <w:t>N=3</w:t>
            </w:r>
            <w:r>
              <w:t>,8</w:t>
            </w:r>
            <w:r w:rsidRPr="00D5584D">
              <w:t>38</w:t>
            </w:r>
          </w:p>
          <w:p w:rsidR="00E66C12" w:rsidRDefault="00E66C12" w:rsidP="00E66C12">
            <w:pPr>
              <w:pStyle w:val="Tabletext"/>
            </w:pPr>
            <w:r w:rsidRPr="00D5584D">
              <w:t>55 years</w:t>
            </w:r>
            <w:r>
              <w:t xml:space="preserve"> of age</w:t>
            </w:r>
            <w:r w:rsidRPr="00D5584D">
              <w:t xml:space="preserve"> or older, symptomatic for </w:t>
            </w:r>
            <w:r>
              <w:t>CRC</w:t>
            </w:r>
          </w:p>
        </w:tc>
        <w:tc>
          <w:tcPr>
            <w:tcW w:w="1880" w:type="pct"/>
          </w:tcPr>
          <w:p w:rsidR="00E66C12" w:rsidRDefault="00E66C12" w:rsidP="00E66C12">
            <w:pPr>
              <w:spacing w:before="40" w:after="40"/>
              <w:rPr>
                <w:rFonts w:ascii="Arial Narrow" w:hAnsi="Arial Narrow"/>
                <w:sz w:val="20"/>
                <w:lang w:eastAsia="en-US"/>
              </w:rPr>
            </w:pPr>
            <w:r w:rsidRPr="00D5584D">
              <w:rPr>
                <w:rFonts w:ascii="Arial Narrow" w:hAnsi="Arial Narrow"/>
                <w:sz w:val="20"/>
                <w:lang w:eastAsia="en-US"/>
              </w:rPr>
              <w:t>Death rates at 48</w:t>
            </w:r>
            <w:r>
              <w:rPr>
                <w:rFonts w:ascii="Arial Narrow" w:hAnsi="Arial Narrow"/>
                <w:sz w:val="20"/>
                <w:lang w:eastAsia="en-US"/>
              </w:rPr>
              <w:t>-</w:t>
            </w:r>
            <w:r w:rsidRPr="00D5584D">
              <w:rPr>
                <w:rFonts w:ascii="Arial Narrow" w:hAnsi="Arial Narrow"/>
                <w:sz w:val="20"/>
                <w:lang w:eastAsia="en-US"/>
              </w:rPr>
              <w:t>month follow-up</w:t>
            </w:r>
          </w:p>
          <w:p w:rsidR="00E66C12" w:rsidRDefault="00E66C12" w:rsidP="00E66C12">
            <w:pPr>
              <w:spacing w:before="40" w:after="40"/>
              <w:rPr>
                <w:rFonts w:ascii="Arial Narrow" w:hAnsi="Arial Narrow"/>
                <w:sz w:val="20"/>
                <w:lang w:eastAsia="en-US"/>
              </w:rPr>
            </w:pPr>
            <w:r w:rsidRPr="00D5584D">
              <w:rPr>
                <w:rFonts w:ascii="Arial Narrow" w:hAnsi="Arial Narrow"/>
                <w:sz w:val="20"/>
                <w:lang w:eastAsia="en-US"/>
              </w:rPr>
              <w:t xml:space="preserve">Detection rates of cancer </w:t>
            </w:r>
            <w:r>
              <w:rPr>
                <w:rFonts w:ascii="Arial Narrow" w:hAnsi="Arial Narrow"/>
                <w:sz w:val="20"/>
                <w:lang w:eastAsia="en-US"/>
              </w:rPr>
              <w:t>and</w:t>
            </w:r>
            <w:r w:rsidRPr="00D5584D">
              <w:rPr>
                <w:rFonts w:ascii="Arial Narrow" w:hAnsi="Arial Narrow"/>
                <w:sz w:val="20"/>
                <w:lang w:eastAsia="en-US"/>
              </w:rPr>
              <w:t xml:space="preserve"> polyps ≥10</w:t>
            </w:r>
            <w:r>
              <w:rPr>
                <w:rFonts w:ascii="Arial Narrow" w:hAnsi="Arial Narrow"/>
                <w:sz w:val="20"/>
                <w:lang w:eastAsia="en-US"/>
              </w:rPr>
              <w:t> </w:t>
            </w:r>
            <w:r w:rsidRPr="00D5584D">
              <w:rPr>
                <w:rFonts w:ascii="Arial Narrow" w:hAnsi="Arial Narrow"/>
                <w:sz w:val="20"/>
                <w:lang w:eastAsia="en-US"/>
              </w:rPr>
              <w:t>mm</w:t>
            </w:r>
          </w:p>
          <w:p w:rsidR="00E66C12" w:rsidRDefault="00E66C12" w:rsidP="00E66C12">
            <w:pPr>
              <w:spacing w:before="40" w:after="40"/>
            </w:pPr>
            <w:r w:rsidRPr="00D5584D">
              <w:rPr>
                <w:rFonts w:ascii="Arial Narrow" w:hAnsi="Arial Narrow"/>
                <w:sz w:val="20"/>
                <w:lang w:eastAsia="en-US"/>
              </w:rPr>
              <w:t>Patient preference and tolerance</w:t>
            </w:r>
          </w:p>
        </w:tc>
      </w:tr>
    </w:tbl>
    <w:p w:rsidR="00E66C12" w:rsidRDefault="00E66C12" w:rsidP="00E66C12">
      <w:pPr>
        <w:spacing w:before="40"/>
        <w:rPr>
          <w:rFonts w:ascii="Arial Narrow" w:hAnsi="Arial Narrow"/>
          <w:sz w:val="18"/>
          <w:szCs w:val="18"/>
        </w:rPr>
      </w:pPr>
      <w:r w:rsidRPr="007544CF">
        <w:rPr>
          <w:rFonts w:ascii="Arial Narrow" w:hAnsi="Arial Narrow"/>
          <w:sz w:val="18"/>
          <w:szCs w:val="18"/>
        </w:rPr>
        <w:t xml:space="preserve">CTC – computed tomography </w:t>
      </w:r>
      <w:proofErr w:type="spellStart"/>
      <w:r w:rsidRPr="007544CF">
        <w:rPr>
          <w:rFonts w:ascii="Arial Narrow" w:hAnsi="Arial Narrow"/>
          <w:sz w:val="18"/>
          <w:szCs w:val="18"/>
        </w:rPr>
        <w:t>colonography</w:t>
      </w:r>
      <w:proofErr w:type="spellEnd"/>
      <w:r w:rsidRPr="007544CF">
        <w:rPr>
          <w:rFonts w:ascii="Arial Narrow" w:hAnsi="Arial Narrow"/>
          <w:sz w:val="18"/>
          <w:szCs w:val="18"/>
        </w:rPr>
        <w:t>; DCBE – double contrast barium enema; CRC – colorectal cancer</w:t>
      </w:r>
    </w:p>
    <w:p w:rsidR="00E33C70" w:rsidRDefault="00E33C70" w:rsidP="0004730F">
      <w:pPr>
        <w:tabs>
          <w:tab w:val="left" w:pos="720"/>
        </w:tabs>
        <w:rPr>
          <w:szCs w:val="24"/>
        </w:rPr>
      </w:pPr>
    </w:p>
    <w:p w:rsidR="00E66C12" w:rsidRDefault="00E66C12" w:rsidP="0004730F">
      <w:pPr>
        <w:tabs>
          <w:tab w:val="left" w:pos="720"/>
        </w:tabs>
        <w:rPr>
          <w:szCs w:val="24"/>
        </w:rPr>
      </w:pPr>
      <w:r>
        <w:rPr>
          <w:szCs w:val="24"/>
        </w:rPr>
        <w:t xml:space="preserve">One (1) study reported that all-cause mortality was the same in the </w:t>
      </w:r>
      <w:r w:rsidR="00E33C70">
        <w:rPr>
          <w:szCs w:val="24"/>
        </w:rPr>
        <w:t>four</w:t>
      </w:r>
      <w:r>
        <w:rPr>
          <w:szCs w:val="24"/>
        </w:rPr>
        <w:t xml:space="preserve"> years after patients received either a CTC or a DCBE procedure (RR=1.00, 95%CI 0.97, 1.03, p=0.94); Halligan et al. (2013).</w:t>
      </w:r>
    </w:p>
    <w:p w:rsidR="00E33C70" w:rsidRDefault="00E33C70" w:rsidP="0004730F">
      <w:pPr>
        <w:tabs>
          <w:tab w:val="left" w:pos="720"/>
        </w:tabs>
        <w:rPr>
          <w:szCs w:val="24"/>
        </w:rPr>
      </w:pPr>
    </w:p>
    <w:p w:rsidR="008A6603" w:rsidRDefault="00E66C12" w:rsidP="0004730F">
      <w:pPr>
        <w:tabs>
          <w:tab w:val="left" w:pos="720"/>
        </w:tabs>
        <w:rPr>
          <w:szCs w:val="24"/>
        </w:rPr>
      </w:pPr>
      <w:r>
        <w:rPr>
          <w:szCs w:val="24"/>
        </w:rPr>
        <w:t>No evidence comparing the effectiveness of CTC with delayed colonoscopy was identified.</w:t>
      </w:r>
    </w:p>
    <w:p w:rsidR="008A6603" w:rsidRDefault="008A6603" w:rsidP="0004730F">
      <w:pPr>
        <w:tabs>
          <w:tab w:val="left" w:pos="720"/>
        </w:tabs>
        <w:rPr>
          <w:szCs w:val="24"/>
        </w:rPr>
      </w:pPr>
    </w:p>
    <w:p w:rsidR="008A6603" w:rsidRPr="00BB418D" w:rsidRDefault="00385313" w:rsidP="0004730F">
      <w:pPr>
        <w:tabs>
          <w:tab w:val="left" w:pos="720"/>
        </w:tabs>
        <w:rPr>
          <w:szCs w:val="24"/>
        </w:rPr>
      </w:pPr>
      <w:r w:rsidRPr="00385313">
        <w:rPr>
          <w:szCs w:val="24"/>
        </w:rPr>
        <w:t xml:space="preserve">There were no studies that assessed the comparative accuracy of CTC and DCBE in </w:t>
      </w:r>
      <w:proofErr w:type="spellStart"/>
      <w:r>
        <w:rPr>
          <w:szCs w:val="24"/>
        </w:rPr>
        <w:t>patiens</w:t>
      </w:r>
      <w:proofErr w:type="spellEnd"/>
      <w:r w:rsidRPr="00385313">
        <w:rPr>
          <w:szCs w:val="24"/>
        </w:rPr>
        <w:t xml:space="preserve"> who either failed a previous colonoscopy or were c</w:t>
      </w:r>
      <w:r>
        <w:rPr>
          <w:szCs w:val="24"/>
        </w:rPr>
        <w:t xml:space="preserve">ontraindicated for colonoscopy. </w:t>
      </w:r>
      <w:r w:rsidRPr="00385313">
        <w:rPr>
          <w:szCs w:val="24"/>
        </w:rPr>
        <w:t>However</w:t>
      </w:r>
      <w:r>
        <w:rPr>
          <w:szCs w:val="24"/>
        </w:rPr>
        <w:t xml:space="preserve">, </w:t>
      </w:r>
      <w:r>
        <w:rPr>
          <w:szCs w:val="24"/>
        </w:rPr>
        <w:lastRenderedPageBreak/>
        <w:t xml:space="preserve">in patients at </w:t>
      </w:r>
      <w:r w:rsidRPr="00385313">
        <w:rPr>
          <w:szCs w:val="24"/>
        </w:rPr>
        <w:t xml:space="preserve">high risk or symptomatic for CRC (without necessarily having contraindications to colonoscopy), five studies were identified (Halligan et al. 2013; Johnson et al. 2004; </w:t>
      </w:r>
      <w:proofErr w:type="spellStart"/>
      <w:r w:rsidRPr="00385313">
        <w:rPr>
          <w:szCs w:val="24"/>
        </w:rPr>
        <w:t>Rockey</w:t>
      </w:r>
      <w:proofErr w:type="spellEnd"/>
      <w:r w:rsidRPr="00385313">
        <w:rPr>
          <w:szCs w:val="24"/>
        </w:rPr>
        <w:t xml:space="preserve"> et al. 2005; </w:t>
      </w:r>
      <w:proofErr w:type="spellStart"/>
      <w:r w:rsidRPr="00385313">
        <w:rPr>
          <w:szCs w:val="24"/>
        </w:rPr>
        <w:t>Sofic</w:t>
      </w:r>
      <w:proofErr w:type="spellEnd"/>
      <w:r w:rsidRPr="00385313">
        <w:rPr>
          <w:szCs w:val="24"/>
        </w:rPr>
        <w:t xml:space="preserve"> et al. 2010; Thomas, </w:t>
      </w:r>
      <w:proofErr w:type="spellStart"/>
      <w:r w:rsidRPr="00385313">
        <w:rPr>
          <w:szCs w:val="24"/>
        </w:rPr>
        <w:t>Atchley</w:t>
      </w:r>
      <w:proofErr w:type="spellEnd"/>
      <w:r w:rsidRPr="00385313">
        <w:rPr>
          <w:szCs w:val="24"/>
        </w:rPr>
        <w:t xml:space="preserve"> &amp; Higginson 2009). These studies indicated that CTC was more sensitive and slightly less specific than DCBE.</w:t>
      </w:r>
    </w:p>
    <w:p w:rsidR="001E10C3" w:rsidRDefault="001E10C3" w:rsidP="0004730F">
      <w:pPr>
        <w:tabs>
          <w:tab w:val="left" w:pos="720"/>
        </w:tabs>
        <w:rPr>
          <w:szCs w:val="24"/>
        </w:rPr>
      </w:pPr>
    </w:p>
    <w:p w:rsidR="001E10C3" w:rsidRDefault="001E10C3" w:rsidP="0004730F">
      <w:pPr>
        <w:tabs>
          <w:tab w:val="left" w:pos="720"/>
        </w:tabs>
        <w:rPr>
          <w:szCs w:val="24"/>
        </w:rPr>
      </w:pPr>
      <w:r>
        <w:rPr>
          <w:szCs w:val="24"/>
        </w:rPr>
        <w:t>F</w:t>
      </w:r>
      <w:r w:rsidRPr="001E10C3">
        <w:rPr>
          <w:szCs w:val="24"/>
        </w:rPr>
        <w:t xml:space="preserve">ive studies were identified that provided information on the accuracy of CTC alone within the target populations—i.e. cross-classified against a clinical reference standard, but there was no comparison with DCBE—(Duff et al. 2006; </w:t>
      </w:r>
      <w:proofErr w:type="spellStart"/>
      <w:r w:rsidRPr="001E10C3">
        <w:rPr>
          <w:szCs w:val="24"/>
        </w:rPr>
        <w:t>Kealey</w:t>
      </w:r>
      <w:proofErr w:type="spellEnd"/>
      <w:r w:rsidRPr="001E10C3">
        <w:rPr>
          <w:szCs w:val="24"/>
        </w:rPr>
        <w:t xml:space="preserve"> et al. 2004; Ng et al. 2008; Robinson, Burnett &amp; Nicholson 2002; Saunders et al. 2013). The accuracy of CTC at identifying CRC lesions in people who have either failed colonoscopy or are contraindicated for colonoscopy was similar to that observed in the broader populations specified above (i.e. at high risk or symptomatic for CRC but able to have colonoscopy). This suggests that the better sensitivity and similar, or sl</w:t>
      </w:r>
      <w:r>
        <w:rPr>
          <w:szCs w:val="24"/>
        </w:rPr>
        <w:t>ightly poorer, specificity of CT</w:t>
      </w:r>
      <w:r w:rsidRPr="001E10C3">
        <w:rPr>
          <w:szCs w:val="24"/>
        </w:rPr>
        <w:t>C relative to DCBE is likely to be the same in patients who have failed or are contraindicated to colonoscopy. The high negative predictive value associated with CTC (96–100%) also suggests that, for the majority of patients undergoing CTC, a negative result will accurately indicate that the presence of any lesions can be ruled out. This means that these patients are able to avoid having a subsequent, more invasive, colonoscopy.</w:t>
      </w:r>
    </w:p>
    <w:p w:rsidR="00BC1364" w:rsidRPr="000F14B4" w:rsidRDefault="00BC1364" w:rsidP="00DD2858">
      <w:pPr>
        <w:rPr>
          <w:b/>
          <w:color w:val="FF0000"/>
          <w:szCs w:val="24"/>
        </w:rPr>
      </w:pPr>
    </w:p>
    <w:p w:rsidR="00BC1364" w:rsidRDefault="00BC1364">
      <w:pPr>
        <w:pStyle w:val="Heading1"/>
        <w:numPr>
          <w:ilvl w:val="0"/>
          <w:numId w:val="23"/>
        </w:numPr>
        <w:ind w:hanging="720"/>
      </w:pPr>
      <w:r w:rsidRPr="008D5885">
        <w:t>Economic evaluation</w:t>
      </w:r>
    </w:p>
    <w:p w:rsidR="00BC1364" w:rsidRDefault="00BC1364">
      <w:pPr>
        <w:rPr>
          <w:b/>
          <w:szCs w:val="24"/>
        </w:rPr>
      </w:pPr>
    </w:p>
    <w:p w:rsidR="00E66C12" w:rsidRPr="0019205A" w:rsidRDefault="00E66C12" w:rsidP="0004730F">
      <w:pPr>
        <w:tabs>
          <w:tab w:val="left" w:pos="720"/>
        </w:tabs>
        <w:rPr>
          <w:szCs w:val="24"/>
        </w:rPr>
      </w:pPr>
      <w:r w:rsidRPr="0019205A">
        <w:rPr>
          <w:szCs w:val="24"/>
        </w:rPr>
        <w:t>For symptomatic or high risk patients who have limited access to colonoscopy such as it may cause delay in diagnosis, there was no evidence ava</w:t>
      </w:r>
      <w:r>
        <w:rPr>
          <w:szCs w:val="24"/>
        </w:rPr>
        <w:t>ilable to demonstrate that</w:t>
      </w:r>
      <w:r w:rsidRPr="0019205A">
        <w:rPr>
          <w:szCs w:val="24"/>
        </w:rPr>
        <w:t xml:space="preserve"> prompt access to CTC would result in an improvement to the health of patients compared with receiving a delayed colonoscopy. Given the absence on the effectiveness and safety of CTC compared with delayed colonoscopy, the lack of reliable data on clinical consequences of a delay in diagnosis in symptomatic patients, and the considerable potential for use of this item outside the requested MBS listing, the assessment report considered that qualifying health outcomes and costs in an economic evaluation would be speculative and misleading. Therefore no economic evaluation was presented for this population.</w:t>
      </w:r>
    </w:p>
    <w:p w:rsidR="001E10C3" w:rsidRDefault="001E10C3" w:rsidP="0004730F">
      <w:pPr>
        <w:tabs>
          <w:tab w:val="left" w:pos="720"/>
        </w:tabs>
        <w:rPr>
          <w:szCs w:val="24"/>
        </w:rPr>
      </w:pPr>
    </w:p>
    <w:p w:rsidR="00E66C12" w:rsidRPr="0019205A" w:rsidRDefault="00E66C12" w:rsidP="0004730F">
      <w:pPr>
        <w:tabs>
          <w:tab w:val="left" w:pos="720"/>
        </w:tabs>
        <w:rPr>
          <w:szCs w:val="24"/>
        </w:rPr>
      </w:pPr>
      <w:r w:rsidRPr="0019205A">
        <w:rPr>
          <w:szCs w:val="24"/>
        </w:rPr>
        <w:t xml:space="preserve">A simple decision-analytic model was used to estimate the incremental cost effectiveness of CTC compared with </w:t>
      </w:r>
      <w:r>
        <w:rPr>
          <w:szCs w:val="24"/>
        </w:rPr>
        <w:t>DCBE</w:t>
      </w:r>
      <w:r w:rsidRPr="0019205A">
        <w:rPr>
          <w:szCs w:val="24"/>
        </w:rPr>
        <w:t xml:space="preserve"> for the exclusion or diagnostic of colorectal neoplasia in symptomatic high risk patients, in terms of the ‘incremental cost per additional CRC diagnosed or large polyp identified’.</w:t>
      </w:r>
    </w:p>
    <w:p w:rsidR="001E10C3" w:rsidRDefault="001E10C3" w:rsidP="0004730F">
      <w:pPr>
        <w:tabs>
          <w:tab w:val="left" w:pos="720"/>
        </w:tabs>
        <w:rPr>
          <w:szCs w:val="24"/>
        </w:rPr>
      </w:pPr>
    </w:p>
    <w:p w:rsidR="00E66C12" w:rsidRPr="0019205A" w:rsidRDefault="00E66C12" w:rsidP="0004730F">
      <w:pPr>
        <w:tabs>
          <w:tab w:val="left" w:pos="720"/>
        </w:tabs>
        <w:rPr>
          <w:szCs w:val="24"/>
        </w:rPr>
      </w:pPr>
      <w:r w:rsidRPr="0019205A">
        <w:rPr>
          <w:szCs w:val="24"/>
        </w:rPr>
        <w:t>The model was developed from a study</w:t>
      </w:r>
      <w:r>
        <w:rPr>
          <w:szCs w:val="24"/>
        </w:rPr>
        <w:t>-</w:t>
      </w:r>
      <w:r w:rsidRPr="0019205A">
        <w:rPr>
          <w:szCs w:val="24"/>
        </w:rPr>
        <w:t xml:space="preserve">based evaluation using the outcomes in the RCT reported in Halligan et al. (2013). </w:t>
      </w:r>
      <w:r w:rsidRPr="0019205A">
        <w:t>In this trial, symptomatic patients who were considered to be unsuitable for diagnostic colonoscopy by the consulting clinician were randomised to investigation by either CTC or DCBE. Unless diagnosed with inoperable CRC, all patients who tested positive for any lesion were referred for further colonic investigation (mainly colonoscopy or surgery) to confirm diagnosis and/or for treatment. At the discretion of the clinician, patients for whom no lesions were detected could also be referred for further colonic investigation.</w:t>
      </w:r>
    </w:p>
    <w:p w:rsidR="001E10C3" w:rsidRDefault="001E10C3" w:rsidP="0004730F">
      <w:pPr>
        <w:tabs>
          <w:tab w:val="left" w:pos="720"/>
        </w:tabs>
      </w:pPr>
    </w:p>
    <w:p w:rsidR="001E10C3" w:rsidRPr="00BB418D" w:rsidRDefault="00E66C12" w:rsidP="0004730F">
      <w:pPr>
        <w:tabs>
          <w:tab w:val="left" w:pos="720"/>
        </w:tabs>
        <w:rPr>
          <w:szCs w:val="24"/>
        </w:rPr>
      </w:pPr>
      <w:r w:rsidRPr="0019205A">
        <w:t>The economic analysis estimate</w:t>
      </w:r>
      <w:r w:rsidR="001E10C3">
        <w:t>d</w:t>
      </w:r>
      <w:r w:rsidRPr="0019205A">
        <w:t xml:space="preserve"> the costs and diagnostic outcomes associated with CTC and DCBE over the entire diagnostic process, including follow-up diagnostic procedures. Costs of subsequent treatment and the impact on survival were not considered in the economic evaluation. In addition, the difference in costs associated with the reassessment and treatment of people receiving a false negative test result from the initial diagnostic process are not included; this is a conservative approach, favouring DCBE over CTC. Given the pragmatic</w:t>
      </w:r>
      <w:r w:rsidRPr="002B2637">
        <w:t xml:space="preserve"> </w:t>
      </w:r>
      <w:r w:rsidRPr="002B2637">
        <w:lastRenderedPageBreak/>
        <w:t>design of this trial, the clinical outcomes reflect both the accuracy of the diagnostic tests and the clinical decision</w:t>
      </w:r>
      <w:r>
        <w:t>-</w:t>
      </w:r>
      <w:r w:rsidRPr="002B2637">
        <w:t>making over the entire diagnostic process</w:t>
      </w:r>
      <w:r w:rsidR="001E10C3">
        <w:rPr>
          <w:rFonts w:ascii="Arial" w:hAnsi="Arial" w:cs="Arial"/>
          <w:color w:val="3366FF"/>
          <w:szCs w:val="24"/>
        </w:rPr>
        <w:t>.</w:t>
      </w:r>
    </w:p>
    <w:p w:rsidR="00E66C12" w:rsidRDefault="00E66C12" w:rsidP="0004730F">
      <w:pPr>
        <w:tabs>
          <w:tab w:val="left" w:pos="720"/>
        </w:tabs>
        <w:rPr>
          <w:rFonts w:ascii="Arial" w:hAnsi="Arial" w:cs="Arial"/>
          <w:color w:val="3366FF"/>
          <w:szCs w:val="24"/>
        </w:rPr>
      </w:pPr>
    </w:p>
    <w:p w:rsidR="00E66C12" w:rsidRDefault="00E66C12" w:rsidP="00E66C12">
      <w:pPr>
        <w:tabs>
          <w:tab w:val="left" w:pos="993"/>
        </w:tabs>
        <w:spacing w:after="120"/>
      </w:pPr>
      <w:r w:rsidRPr="00D5584D">
        <w:t>The following assumptions were made in the model:</w:t>
      </w:r>
    </w:p>
    <w:p w:rsidR="00E66C12" w:rsidRDefault="00E66C12" w:rsidP="00E66C12">
      <w:pPr>
        <w:pStyle w:val="ListParagraph"/>
        <w:numPr>
          <w:ilvl w:val="0"/>
          <w:numId w:val="28"/>
        </w:numPr>
        <w:tabs>
          <w:tab w:val="left" w:pos="284"/>
        </w:tabs>
      </w:pPr>
      <w:r w:rsidRPr="00D5584D">
        <w:t>As colonoscopy is considered the gold standard procedure for detection of colorectal neoplasia, it has a diagnostic accuracy of 100%</w:t>
      </w:r>
      <w:r>
        <w:t>.</w:t>
      </w:r>
    </w:p>
    <w:p w:rsidR="00E66C12" w:rsidRDefault="00E66C12" w:rsidP="00E66C12">
      <w:pPr>
        <w:pStyle w:val="ListParagraph"/>
        <w:numPr>
          <w:ilvl w:val="0"/>
          <w:numId w:val="28"/>
        </w:numPr>
        <w:tabs>
          <w:tab w:val="left" w:pos="284"/>
        </w:tabs>
      </w:pPr>
      <w:r w:rsidRPr="00D5584D">
        <w:t>A contraindication for diagnostic colonoscopy does not necessarily preclude confirmatory or therapeutic colonoscopy</w:t>
      </w:r>
      <w:r>
        <w:t>.</w:t>
      </w:r>
    </w:p>
    <w:p w:rsidR="00E66C12" w:rsidRDefault="00E66C12" w:rsidP="00E66C12">
      <w:pPr>
        <w:pStyle w:val="ListParagraph"/>
        <w:numPr>
          <w:ilvl w:val="0"/>
          <w:numId w:val="28"/>
        </w:numPr>
        <w:tabs>
          <w:tab w:val="left" w:pos="284"/>
        </w:tabs>
      </w:pPr>
      <w:r w:rsidRPr="00D5584D">
        <w:t>All patients referred directly to surgery had been diagnosed as having CRC on the basis of the</w:t>
      </w:r>
      <w:r>
        <w:t>ir</w:t>
      </w:r>
      <w:r w:rsidRPr="00D5584D">
        <w:t xml:space="preserve"> initial test results</w:t>
      </w:r>
      <w:r>
        <w:t>.</w:t>
      </w:r>
      <w:r w:rsidRPr="00D5584D">
        <w:t xml:space="preserve"> </w:t>
      </w:r>
    </w:p>
    <w:p w:rsidR="00E66C12" w:rsidRDefault="00E66C12" w:rsidP="00E66C12">
      <w:pPr>
        <w:pStyle w:val="ListParagraph"/>
        <w:numPr>
          <w:ilvl w:val="0"/>
          <w:numId w:val="28"/>
        </w:numPr>
        <w:tabs>
          <w:tab w:val="left" w:pos="284"/>
        </w:tabs>
      </w:pPr>
      <w:r w:rsidRPr="00D5584D">
        <w:t>All colorectal cancers subsequently diagnosed during the 3</w:t>
      </w:r>
      <w:r>
        <w:t>-</w:t>
      </w:r>
      <w:r w:rsidRPr="00D5584D">
        <w:t>year follow-up were present either as CRC or large polyps at the time of initial investigation</w:t>
      </w:r>
      <w:r>
        <w:t>; that is,</w:t>
      </w:r>
      <w:r w:rsidRPr="00D5584D">
        <w:t xml:space="preserve"> they were false negative outcomes</w:t>
      </w:r>
      <w:r>
        <w:t>.</w:t>
      </w:r>
    </w:p>
    <w:p w:rsidR="00E66C12" w:rsidRDefault="00E66C12" w:rsidP="00E66C12">
      <w:pPr>
        <w:pStyle w:val="ListParagraph"/>
        <w:numPr>
          <w:ilvl w:val="0"/>
          <w:numId w:val="28"/>
        </w:numPr>
        <w:tabs>
          <w:tab w:val="left" w:pos="284"/>
        </w:tabs>
      </w:pPr>
      <w:r w:rsidRPr="00D5584D">
        <w:t>All CRCs missed at the time of the initial diagnostic procedure would have been subsequently diagnosed during the 3</w:t>
      </w:r>
      <w:r>
        <w:t>-</w:t>
      </w:r>
      <w:r w:rsidRPr="00D5584D">
        <w:t>year follow-up.</w:t>
      </w:r>
    </w:p>
    <w:p w:rsidR="00E66C12" w:rsidRDefault="00E66C12" w:rsidP="00E66C12"/>
    <w:p w:rsidR="00E66C12" w:rsidRPr="00D5584D" w:rsidRDefault="00E66C12">
      <w:r w:rsidRPr="00D5584D">
        <w:t xml:space="preserve">The cost-effectiveness of CTC compared </w:t>
      </w:r>
      <w:r>
        <w:t>with</w:t>
      </w:r>
      <w:r w:rsidRPr="00D5584D">
        <w:t xml:space="preserve"> DCBE improves as the prevalence of colorectal neoplasia increases. In the base</w:t>
      </w:r>
      <w:r>
        <w:t>-</w:t>
      </w:r>
      <w:r w:rsidRPr="00D5584D">
        <w:t xml:space="preserve">case scenario, in which the prevalence of CRC and large polyps was estimated at 3.1% and 6.7%, respectively, the average cost per patient </w:t>
      </w:r>
      <w:r>
        <w:t xml:space="preserve">including initial and subsequent investigations </w:t>
      </w:r>
      <w:r w:rsidRPr="00D5584D">
        <w:t>was $752</w:t>
      </w:r>
      <w:r>
        <w:t xml:space="preserve"> for patients assigned to CTC</w:t>
      </w:r>
      <w:r w:rsidRPr="00D5584D">
        <w:t xml:space="preserve">, compared </w:t>
      </w:r>
      <w:r>
        <w:t>with</w:t>
      </w:r>
      <w:r w:rsidRPr="00D5584D">
        <w:t xml:space="preserve"> $254 for patients assigned to DCBE. The incremental cost per additional CRC</w:t>
      </w:r>
      <w:r>
        <w:t xml:space="preserve"> or </w:t>
      </w:r>
      <w:r w:rsidRPr="00D5584D">
        <w:t xml:space="preserve">large polyp diagnosed for CTC compared </w:t>
      </w:r>
      <w:r>
        <w:t>with</w:t>
      </w:r>
      <w:r w:rsidRPr="00D5584D">
        <w:t xml:space="preserve"> DCBE was $19,380. CTC was relatively less cost-effective in patients presenting with more general clinical symptoms. The ICER increas</w:t>
      </w:r>
      <w:r>
        <w:t>ed</w:t>
      </w:r>
      <w:r w:rsidRPr="00D5584D">
        <w:t xml:space="preserve"> to $26,260/additional CRC</w:t>
      </w:r>
      <w:r>
        <w:t xml:space="preserve"> or </w:t>
      </w:r>
      <w:r w:rsidRPr="00D5584D">
        <w:t xml:space="preserve">large polyp diagnosed as a result of the lower prevalence of large polyps in this patient group (3.6%); however, the reported prevalence of colorectal neoplasia in this population is likely to be an underestimate. </w:t>
      </w:r>
    </w:p>
    <w:p w:rsidR="001E10C3" w:rsidRDefault="001E10C3" w:rsidP="0004730F">
      <w:pPr>
        <w:tabs>
          <w:tab w:val="left" w:pos="720"/>
        </w:tabs>
        <w:rPr>
          <w:szCs w:val="24"/>
        </w:rPr>
      </w:pPr>
    </w:p>
    <w:p w:rsidR="00E66C12" w:rsidRPr="00BB418D" w:rsidRDefault="00E66C12" w:rsidP="0004730F">
      <w:pPr>
        <w:tabs>
          <w:tab w:val="left" w:pos="720"/>
        </w:tabs>
        <w:rPr>
          <w:szCs w:val="24"/>
        </w:rPr>
      </w:pPr>
      <w:r>
        <w:rPr>
          <w:szCs w:val="24"/>
        </w:rPr>
        <w:t>For the changes to the current CTC items 56552 and 56554 the fee is proposed to remain the same at $600. For the additional item the applicant has suggested the fee also be $600 consistent with the current CTC fees.</w:t>
      </w:r>
    </w:p>
    <w:p w:rsidR="001E10C3" w:rsidRDefault="001E10C3" w:rsidP="0004730F">
      <w:pPr>
        <w:tabs>
          <w:tab w:val="left" w:pos="720"/>
        </w:tabs>
        <w:rPr>
          <w:szCs w:val="24"/>
        </w:rPr>
      </w:pPr>
    </w:p>
    <w:p w:rsidR="00E66C12" w:rsidRDefault="00E66C12" w:rsidP="0004730F">
      <w:pPr>
        <w:tabs>
          <w:tab w:val="left" w:pos="720"/>
        </w:tabs>
        <w:rPr>
          <w:szCs w:val="24"/>
        </w:rPr>
      </w:pPr>
      <w:r w:rsidRPr="00524E32">
        <w:rPr>
          <w:szCs w:val="24"/>
        </w:rPr>
        <w:t>The average out of pocket cost, over 4 years for the current CTC items (56552 &amp; 56554) is $64.61.</w:t>
      </w:r>
    </w:p>
    <w:p w:rsidR="001E10C3" w:rsidRDefault="001E10C3" w:rsidP="0004730F">
      <w:pPr>
        <w:tabs>
          <w:tab w:val="left" w:pos="720"/>
        </w:tabs>
        <w:rPr>
          <w:szCs w:val="24"/>
        </w:rPr>
      </w:pPr>
    </w:p>
    <w:p w:rsidR="00E66C12" w:rsidRPr="00BB418D" w:rsidRDefault="00E66C12" w:rsidP="0004730F">
      <w:pPr>
        <w:tabs>
          <w:tab w:val="left" w:pos="720"/>
        </w:tabs>
        <w:rPr>
          <w:szCs w:val="24"/>
        </w:rPr>
      </w:pPr>
      <w:r>
        <w:rPr>
          <w:szCs w:val="24"/>
        </w:rPr>
        <w:t xml:space="preserve">There were approximately 5395 CTC services provided in 2012/13 and the average bulk billing rate was approximately 70%. </w:t>
      </w:r>
    </w:p>
    <w:p w:rsidR="001E10C3" w:rsidRDefault="001E10C3" w:rsidP="0004730F">
      <w:pPr>
        <w:tabs>
          <w:tab w:val="left" w:pos="720"/>
          <w:tab w:val="left" w:pos="1140"/>
        </w:tabs>
        <w:rPr>
          <w:szCs w:val="24"/>
        </w:rPr>
      </w:pPr>
    </w:p>
    <w:p w:rsidR="00E66C12" w:rsidRPr="00CF70DA" w:rsidRDefault="00E66C12" w:rsidP="0004730F">
      <w:pPr>
        <w:tabs>
          <w:tab w:val="left" w:pos="720"/>
          <w:tab w:val="left" w:pos="1140"/>
        </w:tabs>
        <w:rPr>
          <w:szCs w:val="24"/>
        </w:rPr>
      </w:pPr>
      <w:r w:rsidRPr="00CF70DA">
        <w:rPr>
          <w:szCs w:val="24"/>
        </w:rPr>
        <w:t xml:space="preserve">Removal of the greatest permissible gap and changes to the Medicare Safety Net may </w:t>
      </w:r>
      <w:r>
        <w:rPr>
          <w:szCs w:val="24"/>
        </w:rPr>
        <w:t>affect</w:t>
      </w:r>
      <w:r w:rsidRPr="00CF70DA">
        <w:rPr>
          <w:szCs w:val="24"/>
        </w:rPr>
        <w:t xml:space="preserve"> </w:t>
      </w:r>
      <w:r>
        <w:rPr>
          <w:szCs w:val="24"/>
        </w:rPr>
        <w:t>out-of-pocket expenses.</w:t>
      </w:r>
    </w:p>
    <w:p w:rsidR="00BC1364" w:rsidRPr="0075468E" w:rsidRDefault="00BC1364" w:rsidP="00DD2858">
      <w:pPr>
        <w:rPr>
          <w:szCs w:val="24"/>
        </w:rPr>
      </w:pPr>
    </w:p>
    <w:p w:rsidR="00BC1364" w:rsidRDefault="00BC1364">
      <w:pPr>
        <w:pStyle w:val="Heading1"/>
        <w:numPr>
          <w:ilvl w:val="0"/>
          <w:numId w:val="23"/>
        </w:numPr>
        <w:ind w:hanging="720"/>
      </w:pPr>
      <w:r w:rsidRPr="008D5885">
        <w:t>Financial/budgetary impacts</w:t>
      </w:r>
    </w:p>
    <w:p w:rsidR="00BC1364" w:rsidRDefault="00BC1364">
      <w:pPr>
        <w:pStyle w:val="Default"/>
      </w:pPr>
    </w:p>
    <w:p w:rsidR="00E66C12" w:rsidRDefault="00E66C12" w:rsidP="0004730F">
      <w:pPr>
        <w:tabs>
          <w:tab w:val="left" w:pos="720"/>
          <w:tab w:val="left" w:pos="1140"/>
        </w:tabs>
        <w:rPr>
          <w:szCs w:val="24"/>
        </w:rPr>
      </w:pPr>
      <w:r>
        <w:rPr>
          <w:szCs w:val="24"/>
        </w:rPr>
        <w:t>The table below shows the estimated volume of additional CTC services for patients with limited access to colonoscopy.</w:t>
      </w:r>
    </w:p>
    <w:p w:rsidR="001E10C3" w:rsidRDefault="001E10C3" w:rsidP="0004730F">
      <w:pPr>
        <w:tabs>
          <w:tab w:val="left" w:pos="720"/>
          <w:tab w:val="left" w:pos="1140"/>
        </w:tabs>
        <w:rPr>
          <w:szCs w:val="24"/>
        </w:rPr>
      </w:pPr>
    </w:p>
    <w:tbl>
      <w:tblPr>
        <w:tblStyle w:val="TableGrid"/>
        <w:tblW w:w="5000" w:type="pct"/>
        <w:tblLook w:val="04A0" w:firstRow="1" w:lastRow="0" w:firstColumn="1" w:lastColumn="0" w:noHBand="0" w:noVBand="1"/>
        <w:tblCaption w:val="Summary of estimated number of additional CTC services in patients with limited access to colonoscopy, and cost to MBS and patients "/>
      </w:tblPr>
      <w:tblGrid>
        <w:gridCol w:w="2835"/>
        <w:gridCol w:w="1283"/>
        <w:gridCol w:w="1281"/>
        <w:gridCol w:w="1281"/>
        <w:gridCol w:w="1281"/>
        <w:gridCol w:w="1281"/>
      </w:tblGrid>
      <w:tr w:rsidR="00E66C12" w:rsidRPr="00BC444D" w:rsidTr="00E66C12">
        <w:trPr>
          <w:tblHeader/>
        </w:trPr>
        <w:tc>
          <w:tcPr>
            <w:tcW w:w="1534" w:type="pct"/>
          </w:tcPr>
          <w:p w:rsidR="00E66C12" w:rsidRPr="00BC444D" w:rsidRDefault="00E66C12" w:rsidP="00E66C12">
            <w:pPr>
              <w:spacing w:before="40" w:after="40"/>
              <w:ind w:right="-74"/>
              <w:rPr>
                <w:rFonts w:ascii="Times New Roman" w:hAnsi="Times New Roman"/>
                <w:sz w:val="20"/>
              </w:rPr>
            </w:pPr>
            <w:r w:rsidRPr="00BC444D">
              <w:rPr>
                <w:rFonts w:ascii="Times New Roman" w:hAnsi="Times New Roman"/>
                <w:color w:val="FFFFFF" w:themeColor="background1"/>
                <w:sz w:val="20"/>
              </w:rPr>
              <w:t>-</w:t>
            </w:r>
          </w:p>
        </w:tc>
        <w:tc>
          <w:tcPr>
            <w:tcW w:w="694" w:type="pct"/>
          </w:tcPr>
          <w:p w:rsidR="00E66C12" w:rsidRPr="00BC444D" w:rsidRDefault="00E66C12" w:rsidP="00E66C12">
            <w:pPr>
              <w:spacing w:before="40" w:after="40"/>
              <w:jc w:val="center"/>
              <w:rPr>
                <w:rFonts w:ascii="Times New Roman" w:hAnsi="Times New Roman"/>
                <w:b/>
                <w:sz w:val="20"/>
              </w:rPr>
            </w:pPr>
            <w:r w:rsidRPr="00BC444D">
              <w:rPr>
                <w:rFonts w:ascii="Times New Roman" w:hAnsi="Times New Roman"/>
                <w:b/>
                <w:sz w:val="20"/>
              </w:rPr>
              <w:t>2015</w:t>
            </w:r>
          </w:p>
        </w:tc>
        <w:tc>
          <w:tcPr>
            <w:tcW w:w="693" w:type="pct"/>
          </w:tcPr>
          <w:p w:rsidR="00E66C12" w:rsidRPr="00BC444D" w:rsidRDefault="00E66C12" w:rsidP="00E66C12">
            <w:pPr>
              <w:spacing w:before="40" w:after="40"/>
              <w:jc w:val="center"/>
              <w:rPr>
                <w:rFonts w:ascii="Times New Roman" w:hAnsi="Times New Roman"/>
                <w:b/>
                <w:sz w:val="20"/>
              </w:rPr>
            </w:pPr>
            <w:r w:rsidRPr="00BC444D">
              <w:rPr>
                <w:rFonts w:ascii="Times New Roman" w:hAnsi="Times New Roman"/>
                <w:b/>
                <w:sz w:val="20"/>
              </w:rPr>
              <w:t>2016</w:t>
            </w:r>
          </w:p>
        </w:tc>
        <w:tc>
          <w:tcPr>
            <w:tcW w:w="693" w:type="pct"/>
          </w:tcPr>
          <w:p w:rsidR="00E66C12" w:rsidRPr="00BC444D" w:rsidRDefault="00E66C12" w:rsidP="00E66C12">
            <w:pPr>
              <w:spacing w:before="40" w:after="40"/>
              <w:jc w:val="center"/>
              <w:rPr>
                <w:rFonts w:ascii="Times New Roman" w:hAnsi="Times New Roman"/>
                <w:b/>
                <w:sz w:val="20"/>
              </w:rPr>
            </w:pPr>
            <w:r w:rsidRPr="00BC444D">
              <w:rPr>
                <w:rFonts w:ascii="Times New Roman" w:hAnsi="Times New Roman"/>
                <w:b/>
                <w:sz w:val="20"/>
              </w:rPr>
              <w:t>2017</w:t>
            </w:r>
          </w:p>
        </w:tc>
        <w:tc>
          <w:tcPr>
            <w:tcW w:w="693" w:type="pct"/>
          </w:tcPr>
          <w:p w:rsidR="00E66C12" w:rsidRPr="00BC444D" w:rsidRDefault="00E66C12" w:rsidP="00E66C12">
            <w:pPr>
              <w:spacing w:before="40" w:after="40"/>
              <w:jc w:val="center"/>
              <w:rPr>
                <w:rFonts w:ascii="Times New Roman" w:hAnsi="Times New Roman"/>
                <w:b/>
                <w:sz w:val="20"/>
              </w:rPr>
            </w:pPr>
            <w:r w:rsidRPr="00BC444D">
              <w:rPr>
                <w:rFonts w:ascii="Times New Roman" w:hAnsi="Times New Roman"/>
                <w:b/>
                <w:sz w:val="20"/>
              </w:rPr>
              <w:t>2018</w:t>
            </w:r>
          </w:p>
        </w:tc>
        <w:tc>
          <w:tcPr>
            <w:tcW w:w="693" w:type="pct"/>
          </w:tcPr>
          <w:p w:rsidR="00E66C12" w:rsidRPr="00BC444D" w:rsidRDefault="00E66C12" w:rsidP="00E66C12">
            <w:pPr>
              <w:spacing w:before="40" w:after="40"/>
              <w:jc w:val="center"/>
              <w:rPr>
                <w:rFonts w:ascii="Times New Roman" w:hAnsi="Times New Roman"/>
                <w:b/>
                <w:sz w:val="20"/>
              </w:rPr>
            </w:pPr>
            <w:r w:rsidRPr="00BC444D">
              <w:rPr>
                <w:rFonts w:ascii="Times New Roman" w:hAnsi="Times New Roman"/>
                <w:b/>
                <w:sz w:val="20"/>
              </w:rPr>
              <w:t>2019</w:t>
            </w:r>
          </w:p>
        </w:tc>
      </w:tr>
      <w:tr w:rsidR="00E66C12" w:rsidRPr="00BC444D" w:rsidTr="00E66C12">
        <w:tc>
          <w:tcPr>
            <w:tcW w:w="1534" w:type="pct"/>
          </w:tcPr>
          <w:p w:rsidR="00E66C12" w:rsidRPr="00BC444D" w:rsidRDefault="00E66C12" w:rsidP="00E66C12">
            <w:pPr>
              <w:spacing w:before="40" w:after="40"/>
              <w:ind w:right="-74"/>
              <w:rPr>
                <w:rFonts w:ascii="Times New Roman" w:hAnsi="Times New Roman"/>
                <w:sz w:val="20"/>
              </w:rPr>
            </w:pPr>
            <w:r w:rsidRPr="00BC444D">
              <w:rPr>
                <w:rFonts w:ascii="Times New Roman" w:hAnsi="Times New Roman"/>
                <w:sz w:val="20"/>
              </w:rPr>
              <w:t>Projected population</w:t>
            </w:r>
          </w:p>
        </w:tc>
        <w:tc>
          <w:tcPr>
            <w:tcW w:w="694" w:type="pct"/>
            <w:vAlign w:val="center"/>
          </w:tcPr>
          <w:p w:rsidR="00E66C12" w:rsidRPr="00BC444D" w:rsidRDefault="00E66C12" w:rsidP="00E66C12">
            <w:pPr>
              <w:spacing w:before="40" w:after="40"/>
              <w:jc w:val="right"/>
              <w:rPr>
                <w:rFonts w:ascii="Times New Roman" w:hAnsi="Times New Roman"/>
                <w:sz w:val="20"/>
              </w:rPr>
            </w:pPr>
            <w:r w:rsidRPr="00BC444D">
              <w:rPr>
                <w:rFonts w:ascii="Times New Roman" w:hAnsi="Times New Roman"/>
                <w:sz w:val="20"/>
              </w:rPr>
              <w:t>7,004,913</w:t>
            </w:r>
          </w:p>
        </w:tc>
        <w:tc>
          <w:tcPr>
            <w:tcW w:w="693" w:type="pct"/>
            <w:vAlign w:val="center"/>
          </w:tcPr>
          <w:p w:rsidR="00E66C12" w:rsidRPr="00BC444D" w:rsidRDefault="00E66C12" w:rsidP="00E66C12">
            <w:pPr>
              <w:spacing w:before="40" w:after="40"/>
              <w:jc w:val="right"/>
              <w:rPr>
                <w:rFonts w:ascii="Times New Roman" w:hAnsi="Times New Roman"/>
                <w:sz w:val="20"/>
              </w:rPr>
            </w:pPr>
            <w:r w:rsidRPr="00BC444D">
              <w:rPr>
                <w:rFonts w:ascii="Times New Roman" w:hAnsi="Times New Roman"/>
                <w:sz w:val="20"/>
              </w:rPr>
              <w:t>7,097,835</w:t>
            </w:r>
          </w:p>
        </w:tc>
        <w:tc>
          <w:tcPr>
            <w:tcW w:w="693" w:type="pct"/>
            <w:vAlign w:val="center"/>
          </w:tcPr>
          <w:p w:rsidR="00E66C12" w:rsidRPr="00BC444D" w:rsidRDefault="00E66C12" w:rsidP="00E66C12">
            <w:pPr>
              <w:spacing w:before="40" w:after="40"/>
              <w:jc w:val="right"/>
              <w:rPr>
                <w:rFonts w:ascii="Times New Roman" w:hAnsi="Times New Roman"/>
                <w:sz w:val="20"/>
              </w:rPr>
            </w:pPr>
            <w:r w:rsidRPr="00BC444D">
              <w:rPr>
                <w:rFonts w:ascii="Times New Roman" w:hAnsi="Times New Roman"/>
                <w:sz w:val="20"/>
              </w:rPr>
              <w:t>7,192,028</w:t>
            </w:r>
          </w:p>
        </w:tc>
        <w:tc>
          <w:tcPr>
            <w:tcW w:w="693" w:type="pct"/>
            <w:vAlign w:val="center"/>
          </w:tcPr>
          <w:p w:rsidR="00E66C12" w:rsidRPr="00BC444D" w:rsidRDefault="00E66C12" w:rsidP="00E66C12">
            <w:pPr>
              <w:spacing w:before="40" w:after="40"/>
              <w:jc w:val="right"/>
              <w:rPr>
                <w:rFonts w:ascii="Times New Roman" w:hAnsi="Times New Roman"/>
                <w:sz w:val="20"/>
              </w:rPr>
            </w:pPr>
            <w:r w:rsidRPr="00BC444D">
              <w:rPr>
                <w:rFonts w:ascii="Times New Roman" w:hAnsi="Times New Roman"/>
                <w:sz w:val="20"/>
              </w:rPr>
              <w:t>7,287,512</w:t>
            </w:r>
          </w:p>
        </w:tc>
        <w:tc>
          <w:tcPr>
            <w:tcW w:w="693" w:type="pct"/>
            <w:vAlign w:val="center"/>
          </w:tcPr>
          <w:p w:rsidR="00E66C12" w:rsidRPr="00BC444D" w:rsidRDefault="00E66C12" w:rsidP="00E66C12">
            <w:pPr>
              <w:spacing w:before="40" w:after="40"/>
              <w:jc w:val="right"/>
              <w:rPr>
                <w:rFonts w:ascii="Times New Roman" w:hAnsi="Times New Roman"/>
                <w:sz w:val="20"/>
              </w:rPr>
            </w:pPr>
            <w:r w:rsidRPr="00BC444D">
              <w:rPr>
                <w:rFonts w:ascii="Times New Roman" w:hAnsi="Times New Roman"/>
                <w:sz w:val="20"/>
              </w:rPr>
              <w:t>7,384,303</w:t>
            </w:r>
          </w:p>
        </w:tc>
      </w:tr>
      <w:tr w:rsidR="00E66C12" w:rsidRPr="00BC444D" w:rsidTr="00E66C12">
        <w:tc>
          <w:tcPr>
            <w:tcW w:w="1534" w:type="pct"/>
          </w:tcPr>
          <w:p w:rsidR="00E66C12" w:rsidRPr="00BC444D" w:rsidRDefault="00E66C12" w:rsidP="00E66C12">
            <w:pPr>
              <w:spacing w:before="40" w:after="40"/>
              <w:ind w:right="-74"/>
              <w:rPr>
                <w:rFonts w:ascii="Times New Roman" w:hAnsi="Times New Roman"/>
                <w:b/>
                <w:sz w:val="20"/>
                <w:vertAlign w:val="superscript"/>
              </w:rPr>
            </w:pPr>
            <w:r w:rsidRPr="00BC444D">
              <w:rPr>
                <w:rFonts w:ascii="Times New Roman" w:hAnsi="Times New Roman"/>
                <w:b/>
                <w:sz w:val="20"/>
              </w:rPr>
              <w:t xml:space="preserve">Number of additional CTC services: </w:t>
            </w:r>
          </w:p>
        </w:tc>
        <w:tc>
          <w:tcPr>
            <w:tcW w:w="694" w:type="pct"/>
            <w:vAlign w:val="center"/>
          </w:tcPr>
          <w:p w:rsidR="00E66C12" w:rsidRPr="00BC444D" w:rsidRDefault="00E66C12" w:rsidP="00E66C12">
            <w:pPr>
              <w:spacing w:before="40" w:after="40"/>
              <w:jc w:val="right"/>
              <w:rPr>
                <w:rFonts w:ascii="Times New Roman" w:hAnsi="Times New Roman"/>
                <w:b/>
                <w:sz w:val="20"/>
              </w:rPr>
            </w:pPr>
            <w:r w:rsidRPr="00BC444D">
              <w:rPr>
                <w:rFonts w:ascii="Times New Roman" w:hAnsi="Times New Roman"/>
                <w:b/>
                <w:sz w:val="20"/>
              </w:rPr>
              <w:t>18,316</w:t>
            </w:r>
          </w:p>
        </w:tc>
        <w:tc>
          <w:tcPr>
            <w:tcW w:w="693" w:type="pct"/>
            <w:vAlign w:val="center"/>
          </w:tcPr>
          <w:p w:rsidR="00E66C12" w:rsidRPr="00BC444D" w:rsidRDefault="00E66C12" w:rsidP="00E66C12">
            <w:pPr>
              <w:spacing w:before="40" w:after="40"/>
              <w:jc w:val="right"/>
              <w:rPr>
                <w:rFonts w:ascii="Times New Roman" w:hAnsi="Times New Roman"/>
                <w:b/>
                <w:sz w:val="20"/>
              </w:rPr>
            </w:pPr>
            <w:r w:rsidRPr="00BC444D">
              <w:rPr>
                <w:rFonts w:ascii="Times New Roman" w:hAnsi="Times New Roman"/>
                <w:b/>
                <w:sz w:val="20"/>
              </w:rPr>
              <w:t>18,559</w:t>
            </w:r>
          </w:p>
        </w:tc>
        <w:tc>
          <w:tcPr>
            <w:tcW w:w="693" w:type="pct"/>
            <w:vAlign w:val="center"/>
          </w:tcPr>
          <w:p w:rsidR="00E66C12" w:rsidRPr="00BC444D" w:rsidRDefault="00E66C12" w:rsidP="00E66C12">
            <w:pPr>
              <w:spacing w:before="40" w:after="40"/>
              <w:jc w:val="right"/>
              <w:rPr>
                <w:rFonts w:ascii="Times New Roman" w:hAnsi="Times New Roman"/>
                <w:b/>
                <w:sz w:val="20"/>
              </w:rPr>
            </w:pPr>
            <w:r w:rsidRPr="00BC444D">
              <w:rPr>
                <w:rFonts w:ascii="Times New Roman" w:hAnsi="Times New Roman"/>
                <w:b/>
                <w:sz w:val="20"/>
              </w:rPr>
              <w:t>18,806</w:t>
            </w:r>
          </w:p>
        </w:tc>
        <w:tc>
          <w:tcPr>
            <w:tcW w:w="693" w:type="pct"/>
            <w:vAlign w:val="center"/>
          </w:tcPr>
          <w:p w:rsidR="00E66C12" w:rsidRPr="00BC444D" w:rsidRDefault="00E66C12" w:rsidP="00E66C12">
            <w:pPr>
              <w:spacing w:before="40" w:after="40"/>
              <w:jc w:val="right"/>
              <w:rPr>
                <w:rFonts w:ascii="Times New Roman" w:hAnsi="Times New Roman"/>
                <w:b/>
                <w:sz w:val="20"/>
              </w:rPr>
            </w:pPr>
            <w:r w:rsidRPr="00BC444D">
              <w:rPr>
                <w:rFonts w:ascii="Times New Roman" w:hAnsi="Times New Roman"/>
                <w:b/>
                <w:sz w:val="20"/>
              </w:rPr>
              <w:t>19,055</w:t>
            </w:r>
          </w:p>
        </w:tc>
        <w:tc>
          <w:tcPr>
            <w:tcW w:w="693" w:type="pct"/>
            <w:vAlign w:val="center"/>
          </w:tcPr>
          <w:p w:rsidR="00E66C12" w:rsidRPr="00BC444D" w:rsidRDefault="00E66C12" w:rsidP="00E66C12">
            <w:pPr>
              <w:spacing w:before="40" w:after="40"/>
              <w:jc w:val="right"/>
              <w:rPr>
                <w:rFonts w:ascii="Times New Roman" w:hAnsi="Times New Roman"/>
                <w:b/>
                <w:sz w:val="20"/>
              </w:rPr>
            </w:pPr>
            <w:r w:rsidRPr="00BC444D">
              <w:rPr>
                <w:rFonts w:ascii="Times New Roman" w:hAnsi="Times New Roman"/>
                <w:b/>
                <w:sz w:val="20"/>
              </w:rPr>
              <w:t>19,308</w:t>
            </w:r>
          </w:p>
        </w:tc>
      </w:tr>
    </w:tbl>
    <w:p w:rsidR="004931BC" w:rsidRDefault="004931BC"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lastRenderedPageBreak/>
        <w:t>The table below shows the predicted additional services for the proposed changes to the two existing CTC MBS items for patients contraindicated to colonoscopy.</w:t>
      </w:r>
    </w:p>
    <w:p w:rsidR="001E10C3" w:rsidRDefault="001E10C3" w:rsidP="0004730F">
      <w:pPr>
        <w:tabs>
          <w:tab w:val="left" w:pos="720"/>
          <w:tab w:val="left" w:pos="1140"/>
        </w:tabs>
        <w:rPr>
          <w:szCs w:val="24"/>
        </w:rPr>
      </w:pPr>
    </w:p>
    <w:tbl>
      <w:tblPr>
        <w:tblStyle w:val="TableGrid"/>
        <w:tblW w:w="5000" w:type="pct"/>
        <w:tblLook w:val="04A0" w:firstRow="1" w:lastRow="0" w:firstColumn="1" w:lastColumn="0" w:noHBand="0" w:noVBand="1"/>
        <w:tblCaption w:val=" predicted additional services for the proposed changes to the two existing CTC MBS items "/>
        <w:tblDescription w:val="The table below shows the predicted additional services for the proposed changes to the two existing CTC MBS items for patients contraindicated to colonoscopy."/>
      </w:tblPr>
      <w:tblGrid>
        <w:gridCol w:w="3054"/>
        <w:gridCol w:w="1281"/>
        <w:gridCol w:w="1227"/>
        <w:gridCol w:w="1227"/>
        <w:gridCol w:w="1229"/>
        <w:gridCol w:w="1224"/>
      </w:tblGrid>
      <w:tr w:rsidR="00E66C12" w:rsidRPr="00BC444D" w:rsidTr="004931BC">
        <w:trPr>
          <w:tblHeader/>
        </w:trPr>
        <w:tc>
          <w:tcPr>
            <w:tcW w:w="1652" w:type="pct"/>
          </w:tcPr>
          <w:p w:rsidR="00E66C12" w:rsidRPr="00BC444D" w:rsidRDefault="00E66C12" w:rsidP="00E66C12">
            <w:pPr>
              <w:pStyle w:val="TableHeading"/>
              <w:spacing w:afterLines="40" w:after="96"/>
              <w:rPr>
                <w:rFonts w:ascii="Times New Roman" w:hAnsi="Times New Roman" w:cs="Times New Roman"/>
              </w:rPr>
            </w:pPr>
            <w:r w:rsidRPr="00BC444D">
              <w:rPr>
                <w:rFonts w:ascii="Times New Roman" w:hAnsi="Times New Roman" w:cs="Times New Roman"/>
                <w:color w:val="FFFFFF" w:themeColor="background1"/>
              </w:rPr>
              <w:t>-</w:t>
            </w:r>
          </w:p>
        </w:tc>
        <w:tc>
          <w:tcPr>
            <w:tcW w:w="693" w:type="pct"/>
          </w:tcPr>
          <w:p w:rsidR="00E66C12" w:rsidRPr="00BC444D" w:rsidRDefault="00E66C12" w:rsidP="00E66C12">
            <w:pPr>
              <w:pStyle w:val="TableHeading"/>
              <w:spacing w:afterLines="40" w:after="96"/>
              <w:jc w:val="center"/>
              <w:rPr>
                <w:rFonts w:ascii="Times New Roman" w:hAnsi="Times New Roman" w:cs="Times New Roman"/>
              </w:rPr>
            </w:pPr>
            <w:r w:rsidRPr="00BC444D">
              <w:rPr>
                <w:rFonts w:ascii="Times New Roman" w:hAnsi="Times New Roman" w:cs="Times New Roman"/>
              </w:rPr>
              <w:t>2014–15</w:t>
            </w:r>
          </w:p>
        </w:tc>
        <w:tc>
          <w:tcPr>
            <w:tcW w:w="664" w:type="pct"/>
          </w:tcPr>
          <w:p w:rsidR="00E66C12" w:rsidRPr="00BC444D" w:rsidRDefault="00E66C12" w:rsidP="00E66C12">
            <w:pPr>
              <w:pStyle w:val="TableHeading"/>
              <w:spacing w:afterLines="40" w:after="96"/>
              <w:jc w:val="center"/>
              <w:rPr>
                <w:rFonts w:ascii="Times New Roman" w:hAnsi="Times New Roman" w:cs="Times New Roman"/>
              </w:rPr>
            </w:pPr>
            <w:r w:rsidRPr="00BC444D">
              <w:rPr>
                <w:rFonts w:ascii="Times New Roman" w:hAnsi="Times New Roman" w:cs="Times New Roman"/>
              </w:rPr>
              <w:t>2015–16</w:t>
            </w:r>
          </w:p>
        </w:tc>
        <w:tc>
          <w:tcPr>
            <w:tcW w:w="664" w:type="pct"/>
          </w:tcPr>
          <w:p w:rsidR="00E66C12" w:rsidRPr="00BC444D" w:rsidRDefault="00E66C12" w:rsidP="00E66C12">
            <w:pPr>
              <w:pStyle w:val="TableHeading"/>
              <w:spacing w:afterLines="40" w:after="96"/>
              <w:jc w:val="center"/>
              <w:rPr>
                <w:rFonts w:ascii="Times New Roman" w:hAnsi="Times New Roman" w:cs="Times New Roman"/>
              </w:rPr>
            </w:pPr>
            <w:r w:rsidRPr="00BC444D">
              <w:rPr>
                <w:rFonts w:ascii="Times New Roman" w:hAnsi="Times New Roman" w:cs="Times New Roman"/>
              </w:rPr>
              <w:t>2016–17</w:t>
            </w:r>
          </w:p>
        </w:tc>
        <w:tc>
          <w:tcPr>
            <w:tcW w:w="665" w:type="pct"/>
          </w:tcPr>
          <w:p w:rsidR="00E66C12" w:rsidRPr="00BC444D" w:rsidRDefault="00E66C12" w:rsidP="00E66C12">
            <w:pPr>
              <w:pStyle w:val="TableHeading"/>
              <w:spacing w:afterLines="40" w:after="96"/>
              <w:jc w:val="center"/>
              <w:rPr>
                <w:rFonts w:ascii="Times New Roman" w:hAnsi="Times New Roman" w:cs="Times New Roman"/>
              </w:rPr>
            </w:pPr>
            <w:r w:rsidRPr="00BC444D">
              <w:rPr>
                <w:rFonts w:ascii="Times New Roman" w:hAnsi="Times New Roman" w:cs="Times New Roman"/>
              </w:rPr>
              <w:t>2017–18</w:t>
            </w:r>
          </w:p>
        </w:tc>
        <w:tc>
          <w:tcPr>
            <w:tcW w:w="662" w:type="pct"/>
          </w:tcPr>
          <w:p w:rsidR="00E66C12" w:rsidRPr="00BC444D" w:rsidRDefault="00E66C12" w:rsidP="00E66C12">
            <w:pPr>
              <w:pStyle w:val="TableHeading"/>
              <w:spacing w:afterLines="40" w:after="96"/>
              <w:jc w:val="center"/>
              <w:rPr>
                <w:rFonts w:ascii="Times New Roman" w:hAnsi="Times New Roman" w:cs="Times New Roman"/>
              </w:rPr>
            </w:pPr>
            <w:r w:rsidRPr="00BC444D">
              <w:rPr>
                <w:rFonts w:ascii="Times New Roman" w:hAnsi="Times New Roman" w:cs="Times New Roman"/>
              </w:rPr>
              <w:t>2018–19</w:t>
            </w:r>
          </w:p>
        </w:tc>
      </w:tr>
      <w:tr w:rsidR="00E66C12" w:rsidRPr="00BC444D" w:rsidTr="004931BC">
        <w:tc>
          <w:tcPr>
            <w:tcW w:w="1652" w:type="pct"/>
          </w:tcPr>
          <w:p w:rsidR="00E66C12" w:rsidRPr="00BC444D" w:rsidRDefault="00E66C12" w:rsidP="00E66C12">
            <w:pPr>
              <w:pStyle w:val="Tabletext"/>
              <w:spacing w:afterLines="40" w:after="96"/>
              <w:rPr>
                <w:rFonts w:ascii="Times New Roman" w:hAnsi="Times New Roman" w:cs="Times New Roman"/>
                <w:b/>
                <w:vertAlign w:val="superscript"/>
              </w:rPr>
            </w:pPr>
            <w:r w:rsidRPr="00BC444D">
              <w:rPr>
                <w:rFonts w:ascii="Times New Roman" w:hAnsi="Times New Roman" w:cs="Times New Roman"/>
                <w:b/>
              </w:rPr>
              <w:t xml:space="preserve">Total number of services per year </w:t>
            </w:r>
          </w:p>
        </w:tc>
        <w:tc>
          <w:tcPr>
            <w:tcW w:w="693" w:type="pct"/>
          </w:tcPr>
          <w:p w:rsidR="00E66C12" w:rsidRPr="00BC444D" w:rsidRDefault="00E66C12" w:rsidP="00E66C12">
            <w:pPr>
              <w:pStyle w:val="Tabletext"/>
              <w:spacing w:afterLines="40" w:after="96"/>
              <w:jc w:val="right"/>
              <w:rPr>
                <w:rFonts w:ascii="Times New Roman" w:hAnsi="Times New Roman" w:cs="Times New Roman"/>
                <w:b/>
              </w:rPr>
            </w:pPr>
            <w:r w:rsidRPr="00BC444D">
              <w:rPr>
                <w:rFonts w:ascii="Times New Roman" w:hAnsi="Times New Roman" w:cs="Times New Roman"/>
                <w:b/>
              </w:rPr>
              <w:t>4,893</w:t>
            </w:r>
          </w:p>
        </w:tc>
        <w:tc>
          <w:tcPr>
            <w:tcW w:w="664" w:type="pct"/>
          </w:tcPr>
          <w:p w:rsidR="00E66C12" w:rsidRPr="00BC444D" w:rsidRDefault="00E66C12" w:rsidP="00E66C12">
            <w:pPr>
              <w:pStyle w:val="Tabletext"/>
              <w:spacing w:afterLines="40" w:after="96"/>
              <w:jc w:val="right"/>
              <w:rPr>
                <w:rFonts w:ascii="Times New Roman" w:hAnsi="Times New Roman" w:cs="Times New Roman"/>
                <w:b/>
              </w:rPr>
            </w:pPr>
            <w:r w:rsidRPr="00BC444D">
              <w:rPr>
                <w:rFonts w:ascii="Times New Roman" w:hAnsi="Times New Roman" w:cs="Times New Roman"/>
                <w:b/>
              </w:rPr>
              <w:t>4,351</w:t>
            </w:r>
          </w:p>
        </w:tc>
        <w:tc>
          <w:tcPr>
            <w:tcW w:w="664" w:type="pct"/>
          </w:tcPr>
          <w:p w:rsidR="00E66C12" w:rsidRPr="00BC444D" w:rsidRDefault="00E66C12" w:rsidP="00E66C12">
            <w:pPr>
              <w:pStyle w:val="Tabletext"/>
              <w:spacing w:afterLines="40" w:after="96"/>
              <w:jc w:val="right"/>
              <w:rPr>
                <w:rFonts w:ascii="Times New Roman" w:hAnsi="Times New Roman" w:cs="Times New Roman"/>
                <w:b/>
              </w:rPr>
            </w:pPr>
            <w:r w:rsidRPr="00BC444D">
              <w:rPr>
                <w:rFonts w:ascii="Times New Roman" w:hAnsi="Times New Roman" w:cs="Times New Roman"/>
                <w:b/>
              </w:rPr>
              <w:t>3,866</w:t>
            </w:r>
          </w:p>
        </w:tc>
        <w:tc>
          <w:tcPr>
            <w:tcW w:w="665" w:type="pct"/>
          </w:tcPr>
          <w:p w:rsidR="00E66C12" w:rsidRPr="00BC444D" w:rsidRDefault="00E66C12" w:rsidP="00E66C12">
            <w:pPr>
              <w:pStyle w:val="Tabletext"/>
              <w:spacing w:afterLines="40" w:after="96"/>
              <w:jc w:val="right"/>
              <w:rPr>
                <w:rFonts w:ascii="Times New Roman" w:hAnsi="Times New Roman" w:cs="Times New Roman"/>
                <w:b/>
              </w:rPr>
            </w:pPr>
            <w:r w:rsidRPr="00BC444D">
              <w:rPr>
                <w:rFonts w:ascii="Times New Roman" w:hAnsi="Times New Roman" w:cs="Times New Roman"/>
                <w:b/>
              </w:rPr>
              <w:t>3,427</w:t>
            </w:r>
          </w:p>
        </w:tc>
        <w:tc>
          <w:tcPr>
            <w:tcW w:w="662" w:type="pct"/>
          </w:tcPr>
          <w:p w:rsidR="00E66C12" w:rsidRPr="00BC444D" w:rsidRDefault="00E66C12" w:rsidP="00E66C12">
            <w:pPr>
              <w:pStyle w:val="Tabletext"/>
              <w:spacing w:afterLines="40" w:after="96"/>
              <w:jc w:val="right"/>
              <w:rPr>
                <w:rFonts w:ascii="Times New Roman" w:hAnsi="Times New Roman" w:cs="Times New Roman"/>
                <w:b/>
              </w:rPr>
            </w:pPr>
            <w:r w:rsidRPr="00BC444D">
              <w:rPr>
                <w:rFonts w:ascii="Times New Roman" w:hAnsi="Times New Roman" w:cs="Times New Roman"/>
                <w:b/>
              </w:rPr>
              <w:t>3,026</w:t>
            </w:r>
          </w:p>
        </w:tc>
      </w:tr>
    </w:tbl>
    <w:p w:rsidR="001E10C3" w:rsidRDefault="001E10C3" w:rsidP="0004730F">
      <w:pPr>
        <w:tabs>
          <w:tab w:val="left" w:pos="720"/>
          <w:tab w:val="left" w:pos="1140"/>
        </w:tabs>
        <w:rPr>
          <w:szCs w:val="24"/>
        </w:rPr>
      </w:pPr>
    </w:p>
    <w:p w:rsidR="00E66C12" w:rsidRDefault="00E66C12" w:rsidP="0004730F">
      <w:pPr>
        <w:tabs>
          <w:tab w:val="left" w:pos="720"/>
          <w:tab w:val="left" w:pos="1140"/>
        </w:tabs>
        <w:rPr>
          <w:szCs w:val="24"/>
        </w:rPr>
      </w:pPr>
      <w:r>
        <w:rPr>
          <w:szCs w:val="24"/>
        </w:rPr>
        <w:t>Assuming that CTC completely replaces DCBE for the diagnosis of colorectal neoplasia, it has been estimated that there would be an additional 4,900 CTC services in the first year of the revised listing, declining to an additional 3,000 services in the fifth year.</w:t>
      </w:r>
    </w:p>
    <w:p w:rsidR="001E10C3" w:rsidRDefault="001E10C3" w:rsidP="0004730F">
      <w:pPr>
        <w:tabs>
          <w:tab w:val="left" w:pos="720"/>
        </w:tabs>
        <w:rPr>
          <w:szCs w:val="24"/>
        </w:rPr>
      </w:pPr>
    </w:p>
    <w:p w:rsidR="00E66C12" w:rsidRPr="00BB418D" w:rsidRDefault="00E66C12" w:rsidP="0004730F">
      <w:pPr>
        <w:tabs>
          <w:tab w:val="left" w:pos="720"/>
        </w:tabs>
        <w:rPr>
          <w:szCs w:val="24"/>
        </w:rPr>
      </w:pPr>
      <w:r w:rsidRPr="00F54FC3">
        <w:rPr>
          <w:szCs w:val="24"/>
        </w:rPr>
        <w:t>The application propose</w:t>
      </w:r>
      <w:r w:rsidR="001E10C3">
        <w:rPr>
          <w:szCs w:val="24"/>
        </w:rPr>
        <w:t>d</w:t>
      </w:r>
      <w:r w:rsidRPr="00F54FC3">
        <w:rPr>
          <w:szCs w:val="24"/>
        </w:rPr>
        <w:t xml:space="preserve"> that there would be no limitations on the number of services per patient and that the frequency of CTC investigations for each patient would differ according to the clinical context. Under the proposed extended population funding arrangements, patients who undergo regular surveillance for colorectal neoplasm would be likely to require CTC every 1–3 years, provided they fulfil the MBS conditions. CTC could be performed as a once-off procedure in some patients such as the symptomatic elderly, although a repeat procedure within a short interval may be required when the outcome of a first procedure is not definitive.</w:t>
      </w:r>
    </w:p>
    <w:p w:rsidR="001E10C3" w:rsidRDefault="001E10C3" w:rsidP="0004730F">
      <w:pPr>
        <w:tabs>
          <w:tab w:val="left" w:pos="720"/>
        </w:tabs>
        <w:rPr>
          <w:szCs w:val="24"/>
        </w:rPr>
      </w:pPr>
    </w:p>
    <w:p w:rsidR="00E66C12" w:rsidRDefault="00E66C12" w:rsidP="0004730F">
      <w:pPr>
        <w:tabs>
          <w:tab w:val="left" w:pos="720"/>
        </w:tabs>
        <w:rPr>
          <w:szCs w:val="24"/>
        </w:rPr>
      </w:pPr>
      <w:r w:rsidRPr="00091CD1">
        <w:rPr>
          <w:szCs w:val="24"/>
        </w:rPr>
        <w:t>For the proposed additional item, for patients with limited access to colonoscopy, the table below shows the estimated cost to the MBS and patients over 5 years.</w:t>
      </w:r>
    </w:p>
    <w:p w:rsidR="001E10C3" w:rsidRPr="00091CD1" w:rsidRDefault="001E10C3" w:rsidP="0004730F">
      <w:pPr>
        <w:tabs>
          <w:tab w:val="left" w:pos="720"/>
        </w:tabs>
        <w:rPr>
          <w:szCs w:val="24"/>
        </w:rPr>
      </w:pPr>
    </w:p>
    <w:tbl>
      <w:tblPr>
        <w:tblStyle w:val="TableGrid"/>
        <w:tblW w:w="5000" w:type="pct"/>
        <w:tblLook w:val="04A0" w:firstRow="1" w:lastRow="0" w:firstColumn="1" w:lastColumn="0" w:noHBand="0" w:noVBand="1"/>
        <w:tblCaption w:val="Summary of estimated number of additional CTC services in patients with limited access to colonoscopy, and cost to MBS and patients "/>
      </w:tblPr>
      <w:tblGrid>
        <w:gridCol w:w="2835"/>
        <w:gridCol w:w="1283"/>
        <w:gridCol w:w="1281"/>
        <w:gridCol w:w="1281"/>
        <w:gridCol w:w="1281"/>
        <w:gridCol w:w="1281"/>
      </w:tblGrid>
      <w:tr w:rsidR="00E66C12" w:rsidRPr="00091CD1" w:rsidTr="00E66C12">
        <w:trPr>
          <w:tblHeader/>
        </w:trPr>
        <w:tc>
          <w:tcPr>
            <w:tcW w:w="1534" w:type="pct"/>
          </w:tcPr>
          <w:p w:rsidR="00E66C12" w:rsidRPr="00091CD1" w:rsidRDefault="00E66C12" w:rsidP="00E66C12">
            <w:pPr>
              <w:spacing w:before="40" w:after="40"/>
              <w:ind w:right="-74"/>
              <w:rPr>
                <w:rFonts w:ascii="Times New Roman" w:hAnsi="Times New Roman"/>
                <w:sz w:val="20"/>
              </w:rPr>
            </w:pPr>
            <w:r w:rsidRPr="00091CD1">
              <w:rPr>
                <w:rFonts w:ascii="Times New Roman" w:hAnsi="Times New Roman"/>
                <w:color w:val="FFFFFF" w:themeColor="background1"/>
                <w:sz w:val="20"/>
              </w:rPr>
              <w:t>-</w:t>
            </w:r>
          </w:p>
        </w:tc>
        <w:tc>
          <w:tcPr>
            <w:tcW w:w="694" w:type="pct"/>
          </w:tcPr>
          <w:p w:rsidR="00E66C12" w:rsidRPr="00091CD1" w:rsidRDefault="00E66C12" w:rsidP="00E66C12">
            <w:pPr>
              <w:spacing w:before="40" w:after="40"/>
              <w:jc w:val="center"/>
              <w:rPr>
                <w:rFonts w:ascii="Times New Roman" w:hAnsi="Times New Roman"/>
                <w:b/>
                <w:sz w:val="20"/>
              </w:rPr>
            </w:pPr>
            <w:r w:rsidRPr="00091CD1">
              <w:rPr>
                <w:rFonts w:ascii="Times New Roman" w:hAnsi="Times New Roman"/>
                <w:b/>
                <w:sz w:val="20"/>
              </w:rPr>
              <w:t>2015</w:t>
            </w:r>
          </w:p>
        </w:tc>
        <w:tc>
          <w:tcPr>
            <w:tcW w:w="693" w:type="pct"/>
          </w:tcPr>
          <w:p w:rsidR="00E66C12" w:rsidRPr="00091CD1" w:rsidRDefault="00E66C12" w:rsidP="00E66C12">
            <w:pPr>
              <w:spacing w:before="40" w:after="40"/>
              <w:jc w:val="center"/>
              <w:rPr>
                <w:rFonts w:ascii="Times New Roman" w:hAnsi="Times New Roman"/>
                <w:b/>
                <w:sz w:val="20"/>
              </w:rPr>
            </w:pPr>
            <w:r w:rsidRPr="00091CD1">
              <w:rPr>
                <w:rFonts w:ascii="Times New Roman" w:hAnsi="Times New Roman"/>
                <w:b/>
                <w:sz w:val="20"/>
              </w:rPr>
              <w:t>2016</w:t>
            </w:r>
          </w:p>
        </w:tc>
        <w:tc>
          <w:tcPr>
            <w:tcW w:w="693" w:type="pct"/>
          </w:tcPr>
          <w:p w:rsidR="00E66C12" w:rsidRPr="00091CD1" w:rsidRDefault="00E66C12" w:rsidP="00E66C12">
            <w:pPr>
              <w:spacing w:before="40" w:after="40"/>
              <w:jc w:val="center"/>
              <w:rPr>
                <w:rFonts w:ascii="Times New Roman" w:hAnsi="Times New Roman"/>
                <w:b/>
                <w:sz w:val="20"/>
              </w:rPr>
            </w:pPr>
            <w:r w:rsidRPr="00091CD1">
              <w:rPr>
                <w:rFonts w:ascii="Times New Roman" w:hAnsi="Times New Roman"/>
                <w:b/>
                <w:sz w:val="20"/>
              </w:rPr>
              <w:t>2017</w:t>
            </w:r>
          </w:p>
        </w:tc>
        <w:tc>
          <w:tcPr>
            <w:tcW w:w="693" w:type="pct"/>
          </w:tcPr>
          <w:p w:rsidR="00E66C12" w:rsidRPr="00091CD1" w:rsidRDefault="00E66C12" w:rsidP="00E66C12">
            <w:pPr>
              <w:spacing w:before="40" w:after="40"/>
              <w:jc w:val="center"/>
              <w:rPr>
                <w:rFonts w:ascii="Times New Roman" w:hAnsi="Times New Roman"/>
                <w:b/>
                <w:sz w:val="20"/>
              </w:rPr>
            </w:pPr>
            <w:r w:rsidRPr="00091CD1">
              <w:rPr>
                <w:rFonts w:ascii="Times New Roman" w:hAnsi="Times New Roman"/>
                <w:b/>
                <w:sz w:val="20"/>
              </w:rPr>
              <w:t>2018</w:t>
            </w:r>
          </w:p>
        </w:tc>
        <w:tc>
          <w:tcPr>
            <w:tcW w:w="693" w:type="pct"/>
          </w:tcPr>
          <w:p w:rsidR="00E66C12" w:rsidRPr="00091CD1" w:rsidRDefault="00E66C12" w:rsidP="00E66C12">
            <w:pPr>
              <w:spacing w:before="40" w:after="40"/>
              <w:jc w:val="center"/>
              <w:rPr>
                <w:rFonts w:ascii="Times New Roman" w:hAnsi="Times New Roman"/>
                <w:b/>
                <w:sz w:val="20"/>
              </w:rPr>
            </w:pPr>
            <w:r w:rsidRPr="00091CD1">
              <w:rPr>
                <w:rFonts w:ascii="Times New Roman" w:hAnsi="Times New Roman"/>
                <w:b/>
                <w:sz w:val="20"/>
              </w:rPr>
              <w:t>2019</w:t>
            </w:r>
          </w:p>
        </w:tc>
      </w:tr>
      <w:tr w:rsidR="00E66C12" w:rsidRPr="00091CD1" w:rsidTr="00E66C12">
        <w:tc>
          <w:tcPr>
            <w:tcW w:w="1534" w:type="pct"/>
          </w:tcPr>
          <w:p w:rsidR="00E66C12" w:rsidRPr="00091CD1" w:rsidRDefault="00E66C12" w:rsidP="00E66C12">
            <w:pPr>
              <w:spacing w:before="40" w:after="40"/>
              <w:ind w:right="-74"/>
              <w:rPr>
                <w:rFonts w:ascii="Times New Roman" w:hAnsi="Times New Roman"/>
                <w:sz w:val="20"/>
                <w:vertAlign w:val="superscript"/>
              </w:rPr>
            </w:pPr>
            <w:r w:rsidRPr="00091CD1">
              <w:rPr>
                <w:rFonts w:ascii="Times New Roman" w:hAnsi="Times New Roman"/>
                <w:sz w:val="20"/>
              </w:rPr>
              <w:t xml:space="preserve">Number of additional CTC services: </w:t>
            </w:r>
            <w:r w:rsidRPr="00091CD1">
              <w:rPr>
                <w:rFonts w:ascii="Times New Roman" w:hAnsi="Times New Roman"/>
                <w:sz w:val="20"/>
                <w:vertAlign w:val="superscript"/>
              </w:rPr>
              <w:t>a</w:t>
            </w:r>
          </w:p>
        </w:tc>
        <w:tc>
          <w:tcPr>
            <w:tcW w:w="694" w:type="pct"/>
            <w:vAlign w:val="center"/>
          </w:tcPr>
          <w:p w:rsidR="00E66C12" w:rsidRPr="00091CD1" w:rsidRDefault="00E66C12" w:rsidP="00E66C12">
            <w:pPr>
              <w:spacing w:before="40" w:after="40"/>
              <w:jc w:val="right"/>
              <w:rPr>
                <w:rFonts w:ascii="Times New Roman" w:hAnsi="Times New Roman"/>
                <w:sz w:val="20"/>
              </w:rPr>
            </w:pPr>
            <w:r w:rsidRPr="00091CD1">
              <w:rPr>
                <w:rFonts w:ascii="Times New Roman" w:hAnsi="Times New Roman"/>
                <w:sz w:val="20"/>
              </w:rPr>
              <w:t>18,316</w:t>
            </w:r>
          </w:p>
        </w:tc>
        <w:tc>
          <w:tcPr>
            <w:tcW w:w="693" w:type="pct"/>
            <w:vAlign w:val="center"/>
          </w:tcPr>
          <w:p w:rsidR="00E66C12" w:rsidRPr="00091CD1" w:rsidRDefault="00E66C12" w:rsidP="00E66C12">
            <w:pPr>
              <w:spacing w:before="40" w:after="40"/>
              <w:jc w:val="right"/>
              <w:rPr>
                <w:rFonts w:ascii="Times New Roman" w:hAnsi="Times New Roman"/>
                <w:sz w:val="20"/>
              </w:rPr>
            </w:pPr>
            <w:r w:rsidRPr="00091CD1">
              <w:rPr>
                <w:rFonts w:ascii="Times New Roman" w:hAnsi="Times New Roman"/>
                <w:sz w:val="20"/>
              </w:rPr>
              <w:t>18,559</w:t>
            </w:r>
          </w:p>
        </w:tc>
        <w:tc>
          <w:tcPr>
            <w:tcW w:w="693" w:type="pct"/>
            <w:vAlign w:val="center"/>
          </w:tcPr>
          <w:p w:rsidR="00E66C12" w:rsidRPr="00091CD1" w:rsidRDefault="00E66C12" w:rsidP="00E66C12">
            <w:pPr>
              <w:spacing w:before="40" w:after="40"/>
              <w:jc w:val="right"/>
              <w:rPr>
                <w:rFonts w:ascii="Times New Roman" w:hAnsi="Times New Roman"/>
                <w:sz w:val="20"/>
              </w:rPr>
            </w:pPr>
            <w:r w:rsidRPr="00091CD1">
              <w:rPr>
                <w:rFonts w:ascii="Times New Roman" w:hAnsi="Times New Roman"/>
                <w:sz w:val="20"/>
              </w:rPr>
              <w:t>18,806</w:t>
            </w:r>
          </w:p>
        </w:tc>
        <w:tc>
          <w:tcPr>
            <w:tcW w:w="693" w:type="pct"/>
            <w:vAlign w:val="center"/>
          </w:tcPr>
          <w:p w:rsidR="00E66C12" w:rsidRPr="00091CD1" w:rsidRDefault="00E66C12" w:rsidP="00E66C12">
            <w:pPr>
              <w:spacing w:before="40" w:after="40"/>
              <w:jc w:val="right"/>
              <w:rPr>
                <w:rFonts w:ascii="Times New Roman" w:hAnsi="Times New Roman"/>
                <w:sz w:val="20"/>
              </w:rPr>
            </w:pPr>
            <w:r w:rsidRPr="00091CD1">
              <w:rPr>
                <w:rFonts w:ascii="Times New Roman" w:hAnsi="Times New Roman"/>
                <w:sz w:val="20"/>
              </w:rPr>
              <w:t>19,055</w:t>
            </w:r>
          </w:p>
        </w:tc>
        <w:tc>
          <w:tcPr>
            <w:tcW w:w="693" w:type="pct"/>
            <w:vAlign w:val="center"/>
          </w:tcPr>
          <w:p w:rsidR="00E66C12" w:rsidRPr="00091CD1" w:rsidRDefault="00E66C12" w:rsidP="00E66C12">
            <w:pPr>
              <w:spacing w:before="40" w:after="40"/>
              <w:jc w:val="right"/>
              <w:rPr>
                <w:rFonts w:ascii="Times New Roman" w:hAnsi="Times New Roman"/>
                <w:sz w:val="20"/>
              </w:rPr>
            </w:pPr>
            <w:r w:rsidRPr="00091CD1">
              <w:rPr>
                <w:rFonts w:ascii="Times New Roman" w:hAnsi="Times New Roman"/>
                <w:sz w:val="20"/>
              </w:rPr>
              <w:t>19,308</w:t>
            </w:r>
          </w:p>
        </w:tc>
      </w:tr>
      <w:tr w:rsidR="00E66C12" w:rsidRPr="00091CD1" w:rsidTr="00E66C12">
        <w:tc>
          <w:tcPr>
            <w:tcW w:w="1534" w:type="pct"/>
          </w:tcPr>
          <w:p w:rsidR="00E66C12" w:rsidRPr="00091CD1" w:rsidRDefault="00E66C12" w:rsidP="00E66C12">
            <w:pPr>
              <w:spacing w:before="40" w:after="40"/>
              <w:ind w:right="-74"/>
              <w:rPr>
                <w:rFonts w:ascii="Times New Roman" w:hAnsi="Times New Roman"/>
                <w:b/>
                <w:sz w:val="20"/>
                <w:vertAlign w:val="superscript"/>
              </w:rPr>
            </w:pPr>
            <w:r w:rsidRPr="00091CD1">
              <w:rPr>
                <w:rFonts w:ascii="Times New Roman" w:hAnsi="Times New Roman"/>
                <w:b/>
                <w:sz w:val="20"/>
              </w:rPr>
              <w:t xml:space="preserve">Total cost to MBS </w:t>
            </w:r>
            <w:r w:rsidRPr="00091CD1">
              <w:rPr>
                <w:rFonts w:ascii="Times New Roman" w:hAnsi="Times New Roman"/>
                <w:b/>
                <w:sz w:val="20"/>
                <w:vertAlign w:val="superscript"/>
              </w:rPr>
              <w:t>b</w:t>
            </w:r>
          </w:p>
        </w:tc>
        <w:tc>
          <w:tcPr>
            <w:tcW w:w="694"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$9,404,001 </w:t>
            </w:r>
          </w:p>
        </w:tc>
        <w:tc>
          <w:tcPr>
            <w:tcW w:w="693"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$9,528,748 </w:t>
            </w:r>
          </w:p>
        </w:tc>
        <w:tc>
          <w:tcPr>
            <w:tcW w:w="693"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$9,655,201 </w:t>
            </w:r>
          </w:p>
        </w:tc>
        <w:tc>
          <w:tcPr>
            <w:tcW w:w="693"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$9,783,386 </w:t>
            </w:r>
          </w:p>
        </w:tc>
        <w:tc>
          <w:tcPr>
            <w:tcW w:w="693"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$9,913,328 </w:t>
            </w:r>
          </w:p>
        </w:tc>
      </w:tr>
      <w:tr w:rsidR="00E66C12" w:rsidRPr="00091CD1" w:rsidTr="00E66C12">
        <w:tc>
          <w:tcPr>
            <w:tcW w:w="1534" w:type="pct"/>
          </w:tcPr>
          <w:p w:rsidR="00E66C12" w:rsidRPr="00091CD1" w:rsidRDefault="00E66C12" w:rsidP="00E66C12">
            <w:pPr>
              <w:spacing w:before="40" w:after="40"/>
              <w:ind w:right="-74"/>
              <w:rPr>
                <w:rFonts w:ascii="Times New Roman" w:hAnsi="Times New Roman"/>
                <w:sz w:val="20"/>
              </w:rPr>
            </w:pPr>
            <w:r w:rsidRPr="00091CD1">
              <w:rPr>
                <w:rFonts w:ascii="Times New Roman" w:hAnsi="Times New Roman"/>
                <w:sz w:val="20"/>
              </w:rPr>
              <w:t>Patient co-payments</w:t>
            </w:r>
          </w:p>
        </w:tc>
        <w:tc>
          <w:tcPr>
            <w:tcW w:w="694"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$1,585,773 </w:t>
            </w:r>
          </w:p>
        </w:tc>
        <w:tc>
          <w:tcPr>
            <w:tcW w:w="693"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$1,606,809 </w:t>
            </w:r>
          </w:p>
        </w:tc>
        <w:tc>
          <w:tcPr>
            <w:tcW w:w="693"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$1,628,132 </w:t>
            </w:r>
          </w:p>
        </w:tc>
        <w:tc>
          <w:tcPr>
            <w:tcW w:w="693"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$1,649,748 </w:t>
            </w:r>
          </w:p>
        </w:tc>
        <w:tc>
          <w:tcPr>
            <w:tcW w:w="693"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$1,671,660 </w:t>
            </w:r>
          </w:p>
        </w:tc>
      </w:tr>
      <w:tr w:rsidR="00E66C12" w:rsidRPr="00091CD1" w:rsidTr="00E66C12">
        <w:tc>
          <w:tcPr>
            <w:tcW w:w="1534" w:type="pct"/>
            <w:tcBorders>
              <w:bottom w:val="single" w:sz="4" w:space="0" w:color="auto"/>
            </w:tcBorders>
          </w:tcPr>
          <w:p w:rsidR="00E66C12" w:rsidRPr="00091CD1" w:rsidRDefault="00E66C12" w:rsidP="00E66C12">
            <w:pPr>
              <w:spacing w:before="40" w:after="40"/>
              <w:ind w:right="-74"/>
              <w:rPr>
                <w:rFonts w:ascii="Times New Roman" w:hAnsi="Times New Roman"/>
                <w:b/>
                <w:sz w:val="20"/>
              </w:rPr>
            </w:pPr>
            <w:r w:rsidRPr="00091CD1">
              <w:rPr>
                <w:rFonts w:ascii="Times New Roman" w:hAnsi="Times New Roman"/>
                <w:b/>
                <w:sz w:val="20"/>
              </w:rPr>
              <w:t>Total cost</w:t>
            </w:r>
          </w:p>
        </w:tc>
        <w:tc>
          <w:tcPr>
            <w:tcW w:w="694"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$10,989,774 </w:t>
            </w:r>
          </w:p>
        </w:tc>
        <w:tc>
          <w:tcPr>
            <w:tcW w:w="693"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$11,135,556 </w:t>
            </w:r>
          </w:p>
        </w:tc>
        <w:tc>
          <w:tcPr>
            <w:tcW w:w="693"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$11,283,334 </w:t>
            </w:r>
          </w:p>
        </w:tc>
        <w:tc>
          <w:tcPr>
            <w:tcW w:w="693"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$11,433,134 </w:t>
            </w:r>
          </w:p>
        </w:tc>
        <w:tc>
          <w:tcPr>
            <w:tcW w:w="693"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$11,584,987 </w:t>
            </w:r>
          </w:p>
        </w:tc>
      </w:tr>
    </w:tbl>
    <w:p w:rsidR="00E66C12" w:rsidRPr="000F499C" w:rsidRDefault="00E66C12" w:rsidP="00E66C12">
      <w:pPr>
        <w:pStyle w:val="Tabletext"/>
        <w:spacing w:after="0"/>
        <w:rPr>
          <w:sz w:val="18"/>
        </w:rPr>
      </w:pPr>
      <w:proofErr w:type="gramStart"/>
      <w:r w:rsidRPr="000F499C">
        <w:rPr>
          <w:sz w:val="18"/>
          <w:vertAlign w:val="superscript"/>
        </w:rPr>
        <w:t>a</w:t>
      </w:r>
      <w:proofErr w:type="gramEnd"/>
      <w:r w:rsidRPr="000F499C">
        <w:rPr>
          <w:sz w:val="18"/>
        </w:rPr>
        <w:t xml:space="preserve"> Difference between regional/remote and metropolitan CTC services</w:t>
      </w:r>
    </w:p>
    <w:p w:rsidR="00E66C12" w:rsidRDefault="00E66C12" w:rsidP="00E66C12">
      <w:pPr>
        <w:pStyle w:val="Tabletext"/>
        <w:spacing w:before="0" w:after="0"/>
        <w:rPr>
          <w:sz w:val="18"/>
        </w:rPr>
      </w:pPr>
      <w:proofErr w:type="gramStart"/>
      <w:r w:rsidRPr="000F499C">
        <w:rPr>
          <w:sz w:val="18"/>
          <w:vertAlign w:val="superscript"/>
        </w:rPr>
        <w:t>b</w:t>
      </w:r>
      <w:proofErr w:type="gramEnd"/>
      <w:r w:rsidRPr="000F499C">
        <w:rPr>
          <w:sz w:val="18"/>
        </w:rPr>
        <w:t xml:space="preserve"> Assumes </w:t>
      </w:r>
      <w:r>
        <w:rPr>
          <w:sz w:val="18"/>
        </w:rPr>
        <w:t xml:space="preserve">that </w:t>
      </w:r>
      <w:r w:rsidRPr="000F499C">
        <w:rPr>
          <w:sz w:val="18"/>
        </w:rPr>
        <w:t>16% of services are performed in-hospital and 84% are out-of-hospital</w:t>
      </w:r>
    </w:p>
    <w:p w:rsidR="00E66C12" w:rsidRPr="00D5584D" w:rsidRDefault="00E66C12" w:rsidP="0004730F">
      <w:pPr>
        <w:pStyle w:val="Tabletext"/>
        <w:spacing w:before="0" w:after="0"/>
        <w:rPr>
          <w:sz w:val="18"/>
          <w:szCs w:val="18"/>
        </w:rPr>
      </w:pPr>
      <w:r w:rsidRPr="00D5584D">
        <w:rPr>
          <w:sz w:val="18"/>
          <w:szCs w:val="18"/>
        </w:rPr>
        <w:t xml:space="preserve">CTC </w:t>
      </w:r>
      <w:r>
        <w:rPr>
          <w:sz w:val="18"/>
          <w:szCs w:val="18"/>
        </w:rPr>
        <w:t>–</w:t>
      </w:r>
      <w:r w:rsidRPr="00D5584D">
        <w:rPr>
          <w:sz w:val="18"/>
          <w:szCs w:val="18"/>
        </w:rPr>
        <w:t xml:space="preserve"> computed tomography </w:t>
      </w:r>
      <w:proofErr w:type="spellStart"/>
      <w:r w:rsidRPr="00D5584D">
        <w:rPr>
          <w:sz w:val="18"/>
          <w:szCs w:val="18"/>
        </w:rPr>
        <w:t>colonography</w:t>
      </w:r>
      <w:proofErr w:type="spellEnd"/>
      <w:r w:rsidRPr="00D5584D">
        <w:rPr>
          <w:sz w:val="18"/>
          <w:szCs w:val="18"/>
        </w:rPr>
        <w:t xml:space="preserve">; </w:t>
      </w:r>
      <w:r>
        <w:rPr>
          <w:sz w:val="18"/>
          <w:szCs w:val="18"/>
        </w:rPr>
        <w:t>MBS – Medicare Benefits Schedule</w:t>
      </w:r>
    </w:p>
    <w:p w:rsidR="001E10C3" w:rsidRDefault="001E10C3" w:rsidP="0004730F">
      <w:pPr>
        <w:tabs>
          <w:tab w:val="left" w:pos="720"/>
        </w:tabs>
        <w:rPr>
          <w:szCs w:val="24"/>
        </w:rPr>
      </w:pPr>
    </w:p>
    <w:p w:rsidR="00E66C12" w:rsidRPr="00091CD1" w:rsidRDefault="001E10C3" w:rsidP="0004730F">
      <w:pPr>
        <w:tabs>
          <w:tab w:val="left" w:pos="720"/>
        </w:tabs>
        <w:rPr>
          <w:szCs w:val="24"/>
        </w:rPr>
      </w:pPr>
      <w:r>
        <w:rPr>
          <w:szCs w:val="24"/>
        </w:rPr>
        <w:t>D</w:t>
      </w:r>
      <w:r w:rsidR="00E66C12" w:rsidRPr="00091CD1">
        <w:rPr>
          <w:szCs w:val="24"/>
        </w:rPr>
        <w:t>ue to the limited data on the number of patients who could meet the eligibility criteria and the loosely defined population, there is potential for use outside the intended purpose.</w:t>
      </w:r>
    </w:p>
    <w:p w:rsidR="001E10C3" w:rsidRDefault="001E10C3" w:rsidP="0004730F"/>
    <w:p w:rsidR="00E66C12" w:rsidRDefault="00E66C12" w:rsidP="0004730F">
      <w:r>
        <w:t>For the proposed additional item for patients with limited access to colonoscopy, the estimated financial impact on the MBS is $9,440,401 in 2015 increasing to $9,913,328 in 2019.</w:t>
      </w:r>
    </w:p>
    <w:p w:rsidR="001E10C3" w:rsidRDefault="001E10C3" w:rsidP="0004730F"/>
    <w:p w:rsidR="00E66C12" w:rsidRDefault="00E66C12" w:rsidP="0004730F">
      <w:r>
        <w:t xml:space="preserve">For the proposed changes to the current CTC listing the table </w:t>
      </w:r>
      <w:r w:rsidR="00CC27CE">
        <w:t xml:space="preserve">below </w:t>
      </w:r>
      <w:r>
        <w:t>shows the estimated financial impact on the MBS</w:t>
      </w:r>
      <w:r w:rsidR="00CC27CE">
        <w:t>.</w:t>
      </w:r>
    </w:p>
    <w:tbl>
      <w:tblPr>
        <w:tblW w:w="9924" w:type="dxa"/>
        <w:tblInd w:w="-318" w:type="dxa"/>
        <w:tblLook w:val="04A0" w:firstRow="1" w:lastRow="0" w:firstColumn="1" w:lastColumn="0" w:noHBand="0" w:noVBand="1"/>
      </w:tblPr>
      <w:tblGrid>
        <w:gridCol w:w="3120"/>
        <w:gridCol w:w="1417"/>
        <w:gridCol w:w="1418"/>
        <w:gridCol w:w="1417"/>
        <w:gridCol w:w="1359"/>
        <w:gridCol w:w="1193"/>
      </w:tblGrid>
      <w:tr w:rsidR="00E66C12" w:rsidRPr="00091CD1" w:rsidTr="00E66C12">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6C12" w:rsidRPr="00091CD1" w:rsidRDefault="00E66C12" w:rsidP="00E66C12">
            <w:pPr>
              <w:jc w:val="center"/>
              <w:rPr>
                <w:color w:val="000000"/>
                <w:sz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66C12" w:rsidRPr="00091CD1" w:rsidRDefault="00E66C12" w:rsidP="00E66C12">
            <w:pPr>
              <w:jc w:val="center"/>
              <w:rPr>
                <w:b/>
                <w:color w:val="000000"/>
                <w:sz w:val="20"/>
              </w:rPr>
            </w:pPr>
            <w:r w:rsidRPr="00091CD1">
              <w:rPr>
                <w:b/>
                <w:color w:val="000000"/>
                <w:sz w:val="20"/>
              </w:rPr>
              <w:t>2014-15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6C12" w:rsidRPr="00091CD1" w:rsidRDefault="00E66C12" w:rsidP="00E66C12">
            <w:pPr>
              <w:jc w:val="center"/>
              <w:rPr>
                <w:b/>
                <w:color w:val="000000"/>
                <w:sz w:val="20"/>
              </w:rPr>
            </w:pPr>
            <w:r w:rsidRPr="00091CD1">
              <w:rPr>
                <w:b/>
                <w:color w:val="000000"/>
                <w:sz w:val="20"/>
              </w:rPr>
              <w:t>2015-16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66C12" w:rsidRPr="00091CD1" w:rsidRDefault="00E66C12" w:rsidP="00E66C12">
            <w:pPr>
              <w:jc w:val="center"/>
              <w:rPr>
                <w:b/>
                <w:color w:val="000000"/>
                <w:sz w:val="20"/>
              </w:rPr>
            </w:pPr>
            <w:r w:rsidRPr="00091CD1">
              <w:rPr>
                <w:b/>
                <w:color w:val="000000"/>
                <w:sz w:val="20"/>
              </w:rPr>
              <w:t>2016-17</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E66C12" w:rsidRPr="00091CD1" w:rsidRDefault="00E66C12" w:rsidP="00E66C12">
            <w:pPr>
              <w:jc w:val="center"/>
              <w:rPr>
                <w:b/>
                <w:color w:val="000000"/>
                <w:sz w:val="20"/>
              </w:rPr>
            </w:pPr>
            <w:r w:rsidRPr="00091CD1">
              <w:rPr>
                <w:b/>
                <w:color w:val="000000"/>
                <w:sz w:val="20"/>
              </w:rPr>
              <w:t>2017-18</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E66C12" w:rsidRPr="00091CD1" w:rsidRDefault="00E66C12" w:rsidP="00E66C12">
            <w:pPr>
              <w:jc w:val="center"/>
              <w:rPr>
                <w:b/>
                <w:color w:val="000000"/>
                <w:sz w:val="20"/>
              </w:rPr>
            </w:pPr>
            <w:r w:rsidRPr="00091CD1">
              <w:rPr>
                <w:b/>
                <w:color w:val="000000"/>
                <w:sz w:val="20"/>
              </w:rPr>
              <w:t>2018-19</w:t>
            </w:r>
          </w:p>
        </w:tc>
      </w:tr>
      <w:tr w:rsidR="00E66C12" w:rsidRPr="00091CD1" w:rsidTr="00E66C12">
        <w:trPr>
          <w:trHeight w:val="77"/>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66C12" w:rsidRPr="00091CD1" w:rsidRDefault="00E66C12" w:rsidP="00E66C12">
            <w:pPr>
              <w:rPr>
                <w:color w:val="000000"/>
                <w:sz w:val="20"/>
              </w:rPr>
            </w:pPr>
            <w:r w:rsidRPr="00091CD1">
              <w:rPr>
                <w:color w:val="000000"/>
                <w:sz w:val="20"/>
              </w:rPr>
              <w:t xml:space="preserve">Total number of services per year </w:t>
            </w:r>
            <w:r w:rsidRPr="00091CD1">
              <w:rPr>
                <w:color w:val="000000"/>
                <w:sz w:val="20"/>
                <w:vertAlign w:val="superscript"/>
              </w:rPr>
              <w:t>a</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jc w:val="right"/>
              <w:rPr>
                <w:color w:val="000000"/>
                <w:sz w:val="20"/>
              </w:rPr>
            </w:pPr>
            <w:r w:rsidRPr="00091CD1">
              <w:rPr>
                <w:color w:val="000000"/>
                <w:sz w:val="20"/>
              </w:rPr>
              <w:t>4893</w:t>
            </w:r>
          </w:p>
        </w:tc>
        <w:tc>
          <w:tcPr>
            <w:tcW w:w="1418"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jc w:val="right"/>
              <w:rPr>
                <w:color w:val="000000"/>
                <w:sz w:val="20"/>
              </w:rPr>
            </w:pPr>
            <w:r w:rsidRPr="00091CD1">
              <w:rPr>
                <w:color w:val="000000"/>
                <w:sz w:val="20"/>
              </w:rPr>
              <w:t>4351</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jc w:val="right"/>
              <w:rPr>
                <w:color w:val="000000"/>
                <w:sz w:val="20"/>
              </w:rPr>
            </w:pPr>
            <w:r w:rsidRPr="00091CD1">
              <w:rPr>
                <w:color w:val="000000"/>
                <w:sz w:val="20"/>
              </w:rPr>
              <w:t>3866</w:t>
            </w:r>
          </w:p>
        </w:tc>
        <w:tc>
          <w:tcPr>
            <w:tcW w:w="1359"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jc w:val="right"/>
              <w:rPr>
                <w:color w:val="000000"/>
                <w:sz w:val="20"/>
              </w:rPr>
            </w:pPr>
            <w:r w:rsidRPr="00091CD1">
              <w:rPr>
                <w:color w:val="000000"/>
                <w:sz w:val="20"/>
              </w:rPr>
              <w:t>3427</w:t>
            </w:r>
          </w:p>
        </w:tc>
        <w:tc>
          <w:tcPr>
            <w:tcW w:w="1193"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jc w:val="right"/>
              <w:rPr>
                <w:color w:val="000000"/>
                <w:sz w:val="20"/>
              </w:rPr>
            </w:pPr>
            <w:r w:rsidRPr="00091CD1">
              <w:rPr>
                <w:color w:val="000000"/>
                <w:sz w:val="20"/>
              </w:rPr>
              <w:t>3026</w:t>
            </w:r>
          </w:p>
        </w:tc>
      </w:tr>
      <w:tr w:rsidR="00E66C12" w:rsidRPr="00091CD1" w:rsidTr="00E66C12">
        <w:trPr>
          <w:trHeight w:val="300"/>
        </w:trPr>
        <w:tc>
          <w:tcPr>
            <w:tcW w:w="99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C12" w:rsidRPr="00091CD1" w:rsidRDefault="00E66C12" w:rsidP="00E66C12">
            <w:pPr>
              <w:rPr>
                <w:b/>
                <w:bCs/>
                <w:color w:val="000000"/>
                <w:sz w:val="20"/>
              </w:rPr>
            </w:pPr>
            <w:r w:rsidRPr="00091CD1">
              <w:rPr>
                <w:b/>
                <w:bCs/>
                <w:color w:val="000000"/>
                <w:sz w:val="20"/>
              </w:rPr>
              <w:t>Cost to MBS</w:t>
            </w:r>
          </w:p>
        </w:tc>
      </w:tr>
      <w:tr w:rsidR="00E66C12" w:rsidRPr="00091CD1" w:rsidTr="00E66C12">
        <w:trPr>
          <w:trHeight w:val="300"/>
        </w:trPr>
        <w:tc>
          <w:tcPr>
            <w:tcW w:w="99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C12" w:rsidRPr="00091CD1" w:rsidRDefault="00E66C12" w:rsidP="00E66C12">
            <w:pPr>
              <w:rPr>
                <w:i/>
                <w:iCs/>
                <w:color w:val="000000"/>
                <w:sz w:val="20"/>
              </w:rPr>
            </w:pPr>
            <w:r w:rsidRPr="00091CD1">
              <w:rPr>
                <w:i/>
                <w:iCs/>
                <w:color w:val="000000"/>
                <w:sz w:val="20"/>
              </w:rPr>
              <w:t>Excluding safety net impacts:</w:t>
            </w:r>
          </w:p>
        </w:tc>
      </w:tr>
      <w:tr w:rsidR="00E66C12" w:rsidRPr="00091CD1" w:rsidTr="00E66C12">
        <w:trPr>
          <w:trHeight w:val="30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66C12" w:rsidRPr="00091CD1" w:rsidRDefault="00E66C12" w:rsidP="00E66C12">
            <w:pPr>
              <w:rPr>
                <w:color w:val="000000"/>
                <w:sz w:val="20"/>
              </w:rPr>
            </w:pPr>
            <w:r w:rsidRPr="00091CD1">
              <w:rPr>
                <w:color w:val="000000"/>
                <w:sz w:val="20"/>
              </w:rPr>
              <w:t>Cost of CTC</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$2,512,266 </w:t>
            </w:r>
          </w:p>
        </w:tc>
        <w:tc>
          <w:tcPr>
            <w:tcW w:w="1418"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$2,233,790 </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$1,984,685 </w:t>
            </w:r>
          </w:p>
        </w:tc>
        <w:tc>
          <w:tcPr>
            <w:tcW w:w="1359"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$1,759,342 </w:t>
            </w:r>
          </w:p>
        </w:tc>
        <w:tc>
          <w:tcPr>
            <w:tcW w:w="1193"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$1,553,620 </w:t>
            </w:r>
          </w:p>
        </w:tc>
      </w:tr>
      <w:tr w:rsidR="00E66C12" w:rsidRPr="00091CD1" w:rsidTr="00E66C12">
        <w:trPr>
          <w:trHeight w:val="335"/>
        </w:trPr>
        <w:tc>
          <w:tcPr>
            <w:tcW w:w="3120" w:type="dxa"/>
            <w:tcBorders>
              <w:top w:val="nil"/>
              <w:left w:val="single" w:sz="4" w:space="0" w:color="auto"/>
              <w:bottom w:val="double" w:sz="6" w:space="0" w:color="auto"/>
              <w:right w:val="single" w:sz="4" w:space="0" w:color="auto"/>
            </w:tcBorders>
            <w:shd w:val="clear" w:color="auto" w:fill="auto"/>
            <w:vAlign w:val="bottom"/>
            <w:hideMark/>
          </w:tcPr>
          <w:p w:rsidR="00E66C12" w:rsidRPr="00091CD1" w:rsidRDefault="00E66C12" w:rsidP="00E66C12">
            <w:pPr>
              <w:rPr>
                <w:color w:val="000000"/>
                <w:sz w:val="20"/>
              </w:rPr>
            </w:pPr>
            <w:r w:rsidRPr="00091CD1">
              <w:rPr>
                <w:color w:val="000000"/>
                <w:sz w:val="20"/>
              </w:rPr>
              <w:t>Less cost of substituted DCBE</w:t>
            </w:r>
          </w:p>
        </w:tc>
        <w:tc>
          <w:tcPr>
            <w:tcW w:w="1417" w:type="dxa"/>
            <w:tcBorders>
              <w:top w:val="nil"/>
              <w:left w:val="nil"/>
              <w:bottom w:val="double" w:sz="6"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-$556,643 </w:t>
            </w:r>
          </w:p>
        </w:tc>
        <w:tc>
          <w:tcPr>
            <w:tcW w:w="1418" w:type="dxa"/>
            <w:tcBorders>
              <w:top w:val="nil"/>
              <w:left w:val="nil"/>
              <w:bottom w:val="double" w:sz="6"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-$494,941 </w:t>
            </w:r>
          </w:p>
        </w:tc>
        <w:tc>
          <w:tcPr>
            <w:tcW w:w="1417" w:type="dxa"/>
            <w:tcBorders>
              <w:top w:val="nil"/>
              <w:left w:val="nil"/>
              <w:bottom w:val="double" w:sz="6"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-$439,747 </w:t>
            </w:r>
          </w:p>
        </w:tc>
        <w:tc>
          <w:tcPr>
            <w:tcW w:w="1359" w:type="dxa"/>
            <w:tcBorders>
              <w:top w:val="nil"/>
              <w:left w:val="nil"/>
              <w:bottom w:val="double" w:sz="6"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-$389,818 </w:t>
            </w:r>
          </w:p>
        </w:tc>
        <w:tc>
          <w:tcPr>
            <w:tcW w:w="1193" w:type="dxa"/>
            <w:tcBorders>
              <w:top w:val="nil"/>
              <w:left w:val="nil"/>
              <w:bottom w:val="double" w:sz="6"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-$344,236 </w:t>
            </w:r>
          </w:p>
        </w:tc>
      </w:tr>
      <w:tr w:rsidR="00E66C12" w:rsidRPr="00091CD1" w:rsidTr="00E66C12">
        <w:trPr>
          <w:trHeight w:val="31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66C12" w:rsidRPr="00091CD1" w:rsidRDefault="00E66C12" w:rsidP="00E66C12">
            <w:pPr>
              <w:rPr>
                <w:color w:val="000000"/>
                <w:sz w:val="20"/>
              </w:rPr>
            </w:pPr>
            <w:r w:rsidRPr="00091CD1">
              <w:rPr>
                <w:color w:val="000000"/>
                <w:sz w:val="20"/>
              </w:rPr>
              <w:t>Net cost to MBS</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$1,955,623 </w:t>
            </w:r>
          </w:p>
        </w:tc>
        <w:tc>
          <w:tcPr>
            <w:tcW w:w="1418"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$1,738,849 </w:t>
            </w:r>
          </w:p>
        </w:tc>
        <w:tc>
          <w:tcPr>
            <w:tcW w:w="1417"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$1,544,938 </w:t>
            </w:r>
          </w:p>
        </w:tc>
        <w:tc>
          <w:tcPr>
            <w:tcW w:w="1359"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 $1,369,524 </w:t>
            </w:r>
          </w:p>
        </w:tc>
        <w:tc>
          <w:tcPr>
            <w:tcW w:w="1193" w:type="dxa"/>
            <w:tcBorders>
              <w:top w:val="nil"/>
              <w:left w:val="nil"/>
              <w:bottom w:val="single" w:sz="4" w:space="0" w:color="auto"/>
              <w:right w:val="single" w:sz="4" w:space="0" w:color="auto"/>
            </w:tcBorders>
            <w:shd w:val="clear" w:color="auto" w:fill="auto"/>
            <w:noWrap/>
            <w:vAlign w:val="bottom"/>
            <w:hideMark/>
          </w:tcPr>
          <w:p w:rsidR="00E66C12" w:rsidRPr="00091CD1" w:rsidRDefault="00E66C12" w:rsidP="00E66C12">
            <w:pPr>
              <w:rPr>
                <w:color w:val="000000"/>
                <w:sz w:val="20"/>
              </w:rPr>
            </w:pPr>
            <w:r w:rsidRPr="00091CD1">
              <w:rPr>
                <w:color w:val="000000"/>
                <w:sz w:val="20"/>
              </w:rPr>
              <w:t xml:space="preserve">$1,209,384 </w:t>
            </w:r>
          </w:p>
        </w:tc>
      </w:tr>
    </w:tbl>
    <w:p w:rsidR="00E66C12" w:rsidRDefault="00E66C12" w:rsidP="00E66C12">
      <w:pPr>
        <w:spacing w:after="120"/>
        <w:rPr>
          <w:sz w:val="20"/>
        </w:rPr>
      </w:pPr>
      <w:proofErr w:type="gramStart"/>
      <w:r w:rsidRPr="00E00531">
        <w:rPr>
          <w:sz w:val="20"/>
          <w:vertAlign w:val="superscript"/>
        </w:rPr>
        <w:t>a</w:t>
      </w:r>
      <w:proofErr w:type="gramEnd"/>
      <w:r w:rsidRPr="00E00531">
        <w:rPr>
          <w:sz w:val="20"/>
          <w:vertAlign w:val="superscript"/>
        </w:rPr>
        <w:t xml:space="preserve"> </w:t>
      </w:r>
      <w:r w:rsidRPr="00E00531">
        <w:rPr>
          <w:sz w:val="20"/>
        </w:rPr>
        <w:t>Projected value based on existing</w:t>
      </w:r>
      <w:r>
        <w:rPr>
          <w:sz w:val="20"/>
        </w:rPr>
        <w:t xml:space="preserve"> Medicare data reports for DCBE</w:t>
      </w:r>
      <w:r w:rsidRPr="00E00531">
        <w:rPr>
          <w:sz w:val="20"/>
        </w:rPr>
        <w:t xml:space="preserve"> over the past 6 financial year, showing annual decline in use of services. </w:t>
      </w:r>
    </w:p>
    <w:p w:rsidR="00E66C12" w:rsidRPr="00DA35C8" w:rsidRDefault="00E66C12" w:rsidP="0004730F">
      <w:pPr>
        <w:rPr>
          <w:sz w:val="20"/>
        </w:rPr>
      </w:pPr>
      <w:r>
        <w:lastRenderedPageBreak/>
        <w:t>For the proposed changes to the current MBS items 56552 and 56554 the estimated financial impact on the MBS is $1,955,623 in 2014-15 decreasing to $1,209,384 in 2018-19.</w:t>
      </w:r>
    </w:p>
    <w:p w:rsidR="00CC27CE" w:rsidRDefault="00CC27CE" w:rsidP="0004730F">
      <w:pPr>
        <w:tabs>
          <w:tab w:val="left" w:pos="720"/>
        </w:tabs>
        <w:rPr>
          <w:szCs w:val="24"/>
        </w:rPr>
      </w:pPr>
    </w:p>
    <w:p w:rsidR="00E66C12" w:rsidRDefault="00E66C12" w:rsidP="0004730F">
      <w:pPr>
        <w:tabs>
          <w:tab w:val="left" w:pos="720"/>
        </w:tabs>
        <w:rPr>
          <w:szCs w:val="24"/>
        </w:rPr>
      </w:pPr>
      <w:r>
        <w:rPr>
          <w:szCs w:val="24"/>
        </w:rPr>
        <w:t>For the proposed changes to the current MBS items 56552 and 56554, the table below shows the estimated net costs to the MBS, associated with changes in the use of CTC and DCBE.</w:t>
      </w:r>
    </w:p>
    <w:p w:rsidR="00CC27CE" w:rsidRDefault="00CC27CE" w:rsidP="0004730F">
      <w:pPr>
        <w:tabs>
          <w:tab w:val="left" w:pos="720"/>
        </w:tabs>
        <w:rPr>
          <w:szCs w:val="24"/>
        </w:rPr>
      </w:pPr>
    </w:p>
    <w:tbl>
      <w:tblPr>
        <w:tblW w:w="51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235"/>
        <w:gridCol w:w="1237"/>
        <w:gridCol w:w="1237"/>
        <w:gridCol w:w="1237"/>
        <w:gridCol w:w="1243"/>
      </w:tblGrid>
      <w:tr w:rsidR="00E66C12" w:rsidRPr="00091CD1" w:rsidTr="00E66C12">
        <w:trPr>
          <w:tblHeader/>
        </w:trPr>
        <w:tc>
          <w:tcPr>
            <w:tcW w:w="1763" w:type="pct"/>
            <w:shd w:val="clear" w:color="auto" w:fill="auto"/>
          </w:tcPr>
          <w:p w:rsidR="00E66C12" w:rsidRPr="00091CD1" w:rsidRDefault="00E66C12" w:rsidP="00E66C12">
            <w:pPr>
              <w:pStyle w:val="TableHeading"/>
              <w:rPr>
                <w:rFonts w:ascii="Times New Roman" w:hAnsi="Times New Roman" w:cs="Times New Roman"/>
              </w:rPr>
            </w:pPr>
            <w:r w:rsidRPr="00091CD1">
              <w:rPr>
                <w:rFonts w:ascii="Times New Roman" w:hAnsi="Times New Roman" w:cs="Times New Roman"/>
                <w:color w:val="FFFFFF" w:themeColor="background1"/>
              </w:rPr>
              <w:t>-</w:t>
            </w:r>
          </w:p>
        </w:tc>
        <w:tc>
          <w:tcPr>
            <w:tcW w:w="646" w:type="pct"/>
          </w:tcPr>
          <w:p w:rsidR="00E66C12" w:rsidRPr="00091CD1" w:rsidRDefault="00E66C12" w:rsidP="00E66C12">
            <w:pPr>
              <w:pStyle w:val="TableHeading"/>
              <w:jc w:val="center"/>
              <w:rPr>
                <w:rFonts w:ascii="Times New Roman" w:hAnsi="Times New Roman" w:cs="Times New Roman"/>
              </w:rPr>
            </w:pPr>
            <w:r w:rsidRPr="00091CD1">
              <w:rPr>
                <w:rFonts w:ascii="Times New Roman" w:hAnsi="Times New Roman" w:cs="Times New Roman"/>
              </w:rPr>
              <w:t>2014–15</w:t>
            </w:r>
          </w:p>
        </w:tc>
        <w:tc>
          <w:tcPr>
            <w:tcW w:w="647" w:type="pct"/>
            <w:shd w:val="clear" w:color="auto" w:fill="auto"/>
            <w:vAlign w:val="bottom"/>
          </w:tcPr>
          <w:p w:rsidR="00E66C12" w:rsidRPr="00091CD1" w:rsidRDefault="00E66C12" w:rsidP="00E66C12">
            <w:pPr>
              <w:pStyle w:val="TableHeading"/>
              <w:jc w:val="center"/>
              <w:rPr>
                <w:rFonts w:ascii="Times New Roman" w:hAnsi="Times New Roman" w:cs="Times New Roman"/>
              </w:rPr>
            </w:pPr>
            <w:r w:rsidRPr="00091CD1">
              <w:rPr>
                <w:rFonts w:ascii="Times New Roman" w:hAnsi="Times New Roman" w:cs="Times New Roman"/>
              </w:rPr>
              <w:t>2015–16</w:t>
            </w:r>
          </w:p>
        </w:tc>
        <w:tc>
          <w:tcPr>
            <w:tcW w:w="647" w:type="pct"/>
            <w:shd w:val="clear" w:color="auto" w:fill="auto"/>
            <w:vAlign w:val="bottom"/>
          </w:tcPr>
          <w:p w:rsidR="00E66C12" w:rsidRPr="00091CD1" w:rsidRDefault="00E66C12" w:rsidP="00E66C12">
            <w:pPr>
              <w:pStyle w:val="TableHeading"/>
              <w:jc w:val="center"/>
              <w:rPr>
                <w:rFonts w:ascii="Times New Roman" w:hAnsi="Times New Roman" w:cs="Times New Roman"/>
              </w:rPr>
            </w:pPr>
            <w:r w:rsidRPr="00091CD1">
              <w:rPr>
                <w:rFonts w:ascii="Times New Roman" w:hAnsi="Times New Roman" w:cs="Times New Roman"/>
              </w:rPr>
              <w:t>2016–17</w:t>
            </w:r>
          </w:p>
        </w:tc>
        <w:tc>
          <w:tcPr>
            <w:tcW w:w="647" w:type="pct"/>
            <w:shd w:val="clear" w:color="auto" w:fill="auto"/>
            <w:vAlign w:val="bottom"/>
          </w:tcPr>
          <w:p w:rsidR="00E66C12" w:rsidRPr="00091CD1" w:rsidRDefault="00E66C12" w:rsidP="00E66C12">
            <w:pPr>
              <w:pStyle w:val="TableHeading"/>
              <w:jc w:val="center"/>
              <w:rPr>
                <w:rFonts w:ascii="Times New Roman" w:hAnsi="Times New Roman" w:cs="Times New Roman"/>
              </w:rPr>
            </w:pPr>
            <w:r w:rsidRPr="00091CD1">
              <w:rPr>
                <w:rFonts w:ascii="Times New Roman" w:hAnsi="Times New Roman" w:cs="Times New Roman"/>
              </w:rPr>
              <w:t>2017–18</w:t>
            </w:r>
          </w:p>
        </w:tc>
        <w:tc>
          <w:tcPr>
            <w:tcW w:w="650" w:type="pct"/>
            <w:shd w:val="clear" w:color="auto" w:fill="auto"/>
            <w:vAlign w:val="bottom"/>
          </w:tcPr>
          <w:p w:rsidR="00E66C12" w:rsidRPr="00091CD1" w:rsidRDefault="00E66C12" w:rsidP="00E66C12">
            <w:pPr>
              <w:pStyle w:val="TableHeading"/>
              <w:jc w:val="center"/>
              <w:rPr>
                <w:rFonts w:ascii="Times New Roman" w:hAnsi="Times New Roman" w:cs="Times New Roman"/>
              </w:rPr>
            </w:pPr>
            <w:r w:rsidRPr="00091CD1">
              <w:rPr>
                <w:rFonts w:ascii="Times New Roman" w:hAnsi="Times New Roman" w:cs="Times New Roman"/>
              </w:rPr>
              <w:t>2018–19</w:t>
            </w:r>
          </w:p>
        </w:tc>
      </w:tr>
      <w:tr w:rsidR="00E66C12" w:rsidRPr="00091CD1" w:rsidTr="00E66C12">
        <w:tc>
          <w:tcPr>
            <w:tcW w:w="1763" w:type="pct"/>
            <w:tcBorders>
              <w:bottom w:val="single" w:sz="4" w:space="0" w:color="auto"/>
            </w:tcBorders>
            <w:shd w:val="clear" w:color="auto" w:fill="auto"/>
            <w:vAlign w:val="bottom"/>
          </w:tcPr>
          <w:p w:rsidR="00E66C12" w:rsidRPr="00091CD1" w:rsidRDefault="00E66C12" w:rsidP="00E66C12">
            <w:pPr>
              <w:pStyle w:val="Tabletext"/>
              <w:rPr>
                <w:rFonts w:ascii="Times New Roman" w:hAnsi="Times New Roman" w:cs="Times New Roman"/>
              </w:rPr>
            </w:pPr>
            <w:r w:rsidRPr="00091CD1">
              <w:rPr>
                <w:rFonts w:ascii="Times New Roman" w:hAnsi="Times New Roman" w:cs="Times New Roman"/>
              </w:rPr>
              <w:t>Total number of services per year</w:t>
            </w:r>
          </w:p>
        </w:tc>
        <w:tc>
          <w:tcPr>
            <w:tcW w:w="646"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4,893</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4,351</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3,866</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3,427</w:t>
            </w:r>
          </w:p>
        </w:tc>
        <w:tc>
          <w:tcPr>
            <w:tcW w:w="650"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3,026</w:t>
            </w:r>
          </w:p>
        </w:tc>
      </w:tr>
      <w:tr w:rsidR="00E66C12" w:rsidRPr="00091CD1" w:rsidTr="00E66C12">
        <w:tc>
          <w:tcPr>
            <w:tcW w:w="1763" w:type="pct"/>
            <w:tcBorders>
              <w:right w:val="nil"/>
            </w:tcBorders>
            <w:shd w:val="clear" w:color="auto" w:fill="auto"/>
            <w:vAlign w:val="bottom"/>
          </w:tcPr>
          <w:p w:rsidR="00E66C12" w:rsidRPr="00091CD1" w:rsidRDefault="00E66C12" w:rsidP="00E66C12">
            <w:pPr>
              <w:pStyle w:val="Tabletext"/>
              <w:rPr>
                <w:rFonts w:ascii="Times New Roman" w:hAnsi="Times New Roman" w:cs="Times New Roman"/>
              </w:rPr>
            </w:pPr>
            <w:r w:rsidRPr="00091CD1">
              <w:rPr>
                <w:rFonts w:ascii="Times New Roman" w:hAnsi="Times New Roman" w:cs="Times New Roman"/>
                <w:i/>
              </w:rPr>
              <w:t>Cost (excluding safety net impacts):</w:t>
            </w:r>
          </w:p>
        </w:tc>
        <w:tc>
          <w:tcPr>
            <w:tcW w:w="646" w:type="pct"/>
            <w:tcBorders>
              <w:left w:val="nil"/>
              <w:right w:val="nil"/>
            </w:tcBorders>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50" w:type="pct"/>
            <w:tcBorders>
              <w:lef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r>
      <w:tr w:rsidR="00E66C12" w:rsidRPr="00091CD1" w:rsidTr="00E66C12">
        <w:tc>
          <w:tcPr>
            <w:tcW w:w="1763" w:type="pct"/>
            <w:shd w:val="clear" w:color="auto" w:fill="auto"/>
            <w:vAlign w:val="bottom"/>
          </w:tcPr>
          <w:p w:rsidR="00E66C12" w:rsidRPr="00091CD1" w:rsidRDefault="00E66C12" w:rsidP="00E66C12">
            <w:pPr>
              <w:pStyle w:val="Tabletext"/>
              <w:ind w:left="142"/>
              <w:rPr>
                <w:rFonts w:ascii="Times New Roman" w:hAnsi="Times New Roman" w:cs="Times New Roman"/>
              </w:rPr>
            </w:pPr>
            <w:r w:rsidRPr="00091CD1">
              <w:rPr>
                <w:rFonts w:ascii="Times New Roman" w:hAnsi="Times New Roman" w:cs="Times New Roman"/>
              </w:rPr>
              <w:t>Cost of CTC</w:t>
            </w:r>
          </w:p>
        </w:tc>
        <w:tc>
          <w:tcPr>
            <w:tcW w:w="646"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$2,512,266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$2,233,790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$1,984,685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$1,759,342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$1,553,620 </w:t>
            </w:r>
          </w:p>
        </w:tc>
      </w:tr>
      <w:tr w:rsidR="00E66C12" w:rsidRPr="00091CD1" w:rsidTr="00E66C12">
        <w:tc>
          <w:tcPr>
            <w:tcW w:w="1763" w:type="pct"/>
            <w:shd w:val="clear" w:color="auto" w:fill="auto"/>
            <w:vAlign w:val="bottom"/>
          </w:tcPr>
          <w:p w:rsidR="00E66C12" w:rsidRPr="00091CD1" w:rsidRDefault="00E66C12" w:rsidP="00E66C12">
            <w:pPr>
              <w:pStyle w:val="Tabletext"/>
              <w:ind w:left="142"/>
              <w:rPr>
                <w:rFonts w:ascii="Times New Roman" w:hAnsi="Times New Roman" w:cs="Times New Roman"/>
              </w:rPr>
            </w:pPr>
            <w:r w:rsidRPr="00091CD1">
              <w:rPr>
                <w:rFonts w:ascii="Times New Roman" w:hAnsi="Times New Roman" w:cs="Times New Roman"/>
              </w:rPr>
              <w:t xml:space="preserve">Cost offset from DCBE </w:t>
            </w:r>
          </w:p>
        </w:tc>
        <w:tc>
          <w:tcPr>
            <w:tcW w:w="646"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$556,643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$494,941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$439,747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$389,818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$344,236 </w:t>
            </w:r>
          </w:p>
        </w:tc>
      </w:tr>
      <w:tr w:rsidR="00E66C12" w:rsidRPr="00091CD1" w:rsidTr="00E66C12">
        <w:tc>
          <w:tcPr>
            <w:tcW w:w="1763" w:type="pct"/>
            <w:tcBorders>
              <w:bottom w:val="single" w:sz="4" w:space="0" w:color="auto"/>
            </w:tcBorders>
            <w:shd w:val="clear" w:color="auto" w:fill="auto"/>
            <w:vAlign w:val="bottom"/>
          </w:tcPr>
          <w:p w:rsidR="00E66C12" w:rsidRPr="00091CD1" w:rsidRDefault="00E66C12" w:rsidP="00E66C12">
            <w:pPr>
              <w:pStyle w:val="Tabletext"/>
              <w:rPr>
                <w:rFonts w:ascii="Times New Roman" w:hAnsi="Times New Roman" w:cs="Times New Roman"/>
                <w:b/>
              </w:rPr>
            </w:pPr>
            <w:r w:rsidRPr="00091CD1">
              <w:rPr>
                <w:rFonts w:ascii="Times New Roman" w:hAnsi="Times New Roman" w:cs="Times New Roman"/>
                <w:b/>
              </w:rPr>
              <w:t>Net cost</w:t>
            </w:r>
          </w:p>
        </w:tc>
        <w:tc>
          <w:tcPr>
            <w:tcW w:w="646" w:type="pct"/>
            <w:tcBorders>
              <w:bottom w:val="single" w:sz="4" w:space="0" w:color="auto"/>
            </w:tcBorders>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$1,955,623 </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$1,738,849 </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$1,544,938 </w:t>
            </w:r>
          </w:p>
        </w:tc>
        <w:tc>
          <w:tcPr>
            <w:tcW w:w="647"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$1,369,524 </w:t>
            </w:r>
          </w:p>
        </w:tc>
        <w:tc>
          <w:tcPr>
            <w:tcW w:w="650" w:type="pct"/>
            <w:tcBorders>
              <w:bottom w:val="single" w:sz="4" w:space="0" w:color="auto"/>
            </w:tcBorders>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$1,209,384 </w:t>
            </w:r>
          </w:p>
        </w:tc>
      </w:tr>
      <w:tr w:rsidR="00E66C12" w:rsidRPr="00091CD1" w:rsidTr="00E66C12">
        <w:tc>
          <w:tcPr>
            <w:tcW w:w="1763" w:type="pct"/>
            <w:tcBorders>
              <w:right w:val="nil"/>
            </w:tcBorders>
            <w:shd w:val="clear" w:color="auto" w:fill="auto"/>
            <w:vAlign w:val="bottom"/>
          </w:tcPr>
          <w:p w:rsidR="00E66C12" w:rsidRPr="00091CD1" w:rsidRDefault="00E66C12" w:rsidP="00E66C12">
            <w:pPr>
              <w:pStyle w:val="Tabletext"/>
              <w:rPr>
                <w:rFonts w:ascii="Times New Roman" w:hAnsi="Times New Roman" w:cs="Times New Roman"/>
              </w:rPr>
            </w:pPr>
            <w:r w:rsidRPr="00091CD1">
              <w:rPr>
                <w:rFonts w:ascii="Times New Roman" w:hAnsi="Times New Roman" w:cs="Times New Roman"/>
                <w:i/>
              </w:rPr>
              <w:t>Cost (including safety net impacts):</w:t>
            </w:r>
          </w:p>
        </w:tc>
        <w:tc>
          <w:tcPr>
            <w:tcW w:w="646" w:type="pct"/>
            <w:tcBorders>
              <w:left w:val="nil"/>
              <w:right w:val="nil"/>
            </w:tcBorders>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47" w:type="pct"/>
            <w:tcBorders>
              <w:left w:val="nil"/>
              <w:righ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c>
          <w:tcPr>
            <w:tcW w:w="650" w:type="pct"/>
            <w:tcBorders>
              <w:left w:val="nil"/>
            </w:tcBorders>
            <w:shd w:val="clear" w:color="auto" w:fill="auto"/>
            <w:vAlign w:val="bottom"/>
          </w:tcPr>
          <w:p w:rsidR="00E66C12" w:rsidRPr="00091CD1" w:rsidRDefault="00E66C12" w:rsidP="00E66C12">
            <w:pPr>
              <w:pStyle w:val="Tabletext"/>
              <w:jc w:val="right"/>
              <w:rPr>
                <w:rFonts w:ascii="Times New Roman" w:hAnsi="Times New Roman" w:cs="Times New Roman"/>
                <w:color w:val="FFFFFF" w:themeColor="background1"/>
              </w:rPr>
            </w:pPr>
            <w:r w:rsidRPr="00091CD1">
              <w:rPr>
                <w:rFonts w:ascii="Times New Roman" w:hAnsi="Times New Roman" w:cs="Times New Roman"/>
                <w:color w:val="FFFFFF" w:themeColor="background1"/>
              </w:rPr>
              <w:t>-</w:t>
            </w:r>
          </w:p>
        </w:tc>
      </w:tr>
      <w:tr w:rsidR="00E66C12" w:rsidRPr="00091CD1" w:rsidTr="00E66C12">
        <w:tc>
          <w:tcPr>
            <w:tcW w:w="1763" w:type="pct"/>
            <w:shd w:val="clear" w:color="auto" w:fill="auto"/>
            <w:vAlign w:val="bottom"/>
          </w:tcPr>
          <w:p w:rsidR="00E66C12" w:rsidRPr="00091CD1" w:rsidRDefault="00E66C12" w:rsidP="00E66C12">
            <w:pPr>
              <w:pStyle w:val="Tabletext"/>
              <w:ind w:left="142"/>
              <w:rPr>
                <w:rFonts w:ascii="Times New Roman" w:hAnsi="Times New Roman" w:cs="Times New Roman"/>
              </w:rPr>
            </w:pPr>
            <w:r w:rsidRPr="00091CD1">
              <w:rPr>
                <w:rFonts w:ascii="Times New Roman" w:hAnsi="Times New Roman" w:cs="Times New Roman"/>
              </w:rPr>
              <w:t>Cost of CTC</w:t>
            </w:r>
          </w:p>
        </w:tc>
        <w:tc>
          <w:tcPr>
            <w:tcW w:w="646"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$2,667,945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$2,372,213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$2,107,671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$1,868,364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$1,649,894 </w:t>
            </w:r>
          </w:p>
        </w:tc>
      </w:tr>
      <w:tr w:rsidR="00E66C12" w:rsidRPr="00091CD1" w:rsidTr="00E66C12">
        <w:tc>
          <w:tcPr>
            <w:tcW w:w="1763" w:type="pct"/>
            <w:shd w:val="clear" w:color="auto" w:fill="auto"/>
            <w:vAlign w:val="bottom"/>
          </w:tcPr>
          <w:p w:rsidR="00E66C12" w:rsidRPr="00091CD1" w:rsidRDefault="00E66C12" w:rsidP="00E66C12">
            <w:pPr>
              <w:pStyle w:val="Tabletext"/>
              <w:ind w:left="142"/>
              <w:rPr>
                <w:rFonts w:ascii="Times New Roman" w:hAnsi="Times New Roman" w:cs="Times New Roman"/>
              </w:rPr>
            </w:pPr>
            <w:r w:rsidRPr="00091CD1">
              <w:rPr>
                <w:rFonts w:ascii="Times New Roman" w:hAnsi="Times New Roman" w:cs="Times New Roman"/>
              </w:rPr>
              <w:t xml:space="preserve">Cost offset from DCBE </w:t>
            </w:r>
          </w:p>
        </w:tc>
        <w:tc>
          <w:tcPr>
            <w:tcW w:w="646"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$604,324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$537,337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$477,415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$423,209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$373,722 </w:t>
            </w:r>
          </w:p>
        </w:tc>
      </w:tr>
      <w:tr w:rsidR="00E66C12" w:rsidRPr="00091CD1" w:rsidTr="00E66C12">
        <w:tc>
          <w:tcPr>
            <w:tcW w:w="1763" w:type="pct"/>
            <w:shd w:val="clear" w:color="auto" w:fill="auto"/>
            <w:vAlign w:val="bottom"/>
          </w:tcPr>
          <w:p w:rsidR="00E66C12" w:rsidRPr="00091CD1" w:rsidRDefault="00E66C12" w:rsidP="00E66C12">
            <w:pPr>
              <w:pStyle w:val="Tabletext"/>
              <w:rPr>
                <w:rFonts w:ascii="Times New Roman" w:hAnsi="Times New Roman" w:cs="Times New Roman"/>
              </w:rPr>
            </w:pPr>
            <w:r w:rsidRPr="00091CD1">
              <w:rPr>
                <w:rFonts w:ascii="Times New Roman" w:hAnsi="Times New Roman" w:cs="Times New Roman"/>
              </w:rPr>
              <w:t>Safety net payments</w:t>
            </w:r>
          </w:p>
        </w:tc>
        <w:tc>
          <w:tcPr>
            <w:tcW w:w="646" w:type="pct"/>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$107,998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$96,027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$85,318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$75,631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rPr>
            </w:pPr>
            <w:r w:rsidRPr="00091CD1">
              <w:rPr>
                <w:rFonts w:ascii="Times New Roman" w:hAnsi="Times New Roman" w:cs="Times New Roman"/>
              </w:rPr>
              <w:t xml:space="preserve"> $66,788 </w:t>
            </w:r>
          </w:p>
        </w:tc>
      </w:tr>
      <w:tr w:rsidR="00E66C12" w:rsidRPr="00091CD1" w:rsidTr="00E66C12">
        <w:tc>
          <w:tcPr>
            <w:tcW w:w="1763" w:type="pct"/>
            <w:shd w:val="clear" w:color="auto" w:fill="auto"/>
            <w:vAlign w:val="bottom"/>
          </w:tcPr>
          <w:p w:rsidR="00E66C12" w:rsidRPr="00091CD1" w:rsidRDefault="00E66C12" w:rsidP="00E66C12">
            <w:pPr>
              <w:pStyle w:val="Tabletext"/>
              <w:rPr>
                <w:rFonts w:ascii="Times New Roman" w:hAnsi="Times New Roman" w:cs="Times New Roman"/>
                <w:b/>
              </w:rPr>
            </w:pPr>
            <w:r w:rsidRPr="00091CD1">
              <w:rPr>
                <w:rFonts w:ascii="Times New Roman" w:hAnsi="Times New Roman" w:cs="Times New Roman"/>
                <w:b/>
              </w:rPr>
              <w:t>Net cost</w:t>
            </w:r>
          </w:p>
        </w:tc>
        <w:tc>
          <w:tcPr>
            <w:tcW w:w="646" w:type="pct"/>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$2,063,621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$1,834,876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$1,630,256 </w:t>
            </w:r>
          </w:p>
        </w:tc>
        <w:tc>
          <w:tcPr>
            <w:tcW w:w="647" w:type="pct"/>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$1,445,155 </w:t>
            </w:r>
          </w:p>
        </w:tc>
        <w:tc>
          <w:tcPr>
            <w:tcW w:w="650" w:type="pct"/>
            <w:shd w:val="clear" w:color="auto" w:fill="auto"/>
            <w:vAlign w:val="bottom"/>
          </w:tcPr>
          <w:p w:rsidR="00E66C12" w:rsidRPr="00091CD1" w:rsidRDefault="00E66C12" w:rsidP="00E66C12">
            <w:pPr>
              <w:pStyle w:val="Tabletext"/>
              <w:jc w:val="right"/>
              <w:rPr>
                <w:rFonts w:ascii="Times New Roman" w:hAnsi="Times New Roman" w:cs="Times New Roman"/>
                <w:b/>
              </w:rPr>
            </w:pPr>
            <w:r w:rsidRPr="00091CD1">
              <w:rPr>
                <w:rFonts w:ascii="Times New Roman" w:hAnsi="Times New Roman" w:cs="Times New Roman"/>
                <w:b/>
              </w:rPr>
              <w:t xml:space="preserve"> $1,276,172 </w:t>
            </w:r>
          </w:p>
        </w:tc>
      </w:tr>
    </w:tbl>
    <w:p w:rsidR="00E66C12" w:rsidRPr="00D5584D" w:rsidRDefault="00E66C12" w:rsidP="00E66C12">
      <w:pPr>
        <w:spacing w:before="120"/>
      </w:pPr>
      <w:r>
        <w:t>T</w:t>
      </w:r>
      <w:r w:rsidRPr="00D5584D">
        <w:t xml:space="preserve">he highest yearly net increase in cost to the MBS, of approximately $2,064,000 </w:t>
      </w:r>
      <w:r>
        <w:t xml:space="preserve">and </w:t>
      </w:r>
      <w:r w:rsidRPr="00D5584D">
        <w:t>inclusive of safety net impacts, would occur in the first year of the revised listing. Assuming the trend of decreasing DCBE continues and also applies to substitutable CTC, expenditure on this would decline to approximately $1,276,000 by the fifth year.</w:t>
      </w:r>
    </w:p>
    <w:p w:rsidR="00BC1364" w:rsidRDefault="00BC1364" w:rsidP="00D340DE">
      <w:pPr>
        <w:rPr>
          <w:b/>
          <w:szCs w:val="24"/>
        </w:rPr>
      </w:pPr>
    </w:p>
    <w:p w:rsidR="006A0D97" w:rsidRDefault="006A0D97">
      <w:pPr>
        <w:pStyle w:val="Heading1"/>
        <w:numPr>
          <w:ilvl w:val="0"/>
          <w:numId w:val="23"/>
        </w:numPr>
        <w:ind w:hanging="720"/>
      </w:pPr>
      <w:r w:rsidRPr="006A0D97">
        <w:t>Key issues from ESC for MSAC</w:t>
      </w:r>
    </w:p>
    <w:p w:rsidR="00CC27CE" w:rsidRDefault="00CC27CE" w:rsidP="0004730F">
      <w:pPr>
        <w:tabs>
          <w:tab w:val="left" w:pos="720"/>
          <w:tab w:val="left" w:pos="1140"/>
        </w:tabs>
        <w:rPr>
          <w:szCs w:val="24"/>
          <w:u w:val="single"/>
        </w:rPr>
      </w:pPr>
    </w:p>
    <w:p w:rsidR="000C798A" w:rsidRPr="00DA35C8" w:rsidRDefault="000C798A" w:rsidP="0004730F">
      <w:pPr>
        <w:tabs>
          <w:tab w:val="left" w:pos="720"/>
          <w:tab w:val="left" w:pos="1140"/>
        </w:tabs>
        <w:rPr>
          <w:szCs w:val="24"/>
        </w:rPr>
      </w:pPr>
      <w:r w:rsidRPr="00DA35C8">
        <w:rPr>
          <w:szCs w:val="24"/>
        </w:rPr>
        <w:t>ESC considered that the proposed amendments to existing items and the proposed new item descriptor presented considerable potential for use outside the intended patient population due to:</w:t>
      </w:r>
    </w:p>
    <w:p w:rsidR="000C798A" w:rsidRPr="00DA35C8" w:rsidRDefault="000C798A" w:rsidP="000C798A">
      <w:pPr>
        <w:pStyle w:val="ListParagraph"/>
        <w:numPr>
          <w:ilvl w:val="0"/>
          <w:numId w:val="29"/>
        </w:numPr>
        <w:tabs>
          <w:tab w:val="left" w:pos="720"/>
          <w:tab w:val="left" w:pos="1140"/>
        </w:tabs>
        <w:spacing w:before="120"/>
        <w:rPr>
          <w:szCs w:val="24"/>
        </w:rPr>
      </w:pPr>
      <w:r w:rsidRPr="00DA35C8">
        <w:rPr>
          <w:szCs w:val="24"/>
        </w:rPr>
        <w:t>poor definition of access within the proposed descriptor; and</w:t>
      </w:r>
    </w:p>
    <w:p w:rsidR="000C798A" w:rsidRPr="00DA35C8" w:rsidRDefault="000C798A" w:rsidP="0004730F">
      <w:pPr>
        <w:pStyle w:val="ListParagraph"/>
        <w:numPr>
          <w:ilvl w:val="0"/>
          <w:numId w:val="29"/>
        </w:numPr>
        <w:tabs>
          <w:tab w:val="left" w:pos="720"/>
          <w:tab w:val="left" w:pos="1140"/>
        </w:tabs>
        <w:rPr>
          <w:szCs w:val="24"/>
        </w:rPr>
      </w:pPr>
      <w:proofErr w:type="gramStart"/>
      <w:r w:rsidRPr="00DA35C8">
        <w:rPr>
          <w:szCs w:val="24"/>
        </w:rPr>
        <w:t>the</w:t>
      </w:r>
      <w:proofErr w:type="gramEnd"/>
      <w:r w:rsidRPr="00DA35C8">
        <w:rPr>
          <w:szCs w:val="24"/>
        </w:rPr>
        <w:t xml:space="preserve"> removal of the requirement for item 56552 to be provided within 3 months after an incomplete colonoscopy.</w:t>
      </w:r>
    </w:p>
    <w:p w:rsidR="00CC27CE" w:rsidRDefault="00CC27CE" w:rsidP="0004730F">
      <w:pPr>
        <w:tabs>
          <w:tab w:val="left" w:pos="720"/>
          <w:tab w:val="left" w:pos="1140"/>
        </w:tabs>
        <w:rPr>
          <w:szCs w:val="24"/>
          <w:u w:val="single"/>
        </w:rPr>
      </w:pPr>
    </w:p>
    <w:p w:rsidR="000C798A" w:rsidRPr="00DA35C8" w:rsidRDefault="000C798A" w:rsidP="0004730F">
      <w:pPr>
        <w:tabs>
          <w:tab w:val="left" w:pos="720"/>
          <w:tab w:val="left" w:pos="1140"/>
        </w:tabs>
        <w:rPr>
          <w:szCs w:val="24"/>
        </w:rPr>
      </w:pPr>
      <w:r w:rsidRPr="00DA35C8">
        <w:rPr>
          <w:szCs w:val="24"/>
        </w:rPr>
        <w:t>ESC noted that CTC is associated with a lower radiation risk and better overall safety profile than DCBE.</w:t>
      </w:r>
      <w:r>
        <w:rPr>
          <w:szCs w:val="24"/>
        </w:rPr>
        <w:t xml:space="preserve"> </w:t>
      </w:r>
      <w:r w:rsidRPr="00DA35C8">
        <w:rPr>
          <w:szCs w:val="24"/>
        </w:rPr>
        <w:t>CTC is less invasive, and ESC noted that it would likely be the preferred option for many patients.</w:t>
      </w:r>
    </w:p>
    <w:p w:rsidR="00CC27CE" w:rsidRDefault="00CC27CE" w:rsidP="0004730F">
      <w:pPr>
        <w:tabs>
          <w:tab w:val="left" w:pos="720"/>
          <w:tab w:val="left" w:pos="1140"/>
        </w:tabs>
        <w:rPr>
          <w:szCs w:val="24"/>
        </w:rPr>
      </w:pPr>
    </w:p>
    <w:p w:rsidR="000C798A" w:rsidRDefault="000C798A" w:rsidP="0004730F">
      <w:pPr>
        <w:tabs>
          <w:tab w:val="left" w:pos="720"/>
          <w:tab w:val="left" w:pos="1140"/>
        </w:tabs>
        <w:rPr>
          <w:szCs w:val="24"/>
        </w:rPr>
      </w:pPr>
      <w:r>
        <w:rPr>
          <w:szCs w:val="24"/>
        </w:rPr>
        <w:t>ESC also noted that there was considerable variation in radiation exposure</w:t>
      </w:r>
      <w:r>
        <w:t xml:space="preserve">. The discussant highlighted the </w:t>
      </w:r>
      <w:proofErr w:type="spellStart"/>
      <w:r>
        <w:t>Neri</w:t>
      </w:r>
      <w:proofErr w:type="spellEnd"/>
      <w:r>
        <w:t xml:space="preserve"> et al. 2010 study which found that found that even though the radiation dose required for DCBE was almost double that for CTC, there was still a range of ± 12 </w:t>
      </w:r>
      <w:proofErr w:type="spellStart"/>
      <w:r>
        <w:t>mSv</w:t>
      </w:r>
      <w:proofErr w:type="spellEnd"/>
      <w:r>
        <w:t xml:space="preserve"> for CTC, compared to ± 0.17 </w:t>
      </w:r>
      <w:proofErr w:type="spellStart"/>
      <w:r>
        <w:t>mSv</w:t>
      </w:r>
      <w:proofErr w:type="spellEnd"/>
      <w:r>
        <w:t xml:space="preserve"> for DCBE. This large range infers a variation in CTC protocol that may incur substantial additional radiation burden compared with the point estimate. Therefore CTC may give a much higher radiation dose than DCBE in these ci</w:t>
      </w:r>
      <w:r w:rsidR="00CC27CE">
        <w:t>r</w:t>
      </w:r>
      <w:r>
        <w:t>cumstances.</w:t>
      </w:r>
    </w:p>
    <w:p w:rsidR="00CC27CE" w:rsidRDefault="00CC27CE"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ESC also noted that the lifetime risk from radiation increases exponentially as age reduces.</w:t>
      </w:r>
    </w:p>
    <w:p w:rsidR="00A8337D" w:rsidRDefault="00A8337D" w:rsidP="0004730F">
      <w:pPr>
        <w:tabs>
          <w:tab w:val="left" w:pos="720"/>
          <w:tab w:val="left" w:pos="1140"/>
        </w:tabs>
        <w:rPr>
          <w:szCs w:val="24"/>
          <w:u w:val="single"/>
        </w:rPr>
      </w:pPr>
    </w:p>
    <w:p w:rsidR="000C798A" w:rsidRPr="00DA35C8" w:rsidRDefault="000C798A" w:rsidP="0004730F">
      <w:pPr>
        <w:tabs>
          <w:tab w:val="left" w:pos="720"/>
          <w:tab w:val="left" w:pos="1140"/>
        </w:tabs>
        <w:rPr>
          <w:szCs w:val="24"/>
        </w:rPr>
      </w:pPr>
      <w:r w:rsidRPr="00DA35C8">
        <w:rPr>
          <w:szCs w:val="24"/>
        </w:rPr>
        <w:t>ESC noted there was a lack of evidence to directly support the proposed</w:t>
      </w:r>
      <w:r>
        <w:rPr>
          <w:szCs w:val="24"/>
        </w:rPr>
        <w:t xml:space="preserve"> </w:t>
      </w:r>
      <w:r w:rsidRPr="00DA35C8">
        <w:rPr>
          <w:szCs w:val="24"/>
        </w:rPr>
        <w:t xml:space="preserve">item and amendments. There was no evidence to support the proposed list of contraindications, and no direct comparison of CTC with delayed colonoscopy. The clinical impact of delayed </w:t>
      </w:r>
      <w:r w:rsidRPr="00DA35C8">
        <w:rPr>
          <w:szCs w:val="24"/>
        </w:rPr>
        <w:lastRenderedPageBreak/>
        <w:t>diagnosis of CRC within a symptomatic population was unclear, and a survival benefit had not been substantiated.</w:t>
      </w:r>
    </w:p>
    <w:p w:rsidR="00A8337D" w:rsidRDefault="00A8337D"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 xml:space="preserve">ESC did not consider </w:t>
      </w:r>
      <w:proofErr w:type="spellStart"/>
      <w:r w:rsidRPr="00DA35C8">
        <w:rPr>
          <w:szCs w:val="24"/>
        </w:rPr>
        <w:t>extracolonic</w:t>
      </w:r>
      <w:proofErr w:type="spellEnd"/>
      <w:r w:rsidRPr="00DA35C8">
        <w:rPr>
          <w:szCs w:val="24"/>
        </w:rPr>
        <w:t xml:space="preserve"> pathology outcomes in its deliberations as there was no effectiveness data.</w:t>
      </w:r>
    </w:p>
    <w:p w:rsidR="00A8337D" w:rsidRDefault="00A8337D"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 xml:space="preserve">ESC noted that the evidence supported higher sensitivity and lower specificity of CTC compared with DCBE. ESC also noted a lack of data directly comparing CTC with DCBE specifically for the proposed patient populations. </w:t>
      </w:r>
    </w:p>
    <w:p w:rsidR="00A8337D" w:rsidRDefault="00A8337D" w:rsidP="0004730F">
      <w:pPr>
        <w:tabs>
          <w:tab w:val="left" w:pos="720"/>
          <w:tab w:val="left" w:pos="1140"/>
        </w:tabs>
        <w:rPr>
          <w:u w:val="single"/>
        </w:rPr>
      </w:pPr>
    </w:p>
    <w:p w:rsidR="000C798A" w:rsidRPr="00DA35C8" w:rsidRDefault="000C798A" w:rsidP="0004730F">
      <w:pPr>
        <w:tabs>
          <w:tab w:val="left" w:pos="720"/>
          <w:tab w:val="left" w:pos="1140"/>
        </w:tabs>
        <w:rPr>
          <w:szCs w:val="24"/>
        </w:rPr>
      </w:pPr>
      <w:r w:rsidRPr="00DA35C8">
        <w:rPr>
          <w:szCs w:val="24"/>
        </w:rPr>
        <w:t xml:space="preserve">ESC noted that </w:t>
      </w:r>
      <w:r>
        <w:rPr>
          <w:szCs w:val="24"/>
        </w:rPr>
        <w:t>OC</w:t>
      </w:r>
      <w:r w:rsidRPr="00DA35C8">
        <w:rPr>
          <w:szCs w:val="24"/>
        </w:rPr>
        <w:t xml:space="preserve"> remained the gold standard for diagnosis of CRC globally, and in many cases may remain the appropriate procedure after an </w:t>
      </w:r>
      <w:r>
        <w:rPr>
          <w:szCs w:val="24"/>
        </w:rPr>
        <w:t xml:space="preserve">incomplete </w:t>
      </w:r>
      <w:r w:rsidRPr="00DA35C8">
        <w:rPr>
          <w:szCs w:val="24"/>
        </w:rPr>
        <w:t xml:space="preserve">colonoscopy. </w:t>
      </w:r>
    </w:p>
    <w:p w:rsidR="00A8337D" w:rsidRDefault="00A8337D"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 xml:space="preserve">ESC also noted that much of the data could reflect effective triage practices, and support repeat </w:t>
      </w:r>
      <w:r>
        <w:rPr>
          <w:szCs w:val="24"/>
        </w:rPr>
        <w:t>OC</w:t>
      </w:r>
      <w:r w:rsidRPr="00DA35C8">
        <w:rPr>
          <w:szCs w:val="24"/>
        </w:rPr>
        <w:t xml:space="preserve"> for most instances of </w:t>
      </w:r>
      <w:r>
        <w:rPr>
          <w:szCs w:val="24"/>
        </w:rPr>
        <w:t>incomplete</w:t>
      </w:r>
      <w:r w:rsidRPr="00DA35C8">
        <w:rPr>
          <w:szCs w:val="24"/>
        </w:rPr>
        <w:t xml:space="preserve"> colonoscopy.</w:t>
      </w:r>
    </w:p>
    <w:p w:rsidR="00A8337D" w:rsidRDefault="00A8337D"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 xml:space="preserve">ESC considered that the question of whether CTC should remain part of the same episode of care as an </w:t>
      </w:r>
      <w:r>
        <w:rPr>
          <w:szCs w:val="24"/>
        </w:rPr>
        <w:t>incomplete</w:t>
      </w:r>
      <w:r w:rsidRPr="00DA35C8">
        <w:rPr>
          <w:szCs w:val="24"/>
        </w:rPr>
        <w:t xml:space="preserve"> </w:t>
      </w:r>
      <w:r>
        <w:rPr>
          <w:szCs w:val="24"/>
        </w:rPr>
        <w:t>OC</w:t>
      </w:r>
      <w:r w:rsidRPr="00DA35C8">
        <w:rPr>
          <w:szCs w:val="24"/>
        </w:rPr>
        <w:t xml:space="preserve"> was </w:t>
      </w:r>
      <w:proofErr w:type="gramStart"/>
      <w:r w:rsidRPr="00DA35C8">
        <w:rPr>
          <w:szCs w:val="24"/>
        </w:rPr>
        <w:t>key</w:t>
      </w:r>
      <w:proofErr w:type="gramEnd"/>
      <w:r w:rsidRPr="00DA35C8">
        <w:rPr>
          <w:szCs w:val="24"/>
        </w:rPr>
        <w:t xml:space="preserve"> to the application. If MSAC viewed this as important, retaining the requirement for CTC to be conducted within three months may be necessary.</w:t>
      </w:r>
    </w:p>
    <w:p w:rsidR="00A8337D" w:rsidRDefault="00A8337D" w:rsidP="0004730F">
      <w:pPr>
        <w:tabs>
          <w:tab w:val="left" w:pos="720"/>
          <w:tab w:val="left" w:pos="1140"/>
        </w:tabs>
        <w:rPr>
          <w:szCs w:val="24"/>
          <w:u w:val="single"/>
        </w:rPr>
      </w:pPr>
    </w:p>
    <w:p w:rsidR="000C798A" w:rsidRPr="00DA35C8" w:rsidRDefault="000C798A" w:rsidP="0004730F">
      <w:pPr>
        <w:tabs>
          <w:tab w:val="left" w:pos="720"/>
          <w:tab w:val="left" w:pos="1140"/>
        </w:tabs>
        <w:rPr>
          <w:szCs w:val="24"/>
        </w:rPr>
      </w:pPr>
      <w:r w:rsidRPr="00DA35C8">
        <w:rPr>
          <w:szCs w:val="24"/>
        </w:rPr>
        <w:t>ESC noted that the incremental cost per additional CRC/large polyp diagnosed by CTC compared with DCBE varies depending on the prevalence of CRC in the target population. The cost-effectiveness of CTC compared with DCBE improves as the prevalence of colorectal neoplasia in the target population increases.</w:t>
      </w:r>
    </w:p>
    <w:p w:rsidR="00A8337D" w:rsidRDefault="00A8337D" w:rsidP="0004730F">
      <w:pPr>
        <w:tabs>
          <w:tab w:val="left" w:pos="720"/>
          <w:tab w:val="left" w:pos="1140"/>
        </w:tabs>
        <w:rPr>
          <w:szCs w:val="24"/>
        </w:rPr>
      </w:pPr>
    </w:p>
    <w:p w:rsidR="000C798A" w:rsidRPr="00DA35C8" w:rsidRDefault="000C798A" w:rsidP="0004730F">
      <w:pPr>
        <w:tabs>
          <w:tab w:val="left" w:pos="720"/>
          <w:tab w:val="left" w:pos="1140"/>
        </w:tabs>
        <w:rPr>
          <w:szCs w:val="24"/>
        </w:rPr>
      </w:pPr>
      <w:r w:rsidRPr="00DA35C8">
        <w:rPr>
          <w:szCs w:val="24"/>
        </w:rPr>
        <w:t xml:space="preserve">ESC noted that, in patients with a positive screening FOBT result, the estimated incremental cost </w:t>
      </w:r>
      <w:r>
        <w:rPr>
          <w:szCs w:val="24"/>
        </w:rPr>
        <w:t xml:space="preserve">of CTC </w:t>
      </w:r>
      <w:r w:rsidRPr="00DA35C8">
        <w:rPr>
          <w:szCs w:val="24"/>
        </w:rPr>
        <w:t>compared with DCBE is $19,380. In the more generalised population of patients presenting with other clinical symptoms, the incremental cost is estimated at $26,258.</w:t>
      </w:r>
    </w:p>
    <w:p w:rsidR="00A8337D" w:rsidRDefault="00A8337D" w:rsidP="0004730F">
      <w:pPr>
        <w:tabs>
          <w:tab w:val="left" w:pos="720"/>
        </w:tabs>
        <w:rPr>
          <w:rFonts w:eastAsiaTheme="minorHAnsi"/>
          <w:color w:val="000000"/>
          <w:szCs w:val="24"/>
          <w:u w:val="single"/>
          <w:lang w:eastAsia="en-US"/>
        </w:rPr>
      </w:pPr>
    </w:p>
    <w:p w:rsidR="000C798A" w:rsidRPr="00DA35C8" w:rsidRDefault="000C798A" w:rsidP="0004730F">
      <w:pPr>
        <w:tabs>
          <w:tab w:val="left" w:pos="720"/>
        </w:tabs>
        <w:rPr>
          <w:szCs w:val="24"/>
        </w:rPr>
      </w:pPr>
      <w:r w:rsidRPr="00DA35C8">
        <w:rPr>
          <w:szCs w:val="24"/>
        </w:rPr>
        <w:t>ESC noted the uncertainty regarding the number of additional CTC services under the proposed criteria. If CTC replaced all use of DCBE, the minimum net cost to the MBS would be approximately $2.6 million per year. Beyond substitution for DCBE, there is considerable uncertainty about the volume of use in patients without access to colonoscopy.</w:t>
      </w:r>
    </w:p>
    <w:p w:rsidR="00A8337D" w:rsidRDefault="00A8337D" w:rsidP="0004730F">
      <w:pPr>
        <w:tabs>
          <w:tab w:val="left" w:pos="720"/>
        </w:tabs>
        <w:rPr>
          <w:szCs w:val="24"/>
        </w:rPr>
      </w:pPr>
    </w:p>
    <w:p w:rsidR="000C798A" w:rsidRPr="00DA35C8" w:rsidRDefault="000C798A" w:rsidP="0004730F">
      <w:pPr>
        <w:tabs>
          <w:tab w:val="left" w:pos="720"/>
        </w:tabs>
        <w:rPr>
          <w:szCs w:val="24"/>
        </w:rPr>
      </w:pPr>
      <w:r w:rsidRPr="00DA35C8">
        <w:rPr>
          <w:szCs w:val="24"/>
        </w:rPr>
        <w:t>ESC discussed the potential for MSAC to consider introducing a limit on the number of times a benefit is available for CTC each year.</w:t>
      </w:r>
    </w:p>
    <w:p w:rsidR="00A8337D" w:rsidRDefault="00A8337D" w:rsidP="0004730F">
      <w:pPr>
        <w:tabs>
          <w:tab w:val="left" w:pos="720"/>
        </w:tabs>
        <w:rPr>
          <w:szCs w:val="24"/>
        </w:rPr>
      </w:pPr>
    </w:p>
    <w:p w:rsidR="000C798A" w:rsidRPr="00DA35C8" w:rsidRDefault="000C798A" w:rsidP="0004730F">
      <w:pPr>
        <w:tabs>
          <w:tab w:val="left" w:pos="720"/>
        </w:tabs>
        <w:rPr>
          <w:szCs w:val="24"/>
        </w:rPr>
      </w:pPr>
      <w:r w:rsidRPr="00DA35C8">
        <w:rPr>
          <w:szCs w:val="24"/>
        </w:rPr>
        <w:t xml:space="preserve">ESC expressed some reservations about the current and proposed fee for CTC and noted that no justification of the proposed fee was provided. </w:t>
      </w:r>
    </w:p>
    <w:p w:rsidR="00A8337D" w:rsidRDefault="00A8337D" w:rsidP="0004730F">
      <w:pPr>
        <w:tabs>
          <w:tab w:val="left" w:pos="720"/>
          <w:tab w:val="left" w:pos="1140"/>
        </w:tabs>
        <w:rPr>
          <w:szCs w:val="24"/>
          <w:u w:val="single"/>
        </w:rPr>
      </w:pPr>
    </w:p>
    <w:p w:rsidR="000C798A" w:rsidRPr="00DA35C8" w:rsidRDefault="000C798A" w:rsidP="0004730F">
      <w:pPr>
        <w:tabs>
          <w:tab w:val="left" w:pos="720"/>
          <w:tab w:val="left" w:pos="1140"/>
        </w:tabs>
        <w:rPr>
          <w:szCs w:val="24"/>
        </w:rPr>
      </w:pPr>
      <w:r w:rsidRPr="00DA35C8">
        <w:rPr>
          <w:szCs w:val="24"/>
        </w:rPr>
        <w:t xml:space="preserve">ESC noted that CTC was associated with a very high NPV, significantly lower service cost than </w:t>
      </w:r>
      <w:r>
        <w:rPr>
          <w:szCs w:val="24"/>
        </w:rPr>
        <w:t>OC</w:t>
      </w:r>
      <w:r w:rsidRPr="00DA35C8">
        <w:rPr>
          <w:szCs w:val="24"/>
        </w:rPr>
        <w:t>, and low invasiveness. While the potential to use CTC as a first line diagnostic test was alluded to in the application, ESC noted that this was beyond the scope of the current application</w:t>
      </w:r>
      <w:r>
        <w:rPr>
          <w:szCs w:val="24"/>
        </w:rPr>
        <w:t xml:space="preserve"> </w:t>
      </w:r>
      <w:r>
        <w:t>and that OC remains the gold standard and first line test worldwide.</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DC286E" w:rsidRDefault="00BC1364" w:rsidP="00DD2858">
      <w:pPr>
        <w:rPr>
          <w:szCs w:val="24"/>
        </w:rPr>
      </w:pPr>
      <w:proofErr w:type="gramStart"/>
      <w:r w:rsidRPr="0004730F">
        <w:rPr>
          <w:szCs w:val="24"/>
        </w:rPr>
        <w:t>Nil</w:t>
      </w:r>
      <w:r w:rsidR="004773C3">
        <w:rPr>
          <w:szCs w:val="24"/>
        </w:rPr>
        <w:t>.</w:t>
      </w:r>
      <w:proofErr w:type="gramEnd"/>
    </w:p>
    <w:p w:rsidR="00DC286E" w:rsidRDefault="00DC286E">
      <w:pPr>
        <w:rPr>
          <w:szCs w:val="24"/>
        </w:rPr>
      </w:pPr>
      <w:r>
        <w:rPr>
          <w:szCs w:val="24"/>
        </w:rPr>
        <w:br w:type="page"/>
      </w:r>
    </w:p>
    <w:p w:rsidR="00BC1364" w:rsidRPr="0004730F" w:rsidRDefault="00BC1364" w:rsidP="00DD2858">
      <w:pPr>
        <w:rPr>
          <w:szCs w:val="24"/>
        </w:rPr>
      </w:pPr>
    </w:p>
    <w:p w:rsidR="00BC1364" w:rsidRPr="00707064" w:rsidRDefault="00BC1364" w:rsidP="00DD2858">
      <w:pPr>
        <w:tabs>
          <w:tab w:val="left" w:pos="720"/>
        </w:tabs>
        <w:ind w:left="709" w:hanging="709"/>
        <w:rPr>
          <w:szCs w:val="24"/>
        </w:rPr>
      </w:pPr>
    </w:p>
    <w:p w:rsidR="00BC1364" w:rsidRDefault="00BC1364" w:rsidP="00230D6B">
      <w:pPr>
        <w:pStyle w:val="Heading1"/>
        <w:numPr>
          <w:ilvl w:val="0"/>
          <w:numId w:val="23"/>
        </w:numPr>
        <w:ind w:hanging="720"/>
      </w:pPr>
      <w:r w:rsidRPr="008D5885">
        <w:t xml:space="preserve">Applicant’s comments on MSAC’s </w:t>
      </w:r>
      <w:r w:rsidR="00DA56AA">
        <w:t>Public Summary Document</w:t>
      </w:r>
    </w:p>
    <w:p w:rsidR="0050173F" w:rsidRDefault="0050173F" w:rsidP="00230D6B"/>
    <w:p w:rsidR="002122A6" w:rsidRDefault="0050173F" w:rsidP="0050173F">
      <w:pPr>
        <w:pStyle w:val="ListParagraph"/>
        <w:ind w:left="0"/>
        <w:rPr>
          <w:color w:val="0070C0"/>
          <w:szCs w:val="24"/>
        </w:rPr>
      </w:pPr>
      <w:r w:rsidRPr="0050173F">
        <w:t xml:space="preserve">The applicants believe that many of the arguments against the use of CTC within this document are severely flawed. </w:t>
      </w:r>
      <w:r w:rsidR="00F213CF">
        <w:t xml:space="preserve">Of </w:t>
      </w:r>
      <w:r w:rsidRPr="0050173F">
        <w:t>major importance is the list of contraindications to colonoscopy which constitute indications for CTC. There are significant omissions as well as inclusions which are also contraindications to CTC (</w:t>
      </w:r>
      <w:proofErr w:type="spellStart"/>
      <w:r w:rsidRPr="0050173F">
        <w:t>eg</w:t>
      </w:r>
      <w:proofErr w:type="spellEnd"/>
      <w:r w:rsidRPr="0050173F">
        <w:t xml:space="preserve"> active colitis).</w:t>
      </w:r>
      <w:r>
        <w:rPr>
          <w:color w:val="0070C0"/>
          <w:szCs w:val="24"/>
        </w:rPr>
        <w:t xml:space="preserve"> </w:t>
      </w:r>
    </w:p>
    <w:p w:rsidR="002122A6" w:rsidRDefault="002122A6" w:rsidP="0050173F">
      <w:pPr>
        <w:pStyle w:val="ListParagraph"/>
        <w:ind w:left="0"/>
        <w:rPr>
          <w:color w:val="0070C0"/>
          <w:szCs w:val="24"/>
        </w:rPr>
      </w:pPr>
    </w:p>
    <w:p w:rsidR="00F213CF" w:rsidRDefault="0050173F" w:rsidP="0050173F">
      <w:pPr>
        <w:pStyle w:val="ListParagraph"/>
        <w:ind w:left="0"/>
      </w:pPr>
      <w:r>
        <w:t xml:space="preserve">The application for a new item allowing a rebate for CT </w:t>
      </w:r>
      <w:proofErr w:type="spellStart"/>
      <w:r>
        <w:t>Colonography</w:t>
      </w:r>
      <w:proofErr w:type="spellEnd"/>
      <w:r>
        <w:t xml:space="preserve"> (CTC) when optical colonoscopy (OC) is of limited availability has been denied. We understand that the decision was in part: </w:t>
      </w:r>
    </w:p>
    <w:p w:rsidR="00F213CF" w:rsidRDefault="0050173F" w:rsidP="0050173F">
      <w:pPr>
        <w:pStyle w:val="ListParagraph"/>
        <w:ind w:left="0"/>
        <w:rPr>
          <w:rFonts w:cs="Arial Narrow"/>
          <w:b/>
          <w:i/>
        </w:rPr>
      </w:pPr>
      <w:r>
        <w:t xml:space="preserve">(1) </w:t>
      </w:r>
      <w:proofErr w:type="gramStart"/>
      <w:r>
        <w:t>due</w:t>
      </w:r>
      <w:proofErr w:type="gramEnd"/>
      <w:r>
        <w:t xml:space="preserve"> to lack of evidence that early CTC was better than delayed OC for symptomatic patients. We contend that it is </w:t>
      </w:r>
      <w:r w:rsidR="00F213CF">
        <w:t>unlikely</w:t>
      </w:r>
      <w:r w:rsidR="002122A6">
        <w:t xml:space="preserve"> </w:t>
      </w:r>
      <w:r>
        <w:t xml:space="preserve">that any such data will ever be available – such a trial would need to be very large to reach any statistical validity and </w:t>
      </w:r>
      <w:r w:rsidR="00F213CF">
        <w:t xml:space="preserve">be </w:t>
      </w:r>
      <w:r>
        <w:t xml:space="preserve">of dubious ethicality.  </w:t>
      </w:r>
      <w:r w:rsidR="00F213CF">
        <w:t>As noted by MSAC</w:t>
      </w:r>
      <w:r w:rsidRPr="00EF0D85">
        <w:t xml:space="preserve">, </w:t>
      </w:r>
      <w:r w:rsidRPr="00EF0D85">
        <w:rPr>
          <w:rFonts w:cs="Arial Narrow"/>
        </w:rPr>
        <w:t xml:space="preserve">in a symptomatic population there is an association between early diagnosis or treatment </w:t>
      </w:r>
      <w:r>
        <w:rPr>
          <w:rFonts w:cs="Arial Narrow"/>
        </w:rPr>
        <w:t xml:space="preserve">of colorectal cancer </w:t>
      </w:r>
      <w:r w:rsidRPr="00EF0D85">
        <w:rPr>
          <w:rFonts w:cs="Arial Narrow"/>
        </w:rPr>
        <w:t>and worse survival.</w:t>
      </w:r>
      <w:r>
        <w:rPr>
          <w:rFonts w:cs="Arial Narrow"/>
        </w:rPr>
        <w:t xml:space="preserve"> </w:t>
      </w:r>
      <w:r w:rsidR="00F213CF">
        <w:rPr>
          <w:rFonts w:cs="Arial Narrow"/>
        </w:rPr>
        <w:t xml:space="preserve">The applicants believe that this is sufficient evidence to infer that early CTC provides advantages over delayed colonoscopy. </w:t>
      </w:r>
    </w:p>
    <w:p w:rsidR="00F213CF" w:rsidRDefault="00F213CF" w:rsidP="0050173F">
      <w:pPr>
        <w:pStyle w:val="ListParagraph"/>
        <w:ind w:left="0"/>
        <w:rPr>
          <w:rFonts w:cs="Arial Narrow"/>
          <w:b/>
          <w:i/>
        </w:rPr>
      </w:pPr>
    </w:p>
    <w:p w:rsidR="00767F29" w:rsidRDefault="0050173F" w:rsidP="0050173F">
      <w:pPr>
        <w:pStyle w:val="ListParagraph"/>
        <w:ind w:left="0"/>
        <w:rPr>
          <w:rFonts w:cs="Tahoma"/>
        </w:rPr>
      </w:pPr>
      <w:r w:rsidRPr="00FE6A8C">
        <w:rPr>
          <w:rFonts w:cs="Arial Narrow"/>
        </w:rPr>
        <w:t>(2)</w:t>
      </w:r>
      <w:r>
        <w:rPr>
          <w:rFonts w:cs="Arial Narrow"/>
        </w:rPr>
        <w:t xml:space="preserve"> </w:t>
      </w:r>
      <w:proofErr w:type="gramStart"/>
      <w:r w:rsidRPr="00FE6A8C">
        <w:rPr>
          <w:rFonts w:cs="Tahoma"/>
        </w:rPr>
        <w:t>the</w:t>
      </w:r>
      <w:proofErr w:type="gramEnd"/>
      <w:r w:rsidRPr="00FE6A8C">
        <w:rPr>
          <w:rFonts w:cs="Tahoma"/>
        </w:rPr>
        <w:t xml:space="preserve"> MSAC report suggest</w:t>
      </w:r>
      <w:r>
        <w:rPr>
          <w:rFonts w:cs="Tahoma"/>
        </w:rPr>
        <w:t>s</w:t>
      </w:r>
      <w:r w:rsidRPr="00FE6A8C">
        <w:rPr>
          <w:rFonts w:cs="Tahoma"/>
        </w:rPr>
        <w:t xml:space="preserve"> that  the failure to clearly define what constitutes a ‘limited access to colonoscopy such as to cause delay in diagnosis’, may lead to considerable potential for use of this item outside the intended purpose. </w:t>
      </w:r>
      <w:r w:rsidR="00F213CF">
        <w:rPr>
          <w:rFonts w:cs="Tahoma"/>
        </w:rPr>
        <w:t>There is not enough evidence to confirm or deny this statement.  I</w:t>
      </w:r>
      <w:r>
        <w:rPr>
          <w:rFonts w:cs="Tahoma"/>
        </w:rPr>
        <w:t>t is unknown</w:t>
      </w:r>
      <w:r w:rsidRPr="00FE6A8C">
        <w:rPr>
          <w:rFonts w:cs="Tahoma"/>
        </w:rPr>
        <w:t xml:space="preserve"> how many DCBEs</w:t>
      </w:r>
      <w:r w:rsidR="002122A6">
        <w:rPr>
          <w:rFonts w:cs="Tahoma"/>
        </w:rPr>
        <w:t xml:space="preserve"> </w:t>
      </w:r>
      <w:r w:rsidRPr="00FE6A8C">
        <w:rPr>
          <w:rFonts w:cs="Tahoma"/>
        </w:rPr>
        <w:t xml:space="preserve">are currently being done to bypass the </w:t>
      </w:r>
      <w:r>
        <w:rPr>
          <w:rFonts w:cs="Tahoma"/>
        </w:rPr>
        <w:t>OC</w:t>
      </w:r>
      <w:r w:rsidRPr="00FE6A8C">
        <w:rPr>
          <w:rFonts w:cs="Tahoma"/>
        </w:rPr>
        <w:t xml:space="preserve"> waiting list – as stated above, there is no limitation on GPs to be able to do this.</w:t>
      </w:r>
      <w:r>
        <w:rPr>
          <w:rFonts w:cs="Tahoma"/>
        </w:rPr>
        <w:t xml:space="preserve"> The statement “…</w:t>
      </w:r>
      <w:r w:rsidRPr="00333786">
        <w:rPr>
          <w:szCs w:val="24"/>
        </w:rPr>
        <w:t xml:space="preserve">if access to colonoscopy is limited </w:t>
      </w:r>
      <w:r>
        <w:rPr>
          <w:szCs w:val="24"/>
        </w:rPr>
        <w:t>it has been suggested that access to DCBE would also be limited</w:t>
      </w:r>
      <w:r>
        <w:rPr>
          <w:rFonts w:cs="Tahoma"/>
        </w:rPr>
        <w:t xml:space="preserve"> </w:t>
      </w:r>
      <w:proofErr w:type="gramStart"/>
      <w:r>
        <w:rPr>
          <w:rFonts w:cs="Tahoma"/>
        </w:rPr>
        <w:t>“ is</w:t>
      </w:r>
      <w:proofErr w:type="gramEnd"/>
      <w:r w:rsidR="00767F29">
        <w:rPr>
          <w:rFonts w:cs="Tahoma"/>
        </w:rPr>
        <w:t xml:space="preserve"> incorrect</w:t>
      </w:r>
      <w:r>
        <w:rPr>
          <w:rFonts w:cs="Tahoma"/>
        </w:rPr>
        <w:t xml:space="preserve">. However, even this option will shortly no longer be available as DCBEs become obsolete. </w:t>
      </w:r>
    </w:p>
    <w:p w:rsidR="00767F29" w:rsidRDefault="00767F29" w:rsidP="0050173F">
      <w:pPr>
        <w:pStyle w:val="ListParagraph"/>
        <w:ind w:left="0"/>
        <w:rPr>
          <w:rFonts w:cs="Tahoma"/>
        </w:rPr>
      </w:pPr>
    </w:p>
    <w:p w:rsidR="00767F29" w:rsidRDefault="0050173F" w:rsidP="0050173F">
      <w:pPr>
        <w:pStyle w:val="ListParagraph"/>
        <w:ind w:left="0"/>
      </w:pPr>
      <w:r>
        <w:rPr>
          <w:rFonts w:cs="Tahoma"/>
        </w:rPr>
        <w:t>(3)</w:t>
      </w:r>
      <w:r w:rsidR="002122A6">
        <w:rPr>
          <w:rFonts w:cs="Tahoma"/>
        </w:rPr>
        <w:t xml:space="preserve"> </w:t>
      </w:r>
      <w:r w:rsidR="002122A6">
        <w:rPr>
          <w:rFonts w:cs="Times"/>
        </w:rPr>
        <w:t>t</w:t>
      </w:r>
      <w:r w:rsidRPr="00FE6A8C">
        <w:rPr>
          <w:rFonts w:cs="Times"/>
        </w:rPr>
        <w:t xml:space="preserve">he economic analysis suggests that CTC is slightly more expensive than diagnostic </w:t>
      </w:r>
      <w:r>
        <w:rPr>
          <w:rFonts w:cs="Times"/>
        </w:rPr>
        <w:t>OC</w:t>
      </w:r>
      <w:r w:rsidRPr="00FE6A8C">
        <w:rPr>
          <w:rFonts w:cs="Times"/>
        </w:rPr>
        <w:t xml:space="preserve">. MSAC does not </w:t>
      </w:r>
      <w:r>
        <w:rPr>
          <w:rFonts w:cs="Times"/>
        </w:rPr>
        <w:t>appear to</w:t>
      </w:r>
      <w:r w:rsidRPr="00FE6A8C">
        <w:rPr>
          <w:rFonts w:cs="Times"/>
        </w:rPr>
        <w:t xml:space="preserve"> take into account patient costs or costs to the community (</w:t>
      </w:r>
      <w:proofErr w:type="spellStart"/>
      <w:r w:rsidRPr="00FE6A8C">
        <w:rPr>
          <w:rFonts w:cs="Times"/>
        </w:rPr>
        <w:t>eg</w:t>
      </w:r>
      <w:proofErr w:type="spellEnd"/>
      <w:r w:rsidRPr="00FE6A8C">
        <w:rPr>
          <w:rFonts w:cs="Times"/>
        </w:rPr>
        <w:t xml:space="preserve"> time off work after anaesthesia for colonoscopy, patient transport costs – bearing in mind CTC can be done remotely from the radiologist, </w:t>
      </w:r>
      <w:proofErr w:type="spellStart"/>
      <w:r w:rsidRPr="00FE6A8C">
        <w:rPr>
          <w:rFonts w:cs="Times"/>
        </w:rPr>
        <w:t>etc</w:t>
      </w:r>
      <w:proofErr w:type="spellEnd"/>
      <w:r w:rsidRPr="00FE6A8C">
        <w:rPr>
          <w:rFonts w:cs="Times"/>
        </w:rPr>
        <w:t>)</w:t>
      </w:r>
      <w:r>
        <w:rPr>
          <w:rFonts w:cs="Times"/>
        </w:rPr>
        <w:t>, nor,</w:t>
      </w:r>
      <w:r w:rsidR="00767F29">
        <w:rPr>
          <w:rFonts w:cs="Times"/>
        </w:rPr>
        <w:t xml:space="preserve"> </w:t>
      </w:r>
      <w:r>
        <w:rPr>
          <w:rFonts w:cs="Times"/>
        </w:rPr>
        <w:t xml:space="preserve">importantly, the savings on OCs which are no longer needed after negative CTC. </w:t>
      </w:r>
      <w:r w:rsidRPr="00FE6A8C">
        <w:t xml:space="preserve">A normal CTC can exclude the need for </w:t>
      </w:r>
      <w:r>
        <w:t>OC</w:t>
      </w:r>
      <w:r w:rsidRPr="00FE6A8C">
        <w:t xml:space="preserve"> in 70% of those on the waiting list, or more with discretionary reporting of small polyps</w:t>
      </w:r>
      <w:r>
        <w:rPr>
          <w:b/>
          <w:i/>
        </w:rPr>
        <w:t xml:space="preserve">.  </w:t>
      </w:r>
      <w:r w:rsidRPr="00FE6A8C">
        <w:t xml:space="preserve">Evidence of such use of CTC has come from Canada and New Zealand </w:t>
      </w:r>
      <w:r>
        <w:t xml:space="preserve">(accompanied by risk stratification methods) </w:t>
      </w:r>
      <w:r w:rsidRPr="00FE6A8C">
        <w:t xml:space="preserve">and has not been </w:t>
      </w:r>
      <w:r>
        <w:t xml:space="preserve">included in the MSAC report. </w:t>
      </w:r>
    </w:p>
    <w:p w:rsidR="00767F29" w:rsidRDefault="00767F29" w:rsidP="0050173F">
      <w:pPr>
        <w:pStyle w:val="ListParagraph"/>
        <w:ind w:left="0"/>
      </w:pPr>
    </w:p>
    <w:p w:rsidR="0050173F" w:rsidRDefault="0050173F" w:rsidP="0050173F">
      <w:pPr>
        <w:pStyle w:val="ListParagraph"/>
        <w:ind w:left="0"/>
      </w:pPr>
      <w:r>
        <w:t xml:space="preserve">(4) </w:t>
      </w:r>
      <w:proofErr w:type="gramStart"/>
      <w:r w:rsidR="002122A6">
        <w:t>t</w:t>
      </w:r>
      <w:r>
        <w:t>he</w:t>
      </w:r>
      <w:proofErr w:type="gramEnd"/>
      <w:r>
        <w:t xml:space="preserve"> statement “…CTC could not be considered a replacement for colonoscopy and could not be used as a primary screening tool” is misleading and</w:t>
      </w:r>
      <w:r w:rsidR="002122A6">
        <w:t xml:space="preserve"> </w:t>
      </w:r>
      <w:r w:rsidR="00767F29">
        <w:t>incorrect</w:t>
      </w:r>
      <w:r>
        <w:t xml:space="preserve">. Firstly, it is not being suggested that CTC be used for screening, and secondly, CTC is certainly considered a replacement for OC in selected patients in many international jurisdictions. </w:t>
      </w:r>
    </w:p>
    <w:p w:rsidR="005B7488" w:rsidRDefault="005B7488" w:rsidP="0050173F">
      <w:pPr>
        <w:pStyle w:val="ListParagraph"/>
        <w:ind w:left="0"/>
      </w:pPr>
    </w:p>
    <w:p w:rsidR="005B7488" w:rsidRPr="00FE6A8C" w:rsidRDefault="005B7488" w:rsidP="0050173F">
      <w:pPr>
        <w:pStyle w:val="ListParagraph"/>
        <w:ind w:left="0"/>
        <w:rPr>
          <w:b/>
          <w:i/>
        </w:rPr>
      </w:pPr>
      <w:r>
        <w:t>The applicant will address these issues in a resubmission.</w:t>
      </w:r>
    </w:p>
    <w:p w:rsidR="0050173F" w:rsidRDefault="0050173F"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3"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19" w:rsidRDefault="00C81A19" w:rsidP="00065623">
      <w:r>
        <w:separator/>
      </w:r>
    </w:p>
  </w:endnote>
  <w:endnote w:type="continuationSeparator" w:id="0">
    <w:p w:rsidR="00C81A19" w:rsidRDefault="00C81A1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B01810" w:rsidRDefault="00B01810">
        <w:pPr>
          <w:pStyle w:val="Footer"/>
          <w:jc w:val="right"/>
        </w:pPr>
        <w:r>
          <w:fldChar w:fldCharType="begin"/>
        </w:r>
        <w:r>
          <w:instrText xml:space="preserve"> PAGE   \* MERGEFORMAT </w:instrText>
        </w:r>
        <w:r>
          <w:fldChar w:fldCharType="separate"/>
        </w:r>
        <w:r w:rsidR="00C57AEE">
          <w:rPr>
            <w:noProof/>
          </w:rPr>
          <w:t>16</w:t>
        </w:r>
        <w:r>
          <w:rPr>
            <w:noProof/>
          </w:rPr>
          <w:fldChar w:fldCharType="end"/>
        </w:r>
      </w:p>
    </w:sdtContent>
  </w:sdt>
  <w:p w:rsidR="00B01810" w:rsidRDefault="00B01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19" w:rsidRDefault="00C81A19" w:rsidP="00065623">
      <w:r>
        <w:separator/>
      </w:r>
    </w:p>
  </w:footnote>
  <w:footnote w:type="continuationSeparator" w:id="0">
    <w:p w:rsidR="00C81A19" w:rsidRDefault="00C81A19"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24D7A99"/>
    <w:multiLevelType w:val="hybridMultilevel"/>
    <w:tmpl w:val="3B64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90D70"/>
    <w:multiLevelType w:val="hybridMultilevel"/>
    <w:tmpl w:val="543272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5E617CD"/>
    <w:multiLevelType w:val="hybridMultilevel"/>
    <w:tmpl w:val="6EBC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1C76D54"/>
    <w:multiLevelType w:val="hybridMultilevel"/>
    <w:tmpl w:val="4106FB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CB21881"/>
    <w:multiLevelType w:val="hybridMultilevel"/>
    <w:tmpl w:val="96E44F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17"/>
  </w:num>
  <w:num w:numId="5">
    <w:abstractNumId w:val="9"/>
  </w:num>
  <w:num w:numId="6">
    <w:abstractNumId w:val="16"/>
  </w:num>
  <w:num w:numId="7">
    <w:abstractNumId w:val="21"/>
  </w:num>
  <w:num w:numId="8">
    <w:abstractNumId w:val="10"/>
  </w:num>
  <w:num w:numId="9">
    <w:abstractNumId w:val="28"/>
  </w:num>
  <w:num w:numId="10">
    <w:abstractNumId w:val="0"/>
  </w:num>
  <w:num w:numId="11">
    <w:abstractNumId w:val="19"/>
  </w:num>
  <w:num w:numId="12">
    <w:abstractNumId w:val="22"/>
  </w:num>
  <w:num w:numId="13">
    <w:abstractNumId w:val="4"/>
  </w:num>
  <w:num w:numId="14">
    <w:abstractNumId w:val="26"/>
  </w:num>
  <w:num w:numId="15">
    <w:abstractNumId w:val="18"/>
  </w:num>
  <w:num w:numId="16">
    <w:abstractNumId w:val="23"/>
  </w:num>
  <w:num w:numId="17">
    <w:abstractNumId w:val="11"/>
  </w:num>
  <w:num w:numId="18">
    <w:abstractNumId w:val="12"/>
  </w:num>
  <w:num w:numId="19">
    <w:abstractNumId w:val="25"/>
  </w:num>
  <w:num w:numId="20">
    <w:abstractNumId w:val="24"/>
  </w:num>
  <w:num w:numId="21">
    <w:abstractNumId w:val="3"/>
  </w:num>
  <w:num w:numId="22">
    <w:abstractNumId w:val="8"/>
  </w:num>
  <w:num w:numId="23">
    <w:abstractNumId w:val="2"/>
  </w:num>
  <w:num w:numId="24">
    <w:abstractNumId w:val="6"/>
  </w:num>
  <w:num w:numId="25">
    <w:abstractNumId w:val="20"/>
  </w:num>
  <w:num w:numId="26">
    <w:abstractNumId w:val="27"/>
  </w:num>
  <w:num w:numId="27">
    <w:abstractNumId w:val="15"/>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30F"/>
    <w:rsid w:val="00047606"/>
    <w:rsid w:val="00065623"/>
    <w:rsid w:val="00072EC1"/>
    <w:rsid w:val="000756B9"/>
    <w:rsid w:val="00096B67"/>
    <w:rsid w:val="00096DAF"/>
    <w:rsid w:val="000A677D"/>
    <w:rsid w:val="000C2F47"/>
    <w:rsid w:val="000C798A"/>
    <w:rsid w:val="000D6C00"/>
    <w:rsid w:val="000E4E04"/>
    <w:rsid w:val="000E72BB"/>
    <w:rsid w:val="000F14B4"/>
    <w:rsid w:val="000F75DF"/>
    <w:rsid w:val="001328FA"/>
    <w:rsid w:val="00147453"/>
    <w:rsid w:val="00147AAF"/>
    <w:rsid w:val="00152435"/>
    <w:rsid w:val="001552C0"/>
    <w:rsid w:val="001640B1"/>
    <w:rsid w:val="0016771D"/>
    <w:rsid w:val="0018435E"/>
    <w:rsid w:val="001E10C3"/>
    <w:rsid w:val="002041A1"/>
    <w:rsid w:val="002054F0"/>
    <w:rsid w:val="002064C2"/>
    <w:rsid w:val="002122A6"/>
    <w:rsid w:val="00230D6B"/>
    <w:rsid w:val="00232068"/>
    <w:rsid w:val="002330F2"/>
    <w:rsid w:val="00243D9E"/>
    <w:rsid w:val="00253B66"/>
    <w:rsid w:val="00261DF1"/>
    <w:rsid w:val="00271F18"/>
    <w:rsid w:val="00282779"/>
    <w:rsid w:val="0028334D"/>
    <w:rsid w:val="002B7FFA"/>
    <w:rsid w:val="002C2BCF"/>
    <w:rsid w:val="002F279D"/>
    <w:rsid w:val="002F43B8"/>
    <w:rsid w:val="0034554D"/>
    <w:rsid w:val="00352224"/>
    <w:rsid w:val="003671E6"/>
    <w:rsid w:val="00372FE9"/>
    <w:rsid w:val="00384272"/>
    <w:rsid w:val="00385313"/>
    <w:rsid w:val="00386D67"/>
    <w:rsid w:val="003945B8"/>
    <w:rsid w:val="003C5C2B"/>
    <w:rsid w:val="003D7F29"/>
    <w:rsid w:val="00403039"/>
    <w:rsid w:val="00405A6B"/>
    <w:rsid w:val="00407B1F"/>
    <w:rsid w:val="00414C57"/>
    <w:rsid w:val="0041758C"/>
    <w:rsid w:val="004536EF"/>
    <w:rsid w:val="004539DE"/>
    <w:rsid w:val="004773C3"/>
    <w:rsid w:val="00483B5C"/>
    <w:rsid w:val="004931BC"/>
    <w:rsid w:val="004A2CF1"/>
    <w:rsid w:val="004C3035"/>
    <w:rsid w:val="004C307F"/>
    <w:rsid w:val="004E4BA8"/>
    <w:rsid w:val="004F7B7C"/>
    <w:rsid w:val="0050173F"/>
    <w:rsid w:val="0052243D"/>
    <w:rsid w:val="00532435"/>
    <w:rsid w:val="00550354"/>
    <w:rsid w:val="00571236"/>
    <w:rsid w:val="005838E3"/>
    <w:rsid w:val="005953A1"/>
    <w:rsid w:val="005B7488"/>
    <w:rsid w:val="005D0332"/>
    <w:rsid w:val="005D0D8C"/>
    <w:rsid w:val="0062261D"/>
    <w:rsid w:val="00626997"/>
    <w:rsid w:val="00661174"/>
    <w:rsid w:val="006A0D97"/>
    <w:rsid w:val="006C0A91"/>
    <w:rsid w:val="006C7AA4"/>
    <w:rsid w:val="007054BB"/>
    <w:rsid w:val="00707064"/>
    <w:rsid w:val="00730683"/>
    <w:rsid w:val="00736A69"/>
    <w:rsid w:val="0075261F"/>
    <w:rsid w:val="0075468E"/>
    <w:rsid w:val="007665D8"/>
    <w:rsid w:val="00766E36"/>
    <w:rsid w:val="00767F29"/>
    <w:rsid w:val="00774288"/>
    <w:rsid w:val="007765F4"/>
    <w:rsid w:val="00776633"/>
    <w:rsid w:val="00784D53"/>
    <w:rsid w:val="00797797"/>
    <w:rsid w:val="007A63C9"/>
    <w:rsid w:val="007B32D1"/>
    <w:rsid w:val="007B7095"/>
    <w:rsid w:val="007D24E1"/>
    <w:rsid w:val="007F3654"/>
    <w:rsid w:val="007F4CE9"/>
    <w:rsid w:val="007F4E20"/>
    <w:rsid w:val="008078C2"/>
    <w:rsid w:val="00815303"/>
    <w:rsid w:val="00822C7E"/>
    <w:rsid w:val="00847060"/>
    <w:rsid w:val="00856A33"/>
    <w:rsid w:val="00892620"/>
    <w:rsid w:val="008A6603"/>
    <w:rsid w:val="008C7D37"/>
    <w:rsid w:val="008D5885"/>
    <w:rsid w:val="00923FA2"/>
    <w:rsid w:val="0096060D"/>
    <w:rsid w:val="0096661B"/>
    <w:rsid w:val="00974A50"/>
    <w:rsid w:val="0097585A"/>
    <w:rsid w:val="00991094"/>
    <w:rsid w:val="009924B0"/>
    <w:rsid w:val="009942C9"/>
    <w:rsid w:val="009B35C4"/>
    <w:rsid w:val="009C630A"/>
    <w:rsid w:val="009E0D98"/>
    <w:rsid w:val="00A068A1"/>
    <w:rsid w:val="00A1207D"/>
    <w:rsid w:val="00A12FD8"/>
    <w:rsid w:val="00A346FC"/>
    <w:rsid w:val="00A41DC9"/>
    <w:rsid w:val="00A8337D"/>
    <w:rsid w:val="00A84F93"/>
    <w:rsid w:val="00AB1AC5"/>
    <w:rsid w:val="00AB1E28"/>
    <w:rsid w:val="00AB3BFC"/>
    <w:rsid w:val="00AC4F2E"/>
    <w:rsid w:val="00AD0C37"/>
    <w:rsid w:val="00AD385F"/>
    <w:rsid w:val="00AE6E2A"/>
    <w:rsid w:val="00B01810"/>
    <w:rsid w:val="00B018FC"/>
    <w:rsid w:val="00B31E9C"/>
    <w:rsid w:val="00B51C6D"/>
    <w:rsid w:val="00B86692"/>
    <w:rsid w:val="00B86D64"/>
    <w:rsid w:val="00BA4AC5"/>
    <w:rsid w:val="00BC1364"/>
    <w:rsid w:val="00BC7DE9"/>
    <w:rsid w:val="00BF357E"/>
    <w:rsid w:val="00BF479B"/>
    <w:rsid w:val="00C02577"/>
    <w:rsid w:val="00C20BEE"/>
    <w:rsid w:val="00C457DB"/>
    <w:rsid w:val="00C56371"/>
    <w:rsid w:val="00C57AEE"/>
    <w:rsid w:val="00C67DD2"/>
    <w:rsid w:val="00C76F5C"/>
    <w:rsid w:val="00C81A19"/>
    <w:rsid w:val="00C96BAD"/>
    <w:rsid w:val="00CA6050"/>
    <w:rsid w:val="00CA6944"/>
    <w:rsid w:val="00CB0F8E"/>
    <w:rsid w:val="00CB7E7D"/>
    <w:rsid w:val="00CC27CE"/>
    <w:rsid w:val="00CC2911"/>
    <w:rsid w:val="00CE279B"/>
    <w:rsid w:val="00CE2D22"/>
    <w:rsid w:val="00CF0C6D"/>
    <w:rsid w:val="00CF7307"/>
    <w:rsid w:val="00CF7C68"/>
    <w:rsid w:val="00D124FA"/>
    <w:rsid w:val="00D340DE"/>
    <w:rsid w:val="00D55723"/>
    <w:rsid w:val="00D62FAD"/>
    <w:rsid w:val="00D70450"/>
    <w:rsid w:val="00D83BFD"/>
    <w:rsid w:val="00D90A38"/>
    <w:rsid w:val="00DA0515"/>
    <w:rsid w:val="00DA171E"/>
    <w:rsid w:val="00DA194D"/>
    <w:rsid w:val="00DA56AA"/>
    <w:rsid w:val="00DB5833"/>
    <w:rsid w:val="00DC286E"/>
    <w:rsid w:val="00DD2858"/>
    <w:rsid w:val="00DD639D"/>
    <w:rsid w:val="00E03E33"/>
    <w:rsid w:val="00E33C70"/>
    <w:rsid w:val="00E3642A"/>
    <w:rsid w:val="00E415C4"/>
    <w:rsid w:val="00E50016"/>
    <w:rsid w:val="00E50EAA"/>
    <w:rsid w:val="00E656D6"/>
    <w:rsid w:val="00E66C12"/>
    <w:rsid w:val="00E977EE"/>
    <w:rsid w:val="00EA67A2"/>
    <w:rsid w:val="00EB2518"/>
    <w:rsid w:val="00EC4F98"/>
    <w:rsid w:val="00F04B3D"/>
    <w:rsid w:val="00F12F02"/>
    <w:rsid w:val="00F213CF"/>
    <w:rsid w:val="00F35134"/>
    <w:rsid w:val="00F41812"/>
    <w:rsid w:val="00F73333"/>
    <w:rsid w:val="00F802E3"/>
    <w:rsid w:val="00F86BC1"/>
    <w:rsid w:val="00F95D8F"/>
    <w:rsid w:val="00FB350A"/>
    <w:rsid w:val="00FC5672"/>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E66C1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C12"/>
    <w:pPr>
      <w:spacing w:before="100" w:beforeAutospacing="1" w:after="100" w:afterAutospacing="1"/>
    </w:pPr>
    <w:rPr>
      <w:szCs w:val="24"/>
    </w:rPr>
  </w:style>
  <w:style w:type="paragraph" w:customStyle="1" w:styleId="TableHeading">
    <w:name w:val="TableHeading"/>
    <w:basedOn w:val="Normal"/>
    <w:link w:val="TableHeadingChar"/>
    <w:qFormat/>
    <w:rsid w:val="00E66C12"/>
    <w:pPr>
      <w:spacing w:before="40" w:after="40"/>
      <w:ind w:left="1134" w:hanging="1134"/>
    </w:pPr>
    <w:rPr>
      <w:rFonts w:ascii="Arial Narrow" w:hAnsi="Arial Narrow" w:cs="Tahoma"/>
      <w:b/>
      <w:sz w:val="20"/>
    </w:rPr>
  </w:style>
  <w:style w:type="character" w:customStyle="1" w:styleId="TableHeadingChar">
    <w:name w:val="TableHeading Char"/>
    <w:link w:val="TableHeading"/>
    <w:rsid w:val="00E66C12"/>
    <w:rPr>
      <w:rFonts w:ascii="Arial Narrow" w:eastAsia="Times New Roman" w:hAnsi="Arial Narrow" w:cs="Tahoma"/>
      <w:b/>
      <w:sz w:val="20"/>
      <w:szCs w:val="20"/>
    </w:rPr>
  </w:style>
  <w:style w:type="paragraph" w:customStyle="1" w:styleId="Tabletext">
    <w:name w:val="Table text"/>
    <w:basedOn w:val="Normal"/>
    <w:link w:val="TabletextChar"/>
    <w:qFormat/>
    <w:rsid w:val="00E66C12"/>
    <w:pPr>
      <w:spacing w:before="40" w:after="40"/>
    </w:pPr>
    <w:rPr>
      <w:rFonts w:ascii="Arial Narrow" w:hAnsi="Arial Narrow" w:cs="Tahoma"/>
      <w:sz w:val="20"/>
    </w:rPr>
  </w:style>
  <w:style w:type="character" w:customStyle="1" w:styleId="TabletextChar">
    <w:name w:val="Table text Char"/>
    <w:link w:val="Tabletext"/>
    <w:rsid w:val="00E66C12"/>
    <w:rPr>
      <w:rFonts w:ascii="Arial Narrow" w:eastAsia="Times New Roman" w:hAnsi="Arial Narrow"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E66C1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C12"/>
    <w:pPr>
      <w:spacing w:before="100" w:beforeAutospacing="1" w:after="100" w:afterAutospacing="1"/>
    </w:pPr>
    <w:rPr>
      <w:szCs w:val="24"/>
    </w:rPr>
  </w:style>
  <w:style w:type="paragraph" w:customStyle="1" w:styleId="TableHeading">
    <w:name w:val="TableHeading"/>
    <w:basedOn w:val="Normal"/>
    <w:link w:val="TableHeadingChar"/>
    <w:qFormat/>
    <w:rsid w:val="00E66C12"/>
    <w:pPr>
      <w:spacing w:before="40" w:after="40"/>
      <w:ind w:left="1134" w:hanging="1134"/>
    </w:pPr>
    <w:rPr>
      <w:rFonts w:ascii="Arial Narrow" w:hAnsi="Arial Narrow" w:cs="Tahoma"/>
      <w:b/>
      <w:sz w:val="20"/>
    </w:rPr>
  </w:style>
  <w:style w:type="character" w:customStyle="1" w:styleId="TableHeadingChar">
    <w:name w:val="TableHeading Char"/>
    <w:link w:val="TableHeading"/>
    <w:rsid w:val="00E66C12"/>
    <w:rPr>
      <w:rFonts w:ascii="Arial Narrow" w:eastAsia="Times New Roman" w:hAnsi="Arial Narrow" w:cs="Tahoma"/>
      <w:b/>
      <w:sz w:val="20"/>
      <w:szCs w:val="20"/>
    </w:rPr>
  </w:style>
  <w:style w:type="paragraph" w:customStyle="1" w:styleId="Tabletext">
    <w:name w:val="Table text"/>
    <w:basedOn w:val="Normal"/>
    <w:link w:val="TabletextChar"/>
    <w:qFormat/>
    <w:rsid w:val="00E66C12"/>
    <w:pPr>
      <w:spacing w:before="40" w:after="40"/>
    </w:pPr>
    <w:rPr>
      <w:rFonts w:ascii="Arial Narrow" w:hAnsi="Arial Narrow" w:cs="Tahoma"/>
      <w:sz w:val="20"/>
    </w:rPr>
  </w:style>
  <w:style w:type="character" w:customStyle="1" w:styleId="TabletextChar">
    <w:name w:val="Table text Char"/>
    <w:link w:val="Tabletext"/>
    <w:rsid w:val="00E66C12"/>
    <w:rPr>
      <w:rFonts w:ascii="Arial Narrow" w:eastAsia="Times New Roman" w:hAnsi="Arial Narrow"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6364</Words>
  <Characters>35441</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McCandless Sean</cp:lastModifiedBy>
  <cp:revision>2</cp:revision>
  <cp:lastPrinted>2015-02-06T04:15:00Z</cp:lastPrinted>
  <dcterms:created xsi:type="dcterms:W3CDTF">2015-07-06T21:11:00Z</dcterms:created>
  <dcterms:modified xsi:type="dcterms:W3CDTF">2015-07-06T21:11:00Z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