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Pr="00BB418D" w:rsidRDefault="0006068A" w:rsidP="002D125C">
      <w:pPr>
        <w:spacing w:line="360" w:lineRule="auto"/>
        <w:jc w:val="center"/>
        <w:rPr>
          <w:rFonts w:ascii="Arial" w:hAnsi="Arial" w:cs="Arial"/>
          <w:b/>
          <w:color w:val="000080"/>
          <w:sz w:val="28"/>
          <w:szCs w:val="28"/>
        </w:rPr>
      </w:pPr>
      <w:r>
        <w:rPr>
          <w:rFonts w:ascii="Arial" w:hAnsi="Arial" w:cs="Arial"/>
          <w:b/>
          <w:noProof/>
          <w:color w:val="000080"/>
          <w:sz w:val="28"/>
          <w:szCs w:val="28"/>
        </w:rPr>
        <w:drawing>
          <wp:inline distT="0" distB="0" distL="0" distR="0" wp14:anchorId="067BC5C2" wp14:editId="555E589A">
            <wp:extent cx="2627630" cy="1078865"/>
            <wp:effectExtent l="0" t="0" r="1270" b="6985"/>
            <wp:docPr id="1" name="Picture 1" title="The Australian Government's 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D74DA6" w:rsidRDefault="00D74DA6" w:rsidP="00D74DA6">
      <w:pPr>
        <w:pStyle w:val="Title"/>
        <w:rPr>
          <w:i w:val="0"/>
          <w:sz w:val="36"/>
          <w:szCs w:val="36"/>
        </w:rPr>
      </w:pPr>
    </w:p>
    <w:p w:rsidR="004C0814" w:rsidRPr="00D74DA6" w:rsidRDefault="004C0814" w:rsidP="00D74DA6">
      <w:pPr>
        <w:pStyle w:val="Title"/>
        <w:rPr>
          <w:i w:val="0"/>
          <w:sz w:val="36"/>
          <w:szCs w:val="36"/>
        </w:rPr>
      </w:pPr>
      <w:r w:rsidRPr="00D74DA6">
        <w:rPr>
          <w:i w:val="0"/>
          <w:sz w:val="36"/>
          <w:szCs w:val="36"/>
        </w:rPr>
        <w:t>Public Summary Document</w:t>
      </w:r>
    </w:p>
    <w:p w:rsidR="005028EA" w:rsidRPr="005028EA" w:rsidRDefault="005028EA" w:rsidP="005028EA"/>
    <w:p w:rsidR="004C0814" w:rsidRPr="00247276" w:rsidRDefault="0006068A" w:rsidP="00247276">
      <w:pPr>
        <w:pStyle w:val="Title"/>
      </w:pPr>
      <w:r w:rsidRPr="00247276">
        <w:t xml:space="preserve">Application No. </w:t>
      </w:r>
      <w:r w:rsidR="002D125C" w:rsidRPr="00247276">
        <w:t>1310</w:t>
      </w:r>
      <w:r w:rsidRPr="00247276">
        <w:t xml:space="preserve"> – </w:t>
      </w:r>
      <w:r w:rsidR="002D125C" w:rsidRPr="00247276">
        <w:t xml:space="preserve">Optical </w:t>
      </w:r>
      <w:r w:rsidR="004C4ABE" w:rsidRPr="00247276">
        <w:t>c</w:t>
      </w:r>
      <w:r w:rsidR="002D125C" w:rsidRPr="00247276">
        <w:t xml:space="preserve">oherence </w:t>
      </w:r>
      <w:r w:rsidR="004C4ABE" w:rsidRPr="00247276">
        <w:t>t</w:t>
      </w:r>
      <w:r w:rsidR="002D125C" w:rsidRPr="00247276">
        <w:t xml:space="preserve">omography to inform treatment with </w:t>
      </w:r>
      <w:r w:rsidR="004C4ABE" w:rsidRPr="00247276">
        <w:t>a</w:t>
      </w:r>
      <w:r w:rsidR="002D125C" w:rsidRPr="00247276">
        <w:t>flibercept</w:t>
      </w:r>
    </w:p>
    <w:p w:rsidR="005028EA" w:rsidRPr="002D125C" w:rsidRDefault="005028EA" w:rsidP="002D125C">
      <w:pPr>
        <w:tabs>
          <w:tab w:val="left" w:pos="4320"/>
        </w:tabs>
        <w:spacing w:before="120"/>
        <w:jc w:val="center"/>
        <w:rPr>
          <w:rFonts w:ascii="Arial" w:hAnsi="Arial" w:cs="Arial"/>
          <w:b/>
          <w:i/>
          <w:color w:val="000099"/>
          <w:sz w:val="28"/>
          <w:szCs w:val="28"/>
        </w:rPr>
      </w:pPr>
    </w:p>
    <w:p w:rsidR="00E8253A" w:rsidRPr="00BB418D" w:rsidRDefault="00E8253A" w:rsidP="004C0814">
      <w:pPr>
        <w:tabs>
          <w:tab w:val="left" w:pos="3600"/>
        </w:tabs>
        <w:ind w:left="3600" w:hanging="3600"/>
        <w:rPr>
          <w:rFonts w:ascii="Arial" w:hAnsi="Arial" w:cs="Arial"/>
          <w:szCs w:val="24"/>
        </w:rPr>
      </w:pPr>
    </w:p>
    <w:p w:rsidR="006156C1" w:rsidRPr="00BB418D" w:rsidRDefault="004C0814" w:rsidP="0006068A">
      <w:pPr>
        <w:tabs>
          <w:tab w:val="left" w:pos="2265"/>
          <w:tab w:val="left" w:pos="3544"/>
          <w:tab w:val="left" w:pos="4320"/>
        </w:tabs>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2C2562">
        <w:rPr>
          <w:rFonts w:ascii="Arial" w:hAnsi="Arial" w:cs="Arial"/>
          <w:b/>
          <w:szCs w:val="24"/>
        </w:rPr>
        <w:t xml:space="preserve">Bayer </w:t>
      </w:r>
      <w:r w:rsidR="002A42F9">
        <w:rPr>
          <w:rFonts w:ascii="Arial" w:hAnsi="Arial" w:cs="Arial"/>
          <w:b/>
          <w:szCs w:val="24"/>
        </w:rPr>
        <w:t xml:space="preserve">Australia </w:t>
      </w:r>
      <w:r w:rsidR="005028EA">
        <w:rPr>
          <w:rFonts w:ascii="Arial" w:hAnsi="Arial" w:cs="Arial"/>
          <w:b/>
          <w:szCs w:val="24"/>
        </w:rPr>
        <w:t xml:space="preserve">Pty </w:t>
      </w:r>
      <w:r w:rsidR="006D2CF5">
        <w:rPr>
          <w:rFonts w:ascii="Arial" w:hAnsi="Arial" w:cs="Arial"/>
          <w:b/>
          <w:szCs w:val="24"/>
        </w:rPr>
        <w:t>Ltd</w:t>
      </w:r>
    </w:p>
    <w:p w:rsidR="006F0F76" w:rsidRPr="00BB418D" w:rsidRDefault="006F0F76" w:rsidP="00D0483F">
      <w:pPr>
        <w:tabs>
          <w:tab w:val="left" w:pos="2265"/>
          <w:tab w:val="left" w:pos="3420"/>
          <w:tab w:val="left" w:pos="4320"/>
        </w:tabs>
        <w:rPr>
          <w:rFonts w:ascii="Arial" w:hAnsi="Arial" w:cs="Arial"/>
          <w:b/>
        </w:rPr>
      </w:pPr>
    </w:p>
    <w:p w:rsidR="00DF4B27" w:rsidRDefault="004C0814" w:rsidP="002B4CE2">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DE1BFB">
        <w:rPr>
          <w:rFonts w:ascii="Arial" w:hAnsi="Arial" w:cs="Arial"/>
          <w:b/>
          <w:szCs w:val="24"/>
        </w:rPr>
        <w:t>1 August 2013</w:t>
      </w:r>
    </w:p>
    <w:p w:rsidR="005028EA" w:rsidRDefault="005028EA" w:rsidP="002B4CE2">
      <w:pPr>
        <w:tabs>
          <w:tab w:val="left" w:pos="3402"/>
          <w:tab w:val="left" w:pos="4320"/>
        </w:tabs>
        <w:ind w:left="3544" w:hanging="3544"/>
        <w:rPr>
          <w:rFonts w:ascii="Arial" w:hAnsi="Arial" w:cs="Arial"/>
          <w:b/>
          <w:szCs w:val="24"/>
        </w:rPr>
      </w:pPr>
    </w:p>
    <w:p w:rsidR="005028EA" w:rsidRPr="002B4CE2" w:rsidRDefault="005028EA" w:rsidP="002B4CE2">
      <w:pPr>
        <w:tabs>
          <w:tab w:val="left" w:pos="3402"/>
          <w:tab w:val="left" w:pos="4320"/>
        </w:tabs>
        <w:ind w:left="3544" w:hanging="3544"/>
        <w:rPr>
          <w:rFonts w:ascii="Arial" w:hAnsi="Arial" w:cs="Arial"/>
          <w:b/>
          <w:szCs w:val="24"/>
        </w:rPr>
      </w:pPr>
    </w:p>
    <w:p w:rsidR="002B4CE2" w:rsidRDefault="002B4CE2" w:rsidP="005028EA">
      <w:pPr>
        <w:pStyle w:val="Heading1"/>
        <w:numPr>
          <w:ilvl w:val="0"/>
          <w:numId w:val="17"/>
        </w:numPr>
        <w:spacing w:before="0"/>
        <w:ind w:left="567" w:hanging="567"/>
        <w:rPr>
          <w:rFonts w:cs="Arial"/>
          <w:szCs w:val="24"/>
        </w:rPr>
      </w:pPr>
      <w:r w:rsidRPr="002B4CE2">
        <w:rPr>
          <w:rFonts w:cs="Arial"/>
          <w:szCs w:val="24"/>
        </w:rPr>
        <w:t>Purpose of application</w:t>
      </w:r>
    </w:p>
    <w:p w:rsidR="002A42F9" w:rsidRPr="004A2933" w:rsidRDefault="002A42F9" w:rsidP="005028EA">
      <w:pPr>
        <w:rPr>
          <w:szCs w:val="24"/>
        </w:rPr>
      </w:pPr>
      <w:r w:rsidRPr="004A2933">
        <w:rPr>
          <w:szCs w:val="24"/>
        </w:rPr>
        <w:t>In</w:t>
      </w:r>
      <w:r w:rsidRPr="004A2933">
        <w:rPr>
          <w:spacing w:val="2"/>
          <w:szCs w:val="24"/>
        </w:rPr>
        <w:t xml:space="preserve"> </w:t>
      </w:r>
      <w:r w:rsidR="0066463F">
        <w:rPr>
          <w:spacing w:val="-1"/>
          <w:szCs w:val="24"/>
        </w:rPr>
        <w:t>May 2012</w:t>
      </w:r>
      <w:r w:rsidRPr="004A2933">
        <w:rPr>
          <w:szCs w:val="24"/>
        </w:rPr>
        <w:t>,</w:t>
      </w:r>
      <w:r w:rsidR="0066463F">
        <w:rPr>
          <w:szCs w:val="24"/>
        </w:rPr>
        <w:t xml:space="preserve"> the Department of Health and Ageing received</w:t>
      </w:r>
      <w:r w:rsidRPr="004A2933">
        <w:rPr>
          <w:spacing w:val="2"/>
          <w:szCs w:val="24"/>
        </w:rPr>
        <w:t xml:space="preserve"> </w:t>
      </w:r>
      <w:r w:rsidRPr="004A2933">
        <w:rPr>
          <w:spacing w:val="-1"/>
          <w:szCs w:val="24"/>
        </w:rPr>
        <w:t>a</w:t>
      </w:r>
      <w:r w:rsidRPr="004A2933">
        <w:rPr>
          <w:szCs w:val="24"/>
        </w:rPr>
        <w:t xml:space="preserve">n </w:t>
      </w:r>
      <w:r w:rsidRPr="004A2933">
        <w:rPr>
          <w:spacing w:val="-1"/>
          <w:szCs w:val="24"/>
        </w:rPr>
        <w:t>a</w:t>
      </w:r>
      <w:r w:rsidRPr="004A2933">
        <w:rPr>
          <w:szCs w:val="24"/>
        </w:rPr>
        <w:t>p</w:t>
      </w:r>
      <w:r w:rsidRPr="004A2933">
        <w:rPr>
          <w:spacing w:val="2"/>
          <w:szCs w:val="24"/>
        </w:rPr>
        <w:t>p</w:t>
      </w:r>
      <w:r w:rsidRPr="004A2933">
        <w:rPr>
          <w:szCs w:val="24"/>
        </w:rPr>
        <w:t>li</w:t>
      </w:r>
      <w:r w:rsidRPr="004A2933">
        <w:rPr>
          <w:spacing w:val="-1"/>
          <w:szCs w:val="24"/>
        </w:rPr>
        <w:t>ca</w:t>
      </w:r>
      <w:r w:rsidRPr="004A2933">
        <w:rPr>
          <w:szCs w:val="24"/>
        </w:rPr>
        <w:t xml:space="preserve">tion </w:t>
      </w:r>
      <w:r w:rsidRPr="004A2933">
        <w:rPr>
          <w:spacing w:val="-1"/>
          <w:szCs w:val="24"/>
        </w:rPr>
        <w:t>fr</w:t>
      </w:r>
      <w:r w:rsidRPr="004A2933">
        <w:rPr>
          <w:szCs w:val="24"/>
        </w:rPr>
        <w:t xml:space="preserve">om Bayer Australia </w:t>
      </w:r>
      <w:r w:rsidR="0066463F">
        <w:rPr>
          <w:szCs w:val="24"/>
        </w:rPr>
        <w:t xml:space="preserve">Pty </w:t>
      </w:r>
      <w:r w:rsidRPr="004A2933">
        <w:rPr>
          <w:szCs w:val="24"/>
        </w:rPr>
        <w:t xml:space="preserve">Ltd requesting </w:t>
      </w:r>
      <w:r w:rsidR="0066463F">
        <w:rPr>
          <w:szCs w:val="24"/>
        </w:rPr>
        <w:t xml:space="preserve">Medicare Benefits Schedule (MBS) listing of </w:t>
      </w:r>
      <w:r w:rsidRPr="004A2933">
        <w:rPr>
          <w:szCs w:val="24"/>
        </w:rPr>
        <w:t xml:space="preserve">optical coherence tomography (OCT) </w:t>
      </w:r>
      <w:r w:rsidR="00A50622" w:rsidRPr="00A50622">
        <w:t xml:space="preserve">to measure central retinal thickness (CRT) to initiate and monitor PBS-subsidised use of aflibercept for the treatment of macular oedema following </w:t>
      </w:r>
      <w:r w:rsidR="005028EA">
        <w:rPr>
          <w:szCs w:val="24"/>
        </w:rPr>
        <w:t>c</w:t>
      </w:r>
      <w:r w:rsidRPr="004A2933">
        <w:rPr>
          <w:szCs w:val="24"/>
        </w:rPr>
        <w:t xml:space="preserve">entral </w:t>
      </w:r>
      <w:r w:rsidR="005028EA">
        <w:rPr>
          <w:szCs w:val="24"/>
        </w:rPr>
        <w:t>r</w:t>
      </w:r>
      <w:r w:rsidRPr="004A2933">
        <w:rPr>
          <w:szCs w:val="24"/>
        </w:rPr>
        <w:t>e</w:t>
      </w:r>
      <w:r w:rsidR="00755B0D" w:rsidRPr="004A2933">
        <w:rPr>
          <w:szCs w:val="24"/>
        </w:rPr>
        <w:t xml:space="preserve">tinal </w:t>
      </w:r>
      <w:r w:rsidR="005028EA">
        <w:rPr>
          <w:szCs w:val="24"/>
        </w:rPr>
        <w:t>v</w:t>
      </w:r>
      <w:r w:rsidR="00755B0D" w:rsidRPr="004A2933">
        <w:rPr>
          <w:szCs w:val="24"/>
        </w:rPr>
        <w:t xml:space="preserve">ein </w:t>
      </w:r>
      <w:r w:rsidR="005028EA">
        <w:rPr>
          <w:szCs w:val="24"/>
        </w:rPr>
        <w:t>o</w:t>
      </w:r>
      <w:r w:rsidR="006D2CF5">
        <w:rPr>
          <w:szCs w:val="24"/>
        </w:rPr>
        <w:t>cclusion (CRVO).</w:t>
      </w:r>
    </w:p>
    <w:p w:rsidR="00D87FEA" w:rsidRDefault="00D87FEA" w:rsidP="005028EA">
      <w:pPr>
        <w:rPr>
          <w:szCs w:val="24"/>
        </w:rPr>
      </w:pPr>
    </w:p>
    <w:p w:rsidR="008614B6" w:rsidRPr="008614B6" w:rsidRDefault="00A7781E" w:rsidP="008614B6">
      <w:pPr>
        <w:tabs>
          <w:tab w:val="left" w:pos="720"/>
          <w:tab w:val="left" w:pos="1140"/>
        </w:tabs>
        <w:rPr>
          <w:szCs w:val="24"/>
        </w:rPr>
      </w:pPr>
      <w:r>
        <w:t>Bayer also submitted a corresponding</w:t>
      </w:r>
      <w:r w:rsidRPr="003C0BEC">
        <w:t xml:space="preserve"> major submission</w:t>
      </w:r>
      <w:r>
        <w:t xml:space="preserve"> to the July</w:t>
      </w:r>
      <w:r w:rsidRPr="003C0BEC">
        <w:t xml:space="preserve"> 2013 Pharmaceutical Benefits Advisory Committee (PBAC) meeting requesting </w:t>
      </w:r>
      <w:r w:rsidR="008614B6">
        <w:t>to extend the current Authority required Pharmaceutical Benefits Schedule (PBS) listing for aflibercept to include sole subsidised treatment of patients with</w:t>
      </w:r>
      <w:r w:rsidR="006D2CF5">
        <w:t xml:space="preserve"> macular oedema caused by CRVO.</w:t>
      </w:r>
    </w:p>
    <w:p w:rsidR="0066463F" w:rsidRPr="004A2933" w:rsidRDefault="0066463F" w:rsidP="005028EA">
      <w:pPr>
        <w:rPr>
          <w:szCs w:val="24"/>
        </w:rPr>
      </w:pPr>
    </w:p>
    <w:p w:rsidR="00023416" w:rsidRPr="004A2933" w:rsidRDefault="00EF6AFA" w:rsidP="005028EA">
      <w:pPr>
        <w:rPr>
          <w:szCs w:val="24"/>
        </w:rPr>
      </w:pPr>
      <w:r>
        <w:rPr>
          <w:szCs w:val="24"/>
        </w:rPr>
        <w:t>T</w:t>
      </w:r>
      <w:r w:rsidR="00023416" w:rsidRPr="004A2933">
        <w:rPr>
          <w:szCs w:val="24"/>
        </w:rPr>
        <w:t xml:space="preserve">he </w:t>
      </w:r>
      <w:r w:rsidR="003570F4">
        <w:rPr>
          <w:szCs w:val="24"/>
        </w:rPr>
        <w:t>co-dependent</w:t>
      </w:r>
      <w:r w:rsidR="00023416" w:rsidRPr="004A2933">
        <w:rPr>
          <w:szCs w:val="24"/>
        </w:rPr>
        <w:t xml:space="preserve"> application</w:t>
      </w:r>
      <w:r>
        <w:rPr>
          <w:szCs w:val="24"/>
        </w:rPr>
        <w:t>s</w:t>
      </w:r>
      <w:r w:rsidR="00023416" w:rsidRPr="004A2933">
        <w:rPr>
          <w:szCs w:val="24"/>
        </w:rPr>
        <w:t xml:space="preserve"> relate to OCT for the measurement of CRT, which </w:t>
      </w:r>
      <w:r w:rsidR="00AB03C1">
        <w:rPr>
          <w:szCs w:val="24"/>
        </w:rPr>
        <w:t>informs</w:t>
      </w:r>
      <w:r w:rsidR="00023416" w:rsidRPr="004A2933">
        <w:rPr>
          <w:szCs w:val="24"/>
        </w:rPr>
        <w:t xml:space="preserve"> a patient</w:t>
      </w:r>
      <w:r w:rsidR="00083F83">
        <w:rPr>
          <w:szCs w:val="24"/>
        </w:rPr>
        <w:t>’</w:t>
      </w:r>
      <w:r w:rsidR="00023416" w:rsidRPr="004A2933">
        <w:rPr>
          <w:szCs w:val="24"/>
        </w:rPr>
        <w:t xml:space="preserve">s </w:t>
      </w:r>
      <w:r w:rsidR="00B500BE">
        <w:rPr>
          <w:szCs w:val="24"/>
        </w:rPr>
        <w:t xml:space="preserve">eligibility for </w:t>
      </w:r>
      <w:r w:rsidR="003570F4">
        <w:rPr>
          <w:szCs w:val="24"/>
        </w:rPr>
        <w:t xml:space="preserve">treatment with </w:t>
      </w:r>
      <w:r w:rsidR="00023416" w:rsidRPr="004A2933">
        <w:rPr>
          <w:szCs w:val="24"/>
        </w:rPr>
        <w:t xml:space="preserve">aflibercept </w:t>
      </w:r>
      <w:r w:rsidR="00EE6756">
        <w:rPr>
          <w:szCs w:val="24"/>
        </w:rPr>
        <w:t xml:space="preserve">and then </w:t>
      </w:r>
      <w:r w:rsidR="00EE6756" w:rsidRPr="004A2933">
        <w:rPr>
          <w:szCs w:val="24"/>
        </w:rPr>
        <w:t xml:space="preserve">response </w:t>
      </w:r>
      <w:r w:rsidR="00023416" w:rsidRPr="004A2933">
        <w:rPr>
          <w:szCs w:val="24"/>
        </w:rPr>
        <w:t>in terms of improved/maintained visual acui</w:t>
      </w:r>
      <w:r w:rsidR="00771353">
        <w:rPr>
          <w:szCs w:val="24"/>
        </w:rPr>
        <w:t>ty (VA) and quality of life</w:t>
      </w:r>
      <w:r w:rsidR="00023416" w:rsidRPr="004A2933">
        <w:rPr>
          <w:szCs w:val="24"/>
        </w:rPr>
        <w:t>.</w:t>
      </w:r>
    </w:p>
    <w:p w:rsidR="00023416" w:rsidRPr="004A2933" w:rsidRDefault="00023416" w:rsidP="005028EA">
      <w:pPr>
        <w:rPr>
          <w:szCs w:val="24"/>
        </w:rPr>
      </w:pPr>
    </w:p>
    <w:p w:rsidR="006D2CF5" w:rsidRDefault="004B2014" w:rsidP="00675C54">
      <w:r w:rsidRPr="004A2933">
        <w:t>OCT is a non-contact, non-invasive high resolution imaging technique that provides cross-sectional tomographic images of the ocular microstructure</w:t>
      </w:r>
      <w:r w:rsidR="00B24BEE">
        <w:t xml:space="preserve"> </w:t>
      </w:r>
      <w:r w:rsidRPr="004A2933">
        <w:t xml:space="preserve">through the thickness of the retina. </w:t>
      </w:r>
      <w:r w:rsidR="00A60300">
        <w:t xml:space="preserve">OCT provides a quantitative anatomic representation of the axial fluid distribution within the layers of the retina, and hence a specific measurement of retinal thickness. </w:t>
      </w:r>
      <w:r w:rsidRPr="004A2933">
        <w:t>It is analogous to ultrasound, measuring the back-reflection intensity of infrared light rather than sound.</w:t>
      </w:r>
    </w:p>
    <w:p w:rsidR="006D2CF5" w:rsidRDefault="006D2CF5" w:rsidP="00675C54"/>
    <w:p w:rsidR="00B13F03" w:rsidRDefault="00B13F03" w:rsidP="00675C54">
      <w:r w:rsidRPr="008C26E0">
        <w:t>There are two main types of OCT available, A-scans acquired in the time domain (TD) and the newer B-scans acquired in the s</w:t>
      </w:r>
      <w:r w:rsidR="00B24BEE">
        <w:t xml:space="preserve">pectral frequency domain (SD). </w:t>
      </w:r>
      <w:r w:rsidR="00675C54">
        <w:t>OCT systems are stand-alone mobile equipment with no specific c</w:t>
      </w:r>
      <w:r w:rsidR="006D2CF5">
        <w:t>omplementary services required.</w:t>
      </w:r>
    </w:p>
    <w:p w:rsidR="00675C54" w:rsidRDefault="00675C54" w:rsidP="00675C54"/>
    <w:p w:rsidR="00B13F03" w:rsidRPr="004A2933" w:rsidRDefault="00B13F03" w:rsidP="00B13F03">
      <w:r w:rsidRPr="004A2933">
        <w:t xml:space="preserve">As a result of providing detailed information on the architectural morphology of the retina on the level of individual retinal layers, OCT has been proposed to detect early pathological changes, even before clinical signs or visual symptoms occur. </w:t>
      </w:r>
      <w:r w:rsidR="004C4ABE" w:rsidRPr="008C26E0">
        <w:t xml:space="preserve">There is no reference standard </w:t>
      </w:r>
      <w:r w:rsidR="004C4ABE" w:rsidRPr="008C26E0">
        <w:lastRenderedPageBreak/>
        <w:t xml:space="preserve">against which OCT can be measured. </w:t>
      </w:r>
      <w:r w:rsidRPr="004A2933">
        <w:t>OCT has been proposed as a new ‘gold standard’ structural test for retinal abnormalities.</w:t>
      </w:r>
    </w:p>
    <w:p w:rsidR="000448C3" w:rsidRDefault="000448C3" w:rsidP="000448C3"/>
    <w:p w:rsidR="00A50622" w:rsidRDefault="003478EA" w:rsidP="000448C3">
      <w:r w:rsidRPr="003478EA">
        <w:t xml:space="preserve">OCT is currently </w:t>
      </w:r>
      <w:r w:rsidR="0084438B">
        <w:t>MBS funded</w:t>
      </w:r>
      <w:r w:rsidRPr="003478EA">
        <w:t xml:space="preserve"> </w:t>
      </w:r>
      <w:r w:rsidR="00E2724B">
        <w:t>for</w:t>
      </w:r>
      <w:r w:rsidR="0084438B">
        <w:t xml:space="preserve"> partial coherence interferometry for</w:t>
      </w:r>
      <w:r w:rsidR="00E2724B">
        <w:t xml:space="preserve"> lens surgery </w:t>
      </w:r>
      <w:r w:rsidRPr="003478EA">
        <w:t xml:space="preserve">– Item numbers 11240, 11241, </w:t>
      </w:r>
      <w:r w:rsidR="00E2724B">
        <w:t>11242 and 11243</w:t>
      </w:r>
      <w:r w:rsidRPr="003478EA">
        <w:t>.</w:t>
      </w:r>
    </w:p>
    <w:p w:rsidR="003478EA" w:rsidRDefault="003478EA" w:rsidP="000448C3"/>
    <w:p w:rsidR="00592B9E" w:rsidRPr="004C4ABE" w:rsidRDefault="00592B9E" w:rsidP="000448C3">
      <w:pPr>
        <w:rPr>
          <w:szCs w:val="24"/>
        </w:rPr>
      </w:pPr>
      <w:r w:rsidRPr="004C4ABE">
        <w:rPr>
          <w:szCs w:val="24"/>
        </w:rPr>
        <w:t>OCT is widely used in Australia</w:t>
      </w:r>
      <w:r w:rsidR="003478EA" w:rsidRPr="004C4ABE">
        <w:rPr>
          <w:szCs w:val="24"/>
        </w:rPr>
        <w:t>,</w:t>
      </w:r>
      <w:r w:rsidRPr="004C4ABE">
        <w:rPr>
          <w:szCs w:val="24"/>
        </w:rPr>
        <w:t xml:space="preserve"> to eval</w:t>
      </w:r>
      <w:r w:rsidR="003478EA" w:rsidRPr="004C4ABE">
        <w:rPr>
          <w:szCs w:val="24"/>
        </w:rPr>
        <w:t xml:space="preserve">uate patients treated for </w:t>
      </w:r>
      <w:r w:rsidRPr="004C4ABE">
        <w:rPr>
          <w:szCs w:val="24"/>
        </w:rPr>
        <w:t>macular oedema and CRVO.</w:t>
      </w:r>
      <w:r w:rsidR="009F7AEB" w:rsidRPr="004C4ABE">
        <w:rPr>
          <w:szCs w:val="24"/>
        </w:rPr>
        <w:t xml:space="preserve"> It is used as a baseline measurement against which to assess the severity and extent of oedema and in the context of assessing the impact of treatment changes in oedema</w:t>
      </w:r>
    </w:p>
    <w:p w:rsidR="00AF1F85" w:rsidRPr="007A0F56" w:rsidRDefault="00AF1F85" w:rsidP="004A2933"/>
    <w:p w:rsidR="00AC43B6" w:rsidRDefault="007A0F56" w:rsidP="00C978E5">
      <w:r w:rsidRPr="007A0F56">
        <w:t>Retinal vein occlusion (RVO) is a common cause of visual loss, caused by an obstruction of the retinal venous system, most commonly involving occlusion of a branch retinal vein (BRVO) or the central retinal vein (CRVO) (Laouri et al 2011). Thrombus formation may be the primary cause of occlusion</w:t>
      </w:r>
      <w:r w:rsidR="004C4ABE">
        <w:t>,</w:t>
      </w:r>
      <w:r w:rsidRPr="007A0F56">
        <w:t xml:space="preserve"> however other possible causes include external compression or disease of the vein wall e.g. vasculitis (Laouri et al 2011). Secondary to vein obstruction, retinal ischemia occurs and signals the release of vascular endothelial growth factor (VEGF), which in turn destabilizes the endothelial tight junctions and promotes endothelial cell proliferation. CRVO is classically characterised by macular oedema, increased dilation and tortuosity of all retinal veins, retinal oedema cotton wool spots, areas of capillary non-perfusion, widespread deep and superficial haemorrhages (Coscas et al 2011).</w:t>
      </w:r>
    </w:p>
    <w:p w:rsidR="00C978E5" w:rsidRDefault="00C978E5" w:rsidP="00C978E5"/>
    <w:p w:rsidR="00B149C6" w:rsidRDefault="00B149C6" w:rsidP="00384DAB">
      <w:pPr>
        <w:pStyle w:val="Heading1"/>
        <w:numPr>
          <w:ilvl w:val="0"/>
          <w:numId w:val="17"/>
        </w:numPr>
        <w:spacing w:before="0"/>
        <w:ind w:left="567" w:hanging="567"/>
      </w:pPr>
      <w:r w:rsidRPr="00384DAB">
        <w:rPr>
          <w:rFonts w:cs="Arial"/>
          <w:szCs w:val="24"/>
        </w:rPr>
        <w:t>Background</w:t>
      </w:r>
    </w:p>
    <w:p w:rsidR="00FF308E" w:rsidRDefault="00527C0A" w:rsidP="00C978E5">
      <w:r w:rsidRPr="00527C0A">
        <w:t>A</w:t>
      </w:r>
      <w:r>
        <w:t xml:space="preserve"> </w:t>
      </w:r>
      <w:r w:rsidRPr="00527C0A">
        <w:t>previous assessment of OCT for the diagnosis and monitoring of macular disease and</w:t>
      </w:r>
      <w:r>
        <w:t xml:space="preserve"> </w:t>
      </w:r>
      <w:r w:rsidRPr="00527C0A">
        <w:t>glaucoma was considered by MSAC in November 2008 (application 1116)</w:t>
      </w:r>
      <w:r w:rsidR="00C978E5">
        <w:t xml:space="preserve">. MSAC </w:t>
      </w:r>
      <w:r w:rsidR="0021511F">
        <w:t xml:space="preserve">then </w:t>
      </w:r>
      <w:r w:rsidR="00C978E5">
        <w:t>advised not to publicly</w:t>
      </w:r>
      <w:r w:rsidRPr="00527C0A">
        <w:t xml:space="preserve"> fund OCT with respect to these indications </w:t>
      </w:r>
      <w:r w:rsidR="00C978E5">
        <w:t>due to</w:t>
      </w:r>
      <w:r w:rsidRPr="00527C0A">
        <w:t xml:space="preserve"> insufficient evidence to support the clinical claim</w:t>
      </w:r>
      <w:r w:rsidR="004C4ABE">
        <w:t>s</w:t>
      </w:r>
      <w:r w:rsidRPr="00527C0A">
        <w:t>.</w:t>
      </w:r>
    </w:p>
    <w:p w:rsidR="00FF308E" w:rsidRDefault="00FF308E" w:rsidP="00C978E5"/>
    <w:p w:rsidR="00D0244A" w:rsidRDefault="00527C0A" w:rsidP="00AB03C1">
      <w:r w:rsidRPr="00527C0A">
        <w:t>The proposed</w:t>
      </w:r>
      <w:r>
        <w:t xml:space="preserve"> </w:t>
      </w:r>
      <w:r w:rsidRPr="00527C0A">
        <w:t xml:space="preserve">indication for the current application </w:t>
      </w:r>
      <w:r w:rsidR="00AB03C1">
        <w:t>is</w:t>
      </w:r>
      <w:r w:rsidRPr="00527C0A">
        <w:t xml:space="preserve"> narrower than those considered in the previous</w:t>
      </w:r>
      <w:r>
        <w:t xml:space="preserve"> </w:t>
      </w:r>
      <w:r w:rsidRPr="00527C0A">
        <w:t>MSAC assessment.</w:t>
      </w:r>
    </w:p>
    <w:p w:rsidR="00AB03C1" w:rsidRPr="00AB03C1" w:rsidRDefault="00AB03C1" w:rsidP="00AB03C1"/>
    <w:p w:rsidR="00B149C6" w:rsidRPr="002B4CE2" w:rsidRDefault="00B149C6" w:rsidP="00384DAB">
      <w:pPr>
        <w:pStyle w:val="Heading1"/>
        <w:numPr>
          <w:ilvl w:val="0"/>
          <w:numId w:val="17"/>
        </w:numPr>
        <w:spacing w:before="0"/>
        <w:ind w:left="567" w:hanging="567"/>
      </w:pPr>
      <w:r w:rsidRPr="00384DAB">
        <w:rPr>
          <w:rFonts w:cs="Arial"/>
          <w:szCs w:val="24"/>
        </w:rPr>
        <w:t>Prerequisites</w:t>
      </w:r>
      <w:r w:rsidR="00E857D4" w:rsidRPr="002B4CE2">
        <w:t xml:space="preserve"> to implementation of any funding advice</w:t>
      </w:r>
    </w:p>
    <w:p w:rsidR="00571D3D" w:rsidRPr="00571D3D" w:rsidRDefault="00571D3D" w:rsidP="004A2933">
      <w:pPr>
        <w:rPr>
          <w:szCs w:val="24"/>
        </w:rPr>
      </w:pPr>
      <w:r w:rsidRPr="00571D3D">
        <w:rPr>
          <w:szCs w:val="24"/>
        </w:rPr>
        <w:t xml:space="preserve">OCT devices for retinal and macular imaging are listed on the Australian Register of Therapeutic Goods (e.g. ARTG number 194817 and 197023), and classified Class IIa </w:t>
      </w:r>
      <w:r w:rsidR="006D2CF5">
        <w:rPr>
          <w:szCs w:val="24"/>
        </w:rPr>
        <w:t>indicating a low level of risk.</w:t>
      </w:r>
    </w:p>
    <w:p w:rsidR="00020108" w:rsidRDefault="00020108" w:rsidP="004A2933"/>
    <w:p w:rsidR="00FE25B7" w:rsidRDefault="00FE25B7" w:rsidP="00AB03C1">
      <w:r>
        <w:t>Several prior tests are required before OCT is performed. A range of baseline ophthalmic assessments would be followed by fundus photography and/or fundus fluorescein angiography (FFA) in order to confirm a diagnosis of CRVO and the extent of damage to the macula/retina. Fundus photography permits the clinician to identify the area of retinal thickening and haemorrhage, whereas FFA identifies the presence and area of fluorescein leakage and capillary non-perfusion. These tests also determine the presence or absence of macular oedema. Finally, OCT then measures retinal thickness, providing a quantitative assessment of the severity of macular oedema.</w:t>
      </w:r>
    </w:p>
    <w:p w:rsidR="00AB03C1" w:rsidRDefault="00AB03C1" w:rsidP="00AB03C1"/>
    <w:p w:rsidR="00FA1B16" w:rsidRDefault="00FA1B16">
      <w:pPr>
        <w:rPr>
          <w:rFonts w:ascii="Arial" w:eastAsiaTheme="majorEastAsia" w:hAnsi="Arial" w:cs="Arial"/>
          <w:b/>
          <w:bCs/>
          <w:szCs w:val="24"/>
        </w:rPr>
      </w:pPr>
      <w:r>
        <w:rPr>
          <w:rFonts w:cs="Arial"/>
          <w:szCs w:val="24"/>
        </w:rPr>
        <w:br w:type="page"/>
      </w:r>
    </w:p>
    <w:p w:rsidR="00A34BD3" w:rsidRDefault="00133D8B" w:rsidP="00384DAB">
      <w:pPr>
        <w:pStyle w:val="Heading1"/>
        <w:numPr>
          <w:ilvl w:val="0"/>
          <w:numId w:val="17"/>
        </w:numPr>
        <w:spacing w:before="0"/>
        <w:ind w:left="567" w:hanging="567"/>
      </w:pPr>
      <w:r w:rsidRPr="00384DAB">
        <w:rPr>
          <w:rFonts w:cs="Arial"/>
          <w:szCs w:val="24"/>
        </w:rPr>
        <w:lastRenderedPageBreak/>
        <w:t>Proposal</w:t>
      </w:r>
      <w:r w:rsidRPr="002B4CE2">
        <w:t xml:space="preserve"> for public funding</w:t>
      </w:r>
    </w:p>
    <w:p w:rsidR="00D301A3" w:rsidRDefault="00D301A3" w:rsidP="00AB03C1">
      <w:pPr>
        <w:rPr>
          <w:szCs w:val="24"/>
        </w:rPr>
      </w:pPr>
    </w:p>
    <w:p w:rsidR="00643223" w:rsidRPr="00B500BE" w:rsidRDefault="00643223" w:rsidP="00AB03C1">
      <w:pPr>
        <w:rPr>
          <w:szCs w:val="24"/>
          <w:u w:val="single"/>
        </w:rPr>
      </w:pPr>
      <w:r w:rsidRPr="00B500BE">
        <w:rPr>
          <w:szCs w:val="24"/>
          <w:u w:val="single"/>
        </w:rPr>
        <w:t>Proposed MBS item descriptors for OCT for the measurement of CRVO for determining the eligibility of afliber</w:t>
      </w:r>
      <w:r w:rsidR="00B500BE">
        <w:rPr>
          <w:szCs w:val="24"/>
          <w:u w:val="single"/>
        </w:rPr>
        <w:t>cept and monitoring aflibercept</w:t>
      </w:r>
    </w:p>
    <w:p w:rsidR="00AB03C1" w:rsidRPr="00384DAB" w:rsidRDefault="00AB03C1" w:rsidP="00AB03C1">
      <w:pPr>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643223" w:rsidRPr="00643223" w:rsidTr="004C4ABE">
        <w:trPr>
          <w:trHeight w:val="100"/>
        </w:trPr>
        <w:tc>
          <w:tcPr>
            <w:tcW w:w="9180" w:type="dxa"/>
          </w:tcPr>
          <w:p w:rsidR="00643223" w:rsidRPr="00643223" w:rsidRDefault="00643223">
            <w:pPr>
              <w:pStyle w:val="Default"/>
              <w:rPr>
                <w:b/>
                <w:sz w:val="20"/>
                <w:szCs w:val="20"/>
              </w:rPr>
            </w:pPr>
            <w:r w:rsidRPr="00643223">
              <w:rPr>
                <w:b/>
                <w:sz w:val="20"/>
                <w:szCs w:val="20"/>
              </w:rPr>
              <w:t>Category 2 – DIAGNOSTIC PROCEDURES AND INVESTIGATIONS</w:t>
            </w:r>
          </w:p>
        </w:tc>
      </w:tr>
      <w:tr w:rsidR="00643223" w:rsidRPr="00643223" w:rsidTr="004C4ABE">
        <w:trPr>
          <w:trHeight w:val="1263"/>
        </w:trPr>
        <w:tc>
          <w:tcPr>
            <w:tcW w:w="9180" w:type="dxa"/>
          </w:tcPr>
          <w:p w:rsidR="00643223" w:rsidRPr="00643223" w:rsidRDefault="00B500BE">
            <w:pPr>
              <w:pStyle w:val="Default"/>
              <w:rPr>
                <w:sz w:val="20"/>
                <w:szCs w:val="20"/>
              </w:rPr>
            </w:pPr>
            <w:r>
              <w:rPr>
                <w:sz w:val="20"/>
                <w:szCs w:val="20"/>
              </w:rPr>
              <w:t>Xxxx</w:t>
            </w:r>
          </w:p>
          <w:p w:rsidR="00643223" w:rsidRPr="00643223" w:rsidRDefault="00643223">
            <w:pPr>
              <w:pStyle w:val="Default"/>
              <w:rPr>
                <w:sz w:val="20"/>
                <w:szCs w:val="20"/>
              </w:rPr>
            </w:pPr>
            <w:r w:rsidRPr="00643223">
              <w:rPr>
                <w:sz w:val="20"/>
                <w:szCs w:val="20"/>
              </w:rPr>
              <w:t xml:space="preserve">Optical coherence tomography for the assessment of central retinal thickness to determine the eligibility for PBS-subsidised aflibercept of a patient with macular oedema secondary to </w:t>
            </w:r>
            <w:r w:rsidR="00384DAB">
              <w:rPr>
                <w:sz w:val="20"/>
                <w:szCs w:val="20"/>
              </w:rPr>
              <w:t>central retinal vein occlusion.</w:t>
            </w:r>
          </w:p>
          <w:p w:rsidR="00643223" w:rsidRPr="00643223" w:rsidRDefault="00643223">
            <w:pPr>
              <w:pStyle w:val="Default"/>
              <w:rPr>
                <w:sz w:val="20"/>
                <w:szCs w:val="20"/>
              </w:rPr>
            </w:pPr>
            <w:r w:rsidRPr="00643223">
              <w:rPr>
                <w:sz w:val="20"/>
                <w:szCs w:val="20"/>
              </w:rPr>
              <w:t>Fee: $250.00 Benefit: 75% = $187.50.10 85% = $212.50</w:t>
            </w:r>
          </w:p>
        </w:tc>
      </w:tr>
      <w:tr w:rsidR="00643223" w:rsidRPr="00643223" w:rsidTr="004C4ABE">
        <w:trPr>
          <w:trHeight w:val="1282"/>
        </w:trPr>
        <w:tc>
          <w:tcPr>
            <w:tcW w:w="9180" w:type="dxa"/>
            <w:tcBorders>
              <w:bottom w:val="nil"/>
            </w:tcBorders>
          </w:tcPr>
          <w:p w:rsidR="00643223" w:rsidRPr="00643223" w:rsidRDefault="00384DAB">
            <w:pPr>
              <w:pStyle w:val="Default"/>
              <w:rPr>
                <w:sz w:val="20"/>
                <w:szCs w:val="20"/>
              </w:rPr>
            </w:pPr>
            <w:r>
              <w:rPr>
                <w:sz w:val="20"/>
                <w:szCs w:val="20"/>
              </w:rPr>
              <w:t>Xxxx</w:t>
            </w:r>
          </w:p>
          <w:p w:rsidR="00643223" w:rsidRPr="00643223" w:rsidRDefault="00643223">
            <w:pPr>
              <w:pStyle w:val="Default"/>
              <w:rPr>
                <w:sz w:val="20"/>
                <w:szCs w:val="20"/>
              </w:rPr>
            </w:pPr>
            <w:r w:rsidRPr="00643223">
              <w:rPr>
                <w:sz w:val="20"/>
                <w:szCs w:val="20"/>
              </w:rPr>
              <w:t xml:space="preserve">Optical coherence tomography for the assessment of central retinal thickness to determine whether to modify therapy with PBS-subsidised aflibercept in a patient with macular oedema secondary to </w:t>
            </w:r>
            <w:r w:rsidR="00384DAB">
              <w:rPr>
                <w:sz w:val="20"/>
                <w:szCs w:val="20"/>
              </w:rPr>
              <w:t>central retinal vein occlusion.</w:t>
            </w:r>
          </w:p>
          <w:p w:rsidR="00643223" w:rsidRPr="00643223" w:rsidRDefault="00643223">
            <w:pPr>
              <w:pStyle w:val="Default"/>
              <w:rPr>
                <w:sz w:val="20"/>
                <w:szCs w:val="20"/>
              </w:rPr>
            </w:pPr>
            <w:r w:rsidRPr="00643223">
              <w:rPr>
                <w:sz w:val="20"/>
                <w:szCs w:val="20"/>
              </w:rPr>
              <w:t>Fee: $250.00 Benefit: 75% = $187.50 85% = $212.50</w:t>
            </w:r>
          </w:p>
        </w:tc>
      </w:tr>
      <w:tr w:rsidR="00643223" w:rsidRPr="00643223" w:rsidTr="004C4ABE">
        <w:trPr>
          <w:trHeight w:val="2022"/>
        </w:trPr>
        <w:tc>
          <w:tcPr>
            <w:tcW w:w="9180" w:type="dxa"/>
            <w:tcBorders>
              <w:top w:val="nil"/>
              <w:left w:val="nil"/>
              <w:bottom w:val="nil"/>
              <w:right w:val="nil"/>
            </w:tcBorders>
          </w:tcPr>
          <w:p w:rsidR="00643223" w:rsidRPr="00643223" w:rsidRDefault="00384DAB">
            <w:pPr>
              <w:pStyle w:val="Default"/>
              <w:rPr>
                <w:sz w:val="20"/>
                <w:szCs w:val="20"/>
              </w:rPr>
            </w:pPr>
            <w:r>
              <w:rPr>
                <w:sz w:val="20"/>
                <w:szCs w:val="20"/>
              </w:rPr>
              <w:t>Explanatory notes</w:t>
            </w:r>
          </w:p>
          <w:p w:rsidR="00867017" w:rsidRDefault="00643223">
            <w:pPr>
              <w:pStyle w:val="Default"/>
              <w:rPr>
                <w:sz w:val="20"/>
                <w:szCs w:val="20"/>
              </w:rPr>
            </w:pPr>
            <w:r w:rsidRPr="00643223">
              <w:rPr>
                <w:sz w:val="20"/>
                <w:szCs w:val="20"/>
              </w:rPr>
              <w:t>Diagnosis of macular oedema secondary to central retinal vein occlusion by professional attendance of an ophthalmologist is required. It will involve the use of standard assessments, including but not limited to retinal photography with intravenous dye injection (items 11215 and 11218).</w:t>
            </w:r>
          </w:p>
          <w:p w:rsidR="00643223" w:rsidRPr="00643223" w:rsidRDefault="00643223">
            <w:pPr>
              <w:pStyle w:val="Default"/>
              <w:rPr>
                <w:sz w:val="20"/>
                <w:szCs w:val="20"/>
              </w:rPr>
            </w:pPr>
          </w:p>
          <w:p w:rsidR="00643223" w:rsidRPr="00643223" w:rsidRDefault="00643223" w:rsidP="00384DAB">
            <w:pPr>
              <w:pStyle w:val="Default"/>
              <w:rPr>
                <w:sz w:val="20"/>
                <w:szCs w:val="20"/>
              </w:rPr>
            </w:pPr>
            <w:r w:rsidRPr="00643223">
              <w:rPr>
                <w:sz w:val="20"/>
                <w:szCs w:val="20"/>
              </w:rPr>
              <w:t xml:space="preserve">Determination of aflibercept eligibility requires both baseline and ongoing assessment using optical coherence </w:t>
            </w:r>
            <w:r w:rsidR="00867017">
              <w:rPr>
                <w:sz w:val="20"/>
                <w:szCs w:val="20"/>
              </w:rPr>
              <w:t>t</w:t>
            </w:r>
            <w:r w:rsidRPr="00643223">
              <w:rPr>
                <w:sz w:val="20"/>
                <w:szCs w:val="20"/>
              </w:rPr>
              <w:t>omography</w:t>
            </w:r>
            <w:r w:rsidR="00384DAB">
              <w:rPr>
                <w:sz w:val="20"/>
                <w:szCs w:val="20"/>
              </w:rPr>
              <w:t>.</w:t>
            </w:r>
          </w:p>
        </w:tc>
      </w:tr>
    </w:tbl>
    <w:p w:rsidR="00924313" w:rsidRDefault="00924313" w:rsidP="004A2933">
      <w:pPr>
        <w:rPr>
          <w:iCs/>
          <w:color w:val="000000"/>
          <w:szCs w:val="24"/>
        </w:rPr>
      </w:pPr>
    </w:p>
    <w:p w:rsidR="00F04E5D" w:rsidRPr="00ED7FC9" w:rsidRDefault="00F04E5D" w:rsidP="004A2933">
      <w:pPr>
        <w:rPr>
          <w:rFonts w:eastAsia="SimSun"/>
          <w:iCs/>
          <w:color w:val="000000"/>
          <w:szCs w:val="24"/>
        </w:rPr>
      </w:pPr>
      <w:r w:rsidRPr="00F04E5D">
        <w:rPr>
          <w:iCs/>
          <w:color w:val="000000"/>
          <w:szCs w:val="24"/>
        </w:rPr>
        <w:t xml:space="preserve">The </w:t>
      </w:r>
      <w:r w:rsidR="00753DC9">
        <w:rPr>
          <w:iCs/>
          <w:color w:val="000000"/>
          <w:szCs w:val="24"/>
        </w:rPr>
        <w:t xml:space="preserve">joint </w:t>
      </w:r>
      <w:r w:rsidRPr="00F04E5D">
        <w:rPr>
          <w:iCs/>
          <w:color w:val="000000"/>
          <w:szCs w:val="24"/>
        </w:rPr>
        <w:t>ESCs had concerns that</w:t>
      </w:r>
      <w:r w:rsidR="00EE6756">
        <w:rPr>
          <w:iCs/>
          <w:color w:val="000000"/>
          <w:szCs w:val="24"/>
        </w:rPr>
        <w:t>,</w:t>
      </w:r>
      <w:r w:rsidRPr="00F04E5D">
        <w:rPr>
          <w:iCs/>
          <w:color w:val="000000"/>
          <w:szCs w:val="24"/>
        </w:rPr>
        <w:t xml:space="preserve"> despite the PICO an</w:t>
      </w:r>
      <w:bookmarkStart w:id="0" w:name="_GoBack"/>
      <w:bookmarkEnd w:id="0"/>
      <w:r w:rsidRPr="00F04E5D">
        <w:rPr>
          <w:iCs/>
          <w:color w:val="000000"/>
          <w:szCs w:val="24"/>
        </w:rPr>
        <w:t xml:space="preserve">d the applicant’s submission frequently referring to a </w:t>
      </w:r>
      <w:r w:rsidR="004C4ABE">
        <w:rPr>
          <w:iCs/>
          <w:color w:val="000000"/>
          <w:szCs w:val="24"/>
        </w:rPr>
        <w:t xml:space="preserve">retinal </w:t>
      </w:r>
      <w:r w:rsidRPr="00F04E5D">
        <w:rPr>
          <w:iCs/>
          <w:color w:val="000000"/>
          <w:szCs w:val="24"/>
        </w:rPr>
        <w:t xml:space="preserve">thickness of </w:t>
      </w:r>
      <w:r w:rsidRPr="00F04E5D">
        <w:rPr>
          <w:rFonts w:eastAsia="SimSun"/>
          <w:color w:val="000000"/>
          <w:szCs w:val="24"/>
        </w:rPr>
        <w:t>≥</w:t>
      </w:r>
      <w:r w:rsidRPr="00F04E5D">
        <w:rPr>
          <w:rFonts w:eastAsia="SimSun"/>
          <w:iCs/>
          <w:color w:val="000000"/>
          <w:szCs w:val="24"/>
        </w:rPr>
        <w:t>250 μm</w:t>
      </w:r>
      <w:r w:rsidR="00EE6756">
        <w:rPr>
          <w:rFonts w:eastAsia="SimSun"/>
          <w:iCs/>
          <w:color w:val="000000"/>
          <w:szCs w:val="24"/>
        </w:rPr>
        <w:t>,</w:t>
      </w:r>
      <w:r w:rsidRPr="00F04E5D">
        <w:rPr>
          <w:rFonts w:eastAsia="SimSun"/>
          <w:iCs/>
          <w:color w:val="000000"/>
          <w:szCs w:val="24"/>
        </w:rPr>
        <w:t xml:space="preserve"> there is no mention of this in the </w:t>
      </w:r>
      <w:r w:rsidR="004C4ABE">
        <w:rPr>
          <w:rFonts w:eastAsia="SimSun"/>
          <w:iCs/>
          <w:color w:val="000000"/>
          <w:szCs w:val="24"/>
        </w:rPr>
        <w:t xml:space="preserve">proposed MBS item </w:t>
      </w:r>
      <w:r w:rsidRPr="00F04E5D">
        <w:rPr>
          <w:rFonts w:eastAsia="SimSun"/>
          <w:iCs/>
          <w:color w:val="000000"/>
          <w:szCs w:val="24"/>
        </w:rPr>
        <w:t>descript</w:t>
      </w:r>
      <w:r w:rsidR="00384DAB">
        <w:rPr>
          <w:rFonts w:eastAsia="SimSun"/>
          <w:iCs/>
          <w:color w:val="000000"/>
          <w:szCs w:val="24"/>
        </w:rPr>
        <w:t>or</w:t>
      </w:r>
      <w:r w:rsidR="004C4ABE">
        <w:rPr>
          <w:rFonts w:eastAsia="SimSun"/>
          <w:iCs/>
          <w:color w:val="000000"/>
          <w:szCs w:val="24"/>
        </w:rPr>
        <w:t>s</w:t>
      </w:r>
      <w:r w:rsidR="00384DAB">
        <w:rPr>
          <w:rFonts w:eastAsia="SimSun"/>
          <w:iCs/>
          <w:color w:val="000000"/>
          <w:szCs w:val="24"/>
        </w:rPr>
        <w:t>.</w:t>
      </w:r>
    </w:p>
    <w:p w:rsidR="00ED7FC9" w:rsidRPr="00F04E5D" w:rsidRDefault="00ED7FC9" w:rsidP="004A2933">
      <w:pPr>
        <w:rPr>
          <w:rFonts w:eastAsia="SimSun"/>
          <w:color w:val="000000"/>
          <w:szCs w:val="24"/>
        </w:rPr>
      </w:pPr>
    </w:p>
    <w:p w:rsidR="00F04E5D" w:rsidRPr="00ED7FC9" w:rsidRDefault="00F04E5D" w:rsidP="004A2933">
      <w:r w:rsidRPr="00ED7FC9">
        <w:rPr>
          <w:rFonts w:eastAsia="SimSun"/>
          <w:iCs/>
        </w:rPr>
        <w:t xml:space="preserve">The </w:t>
      </w:r>
      <w:r w:rsidR="00753DC9">
        <w:rPr>
          <w:rFonts w:eastAsia="SimSun"/>
          <w:iCs/>
        </w:rPr>
        <w:t xml:space="preserve">joint </w:t>
      </w:r>
      <w:r w:rsidRPr="00ED7FC9">
        <w:rPr>
          <w:rFonts w:eastAsia="SimSun"/>
          <w:iCs/>
        </w:rPr>
        <w:t xml:space="preserve">ESCs also </w:t>
      </w:r>
      <w:r w:rsidR="004C4ABE">
        <w:rPr>
          <w:rFonts w:eastAsia="SimSun"/>
          <w:iCs/>
        </w:rPr>
        <w:t xml:space="preserve">advised </w:t>
      </w:r>
      <w:r w:rsidRPr="00ED7FC9">
        <w:rPr>
          <w:rFonts w:eastAsia="SimSun"/>
          <w:iCs/>
        </w:rPr>
        <w:t>that</w:t>
      </w:r>
      <w:r w:rsidR="004C4ABE">
        <w:rPr>
          <w:rFonts w:eastAsia="SimSun"/>
          <w:iCs/>
        </w:rPr>
        <w:t>,</w:t>
      </w:r>
      <w:r w:rsidRPr="00ED7FC9">
        <w:rPr>
          <w:rFonts w:eastAsia="SimSun"/>
          <w:iCs/>
        </w:rPr>
        <w:t xml:space="preserve"> given that evidence showed that visual acuity was a more significant measurement of both need for treatment and evidence of treatment responsiveness than OCT, </w:t>
      </w:r>
      <w:r w:rsidR="009E3C6D">
        <w:rPr>
          <w:rFonts w:eastAsia="SimSun"/>
          <w:iCs/>
        </w:rPr>
        <w:t xml:space="preserve">and </w:t>
      </w:r>
      <w:r w:rsidRPr="00ED7FC9">
        <w:rPr>
          <w:rFonts w:eastAsia="SimSun"/>
          <w:iCs/>
        </w:rPr>
        <w:t xml:space="preserve">if there were to be two MBS items, </w:t>
      </w:r>
      <w:r w:rsidR="009E3C6D">
        <w:rPr>
          <w:rFonts w:eastAsia="SimSun"/>
          <w:iCs/>
        </w:rPr>
        <w:t xml:space="preserve">then </w:t>
      </w:r>
      <w:r w:rsidRPr="00ED7FC9">
        <w:rPr>
          <w:rFonts w:eastAsia="SimSun"/>
          <w:iCs/>
        </w:rPr>
        <w:t xml:space="preserve">the appropriate level of </w:t>
      </w:r>
      <w:r w:rsidRPr="00ED7FC9">
        <w:rPr>
          <w:iCs/>
        </w:rPr>
        <w:t xml:space="preserve">visual acuity would need to be incorporated into the initial and subsequent MBS </w:t>
      </w:r>
      <w:r w:rsidR="009E3C6D" w:rsidRPr="00ED7FC9">
        <w:rPr>
          <w:iCs/>
        </w:rPr>
        <w:t>i</w:t>
      </w:r>
      <w:r w:rsidRPr="00ED7FC9">
        <w:rPr>
          <w:iCs/>
        </w:rPr>
        <w:t xml:space="preserve">tem descriptors. The </w:t>
      </w:r>
      <w:r w:rsidR="00753DC9">
        <w:rPr>
          <w:iCs/>
        </w:rPr>
        <w:t xml:space="preserve">joint </w:t>
      </w:r>
      <w:r w:rsidRPr="00ED7FC9">
        <w:rPr>
          <w:iCs/>
        </w:rPr>
        <w:t>ESCs noted that the clinical algorithm provides for OCT being undertaken in patients with visual acuity &lt;20/40</w:t>
      </w:r>
      <w:r w:rsidR="009E3C6D">
        <w:rPr>
          <w:iCs/>
        </w:rPr>
        <w:t>,</w:t>
      </w:r>
      <w:r w:rsidRPr="00ED7FC9">
        <w:rPr>
          <w:iCs/>
        </w:rPr>
        <w:t xml:space="preserve"> but this has not been included in the MBS item descriptor.</w:t>
      </w:r>
    </w:p>
    <w:p w:rsidR="009D2D76" w:rsidRPr="00EE6756" w:rsidRDefault="009D2D76" w:rsidP="00F04E5D">
      <w:pPr>
        <w:autoSpaceDE w:val="0"/>
        <w:autoSpaceDN w:val="0"/>
        <w:adjustRightInd w:val="0"/>
        <w:rPr>
          <w:bCs/>
          <w:color w:val="000000"/>
          <w:szCs w:val="24"/>
        </w:rPr>
      </w:pPr>
    </w:p>
    <w:p w:rsidR="00F04E5D" w:rsidRPr="00EE6756" w:rsidRDefault="00384DAB" w:rsidP="00F04E5D">
      <w:pPr>
        <w:autoSpaceDE w:val="0"/>
        <w:autoSpaceDN w:val="0"/>
        <w:adjustRightInd w:val="0"/>
        <w:rPr>
          <w:bCs/>
          <w:color w:val="000000"/>
          <w:szCs w:val="24"/>
          <w:u w:val="single"/>
        </w:rPr>
      </w:pPr>
      <w:r w:rsidRPr="00EE6756">
        <w:rPr>
          <w:bCs/>
          <w:color w:val="000000"/>
          <w:szCs w:val="24"/>
          <w:u w:val="single"/>
        </w:rPr>
        <w:t xml:space="preserve">Proposed PBS </w:t>
      </w:r>
      <w:r w:rsidR="009E3C6D">
        <w:rPr>
          <w:bCs/>
          <w:color w:val="000000"/>
          <w:szCs w:val="24"/>
          <w:u w:val="single"/>
        </w:rPr>
        <w:t>restriction</w:t>
      </w:r>
      <w:r w:rsidR="006D5D41">
        <w:rPr>
          <w:bCs/>
          <w:color w:val="000000"/>
          <w:szCs w:val="24"/>
          <w:u w:val="single"/>
        </w:rPr>
        <w:t xml:space="preserve"> to extend the listing of aflibercept</w:t>
      </w:r>
    </w:p>
    <w:p w:rsidR="00AD7440" w:rsidRPr="00EE6756" w:rsidRDefault="00AD7440" w:rsidP="00AB03C1">
      <w:pPr>
        <w:jc w:val="both"/>
        <w:rPr>
          <w:szCs w:val="24"/>
          <w:u w:val="single"/>
        </w:rPr>
      </w:pPr>
    </w:p>
    <w:p w:rsidR="00AB03C1" w:rsidRPr="00EE6756" w:rsidRDefault="00AD7440" w:rsidP="00AB03C1">
      <w:pPr>
        <w:jc w:val="both"/>
        <w:rPr>
          <w:b/>
          <w:szCs w:val="24"/>
        </w:rPr>
      </w:pPr>
      <w:r w:rsidRPr="00EE6756">
        <w:rPr>
          <w:b/>
          <w:szCs w:val="24"/>
        </w:rPr>
        <w:t>Authority required</w:t>
      </w:r>
    </w:p>
    <w:p w:rsidR="006A488D" w:rsidRPr="009D2D76" w:rsidRDefault="006A488D" w:rsidP="00AB03C1">
      <w:pPr>
        <w:jc w:val="both"/>
        <w:rPr>
          <w:szCs w:val="24"/>
        </w:rPr>
      </w:pPr>
      <w:r w:rsidRPr="009D2D76">
        <w:rPr>
          <w:szCs w:val="24"/>
        </w:rPr>
        <w:t>Initial treatment by an ophthalmologist, as the sole subsidised therapy, for a patient newly diagnosed with macular oedema caused by central retinal vein occlusion (CRVO) who:</w:t>
      </w:r>
    </w:p>
    <w:p w:rsidR="006A488D" w:rsidRPr="009D2D76" w:rsidRDefault="006A488D" w:rsidP="00AB03C1">
      <w:pPr>
        <w:rPr>
          <w:szCs w:val="24"/>
        </w:rPr>
      </w:pPr>
      <w:r w:rsidRPr="009D2D76">
        <w:rPr>
          <w:szCs w:val="24"/>
        </w:rPr>
        <w:t xml:space="preserve">a) </w:t>
      </w:r>
      <w:r w:rsidR="00384DAB">
        <w:rPr>
          <w:szCs w:val="24"/>
        </w:rPr>
        <w:t>h</w:t>
      </w:r>
      <w:r w:rsidRPr="009D2D76">
        <w:rPr>
          <w:szCs w:val="24"/>
        </w:rPr>
        <w:t>as confirmed presence of central retinal thickening on OCT</w:t>
      </w:r>
    </w:p>
    <w:p w:rsidR="006A488D" w:rsidRPr="009D2D76" w:rsidRDefault="00384DAB" w:rsidP="00AB03C1">
      <w:pPr>
        <w:rPr>
          <w:szCs w:val="24"/>
        </w:rPr>
      </w:pPr>
      <w:r>
        <w:rPr>
          <w:szCs w:val="24"/>
        </w:rPr>
        <w:t>b) p</w:t>
      </w:r>
      <w:r w:rsidR="006A488D" w:rsidRPr="009D2D76">
        <w:rPr>
          <w:szCs w:val="24"/>
        </w:rPr>
        <w:t>resence of documented impairment of best corrected visual acuity</w:t>
      </w:r>
      <w:r w:rsidR="006A488D" w:rsidRPr="009D2D76">
        <w:rPr>
          <w:szCs w:val="24"/>
          <w:lang w:eastAsia="zh-CN"/>
        </w:rPr>
        <w:t xml:space="preserve"> (</w:t>
      </w:r>
      <w:r w:rsidR="006A488D" w:rsidRPr="009D2D76">
        <w:rPr>
          <w:szCs w:val="24"/>
        </w:rPr>
        <w:t>BCVA</w:t>
      </w:r>
      <w:r w:rsidR="006A488D" w:rsidRPr="009D2D76">
        <w:rPr>
          <w:szCs w:val="24"/>
          <w:lang w:eastAsia="zh-CN"/>
        </w:rPr>
        <w:t>)</w:t>
      </w:r>
      <w:r w:rsidR="006A488D" w:rsidRPr="009D2D76">
        <w:rPr>
          <w:szCs w:val="24"/>
        </w:rPr>
        <w:t xml:space="preserve"> on the early treatment diabetic retinopathy study </w:t>
      </w:r>
      <w:r w:rsidR="006A488D" w:rsidRPr="009D2D76">
        <w:rPr>
          <w:szCs w:val="24"/>
          <w:lang w:eastAsia="zh-CN"/>
        </w:rPr>
        <w:t>(</w:t>
      </w:r>
      <w:r w:rsidR="006A488D" w:rsidRPr="009D2D76">
        <w:rPr>
          <w:szCs w:val="24"/>
        </w:rPr>
        <w:t>EDTRS</w:t>
      </w:r>
      <w:r w:rsidR="006A488D" w:rsidRPr="009D2D76">
        <w:rPr>
          <w:szCs w:val="24"/>
          <w:lang w:eastAsia="zh-CN"/>
        </w:rPr>
        <w:t>)</w:t>
      </w:r>
      <w:r w:rsidR="006A488D" w:rsidRPr="009D2D76">
        <w:rPr>
          <w:szCs w:val="24"/>
        </w:rPr>
        <w:t xml:space="preserve"> chart</w:t>
      </w:r>
      <w:r>
        <w:rPr>
          <w:szCs w:val="24"/>
        </w:rPr>
        <w:t>.</w:t>
      </w:r>
    </w:p>
    <w:p w:rsidR="006A488D" w:rsidRPr="009D2D76" w:rsidRDefault="006A488D" w:rsidP="00AB03C1">
      <w:pPr>
        <w:rPr>
          <w:szCs w:val="24"/>
        </w:rPr>
      </w:pPr>
    </w:p>
    <w:p w:rsidR="006A488D" w:rsidRPr="009D2D76" w:rsidRDefault="006A488D" w:rsidP="00AB03C1">
      <w:pPr>
        <w:rPr>
          <w:szCs w:val="24"/>
        </w:rPr>
      </w:pPr>
      <w:r w:rsidRPr="009D2D76">
        <w:rPr>
          <w:szCs w:val="24"/>
        </w:rPr>
        <w:t>Initial treatment with monthly injections for up to 6 months followed by OCT guided treatment</w:t>
      </w:r>
      <w:r w:rsidR="00384DAB">
        <w:rPr>
          <w:szCs w:val="24"/>
        </w:rPr>
        <w:t>.</w:t>
      </w:r>
    </w:p>
    <w:p w:rsidR="006A488D" w:rsidRPr="009D2D76" w:rsidRDefault="006A488D" w:rsidP="00AB03C1">
      <w:pPr>
        <w:rPr>
          <w:szCs w:val="24"/>
        </w:rPr>
      </w:pPr>
    </w:p>
    <w:p w:rsidR="006A488D" w:rsidRPr="00EE6756" w:rsidRDefault="006A488D" w:rsidP="00AB03C1">
      <w:pPr>
        <w:rPr>
          <w:szCs w:val="24"/>
        </w:rPr>
      </w:pPr>
      <w:r w:rsidRPr="00EE6756">
        <w:rPr>
          <w:b/>
          <w:szCs w:val="24"/>
        </w:rPr>
        <w:t>Authority required</w:t>
      </w:r>
    </w:p>
    <w:p w:rsidR="006A488D" w:rsidRPr="006A488D" w:rsidRDefault="006A488D" w:rsidP="00AB03C1">
      <w:r w:rsidRPr="009D2D76">
        <w:t>Continuing treatment by an ophthalmologist, as the sole subsidised therapy, for macular oedema following CRVO where the patient has previously been</w:t>
      </w:r>
      <w:r w:rsidRPr="006A488D">
        <w:t xml:space="preserve"> granted an authority prescription for the same eye.</w:t>
      </w:r>
    </w:p>
    <w:p w:rsidR="00D213DC" w:rsidRPr="00BB418D" w:rsidRDefault="00D213DC" w:rsidP="004A2933"/>
    <w:p w:rsidR="00A201AD" w:rsidRDefault="00867017" w:rsidP="007914E4">
      <w:pPr>
        <w:rPr>
          <w:szCs w:val="24"/>
        </w:rPr>
      </w:pPr>
      <w:r>
        <w:rPr>
          <w:szCs w:val="24"/>
        </w:rPr>
        <w:lastRenderedPageBreak/>
        <w:t>T</w:t>
      </w:r>
      <w:r w:rsidR="00A201AD">
        <w:rPr>
          <w:szCs w:val="24"/>
        </w:rPr>
        <w:t xml:space="preserve">he </w:t>
      </w:r>
      <w:r>
        <w:rPr>
          <w:szCs w:val="24"/>
        </w:rPr>
        <w:t xml:space="preserve">proposed </w:t>
      </w:r>
      <w:r w:rsidR="00EE6756">
        <w:rPr>
          <w:szCs w:val="24"/>
        </w:rPr>
        <w:t xml:space="preserve">MBS </w:t>
      </w:r>
      <w:r w:rsidR="00A201AD">
        <w:rPr>
          <w:szCs w:val="24"/>
        </w:rPr>
        <w:t xml:space="preserve">listing seeks to </w:t>
      </w:r>
      <w:r w:rsidR="00A201AD" w:rsidRPr="00557E92">
        <w:rPr>
          <w:szCs w:val="24"/>
        </w:rPr>
        <w:t xml:space="preserve">restrict the </w:t>
      </w:r>
      <w:r w:rsidR="00A201AD">
        <w:rPr>
          <w:szCs w:val="24"/>
        </w:rPr>
        <w:t>service to ophthalmologists</w:t>
      </w:r>
      <w:r w:rsidR="007914E4">
        <w:rPr>
          <w:szCs w:val="24"/>
        </w:rPr>
        <w:t xml:space="preserve"> as </w:t>
      </w:r>
      <w:r w:rsidR="007914E4" w:rsidRPr="007914E4">
        <w:rPr>
          <w:szCs w:val="24"/>
        </w:rPr>
        <w:t xml:space="preserve">the subsequent medical management in the context of </w:t>
      </w:r>
      <w:r w:rsidR="00AA2715">
        <w:rPr>
          <w:szCs w:val="24"/>
        </w:rPr>
        <w:t xml:space="preserve">treating </w:t>
      </w:r>
      <w:r w:rsidR="007914E4" w:rsidRPr="007914E4">
        <w:rPr>
          <w:szCs w:val="24"/>
        </w:rPr>
        <w:t>CRVO would require</w:t>
      </w:r>
      <w:r w:rsidR="007914E4">
        <w:rPr>
          <w:szCs w:val="24"/>
        </w:rPr>
        <w:t xml:space="preserve"> </w:t>
      </w:r>
      <w:r w:rsidR="007914E4" w:rsidRPr="007914E4">
        <w:rPr>
          <w:szCs w:val="24"/>
        </w:rPr>
        <w:t>the clinical expertise of an ophthalmologist</w:t>
      </w:r>
      <w:r w:rsidR="00384DAB">
        <w:rPr>
          <w:szCs w:val="24"/>
        </w:rPr>
        <w:t>.</w:t>
      </w:r>
    </w:p>
    <w:p w:rsidR="00A201AD" w:rsidRDefault="00A201AD" w:rsidP="004A2933">
      <w:pPr>
        <w:rPr>
          <w:szCs w:val="24"/>
        </w:rPr>
      </w:pPr>
    </w:p>
    <w:p w:rsidR="00426F5C" w:rsidRPr="002B4CE2" w:rsidRDefault="00D03BC1" w:rsidP="00384DAB">
      <w:pPr>
        <w:pStyle w:val="Heading1"/>
        <w:numPr>
          <w:ilvl w:val="0"/>
          <w:numId w:val="17"/>
        </w:numPr>
        <w:spacing w:before="0"/>
        <w:ind w:left="567" w:hanging="567"/>
      </w:pPr>
      <w:r w:rsidRPr="00384DAB">
        <w:rPr>
          <w:rFonts w:cs="Arial"/>
          <w:szCs w:val="24"/>
        </w:rPr>
        <w:t>Consumer</w:t>
      </w:r>
      <w:r w:rsidRPr="002B4CE2">
        <w:t xml:space="preserve"> Impact Statement</w:t>
      </w:r>
    </w:p>
    <w:p w:rsidR="004E0A53" w:rsidRDefault="00B24BEE" w:rsidP="0010002B">
      <w:r>
        <w:t xml:space="preserve">Given </w:t>
      </w:r>
      <w:r w:rsidR="00581B9A" w:rsidRPr="00581B9A">
        <w:t>the propos</w:t>
      </w:r>
      <w:r w:rsidR="000E780B">
        <w:t>al</w:t>
      </w:r>
      <w:r w:rsidR="00581B9A" w:rsidRPr="00581B9A">
        <w:t xml:space="preserve"> </w:t>
      </w:r>
      <w:r w:rsidR="000E780B">
        <w:t xml:space="preserve">to </w:t>
      </w:r>
      <w:r w:rsidR="00581B9A" w:rsidRPr="00581B9A">
        <w:t>restrict the service to ophthalmologists</w:t>
      </w:r>
      <w:r w:rsidR="00925B5B">
        <w:t>, and that most of these specialist</w:t>
      </w:r>
      <w:r w:rsidR="009D2D76">
        <w:t>s</w:t>
      </w:r>
      <w:r w:rsidR="00925B5B">
        <w:t xml:space="preserve"> work in urban areas</w:t>
      </w:r>
      <w:r>
        <w:t xml:space="preserve">, there is likely to be </w:t>
      </w:r>
      <w:r w:rsidR="00581B9A" w:rsidRPr="00581B9A">
        <w:t>limited access to specialist care of CRVO (OCT monitoring and any intravitreal treatment) in outer regional, remote and very remote areas (AIHW 2009).</w:t>
      </w:r>
    </w:p>
    <w:p w:rsidR="0010002B" w:rsidRPr="0010002B" w:rsidRDefault="0010002B" w:rsidP="0010002B"/>
    <w:p w:rsidR="003D0F7D" w:rsidRPr="002B4CE2" w:rsidRDefault="004E6F63" w:rsidP="00384DAB">
      <w:pPr>
        <w:pStyle w:val="Heading1"/>
        <w:numPr>
          <w:ilvl w:val="0"/>
          <w:numId w:val="17"/>
        </w:numPr>
        <w:spacing w:before="0"/>
        <w:ind w:left="567" w:hanging="567"/>
      </w:pPr>
      <w:r w:rsidRPr="002B4CE2">
        <w:t xml:space="preserve">Proposed </w:t>
      </w:r>
      <w:r w:rsidRPr="00384DAB">
        <w:rPr>
          <w:rFonts w:cs="Arial"/>
          <w:szCs w:val="24"/>
        </w:rPr>
        <w:t>i</w:t>
      </w:r>
      <w:r w:rsidR="00422B7E" w:rsidRPr="00384DAB">
        <w:rPr>
          <w:rFonts w:cs="Arial"/>
          <w:szCs w:val="24"/>
        </w:rPr>
        <w:t>ntervention’s</w:t>
      </w:r>
      <w:r w:rsidR="00422B7E" w:rsidRPr="002B4CE2">
        <w:t xml:space="preserve"> place in clinical management</w:t>
      </w:r>
    </w:p>
    <w:p w:rsidR="00971BE3" w:rsidRPr="00CC35F1" w:rsidRDefault="000E3CB0" w:rsidP="004A2933">
      <w:r>
        <w:t>T</w:t>
      </w:r>
      <w:r w:rsidR="00971BE3" w:rsidRPr="00CC35F1">
        <w:t xml:space="preserve">he claimed utility of </w:t>
      </w:r>
      <w:r>
        <w:t>OCT</w:t>
      </w:r>
      <w:r w:rsidR="00971BE3" w:rsidRPr="00CC35F1">
        <w:t xml:space="preserve"> is for assessing macular</w:t>
      </w:r>
      <w:r w:rsidR="001E78F3">
        <w:t xml:space="preserve"> </w:t>
      </w:r>
      <w:r w:rsidR="00971BE3" w:rsidRPr="00CC35F1">
        <w:t>oedema secondary to CRVO in order to identify patients who would benefit most from</w:t>
      </w:r>
      <w:r w:rsidR="001E78F3">
        <w:t xml:space="preserve"> </w:t>
      </w:r>
      <w:r w:rsidR="009E3C6D">
        <w:t xml:space="preserve">initial and ongoing </w:t>
      </w:r>
      <w:r w:rsidR="00971BE3" w:rsidRPr="00CC35F1">
        <w:t>treatment with aflibercept. In this capacity, it is not intended as a technology that can</w:t>
      </w:r>
      <w:r w:rsidR="001E78F3">
        <w:t xml:space="preserve"> </w:t>
      </w:r>
      <w:r w:rsidR="00971BE3" w:rsidRPr="00CC35F1">
        <w:t>replace the ophthalmological testing which enables diagnosis of CRVO.</w:t>
      </w:r>
    </w:p>
    <w:p w:rsidR="001E78F3" w:rsidRDefault="001E78F3" w:rsidP="004A2933"/>
    <w:p w:rsidR="00C7009A" w:rsidRDefault="00E41DAD" w:rsidP="004A2933">
      <w:r w:rsidRPr="001E78F3">
        <w:t xml:space="preserve">The </w:t>
      </w:r>
      <w:r w:rsidR="001E78F3" w:rsidRPr="001E78F3">
        <w:t xml:space="preserve">clinical </w:t>
      </w:r>
      <w:r w:rsidRPr="001E78F3">
        <w:t>algorithm indicate</w:t>
      </w:r>
      <w:r w:rsidR="00523777">
        <w:t>d</w:t>
      </w:r>
      <w:r w:rsidRPr="001E78F3">
        <w:t xml:space="preserve"> that all patients with a diagnosis of macular oedema secondary to CRVO and visual acuity &lt;</w:t>
      </w:r>
      <w:r w:rsidR="00C7009A">
        <w:t xml:space="preserve">20/40 will receive OCT testing. </w:t>
      </w:r>
      <w:r w:rsidRPr="001E78F3">
        <w:t xml:space="preserve">This </w:t>
      </w:r>
      <w:r w:rsidR="00523777" w:rsidRPr="001E78F3">
        <w:t>d</w:t>
      </w:r>
      <w:r w:rsidR="00523777">
        <w:t>id</w:t>
      </w:r>
      <w:r w:rsidR="00523777" w:rsidRPr="001E78F3">
        <w:t xml:space="preserve"> </w:t>
      </w:r>
      <w:r w:rsidRPr="001E78F3">
        <w:t xml:space="preserve">not concur with the proposed MBS item descriptor nor the proposed PBS </w:t>
      </w:r>
      <w:r w:rsidR="009E3C6D">
        <w:t>restriction</w:t>
      </w:r>
      <w:r w:rsidRPr="001E78F3">
        <w:t xml:space="preserve">, which do not specify a specific level of </w:t>
      </w:r>
      <w:r w:rsidR="0010185E">
        <w:t>visual acuity</w:t>
      </w:r>
      <w:r w:rsidRPr="001E78F3">
        <w:t>.</w:t>
      </w:r>
    </w:p>
    <w:p w:rsidR="00C7009A" w:rsidRDefault="00C7009A" w:rsidP="004A2933"/>
    <w:p w:rsidR="00E41DAD" w:rsidRDefault="00E41DAD" w:rsidP="0010002B">
      <w:r w:rsidRPr="001E78F3">
        <w:t>The MBS item descriptor d</w:t>
      </w:r>
      <w:r w:rsidR="00523777">
        <w:t>id</w:t>
      </w:r>
      <w:r w:rsidRPr="001E78F3">
        <w:t xml:space="preserve"> not mention </w:t>
      </w:r>
      <w:r w:rsidR="0010185E">
        <w:t>visual acuity</w:t>
      </w:r>
      <w:r w:rsidRPr="001E78F3">
        <w:t xml:space="preserve"> and the requested PBS </w:t>
      </w:r>
      <w:r w:rsidR="009E3C6D">
        <w:t>restriction</w:t>
      </w:r>
      <w:r w:rsidRPr="001E78F3">
        <w:t xml:space="preserve"> specifie</w:t>
      </w:r>
      <w:r w:rsidR="00523777">
        <w:t>d</w:t>
      </w:r>
      <w:r w:rsidRPr="001E78F3">
        <w:t xml:space="preserve"> that patients have documented impairment of best corrected visual acuity (BCVA) on the ETDRS. Following initial treatment of monthly aflibercept injections for 6 months patients</w:t>
      </w:r>
      <w:r w:rsidR="009E3C6D">
        <w:t>,</w:t>
      </w:r>
      <w:r w:rsidRPr="001E78F3">
        <w:t xml:space="preserve"> will then receive OCT to determine </w:t>
      </w:r>
      <w:r w:rsidR="009E3C6D">
        <w:t xml:space="preserve">the </w:t>
      </w:r>
      <w:r w:rsidRPr="001E78F3">
        <w:t xml:space="preserve">need for </w:t>
      </w:r>
      <w:r w:rsidR="009E3C6D">
        <w:t xml:space="preserve">and timing of </w:t>
      </w:r>
      <w:r w:rsidRPr="001E78F3">
        <w:t>re-injection of aflibercept. Neither the proposed MBS listing nor PBS restriction specifie</w:t>
      </w:r>
      <w:r w:rsidR="00AD7440">
        <w:t>d</w:t>
      </w:r>
      <w:r w:rsidRPr="001E78F3">
        <w:t xml:space="preserve"> criter</w:t>
      </w:r>
      <w:r w:rsidR="00384DAB">
        <w:t>ia for continuation of therapy.</w:t>
      </w:r>
    </w:p>
    <w:p w:rsidR="0010002B" w:rsidRPr="00E41DAD" w:rsidRDefault="0010002B" w:rsidP="0010002B"/>
    <w:p w:rsidR="00865C26" w:rsidRPr="002B4CE2" w:rsidRDefault="00865C26" w:rsidP="00384DAB">
      <w:pPr>
        <w:pStyle w:val="Heading1"/>
        <w:numPr>
          <w:ilvl w:val="0"/>
          <w:numId w:val="17"/>
        </w:numPr>
        <w:spacing w:before="0"/>
        <w:ind w:left="567" w:hanging="567"/>
      </w:pPr>
      <w:r w:rsidRPr="002B4CE2">
        <w:t xml:space="preserve">Other </w:t>
      </w:r>
      <w:r w:rsidRPr="00384DAB">
        <w:rPr>
          <w:rFonts w:cs="Arial"/>
          <w:szCs w:val="24"/>
        </w:rPr>
        <w:t>options</w:t>
      </w:r>
      <w:r w:rsidRPr="002B4CE2">
        <w:t xml:space="preserve"> for MSAC consideration</w:t>
      </w:r>
    </w:p>
    <w:p w:rsidR="00771353" w:rsidRDefault="00771353" w:rsidP="0010002B">
      <w:pPr>
        <w:tabs>
          <w:tab w:val="left" w:pos="720"/>
          <w:tab w:val="left" w:pos="1140"/>
        </w:tabs>
        <w:rPr>
          <w:szCs w:val="24"/>
        </w:rPr>
      </w:pPr>
      <w:r>
        <w:rPr>
          <w:szCs w:val="24"/>
        </w:rPr>
        <w:t>Nil</w:t>
      </w:r>
      <w:r w:rsidR="00B24BEE">
        <w:rPr>
          <w:szCs w:val="24"/>
        </w:rPr>
        <w:t>.</w:t>
      </w:r>
    </w:p>
    <w:p w:rsidR="0010002B" w:rsidRDefault="0010002B" w:rsidP="0010002B">
      <w:pPr>
        <w:tabs>
          <w:tab w:val="left" w:pos="720"/>
          <w:tab w:val="left" w:pos="1140"/>
        </w:tabs>
        <w:rPr>
          <w:szCs w:val="24"/>
        </w:rPr>
      </w:pPr>
    </w:p>
    <w:p w:rsidR="00937076" w:rsidRPr="002B4CE2" w:rsidRDefault="00937076" w:rsidP="00384DAB">
      <w:pPr>
        <w:pStyle w:val="Heading1"/>
        <w:numPr>
          <w:ilvl w:val="0"/>
          <w:numId w:val="17"/>
        </w:numPr>
        <w:spacing w:before="0"/>
        <w:ind w:left="567" w:hanging="567"/>
      </w:pPr>
      <w:r w:rsidRPr="00384DAB">
        <w:rPr>
          <w:rFonts w:cs="Arial"/>
          <w:szCs w:val="24"/>
        </w:rPr>
        <w:t>Comparator</w:t>
      </w:r>
      <w:r w:rsidR="00094129" w:rsidRPr="002B4CE2">
        <w:t xml:space="preserve"> to the </w:t>
      </w:r>
      <w:r w:rsidR="00B7306D" w:rsidRPr="002B4CE2">
        <w:t>proposed i</w:t>
      </w:r>
      <w:r w:rsidR="00094129" w:rsidRPr="002B4CE2">
        <w:t>ntervention</w:t>
      </w:r>
    </w:p>
    <w:p w:rsidR="00804313" w:rsidRDefault="00D77A0D" w:rsidP="0010002B">
      <w:pPr>
        <w:rPr>
          <w:rFonts w:eastAsia="SimSun"/>
          <w:snapToGrid w:val="0"/>
          <w:color w:val="000000"/>
        </w:rPr>
      </w:pPr>
      <w:r w:rsidRPr="00D77A0D">
        <w:rPr>
          <w:rFonts w:eastAsia="SimSun"/>
          <w:snapToGrid w:val="0"/>
          <w:lang w:eastAsia="en-US"/>
        </w:rPr>
        <w:t>The submission nominate</w:t>
      </w:r>
      <w:r w:rsidR="00C86A04">
        <w:rPr>
          <w:rFonts w:eastAsia="SimSun"/>
          <w:snapToGrid w:val="0"/>
          <w:lang w:eastAsia="en-US"/>
        </w:rPr>
        <w:t>d</w:t>
      </w:r>
      <w:r w:rsidRPr="00D77A0D">
        <w:rPr>
          <w:rFonts w:eastAsia="SimSun"/>
          <w:snapToGrid w:val="0"/>
          <w:lang w:eastAsia="en-US"/>
        </w:rPr>
        <w:t xml:space="preserve"> </w:t>
      </w:r>
      <w:r w:rsidR="009E3C6D">
        <w:rPr>
          <w:rFonts w:eastAsia="SimSun"/>
          <w:snapToGrid w:val="0"/>
          <w:lang w:eastAsia="en-US"/>
        </w:rPr>
        <w:t xml:space="preserve">OCT with </w:t>
      </w:r>
      <w:r w:rsidRPr="00D77A0D">
        <w:rPr>
          <w:rFonts w:eastAsia="SimSun"/>
          <w:snapToGrid w:val="0"/>
          <w:lang w:eastAsia="en-US"/>
        </w:rPr>
        <w:t>best supportive care as the main comparator</w:t>
      </w:r>
      <w:r w:rsidR="009E3C6D">
        <w:rPr>
          <w:rFonts w:eastAsia="SimSun"/>
          <w:snapToGrid w:val="0"/>
          <w:lang w:eastAsia="en-US"/>
        </w:rPr>
        <w:t xml:space="preserve"> to OCT with aflibercept</w:t>
      </w:r>
      <w:r w:rsidRPr="00D77A0D">
        <w:rPr>
          <w:rFonts w:eastAsia="SimSun"/>
          <w:snapToGrid w:val="0"/>
          <w:lang w:eastAsia="en-US"/>
        </w:rPr>
        <w:t>.</w:t>
      </w:r>
    </w:p>
    <w:p w:rsidR="00804313" w:rsidRDefault="00804313" w:rsidP="0010002B">
      <w:pPr>
        <w:rPr>
          <w:rFonts w:eastAsia="SimSun"/>
          <w:snapToGrid w:val="0"/>
          <w:color w:val="000000"/>
        </w:rPr>
      </w:pPr>
    </w:p>
    <w:p w:rsidR="00D77A0D" w:rsidRDefault="00D77A0D" w:rsidP="0010002B">
      <w:pPr>
        <w:rPr>
          <w:rFonts w:eastAsia="SimSun"/>
          <w:snapToGrid w:val="0"/>
          <w:lang w:eastAsia="en-US"/>
        </w:rPr>
      </w:pPr>
      <w:r w:rsidRPr="00D77A0D">
        <w:rPr>
          <w:rFonts w:eastAsia="SimSun"/>
          <w:snapToGrid w:val="0"/>
          <w:lang w:eastAsia="en-US"/>
        </w:rPr>
        <w:t>The comparator</w:t>
      </w:r>
      <w:r w:rsidR="00804313">
        <w:rPr>
          <w:rFonts w:eastAsia="SimSun"/>
          <w:snapToGrid w:val="0"/>
          <w:lang w:eastAsia="en-US"/>
        </w:rPr>
        <w:t>s</w:t>
      </w:r>
      <w:r w:rsidRPr="00D77A0D">
        <w:rPr>
          <w:rFonts w:eastAsia="SimSun"/>
          <w:snapToGrid w:val="0"/>
          <w:lang w:eastAsia="en-US"/>
        </w:rPr>
        <w:t xml:space="preserve"> defined in the DAP </w:t>
      </w:r>
      <w:r w:rsidR="00C40CED">
        <w:rPr>
          <w:rFonts w:eastAsia="SimSun"/>
          <w:snapToGrid w:val="0"/>
          <w:lang w:eastAsia="en-US"/>
        </w:rPr>
        <w:t>were</w:t>
      </w:r>
      <w:r w:rsidR="00C40CED" w:rsidRPr="00D77A0D">
        <w:rPr>
          <w:rFonts w:eastAsia="SimSun"/>
          <w:snapToGrid w:val="0"/>
          <w:lang w:eastAsia="en-US"/>
        </w:rPr>
        <w:t xml:space="preserve"> </w:t>
      </w:r>
      <w:r w:rsidRPr="00D77A0D">
        <w:rPr>
          <w:rFonts w:eastAsia="SimSun"/>
          <w:snapToGrid w:val="0"/>
          <w:lang w:eastAsia="en-US"/>
        </w:rPr>
        <w:t>not used by the submission:</w:t>
      </w:r>
    </w:p>
    <w:p w:rsidR="00D77A0D" w:rsidRPr="00771353" w:rsidRDefault="00EE6756" w:rsidP="00B500BE">
      <w:pPr>
        <w:numPr>
          <w:ilvl w:val="0"/>
          <w:numId w:val="7"/>
        </w:numPr>
        <w:tabs>
          <w:tab w:val="clear" w:pos="1080"/>
          <w:tab w:val="num" w:pos="360"/>
          <w:tab w:val="left" w:pos="810"/>
          <w:tab w:val="left" w:pos="1170"/>
        </w:tabs>
        <w:ind w:left="357" w:hanging="357"/>
        <w:rPr>
          <w:rFonts w:eastAsia="SimSun"/>
          <w:snapToGrid w:val="0"/>
          <w:lang w:eastAsia="en-US"/>
        </w:rPr>
      </w:pPr>
      <w:r w:rsidRPr="00B500BE">
        <w:rPr>
          <w:szCs w:val="24"/>
          <w:lang w:val="en-US" w:eastAsia="en-US"/>
        </w:rPr>
        <w:t>r</w:t>
      </w:r>
      <w:r w:rsidR="00D77A0D" w:rsidRPr="00B500BE">
        <w:rPr>
          <w:szCs w:val="24"/>
          <w:lang w:val="en-US" w:eastAsia="en-US"/>
        </w:rPr>
        <w:t>anibizumab</w:t>
      </w:r>
      <w:r w:rsidR="00D77A0D" w:rsidRPr="00771353">
        <w:rPr>
          <w:rFonts w:eastAsia="SimSun"/>
          <w:snapToGrid w:val="0"/>
          <w:lang w:eastAsia="en-US"/>
        </w:rPr>
        <w:t xml:space="preserve"> as part of standard medical management which involves prior </w:t>
      </w:r>
      <w:r w:rsidR="00B24BEE">
        <w:rPr>
          <w:rFonts w:eastAsia="SimSun"/>
          <w:snapToGrid w:val="0"/>
          <w:lang w:eastAsia="en-US"/>
        </w:rPr>
        <w:t xml:space="preserve">diagnostic tests, but not OCT. </w:t>
      </w:r>
      <w:r w:rsidR="00D77A0D" w:rsidRPr="00771353">
        <w:rPr>
          <w:rFonts w:eastAsia="SimSun"/>
          <w:snapToGrid w:val="0"/>
          <w:lang w:eastAsia="en-US"/>
        </w:rPr>
        <w:t>The submission did not use this comparator because all clinical trials presente</w:t>
      </w:r>
      <w:r>
        <w:rPr>
          <w:rFonts w:eastAsia="SimSun"/>
          <w:snapToGrid w:val="0"/>
          <w:lang w:eastAsia="en-US"/>
        </w:rPr>
        <w:t>d in the submission include</w:t>
      </w:r>
      <w:r w:rsidR="009E3C6D">
        <w:rPr>
          <w:rFonts w:eastAsia="SimSun"/>
          <w:snapToGrid w:val="0"/>
          <w:lang w:eastAsia="en-US"/>
        </w:rPr>
        <w:t>d</w:t>
      </w:r>
      <w:r>
        <w:rPr>
          <w:rFonts w:eastAsia="SimSun"/>
          <w:snapToGrid w:val="0"/>
          <w:lang w:eastAsia="en-US"/>
        </w:rPr>
        <w:t xml:space="preserve"> OCT</w:t>
      </w:r>
      <w:r w:rsidR="009E3C6D">
        <w:rPr>
          <w:rFonts w:eastAsia="SimSun"/>
          <w:snapToGrid w:val="0"/>
          <w:lang w:eastAsia="en-US"/>
        </w:rPr>
        <w:t>.</w:t>
      </w:r>
    </w:p>
    <w:p w:rsidR="00D77A0D" w:rsidRPr="00771353" w:rsidRDefault="00EE6756" w:rsidP="00B500BE">
      <w:pPr>
        <w:numPr>
          <w:ilvl w:val="0"/>
          <w:numId w:val="7"/>
        </w:numPr>
        <w:tabs>
          <w:tab w:val="clear" w:pos="1080"/>
          <w:tab w:val="num" w:pos="360"/>
          <w:tab w:val="left" w:pos="810"/>
          <w:tab w:val="left" w:pos="1170"/>
        </w:tabs>
        <w:spacing w:before="100" w:beforeAutospacing="1"/>
        <w:ind w:left="360"/>
        <w:rPr>
          <w:rFonts w:eastAsia="SimSun"/>
          <w:snapToGrid w:val="0"/>
          <w:lang w:eastAsia="en-US"/>
        </w:rPr>
      </w:pPr>
      <w:r w:rsidRPr="00771353">
        <w:rPr>
          <w:rFonts w:eastAsia="SimSun"/>
          <w:snapToGrid w:val="0"/>
          <w:lang w:eastAsia="en-US"/>
        </w:rPr>
        <w:t>a</w:t>
      </w:r>
      <w:r w:rsidR="00D77A0D" w:rsidRPr="00771353">
        <w:rPr>
          <w:rFonts w:eastAsia="SimSun"/>
          <w:snapToGrid w:val="0"/>
          <w:lang w:eastAsia="en-US"/>
        </w:rPr>
        <w:t xml:space="preserve">flibercept </w:t>
      </w:r>
      <w:r w:rsidR="00D77A0D" w:rsidRPr="00B500BE">
        <w:rPr>
          <w:szCs w:val="24"/>
          <w:lang w:val="en-US" w:eastAsia="en-US"/>
        </w:rPr>
        <w:t>informed</w:t>
      </w:r>
      <w:r w:rsidR="00D77A0D" w:rsidRPr="00771353">
        <w:rPr>
          <w:rFonts w:eastAsia="SimSun"/>
          <w:snapToGrid w:val="0"/>
          <w:lang w:eastAsia="en-US"/>
        </w:rPr>
        <w:t xml:space="preserve"> only by currently funded diagnostic tests, i.e., without the use of OCT (requested by </w:t>
      </w:r>
      <w:r w:rsidR="00771353">
        <w:rPr>
          <w:rFonts w:eastAsia="SimSun"/>
          <w:snapToGrid w:val="0"/>
          <w:lang w:eastAsia="en-US"/>
        </w:rPr>
        <w:t>PASC</w:t>
      </w:r>
      <w:r w:rsidR="00B24BEE">
        <w:rPr>
          <w:rFonts w:eastAsia="SimSun"/>
          <w:snapToGrid w:val="0"/>
          <w:lang w:eastAsia="en-US"/>
        </w:rPr>
        <w:t xml:space="preserve">). </w:t>
      </w:r>
      <w:r w:rsidR="00D77A0D" w:rsidRPr="00771353">
        <w:rPr>
          <w:rFonts w:eastAsia="SimSun"/>
          <w:snapToGrid w:val="0"/>
          <w:lang w:eastAsia="en-US"/>
        </w:rPr>
        <w:t>The submission did not use this comparator because all clinical trials include</w:t>
      </w:r>
      <w:r>
        <w:rPr>
          <w:rFonts w:eastAsia="SimSun"/>
          <w:snapToGrid w:val="0"/>
          <w:lang w:eastAsia="en-US"/>
        </w:rPr>
        <w:t>d</w:t>
      </w:r>
      <w:r w:rsidR="00D77A0D" w:rsidRPr="00771353">
        <w:rPr>
          <w:rFonts w:eastAsia="SimSun"/>
          <w:snapToGrid w:val="0"/>
          <w:lang w:eastAsia="en-US"/>
        </w:rPr>
        <w:t xml:space="preserve"> OCT.</w:t>
      </w:r>
    </w:p>
    <w:p w:rsidR="00D77A0D" w:rsidRPr="00D77A0D" w:rsidRDefault="00D77A0D" w:rsidP="005054B2">
      <w:pPr>
        <w:rPr>
          <w:rFonts w:eastAsia="SimSun"/>
          <w:snapToGrid w:val="0"/>
          <w:lang w:eastAsia="en-US"/>
        </w:rPr>
      </w:pPr>
    </w:p>
    <w:p w:rsidR="007A7F7B" w:rsidRDefault="00D77A0D" w:rsidP="005054B2">
      <w:pPr>
        <w:rPr>
          <w:rFonts w:eastAsia="SimSun"/>
          <w:snapToGrid w:val="0"/>
          <w:lang w:eastAsia="en-US"/>
        </w:rPr>
      </w:pPr>
      <w:r w:rsidRPr="00D77A0D">
        <w:rPr>
          <w:rFonts w:eastAsia="SimSun"/>
          <w:snapToGrid w:val="0"/>
          <w:lang w:eastAsia="en-US"/>
        </w:rPr>
        <w:t>The submission argue</w:t>
      </w:r>
      <w:r w:rsidR="007A7F7B">
        <w:rPr>
          <w:rFonts w:eastAsia="SimSun"/>
          <w:snapToGrid w:val="0"/>
          <w:lang w:eastAsia="en-US"/>
        </w:rPr>
        <w:t>d</w:t>
      </w:r>
      <w:r w:rsidRPr="00D77A0D">
        <w:rPr>
          <w:rFonts w:eastAsia="SimSun"/>
          <w:snapToGrid w:val="0"/>
          <w:lang w:eastAsia="en-US"/>
        </w:rPr>
        <w:t xml:space="preserve"> that no comparisons can be made to treatment without use of OCT given </w:t>
      </w:r>
      <w:r w:rsidR="007A7F7B">
        <w:rPr>
          <w:rFonts w:eastAsia="SimSun"/>
          <w:snapToGrid w:val="0"/>
          <w:lang w:eastAsia="en-US"/>
        </w:rPr>
        <w:t xml:space="preserve">the </w:t>
      </w:r>
      <w:r w:rsidR="00B24BEE">
        <w:rPr>
          <w:rFonts w:eastAsia="SimSun"/>
          <w:snapToGrid w:val="0"/>
          <w:lang w:eastAsia="en-US"/>
        </w:rPr>
        <w:t xml:space="preserve">lack of trial evidence. </w:t>
      </w:r>
      <w:r w:rsidRPr="00D77A0D">
        <w:rPr>
          <w:rFonts w:eastAsia="SimSun"/>
          <w:snapToGrid w:val="0"/>
          <w:lang w:eastAsia="en-US"/>
        </w:rPr>
        <w:t>The submission indicate</w:t>
      </w:r>
      <w:r w:rsidR="007A7F7B">
        <w:rPr>
          <w:rFonts w:eastAsia="SimSun"/>
          <w:snapToGrid w:val="0"/>
          <w:lang w:eastAsia="en-US"/>
        </w:rPr>
        <w:t>d</w:t>
      </w:r>
      <w:r w:rsidRPr="00D77A0D">
        <w:rPr>
          <w:rFonts w:eastAsia="SimSun"/>
          <w:snapToGrid w:val="0"/>
          <w:lang w:eastAsia="en-US"/>
        </w:rPr>
        <w:t xml:space="preserve"> that while the available evidence (all trials using OCT) does not specifically address the requested comparison, a linked evidence </w:t>
      </w:r>
      <w:r w:rsidRPr="00832B36">
        <w:rPr>
          <w:rFonts w:eastAsia="SimSun"/>
          <w:snapToGrid w:val="0"/>
          <w:lang w:eastAsia="en-US"/>
        </w:rPr>
        <w:t xml:space="preserve">approach </w:t>
      </w:r>
      <w:r w:rsidR="007A7F7B">
        <w:rPr>
          <w:rFonts w:eastAsia="SimSun"/>
          <w:snapToGrid w:val="0"/>
          <w:lang w:eastAsia="en-US"/>
        </w:rPr>
        <w:t>wa</w:t>
      </w:r>
      <w:r w:rsidR="00384DAB">
        <w:rPr>
          <w:rFonts w:eastAsia="SimSun"/>
          <w:snapToGrid w:val="0"/>
          <w:lang w:eastAsia="en-US"/>
        </w:rPr>
        <w:t>s presented.</w:t>
      </w:r>
    </w:p>
    <w:p w:rsidR="007A7F7B" w:rsidRDefault="007A7F7B" w:rsidP="005054B2">
      <w:pPr>
        <w:rPr>
          <w:rFonts w:eastAsia="SimSun"/>
          <w:snapToGrid w:val="0"/>
          <w:lang w:eastAsia="en-US"/>
        </w:rPr>
      </w:pPr>
    </w:p>
    <w:p w:rsidR="00D77A0D" w:rsidRPr="00832B36" w:rsidRDefault="007A7F7B" w:rsidP="005054B2">
      <w:pPr>
        <w:rPr>
          <w:rFonts w:eastAsia="SimSun"/>
          <w:snapToGrid w:val="0"/>
          <w:lang w:eastAsia="zh-CN"/>
        </w:rPr>
      </w:pPr>
      <w:r>
        <w:rPr>
          <w:rFonts w:eastAsia="SimSun"/>
          <w:snapToGrid w:val="0"/>
          <w:lang w:eastAsia="en-US"/>
        </w:rPr>
        <w:t xml:space="preserve">MSAC </w:t>
      </w:r>
      <w:r w:rsidR="006E7F3C">
        <w:rPr>
          <w:rFonts w:eastAsia="SimSun"/>
          <w:snapToGrid w:val="0"/>
          <w:lang w:eastAsia="en-US"/>
        </w:rPr>
        <w:t>assessed the provided evidence with the objective of deciding whether funding OCT for the requested purposes was justified compared to not funding or using OCT</w:t>
      </w:r>
      <w:r w:rsidR="00D77A0D" w:rsidRPr="00832B36">
        <w:rPr>
          <w:rFonts w:eastAsia="SimSun"/>
          <w:snapToGrid w:val="0"/>
          <w:lang w:eastAsia="en-US"/>
        </w:rPr>
        <w:t>.</w:t>
      </w:r>
    </w:p>
    <w:p w:rsidR="00D77A0D" w:rsidRPr="00832B36" w:rsidRDefault="00D77A0D" w:rsidP="005054B2">
      <w:pPr>
        <w:rPr>
          <w:rFonts w:eastAsia="SimSun"/>
          <w:szCs w:val="24"/>
        </w:rPr>
      </w:pPr>
    </w:p>
    <w:p w:rsidR="00937076" w:rsidRPr="002B4CE2" w:rsidRDefault="00E67C5A" w:rsidP="00384DAB">
      <w:pPr>
        <w:pStyle w:val="Heading1"/>
        <w:numPr>
          <w:ilvl w:val="0"/>
          <w:numId w:val="17"/>
        </w:numPr>
        <w:spacing w:before="0"/>
        <w:ind w:left="567" w:hanging="567"/>
      </w:pPr>
      <w:r w:rsidRPr="00384DAB">
        <w:rPr>
          <w:rFonts w:cs="Arial"/>
          <w:szCs w:val="24"/>
        </w:rPr>
        <w:lastRenderedPageBreak/>
        <w:t>Comparative</w:t>
      </w:r>
      <w:r w:rsidRPr="002B4CE2">
        <w:t xml:space="preserve"> </w:t>
      </w:r>
      <w:r w:rsidR="00C93A35" w:rsidRPr="002B4CE2">
        <w:t>s</w:t>
      </w:r>
      <w:r w:rsidR="00937076" w:rsidRPr="002B4CE2">
        <w:t>afety</w:t>
      </w:r>
    </w:p>
    <w:p w:rsidR="000A6989" w:rsidRDefault="000A6989" w:rsidP="0010002B">
      <w:pPr>
        <w:rPr>
          <w:iCs/>
        </w:rPr>
      </w:pPr>
      <w:r w:rsidRPr="00296A47">
        <w:rPr>
          <w:iCs/>
        </w:rPr>
        <w:t>The submission did not provide an assessment of the comparative safety of OCT. The submission state</w:t>
      </w:r>
      <w:r w:rsidR="006C0C0A">
        <w:rPr>
          <w:iCs/>
        </w:rPr>
        <w:t>d</w:t>
      </w:r>
      <w:r w:rsidRPr="00296A47">
        <w:rPr>
          <w:iCs/>
        </w:rPr>
        <w:t xml:space="preserve"> that OCT is considered a non-invasive ophthalmic test and is considered a safe procedure. The submission did not quantify th</w:t>
      </w:r>
      <w:r w:rsidR="000F4F7B">
        <w:rPr>
          <w:iCs/>
        </w:rPr>
        <w:t>e</w:t>
      </w:r>
      <w:r w:rsidRPr="00296A47">
        <w:rPr>
          <w:iCs/>
        </w:rPr>
        <w:t xml:space="preserve"> claim</w:t>
      </w:r>
      <w:r w:rsidR="008A52F9">
        <w:rPr>
          <w:iCs/>
        </w:rPr>
        <w:t xml:space="preserve"> of comparative safety</w:t>
      </w:r>
      <w:r w:rsidR="006D2CF5">
        <w:rPr>
          <w:iCs/>
        </w:rPr>
        <w:t>.</w:t>
      </w:r>
    </w:p>
    <w:p w:rsidR="0010002B" w:rsidRDefault="0010002B" w:rsidP="0010002B">
      <w:pPr>
        <w:rPr>
          <w:iCs/>
        </w:rPr>
      </w:pPr>
    </w:p>
    <w:p w:rsidR="009140DF" w:rsidRPr="002B4CE2" w:rsidRDefault="00E67C5A" w:rsidP="00384DAB">
      <w:pPr>
        <w:pStyle w:val="Heading1"/>
        <w:numPr>
          <w:ilvl w:val="0"/>
          <w:numId w:val="17"/>
        </w:numPr>
        <w:spacing w:before="0"/>
        <w:ind w:left="567" w:hanging="567"/>
      </w:pPr>
      <w:r w:rsidRPr="00384DAB">
        <w:rPr>
          <w:rFonts w:cs="Arial"/>
          <w:szCs w:val="24"/>
        </w:rPr>
        <w:t>Comparative</w:t>
      </w:r>
      <w:r w:rsidRPr="002B4CE2">
        <w:t xml:space="preserve"> </w:t>
      </w:r>
      <w:r w:rsidR="00937076" w:rsidRPr="002B4CE2">
        <w:t>effectiveness</w:t>
      </w:r>
    </w:p>
    <w:p w:rsidR="00C460F3" w:rsidRDefault="00C460F3" w:rsidP="0010002B">
      <w:pPr>
        <w:tabs>
          <w:tab w:val="left" w:pos="720"/>
        </w:tabs>
        <w:rPr>
          <w:szCs w:val="24"/>
        </w:rPr>
      </w:pPr>
      <w:r w:rsidRPr="00C460F3">
        <w:rPr>
          <w:szCs w:val="24"/>
        </w:rPr>
        <w:t>Three of the nine test/re-test studies provided results for the</w:t>
      </w:r>
      <w:r w:rsidR="00B24BEE">
        <w:rPr>
          <w:szCs w:val="24"/>
        </w:rPr>
        <w:t xml:space="preserve"> coefficient of repeatability. </w:t>
      </w:r>
      <w:r w:rsidRPr="00C460F3">
        <w:rPr>
          <w:szCs w:val="24"/>
        </w:rPr>
        <w:t>The remaining six studies provided results relevan</w:t>
      </w:r>
      <w:r>
        <w:rPr>
          <w:szCs w:val="24"/>
        </w:rPr>
        <w:t>t to intra-class repeatability.</w:t>
      </w:r>
    </w:p>
    <w:p w:rsidR="00C460F3" w:rsidRPr="00C460F3" w:rsidRDefault="00C460F3" w:rsidP="00C460F3">
      <w:pPr>
        <w:tabs>
          <w:tab w:val="left" w:pos="720"/>
        </w:tabs>
        <w:rPr>
          <w:szCs w:val="24"/>
        </w:rPr>
      </w:pPr>
    </w:p>
    <w:p w:rsidR="00C460F3" w:rsidRPr="00C460F3" w:rsidRDefault="00C460F3" w:rsidP="00C460F3">
      <w:pPr>
        <w:tabs>
          <w:tab w:val="left" w:pos="720"/>
        </w:tabs>
        <w:rPr>
          <w:szCs w:val="24"/>
        </w:rPr>
      </w:pPr>
      <w:r>
        <w:rPr>
          <w:szCs w:val="24"/>
        </w:rPr>
        <w:t>The submission drew</w:t>
      </w:r>
      <w:r w:rsidRPr="00C460F3">
        <w:rPr>
          <w:szCs w:val="24"/>
        </w:rPr>
        <w:t xml:space="preserve"> the following conclusions on the basis of the test/re-test results</w:t>
      </w:r>
      <w:r w:rsidR="00EE6756">
        <w:rPr>
          <w:szCs w:val="24"/>
        </w:rPr>
        <w:t>.</w:t>
      </w:r>
    </w:p>
    <w:p w:rsidR="00C460F3" w:rsidRDefault="00C460F3" w:rsidP="00B500BE">
      <w:pPr>
        <w:numPr>
          <w:ilvl w:val="0"/>
          <w:numId w:val="7"/>
        </w:numPr>
        <w:tabs>
          <w:tab w:val="clear" w:pos="1080"/>
          <w:tab w:val="num" w:pos="360"/>
          <w:tab w:val="left" w:pos="810"/>
          <w:tab w:val="left" w:pos="1170"/>
        </w:tabs>
        <w:ind w:left="357" w:hanging="357"/>
        <w:rPr>
          <w:szCs w:val="24"/>
        </w:rPr>
      </w:pPr>
      <w:r w:rsidRPr="00C460F3">
        <w:rPr>
          <w:szCs w:val="24"/>
        </w:rPr>
        <w:t>There is high intra-class repeatability</w:t>
      </w:r>
      <w:r w:rsidR="00B24BEE">
        <w:rPr>
          <w:szCs w:val="24"/>
        </w:rPr>
        <w:t xml:space="preserve"> within </w:t>
      </w:r>
      <w:r w:rsidR="006E7F3C">
        <w:rPr>
          <w:szCs w:val="24"/>
        </w:rPr>
        <w:t xml:space="preserve">the </w:t>
      </w:r>
      <w:r w:rsidR="00B24BEE">
        <w:rPr>
          <w:szCs w:val="24"/>
        </w:rPr>
        <w:t xml:space="preserve">TD and SD OCT systems. </w:t>
      </w:r>
      <w:r w:rsidRPr="00C460F3">
        <w:rPr>
          <w:szCs w:val="24"/>
        </w:rPr>
        <w:t>Therefore, within the same class of machine</w:t>
      </w:r>
      <w:r w:rsidR="006E7F3C">
        <w:rPr>
          <w:szCs w:val="24"/>
        </w:rPr>
        <w:t>,</w:t>
      </w:r>
      <w:r w:rsidRPr="00C460F3">
        <w:rPr>
          <w:szCs w:val="24"/>
        </w:rPr>
        <w:t xml:space="preserve"> OCT is an objective and reliable tool to measure OCT and quantitate </w:t>
      </w:r>
      <w:r w:rsidR="00B24BEE">
        <w:rPr>
          <w:szCs w:val="24"/>
        </w:rPr>
        <w:t xml:space="preserve">treatment-related differences. </w:t>
      </w:r>
      <w:r w:rsidRPr="00C460F3">
        <w:rPr>
          <w:szCs w:val="24"/>
        </w:rPr>
        <w:t xml:space="preserve">The intra-class repeatability observed in the included studies was based on patient populations that are not applicable to the proposed MBS and PBS populations – only 4 of the 9 </w:t>
      </w:r>
      <w:r w:rsidR="006E7F3C">
        <w:rPr>
          <w:szCs w:val="24"/>
        </w:rPr>
        <w:t>studies</w:t>
      </w:r>
      <w:r w:rsidRPr="00C460F3">
        <w:rPr>
          <w:szCs w:val="24"/>
        </w:rPr>
        <w:t xml:space="preserve"> included patients with CRVO and the proportion of CRVO patients w</w:t>
      </w:r>
      <w:r w:rsidR="00B24BEE">
        <w:rPr>
          <w:szCs w:val="24"/>
        </w:rPr>
        <w:t xml:space="preserve">as generally small, i.e. &lt;10%. </w:t>
      </w:r>
      <w:r w:rsidRPr="00C460F3">
        <w:rPr>
          <w:szCs w:val="24"/>
        </w:rPr>
        <w:t xml:space="preserve">The studies also had small </w:t>
      </w:r>
      <w:r>
        <w:rPr>
          <w:szCs w:val="24"/>
        </w:rPr>
        <w:t>number</w:t>
      </w:r>
      <w:r w:rsidRPr="00C460F3">
        <w:rPr>
          <w:szCs w:val="24"/>
        </w:rPr>
        <w:t>s, limiting the power of the study and strength of the conclusions drawn.</w:t>
      </w:r>
    </w:p>
    <w:p w:rsidR="00C460F3" w:rsidRPr="00C460F3" w:rsidRDefault="00C460F3" w:rsidP="00B500BE">
      <w:pPr>
        <w:numPr>
          <w:ilvl w:val="0"/>
          <w:numId w:val="7"/>
        </w:numPr>
        <w:tabs>
          <w:tab w:val="clear" w:pos="1080"/>
          <w:tab w:val="num" w:pos="360"/>
          <w:tab w:val="left" w:pos="810"/>
          <w:tab w:val="left" w:pos="1170"/>
        </w:tabs>
        <w:spacing w:before="100" w:beforeAutospacing="1"/>
        <w:ind w:left="360"/>
        <w:rPr>
          <w:szCs w:val="24"/>
        </w:rPr>
      </w:pPr>
      <w:r w:rsidRPr="00C460F3">
        <w:rPr>
          <w:szCs w:val="24"/>
        </w:rPr>
        <w:t>Four studies found low agreement between macular thickness measurem</w:t>
      </w:r>
      <w:r w:rsidR="00B24BEE">
        <w:rPr>
          <w:szCs w:val="24"/>
        </w:rPr>
        <w:t xml:space="preserve">ents of different OCT systems. </w:t>
      </w:r>
      <w:r w:rsidRPr="00C460F3">
        <w:rPr>
          <w:szCs w:val="24"/>
        </w:rPr>
        <w:t>The submission state</w:t>
      </w:r>
      <w:r w:rsidR="00661ED6">
        <w:rPr>
          <w:szCs w:val="24"/>
        </w:rPr>
        <w:t>d</w:t>
      </w:r>
      <w:r w:rsidRPr="00C460F3">
        <w:rPr>
          <w:szCs w:val="24"/>
        </w:rPr>
        <w:t xml:space="preserve"> that any potential differences across </w:t>
      </w:r>
      <w:r w:rsidR="006E7F3C">
        <w:rPr>
          <w:szCs w:val="24"/>
        </w:rPr>
        <w:t xml:space="preserve">OCT </w:t>
      </w:r>
      <w:r w:rsidRPr="00C460F3">
        <w:rPr>
          <w:szCs w:val="24"/>
        </w:rPr>
        <w:t>systems are unlikely to impact on individual p</w:t>
      </w:r>
      <w:r w:rsidR="00B24BEE">
        <w:rPr>
          <w:szCs w:val="24"/>
        </w:rPr>
        <w:t xml:space="preserve">atient treatment and outcomes. </w:t>
      </w:r>
      <w:r w:rsidRPr="00C460F3">
        <w:rPr>
          <w:szCs w:val="24"/>
        </w:rPr>
        <w:t xml:space="preserve">The submission </w:t>
      </w:r>
      <w:r w:rsidR="00661ED6">
        <w:rPr>
          <w:szCs w:val="24"/>
        </w:rPr>
        <w:t>made</w:t>
      </w:r>
      <w:r w:rsidRPr="00C460F3">
        <w:rPr>
          <w:szCs w:val="24"/>
        </w:rPr>
        <w:t xml:space="preserve"> this claim on the basis that practices are unlikely to switch OCT systems and therefore </w:t>
      </w:r>
      <w:r w:rsidR="006E7F3C">
        <w:rPr>
          <w:szCs w:val="24"/>
        </w:rPr>
        <w:t xml:space="preserve">all of </w:t>
      </w:r>
      <w:r w:rsidRPr="00C460F3">
        <w:rPr>
          <w:szCs w:val="24"/>
        </w:rPr>
        <w:t>a patient’s CRT measurement</w:t>
      </w:r>
      <w:r w:rsidR="006E7F3C">
        <w:rPr>
          <w:szCs w:val="24"/>
        </w:rPr>
        <w:t>s</w:t>
      </w:r>
      <w:r w:rsidRPr="00C460F3">
        <w:rPr>
          <w:szCs w:val="24"/>
        </w:rPr>
        <w:t xml:space="preserve"> would </w:t>
      </w:r>
      <w:r w:rsidR="00B24BEE">
        <w:rPr>
          <w:szCs w:val="24"/>
        </w:rPr>
        <w:t xml:space="preserve">be done using the same </w:t>
      </w:r>
      <w:r w:rsidR="006E7F3C">
        <w:rPr>
          <w:szCs w:val="24"/>
        </w:rPr>
        <w:t xml:space="preserve">OCT </w:t>
      </w:r>
      <w:r w:rsidR="00B24BEE">
        <w:rPr>
          <w:szCs w:val="24"/>
        </w:rPr>
        <w:t xml:space="preserve">system. </w:t>
      </w:r>
      <w:r w:rsidRPr="00C460F3">
        <w:rPr>
          <w:szCs w:val="24"/>
        </w:rPr>
        <w:t xml:space="preserve">That is likely if a patient remains at the same practice, but it is </w:t>
      </w:r>
      <w:r w:rsidR="006E7F3C">
        <w:rPr>
          <w:szCs w:val="24"/>
        </w:rPr>
        <w:t>also</w:t>
      </w:r>
      <w:r w:rsidRPr="00C460F3">
        <w:rPr>
          <w:szCs w:val="24"/>
        </w:rPr>
        <w:t xml:space="preserve"> likely that patients may relocate and potentially be assessed using a different OCT system.</w:t>
      </w:r>
    </w:p>
    <w:p w:rsidR="00C460F3" w:rsidRPr="00C460F3" w:rsidRDefault="00C460F3" w:rsidP="00C460F3">
      <w:pPr>
        <w:tabs>
          <w:tab w:val="left" w:pos="720"/>
        </w:tabs>
        <w:rPr>
          <w:szCs w:val="24"/>
        </w:rPr>
      </w:pPr>
    </w:p>
    <w:p w:rsidR="00C460F3" w:rsidRPr="00C460F3" w:rsidRDefault="00C460F3" w:rsidP="00661ED6">
      <w:pPr>
        <w:tabs>
          <w:tab w:val="left" w:pos="720"/>
        </w:tabs>
        <w:rPr>
          <w:szCs w:val="24"/>
        </w:rPr>
      </w:pPr>
      <w:r w:rsidRPr="00C460F3">
        <w:rPr>
          <w:szCs w:val="24"/>
        </w:rPr>
        <w:t xml:space="preserve">Based on the 14 studies assessing the correlation between CRT and visual acuity, the submission </w:t>
      </w:r>
      <w:r w:rsidR="00661ED6">
        <w:rPr>
          <w:szCs w:val="24"/>
        </w:rPr>
        <w:t>drew t</w:t>
      </w:r>
      <w:r w:rsidRPr="00C460F3">
        <w:rPr>
          <w:szCs w:val="24"/>
        </w:rPr>
        <w:t>he following conclusions</w:t>
      </w:r>
      <w:r w:rsidR="00EE6756">
        <w:rPr>
          <w:szCs w:val="24"/>
        </w:rPr>
        <w:t>.</w:t>
      </w:r>
    </w:p>
    <w:p w:rsidR="00C460F3" w:rsidRPr="00C460F3" w:rsidRDefault="006E7F3C" w:rsidP="00B500BE">
      <w:pPr>
        <w:numPr>
          <w:ilvl w:val="0"/>
          <w:numId w:val="7"/>
        </w:numPr>
        <w:tabs>
          <w:tab w:val="clear" w:pos="1080"/>
          <w:tab w:val="num" w:pos="360"/>
          <w:tab w:val="left" w:pos="810"/>
          <w:tab w:val="left" w:pos="1170"/>
        </w:tabs>
        <w:ind w:left="357" w:hanging="357"/>
        <w:rPr>
          <w:szCs w:val="24"/>
        </w:rPr>
      </w:pPr>
      <w:r>
        <w:rPr>
          <w:szCs w:val="24"/>
        </w:rPr>
        <w:t>Ten</w:t>
      </w:r>
      <w:r w:rsidR="00C460F3" w:rsidRPr="00C460F3">
        <w:rPr>
          <w:szCs w:val="24"/>
        </w:rPr>
        <w:t xml:space="preserve"> of the 14 </w:t>
      </w:r>
      <w:r w:rsidR="00C460F3" w:rsidRPr="00B500BE">
        <w:rPr>
          <w:szCs w:val="24"/>
          <w:lang w:val="en-US" w:eastAsia="en-US"/>
        </w:rPr>
        <w:t>studies</w:t>
      </w:r>
      <w:r w:rsidR="00C460F3" w:rsidRPr="00C460F3">
        <w:rPr>
          <w:szCs w:val="24"/>
        </w:rPr>
        <w:t xml:space="preserve"> reported a significant inverse relationship with either baseline CRT or final visual acuity; changes in CRT and final visual acuity; and retinal changes visible on OCT and visual acuity outcomes.</w:t>
      </w:r>
    </w:p>
    <w:p w:rsidR="00C460F3" w:rsidRDefault="00C460F3" w:rsidP="00B500BE">
      <w:pPr>
        <w:numPr>
          <w:ilvl w:val="0"/>
          <w:numId w:val="7"/>
        </w:numPr>
        <w:tabs>
          <w:tab w:val="clear" w:pos="1080"/>
          <w:tab w:val="num" w:pos="360"/>
          <w:tab w:val="left" w:pos="810"/>
          <w:tab w:val="left" w:pos="1170"/>
        </w:tabs>
        <w:spacing w:before="100" w:beforeAutospacing="1"/>
        <w:ind w:left="360"/>
        <w:rPr>
          <w:szCs w:val="24"/>
        </w:rPr>
      </w:pPr>
      <w:r w:rsidRPr="00C460F3">
        <w:rPr>
          <w:szCs w:val="24"/>
        </w:rPr>
        <w:t>Overall</w:t>
      </w:r>
      <w:r w:rsidR="00036547">
        <w:rPr>
          <w:szCs w:val="24"/>
        </w:rPr>
        <w:t>,</w:t>
      </w:r>
      <w:r w:rsidRPr="00C460F3">
        <w:rPr>
          <w:szCs w:val="24"/>
        </w:rPr>
        <w:t xml:space="preserve"> there is a modest but significant relationship between retinal thickness changes and visual acuity outcomes.</w:t>
      </w:r>
    </w:p>
    <w:p w:rsidR="00661ED6" w:rsidRPr="00C460F3" w:rsidRDefault="00661ED6" w:rsidP="00661ED6">
      <w:pPr>
        <w:tabs>
          <w:tab w:val="left" w:pos="426"/>
        </w:tabs>
        <w:rPr>
          <w:szCs w:val="24"/>
        </w:rPr>
      </w:pPr>
    </w:p>
    <w:p w:rsidR="00C460F3" w:rsidRPr="00C460F3" w:rsidRDefault="00C460F3" w:rsidP="00661ED6">
      <w:pPr>
        <w:tabs>
          <w:tab w:val="left" w:pos="720"/>
        </w:tabs>
        <w:rPr>
          <w:szCs w:val="24"/>
        </w:rPr>
      </w:pPr>
      <w:r w:rsidRPr="00C460F3">
        <w:rPr>
          <w:szCs w:val="24"/>
        </w:rPr>
        <w:t>The</w:t>
      </w:r>
      <w:r w:rsidR="0010002B">
        <w:rPr>
          <w:szCs w:val="24"/>
        </w:rPr>
        <w:t xml:space="preserve"> study results did</w:t>
      </w:r>
      <w:r w:rsidRPr="00C460F3">
        <w:rPr>
          <w:szCs w:val="24"/>
        </w:rPr>
        <w:t xml:space="preserve"> not strongly support this claim, for the following reasons</w:t>
      </w:r>
      <w:r w:rsidR="00EE6756">
        <w:rPr>
          <w:szCs w:val="24"/>
        </w:rPr>
        <w:t>.</w:t>
      </w:r>
    </w:p>
    <w:p w:rsidR="00C460F3" w:rsidRPr="00C460F3" w:rsidRDefault="00C460F3" w:rsidP="00B500BE">
      <w:pPr>
        <w:numPr>
          <w:ilvl w:val="0"/>
          <w:numId w:val="7"/>
        </w:numPr>
        <w:tabs>
          <w:tab w:val="clear" w:pos="1080"/>
          <w:tab w:val="num" w:pos="360"/>
          <w:tab w:val="left" w:pos="810"/>
          <w:tab w:val="left" w:pos="1170"/>
        </w:tabs>
        <w:ind w:left="357" w:hanging="357"/>
        <w:rPr>
          <w:szCs w:val="24"/>
        </w:rPr>
      </w:pPr>
      <w:r w:rsidRPr="00C460F3">
        <w:rPr>
          <w:szCs w:val="24"/>
        </w:rPr>
        <w:t xml:space="preserve">While there </w:t>
      </w:r>
      <w:r w:rsidRPr="00B500BE">
        <w:rPr>
          <w:szCs w:val="24"/>
          <w:lang w:val="en-US" w:eastAsia="en-US"/>
        </w:rPr>
        <w:t>was</w:t>
      </w:r>
      <w:r w:rsidRPr="00C460F3">
        <w:rPr>
          <w:szCs w:val="24"/>
        </w:rPr>
        <w:t xml:space="preserve"> a statistically significant inverse relationship between baseline CRT and final visual acuity in Hoeh et al (2010)</w:t>
      </w:r>
      <w:r w:rsidR="006E7F3C">
        <w:rPr>
          <w:szCs w:val="24"/>
        </w:rPr>
        <w:t>,</w:t>
      </w:r>
      <w:r w:rsidRPr="00C460F3">
        <w:rPr>
          <w:szCs w:val="24"/>
        </w:rPr>
        <w:t xml:space="preserve"> the authors of the paper indicate that some patients recovered good visual acuity, others suffered regular recurrences of macular oedema or failed to show visual improvement despite</w:t>
      </w:r>
      <w:r w:rsidR="00B24BEE">
        <w:rPr>
          <w:szCs w:val="24"/>
        </w:rPr>
        <w:t xml:space="preserve"> resolution of macular oedema. </w:t>
      </w:r>
      <w:r w:rsidRPr="00C460F3">
        <w:rPr>
          <w:szCs w:val="24"/>
        </w:rPr>
        <w:t>The authors conclude that the association of CRT with visual acuity seems to be modest, suggesting that other factors have a stronger im</w:t>
      </w:r>
      <w:r w:rsidR="00B24BEE">
        <w:rPr>
          <w:szCs w:val="24"/>
        </w:rPr>
        <w:t>pact on visual acuity than CRT.</w:t>
      </w:r>
    </w:p>
    <w:p w:rsidR="00C460F3" w:rsidRPr="00C460F3" w:rsidRDefault="00C460F3" w:rsidP="00B500BE">
      <w:pPr>
        <w:numPr>
          <w:ilvl w:val="0"/>
          <w:numId w:val="7"/>
        </w:numPr>
        <w:tabs>
          <w:tab w:val="clear" w:pos="1080"/>
          <w:tab w:val="num" w:pos="360"/>
          <w:tab w:val="left" w:pos="810"/>
          <w:tab w:val="left" w:pos="1170"/>
        </w:tabs>
        <w:spacing w:before="100" w:beforeAutospacing="1"/>
        <w:ind w:left="360"/>
        <w:rPr>
          <w:szCs w:val="24"/>
        </w:rPr>
      </w:pPr>
      <w:r w:rsidRPr="00C460F3">
        <w:rPr>
          <w:szCs w:val="24"/>
        </w:rPr>
        <w:t xml:space="preserve">Lima et al (2010) </w:t>
      </w:r>
      <w:r w:rsidRPr="00B500BE">
        <w:rPr>
          <w:szCs w:val="24"/>
          <w:lang w:val="en-US" w:eastAsia="en-US"/>
        </w:rPr>
        <w:t>suggest</w:t>
      </w:r>
      <w:r w:rsidRPr="00C460F3">
        <w:rPr>
          <w:szCs w:val="24"/>
        </w:rPr>
        <w:t xml:space="preserve"> that CRT alone should not be used as the only predictor of visual outcome in patients with CRVO</w:t>
      </w:r>
      <w:r w:rsidR="006E7F3C">
        <w:rPr>
          <w:szCs w:val="24"/>
        </w:rPr>
        <w:t>,</w:t>
      </w:r>
      <w:r w:rsidRPr="00C460F3">
        <w:rPr>
          <w:szCs w:val="24"/>
        </w:rPr>
        <w:t xml:space="preserve"> and that OCT and fluorescein angiography together provide a more complete as</w:t>
      </w:r>
      <w:r w:rsidR="00EE6756">
        <w:rPr>
          <w:szCs w:val="24"/>
        </w:rPr>
        <w:t>sessment of patients with CRVO.</w:t>
      </w:r>
    </w:p>
    <w:p w:rsidR="00C460F3" w:rsidRPr="00C460F3" w:rsidRDefault="00C460F3" w:rsidP="00B500BE">
      <w:pPr>
        <w:numPr>
          <w:ilvl w:val="0"/>
          <w:numId w:val="7"/>
        </w:numPr>
        <w:tabs>
          <w:tab w:val="clear" w:pos="1080"/>
          <w:tab w:val="num" w:pos="360"/>
          <w:tab w:val="left" w:pos="810"/>
          <w:tab w:val="left" w:pos="1170"/>
        </w:tabs>
        <w:spacing w:before="100" w:beforeAutospacing="1"/>
        <w:ind w:left="360"/>
        <w:rPr>
          <w:szCs w:val="24"/>
        </w:rPr>
      </w:pPr>
      <w:r w:rsidRPr="00C460F3">
        <w:rPr>
          <w:szCs w:val="24"/>
        </w:rPr>
        <w:t>All studies</w:t>
      </w:r>
      <w:r w:rsidR="006E7F3C">
        <w:rPr>
          <w:szCs w:val="24"/>
        </w:rPr>
        <w:t>,</w:t>
      </w:r>
      <w:r w:rsidRPr="00C460F3">
        <w:rPr>
          <w:szCs w:val="24"/>
        </w:rPr>
        <w:t xml:space="preserve"> with </w:t>
      </w:r>
      <w:r w:rsidRPr="00B500BE">
        <w:rPr>
          <w:szCs w:val="24"/>
          <w:lang w:val="en-US" w:eastAsia="en-US"/>
        </w:rPr>
        <w:t>the</w:t>
      </w:r>
      <w:r w:rsidRPr="00C460F3">
        <w:rPr>
          <w:szCs w:val="24"/>
        </w:rPr>
        <w:t xml:space="preserve"> exception of Sc</w:t>
      </w:r>
      <w:r w:rsidR="00B24BEE">
        <w:rPr>
          <w:szCs w:val="24"/>
        </w:rPr>
        <w:t>ott et al (2011)</w:t>
      </w:r>
      <w:r w:rsidR="006E7F3C">
        <w:rPr>
          <w:szCs w:val="24"/>
        </w:rPr>
        <w:t>,</w:t>
      </w:r>
      <w:r w:rsidR="00B24BEE">
        <w:rPr>
          <w:szCs w:val="24"/>
        </w:rPr>
        <w:t xml:space="preserve"> have small </w:t>
      </w:r>
      <w:r w:rsidR="006E7F3C">
        <w:rPr>
          <w:szCs w:val="24"/>
        </w:rPr>
        <w:t>sample sizes</w:t>
      </w:r>
      <w:r w:rsidR="00B24BEE">
        <w:rPr>
          <w:szCs w:val="24"/>
        </w:rPr>
        <w:t xml:space="preserve">. </w:t>
      </w:r>
      <w:r w:rsidRPr="00C460F3">
        <w:rPr>
          <w:szCs w:val="24"/>
        </w:rPr>
        <w:t>Scott et al (2011) concluded that the correlation coefficient for association between baseline OCT-measured centre point thickness and BCVA is modest (-0.27; 95% CI: -0.38, -0.16).</w:t>
      </w:r>
    </w:p>
    <w:p w:rsidR="00C460F3" w:rsidRPr="00C460F3" w:rsidRDefault="00C460F3" w:rsidP="000B6AD3">
      <w:pPr>
        <w:tabs>
          <w:tab w:val="left" w:pos="720"/>
        </w:tabs>
        <w:rPr>
          <w:szCs w:val="24"/>
        </w:rPr>
      </w:pPr>
    </w:p>
    <w:p w:rsidR="00C460F3" w:rsidRPr="00C460F3" w:rsidRDefault="00C460F3" w:rsidP="000B6AD3">
      <w:pPr>
        <w:tabs>
          <w:tab w:val="left" w:pos="720"/>
        </w:tabs>
        <w:rPr>
          <w:szCs w:val="24"/>
        </w:rPr>
      </w:pPr>
      <w:r w:rsidRPr="00C460F3">
        <w:rPr>
          <w:szCs w:val="24"/>
        </w:rPr>
        <w:t xml:space="preserve">Overall, the results provide </w:t>
      </w:r>
      <w:r w:rsidR="00036547">
        <w:rPr>
          <w:szCs w:val="24"/>
        </w:rPr>
        <w:t>weak</w:t>
      </w:r>
      <w:r w:rsidRPr="00C460F3">
        <w:rPr>
          <w:szCs w:val="24"/>
        </w:rPr>
        <w:t xml:space="preserve"> support for a significant correlation between change in CRT and </w:t>
      </w:r>
      <w:r w:rsidR="00036547">
        <w:rPr>
          <w:szCs w:val="24"/>
        </w:rPr>
        <w:t xml:space="preserve">change in </w:t>
      </w:r>
      <w:r w:rsidRPr="00C460F3">
        <w:rPr>
          <w:szCs w:val="24"/>
        </w:rPr>
        <w:t>visual acuity.</w:t>
      </w:r>
    </w:p>
    <w:p w:rsidR="00C460F3" w:rsidRPr="00C460F3" w:rsidRDefault="00C460F3" w:rsidP="000B6AD3">
      <w:pPr>
        <w:tabs>
          <w:tab w:val="left" w:pos="720"/>
        </w:tabs>
        <w:rPr>
          <w:szCs w:val="24"/>
        </w:rPr>
      </w:pPr>
    </w:p>
    <w:p w:rsidR="0030582B" w:rsidRDefault="00C460F3" w:rsidP="00A44E52">
      <w:pPr>
        <w:tabs>
          <w:tab w:val="left" w:pos="720"/>
        </w:tabs>
        <w:rPr>
          <w:szCs w:val="24"/>
        </w:rPr>
      </w:pPr>
      <w:r w:rsidRPr="00C460F3">
        <w:rPr>
          <w:szCs w:val="24"/>
        </w:rPr>
        <w:t>The submission also provide</w:t>
      </w:r>
      <w:r w:rsidR="007B63E3">
        <w:rPr>
          <w:szCs w:val="24"/>
        </w:rPr>
        <w:t>d</w:t>
      </w:r>
      <w:r w:rsidRPr="00C460F3">
        <w:rPr>
          <w:szCs w:val="24"/>
        </w:rPr>
        <w:t xml:space="preserve"> a qualitative assessment of the us</w:t>
      </w:r>
      <w:r w:rsidR="00B24BEE">
        <w:rPr>
          <w:szCs w:val="24"/>
        </w:rPr>
        <w:t xml:space="preserve">e of OCT as a monitoring test. </w:t>
      </w:r>
      <w:r w:rsidRPr="00C460F3">
        <w:rPr>
          <w:szCs w:val="24"/>
        </w:rPr>
        <w:t>This assessment was based on the opinion of one ophthalmol</w:t>
      </w:r>
      <w:r w:rsidR="007B63E3">
        <w:rPr>
          <w:szCs w:val="24"/>
        </w:rPr>
        <w:t xml:space="preserve">ogist. The submission </w:t>
      </w:r>
      <w:r w:rsidR="007B63E3">
        <w:rPr>
          <w:szCs w:val="24"/>
        </w:rPr>
        <w:lastRenderedPageBreak/>
        <w:t>concluded</w:t>
      </w:r>
      <w:r w:rsidRPr="00C460F3">
        <w:rPr>
          <w:szCs w:val="24"/>
        </w:rPr>
        <w:t xml:space="preserve"> that OCT is valuable as a monitoring test for treatment with aflibercept. The submission d</w:t>
      </w:r>
      <w:r w:rsidR="007B63E3">
        <w:rPr>
          <w:szCs w:val="24"/>
        </w:rPr>
        <w:t>id</w:t>
      </w:r>
      <w:r w:rsidRPr="00C460F3">
        <w:rPr>
          <w:szCs w:val="24"/>
        </w:rPr>
        <w:t xml:space="preserve"> not have an evidentiary base for this claim. No evidence </w:t>
      </w:r>
      <w:r w:rsidR="007B63E3">
        <w:rPr>
          <w:szCs w:val="24"/>
        </w:rPr>
        <w:t>wa</w:t>
      </w:r>
      <w:r w:rsidRPr="00C460F3">
        <w:rPr>
          <w:szCs w:val="24"/>
        </w:rPr>
        <w:t>s presented in the trial reports or additional studies included in the MSAC part of the co-dependent submission which support the use of OCT as a monitoring test for treatment with aflibercept.</w:t>
      </w:r>
    </w:p>
    <w:p w:rsidR="00A44E52" w:rsidRPr="00BB418D" w:rsidRDefault="00A44E52" w:rsidP="00A44E52">
      <w:pPr>
        <w:tabs>
          <w:tab w:val="left" w:pos="720"/>
        </w:tabs>
        <w:rPr>
          <w:szCs w:val="24"/>
        </w:rPr>
      </w:pPr>
    </w:p>
    <w:p w:rsidR="004C0DCE" w:rsidRPr="002B4CE2" w:rsidRDefault="004C0DCE" w:rsidP="00384DAB">
      <w:pPr>
        <w:pStyle w:val="Heading1"/>
        <w:numPr>
          <w:ilvl w:val="0"/>
          <w:numId w:val="17"/>
        </w:numPr>
        <w:spacing w:before="0"/>
        <w:ind w:left="567" w:hanging="567"/>
      </w:pPr>
      <w:r w:rsidRPr="00384DAB">
        <w:rPr>
          <w:rFonts w:cs="Arial"/>
          <w:szCs w:val="24"/>
        </w:rPr>
        <w:t>Economic</w:t>
      </w:r>
      <w:r w:rsidRPr="002B4CE2">
        <w:t xml:space="preserve"> evaluation</w:t>
      </w:r>
    </w:p>
    <w:p w:rsidR="00DD0639" w:rsidRDefault="00DD0639" w:rsidP="00A44E52">
      <w:r>
        <w:t xml:space="preserve">A modelled economic evaluation (cost-utility analysis) based on superiority claim for comparative benefit of </w:t>
      </w:r>
      <w:r w:rsidR="00EE5ECA">
        <w:t xml:space="preserve">OCT with </w:t>
      </w:r>
      <w:r>
        <w:t xml:space="preserve">aflibercept </w:t>
      </w:r>
      <w:r w:rsidR="00F33214">
        <w:t>wa</w:t>
      </w:r>
      <w:r>
        <w:t xml:space="preserve">s presented. </w:t>
      </w:r>
    </w:p>
    <w:p w:rsidR="009704D6" w:rsidRDefault="009704D6" w:rsidP="00E17323"/>
    <w:p w:rsidR="003A560F" w:rsidRPr="00A44E52" w:rsidRDefault="00F8075C" w:rsidP="00A44E52">
      <w:r>
        <w:rPr>
          <w:color w:val="000000" w:themeColor="text1"/>
        </w:rPr>
        <w:t>The submission</w:t>
      </w:r>
      <w:r w:rsidR="00851C5A">
        <w:rPr>
          <w:color w:val="000000" w:themeColor="text1"/>
        </w:rPr>
        <w:t>’s model</w:t>
      </w:r>
      <w:r>
        <w:rPr>
          <w:color w:val="000000" w:themeColor="text1"/>
        </w:rPr>
        <w:t xml:space="preserve"> assumed</w:t>
      </w:r>
      <w:r w:rsidRPr="008C26E0">
        <w:rPr>
          <w:color w:val="000000" w:themeColor="text1"/>
        </w:rPr>
        <w:t xml:space="preserve"> that consultations and OCT occur in a</w:t>
      </w:r>
      <w:r>
        <w:rPr>
          <w:color w:val="000000" w:themeColor="text1"/>
        </w:rPr>
        <w:t xml:space="preserve"> 1:1 ratio to injections</w:t>
      </w:r>
      <w:r w:rsidR="00851C5A">
        <w:rPr>
          <w:color w:val="000000" w:themeColor="text1"/>
        </w:rPr>
        <w:t>,</w:t>
      </w:r>
      <w:r>
        <w:rPr>
          <w:color w:val="000000" w:themeColor="text1"/>
        </w:rPr>
        <w:t xml:space="preserve"> which </w:t>
      </w:r>
      <w:r w:rsidRPr="008C26E0">
        <w:rPr>
          <w:color w:val="000000" w:themeColor="text1"/>
        </w:rPr>
        <w:t>makes no allowance for monitoring services that do not result in re-injection but w</w:t>
      </w:r>
      <w:r>
        <w:rPr>
          <w:color w:val="000000" w:themeColor="text1"/>
        </w:rPr>
        <w:t>h</w:t>
      </w:r>
      <w:r w:rsidRPr="008C26E0">
        <w:rPr>
          <w:color w:val="000000" w:themeColor="text1"/>
        </w:rPr>
        <w:t>ere a decision is made to review for further injection at a subsequent appointment.</w:t>
      </w:r>
      <w:r>
        <w:rPr>
          <w:color w:val="000000" w:themeColor="text1"/>
        </w:rPr>
        <w:t xml:space="preserve"> Therefore, the model understated</w:t>
      </w:r>
      <w:r w:rsidRPr="008C26E0">
        <w:rPr>
          <w:color w:val="000000" w:themeColor="text1"/>
        </w:rPr>
        <w:t xml:space="preserve"> the cost of monitoring</w:t>
      </w:r>
      <w:r>
        <w:rPr>
          <w:color w:val="000000" w:themeColor="text1"/>
        </w:rPr>
        <w:t>.</w:t>
      </w:r>
    </w:p>
    <w:p w:rsidR="004805E5" w:rsidRDefault="004805E5" w:rsidP="004A2933"/>
    <w:p w:rsidR="00B96236" w:rsidRDefault="004805E5" w:rsidP="004A2933">
      <w:r>
        <w:t xml:space="preserve">MBS listing of OCT represents a ‘pre-requisite’ for the proposed PBS listing of aflibercept due to the co-dependency relationship with aflibercept. </w:t>
      </w:r>
      <w:r w:rsidR="008B5352">
        <w:t>OCT does not directly generate health outcomes; rather, its MBS listing w</w:t>
      </w:r>
      <w:r w:rsidR="00851C5A">
        <w:t>ould</w:t>
      </w:r>
      <w:r w:rsidR="008B5352">
        <w:t xml:space="preserve"> allow aflibercept to be accessible and </w:t>
      </w:r>
      <w:r w:rsidR="00851C5A">
        <w:t xml:space="preserve">the </w:t>
      </w:r>
      <w:r w:rsidR="008B5352">
        <w:t xml:space="preserve">effectiveness </w:t>
      </w:r>
      <w:r w:rsidR="00851C5A">
        <w:t xml:space="preserve">of aflibercept would </w:t>
      </w:r>
      <w:r w:rsidR="008B5352">
        <w:t>giv</w:t>
      </w:r>
      <w:r w:rsidR="00851C5A">
        <w:t>e</w:t>
      </w:r>
      <w:r w:rsidR="008B5352">
        <w:t xml:space="preserve"> additional health ou</w:t>
      </w:r>
      <w:r w:rsidR="00384DAB">
        <w:t xml:space="preserve">tcomes in terms of </w:t>
      </w:r>
      <w:r w:rsidR="0010185E">
        <w:t>visual acuity</w:t>
      </w:r>
      <w:r w:rsidR="00384DAB">
        <w:t xml:space="preserve"> and </w:t>
      </w:r>
      <w:r w:rsidR="00115817">
        <w:t>quality-adjusted life-years (</w:t>
      </w:r>
      <w:r w:rsidR="00384DAB">
        <w:t>QALY</w:t>
      </w:r>
      <w:r w:rsidR="00851C5A">
        <w:t>s</w:t>
      </w:r>
      <w:r w:rsidR="00115817">
        <w:t>)</w:t>
      </w:r>
      <w:r w:rsidR="00384DAB">
        <w:t>.</w:t>
      </w:r>
    </w:p>
    <w:p w:rsidR="00D95C91" w:rsidRDefault="00D95C91" w:rsidP="004A2933"/>
    <w:p w:rsidR="003A560F" w:rsidRPr="00384DAB" w:rsidRDefault="00B96236" w:rsidP="00A44E52">
      <w:pPr>
        <w:rPr>
          <w:szCs w:val="24"/>
        </w:rPr>
      </w:pPr>
      <w:r w:rsidRPr="00384DAB">
        <w:rPr>
          <w:szCs w:val="24"/>
        </w:rPr>
        <w:t xml:space="preserve">The MBS item relevant to the administration of aflibercept under the proposed indication </w:t>
      </w:r>
      <w:r w:rsidR="00851C5A">
        <w:rPr>
          <w:szCs w:val="24"/>
        </w:rPr>
        <w:t>is</w:t>
      </w:r>
      <w:r w:rsidRPr="00384DAB">
        <w:rPr>
          <w:szCs w:val="24"/>
        </w:rPr>
        <w:t xml:space="preserve"> presented below.</w:t>
      </w:r>
    </w:p>
    <w:p w:rsidR="00D95C91" w:rsidRPr="00384DAB" w:rsidRDefault="00D95C91" w:rsidP="00A44E52">
      <w:pPr>
        <w:rPr>
          <w:szCs w:val="24"/>
        </w:rPr>
      </w:pPr>
    </w:p>
    <w:p w:rsidR="00B96236" w:rsidRPr="00EE6756" w:rsidRDefault="001B62D5" w:rsidP="00A44E52">
      <w:pPr>
        <w:tabs>
          <w:tab w:val="left" w:pos="720"/>
        </w:tabs>
        <w:rPr>
          <w:rFonts w:ascii="Arial" w:hAnsi="Arial" w:cs="Arial"/>
          <w:sz w:val="20"/>
        </w:rPr>
      </w:pPr>
      <w:r w:rsidRPr="00EE6756">
        <w:rPr>
          <w:rFonts w:ascii="Arial" w:hAnsi="Arial" w:cs="Arial"/>
          <w:b/>
          <w:bCs/>
          <w:sz w:val="20"/>
        </w:rPr>
        <w:t>MBS item associated with administration of aflibercept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B96236" w:rsidRPr="00EE6756" w:rsidTr="00F156D5">
        <w:trPr>
          <w:trHeight w:val="93"/>
        </w:trPr>
        <w:tc>
          <w:tcPr>
            <w:tcW w:w="1242" w:type="dxa"/>
          </w:tcPr>
          <w:p w:rsidR="00B96236" w:rsidRPr="00EE6756" w:rsidRDefault="00B96236">
            <w:pPr>
              <w:pStyle w:val="Default"/>
              <w:rPr>
                <w:b/>
                <w:sz w:val="20"/>
                <w:szCs w:val="20"/>
              </w:rPr>
            </w:pPr>
            <w:r w:rsidRPr="00EE6756">
              <w:rPr>
                <w:b/>
                <w:sz w:val="20"/>
                <w:szCs w:val="20"/>
              </w:rPr>
              <w:t>MBS code</w:t>
            </w:r>
          </w:p>
        </w:tc>
        <w:tc>
          <w:tcPr>
            <w:tcW w:w="7938" w:type="dxa"/>
          </w:tcPr>
          <w:p w:rsidR="00144E49" w:rsidRPr="00EE6756" w:rsidRDefault="00384DAB" w:rsidP="006D2CF5">
            <w:pPr>
              <w:pStyle w:val="Default"/>
              <w:rPr>
                <w:b/>
                <w:sz w:val="20"/>
                <w:szCs w:val="20"/>
              </w:rPr>
            </w:pPr>
            <w:r w:rsidRPr="00EE6756">
              <w:rPr>
                <w:b/>
                <w:sz w:val="20"/>
                <w:szCs w:val="20"/>
              </w:rPr>
              <w:t>Description and benefit</w:t>
            </w:r>
          </w:p>
        </w:tc>
      </w:tr>
      <w:tr w:rsidR="00B96236" w:rsidRPr="00EE6756" w:rsidTr="00F156D5">
        <w:trPr>
          <w:trHeight w:val="369"/>
        </w:trPr>
        <w:tc>
          <w:tcPr>
            <w:tcW w:w="1242" w:type="dxa"/>
          </w:tcPr>
          <w:p w:rsidR="00B96236" w:rsidRPr="00EE6756" w:rsidRDefault="00B96236">
            <w:pPr>
              <w:pStyle w:val="Default"/>
              <w:rPr>
                <w:sz w:val="20"/>
                <w:szCs w:val="20"/>
              </w:rPr>
            </w:pPr>
            <w:r w:rsidRPr="00EE6756">
              <w:rPr>
                <w:sz w:val="20"/>
                <w:szCs w:val="20"/>
              </w:rPr>
              <w:t>42740</w:t>
            </w:r>
          </w:p>
        </w:tc>
        <w:tc>
          <w:tcPr>
            <w:tcW w:w="7938" w:type="dxa"/>
          </w:tcPr>
          <w:p w:rsidR="00B96236" w:rsidRPr="00EE6756" w:rsidRDefault="00B96236">
            <w:pPr>
              <w:pStyle w:val="Default"/>
              <w:rPr>
                <w:sz w:val="20"/>
                <w:szCs w:val="20"/>
              </w:rPr>
            </w:pPr>
            <w:r w:rsidRPr="00EE6756">
              <w:rPr>
                <w:sz w:val="20"/>
                <w:szCs w:val="20"/>
              </w:rPr>
              <w:t xml:space="preserve">INTRAVITREAL INJECTION OF THERAPEUTIC SUBSTANCES, or the removal of vitreous humour for diagnostic purposes, 1 or more of, as a procedure associated </w:t>
            </w:r>
            <w:r w:rsidR="00384DAB" w:rsidRPr="00EE6756">
              <w:rPr>
                <w:sz w:val="20"/>
                <w:szCs w:val="20"/>
              </w:rPr>
              <w:t>with other intraocular surgery.</w:t>
            </w:r>
          </w:p>
          <w:p w:rsidR="00B96236" w:rsidRPr="00EE6756" w:rsidRDefault="00B96236">
            <w:pPr>
              <w:pStyle w:val="Default"/>
              <w:rPr>
                <w:sz w:val="20"/>
                <w:szCs w:val="20"/>
              </w:rPr>
            </w:pPr>
            <w:r w:rsidRPr="00EE6756">
              <w:rPr>
                <w:sz w:val="20"/>
                <w:szCs w:val="20"/>
              </w:rPr>
              <w:t>Fee: $300.75 Benefit: 75% = $225.60 85% = $255.65</w:t>
            </w:r>
          </w:p>
        </w:tc>
      </w:tr>
    </w:tbl>
    <w:p w:rsidR="00A44E52" w:rsidRDefault="00A44E52" w:rsidP="00A44E52">
      <w:pPr>
        <w:tabs>
          <w:tab w:val="left" w:pos="720"/>
        </w:tabs>
        <w:rPr>
          <w:szCs w:val="24"/>
        </w:rPr>
      </w:pPr>
    </w:p>
    <w:p w:rsidR="008A52F9" w:rsidRDefault="008A52F9" w:rsidP="00A44E52">
      <w:pPr>
        <w:tabs>
          <w:tab w:val="left" w:pos="720"/>
        </w:tabs>
        <w:rPr>
          <w:szCs w:val="24"/>
        </w:rPr>
      </w:pPr>
      <w:r>
        <w:rPr>
          <w:szCs w:val="24"/>
        </w:rPr>
        <w:t>A summary of unit costs in the economic evaluation is presented below.</w:t>
      </w:r>
    </w:p>
    <w:p w:rsidR="00A44E52" w:rsidRPr="00B500BE" w:rsidRDefault="00A44E52" w:rsidP="00A44E52">
      <w:pPr>
        <w:tabs>
          <w:tab w:val="left" w:pos="720"/>
        </w:tabs>
        <w:rPr>
          <w:szCs w:val="24"/>
        </w:rPr>
      </w:pPr>
    </w:p>
    <w:p w:rsidR="00B96236" w:rsidRPr="00EE6756" w:rsidRDefault="004805E5" w:rsidP="00A44E52">
      <w:pPr>
        <w:tabs>
          <w:tab w:val="left" w:pos="720"/>
        </w:tabs>
        <w:rPr>
          <w:rFonts w:ascii="Arial" w:hAnsi="Arial" w:cs="Arial"/>
          <w:b/>
          <w:sz w:val="20"/>
        </w:rPr>
      </w:pPr>
      <w:r w:rsidRPr="00EE6756">
        <w:rPr>
          <w:rFonts w:ascii="Arial" w:hAnsi="Arial" w:cs="Arial"/>
          <w:b/>
          <w:sz w:val="20"/>
        </w:rPr>
        <w:t>Summary of unit costs in the economic evaluation</w:t>
      </w:r>
    </w:p>
    <w:tbl>
      <w:tblPr>
        <w:tblW w:w="0" w:type="auto"/>
        <w:tblBorders>
          <w:top w:val="nil"/>
          <w:left w:val="nil"/>
          <w:bottom w:val="nil"/>
          <w:right w:val="nil"/>
        </w:tblBorders>
        <w:tblLayout w:type="fixed"/>
        <w:tblLook w:val="0000" w:firstRow="0" w:lastRow="0" w:firstColumn="0" w:lastColumn="0" w:noHBand="0" w:noVBand="0"/>
      </w:tblPr>
      <w:tblGrid>
        <w:gridCol w:w="4786"/>
        <w:gridCol w:w="1276"/>
        <w:gridCol w:w="3118"/>
      </w:tblGrid>
      <w:tr w:rsidR="004805E5" w:rsidRPr="00EE6756" w:rsidTr="00851C5A">
        <w:trPr>
          <w:trHeight w:val="93"/>
        </w:trPr>
        <w:tc>
          <w:tcPr>
            <w:tcW w:w="4786" w:type="dxa"/>
            <w:tcBorders>
              <w:top w:val="single" w:sz="4" w:space="0" w:color="auto"/>
              <w:left w:val="single" w:sz="4" w:space="0" w:color="auto"/>
              <w:bottom w:val="single" w:sz="4" w:space="0" w:color="auto"/>
              <w:right w:val="single" w:sz="4" w:space="0" w:color="auto"/>
            </w:tcBorders>
          </w:tcPr>
          <w:p w:rsidR="004805E5" w:rsidRPr="00EE6756" w:rsidRDefault="004805E5">
            <w:pPr>
              <w:pStyle w:val="Default"/>
              <w:rPr>
                <w:b/>
                <w:sz w:val="20"/>
                <w:szCs w:val="20"/>
              </w:rPr>
            </w:pPr>
            <w:r w:rsidRPr="00EE6756">
              <w:rPr>
                <w:b/>
                <w:sz w:val="20"/>
                <w:szCs w:val="20"/>
              </w:rPr>
              <w:t>Resource item</w:t>
            </w:r>
          </w:p>
        </w:tc>
        <w:tc>
          <w:tcPr>
            <w:tcW w:w="1276" w:type="dxa"/>
            <w:tcBorders>
              <w:top w:val="single" w:sz="4" w:space="0" w:color="auto"/>
              <w:left w:val="single" w:sz="4" w:space="0" w:color="auto"/>
              <w:bottom w:val="single" w:sz="4" w:space="0" w:color="auto"/>
              <w:right w:val="single" w:sz="4" w:space="0" w:color="auto"/>
            </w:tcBorders>
          </w:tcPr>
          <w:p w:rsidR="004805E5" w:rsidRPr="00EE6756" w:rsidRDefault="004805E5">
            <w:pPr>
              <w:pStyle w:val="Default"/>
              <w:rPr>
                <w:b/>
                <w:sz w:val="20"/>
                <w:szCs w:val="20"/>
              </w:rPr>
            </w:pPr>
            <w:r w:rsidRPr="00EE6756">
              <w:rPr>
                <w:b/>
                <w:sz w:val="20"/>
                <w:szCs w:val="20"/>
              </w:rPr>
              <w:t>Base case</w:t>
            </w:r>
          </w:p>
        </w:tc>
        <w:tc>
          <w:tcPr>
            <w:tcW w:w="3118" w:type="dxa"/>
            <w:tcBorders>
              <w:top w:val="single" w:sz="4" w:space="0" w:color="auto"/>
              <w:left w:val="single" w:sz="4" w:space="0" w:color="auto"/>
              <w:bottom w:val="single" w:sz="4" w:space="0" w:color="auto"/>
              <w:right w:val="single" w:sz="4" w:space="0" w:color="auto"/>
            </w:tcBorders>
          </w:tcPr>
          <w:p w:rsidR="00144E49" w:rsidRPr="00EE6756" w:rsidRDefault="00384DAB" w:rsidP="006D2CF5">
            <w:pPr>
              <w:pStyle w:val="Default"/>
              <w:rPr>
                <w:b/>
                <w:sz w:val="20"/>
                <w:szCs w:val="20"/>
              </w:rPr>
            </w:pPr>
            <w:r w:rsidRPr="00EE6756">
              <w:rPr>
                <w:b/>
                <w:sz w:val="20"/>
                <w:szCs w:val="20"/>
              </w:rPr>
              <w:t>Source</w:t>
            </w:r>
          </w:p>
        </w:tc>
      </w:tr>
      <w:tr w:rsidR="004805E5" w:rsidRPr="00EE6756" w:rsidTr="00851C5A">
        <w:trPr>
          <w:trHeight w:val="207"/>
        </w:trPr>
        <w:tc>
          <w:tcPr>
            <w:tcW w:w="4786" w:type="dxa"/>
            <w:tcBorders>
              <w:top w:val="single" w:sz="4" w:space="0" w:color="auto"/>
              <w:left w:val="single" w:sz="4" w:space="0" w:color="auto"/>
              <w:bottom w:val="single" w:sz="4" w:space="0" w:color="auto"/>
              <w:right w:val="single" w:sz="4" w:space="0" w:color="auto"/>
            </w:tcBorders>
          </w:tcPr>
          <w:p w:rsidR="004805E5" w:rsidRPr="00EE6756" w:rsidRDefault="004805E5">
            <w:pPr>
              <w:pStyle w:val="Default"/>
              <w:rPr>
                <w:sz w:val="20"/>
                <w:szCs w:val="20"/>
              </w:rPr>
            </w:pPr>
            <w:r w:rsidRPr="00EE6756">
              <w:rPr>
                <w:sz w:val="20"/>
                <w:szCs w:val="20"/>
              </w:rPr>
              <w:t xml:space="preserve">Acquisition </w:t>
            </w:r>
            <w:r w:rsidR="00851C5A">
              <w:rPr>
                <w:sz w:val="20"/>
                <w:szCs w:val="20"/>
              </w:rPr>
              <w:t xml:space="preserve">of aflibercept </w:t>
            </w:r>
            <w:r w:rsidRPr="00EE6756">
              <w:rPr>
                <w:sz w:val="20"/>
                <w:szCs w:val="20"/>
              </w:rPr>
              <w:t>per injection</w:t>
            </w:r>
          </w:p>
        </w:tc>
        <w:tc>
          <w:tcPr>
            <w:tcW w:w="1276" w:type="dxa"/>
            <w:tcBorders>
              <w:top w:val="single" w:sz="4" w:space="0" w:color="auto"/>
              <w:left w:val="single" w:sz="4" w:space="0" w:color="auto"/>
              <w:right w:val="single" w:sz="4" w:space="0" w:color="auto"/>
            </w:tcBorders>
          </w:tcPr>
          <w:p w:rsidR="004805E5" w:rsidRPr="00EE6756" w:rsidRDefault="004805E5">
            <w:pPr>
              <w:pStyle w:val="Default"/>
              <w:rPr>
                <w:sz w:val="20"/>
                <w:szCs w:val="20"/>
              </w:rPr>
            </w:pPr>
            <w:r w:rsidRPr="00EE6756">
              <w:rPr>
                <w:sz w:val="20"/>
                <w:szCs w:val="20"/>
              </w:rPr>
              <w:t>$1,150.00</w:t>
            </w:r>
          </w:p>
        </w:tc>
        <w:tc>
          <w:tcPr>
            <w:tcW w:w="3118" w:type="dxa"/>
            <w:tcBorders>
              <w:top w:val="single" w:sz="4" w:space="0" w:color="auto"/>
              <w:left w:val="single" w:sz="4" w:space="0" w:color="auto"/>
              <w:bottom w:val="single" w:sz="4" w:space="0" w:color="auto"/>
              <w:right w:val="single" w:sz="4" w:space="0" w:color="auto"/>
            </w:tcBorders>
          </w:tcPr>
          <w:p w:rsidR="004805E5" w:rsidRPr="00EE6756" w:rsidRDefault="004805E5" w:rsidP="00EE6756">
            <w:pPr>
              <w:pStyle w:val="Default"/>
              <w:rPr>
                <w:sz w:val="20"/>
                <w:szCs w:val="20"/>
              </w:rPr>
            </w:pPr>
            <w:r w:rsidRPr="00EE6756">
              <w:rPr>
                <w:sz w:val="20"/>
                <w:szCs w:val="20"/>
              </w:rPr>
              <w:t xml:space="preserve">Proposed </w:t>
            </w:r>
            <w:r w:rsidR="00851C5A">
              <w:rPr>
                <w:sz w:val="20"/>
                <w:szCs w:val="20"/>
              </w:rPr>
              <w:t xml:space="preserve">PBS </w:t>
            </w:r>
            <w:r w:rsidRPr="00EE6756">
              <w:rPr>
                <w:sz w:val="20"/>
                <w:szCs w:val="20"/>
              </w:rPr>
              <w:t>price</w:t>
            </w:r>
          </w:p>
        </w:tc>
      </w:tr>
      <w:tr w:rsidR="00EE6756" w:rsidRPr="00EE6756" w:rsidTr="00851C5A">
        <w:trPr>
          <w:trHeight w:val="93"/>
        </w:trPr>
        <w:tc>
          <w:tcPr>
            <w:tcW w:w="4786" w:type="dxa"/>
            <w:tcBorders>
              <w:top w:val="single" w:sz="4" w:space="0" w:color="auto"/>
              <w:left w:val="single" w:sz="4" w:space="0" w:color="auto"/>
              <w:bottom w:val="single" w:sz="4" w:space="0" w:color="auto"/>
              <w:right w:val="single" w:sz="4" w:space="0" w:color="auto"/>
            </w:tcBorders>
          </w:tcPr>
          <w:p w:rsidR="00EE6756" w:rsidRPr="00EE6756" w:rsidRDefault="00EE6756" w:rsidP="00851C5A">
            <w:pPr>
              <w:pStyle w:val="Default"/>
              <w:rPr>
                <w:sz w:val="20"/>
                <w:szCs w:val="20"/>
              </w:rPr>
            </w:pPr>
            <w:r w:rsidRPr="00EE6756">
              <w:rPr>
                <w:sz w:val="20"/>
                <w:szCs w:val="20"/>
              </w:rPr>
              <w:t xml:space="preserve">Administration </w:t>
            </w:r>
            <w:r w:rsidR="00851C5A">
              <w:rPr>
                <w:sz w:val="20"/>
                <w:szCs w:val="20"/>
              </w:rPr>
              <w:t>of aflibercept</w:t>
            </w:r>
            <w:r w:rsidRPr="00EE6756">
              <w:rPr>
                <w:sz w:val="20"/>
                <w:szCs w:val="20"/>
              </w:rPr>
              <w:t xml:space="preserve"> injection</w:t>
            </w:r>
          </w:p>
        </w:tc>
        <w:tc>
          <w:tcPr>
            <w:tcW w:w="1276" w:type="dxa"/>
            <w:tcBorders>
              <w:top w:val="single" w:sz="4" w:space="0" w:color="auto"/>
              <w:left w:val="single" w:sz="4" w:space="0" w:color="auto"/>
              <w:bottom w:val="single" w:sz="4" w:space="0" w:color="auto"/>
              <w:right w:val="single" w:sz="4" w:space="0" w:color="auto"/>
            </w:tcBorders>
          </w:tcPr>
          <w:p w:rsidR="00EE6756" w:rsidRPr="00EE6756" w:rsidRDefault="00EE6756">
            <w:pPr>
              <w:pStyle w:val="Default"/>
              <w:rPr>
                <w:sz w:val="20"/>
                <w:szCs w:val="20"/>
              </w:rPr>
            </w:pPr>
            <w:r w:rsidRPr="00EE6756">
              <w:rPr>
                <w:sz w:val="20"/>
                <w:szCs w:val="20"/>
              </w:rPr>
              <w:t>$300.75</w:t>
            </w:r>
          </w:p>
        </w:tc>
        <w:tc>
          <w:tcPr>
            <w:tcW w:w="3118" w:type="dxa"/>
            <w:tcBorders>
              <w:top w:val="single" w:sz="4" w:space="0" w:color="auto"/>
              <w:left w:val="single" w:sz="4" w:space="0" w:color="auto"/>
              <w:bottom w:val="single" w:sz="4" w:space="0" w:color="auto"/>
              <w:right w:val="single" w:sz="4" w:space="0" w:color="auto"/>
            </w:tcBorders>
          </w:tcPr>
          <w:p w:rsidR="00EE6756" w:rsidRPr="00EE6756" w:rsidRDefault="00EE6756">
            <w:pPr>
              <w:pStyle w:val="Default"/>
              <w:rPr>
                <w:sz w:val="20"/>
                <w:szCs w:val="20"/>
              </w:rPr>
            </w:pPr>
            <w:r w:rsidRPr="00EE6756">
              <w:rPr>
                <w:sz w:val="20"/>
                <w:szCs w:val="20"/>
              </w:rPr>
              <w:t>MBS fee for intravitreal injection</w:t>
            </w:r>
          </w:p>
        </w:tc>
      </w:tr>
      <w:tr w:rsidR="004805E5" w:rsidRPr="00EE6756" w:rsidTr="00851C5A">
        <w:trPr>
          <w:trHeight w:val="207"/>
        </w:trPr>
        <w:tc>
          <w:tcPr>
            <w:tcW w:w="4786" w:type="dxa"/>
            <w:tcBorders>
              <w:top w:val="single" w:sz="4" w:space="0" w:color="auto"/>
              <w:left w:val="single" w:sz="4" w:space="0" w:color="auto"/>
              <w:bottom w:val="single" w:sz="4" w:space="0" w:color="auto"/>
              <w:right w:val="single" w:sz="4" w:space="0" w:color="auto"/>
            </w:tcBorders>
          </w:tcPr>
          <w:p w:rsidR="004805E5" w:rsidRPr="00EE6756" w:rsidRDefault="00851C5A" w:rsidP="00F156D5">
            <w:pPr>
              <w:pStyle w:val="Default"/>
              <w:rPr>
                <w:sz w:val="20"/>
                <w:szCs w:val="20"/>
              </w:rPr>
            </w:pPr>
            <w:r>
              <w:rPr>
                <w:sz w:val="20"/>
                <w:szCs w:val="20"/>
              </w:rPr>
              <w:t>OCT m</w:t>
            </w:r>
            <w:r w:rsidRPr="00EE6756">
              <w:rPr>
                <w:sz w:val="20"/>
                <w:szCs w:val="20"/>
              </w:rPr>
              <w:t xml:space="preserve">easurement </w:t>
            </w:r>
            <w:r>
              <w:rPr>
                <w:sz w:val="20"/>
                <w:szCs w:val="20"/>
              </w:rPr>
              <w:t>of r</w:t>
            </w:r>
            <w:r w:rsidRPr="00EE6756">
              <w:rPr>
                <w:sz w:val="20"/>
                <w:szCs w:val="20"/>
              </w:rPr>
              <w:t xml:space="preserve">etinal thickness </w:t>
            </w:r>
            <w:r>
              <w:rPr>
                <w:sz w:val="20"/>
                <w:szCs w:val="20"/>
              </w:rPr>
              <w:t>p</w:t>
            </w:r>
            <w:r w:rsidR="004805E5" w:rsidRPr="00EE6756">
              <w:rPr>
                <w:sz w:val="20"/>
                <w:szCs w:val="20"/>
              </w:rPr>
              <w:t xml:space="preserve">er </w:t>
            </w:r>
            <w:r w:rsidR="00F156D5">
              <w:rPr>
                <w:sz w:val="20"/>
                <w:szCs w:val="20"/>
              </w:rPr>
              <w:t>test</w:t>
            </w:r>
          </w:p>
        </w:tc>
        <w:tc>
          <w:tcPr>
            <w:tcW w:w="1276" w:type="dxa"/>
            <w:tcBorders>
              <w:top w:val="single" w:sz="4" w:space="0" w:color="auto"/>
              <w:left w:val="single" w:sz="4" w:space="0" w:color="auto"/>
              <w:bottom w:val="single" w:sz="4" w:space="0" w:color="auto"/>
              <w:right w:val="single" w:sz="4" w:space="0" w:color="auto"/>
            </w:tcBorders>
          </w:tcPr>
          <w:p w:rsidR="004805E5" w:rsidRPr="00EE6756" w:rsidRDefault="004805E5">
            <w:pPr>
              <w:pStyle w:val="Default"/>
              <w:rPr>
                <w:sz w:val="20"/>
                <w:szCs w:val="20"/>
              </w:rPr>
            </w:pPr>
            <w:r w:rsidRPr="00EE6756">
              <w:rPr>
                <w:sz w:val="20"/>
                <w:szCs w:val="20"/>
              </w:rPr>
              <w:t>$250.00</w:t>
            </w:r>
          </w:p>
        </w:tc>
        <w:tc>
          <w:tcPr>
            <w:tcW w:w="3118" w:type="dxa"/>
            <w:tcBorders>
              <w:top w:val="single" w:sz="4" w:space="0" w:color="auto"/>
              <w:left w:val="single" w:sz="4" w:space="0" w:color="auto"/>
              <w:bottom w:val="single" w:sz="4" w:space="0" w:color="auto"/>
              <w:right w:val="single" w:sz="4" w:space="0" w:color="auto"/>
            </w:tcBorders>
          </w:tcPr>
          <w:p w:rsidR="004805E5" w:rsidRPr="00EE6756" w:rsidRDefault="004805E5" w:rsidP="00851C5A">
            <w:pPr>
              <w:pStyle w:val="Default"/>
              <w:rPr>
                <w:sz w:val="20"/>
                <w:szCs w:val="20"/>
              </w:rPr>
            </w:pPr>
            <w:r w:rsidRPr="00EE6756">
              <w:rPr>
                <w:sz w:val="20"/>
                <w:szCs w:val="20"/>
              </w:rPr>
              <w:t>Proposed MBS fee</w:t>
            </w:r>
          </w:p>
        </w:tc>
      </w:tr>
    </w:tbl>
    <w:p w:rsidR="00B96236" w:rsidRPr="004A2933" w:rsidRDefault="00B96236" w:rsidP="008A52F9"/>
    <w:p w:rsidR="00ED3A3A" w:rsidRDefault="004805E5" w:rsidP="00A44E52">
      <w:pPr>
        <w:tabs>
          <w:tab w:val="left" w:pos="720"/>
        </w:tabs>
        <w:rPr>
          <w:szCs w:val="24"/>
        </w:rPr>
      </w:pPr>
      <w:r w:rsidRPr="004A2933">
        <w:rPr>
          <w:szCs w:val="24"/>
        </w:rPr>
        <w:t>OCT is currently funded on the MBS for another indication (i.e., services related to lens surgery under items 11240 and others) at $81.45</w:t>
      </w:r>
      <w:r w:rsidR="00F156D5">
        <w:rPr>
          <w:szCs w:val="24"/>
        </w:rPr>
        <w:t xml:space="preserve"> per test</w:t>
      </w:r>
      <w:r w:rsidRPr="004A2933">
        <w:rPr>
          <w:szCs w:val="24"/>
        </w:rPr>
        <w:t>.</w:t>
      </w:r>
    </w:p>
    <w:p w:rsidR="00A44E52" w:rsidRPr="00BB418D" w:rsidRDefault="00A44E52" w:rsidP="00A44E52">
      <w:pPr>
        <w:tabs>
          <w:tab w:val="left" w:pos="720"/>
        </w:tabs>
        <w:rPr>
          <w:szCs w:val="24"/>
        </w:rPr>
      </w:pPr>
    </w:p>
    <w:p w:rsidR="00937076" w:rsidRPr="002B4CE2" w:rsidRDefault="0095175A" w:rsidP="006D2CF5">
      <w:pPr>
        <w:pStyle w:val="Heading1"/>
        <w:numPr>
          <w:ilvl w:val="0"/>
          <w:numId w:val="17"/>
        </w:numPr>
        <w:spacing w:before="0"/>
        <w:ind w:left="567" w:hanging="567"/>
      </w:pPr>
      <w:r w:rsidRPr="006D2CF5">
        <w:rPr>
          <w:rFonts w:cs="Arial"/>
          <w:szCs w:val="24"/>
        </w:rPr>
        <w:t>Financial</w:t>
      </w:r>
      <w:r w:rsidRPr="002B4CE2">
        <w:t>/budgetary impacts</w:t>
      </w:r>
    </w:p>
    <w:p w:rsidR="009247C8" w:rsidRDefault="009247C8" w:rsidP="00A44E52">
      <w:pPr>
        <w:jc w:val="both"/>
        <w:rPr>
          <w:rFonts w:eastAsia="SimSun"/>
          <w:szCs w:val="24"/>
          <w:lang w:eastAsia="en-US"/>
        </w:rPr>
      </w:pPr>
    </w:p>
    <w:p w:rsidR="006036CC" w:rsidRPr="00EE6756" w:rsidRDefault="006036CC" w:rsidP="00A44E52">
      <w:pPr>
        <w:autoSpaceDE w:val="0"/>
        <w:autoSpaceDN w:val="0"/>
        <w:adjustRightInd w:val="0"/>
        <w:rPr>
          <w:color w:val="000000"/>
          <w:szCs w:val="24"/>
          <w:u w:val="single"/>
        </w:rPr>
      </w:pPr>
      <w:r w:rsidRPr="00EE6756">
        <w:rPr>
          <w:bCs/>
          <w:color w:val="000000"/>
          <w:szCs w:val="24"/>
          <w:u w:val="single"/>
        </w:rPr>
        <w:t xml:space="preserve">Likely number of </w:t>
      </w:r>
      <w:r w:rsidR="00F156D5">
        <w:rPr>
          <w:bCs/>
          <w:color w:val="000000"/>
          <w:szCs w:val="24"/>
          <w:u w:val="single"/>
        </w:rPr>
        <w:t>eyes</w:t>
      </w:r>
      <w:r w:rsidRPr="00EE6756">
        <w:rPr>
          <w:bCs/>
          <w:color w:val="000000"/>
          <w:szCs w:val="24"/>
          <w:u w:val="single"/>
        </w:rPr>
        <w:t xml:space="preserve"> tested and treated</w:t>
      </w:r>
    </w:p>
    <w:p w:rsidR="006036CC" w:rsidRPr="00030337" w:rsidRDefault="006036CC" w:rsidP="00030337">
      <w:r w:rsidRPr="00030337">
        <w:t>The estimated number of patients (eyes) treated as well as</w:t>
      </w:r>
      <w:r w:rsidR="00384DAB">
        <w:t xml:space="preserve"> estimated number of OCT tests</w:t>
      </w:r>
      <w:r w:rsidR="00700887">
        <w:t xml:space="preserve"> was provided</w:t>
      </w:r>
      <w:r w:rsidR="00384DAB">
        <w:t>.</w:t>
      </w:r>
    </w:p>
    <w:p w:rsidR="004E30C6" w:rsidRDefault="004E30C6" w:rsidP="004A2933"/>
    <w:p w:rsidR="004E30C6" w:rsidRDefault="004E30C6" w:rsidP="004A2933">
      <w:r w:rsidRPr="00B9083B">
        <w:t xml:space="preserve">The number of OCT </w:t>
      </w:r>
      <w:r w:rsidR="00F860D4">
        <w:t>tests</w:t>
      </w:r>
      <w:r w:rsidRPr="00B9083B">
        <w:t xml:space="preserve"> is likely underestimated given it is based on the number of injections observed in the trials and do</w:t>
      </w:r>
      <w:r w:rsidR="00F156D5">
        <w:t>e</w:t>
      </w:r>
      <w:r w:rsidRPr="00B9083B">
        <w:t>s not account for th</w:t>
      </w:r>
      <w:r w:rsidR="00F156D5">
        <w:t>e</w:t>
      </w:r>
      <w:r w:rsidRPr="00B9083B">
        <w:t xml:space="preserve"> fact that patients will have more </w:t>
      </w:r>
      <w:r w:rsidR="00384DAB">
        <w:t xml:space="preserve">OCT </w:t>
      </w:r>
      <w:r w:rsidR="00F860D4">
        <w:t>tests</w:t>
      </w:r>
      <w:r w:rsidR="00384DAB">
        <w:t xml:space="preserve"> than injections.</w:t>
      </w:r>
    </w:p>
    <w:p w:rsidR="00384DAB" w:rsidRDefault="00384DAB" w:rsidP="004A2933"/>
    <w:p w:rsidR="00F860D4" w:rsidRPr="004A2933" w:rsidRDefault="00F860D4" w:rsidP="00F860D4">
      <w:pPr>
        <w:rPr>
          <w:szCs w:val="24"/>
        </w:rPr>
      </w:pPr>
      <w:r>
        <w:rPr>
          <w:szCs w:val="24"/>
        </w:rPr>
        <w:t xml:space="preserve">The table below shows the estimated number and cost to the MBS of injections and OCT tests. </w:t>
      </w:r>
      <w:r w:rsidRPr="006036CC">
        <w:t>These are likely to be underestimates given the assumptions used to estimate uptake, injection frequency and use of OCT.</w:t>
      </w:r>
    </w:p>
    <w:p w:rsidR="00F860D4" w:rsidRPr="004A2933" w:rsidRDefault="00F860D4" w:rsidP="00F860D4">
      <w:pPr>
        <w:rPr>
          <w:rFonts w:eastAsia="SimSun"/>
          <w:szCs w:val="24"/>
          <w:lang w:eastAsia="en-US"/>
        </w:rPr>
      </w:pPr>
    </w:p>
    <w:p w:rsidR="00700887" w:rsidRPr="00FA1B16" w:rsidRDefault="00BD10FB" w:rsidP="004A2933">
      <w:pPr>
        <w:rPr>
          <w:szCs w:val="24"/>
        </w:rPr>
      </w:pPr>
      <w:r>
        <w:t xml:space="preserve">Total </w:t>
      </w:r>
      <w:r w:rsidR="00F860D4">
        <w:t xml:space="preserve">aflibercept </w:t>
      </w:r>
      <w:r>
        <w:t>administration</w:t>
      </w:r>
      <w:r w:rsidR="00F860D4">
        <w:t xml:space="preserve"> costs and OCT test </w:t>
      </w:r>
      <w:r>
        <w:t xml:space="preserve">costs to the MBS </w:t>
      </w:r>
      <w:r w:rsidR="006C7EFC">
        <w:t xml:space="preserve">were estimated </w:t>
      </w:r>
      <w:r>
        <w:t xml:space="preserve">to be $1.6 million in Year 1, increasing to $4.8 million by Year 5. </w:t>
      </w:r>
      <w:r w:rsidR="004E30C6" w:rsidRPr="004A2933">
        <w:rPr>
          <w:szCs w:val="24"/>
        </w:rPr>
        <w:t xml:space="preserve">Sensitivity analyses conducted during the evaluation demonstrated that increasing the frequency of OCT to monthly following the first 6 months of aflibercept treatment would increase </w:t>
      </w:r>
      <w:r w:rsidR="00F860D4">
        <w:rPr>
          <w:szCs w:val="24"/>
        </w:rPr>
        <w:t xml:space="preserve">these </w:t>
      </w:r>
      <w:r w:rsidR="004E30C6" w:rsidRPr="004A2933">
        <w:rPr>
          <w:szCs w:val="24"/>
        </w:rPr>
        <w:t>MBS costs to $</w:t>
      </w:r>
      <w:r w:rsidR="00F860D4">
        <w:rPr>
          <w:szCs w:val="24"/>
        </w:rPr>
        <w:t>2.4</w:t>
      </w:r>
      <w:r w:rsidR="00FA1B16">
        <w:rPr>
          <w:szCs w:val="24"/>
        </w:rPr>
        <w:t> </w:t>
      </w:r>
      <w:r w:rsidR="00F860D4">
        <w:rPr>
          <w:szCs w:val="24"/>
        </w:rPr>
        <w:t>million</w:t>
      </w:r>
      <w:r w:rsidR="004E30C6" w:rsidRPr="004A2933">
        <w:rPr>
          <w:szCs w:val="24"/>
        </w:rPr>
        <w:t xml:space="preserve"> i</w:t>
      </w:r>
      <w:r w:rsidR="00384DAB">
        <w:rPr>
          <w:szCs w:val="24"/>
        </w:rPr>
        <w:t>n Year 1 up to $</w:t>
      </w:r>
      <w:r w:rsidR="00F860D4">
        <w:rPr>
          <w:szCs w:val="24"/>
        </w:rPr>
        <w:t>11.5 million</w:t>
      </w:r>
      <w:r w:rsidR="00384DAB">
        <w:rPr>
          <w:szCs w:val="24"/>
        </w:rPr>
        <w:t xml:space="preserve"> in Year 5.</w:t>
      </w:r>
    </w:p>
    <w:p w:rsidR="008A52F9" w:rsidRDefault="008A52F9" w:rsidP="004A2933">
      <w:pPr>
        <w:rPr>
          <w:szCs w:val="24"/>
        </w:rPr>
      </w:pPr>
    </w:p>
    <w:p w:rsidR="00B24BEE" w:rsidRPr="006D2CF5" w:rsidRDefault="002B4CE2" w:rsidP="006D2CF5">
      <w:pPr>
        <w:pStyle w:val="Heading1"/>
        <w:numPr>
          <w:ilvl w:val="0"/>
          <w:numId w:val="17"/>
        </w:numPr>
        <w:spacing w:before="0"/>
        <w:ind w:left="567" w:hanging="567"/>
        <w:rPr>
          <w:b w:val="0"/>
          <w:szCs w:val="24"/>
        </w:rPr>
      </w:pPr>
      <w:r w:rsidRPr="006D2CF5">
        <w:rPr>
          <w:rStyle w:val="Heading1Char"/>
          <w:b/>
        </w:rPr>
        <w:t xml:space="preserve">Key </w:t>
      </w:r>
      <w:r w:rsidRPr="006D2CF5">
        <w:rPr>
          <w:rFonts w:cs="Arial"/>
          <w:bCs w:val="0"/>
          <w:szCs w:val="24"/>
        </w:rPr>
        <w:t>issues</w:t>
      </w:r>
      <w:r w:rsidRPr="006D2CF5">
        <w:rPr>
          <w:rStyle w:val="Heading1Char"/>
          <w:b/>
        </w:rPr>
        <w:t xml:space="preserve"> for </w:t>
      </w:r>
      <w:r w:rsidR="00E67C5A" w:rsidRPr="006D2CF5">
        <w:rPr>
          <w:rStyle w:val="Heading1Char"/>
          <w:b/>
        </w:rPr>
        <w:t xml:space="preserve">MSAC </w:t>
      </w:r>
      <w:r w:rsidRPr="006D2CF5">
        <w:rPr>
          <w:rStyle w:val="Heading1Char"/>
          <w:b/>
        </w:rPr>
        <w:t>from ESC</w:t>
      </w:r>
    </w:p>
    <w:p w:rsidR="006D2CF5" w:rsidRPr="006D2CF5" w:rsidRDefault="006D2CF5" w:rsidP="00A44E52">
      <w:pPr>
        <w:tabs>
          <w:tab w:val="left" w:pos="720"/>
          <w:tab w:val="left" w:pos="1140"/>
        </w:tabs>
        <w:rPr>
          <w:szCs w:val="24"/>
        </w:rPr>
      </w:pPr>
    </w:p>
    <w:p w:rsidR="00E20FEF" w:rsidRPr="00700887" w:rsidRDefault="00E20FEF" w:rsidP="00A44E52">
      <w:pPr>
        <w:tabs>
          <w:tab w:val="left" w:pos="720"/>
          <w:tab w:val="left" w:pos="1140"/>
        </w:tabs>
        <w:rPr>
          <w:szCs w:val="24"/>
          <w:u w:val="single"/>
        </w:rPr>
      </w:pPr>
      <w:r w:rsidRPr="00700887">
        <w:rPr>
          <w:szCs w:val="24"/>
          <w:u w:val="single"/>
        </w:rPr>
        <w:t>Main issues around the evidence and conclusions for safety</w:t>
      </w:r>
    </w:p>
    <w:p w:rsidR="003A5D07" w:rsidRPr="00700887" w:rsidRDefault="00F93C09" w:rsidP="00A44E52">
      <w:pPr>
        <w:rPr>
          <w:iCs/>
        </w:rPr>
      </w:pPr>
      <w:r w:rsidRPr="00700887">
        <w:rPr>
          <w:iCs/>
        </w:rPr>
        <w:t>The ESCs did not disagree with the safety of the OCT procedure</w:t>
      </w:r>
      <w:r w:rsidR="00F860D4" w:rsidRPr="00700887">
        <w:rPr>
          <w:iCs/>
        </w:rPr>
        <w:t>,</w:t>
      </w:r>
      <w:r w:rsidRPr="00700887">
        <w:rPr>
          <w:iCs/>
        </w:rPr>
        <w:t xml:space="preserve"> but noted that no evidence had been provided to support this claim.</w:t>
      </w:r>
    </w:p>
    <w:p w:rsidR="00A44E52" w:rsidRPr="00700887" w:rsidRDefault="00A44E52" w:rsidP="00A44E52">
      <w:pPr>
        <w:rPr>
          <w:iCs/>
        </w:rPr>
      </w:pPr>
    </w:p>
    <w:p w:rsidR="00E67C5A" w:rsidRPr="00700887" w:rsidRDefault="00E62708" w:rsidP="00A44E52">
      <w:pPr>
        <w:tabs>
          <w:tab w:val="left" w:pos="720"/>
          <w:tab w:val="left" w:pos="1140"/>
        </w:tabs>
        <w:rPr>
          <w:szCs w:val="24"/>
          <w:u w:val="single"/>
        </w:rPr>
      </w:pPr>
      <w:r w:rsidRPr="00700887">
        <w:rPr>
          <w:szCs w:val="24"/>
          <w:u w:val="single"/>
        </w:rPr>
        <w:t>Main</w:t>
      </w:r>
      <w:r w:rsidR="00E67C5A" w:rsidRPr="00700887">
        <w:rPr>
          <w:szCs w:val="24"/>
          <w:u w:val="single"/>
        </w:rPr>
        <w:t xml:space="preserve"> issues around the evidence </w:t>
      </w:r>
      <w:r w:rsidR="00266C75" w:rsidRPr="00700887">
        <w:rPr>
          <w:szCs w:val="24"/>
          <w:u w:val="single"/>
        </w:rPr>
        <w:t xml:space="preserve">and conclusions </w:t>
      </w:r>
      <w:r w:rsidR="00E67C5A" w:rsidRPr="00700887">
        <w:rPr>
          <w:szCs w:val="24"/>
          <w:u w:val="single"/>
        </w:rPr>
        <w:t>for clinical effectiveness</w:t>
      </w:r>
    </w:p>
    <w:p w:rsidR="00D363A4" w:rsidRPr="00700887" w:rsidRDefault="00D363A4" w:rsidP="00A44E52">
      <w:pPr>
        <w:pStyle w:val="ListParagraph"/>
        <w:ind w:left="0"/>
      </w:pPr>
      <w:r w:rsidRPr="00700887">
        <w:rPr>
          <w:lang w:eastAsia="zh-CN"/>
        </w:rPr>
        <w:t>The association between OCT, as a surrogate process measure to assist with treatment management, and the clinical outcome of visual acuity remain</w:t>
      </w:r>
      <w:r w:rsidR="001772F3" w:rsidRPr="00700887">
        <w:rPr>
          <w:lang w:eastAsia="zh-CN"/>
        </w:rPr>
        <w:t>s</w:t>
      </w:r>
      <w:r w:rsidRPr="00700887">
        <w:rPr>
          <w:lang w:eastAsia="zh-CN"/>
        </w:rPr>
        <w:t xml:space="preserve"> unclear.</w:t>
      </w:r>
      <w:r w:rsidR="001772F3" w:rsidRPr="00700887">
        <w:rPr>
          <w:lang w:eastAsia="zh-CN"/>
        </w:rPr>
        <w:t xml:space="preserve"> This makes it difficult to assess w</w:t>
      </w:r>
      <w:r w:rsidR="001772F3" w:rsidRPr="00700887">
        <w:t>hether the use of OCT improves the management of aflibercept and thus contributes to improving health outcomes for patients</w:t>
      </w:r>
      <w:r w:rsidR="001772F3" w:rsidRPr="00700887">
        <w:rPr>
          <w:lang w:eastAsia="zh-CN"/>
        </w:rPr>
        <w:t>.</w:t>
      </w:r>
    </w:p>
    <w:p w:rsidR="00D45F30" w:rsidRPr="00700887" w:rsidRDefault="00D45F30" w:rsidP="00D45F30">
      <w:pPr>
        <w:pStyle w:val="ListParagraph"/>
        <w:ind w:left="0"/>
      </w:pPr>
    </w:p>
    <w:p w:rsidR="00D363A4" w:rsidRPr="00700887" w:rsidRDefault="00D363A4" w:rsidP="00A44E52">
      <w:pPr>
        <w:pStyle w:val="ListParagraph"/>
        <w:ind w:left="0"/>
      </w:pPr>
      <w:r w:rsidRPr="00700887">
        <w:t xml:space="preserve">Whether the evidence presented by the submission regarding the use of OCT for monitoring, based on the opinion of one ophthalmologist, supports the submission’s assertion of the value of OCT for </w:t>
      </w:r>
      <w:r w:rsidR="00384DAB" w:rsidRPr="00700887">
        <w:t>improving treatment.</w:t>
      </w:r>
    </w:p>
    <w:p w:rsidR="0083789C" w:rsidRPr="00700887" w:rsidRDefault="0083789C" w:rsidP="00384DAB"/>
    <w:p w:rsidR="00E67C5A" w:rsidRPr="00700887" w:rsidRDefault="00266C75" w:rsidP="00A44E52">
      <w:pPr>
        <w:tabs>
          <w:tab w:val="left" w:pos="720"/>
          <w:tab w:val="left" w:pos="1140"/>
        </w:tabs>
        <w:rPr>
          <w:u w:val="single"/>
        </w:rPr>
      </w:pPr>
      <w:r w:rsidRPr="00700887">
        <w:rPr>
          <w:u w:val="single"/>
        </w:rPr>
        <w:t xml:space="preserve">Other important </w:t>
      </w:r>
      <w:r w:rsidR="00E67C5A" w:rsidRPr="00700887">
        <w:rPr>
          <w:u w:val="single"/>
        </w:rPr>
        <w:t xml:space="preserve">clinical issues </w:t>
      </w:r>
      <w:r w:rsidR="00E62708" w:rsidRPr="00700887">
        <w:rPr>
          <w:u w:val="single"/>
        </w:rPr>
        <w:t>and</w:t>
      </w:r>
      <w:r w:rsidR="00E67C5A" w:rsidRPr="00700887">
        <w:rPr>
          <w:u w:val="single"/>
        </w:rPr>
        <w:t xml:space="preserve"> areas of </w:t>
      </w:r>
      <w:r w:rsidRPr="00700887">
        <w:rPr>
          <w:u w:val="single"/>
        </w:rPr>
        <w:t xml:space="preserve">clinical </w:t>
      </w:r>
      <w:r w:rsidR="00E67C5A" w:rsidRPr="00700887">
        <w:rPr>
          <w:u w:val="single"/>
        </w:rPr>
        <w:t>uncertainty</w:t>
      </w:r>
    </w:p>
    <w:p w:rsidR="0046604A" w:rsidRPr="00700887" w:rsidRDefault="0046604A" w:rsidP="00A44E52">
      <w:pPr>
        <w:rPr>
          <w:szCs w:val="24"/>
        </w:rPr>
      </w:pPr>
      <w:r w:rsidRPr="00700887">
        <w:rPr>
          <w:lang w:eastAsia="zh-CN"/>
        </w:rPr>
        <w:t xml:space="preserve">The </w:t>
      </w:r>
      <w:r w:rsidR="00D05513" w:rsidRPr="00700887">
        <w:rPr>
          <w:lang w:eastAsia="zh-CN"/>
        </w:rPr>
        <w:t>j</w:t>
      </w:r>
      <w:r w:rsidRPr="00700887">
        <w:rPr>
          <w:lang w:eastAsia="zh-CN"/>
        </w:rPr>
        <w:t>oint ESCs noted that the diagnosis of macular oedema secondary to central retinal vein occlusion does not depend on OCT; however OCT assists clinicians to determine the treatment. The extent of co-dependence of aflibercept and OCT needs further assessment to determine what contribution OCT makes to treatment and management of CRVO.</w:t>
      </w:r>
    </w:p>
    <w:p w:rsidR="00823261" w:rsidRPr="00700887" w:rsidRDefault="00823261" w:rsidP="00A44E52">
      <w:pPr>
        <w:rPr>
          <w:szCs w:val="24"/>
        </w:rPr>
      </w:pPr>
    </w:p>
    <w:p w:rsidR="00E67C5A" w:rsidRPr="00700887" w:rsidRDefault="00D574D1" w:rsidP="00A44E52">
      <w:pPr>
        <w:tabs>
          <w:tab w:val="left" w:pos="720"/>
        </w:tabs>
        <w:rPr>
          <w:szCs w:val="24"/>
          <w:u w:val="single"/>
        </w:rPr>
      </w:pPr>
      <w:r w:rsidRPr="00700887">
        <w:rPr>
          <w:szCs w:val="24"/>
          <w:u w:val="single"/>
        </w:rPr>
        <w:t xml:space="preserve">Main economic issues </w:t>
      </w:r>
      <w:r w:rsidR="00E62708" w:rsidRPr="00700887">
        <w:rPr>
          <w:szCs w:val="24"/>
          <w:u w:val="single"/>
        </w:rPr>
        <w:t>and</w:t>
      </w:r>
      <w:r w:rsidRPr="00700887">
        <w:rPr>
          <w:szCs w:val="24"/>
          <w:u w:val="single"/>
        </w:rPr>
        <w:t xml:space="preserve"> areas of uncertainty</w:t>
      </w:r>
    </w:p>
    <w:p w:rsidR="00D45F30" w:rsidRPr="00700887" w:rsidRDefault="00D45F30" w:rsidP="00A44E52">
      <w:pPr>
        <w:widowControl w:val="0"/>
        <w:jc w:val="both"/>
      </w:pPr>
      <w:r w:rsidRPr="00700887">
        <w:rPr>
          <w:color w:val="000000" w:themeColor="text1"/>
        </w:rPr>
        <w:t xml:space="preserve">There is no provision in the economic model to consider the implications of the accuracy of OCT for aflibercept. </w:t>
      </w:r>
      <w:r w:rsidRPr="00700887">
        <w:t xml:space="preserve">The Joint </w:t>
      </w:r>
      <w:r w:rsidRPr="00700887">
        <w:rPr>
          <w:color w:val="000000" w:themeColor="text1"/>
        </w:rPr>
        <w:t>ESC</w:t>
      </w:r>
      <w:r w:rsidR="001772F3" w:rsidRPr="00700887">
        <w:rPr>
          <w:color w:val="000000" w:themeColor="text1"/>
        </w:rPr>
        <w:t>s</w:t>
      </w:r>
      <w:r w:rsidRPr="00700887">
        <w:rPr>
          <w:color w:val="000000" w:themeColor="text1"/>
        </w:rPr>
        <w:t xml:space="preserve"> w</w:t>
      </w:r>
      <w:r w:rsidR="001772F3" w:rsidRPr="00700887">
        <w:rPr>
          <w:color w:val="000000" w:themeColor="text1"/>
        </w:rPr>
        <w:t>ere</w:t>
      </w:r>
      <w:r w:rsidRPr="00700887">
        <w:rPr>
          <w:color w:val="000000" w:themeColor="text1"/>
        </w:rPr>
        <w:t xml:space="preserve"> concerned that the accuracy of OCT was not based on the most current technological version of OCT and the difference between 2D and 3D OCT could have a significant impact on the validity of treatment response measurements between specialists. Given the proposal to use OCT as an ongoing monitoring tool, the </w:t>
      </w:r>
      <w:r w:rsidR="001772F3" w:rsidRPr="00700887">
        <w:rPr>
          <w:color w:val="000000" w:themeColor="text1"/>
        </w:rPr>
        <w:t xml:space="preserve">ESCs advised that the </w:t>
      </w:r>
      <w:r w:rsidRPr="00700887">
        <w:rPr>
          <w:color w:val="000000" w:themeColor="text1"/>
        </w:rPr>
        <w:t>sensitivity and specificity of OCT in the monitoring of response to VEGF inhibitor therapy should have been presented. This was further exacerbated by the evidence presented for repeatability, which was not in patients with CRVO.</w:t>
      </w:r>
    </w:p>
    <w:p w:rsidR="00D45F30" w:rsidRPr="00700887" w:rsidRDefault="00D45F30" w:rsidP="00D45F30">
      <w:pPr>
        <w:widowControl w:val="0"/>
        <w:jc w:val="both"/>
      </w:pPr>
    </w:p>
    <w:p w:rsidR="00D45F30" w:rsidRPr="00700887" w:rsidRDefault="00D45F30" w:rsidP="00D45F30">
      <w:pPr>
        <w:widowControl w:val="0"/>
        <w:jc w:val="both"/>
      </w:pPr>
      <w:r w:rsidRPr="00700887">
        <w:t xml:space="preserve">The </w:t>
      </w:r>
      <w:r w:rsidRPr="00700887">
        <w:rPr>
          <w:color w:val="000000" w:themeColor="text1"/>
        </w:rPr>
        <w:t>ESCs were also concerned that the submission has not presented evidence to support the claim that OCT is considered to be “gold standard” for monitoring of macular oedema secondary to CRVO.</w:t>
      </w:r>
      <w:r w:rsidRPr="00700887">
        <w:t xml:space="preserve"> The ESCs concluded that</w:t>
      </w:r>
      <w:r w:rsidR="001772F3" w:rsidRPr="00700887">
        <w:t>,</w:t>
      </w:r>
      <w:r w:rsidRPr="00700887">
        <w:t xml:space="preserve"> based on the evidence presented in the submission</w:t>
      </w:r>
      <w:r w:rsidR="001772F3" w:rsidRPr="00700887">
        <w:t>,</w:t>
      </w:r>
      <w:r w:rsidRPr="00700887">
        <w:t xml:space="preserve"> </w:t>
      </w:r>
      <w:r w:rsidR="001772F3" w:rsidRPr="00700887">
        <w:t>v</w:t>
      </w:r>
      <w:r w:rsidRPr="00700887">
        <w:t xml:space="preserve">isual </w:t>
      </w:r>
      <w:r w:rsidR="001772F3" w:rsidRPr="00700887">
        <w:t>a</w:t>
      </w:r>
      <w:r w:rsidRPr="00700887">
        <w:t>cuity was of more significance as a measurement of treatment response than change in the retinal thickness as measured by OCT. This mirrors the place of OCT in the clinical management algorithm.</w:t>
      </w:r>
    </w:p>
    <w:p w:rsidR="00D45F30" w:rsidRPr="00700887" w:rsidRDefault="00D45F30" w:rsidP="00D45F30">
      <w:pPr>
        <w:widowControl w:val="0"/>
        <w:jc w:val="both"/>
        <w:rPr>
          <w:color w:val="000000" w:themeColor="text1"/>
        </w:rPr>
      </w:pPr>
    </w:p>
    <w:p w:rsidR="0095175A" w:rsidRPr="00700887" w:rsidRDefault="006D5D41" w:rsidP="00384DAB">
      <w:pPr>
        <w:tabs>
          <w:tab w:val="left" w:pos="720"/>
        </w:tabs>
        <w:rPr>
          <w:szCs w:val="24"/>
          <w:u w:val="single"/>
        </w:rPr>
      </w:pPr>
      <w:r w:rsidRPr="00700887">
        <w:rPr>
          <w:szCs w:val="24"/>
          <w:u w:val="single"/>
        </w:rPr>
        <w:t xml:space="preserve">Main financial issues and </w:t>
      </w:r>
      <w:r w:rsidR="0095175A" w:rsidRPr="00700887">
        <w:rPr>
          <w:szCs w:val="24"/>
          <w:u w:val="single"/>
        </w:rPr>
        <w:t>areas of uncertainty</w:t>
      </w:r>
    </w:p>
    <w:p w:rsidR="000D46F6" w:rsidRPr="00700887" w:rsidRDefault="00811751" w:rsidP="00BC136D">
      <w:r w:rsidRPr="00700887">
        <w:t>The submission did not provide any sensitivity analyses of the estimated use and financial implications of the listing of aflibercept and OCT.</w:t>
      </w:r>
    </w:p>
    <w:p w:rsidR="000D46F6" w:rsidRPr="00700887" w:rsidRDefault="000D46F6" w:rsidP="00BC136D"/>
    <w:p w:rsidR="00811751" w:rsidRPr="00700887" w:rsidRDefault="00811751" w:rsidP="00BC136D">
      <w:r w:rsidRPr="00700887">
        <w:t>However, there are a number of issues in the financial analysis that suggest the results significantly underestimate the costs to the PBS/RPBS and MBS.</w:t>
      </w:r>
      <w:r w:rsidR="00B500BE" w:rsidRPr="00700887">
        <w:t xml:space="preserve"> </w:t>
      </w:r>
      <w:r w:rsidRPr="00700887">
        <w:t>In particular:</w:t>
      </w:r>
    </w:p>
    <w:p w:rsidR="00811751" w:rsidRPr="00700887" w:rsidRDefault="00B500BE" w:rsidP="00B500BE">
      <w:pPr>
        <w:numPr>
          <w:ilvl w:val="0"/>
          <w:numId w:val="7"/>
        </w:numPr>
        <w:tabs>
          <w:tab w:val="clear" w:pos="1080"/>
          <w:tab w:val="num" w:pos="360"/>
          <w:tab w:val="left" w:pos="810"/>
          <w:tab w:val="left" w:pos="1170"/>
        </w:tabs>
        <w:ind w:left="357" w:hanging="357"/>
      </w:pPr>
      <w:r w:rsidRPr="00700887">
        <w:lastRenderedPageBreak/>
        <w:t>t</w:t>
      </w:r>
      <w:r w:rsidR="00811751" w:rsidRPr="00700887">
        <w:t xml:space="preserve">he </w:t>
      </w:r>
      <w:r w:rsidR="00811751" w:rsidRPr="00700887">
        <w:rPr>
          <w:szCs w:val="24"/>
          <w:lang w:val="en-US" w:eastAsia="en-US"/>
        </w:rPr>
        <w:t>assumption</w:t>
      </w:r>
      <w:r w:rsidR="00811751" w:rsidRPr="00700887">
        <w:t xml:space="preserve"> of </w:t>
      </w:r>
      <w:r w:rsidR="00151B16" w:rsidRPr="00700887">
        <w:rPr>
          <w:b/>
        </w:rPr>
        <w:t>(redacted information)</w:t>
      </w:r>
      <w:r w:rsidR="00811751" w:rsidRPr="00700887">
        <w:t>% uptake in Year 1 may not represent ‘high uptake’, particularly given that there is currently no other PBS-listed treated for ma</w:t>
      </w:r>
      <w:r w:rsidRPr="00700887">
        <w:t>cular oedema secondary to CRVO</w:t>
      </w:r>
    </w:p>
    <w:p w:rsidR="00811751" w:rsidRPr="00700887" w:rsidRDefault="00811751" w:rsidP="00B500BE">
      <w:pPr>
        <w:numPr>
          <w:ilvl w:val="0"/>
          <w:numId w:val="7"/>
        </w:numPr>
        <w:tabs>
          <w:tab w:val="clear" w:pos="1080"/>
          <w:tab w:val="num" w:pos="360"/>
          <w:tab w:val="left" w:pos="810"/>
          <w:tab w:val="left" w:pos="1170"/>
        </w:tabs>
        <w:spacing w:before="100" w:beforeAutospacing="1"/>
        <w:ind w:left="360"/>
      </w:pPr>
      <w:r w:rsidRPr="00700887">
        <w:t xml:space="preserve">OCT costs </w:t>
      </w:r>
      <w:r w:rsidRPr="00700887">
        <w:rPr>
          <w:szCs w:val="24"/>
          <w:lang w:val="en-US" w:eastAsia="en-US"/>
        </w:rPr>
        <w:t>are</w:t>
      </w:r>
      <w:r w:rsidRPr="00700887">
        <w:t xml:space="preserve"> likely to be underestimated due to the inappropriate assumption of a 1:1 ratio of injecti</w:t>
      </w:r>
      <w:r w:rsidR="00B500BE" w:rsidRPr="00700887">
        <w:t>on for incidence of these costs</w:t>
      </w:r>
    </w:p>
    <w:p w:rsidR="00811751" w:rsidRPr="00700887" w:rsidRDefault="00811751" w:rsidP="00B500BE">
      <w:pPr>
        <w:numPr>
          <w:ilvl w:val="0"/>
          <w:numId w:val="7"/>
        </w:numPr>
        <w:tabs>
          <w:tab w:val="clear" w:pos="1080"/>
          <w:tab w:val="num" w:pos="360"/>
          <w:tab w:val="left" w:pos="810"/>
          <w:tab w:val="left" w:pos="1170"/>
        </w:tabs>
        <w:spacing w:before="100" w:beforeAutospacing="1"/>
        <w:ind w:left="360"/>
      </w:pPr>
      <w:r w:rsidRPr="00700887">
        <w:t xml:space="preserve">the </w:t>
      </w:r>
      <w:r w:rsidRPr="00700887">
        <w:rPr>
          <w:szCs w:val="24"/>
          <w:lang w:val="en-US" w:eastAsia="en-US"/>
        </w:rPr>
        <w:t>estimated</w:t>
      </w:r>
      <w:r w:rsidRPr="00700887">
        <w:t xml:space="preserve"> number of OCT </w:t>
      </w:r>
      <w:r w:rsidR="00F860D4" w:rsidRPr="00700887">
        <w:t xml:space="preserve">tests </w:t>
      </w:r>
      <w:r w:rsidR="0021511F" w:rsidRPr="00700887">
        <w:t>may not be</w:t>
      </w:r>
      <w:r w:rsidRPr="00700887">
        <w:t xml:space="preserve"> accurate given it is based directly on the number of injections given, wh</w:t>
      </w:r>
      <w:r w:rsidR="0021511F" w:rsidRPr="00700887">
        <w:t>ereas,</w:t>
      </w:r>
      <w:r w:rsidRPr="00700887">
        <w:t xml:space="preserve"> following the first year of treatment</w:t>
      </w:r>
      <w:r w:rsidR="0021511F" w:rsidRPr="00700887">
        <w:t>,</w:t>
      </w:r>
      <w:r w:rsidRPr="00700887">
        <w:t xml:space="preserve"> OCT will not always i</w:t>
      </w:r>
      <w:r w:rsidR="00B500BE" w:rsidRPr="00700887">
        <w:t xml:space="preserve">dentify a need for </w:t>
      </w:r>
      <w:r w:rsidR="0021511F" w:rsidRPr="00700887">
        <w:t xml:space="preserve">a </w:t>
      </w:r>
      <w:r w:rsidR="00B500BE" w:rsidRPr="00700887">
        <w:t>re-injection</w:t>
      </w:r>
    </w:p>
    <w:p w:rsidR="00811751" w:rsidRPr="00700887" w:rsidRDefault="00811751" w:rsidP="00B500BE">
      <w:pPr>
        <w:numPr>
          <w:ilvl w:val="0"/>
          <w:numId w:val="7"/>
        </w:numPr>
        <w:tabs>
          <w:tab w:val="clear" w:pos="1080"/>
          <w:tab w:val="num" w:pos="360"/>
          <w:tab w:val="left" w:pos="810"/>
          <w:tab w:val="left" w:pos="1170"/>
        </w:tabs>
        <w:spacing w:before="100" w:beforeAutospacing="1"/>
        <w:ind w:left="360"/>
      </w:pPr>
      <w:r w:rsidRPr="00700887">
        <w:t xml:space="preserve">the failure to include baseline eligibility criteria for </w:t>
      </w:r>
      <w:r w:rsidR="0010185E" w:rsidRPr="00700887">
        <w:t>CRT may not be</w:t>
      </w:r>
      <w:r w:rsidRPr="00700887">
        <w:t xml:space="preserve"> reasonable, given that </w:t>
      </w:r>
      <w:r w:rsidR="0010185E" w:rsidRPr="00700887">
        <w:t>such an omission would</w:t>
      </w:r>
      <w:r w:rsidRPr="00700887">
        <w:t xml:space="preserve"> open up treatment to patients for whom there is no clinical evidence and likely result in muc</w:t>
      </w:r>
      <w:r w:rsidR="00B500BE" w:rsidRPr="00700887">
        <w:t>h greater uptake than estimated</w:t>
      </w:r>
    </w:p>
    <w:p w:rsidR="00811751" w:rsidRPr="00700887" w:rsidRDefault="00811751" w:rsidP="00B500BE">
      <w:pPr>
        <w:numPr>
          <w:ilvl w:val="0"/>
          <w:numId w:val="7"/>
        </w:numPr>
        <w:tabs>
          <w:tab w:val="clear" w:pos="1080"/>
          <w:tab w:val="num" w:pos="360"/>
          <w:tab w:val="left" w:pos="810"/>
          <w:tab w:val="left" w:pos="1170"/>
        </w:tabs>
        <w:spacing w:before="100" w:beforeAutospacing="1"/>
        <w:ind w:left="360"/>
      </w:pPr>
      <w:r w:rsidRPr="00700887">
        <w:t xml:space="preserve">the failure to include re-injection criteria </w:t>
      </w:r>
      <w:r w:rsidR="0021511F" w:rsidRPr="00700887">
        <w:t>may not be</w:t>
      </w:r>
      <w:r w:rsidRPr="00700887">
        <w:t xml:space="preserve"> reasonable given that</w:t>
      </w:r>
      <w:r w:rsidR="0021511F" w:rsidRPr="00700887">
        <w:t>,</w:t>
      </w:r>
      <w:r w:rsidRPr="00700887">
        <w:t xml:space="preserve"> without such criteria</w:t>
      </w:r>
      <w:r w:rsidR="0021511F" w:rsidRPr="00700887">
        <w:t>,</w:t>
      </w:r>
      <w:r w:rsidRPr="00700887">
        <w:t xml:space="preserve"> the value of OCT monitoring is limited or has no direct link to aflibercept treatment.</w:t>
      </w:r>
    </w:p>
    <w:p w:rsidR="00A44E52" w:rsidRPr="009F3662" w:rsidRDefault="00A44E52" w:rsidP="00B24BEE"/>
    <w:p w:rsidR="004C0DCE" w:rsidRPr="006A19C5" w:rsidRDefault="004C0DCE" w:rsidP="006D2CF5">
      <w:pPr>
        <w:pStyle w:val="Heading1"/>
        <w:numPr>
          <w:ilvl w:val="0"/>
          <w:numId w:val="17"/>
        </w:numPr>
        <w:spacing w:before="0"/>
        <w:ind w:left="567" w:hanging="567"/>
      </w:pPr>
      <w:r w:rsidRPr="006A19C5">
        <w:t xml:space="preserve">Other </w:t>
      </w:r>
      <w:r w:rsidRPr="006D2CF5">
        <w:rPr>
          <w:rFonts w:cs="Arial"/>
          <w:szCs w:val="24"/>
        </w:rPr>
        <w:t>significant</w:t>
      </w:r>
      <w:r w:rsidRPr="006A19C5">
        <w:t xml:space="preserve"> factors</w:t>
      </w:r>
    </w:p>
    <w:p w:rsidR="002B0813" w:rsidRPr="00910873" w:rsidRDefault="0021511F" w:rsidP="00A44E52">
      <w:pPr>
        <w:tabs>
          <w:tab w:val="num" w:pos="720"/>
        </w:tabs>
        <w:ind w:left="-43"/>
        <w:rPr>
          <w:szCs w:val="24"/>
        </w:rPr>
      </w:pPr>
      <w:r>
        <w:rPr>
          <w:szCs w:val="24"/>
        </w:rPr>
        <w:t>MBS i</w:t>
      </w:r>
      <w:r w:rsidR="002B0813" w:rsidRPr="00910873">
        <w:rPr>
          <w:szCs w:val="24"/>
        </w:rPr>
        <w:t>tems 42738, 42739, 42740 are used by ophthalmologists for the injection of therapeutic substances into the eye.</w:t>
      </w:r>
      <w:r w:rsidR="002B0813">
        <w:rPr>
          <w:szCs w:val="24"/>
        </w:rPr>
        <w:t xml:space="preserve"> The PBS listing of </w:t>
      </w:r>
      <w:r w:rsidR="002B0813" w:rsidRPr="008A190A">
        <w:rPr>
          <w:color w:val="000000"/>
          <w:szCs w:val="24"/>
          <w:shd w:val="clear" w:color="auto" w:fill="FFFFFF"/>
        </w:rPr>
        <w:t>ranibizumab</w:t>
      </w:r>
      <w:r w:rsidR="002B0813">
        <w:rPr>
          <w:szCs w:val="24"/>
        </w:rPr>
        <w:t xml:space="preserve"> for the treatment of </w:t>
      </w:r>
      <w:r>
        <w:rPr>
          <w:szCs w:val="24"/>
        </w:rPr>
        <w:t xml:space="preserve">age-related </w:t>
      </w:r>
      <w:r w:rsidR="002B0813">
        <w:rPr>
          <w:szCs w:val="24"/>
        </w:rPr>
        <w:t>macular degeneration in 2007 (and more recently aflibercept) accounts for almost all of the curr</w:t>
      </w:r>
      <w:r w:rsidR="00384DAB">
        <w:rPr>
          <w:szCs w:val="24"/>
        </w:rPr>
        <w:t>ent utilisation of these items.</w:t>
      </w:r>
    </w:p>
    <w:p w:rsidR="002B0813" w:rsidRPr="00BB418D" w:rsidRDefault="002B0813" w:rsidP="00A44E52">
      <w:pPr>
        <w:tabs>
          <w:tab w:val="left" w:pos="720"/>
        </w:tabs>
        <w:rPr>
          <w:szCs w:val="24"/>
        </w:rPr>
      </w:pPr>
    </w:p>
    <w:p w:rsidR="00937076" w:rsidRPr="006A19C5" w:rsidRDefault="00937076" w:rsidP="006D2CF5">
      <w:pPr>
        <w:pStyle w:val="Heading1"/>
        <w:numPr>
          <w:ilvl w:val="0"/>
          <w:numId w:val="17"/>
        </w:numPr>
        <w:spacing w:before="0"/>
        <w:ind w:left="567" w:hanging="567"/>
      </w:pPr>
      <w:r w:rsidRPr="006A19C5">
        <w:t xml:space="preserve">Summary of </w:t>
      </w:r>
      <w:r w:rsidRPr="006D2CF5">
        <w:rPr>
          <w:rFonts w:cs="Arial"/>
          <w:szCs w:val="24"/>
        </w:rPr>
        <w:t>consideration</w:t>
      </w:r>
      <w:r w:rsidRPr="006A19C5">
        <w:t xml:space="preserve"> and rationale for MSAC’s advice</w:t>
      </w:r>
    </w:p>
    <w:p w:rsidR="00062F68" w:rsidRPr="00700887" w:rsidRDefault="00062F68" w:rsidP="00A44E52">
      <w:pPr>
        <w:rPr>
          <w:szCs w:val="24"/>
        </w:rPr>
      </w:pPr>
      <w:r w:rsidRPr="00700887">
        <w:rPr>
          <w:szCs w:val="24"/>
        </w:rPr>
        <w:t>MSAC noted that the July 2013 PBAC meeting did not recommend that aflibercept, the co-dependent technology in this submission-based assessment for OCT, be listed on the Pharmaceutical Benefits Scheme (PBS) for the treatment of central vein retinal occlusio</w:t>
      </w:r>
      <w:r w:rsidR="00384DAB" w:rsidRPr="00700887">
        <w:rPr>
          <w:szCs w:val="24"/>
        </w:rPr>
        <w:t>n (CRVO).</w:t>
      </w:r>
    </w:p>
    <w:p w:rsidR="00401EFC" w:rsidRPr="00700887" w:rsidRDefault="00401EFC" w:rsidP="00401EFC">
      <w:pPr>
        <w:rPr>
          <w:szCs w:val="24"/>
        </w:rPr>
      </w:pPr>
    </w:p>
    <w:p w:rsidR="00062F68" w:rsidRPr="00700887" w:rsidRDefault="00062F68" w:rsidP="00401EFC">
      <w:pPr>
        <w:rPr>
          <w:szCs w:val="24"/>
        </w:rPr>
      </w:pPr>
      <w:r w:rsidRPr="00700887">
        <w:rPr>
          <w:szCs w:val="24"/>
        </w:rPr>
        <w:t>MSAC recalled that, at its April 2013 meeting, it had considered a referral from PBAC for advice in relation to OCT in CRVO and branch vein retinal occlusion (BRVO) for access to ranibizumab (Application 1350), a competing anti-VEGF medicine. MSAC had advised then that it intended to consider OCT in RVO in the context of both aflibercept and ranibizumab, and to consider both identified purposes of OCT (determining eligibility for anti-VEGF treatm</w:t>
      </w:r>
      <w:r w:rsidR="00384DAB" w:rsidRPr="00700887">
        <w:rPr>
          <w:szCs w:val="24"/>
        </w:rPr>
        <w:t>ent and subsequent monitoring).</w:t>
      </w:r>
    </w:p>
    <w:p w:rsidR="00401EFC" w:rsidRPr="00700887" w:rsidRDefault="00401EFC" w:rsidP="00401EFC">
      <w:pPr>
        <w:rPr>
          <w:szCs w:val="24"/>
        </w:rPr>
      </w:pPr>
    </w:p>
    <w:p w:rsidR="00062F68" w:rsidRPr="00700887" w:rsidRDefault="00062F68" w:rsidP="00401EFC">
      <w:pPr>
        <w:rPr>
          <w:szCs w:val="24"/>
        </w:rPr>
      </w:pPr>
      <w:r w:rsidRPr="00700887">
        <w:rPr>
          <w:szCs w:val="24"/>
        </w:rPr>
        <w:t>MSAC also recalled that, at its November 2008 meeting, it had not supported public funding of OCT for the diagnosis and monitoring of macular disease and glaucoma (Application 1116), but acknowledged that OCT is already widely used in the management of macular disease. This widespread use of OCT without MBS funding is the source of complaints about out-of-pocket costs from patients, who are mostly elderly. MSAC also noted that whilst the ophthalmologists have provided strong expert opinion in support of MBS listing, the Royal Australian and New Zealand College of Ophthalmologists (RANZCO) does not have any immediate plans to re-submit an application for MSAC assessment of OCT.</w:t>
      </w:r>
    </w:p>
    <w:p w:rsidR="00444AA3" w:rsidRPr="00700887" w:rsidRDefault="00444AA3" w:rsidP="00401EFC">
      <w:pPr>
        <w:rPr>
          <w:szCs w:val="24"/>
        </w:rPr>
      </w:pPr>
    </w:p>
    <w:p w:rsidR="00444AA3" w:rsidRPr="00700887" w:rsidRDefault="00444AA3" w:rsidP="00401EFC">
      <w:pPr>
        <w:rPr>
          <w:szCs w:val="24"/>
        </w:rPr>
      </w:pPr>
      <w:r w:rsidRPr="00700887">
        <w:rPr>
          <w:szCs w:val="24"/>
        </w:rPr>
        <w:t>MSAC agreed with its Protocol Advisory Sub-Committee (PASC) and its Evaluation Sub-Committee that OCT is not essential to the diagnosis of RVO, but that the basis of the identified codependency with anti-VEGF medicines were its roles both in assessing oedema before using treatment and also in monitoring treatment. MSAC agreed with the advice of PASC on pages 21 and 22 of the DAP that different types of evidence addressing four main questions would be needed to consider these two roles. MSAC also agreed with the advice of PASC with reference to Bell et al 2009, 2010 that the monitoring role needs more evidence. This is reasonable because this role would generate more costs given the repeated use of OCT, and would potentially generate more efficient use of anti-VEGF treatment.</w:t>
      </w:r>
    </w:p>
    <w:p w:rsidR="00444AA3" w:rsidRPr="00700887" w:rsidRDefault="00444AA3" w:rsidP="00401EFC">
      <w:pPr>
        <w:rPr>
          <w:szCs w:val="24"/>
        </w:rPr>
      </w:pPr>
    </w:p>
    <w:p w:rsidR="00444AA3" w:rsidRPr="00700887" w:rsidRDefault="00444AA3" w:rsidP="00401EFC">
      <w:pPr>
        <w:rPr>
          <w:szCs w:val="24"/>
        </w:rPr>
      </w:pPr>
      <w:r w:rsidRPr="00700887">
        <w:rPr>
          <w:szCs w:val="24"/>
        </w:rPr>
        <w:t>In relation to the role of OCT in assessing oedema before using treatment, MSAC noted that an OCT-determined threshold for central retinal thickness (CRT) of ≥250μm was included in the participant eligibility criteria of both the two key randomised trials of aflibercept (COPERNICUS and GALILEO). The results from these trials provide the evidence base that aflibercept is effective in patients above this threshold. However, as noted by the submission, this also means that there is no evidence base examining whether aflibercept is effective in patients below this threshold. Taken together, these trials do not provide evidence to address the first question listed in the DAP in relation to the performance of OCT at baseline in predicting any variation in the magnitude of effectiveness of aflibercept above and below this eligibility threshold. This absence of evidence is not unique in clinical practice; MSAC noted that trials of medicines in heart failure using echocardiogram-based thresholds were similarly unable to provide evidence of the performance of echocardiograms in predicting any variation in treatment effect above and below the trial eligibility thresholds. MSAC further noted that this same issue also applies to the eligibility criteria related to baseline visual acuity in the treated eye or time between diagnosis and study initiation. However an application for MBS funding is not needed to support the implementation of these other eligibility criteria in clinical practice.</w:t>
      </w:r>
    </w:p>
    <w:p w:rsidR="00444AA3" w:rsidRPr="00700887" w:rsidRDefault="00444AA3" w:rsidP="00401EFC">
      <w:pPr>
        <w:rPr>
          <w:szCs w:val="24"/>
        </w:rPr>
      </w:pPr>
    </w:p>
    <w:p w:rsidR="00444AA3" w:rsidRPr="00700887" w:rsidRDefault="00444AA3" w:rsidP="00401EFC">
      <w:pPr>
        <w:rPr>
          <w:szCs w:val="24"/>
        </w:rPr>
      </w:pPr>
      <w:r w:rsidRPr="00700887">
        <w:rPr>
          <w:szCs w:val="24"/>
        </w:rPr>
        <w:t>MSAC also reviewed the 14 provided studies which examined associations between baseline CRT and final visual acuity, between change in CRT and final visual acuity, or between retinal changes visible on OCT and visual acuity outcomes. MSAC noted that all studies were small (sample sizes ranging from 10 to 61) with one exception (Scott et al (2011), with a sample size of 271). The correlation coefficient reported for this study for the association between baseline OCT measured centre point thickness and best-corrected visual acuity (BCVA) of -0.27; 95% CI: -0.38, -0.16 is broadly consistent with the results of the other studies: the association is modest with a small negative coefficient,</w:t>
      </w:r>
      <w:r w:rsidR="00B24BEE" w:rsidRPr="00700887">
        <w:rPr>
          <w:szCs w:val="24"/>
        </w:rPr>
        <w:t xml:space="preserve"> but statistically significant.</w:t>
      </w:r>
    </w:p>
    <w:p w:rsidR="00401EFC" w:rsidRPr="00700887" w:rsidRDefault="00401EFC" w:rsidP="00401EFC">
      <w:pPr>
        <w:rPr>
          <w:szCs w:val="24"/>
        </w:rPr>
      </w:pPr>
    </w:p>
    <w:p w:rsidR="00444AA3" w:rsidRPr="00700887" w:rsidRDefault="00444AA3" w:rsidP="00401EFC">
      <w:pPr>
        <w:rPr>
          <w:szCs w:val="24"/>
        </w:rPr>
      </w:pPr>
      <w:r w:rsidRPr="00700887">
        <w:rPr>
          <w:szCs w:val="24"/>
        </w:rPr>
        <w:t>MSAC agreed with the applicant that an OCT assessment at baseline before treatment would also be a necessary pre-requisite should OCT prove to have a subsequent monitoring role to guide the need for and timing of subseq</w:t>
      </w:r>
      <w:r w:rsidR="00B24BEE" w:rsidRPr="00700887">
        <w:rPr>
          <w:szCs w:val="24"/>
        </w:rPr>
        <w:t>uent aflibercept re-injections.</w:t>
      </w:r>
    </w:p>
    <w:p w:rsidR="00401EFC" w:rsidRPr="00700887" w:rsidRDefault="00401EFC" w:rsidP="00401EFC">
      <w:pPr>
        <w:rPr>
          <w:szCs w:val="24"/>
        </w:rPr>
      </w:pPr>
    </w:p>
    <w:p w:rsidR="00444AA3" w:rsidRPr="00700887" w:rsidRDefault="00444AA3" w:rsidP="00401EFC">
      <w:pPr>
        <w:rPr>
          <w:szCs w:val="24"/>
        </w:rPr>
      </w:pPr>
      <w:r w:rsidRPr="00700887">
        <w:rPr>
          <w:szCs w:val="24"/>
        </w:rPr>
        <w:t>In relation to the role of OCT in monitoring, MSAC addressed the three remaining questions listed in the DAP. The second question addresses whether there is an association between change in central retinal thickness and change in visual acuity. MSAC considered that the data collection in the two key randomised trials of aflibercept would provide more compelling evidence to address this question than the 14 studies provided. For example, referring to the Brown et al 2013</w:t>
      </w:r>
      <w:r w:rsidR="00AA0E05" w:rsidRPr="00700887">
        <w:rPr>
          <w:rStyle w:val="FootnoteReference"/>
          <w:szCs w:val="24"/>
        </w:rPr>
        <w:footnoteReference w:id="1"/>
      </w:r>
      <w:r w:rsidRPr="00700887">
        <w:rPr>
          <w:position w:val="8"/>
          <w:szCs w:val="24"/>
          <w:vertAlign w:val="superscript"/>
        </w:rPr>
        <w:t xml:space="preserve"> </w:t>
      </w:r>
      <w:r w:rsidRPr="00700887">
        <w:rPr>
          <w:szCs w:val="24"/>
        </w:rPr>
        <w:t>publication of the 1-year results from COPERNICUS, MSAC compared the two outcomes and concluded that the onset of effect of aflibercept on CRT followed a similar time course to the onset of its effect on BCVA. This was particularly evident after randomisation in the aflibercept arm. The smaller effect after cross-over at 24 weeks in the sham arm was consistent, but less marked.</w:t>
      </w:r>
    </w:p>
    <w:p w:rsidR="00444AA3" w:rsidRPr="00700887" w:rsidRDefault="00444AA3" w:rsidP="00401EFC">
      <w:pPr>
        <w:rPr>
          <w:szCs w:val="24"/>
        </w:rPr>
      </w:pPr>
    </w:p>
    <w:p w:rsidR="00444AA3" w:rsidRPr="00700887" w:rsidRDefault="00444AA3" w:rsidP="00401EFC">
      <w:pPr>
        <w:rPr>
          <w:szCs w:val="24"/>
        </w:rPr>
      </w:pPr>
      <w:r w:rsidRPr="00700887">
        <w:rPr>
          <w:szCs w:val="24"/>
        </w:rPr>
        <w:t xml:space="preserve">The third question addresses whether OCT measurement of CRT is reliable. MSAC noted that a number of studies with small sample sizes were provided assessing both within instrument (intra test/re-test) reliability and between instrument (inter test/re-test) reliability across a number of ocular conditions to support the applicant’s conclusions of high within instrument reliability and low between instrument reliability in CRVO. Although consistent </w:t>
      </w:r>
      <w:r w:rsidRPr="00700887">
        <w:rPr>
          <w:szCs w:val="24"/>
        </w:rPr>
        <w:lastRenderedPageBreak/>
        <w:t>with the claims, MSAC considered that this evidence base was sparse for CRVO. Given the conclusion of low between instrument reliability, MSAC also noted that the Stratus Time Domain OCT instrument was used in both trials of aflibercept (to form the ‘evidentiary standard’), and that the applicant had advised that this instrument is currently used in Australia.</w:t>
      </w:r>
    </w:p>
    <w:p w:rsidR="00444AA3" w:rsidRPr="00700887" w:rsidRDefault="00444AA3" w:rsidP="00401EFC">
      <w:pPr>
        <w:rPr>
          <w:szCs w:val="24"/>
        </w:rPr>
      </w:pPr>
    </w:p>
    <w:p w:rsidR="00444AA3" w:rsidRPr="00700887" w:rsidRDefault="00444AA3" w:rsidP="00401EFC">
      <w:pPr>
        <w:rPr>
          <w:szCs w:val="24"/>
        </w:rPr>
      </w:pPr>
      <w:r w:rsidRPr="00700887">
        <w:rPr>
          <w:szCs w:val="24"/>
        </w:rPr>
        <w:t>The fourth question addresses whether the proposed response criteria can detect true between individual variation in treatment effects. MSAC noted that the applicant chose not to nominate any threshold eligibility or response criteria because of the conclusion of low be</w:t>
      </w:r>
      <w:r w:rsidR="00B24BEE" w:rsidRPr="00700887">
        <w:rPr>
          <w:szCs w:val="24"/>
        </w:rPr>
        <w:t>tween instrument reliability.</w:t>
      </w:r>
    </w:p>
    <w:p w:rsidR="00401EFC" w:rsidRPr="00700887" w:rsidRDefault="00401EFC" w:rsidP="00401EFC">
      <w:pPr>
        <w:rPr>
          <w:szCs w:val="24"/>
        </w:rPr>
      </w:pPr>
    </w:p>
    <w:p w:rsidR="00444AA3" w:rsidRPr="00700887" w:rsidRDefault="00444AA3" w:rsidP="00401EFC">
      <w:pPr>
        <w:rPr>
          <w:szCs w:val="24"/>
        </w:rPr>
      </w:pPr>
      <w:r w:rsidRPr="00700887">
        <w:rPr>
          <w:szCs w:val="24"/>
        </w:rPr>
        <w:t xml:space="preserve">MSAC agreed that OCT is a non-invasive ophthalmic test and can </w:t>
      </w:r>
      <w:r w:rsidR="00B24BEE" w:rsidRPr="00700887">
        <w:rPr>
          <w:szCs w:val="24"/>
        </w:rPr>
        <w:t>be considered a safe procedure.</w:t>
      </w:r>
    </w:p>
    <w:p w:rsidR="00401EFC" w:rsidRPr="00700887" w:rsidRDefault="00401EFC" w:rsidP="00401EFC">
      <w:pPr>
        <w:rPr>
          <w:szCs w:val="24"/>
        </w:rPr>
      </w:pPr>
    </w:p>
    <w:p w:rsidR="00444AA3" w:rsidRPr="00700887" w:rsidRDefault="00444AA3" w:rsidP="00401EFC">
      <w:pPr>
        <w:rPr>
          <w:szCs w:val="24"/>
        </w:rPr>
      </w:pPr>
      <w:r w:rsidRPr="00700887">
        <w:rPr>
          <w:szCs w:val="24"/>
        </w:rPr>
        <w:t xml:space="preserve">MSAC considered that OCT costs much less per patient than aflibercept or its injection if used only once per patient. Repeated use for monitoring purposes would increase its costs but not exceed the costs of the medicine. However, MSAC also noted that the modelled economic evaluation did consider the implications for aflibercept of the accuracy of OCT. </w:t>
      </w:r>
    </w:p>
    <w:p w:rsidR="002A740D" w:rsidRPr="00700887" w:rsidRDefault="002A740D" w:rsidP="00401EFC">
      <w:pPr>
        <w:rPr>
          <w:szCs w:val="24"/>
        </w:rPr>
      </w:pPr>
    </w:p>
    <w:p w:rsidR="00444AA3" w:rsidRPr="00700887" w:rsidRDefault="00444AA3" w:rsidP="00401EFC">
      <w:pPr>
        <w:rPr>
          <w:szCs w:val="24"/>
        </w:rPr>
      </w:pPr>
      <w:r w:rsidRPr="00700887">
        <w:rPr>
          <w:szCs w:val="24"/>
        </w:rPr>
        <w:t>Using the applicant’s proposed OCT fee, the estimated net costs to the MBS ($1.6 million in year 1, increasing to $4.8 million in year 5) and the PBS</w:t>
      </w:r>
      <w:r w:rsidR="002A740D" w:rsidRPr="00700887">
        <w:rPr>
          <w:szCs w:val="24"/>
        </w:rPr>
        <w:t xml:space="preserve"> </w:t>
      </w:r>
      <w:r w:rsidR="002A740D" w:rsidRPr="00700887">
        <w:rPr>
          <w:b/>
        </w:rPr>
        <w:t>(redacted information)</w:t>
      </w:r>
      <w:r w:rsidR="002A740D" w:rsidRPr="00700887">
        <w:t xml:space="preserve"> </w:t>
      </w:r>
      <w:r w:rsidRPr="00700887">
        <w:rPr>
          <w:szCs w:val="24"/>
        </w:rPr>
        <w:t>reflect the relative costs of OCT, aflibercept and injections. The estimates of OCT costs to the MBS include both its initial assessment and monitoring roles.</w:t>
      </w:r>
    </w:p>
    <w:p w:rsidR="00444AA3" w:rsidRPr="00700887" w:rsidRDefault="00444AA3" w:rsidP="00401EFC">
      <w:pPr>
        <w:rPr>
          <w:szCs w:val="24"/>
        </w:rPr>
      </w:pPr>
    </w:p>
    <w:p w:rsidR="00444AA3" w:rsidRPr="00700887" w:rsidRDefault="00444AA3" w:rsidP="00401EFC">
      <w:pPr>
        <w:rPr>
          <w:szCs w:val="24"/>
        </w:rPr>
      </w:pPr>
      <w:r w:rsidRPr="00700887">
        <w:rPr>
          <w:szCs w:val="24"/>
        </w:rPr>
        <w:t>In summary, MSAC concluded that, in CRVO, the initial assessment role of OCT was possibly justifiable by the entry criteria and the aflibercept response shown in the randomised trials of aflibercept, but the monitoring r</w:t>
      </w:r>
      <w:r w:rsidR="00B24BEE" w:rsidRPr="00700887">
        <w:rPr>
          <w:szCs w:val="24"/>
        </w:rPr>
        <w:t>ole of OCT was unsubstantiated.</w:t>
      </w:r>
    </w:p>
    <w:p w:rsidR="004E343C" w:rsidRPr="00700887" w:rsidRDefault="004E343C" w:rsidP="00401EFC">
      <w:pPr>
        <w:rPr>
          <w:szCs w:val="24"/>
        </w:rPr>
      </w:pPr>
    </w:p>
    <w:p w:rsidR="00444AA3" w:rsidRPr="00700887" w:rsidRDefault="00444AA3" w:rsidP="00C71B58">
      <w:pPr>
        <w:rPr>
          <w:szCs w:val="24"/>
        </w:rPr>
      </w:pPr>
      <w:r w:rsidRPr="00700887">
        <w:rPr>
          <w:szCs w:val="24"/>
        </w:rPr>
        <w:t>MSAC anticipated that the corresponding PBAC decision not to recommend aflibercept would likely result in a resubmission, and so considered what additional analyses of existing data might be presented in a resubmission to provide a more substantive evidenc</w:t>
      </w:r>
      <w:r w:rsidR="00B24BEE" w:rsidRPr="00700887">
        <w:rPr>
          <w:szCs w:val="24"/>
        </w:rPr>
        <w:t>e base for these roles.</w:t>
      </w:r>
    </w:p>
    <w:p w:rsidR="00401EFC" w:rsidRPr="00700887" w:rsidRDefault="00401EFC" w:rsidP="00401EFC">
      <w:pPr>
        <w:rPr>
          <w:szCs w:val="24"/>
        </w:rPr>
      </w:pPr>
    </w:p>
    <w:p w:rsidR="00444AA3" w:rsidRPr="00700887" w:rsidRDefault="00444AA3" w:rsidP="00401EFC">
      <w:pPr>
        <w:rPr>
          <w:szCs w:val="24"/>
        </w:rPr>
      </w:pPr>
      <w:r w:rsidRPr="00700887">
        <w:rPr>
          <w:szCs w:val="24"/>
        </w:rPr>
        <w:t>In relation to an i</w:t>
      </w:r>
      <w:r w:rsidR="00B24BEE" w:rsidRPr="00700887">
        <w:rPr>
          <w:szCs w:val="24"/>
        </w:rPr>
        <w:t>nitial assessment role for OCT:</w:t>
      </w:r>
    </w:p>
    <w:p w:rsidR="00444AA3" w:rsidRPr="00700887" w:rsidRDefault="00444AA3" w:rsidP="00B500BE">
      <w:pPr>
        <w:numPr>
          <w:ilvl w:val="0"/>
          <w:numId w:val="7"/>
        </w:numPr>
        <w:tabs>
          <w:tab w:val="clear" w:pos="1080"/>
          <w:tab w:val="num" w:pos="360"/>
          <w:tab w:val="left" w:pos="810"/>
          <w:tab w:val="left" w:pos="1170"/>
        </w:tabs>
        <w:ind w:left="357" w:hanging="357"/>
        <w:rPr>
          <w:szCs w:val="24"/>
        </w:rPr>
      </w:pPr>
      <w:r w:rsidRPr="00700887">
        <w:rPr>
          <w:szCs w:val="24"/>
        </w:rPr>
        <w:t xml:space="preserve">any evidence of either (i) a good prognosis or (ii) a poor prognosis that is impacted by the effectiveness of aflibercept in CRVO patients with a CRT below the threshold of 250μm using the Stratus Time Domain OCT instrument (or confirmation that there is no such evidence, for example, that none of the Phase I or II trials of aflibercept </w:t>
      </w:r>
      <w:r w:rsidR="00B24BEE" w:rsidRPr="00700887">
        <w:rPr>
          <w:szCs w:val="24"/>
        </w:rPr>
        <w:t>in CRVO included such patients)</w:t>
      </w:r>
    </w:p>
    <w:p w:rsidR="00444AA3" w:rsidRPr="00700887" w:rsidRDefault="00444AA3" w:rsidP="00B500BE">
      <w:pPr>
        <w:numPr>
          <w:ilvl w:val="0"/>
          <w:numId w:val="7"/>
        </w:numPr>
        <w:tabs>
          <w:tab w:val="clear" w:pos="1080"/>
          <w:tab w:val="num" w:pos="360"/>
          <w:tab w:val="left" w:pos="810"/>
          <w:tab w:val="left" w:pos="1170"/>
        </w:tabs>
        <w:spacing w:before="100" w:beforeAutospacing="1"/>
        <w:ind w:left="360"/>
        <w:rPr>
          <w:szCs w:val="24"/>
        </w:rPr>
      </w:pPr>
      <w:r w:rsidRPr="00700887">
        <w:rPr>
          <w:szCs w:val="24"/>
        </w:rPr>
        <w:t xml:space="preserve">evidence to </w:t>
      </w:r>
      <w:r w:rsidRPr="00700887">
        <w:rPr>
          <w:szCs w:val="24"/>
          <w:lang w:val="en-US" w:eastAsia="en-US"/>
        </w:rPr>
        <w:t>assess</w:t>
      </w:r>
      <w:r w:rsidRPr="00700887">
        <w:rPr>
          <w:szCs w:val="24"/>
        </w:rPr>
        <w:t xml:space="preserve"> whether varying baseline CRT varies the prognosis of BCVA, using individual patient data from the sham</w:t>
      </w:r>
      <w:r w:rsidR="00B24BEE" w:rsidRPr="00700887">
        <w:rPr>
          <w:szCs w:val="24"/>
        </w:rPr>
        <w:t xml:space="preserve"> arms of COPERNICUS and GALILEO</w:t>
      </w:r>
    </w:p>
    <w:p w:rsidR="00444AA3" w:rsidRPr="00700887" w:rsidRDefault="00444AA3" w:rsidP="00B500BE">
      <w:pPr>
        <w:numPr>
          <w:ilvl w:val="0"/>
          <w:numId w:val="7"/>
        </w:numPr>
        <w:tabs>
          <w:tab w:val="clear" w:pos="1080"/>
          <w:tab w:val="num" w:pos="360"/>
          <w:tab w:val="left" w:pos="810"/>
          <w:tab w:val="left" w:pos="1170"/>
        </w:tabs>
        <w:spacing w:before="100" w:beforeAutospacing="1"/>
        <w:ind w:left="360"/>
        <w:rPr>
          <w:szCs w:val="24"/>
        </w:rPr>
      </w:pPr>
      <w:r w:rsidRPr="00700887">
        <w:rPr>
          <w:szCs w:val="24"/>
        </w:rPr>
        <w:t xml:space="preserve">evidence to </w:t>
      </w:r>
      <w:r w:rsidRPr="00700887">
        <w:rPr>
          <w:szCs w:val="24"/>
          <w:lang w:val="en-US" w:eastAsia="en-US"/>
        </w:rPr>
        <w:t>assess</w:t>
      </w:r>
      <w:r w:rsidRPr="00700887">
        <w:rPr>
          <w:szCs w:val="24"/>
        </w:rPr>
        <w:t xml:space="preserve"> whether varying baseline CRT varies the prognosis of aflibercept-treated BCVA, using individual patient data from the aflibercept arms of COPERNI</w:t>
      </w:r>
      <w:r w:rsidR="00B24BEE" w:rsidRPr="00700887">
        <w:rPr>
          <w:szCs w:val="24"/>
        </w:rPr>
        <w:t>CUS and GALILEO.</w:t>
      </w:r>
    </w:p>
    <w:p w:rsidR="00444AA3" w:rsidRPr="00700887" w:rsidRDefault="00444AA3" w:rsidP="00401EFC">
      <w:pPr>
        <w:rPr>
          <w:szCs w:val="24"/>
        </w:rPr>
      </w:pPr>
    </w:p>
    <w:p w:rsidR="00444AA3" w:rsidRPr="00700887" w:rsidRDefault="00444AA3" w:rsidP="00401EFC">
      <w:pPr>
        <w:rPr>
          <w:szCs w:val="24"/>
        </w:rPr>
      </w:pPr>
      <w:r w:rsidRPr="00700887">
        <w:rPr>
          <w:szCs w:val="24"/>
        </w:rPr>
        <w:t>In relatio</w:t>
      </w:r>
      <w:r w:rsidR="00B24BEE" w:rsidRPr="00700887">
        <w:rPr>
          <w:szCs w:val="24"/>
        </w:rPr>
        <w:t>n to a monitoring role for OCT:</w:t>
      </w:r>
    </w:p>
    <w:p w:rsidR="00444AA3" w:rsidRPr="00700887" w:rsidRDefault="00444AA3" w:rsidP="00B500BE">
      <w:pPr>
        <w:numPr>
          <w:ilvl w:val="0"/>
          <w:numId w:val="7"/>
        </w:numPr>
        <w:tabs>
          <w:tab w:val="clear" w:pos="1080"/>
          <w:tab w:val="num" w:pos="360"/>
          <w:tab w:val="left" w:pos="810"/>
          <w:tab w:val="left" w:pos="1170"/>
        </w:tabs>
        <w:ind w:left="357" w:hanging="357"/>
        <w:rPr>
          <w:szCs w:val="24"/>
        </w:rPr>
      </w:pPr>
      <w:r w:rsidRPr="00700887">
        <w:rPr>
          <w:szCs w:val="24"/>
        </w:rPr>
        <w:t xml:space="preserve">evidence to assess whether a change in individual CRT is associated with a change in individual BCVA, both contemporaneously (ie comparing changes at the same time points) and predictively (ie comparing an early change in CRT with final change in BCVA), using individual patient data from the aflibercept arms (and potentially also from the sham arms following cross-over to aflibercept) of COPERNICUS and/or GALILEO, </w:t>
      </w:r>
      <w:r w:rsidRPr="00700887">
        <w:rPr>
          <w:szCs w:val="24"/>
        </w:rPr>
        <w:lastRenderedPageBreak/>
        <w:t>presented as a plot of change in CRT in the x-axis against change in BCVA in the y-axis and corresponding statistical analysis of correlation</w:t>
      </w:r>
    </w:p>
    <w:p w:rsidR="00444AA3" w:rsidRPr="00700887" w:rsidRDefault="00444AA3" w:rsidP="00B500BE">
      <w:pPr>
        <w:numPr>
          <w:ilvl w:val="0"/>
          <w:numId w:val="7"/>
        </w:numPr>
        <w:tabs>
          <w:tab w:val="clear" w:pos="1080"/>
          <w:tab w:val="num" w:pos="360"/>
          <w:tab w:val="left" w:pos="810"/>
          <w:tab w:val="left" w:pos="1170"/>
        </w:tabs>
        <w:spacing w:before="100" w:beforeAutospacing="1"/>
        <w:ind w:left="360"/>
        <w:rPr>
          <w:szCs w:val="24"/>
        </w:rPr>
      </w:pPr>
      <w:r w:rsidRPr="00700887">
        <w:rPr>
          <w:szCs w:val="24"/>
        </w:rPr>
        <w:t xml:space="preserve">evidence to assess </w:t>
      </w:r>
      <w:r w:rsidRPr="00700887">
        <w:rPr>
          <w:szCs w:val="24"/>
          <w:lang w:val="en-US" w:eastAsia="en-US"/>
        </w:rPr>
        <w:t>the</w:t>
      </w:r>
      <w:r w:rsidRPr="00700887">
        <w:rPr>
          <w:szCs w:val="24"/>
        </w:rPr>
        <w:t xml:space="preserve"> co-efficient of variation of CRT results within untreated patients, e.g., using individual patient data from the sham arms o</w:t>
      </w:r>
      <w:r w:rsidR="00B24BEE" w:rsidRPr="00700887">
        <w:rPr>
          <w:szCs w:val="24"/>
        </w:rPr>
        <w:t>f COPERNICUS and/or GALILEO</w:t>
      </w:r>
    </w:p>
    <w:p w:rsidR="00444AA3" w:rsidRPr="00700887" w:rsidRDefault="00444AA3" w:rsidP="00B500BE">
      <w:pPr>
        <w:numPr>
          <w:ilvl w:val="0"/>
          <w:numId w:val="7"/>
        </w:numPr>
        <w:tabs>
          <w:tab w:val="clear" w:pos="1080"/>
          <w:tab w:val="num" w:pos="360"/>
          <w:tab w:val="left" w:pos="810"/>
          <w:tab w:val="left" w:pos="1170"/>
        </w:tabs>
        <w:spacing w:before="100" w:beforeAutospacing="1"/>
        <w:ind w:left="360"/>
        <w:rPr>
          <w:szCs w:val="24"/>
        </w:rPr>
      </w:pPr>
      <w:r w:rsidRPr="00700887">
        <w:rPr>
          <w:szCs w:val="24"/>
        </w:rPr>
        <w:t xml:space="preserve">evidence to assess the </w:t>
      </w:r>
      <w:r w:rsidRPr="00700887">
        <w:rPr>
          <w:szCs w:val="24"/>
          <w:lang w:val="en-US" w:eastAsia="en-US"/>
        </w:rPr>
        <w:t>change</w:t>
      </w:r>
      <w:r w:rsidRPr="00700887">
        <w:rPr>
          <w:szCs w:val="24"/>
        </w:rPr>
        <w:t xml:space="preserve"> in CRT (both short- and long-term) with aflibercept and its variance, e.g., using individual patient data from the aflibercept arm</w:t>
      </w:r>
      <w:r w:rsidR="00B24BEE" w:rsidRPr="00700887">
        <w:rPr>
          <w:szCs w:val="24"/>
        </w:rPr>
        <w:t>s of COPERNICUS and/or GALILEO.</w:t>
      </w:r>
    </w:p>
    <w:p w:rsidR="00444AA3" w:rsidRPr="00700887" w:rsidRDefault="00444AA3" w:rsidP="00401EFC">
      <w:pPr>
        <w:rPr>
          <w:szCs w:val="24"/>
        </w:rPr>
      </w:pPr>
    </w:p>
    <w:p w:rsidR="00444AA3" w:rsidRPr="00700887" w:rsidRDefault="00444AA3" w:rsidP="00401EFC">
      <w:pPr>
        <w:rPr>
          <w:szCs w:val="24"/>
        </w:rPr>
      </w:pPr>
      <w:r w:rsidRPr="00700887">
        <w:rPr>
          <w:szCs w:val="24"/>
        </w:rPr>
        <w:t>MSAC referred to the two articles by Bell et al</w:t>
      </w:r>
      <w:r w:rsidR="004E343C" w:rsidRPr="00700887">
        <w:rPr>
          <w:rStyle w:val="FootnoteReference"/>
          <w:szCs w:val="24"/>
        </w:rPr>
        <w:footnoteReference w:id="2"/>
      </w:r>
      <w:r w:rsidRPr="00700887">
        <w:rPr>
          <w:position w:val="8"/>
          <w:szCs w:val="24"/>
          <w:vertAlign w:val="superscript"/>
        </w:rPr>
        <w:t xml:space="preserve"> </w:t>
      </w:r>
      <w:r w:rsidRPr="00700887">
        <w:rPr>
          <w:szCs w:val="24"/>
        </w:rPr>
        <w:t>cited in the DAP for further guidance on appropr</w:t>
      </w:r>
      <w:r w:rsidR="00B24BEE" w:rsidRPr="00700887">
        <w:rPr>
          <w:szCs w:val="24"/>
        </w:rPr>
        <w:t>iate methods of these analyses.</w:t>
      </w:r>
    </w:p>
    <w:p w:rsidR="004E343C" w:rsidRPr="00700887" w:rsidRDefault="004E343C" w:rsidP="00401EFC">
      <w:pPr>
        <w:rPr>
          <w:szCs w:val="24"/>
        </w:rPr>
      </w:pPr>
    </w:p>
    <w:p w:rsidR="00444AA3" w:rsidRPr="00700887" w:rsidRDefault="00444AA3" w:rsidP="00A44E52">
      <w:pPr>
        <w:rPr>
          <w:szCs w:val="24"/>
        </w:rPr>
      </w:pPr>
      <w:r w:rsidRPr="00700887">
        <w:rPr>
          <w:szCs w:val="24"/>
        </w:rPr>
        <w:t>In keeping with its April 2013 advice, MSAC considered that assessment of both these roles of OCT should be enhanced by having each analysis replicated for ranibizumab in CRVO (with reference to the CRUISE randomised trial of ranibizumab) and for ranibizumab in branch retinal vein occlusion (with reference to the BRAVO randomised trial of ranibizumab).</w:t>
      </w:r>
    </w:p>
    <w:p w:rsidR="00A44E52" w:rsidRPr="00700887" w:rsidRDefault="00A44E52" w:rsidP="00A44E52">
      <w:pPr>
        <w:rPr>
          <w:szCs w:val="24"/>
        </w:rPr>
      </w:pPr>
    </w:p>
    <w:p w:rsidR="009247C8" w:rsidRPr="00700887" w:rsidRDefault="00937076" w:rsidP="006D2CF5">
      <w:pPr>
        <w:pStyle w:val="Heading1"/>
        <w:numPr>
          <w:ilvl w:val="0"/>
          <w:numId w:val="17"/>
        </w:numPr>
        <w:spacing w:before="0"/>
        <w:ind w:left="567" w:hanging="567"/>
      </w:pPr>
      <w:r w:rsidRPr="00700887">
        <w:t>MSAC’s advice to the Minister</w:t>
      </w:r>
    </w:p>
    <w:p w:rsidR="002A740D" w:rsidRPr="00700887" w:rsidRDefault="002A740D" w:rsidP="00A44E52">
      <w:r w:rsidRPr="00700887">
        <w:rPr>
          <w:szCs w:val="24"/>
        </w:rPr>
        <w:t xml:space="preserve">After considering the strength of the available evidence in relation to the safety, clinical effectiveness and cost-effectiveness of optical coherence tomography (OCT) for assessment of central retinal thickness in the presence of macular oedema secondary to central retinal vein occlusion for access to aflibercept, MSAC advises that it does not currently support public funding because of insufficiently presented evidence in relation to its roles in assessing </w:t>
      </w:r>
      <w:r w:rsidRPr="00700887">
        <w:t>oedema before using treatment and also in monitoring treatment and thus in relation to its cost-effectiveness.</w:t>
      </w:r>
    </w:p>
    <w:p w:rsidR="002A740D" w:rsidRPr="00700887" w:rsidRDefault="002A740D" w:rsidP="002A740D"/>
    <w:p w:rsidR="002A740D" w:rsidRPr="00700887" w:rsidRDefault="002A740D" w:rsidP="002A740D">
      <w:r w:rsidRPr="00700887">
        <w:t>MSAC advised that existing data, appropriately analysed, would usefully inform a re-consideration.</w:t>
      </w:r>
    </w:p>
    <w:p w:rsidR="002A740D" w:rsidRPr="00700887" w:rsidRDefault="002A740D" w:rsidP="002A740D"/>
    <w:p w:rsidR="002A740D" w:rsidRDefault="002A740D" w:rsidP="00A44E52">
      <w:r w:rsidRPr="00700887">
        <w:t>MSAC proposed that it would convene a stakeholder meeting in conjunction with PBAC to progress OCT-related applications, including by determining what data would help inform MSAC and PBAC. The stakeholder meeting should include ophthalmologists, consumers, OCT providers and the pharmaceutical companies who are lodging and planning applications for medicines to treat ocular diseases and which involve the use of OCT.</w:t>
      </w:r>
    </w:p>
    <w:p w:rsidR="00A44E52" w:rsidRDefault="00A44E52" w:rsidP="00A44E52"/>
    <w:p w:rsidR="00BB418D" w:rsidRDefault="00BB418D" w:rsidP="006D2CF5">
      <w:pPr>
        <w:pStyle w:val="Heading1"/>
        <w:numPr>
          <w:ilvl w:val="0"/>
          <w:numId w:val="17"/>
        </w:numPr>
        <w:spacing w:before="0"/>
        <w:ind w:left="567" w:hanging="567"/>
      </w:pPr>
      <w:r w:rsidRPr="006A19C5">
        <w:t xml:space="preserve">Applicant’s </w:t>
      </w:r>
      <w:r w:rsidRPr="006D2CF5">
        <w:rPr>
          <w:rFonts w:cs="Arial"/>
          <w:szCs w:val="24"/>
        </w:rPr>
        <w:t>comments</w:t>
      </w:r>
      <w:r w:rsidRPr="006A19C5">
        <w:t xml:space="preserve"> on MSAC’s Public Summary Document</w:t>
      </w:r>
    </w:p>
    <w:p w:rsidR="00A8632A" w:rsidRPr="00700887" w:rsidRDefault="00700887" w:rsidP="00924313">
      <w:pPr>
        <w:tabs>
          <w:tab w:val="left" w:pos="720"/>
        </w:tabs>
        <w:rPr>
          <w:szCs w:val="24"/>
        </w:rPr>
      </w:pPr>
      <w:r w:rsidRPr="00700887">
        <w:rPr>
          <w:szCs w:val="24"/>
        </w:rPr>
        <w:t>No comment.</w:t>
      </w:r>
    </w:p>
    <w:p w:rsidR="00A44E52" w:rsidRPr="00700887" w:rsidRDefault="00A44E52" w:rsidP="00B24BEE">
      <w:pPr>
        <w:tabs>
          <w:tab w:val="left" w:pos="720"/>
        </w:tabs>
        <w:rPr>
          <w:szCs w:val="24"/>
          <w:highlight w:val="yellow"/>
        </w:rPr>
      </w:pPr>
    </w:p>
    <w:p w:rsidR="004C0814" w:rsidRDefault="004C0814" w:rsidP="006D2CF5">
      <w:pPr>
        <w:pStyle w:val="Heading1"/>
        <w:numPr>
          <w:ilvl w:val="0"/>
          <w:numId w:val="17"/>
        </w:numPr>
        <w:spacing w:before="0"/>
        <w:ind w:left="567" w:hanging="567"/>
      </w:pPr>
      <w:r w:rsidRPr="006A19C5">
        <w:t xml:space="preserve">Context for </w:t>
      </w:r>
      <w:r w:rsidR="00B40A4B" w:rsidRPr="006D2CF5">
        <w:rPr>
          <w:rFonts w:cs="Arial"/>
          <w:szCs w:val="24"/>
        </w:rPr>
        <w:t>d</w:t>
      </w:r>
      <w:r w:rsidRPr="006D2CF5">
        <w:rPr>
          <w:rFonts w:cs="Arial"/>
          <w:szCs w:val="24"/>
        </w:rPr>
        <w:t>ecision</w:t>
      </w:r>
    </w:p>
    <w:p w:rsidR="00FA3CC0" w:rsidRPr="00BB418D" w:rsidRDefault="00FA3CC0" w:rsidP="00A44E52">
      <w:pPr>
        <w:tabs>
          <w:tab w:val="left" w:pos="720"/>
        </w:tabs>
        <w:spacing w:line="360" w:lineRule="auto"/>
        <w:rPr>
          <w:szCs w:val="24"/>
        </w:rPr>
      </w:pPr>
      <w:r w:rsidRPr="00BB418D">
        <w:rPr>
          <w:szCs w:val="24"/>
        </w:rPr>
        <w:t>This advice was made under the MSAC Terms of Reference.</w:t>
      </w:r>
    </w:p>
    <w:p w:rsidR="00FA3CC0" w:rsidRPr="00BB418D" w:rsidRDefault="00FA3CC0" w:rsidP="00A44E52">
      <w:pPr>
        <w:rPr>
          <w:szCs w:val="24"/>
          <w:lang w:val="en-US" w:eastAsia="en-US"/>
        </w:rPr>
      </w:pPr>
      <w:r w:rsidRPr="00BB418D">
        <w:rPr>
          <w:szCs w:val="24"/>
          <w:lang w:val="en-US" w:eastAsia="en-US"/>
        </w:rPr>
        <w:t>MSAC is to:</w:t>
      </w:r>
    </w:p>
    <w:p w:rsidR="00924313" w:rsidRDefault="00924313" w:rsidP="00A44E52">
      <w:pPr>
        <w:rPr>
          <w:szCs w:val="24"/>
          <w:lang w:val="en-US" w:eastAsia="en-US"/>
        </w:rPr>
      </w:pPr>
    </w:p>
    <w:p w:rsidR="00FA3CC0" w:rsidRPr="00BB418D" w:rsidRDefault="00FA3CC0" w:rsidP="00A44E52">
      <w:pPr>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00B24BEE">
        <w:rPr>
          <w:szCs w:val="24"/>
          <w:lang w:val="en-US" w:eastAsia="en-US"/>
        </w:rPr>
        <w:t>, in relation to:</w:t>
      </w:r>
    </w:p>
    <w:p w:rsidR="00FA3CC0" w:rsidRPr="00BB418D" w:rsidRDefault="00FA3CC0" w:rsidP="009E7AF1">
      <w:pPr>
        <w:numPr>
          <w:ilvl w:val="0"/>
          <w:numId w:val="7"/>
        </w:numPr>
        <w:tabs>
          <w:tab w:val="clear" w:pos="1080"/>
          <w:tab w:val="num" w:pos="360"/>
          <w:tab w:val="left" w:pos="810"/>
          <w:tab w:val="left" w:pos="1170"/>
        </w:tabs>
        <w:ind w:left="360"/>
        <w:rPr>
          <w:szCs w:val="24"/>
          <w:lang w:val="en-US" w:eastAsia="en-US"/>
        </w:rPr>
      </w:pPr>
      <w:r w:rsidRPr="00BB418D">
        <w:rPr>
          <w:szCs w:val="24"/>
          <w:lang w:val="en-US" w:eastAsia="en-US"/>
        </w:rPr>
        <w:lastRenderedPageBreak/>
        <w:t>the strength of evidence in relation to the comparative safety, effectiveness, cost-effectiveness and tot</w:t>
      </w:r>
      <w:r w:rsidR="00B24BEE">
        <w:rPr>
          <w:szCs w:val="24"/>
          <w:lang w:val="en-US" w:eastAsia="en-US"/>
        </w:rPr>
        <w:t>al cost of the medical service;</w:t>
      </w:r>
    </w:p>
    <w:p w:rsidR="00FA3CC0" w:rsidRPr="00BB418D" w:rsidRDefault="00FA3CC0" w:rsidP="009E7AF1">
      <w:pPr>
        <w:numPr>
          <w:ilvl w:val="0"/>
          <w:numId w:val="7"/>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whether public funding should be supported for the medical service and, if so, the circumstances under which publ</w:t>
      </w:r>
      <w:r w:rsidR="00B24BEE">
        <w:rPr>
          <w:szCs w:val="24"/>
          <w:lang w:val="en-US" w:eastAsia="en-US"/>
        </w:rPr>
        <w:t>ic funding should be supported;</w:t>
      </w:r>
    </w:p>
    <w:p w:rsidR="00FA3CC0" w:rsidRPr="00BB418D" w:rsidRDefault="00FA3CC0" w:rsidP="009E7AF1">
      <w:pPr>
        <w:numPr>
          <w:ilvl w:val="0"/>
          <w:numId w:val="7"/>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proposed Medicare Benefits Schedule (MBS) item descriptor and fee for the service where fundin</w:t>
      </w:r>
      <w:r w:rsidR="00B24BEE">
        <w:rPr>
          <w:szCs w:val="24"/>
          <w:lang w:val="en-US" w:eastAsia="en-US"/>
        </w:rPr>
        <w:t>g through the MBS is supported;</w:t>
      </w:r>
    </w:p>
    <w:p w:rsidR="00FA3CC0" w:rsidRPr="00BB418D" w:rsidRDefault="00FA3CC0" w:rsidP="009E7AF1">
      <w:pPr>
        <w:numPr>
          <w:ilvl w:val="0"/>
          <w:numId w:val="7"/>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9E7AF1">
      <w:pPr>
        <w:numPr>
          <w:ilvl w:val="0"/>
          <w:numId w:val="7"/>
        </w:numPr>
        <w:tabs>
          <w:tab w:val="clear" w:pos="1080"/>
          <w:tab w:val="num" w:pos="360"/>
          <w:tab w:val="left" w:pos="810"/>
          <w:tab w:val="left" w:pos="1170"/>
        </w:tabs>
        <w:spacing w:before="100" w:beforeAutospacing="1" w:after="100" w:afterAutospacing="1"/>
        <w:ind w:left="360"/>
        <w:rPr>
          <w:szCs w:val="24"/>
          <w:lang w:val="en-US" w:eastAsia="en-US"/>
        </w:rPr>
      </w:pPr>
      <w:r w:rsidRPr="00BB418D">
        <w:rPr>
          <w:szCs w:val="24"/>
          <w:lang w:val="en-US" w:eastAsia="en-US"/>
        </w:rPr>
        <w:t>other matters related to the public funding of health services referred by the Minister.</w:t>
      </w:r>
    </w:p>
    <w:p w:rsidR="00FA3CC0" w:rsidRPr="00BB418D" w:rsidRDefault="00FA3CC0" w:rsidP="00396FC8">
      <w:pPr>
        <w:rPr>
          <w:szCs w:val="24"/>
          <w:lang w:val="en-US" w:eastAsia="en-US"/>
        </w:rPr>
      </w:pPr>
      <w:r w:rsidRPr="00BB418D">
        <w:rPr>
          <w:szCs w:val="24"/>
          <w:lang w:val="en-US" w:eastAsia="en-US"/>
        </w:rPr>
        <w:t>Advise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w:t>
      </w:r>
      <w:r w:rsidR="00B24BEE">
        <w:rPr>
          <w:szCs w:val="24"/>
          <w:lang w:val="en-US" w:eastAsia="en-US"/>
        </w:rPr>
        <w:t>erred under AHMAC arrangements.</w:t>
      </w:r>
    </w:p>
    <w:p w:rsidR="00924313" w:rsidRDefault="00924313" w:rsidP="00A44E52">
      <w:pPr>
        <w:rPr>
          <w:szCs w:val="24"/>
          <w:lang w:val="en-US" w:eastAsia="en-US"/>
        </w:rPr>
      </w:pPr>
    </w:p>
    <w:p w:rsidR="00FA3CC0" w:rsidRDefault="00FA3CC0" w:rsidP="00A44E52">
      <w:pPr>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A44E52" w:rsidRPr="00BB418D" w:rsidRDefault="00A44E52" w:rsidP="00A44E52">
      <w:pPr>
        <w:rPr>
          <w:szCs w:val="24"/>
          <w:lang w:val="en-US" w:eastAsia="en-US"/>
        </w:rPr>
      </w:pPr>
    </w:p>
    <w:p w:rsidR="00AF0F0E" w:rsidRDefault="004C0814" w:rsidP="006D2CF5">
      <w:pPr>
        <w:pStyle w:val="Heading1"/>
        <w:numPr>
          <w:ilvl w:val="0"/>
          <w:numId w:val="17"/>
        </w:numPr>
        <w:spacing w:before="0"/>
        <w:ind w:left="567" w:hanging="567"/>
      </w:pPr>
      <w:r w:rsidRPr="006D2CF5">
        <w:rPr>
          <w:rFonts w:cs="Arial"/>
          <w:szCs w:val="24"/>
        </w:rPr>
        <w:t>Linkages</w:t>
      </w:r>
      <w:r w:rsidRPr="006A19C5">
        <w:t xml:space="preserve"> to </w:t>
      </w:r>
      <w:r w:rsidR="00B40A4B" w:rsidRPr="006A19C5">
        <w:t>o</w:t>
      </w:r>
      <w:r w:rsidRPr="006A19C5">
        <w:t xml:space="preserve">ther </w:t>
      </w:r>
      <w:r w:rsidR="00B40A4B" w:rsidRPr="006A19C5">
        <w:t>d</w:t>
      </w:r>
      <w:r w:rsidRPr="006A19C5">
        <w:t>ocuments</w:t>
      </w:r>
    </w:p>
    <w:p w:rsidR="00647464" w:rsidRPr="00CF7D6A" w:rsidRDefault="004C0814" w:rsidP="00B24BEE">
      <w:pPr>
        <w:tabs>
          <w:tab w:val="left" w:pos="720"/>
        </w:tabs>
        <w:ind w:left="706" w:hanging="706"/>
        <w:rPr>
          <w:szCs w:val="24"/>
        </w:rPr>
      </w:pPr>
      <w:r w:rsidRPr="00BB418D">
        <w:rPr>
          <w:szCs w:val="24"/>
        </w:rPr>
        <w:t xml:space="preserve">MSAC’s processes are detailed on the MSAC Website at: </w:t>
      </w:r>
      <w:hyperlink r:id="rId10" w:tooltip="Medical services advisory committee website" w:history="1">
        <w:r w:rsidRPr="00BB418D">
          <w:rPr>
            <w:rStyle w:val="Hyperlink"/>
            <w:szCs w:val="24"/>
          </w:rPr>
          <w:t>www.msac.gov.au</w:t>
        </w:r>
      </w:hyperlink>
      <w:r w:rsidRPr="00BB418D">
        <w:rPr>
          <w:szCs w:val="24"/>
        </w:rPr>
        <w:t>.</w:t>
      </w:r>
    </w:p>
    <w:sectPr w:rsidR="00647464" w:rsidRPr="00CF7D6A"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38" w:rsidRDefault="00BD2838">
      <w:r>
        <w:separator/>
      </w:r>
    </w:p>
  </w:endnote>
  <w:endnote w:type="continuationSeparator" w:id="0">
    <w:p w:rsidR="00BD2838" w:rsidRDefault="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BE" w:rsidRDefault="004C4ABE"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ABE" w:rsidRDefault="004C4ABE"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BE" w:rsidRPr="00712AB3" w:rsidRDefault="004C4ABE"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09175D">
      <w:rPr>
        <w:rFonts w:ascii="Arial Narrow" w:hAnsi="Arial Narrow"/>
        <w:noProof/>
      </w:rPr>
      <w:t>3</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09175D">
      <w:rPr>
        <w:rFonts w:ascii="Arial Narrow" w:hAnsi="Arial Narrow"/>
        <w:noProof/>
      </w:rPr>
      <w:t>12</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38" w:rsidRDefault="00BD2838">
      <w:r>
        <w:separator/>
      </w:r>
    </w:p>
  </w:footnote>
  <w:footnote w:type="continuationSeparator" w:id="0">
    <w:p w:rsidR="00BD2838" w:rsidRDefault="00BD2838">
      <w:r>
        <w:continuationSeparator/>
      </w:r>
    </w:p>
  </w:footnote>
  <w:footnote w:id="1">
    <w:p w:rsidR="004C4ABE" w:rsidRDefault="004C4ABE">
      <w:pPr>
        <w:pStyle w:val="FootnoteText"/>
      </w:pPr>
      <w:r>
        <w:rPr>
          <w:rStyle w:val="FootnoteReference"/>
        </w:rPr>
        <w:footnoteRef/>
      </w:r>
      <w:r>
        <w:t xml:space="preserve"> Brown D.M., Heier J.S., et al. Intravitreal Aflibercept Injection for Macular Edema Secondary to Central Retinal Vein Occlusion: 1-Year Results From the Phase 3 COPERNICUS Study. American Journal of Ophthalmology, 2013 Article in Press.</w:t>
      </w:r>
    </w:p>
  </w:footnote>
  <w:footnote w:id="2">
    <w:p w:rsidR="004C4ABE" w:rsidRPr="004E343C" w:rsidRDefault="004C4ABE" w:rsidP="004E343C">
      <w:pPr>
        <w:pStyle w:val="Default"/>
        <w:rPr>
          <w:rFonts w:ascii="Times New Roman" w:hAnsi="Times New Roman" w:cs="Times New Roman"/>
          <w:sz w:val="20"/>
          <w:szCs w:val="20"/>
        </w:rPr>
      </w:pPr>
      <w:r>
        <w:rPr>
          <w:rStyle w:val="FootnoteReference"/>
        </w:rPr>
        <w:footnoteRef/>
      </w:r>
      <w:r>
        <w:t xml:space="preserve"> </w:t>
      </w:r>
      <w:r w:rsidRPr="004E343C">
        <w:rPr>
          <w:rFonts w:ascii="Times New Roman" w:hAnsi="Times New Roman" w:cs="Times New Roman"/>
          <w:sz w:val="20"/>
          <w:szCs w:val="20"/>
        </w:rPr>
        <w:t xml:space="preserve">Bell, K. J., Hayen, A. et al (2009). 'Value of routine monitoring of bone mineral density after starting </w:t>
      </w:r>
    </w:p>
    <w:p w:rsidR="004C4ABE" w:rsidRPr="004E343C" w:rsidRDefault="004C4ABE" w:rsidP="004E343C">
      <w:pPr>
        <w:autoSpaceDE w:val="0"/>
        <w:autoSpaceDN w:val="0"/>
        <w:adjustRightInd w:val="0"/>
        <w:rPr>
          <w:color w:val="000000"/>
          <w:sz w:val="20"/>
        </w:rPr>
      </w:pPr>
      <w:r w:rsidRPr="004E343C">
        <w:rPr>
          <w:color w:val="000000"/>
          <w:sz w:val="20"/>
        </w:rPr>
        <w:t>bisphosphonate treatment: secondary analysis o</w:t>
      </w:r>
      <w:r>
        <w:rPr>
          <w:color w:val="000000"/>
          <w:sz w:val="20"/>
        </w:rPr>
        <w:t>f trial data', BMJ, 338, b2266.</w:t>
      </w:r>
    </w:p>
    <w:p w:rsidR="004C4ABE" w:rsidRPr="004E343C" w:rsidRDefault="004C4ABE" w:rsidP="004E343C">
      <w:pPr>
        <w:autoSpaceDE w:val="0"/>
        <w:autoSpaceDN w:val="0"/>
        <w:adjustRightInd w:val="0"/>
        <w:rPr>
          <w:color w:val="000000"/>
          <w:sz w:val="20"/>
        </w:rPr>
      </w:pPr>
      <w:r w:rsidRPr="004E343C">
        <w:rPr>
          <w:color w:val="000000"/>
          <w:sz w:val="20"/>
        </w:rPr>
        <w:t xml:space="preserve">Bell, K. J., Irwig, L. et al (2010). 'Should response rules be used to decide continued subsidy of very </w:t>
      </w:r>
    </w:p>
    <w:p w:rsidR="004C4ABE" w:rsidRDefault="004C4ABE" w:rsidP="004E343C">
      <w:pPr>
        <w:pStyle w:val="FootnoteText"/>
      </w:pPr>
      <w:r w:rsidRPr="004E343C">
        <w:rPr>
          <w:color w:val="000000"/>
        </w:rPr>
        <w:t>expensive drugs? A checklist for decision makers', Pharmacoepidemiol Drug Saf, 19 (1), 99-105.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6E3"/>
    <w:multiLevelType w:val="hybridMultilevel"/>
    <w:tmpl w:val="0D6406C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713433"/>
    <w:multiLevelType w:val="hybridMultilevel"/>
    <w:tmpl w:val="6DD87A26"/>
    <w:lvl w:ilvl="0" w:tplc="F5B2703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C60EF"/>
    <w:multiLevelType w:val="hybridMultilevel"/>
    <w:tmpl w:val="B3FE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46604F"/>
    <w:multiLevelType w:val="hybridMultilevel"/>
    <w:tmpl w:val="B41A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79565E"/>
    <w:multiLevelType w:val="singleLevel"/>
    <w:tmpl w:val="04090001"/>
    <w:lvl w:ilvl="0">
      <w:start w:val="1"/>
      <w:numFmt w:val="bullet"/>
      <w:lvlText w:val=""/>
      <w:lvlJc w:val="left"/>
      <w:pPr>
        <w:ind w:left="720" w:hanging="360"/>
      </w:pPr>
      <w:rPr>
        <w:rFonts w:ascii="Symbol" w:hAnsi="Symbol" w:hint="default"/>
      </w:rPr>
    </w:lvl>
  </w:abstractNum>
  <w:abstractNum w:abstractNumId="5">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093C6F"/>
    <w:multiLevelType w:val="hybridMultilevel"/>
    <w:tmpl w:val="4A308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E7B3C20"/>
    <w:multiLevelType w:val="hybridMultilevel"/>
    <w:tmpl w:val="99C47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5B4183"/>
    <w:multiLevelType w:val="hybridMultilevel"/>
    <w:tmpl w:val="125EE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22B56"/>
    <w:multiLevelType w:val="hybridMultilevel"/>
    <w:tmpl w:val="FDA2F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DB1C0E"/>
    <w:multiLevelType w:val="hybridMultilevel"/>
    <w:tmpl w:val="18DC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E3536D"/>
    <w:multiLevelType w:val="hybridMultilevel"/>
    <w:tmpl w:val="C8E201E2"/>
    <w:lvl w:ilvl="0" w:tplc="BDB6678A">
      <w:start w:val="1"/>
      <w:numFmt w:val="decimal"/>
      <w:lvlText w:val="%1."/>
      <w:lvlJc w:val="left"/>
      <w:pPr>
        <w:ind w:left="915" w:hanging="55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7B34F4F"/>
    <w:multiLevelType w:val="hybridMultilevel"/>
    <w:tmpl w:val="75282072"/>
    <w:lvl w:ilvl="0" w:tplc="0C090001">
      <w:start w:val="1"/>
      <w:numFmt w:val="bullet"/>
      <w:lvlText w:val=""/>
      <w:lvlJc w:val="left"/>
      <w:pPr>
        <w:ind w:left="915" w:hanging="555"/>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A10173"/>
    <w:multiLevelType w:val="hybridMultilevel"/>
    <w:tmpl w:val="6936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377BC8"/>
    <w:multiLevelType w:val="hybridMultilevel"/>
    <w:tmpl w:val="7198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4D59FE"/>
    <w:multiLevelType w:val="hybridMultilevel"/>
    <w:tmpl w:val="05560782"/>
    <w:lvl w:ilvl="0" w:tplc="A42846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4560A8"/>
    <w:multiLevelType w:val="hybridMultilevel"/>
    <w:tmpl w:val="B24CB9A6"/>
    <w:lvl w:ilvl="0" w:tplc="B88C5F92">
      <w:start w:val="13"/>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6FE63EF"/>
    <w:multiLevelType w:val="hybridMultilevel"/>
    <w:tmpl w:val="1FB6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BB4F5D"/>
    <w:multiLevelType w:val="hybridMultilevel"/>
    <w:tmpl w:val="A044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1115A6"/>
    <w:multiLevelType w:val="hybridMultilevel"/>
    <w:tmpl w:val="2E96820E"/>
    <w:lvl w:ilvl="0" w:tplc="0C090003">
      <w:start w:val="1"/>
      <w:numFmt w:val="bullet"/>
      <w:lvlText w:val="o"/>
      <w:lvlJc w:val="left"/>
      <w:pPr>
        <w:ind w:left="1282" w:hanging="360"/>
      </w:pPr>
      <w:rPr>
        <w:rFonts w:ascii="Courier New" w:hAnsi="Courier New" w:cs="Courier New" w:hint="default"/>
      </w:rPr>
    </w:lvl>
    <w:lvl w:ilvl="1" w:tplc="0C090003" w:tentative="1">
      <w:start w:val="1"/>
      <w:numFmt w:val="bullet"/>
      <w:lvlText w:val="o"/>
      <w:lvlJc w:val="left"/>
      <w:pPr>
        <w:ind w:left="2002" w:hanging="360"/>
      </w:pPr>
      <w:rPr>
        <w:rFonts w:ascii="Courier New" w:hAnsi="Courier New" w:cs="Courier New" w:hint="default"/>
      </w:rPr>
    </w:lvl>
    <w:lvl w:ilvl="2" w:tplc="0C090005" w:tentative="1">
      <w:start w:val="1"/>
      <w:numFmt w:val="bullet"/>
      <w:lvlText w:val=""/>
      <w:lvlJc w:val="left"/>
      <w:pPr>
        <w:ind w:left="2722" w:hanging="360"/>
      </w:pPr>
      <w:rPr>
        <w:rFonts w:ascii="Wingdings" w:hAnsi="Wingdings" w:hint="default"/>
      </w:rPr>
    </w:lvl>
    <w:lvl w:ilvl="3" w:tplc="0C090001" w:tentative="1">
      <w:start w:val="1"/>
      <w:numFmt w:val="bullet"/>
      <w:lvlText w:val=""/>
      <w:lvlJc w:val="left"/>
      <w:pPr>
        <w:ind w:left="3442" w:hanging="360"/>
      </w:pPr>
      <w:rPr>
        <w:rFonts w:ascii="Symbol" w:hAnsi="Symbol" w:hint="default"/>
      </w:rPr>
    </w:lvl>
    <w:lvl w:ilvl="4" w:tplc="0C090003" w:tentative="1">
      <w:start w:val="1"/>
      <w:numFmt w:val="bullet"/>
      <w:lvlText w:val="o"/>
      <w:lvlJc w:val="left"/>
      <w:pPr>
        <w:ind w:left="4162" w:hanging="360"/>
      </w:pPr>
      <w:rPr>
        <w:rFonts w:ascii="Courier New" w:hAnsi="Courier New" w:cs="Courier New" w:hint="default"/>
      </w:rPr>
    </w:lvl>
    <w:lvl w:ilvl="5" w:tplc="0C090005" w:tentative="1">
      <w:start w:val="1"/>
      <w:numFmt w:val="bullet"/>
      <w:lvlText w:val=""/>
      <w:lvlJc w:val="left"/>
      <w:pPr>
        <w:ind w:left="4882" w:hanging="360"/>
      </w:pPr>
      <w:rPr>
        <w:rFonts w:ascii="Wingdings" w:hAnsi="Wingdings" w:hint="default"/>
      </w:rPr>
    </w:lvl>
    <w:lvl w:ilvl="6" w:tplc="0C090001" w:tentative="1">
      <w:start w:val="1"/>
      <w:numFmt w:val="bullet"/>
      <w:lvlText w:val=""/>
      <w:lvlJc w:val="left"/>
      <w:pPr>
        <w:ind w:left="5602" w:hanging="360"/>
      </w:pPr>
      <w:rPr>
        <w:rFonts w:ascii="Symbol" w:hAnsi="Symbol" w:hint="default"/>
      </w:rPr>
    </w:lvl>
    <w:lvl w:ilvl="7" w:tplc="0C090003" w:tentative="1">
      <w:start w:val="1"/>
      <w:numFmt w:val="bullet"/>
      <w:lvlText w:val="o"/>
      <w:lvlJc w:val="left"/>
      <w:pPr>
        <w:ind w:left="6322" w:hanging="360"/>
      </w:pPr>
      <w:rPr>
        <w:rFonts w:ascii="Courier New" w:hAnsi="Courier New" w:cs="Courier New" w:hint="default"/>
      </w:rPr>
    </w:lvl>
    <w:lvl w:ilvl="8" w:tplc="0C090005" w:tentative="1">
      <w:start w:val="1"/>
      <w:numFmt w:val="bullet"/>
      <w:lvlText w:val=""/>
      <w:lvlJc w:val="left"/>
      <w:pPr>
        <w:ind w:left="7042" w:hanging="360"/>
      </w:pPr>
      <w:rPr>
        <w:rFonts w:ascii="Wingdings" w:hAnsi="Wingdings" w:hint="default"/>
      </w:r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7B472F"/>
    <w:multiLevelType w:val="hybridMultilevel"/>
    <w:tmpl w:val="343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21EA3"/>
    <w:multiLevelType w:val="hybridMultilevel"/>
    <w:tmpl w:val="F1DA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B362D"/>
    <w:multiLevelType w:val="hybridMultilevel"/>
    <w:tmpl w:val="04D4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FE4C00"/>
    <w:multiLevelType w:val="hybridMultilevel"/>
    <w:tmpl w:val="A61A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EA1530"/>
    <w:multiLevelType w:val="hybridMultilevel"/>
    <w:tmpl w:val="A758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25"/>
  </w:num>
  <w:num w:numId="5">
    <w:abstractNumId w:val="5"/>
  </w:num>
  <w:num w:numId="6">
    <w:abstractNumId w:val="22"/>
  </w:num>
  <w:num w:numId="7">
    <w:abstractNumId w:val="32"/>
  </w:num>
  <w:num w:numId="8">
    <w:abstractNumId w:val="27"/>
  </w:num>
  <w:num w:numId="9">
    <w:abstractNumId w:val="29"/>
  </w:num>
  <w:num w:numId="10">
    <w:abstractNumId w:val="6"/>
  </w:num>
  <w:num w:numId="11">
    <w:abstractNumId w:val="8"/>
  </w:num>
  <w:num w:numId="12">
    <w:abstractNumId w:val="34"/>
  </w:num>
  <w:num w:numId="13">
    <w:abstractNumId w:val="4"/>
  </w:num>
  <w:num w:numId="14">
    <w:abstractNumId w:val="28"/>
  </w:num>
  <w:num w:numId="15">
    <w:abstractNumId w:val="36"/>
  </w:num>
  <w:num w:numId="16">
    <w:abstractNumId w:val="21"/>
  </w:num>
  <w:num w:numId="17">
    <w:abstractNumId w:val="14"/>
  </w:num>
  <w:num w:numId="18">
    <w:abstractNumId w:val="9"/>
  </w:num>
  <w:num w:numId="19">
    <w:abstractNumId w:val="16"/>
  </w:num>
  <w:num w:numId="20">
    <w:abstractNumId w:val="18"/>
  </w:num>
  <w:num w:numId="21">
    <w:abstractNumId w:val="0"/>
  </w:num>
  <w:num w:numId="22">
    <w:abstractNumId w:val="19"/>
  </w:num>
  <w:num w:numId="23">
    <w:abstractNumId w:val="15"/>
  </w:num>
  <w:num w:numId="24">
    <w:abstractNumId w:val="37"/>
  </w:num>
  <w:num w:numId="25">
    <w:abstractNumId w:val="17"/>
  </w:num>
  <w:num w:numId="26">
    <w:abstractNumId w:val="26"/>
  </w:num>
  <w:num w:numId="27">
    <w:abstractNumId w:val="33"/>
  </w:num>
  <w:num w:numId="28">
    <w:abstractNumId w:val="2"/>
  </w:num>
  <w:num w:numId="29">
    <w:abstractNumId w:val="38"/>
  </w:num>
  <w:num w:numId="30">
    <w:abstractNumId w:val="13"/>
  </w:num>
  <w:num w:numId="31">
    <w:abstractNumId w:val="35"/>
  </w:num>
  <w:num w:numId="32">
    <w:abstractNumId w:val="10"/>
  </w:num>
  <w:num w:numId="33">
    <w:abstractNumId w:val="24"/>
  </w:num>
  <w:num w:numId="34">
    <w:abstractNumId w:val="31"/>
  </w:num>
  <w:num w:numId="35">
    <w:abstractNumId w:val="30"/>
  </w:num>
  <w:num w:numId="36">
    <w:abstractNumId w:val="23"/>
  </w:num>
  <w:num w:numId="37">
    <w:abstractNumId w:val="3"/>
  </w:num>
  <w:num w:numId="38">
    <w:abstractNumId w:val="11"/>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10995"/>
    <w:rsid w:val="000144B1"/>
    <w:rsid w:val="000173D9"/>
    <w:rsid w:val="00017F63"/>
    <w:rsid w:val="00020108"/>
    <w:rsid w:val="00023416"/>
    <w:rsid w:val="00024D5B"/>
    <w:rsid w:val="000261E5"/>
    <w:rsid w:val="000267B7"/>
    <w:rsid w:val="00026897"/>
    <w:rsid w:val="00030337"/>
    <w:rsid w:val="00034C3A"/>
    <w:rsid w:val="00035317"/>
    <w:rsid w:val="00035D10"/>
    <w:rsid w:val="00036547"/>
    <w:rsid w:val="000408FD"/>
    <w:rsid w:val="000448C3"/>
    <w:rsid w:val="00045F56"/>
    <w:rsid w:val="00052A77"/>
    <w:rsid w:val="000564E9"/>
    <w:rsid w:val="0006068A"/>
    <w:rsid w:val="00060966"/>
    <w:rsid w:val="00062F68"/>
    <w:rsid w:val="00074784"/>
    <w:rsid w:val="0007664B"/>
    <w:rsid w:val="00083F83"/>
    <w:rsid w:val="0009175D"/>
    <w:rsid w:val="00094129"/>
    <w:rsid w:val="0009546B"/>
    <w:rsid w:val="000A6989"/>
    <w:rsid w:val="000B0A67"/>
    <w:rsid w:val="000B1881"/>
    <w:rsid w:val="000B2764"/>
    <w:rsid w:val="000B6AD3"/>
    <w:rsid w:val="000B7222"/>
    <w:rsid w:val="000C7402"/>
    <w:rsid w:val="000D0603"/>
    <w:rsid w:val="000D46F6"/>
    <w:rsid w:val="000E3CB0"/>
    <w:rsid w:val="000E6C30"/>
    <w:rsid w:val="000E780B"/>
    <w:rsid w:val="000F2579"/>
    <w:rsid w:val="000F4F7B"/>
    <w:rsid w:val="000F6455"/>
    <w:rsid w:val="000F7097"/>
    <w:rsid w:val="0010002B"/>
    <w:rsid w:val="0010185E"/>
    <w:rsid w:val="00105349"/>
    <w:rsid w:val="001055A9"/>
    <w:rsid w:val="001078B3"/>
    <w:rsid w:val="0011558F"/>
    <w:rsid w:val="00115817"/>
    <w:rsid w:val="001206C8"/>
    <w:rsid w:val="001213EF"/>
    <w:rsid w:val="00121701"/>
    <w:rsid w:val="0012732A"/>
    <w:rsid w:val="00133D8B"/>
    <w:rsid w:val="00133E99"/>
    <w:rsid w:val="00143F8F"/>
    <w:rsid w:val="00144E49"/>
    <w:rsid w:val="0015006C"/>
    <w:rsid w:val="00151B16"/>
    <w:rsid w:val="001609DA"/>
    <w:rsid w:val="001616F0"/>
    <w:rsid w:val="0016184B"/>
    <w:rsid w:val="001630F5"/>
    <w:rsid w:val="0016524E"/>
    <w:rsid w:val="001654ED"/>
    <w:rsid w:val="00166123"/>
    <w:rsid w:val="001670CD"/>
    <w:rsid w:val="00173E3A"/>
    <w:rsid w:val="0017654F"/>
    <w:rsid w:val="001772F3"/>
    <w:rsid w:val="00181612"/>
    <w:rsid w:val="00181B12"/>
    <w:rsid w:val="0018639D"/>
    <w:rsid w:val="0018656C"/>
    <w:rsid w:val="001867F9"/>
    <w:rsid w:val="00190459"/>
    <w:rsid w:val="001918E6"/>
    <w:rsid w:val="001925B2"/>
    <w:rsid w:val="00197F3D"/>
    <w:rsid w:val="001A1E71"/>
    <w:rsid w:val="001B0E51"/>
    <w:rsid w:val="001B4017"/>
    <w:rsid w:val="001B62D5"/>
    <w:rsid w:val="001C2532"/>
    <w:rsid w:val="001C5E73"/>
    <w:rsid w:val="001D08FA"/>
    <w:rsid w:val="001E2C40"/>
    <w:rsid w:val="001E4710"/>
    <w:rsid w:val="001E67A4"/>
    <w:rsid w:val="001E78F3"/>
    <w:rsid w:val="001F6220"/>
    <w:rsid w:val="00201963"/>
    <w:rsid w:val="002122BE"/>
    <w:rsid w:val="00212759"/>
    <w:rsid w:val="00213C76"/>
    <w:rsid w:val="0021511F"/>
    <w:rsid w:val="00215DE0"/>
    <w:rsid w:val="00220070"/>
    <w:rsid w:val="002303BF"/>
    <w:rsid w:val="0023172D"/>
    <w:rsid w:val="002318CC"/>
    <w:rsid w:val="002328D1"/>
    <w:rsid w:val="00233A4F"/>
    <w:rsid w:val="002347A5"/>
    <w:rsid w:val="00247276"/>
    <w:rsid w:val="00250A3D"/>
    <w:rsid w:val="00260379"/>
    <w:rsid w:val="002621BC"/>
    <w:rsid w:val="00262396"/>
    <w:rsid w:val="0026440E"/>
    <w:rsid w:val="00266C75"/>
    <w:rsid w:val="002701F6"/>
    <w:rsid w:val="00270369"/>
    <w:rsid w:val="002739C3"/>
    <w:rsid w:val="0027532C"/>
    <w:rsid w:val="00281A1D"/>
    <w:rsid w:val="00282BE5"/>
    <w:rsid w:val="002832E3"/>
    <w:rsid w:val="00283661"/>
    <w:rsid w:val="00285AE8"/>
    <w:rsid w:val="0028729B"/>
    <w:rsid w:val="00296A47"/>
    <w:rsid w:val="002A3E02"/>
    <w:rsid w:val="002A42F9"/>
    <w:rsid w:val="002A740D"/>
    <w:rsid w:val="002B0813"/>
    <w:rsid w:val="002B1EF2"/>
    <w:rsid w:val="002B4CE2"/>
    <w:rsid w:val="002B7146"/>
    <w:rsid w:val="002C2562"/>
    <w:rsid w:val="002C4953"/>
    <w:rsid w:val="002C5AC5"/>
    <w:rsid w:val="002D125C"/>
    <w:rsid w:val="002D5FD2"/>
    <w:rsid w:val="002D6503"/>
    <w:rsid w:val="002E79D0"/>
    <w:rsid w:val="002F289C"/>
    <w:rsid w:val="002F3450"/>
    <w:rsid w:val="002F6A56"/>
    <w:rsid w:val="0030582B"/>
    <w:rsid w:val="003062CB"/>
    <w:rsid w:val="003123D8"/>
    <w:rsid w:val="00317D0E"/>
    <w:rsid w:val="0032021B"/>
    <w:rsid w:val="00322DDB"/>
    <w:rsid w:val="00323C78"/>
    <w:rsid w:val="003259BF"/>
    <w:rsid w:val="00325FB2"/>
    <w:rsid w:val="0033148F"/>
    <w:rsid w:val="0033175F"/>
    <w:rsid w:val="00334989"/>
    <w:rsid w:val="0033624E"/>
    <w:rsid w:val="00342634"/>
    <w:rsid w:val="00343C75"/>
    <w:rsid w:val="003470BA"/>
    <w:rsid w:val="003473FD"/>
    <w:rsid w:val="003478EA"/>
    <w:rsid w:val="003539C8"/>
    <w:rsid w:val="003568CA"/>
    <w:rsid w:val="003570F4"/>
    <w:rsid w:val="00357963"/>
    <w:rsid w:val="00360424"/>
    <w:rsid w:val="00361D4E"/>
    <w:rsid w:val="003645C5"/>
    <w:rsid w:val="00375668"/>
    <w:rsid w:val="00384DAB"/>
    <w:rsid w:val="0039128A"/>
    <w:rsid w:val="00391C38"/>
    <w:rsid w:val="00392AD4"/>
    <w:rsid w:val="003944CD"/>
    <w:rsid w:val="00396FC8"/>
    <w:rsid w:val="003A3F0D"/>
    <w:rsid w:val="003A560F"/>
    <w:rsid w:val="003A5CBC"/>
    <w:rsid w:val="003A5D07"/>
    <w:rsid w:val="003B1F82"/>
    <w:rsid w:val="003B208B"/>
    <w:rsid w:val="003B4B04"/>
    <w:rsid w:val="003B4FF5"/>
    <w:rsid w:val="003B6CF4"/>
    <w:rsid w:val="003C2BE1"/>
    <w:rsid w:val="003C3A6F"/>
    <w:rsid w:val="003C4688"/>
    <w:rsid w:val="003C4EEC"/>
    <w:rsid w:val="003D0F7D"/>
    <w:rsid w:val="003D2C99"/>
    <w:rsid w:val="003D2D5B"/>
    <w:rsid w:val="003D5ACE"/>
    <w:rsid w:val="003E2B1F"/>
    <w:rsid w:val="003E2F51"/>
    <w:rsid w:val="003E44D7"/>
    <w:rsid w:val="003E74BC"/>
    <w:rsid w:val="003F4B3A"/>
    <w:rsid w:val="003F6642"/>
    <w:rsid w:val="00401EFC"/>
    <w:rsid w:val="00402A9A"/>
    <w:rsid w:val="00405950"/>
    <w:rsid w:val="00413CB6"/>
    <w:rsid w:val="00422B7E"/>
    <w:rsid w:val="00425945"/>
    <w:rsid w:val="00426F5C"/>
    <w:rsid w:val="00430E83"/>
    <w:rsid w:val="00440B40"/>
    <w:rsid w:val="004410E3"/>
    <w:rsid w:val="00444AA3"/>
    <w:rsid w:val="00455070"/>
    <w:rsid w:val="004558A3"/>
    <w:rsid w:val="004625C3"/>
    <w:rsid w:val="0046604A"/>
    <w:rsid w:val="0047347B"/>
    <w:rsid w:val="00476451"/>
    <w:rsid w:val="004805E5"/>
    <w:rsid w:val="00485642"/>
    <w:rsid w:val="004875E4"/>
    <w:rsid w:val="0049141B"/>
    <w:rsid w:val="004972FB"/>
    <w:rsid w:val="004A1221"/>
    <w:rsid w:val="004A158D"/>
    <w:rsid w:val="004A2933"/>
    <w:rsid w:val="004A772F"/>
    <w:rsid w:val="004B2014"/>
    <w:rsid w:val="004B4C24"/>
    <w:rsid w:val="004B54C3"/>
    <w:rsid w:val="004B7FC2"/>
    <w:rsid w:val="004C0814"/>
    <w:rsid w:val="004C0DCE"/>
    <w:rsid w:val="004C4926"/>
    <w:rsid w:val="004C4ABE"/>
    <w:rsid w:val="004C6285"/>
    <w:rsid w:val="004E0A53"/>
    <w:rsid w:val="004E2CF8"/>
    <w:rsid w:val="004E30C6"/>
    <w:rsid w:val="004E31A3"/>
    <w:rsid w:val="004E343C"/>
    <w:rsid w:val="004E6F63"/>
    <w:rsid w:val="004F0626"/>
    <w:rsid w:val="004F286E"/>
    <w:rsid w:val="004F634B"/>
    <w:rsid w:val="00502428"/>
    <w:rsid w:val="005028EA"/>
    <w:rsid w:val="00504C9D"/>
    <w:rsid w:val="00504FB9"/>
    <w:rsid w:val="005054B2"/>
    <w:rsid w:val="00506487"/>
    <w:rsid w:val="0051150B"/>
    <w:rsid w:val="00512794"/>
    <w:rsid w:val="005134DF"/>
    <w:rsid w:val="00513A9C"/>
    <w:rsid w:val="00513B60"/>
    <w:rsid w:val="00523777"/>
    <w:rsid w:val="00527479"/>
    <w:rsid w:val="00527C0A"/>
    <w:rsid w:val="005327F6"/>
    <w:rsid w:val="00540975"/>
    <w:rsid w:val="00542887"/>
    <w:rsid w:val="005440ED"/>
    <w:rsid w:val="0055118D"/>
    <w:rsid w:val="00556B74"/>
    <w:rsid w:val="00557E92"/>
    <w:rsid w:val="005658F2"/>
    <w:rsid w:val="00565BFB"/>
    <w:rsid w:val="00570700"/>
    <w:rsid w:val="00571D3D"/>
    <w:rsid w:val="00574972"/>
    <w:rsid w:val="00580346"/>
    <w:rsid w:val="00581B9A"/>
    <w:rsid w:val="005865A8"/>
    <w:rsid w:val="0058665D"/>
    <w:rsid w:val="00586F6B"/>
    <w:rsid w:val="00592B9E"/>
    <w:rsid w:val="00594F29"/>
    <w:rsid w:val="00597298"/>
    <w:rsid w:val="00597C0E"/>
    <w:rsid w:val="005A1883"/>
    <w:rsid w:val="005A7107"/>
    <w:rsid w:val="005B3542"/>
    <w:rsid w:val="005B5C96"/>
    <w:rsid w:val="005C4170"/>
    <w:rsid w:val="005C5B3A"/>
    <w:rsid w:val="005C6494"/>
    <w:rsid w:val="005D52A1"/>
    <w:rsid w:val="005E0BB4"/>
    <w:rsid w:val="005E46E4"/>
    <w:rsid w:val="005F1591"/>
    <w:rsid w:val="005F25B0"/>
    <w:rsid w:val="005F354F"/>
    <w:rsid w:val="005F3EA2"/>
    <w:rsid w:val="005F3F55"/>
    <w:rsid w:val="00601648"/>
    <w:rsid w:val="00601825"/>
    <w:rsid w:val="00602287"/>
    <w:rsid w:val="006036CC"/>
    <w:rsid w:val="00610609"/>
    <w:rsid w:val="006132E9"/>
    <w:rsid w:val="006156C1"/>
    <w:rsid w:val="0062054F"/>
    <w:rsid w:val="0062170D"/>
    <w:rsid w:val="006229C9"/>
    <w:rsid w:val="00625B18"/>
    <w:rsid w:val="006269D7"/>
    <w:rsid w:val="0062762A"/>
    <w:rsid w:val="0063711B"/>
    <w:rsid w:val="006376DF"/>
    <w:rsid w:val="00643223"/>
    <w:rsid w:val="0064657E"/>
    <w:rsid w:val="00647464"/>
    <w:rsid w:val="00653C7B"/>
    <w:rsid w:val="0065444D"/>
    <w:rsid w:val="00661ED6"/>
    <w:rsid w:val="0066463F"/>
    <w:rsid w:val="00667CD7"/>
    <w:rsid w:val="00675C54"/>
    <w:rsid w:val="00682FF9"/>
    <w:rsid w:val="0068437B"/>
    <w:rsid w:val="00685063"/>
    <w:rsid w:val="00690113"/>
    <w:rsid w:val="00692619"/>
    <w:rsid w:val="006956E3"/>
    <w:rsid w:val="006966E6"/>
    <w:rsid w:val="00696C68"/>
    <w:rsid w:val="006A01F6"/>
    <w:rsid w:val="006A19C5"/>
    <w:rsid w:val="006A488D"/>
    <w:rsid w:val="006A5955"/>
    <w:rsid w:val="006A6F67"/>
    <w:rsid w:val="006B086F"/>
    <w:rsid w:val="006B62D1"/>
    <w:rsid w:val="006C0612"/>
    <w:rsid w:val="006C0C0A"/>
    <w:rsid w:val="006C4C20"/>
    <w:rsid w:val="006C5265"/>
    <w:rsid w:val="006C6719"/>
    <w:rsid w:val="006C7EFC"/>
    <w:rsid w:val="006D0A45"/>
    <w:rsid w:val="006D1C57"/>
    <w:rsid w:val="006D1EF3"/>
    <w:rsid w:val="006D2CF5"/>
    <w:rsid w:val="006D596A"/>
    <w:rsid w:val="006D5A9F"/>
    <w:rsid w:val="006D5D41"/>
    <w:rsid w:val="006E13F2"/>
    <w:rsid w:val="006E63E4"/>
    <w:rsid w:val="006E7F3C"/>
    <w:rsid w:val="006F0F76"/>
    <w:rsid w:val="006F1007"/>
    <w:rsid w:val="006F2E20"/>
    <w:rsid w:val="006F4487"/>
    <w:rsid w:val="006F470E"/>
    <w:rsid w:val="006F49E3"/>
    <w:rsid w:val="00700761"/>
    <w:rsid w:val="00700887"/>
    <w:rsid w:val="00702D5C"/>
    <w:rsid w:val="00710028"/>
    <w:rsid w:val="00711E1E"/>
    <w:rsid w:val="00712AB3"/>
    <w:rsid w:val="00724BFA"/>
    <w:rsid w:val="00730735"/>
    <w:rsid w:val="007311F4"/>
    <w:rsid w:val="007321AC"/>
    <w:rsid w:val="00733A84"/>
    <w:rsid w:val="00735264"/>
    <w:rsid w:val="00741478"/>
    <w:rsid w:val="00743AAE"/>
    <w:rsid w:val="00747134"/>
    <w:rsid w:val="007503F6"/>
    <w:rsid w:val="007532F9"/>
    <w:rsid w:val="00753DC9"/>
    <w:rsid w:val="0075574B"/>
    <w:rsid w:val="00755B0D"/>
    <w:rsid w:val="00756564"/>
    <w:rsid w:val="00756659"/>
    <w:rsid w:val="007567F5"/>
    <w:rsid w:val="00761289"/>
    <w:rsid w:val="00763B06"/>
    <w:rsid w:val="00771353"/>
    <w:rsid w:val="00774218"/>
    <w:rsid w:val="007775EE"/>
    <w:rsid w:val="00777AAB"/>
    <w:rsid w:val="00784E7A"/>
    <w:rsid w:val="00786F37"/>
    <w:rsid w:val="00791153"/>
    <w:rsid w:val="007914E4"/>
    <w:rsid w:val="0079412A"/>
    <w:rsid w:val="007A0F56"/>
    <w:rsid w:val="007A14CC"/>
    <w:rsid w:val="007A4CDC"/>
    <w:rsid w:val="007A4E93"/>
    <w:rsid w:val="007A7F7B"/>
    <w:rsid w:val="007B0A68"/>
    <w:rsid w:val="007B47D4"/>
    <w:rsid w:val="007B63E3"/>
    <w:rsid w:val="007C3931"/>
    <w:rsid w:val="007C71CA"/>
    <w:rsid w:val="007C7B43"/>
    <w:rsid w:val="007C7C4C"/>
    <w:rsid w:val="007D21A1"/>
    <w:rsid w:val="007D4080"/>
    <w:rsid w:val="007E041E"/>
    <w:rsid w:val="007E046E"/>
    <w:rsid w:val="007F1D42"/>
    <w:rsid w:val="007F47D7"/>
    <w:rsid w:val="007F6884"/>
    <w:rsid w:val="008013CB"/>
    <w:rsid w:val="00804313"/>
    <w:rsid w:val="00804A3C"/>
    <w:rsid w:val="00810926"/>
    <w:rsid w:val="00810E76"/>
    <w:rsid w:val="00811751"/>
    <w:rsid w:val="00814700"/>
    <w:rsid w:val="00817CE6"/>
    <w:rsid w:val="00823261"/>
    <w:rsid w:val="00824973"/>
    <w:rsid w:val="00825F8A"/>
    <w:rsid w:val="00832B36"/>
    <w:rsid w:val="00832BD3"/>
    <w:rsid w:val="00837157"/>
    <w:rsid w:val="0083789C"/>
    <w:rsid w:val="0084083A"/>
    <w:rsid w:val="00842608"/>
    <w:rsid w:val="0084265B"/>
    <w:rsid w:val="0084438B"/>
    <w:rsid w:val="008448A9"/>
    <w:rsid w:val="00850531"/>
    <w:rsid w:val="00851687"/>
    <w:rsid w:val="00851C5A"/>
    <w:rsid w:val="00852D13"/>
    <w:rsid w:val="008614B6"/>
    <w:rsid w:val="00865C26"/>
    <w:rsid w:val="00867017"/>
    <w:rsid w:val="008773C9"/>
    <w:rsid w:val="00877FE3"/>
    <w:rsid w:val="00880C0A"/>
    <w:rsid w:val="00882EED"/>
    <w:rsid w:val="0088330C"/>
    <w:rsid w:val="008917CE"/>
    <w:rsid w:val="008925DA"/>
    <w:rsid w:val="008941EC"/>
    <w:rsid w:val="008A22AD"/>
    <w:rsid w:val="008A4135"/>
    <w:rsid w:val="008A52F9"/>
    <w:rsid w:val="008A62BC"/>
    <w:rsid w:val="008B2EE5"/>
    <w:rsid w:val="008B49D6"/>
    <w:rsid w:val="008B5352"/>
    <w:rsid w:val="008C5A13"/>
    <w:rsid w:val="008C66BE"/>
    <w:rsid w:val="008D4282"/>
    <w:rsid w:val="008D6B52"/>
    <w:rsid w:val="008E0DCF"/>
    <w:rsid w:val="008F6E54"/>
    <w:rsid w:val="009006FD"/>
    <w:rsid w:val="009060E4"/>
    <w:rsid w:val="009109B9"/>
    <w:rsid w:val="009140DF"/>
    <w:rsid w:val="00923E35"/>
    <w:rsid w:val="00924313"/>
    <w:rsid w:val="009247C8"/>
    <w:rsid w:val="00925B5B"/>
    <w:rsid w:val="00937076"/>
    <w:rsid w:val="00940220"/>
    <w:rsid w:val="0095108C"/>
    <w:rsid w:val="0095175A"/>
    <w:rsid w:val="00954B86"/>
    <w:rsid w:val="00955306"/>
    <w:rsid w:val="00960A2D"/>
    <w:rsid w:val="00960C94"/>
    <w:rsid w:val="00960FB4"/>
    <w:rsid w:val="009637F2"/>
    <w:rsid w:val="00963E7D"/>
    <w:rsid w:val="0096547C"/>
    <w:rsid w:val="009657F1"/>
    <w:rsid w:val="009703D2"/>
    <w:rsid w:val="009704D6"/>
    <w:rsid w:val="00971BE3"/>
    <w:rsid w:val="00971C6F"/>
    <w:rsid w:val="00981F60"/>
    <w:rsid w:val="00984189"/>
    <w:rsid w:val="0099105C"/>
    <w:rsid w:val="00992CFF"/>
    <w:rsid w:val="00994BBC"/>
    <w:rsid w:val="00994D05"/>
    <w:rsid w:val="009A7338"/>
    <w:rsid w:val="009B0023"/>
    <w:rsid w:val="009B1648"/>
    <w:rsid w:val="009B683B"/>
    <w:rsid w:val="009C32BA"/>
    <w:rsid w:val="009C5963"/>
    <w:rsid w:val="009D051C"/>
    <w:rsid w:val="009D09F3"/>
    <w:rsid w:val="009D2D76"/>
    <w:rsid w:val="009D33C4"/>
    <w:rsid w:val="009D77CA"/>
    <w:rsid w:val="009E0DF2"/>
    <w:rsid w:val="009E3C6D"/>
    <w:rsid w:val="009E7AF1"/>
    <w:rsid w:val="009F1601"/>
    <w:rsid w:val="009F3662"/>
    <w:rsid w:val="009F47B9"/>
    <w:rsid w:val="009F5952"/>
    <w:rsid w:val="009F7AEB"/>
    <w:rsid w:val="00A10960"/>
    <w:rsid w:val="00A112D1"/>
    <w:rsid w:val="00A143A5"/>
    <w:rsid w:val="00A17680"/>
    <w:rsid w:val="00A201AD"/>
    <w:rsid w:val="00A20A17"/>
    <w:rsid w:val="00A23360"/>
    <w:rsid w:val="00A34BD3"/>
    <w:rsid w:val="00A44E52"/>
    <w:rsid w:val="00A45528"/>
    <w:rsid w:val="00A46F4B"/>
    <w:rsid w:val="00A50622"/>
    <w:rsid w:val="00A55845"/>
    <w:rsid w:val="00A569E2"/>
    <w:rsid w:val="00A60300"/>
    <w:rsid w:val="00A60D3A"/>
    <w:rsid w:val="00A61532"/>
    <w:rsid w:val="00A63577"/>
    <w:rsid w:val="00A72451"/>
    <w:rsid w:val="00A76572"/>
    <w:rsid w:val="00A7781E"/>
    <w:rsid w:val="00A77860"/>
    <w:rsid w:val="00A80190"/>
    <w:rsid w:val="00A8632A"/>
    <w:rsid w:val="00A86E44"/>
    <w:rsid w:val="00A95853"/>
    <w:rsid w:val="00A967ED"/>
    <w:rsid w:val="00AA0E05"/>
    <w:rsid w:val="00AA2715"/>
    <w:rsid w:val="00AA30A8"/>
    <w:rsid w:val="00AA71D6"/>
    <w:rsid w:val="00AB03C1"/>
    <w:rsid w:val="00AB50B2"/>
    <w:rsid w:val="00AB7826"/>
    <w:rsid w:val="00AC01FF"/>
    <w:rsid w:val="00AC136F"/>
    <w:rsid w:val="00AC43B6"/>
    <w:rsid w:val="00AD00A8"/>
    <w:rsid w:val="00AD4063"/>
    <w:rsid w:val="00AD7440"/>
    <w:rsid w:val="00AE503E"/>
    <w:rsid w:val="00AE5CF6"/>
    <w:rsid w:val="00AF0F0E"/>
    <w:rsid w:val="00AF1F85"/>
    <w:rsid w:val="00AF3808"/>
    <w:rsid w:val="00AF5337"/>
    <w:rsid w:val="00AF6A00"/>
    <w:rsid w:val="00B006E6"/>
    <w:rsid w:val="00B02DAE"/>
    <w:rsid w:val="00B03185"/>
    <w:rsid w:val="00B1057B"/>
    <w:rsid w:val="00B123B9"/>
    <w:rsid w:val="00B13F03"/>
    <w:rsid w:val="00B149C6"/>
    <w:rsid w:val="00B1606F"/>
    <w:rsid w:val="00B16BE7"/>
    <w:rsid w:val="00B20D82"/>
    <w:rsid w:val="00B22DA5"/>
    <w:rsid w:val="00B24BEE"/>
    <w:rsid w:val="00B27483"/>
    <w:rsid w:val="00B30021"/>
    <w:rsid w:val="00B33308"/>
    <w:rsid w:val="00B34D09"/>
    <w:rsid w:val="00B40A4B"/>
    <w:rsid w:val="00B45207"/>
    <w:rsid w:val="00B500BE"/>
    <w:rsid w:val="00B5446F"/>
    <w:rsid w:val="00B55572"/>
    <w:rsid w:val="00B61574"/>
    <w:rsid w:val="00B70A4D"/>
    <w:rsid w:val="00B7306D"/>
    <w:rsid w:val="00B75000"/>
    <w:rsid w:val="00B77C50"/>
    <w:rsid w:val="00B87A9B"/>
    <w:rsid w:val="00B9083B"/>
    <w:rsid w:val="00B942B9"/>
    <w:rsid w:val="00B94B8B"/>
    <w:rsid w:val="00B953AF"/>
    <w:rsid w:val="00B96236"/>
    <w:rsid w:val="00BA0568"/>
    <w:rsid w:val="00BA22F2"/>
    <w:rsid w:val="00BA3AD0"/>
    <w:rsid w:val="00BB418D"/>
    <w:rsid w:val="00BB4BAD"/>
    <w:rsid w:val="00BB5E41"/>
    <w:rsid w:val="00BB62F3"/>
    <w:rsid w:val="00BC0801"/>
    <w:rsid w:val="00BC136D"/>
    <w:rsid w:val="00BC69E4"/>
    <w:rsid w:val="00BD10FB"/>
    <w:rsid w:val="00BD2838"/>
    <w:rsid w:val="00BD341C"/>
    <w:rsid w:val="00BD5FC6"/>
    <w:rsid w:val="00BD7EC5"/>
    <w:rsid w:val="00BE0593"/>
    <w:rsid w:val="00BE09FF"/>
    <w:rsid w:val="00BE4593"/>
    <w:rsid w:val="00BF6398"/>
    <w:rsid w:val="00BF6F82"/>
    <w:rsid w:val="00C0158B"/>
    <w:rsid w:val="00C01BD5"/>
    <w:rsid w:val="00C01F1C"/>
    <w:rsid w:val="00C11F69"/>
    <w:rsid w:val="00C21467"/>
    <w:rsid w:val="00C22D9E"/>
    <w:rsid w:val="00C32C1A"/>
    <w:rsid w:val="00C40CED"/>
    <w:rsid w:val="00C41346"/>
    <w:rsid w:val="00C460F3"/>
    <w:rsid w:val="00C51F91"/>
    <w:rsid w:val="00C5481B"/>
    <w:rsid w:val="00C627A8"/>
    <w:rsid w:val="00C63F16"/>
    <w:rsid w:val="00C7009A"/>
    <w:rsid w:val="00C71B58"/>
    <w:rsid w:val="00C7572B"/>
    <w:rsid w:val="00C80CC7"/>
    <w:rsid w:val="00C82BE2"/>
    <w:rsid w:val="00C83FA9"/>
    <w:rsid w:val="00C85D63"/>
    <w:rsid w:val="00C86A04"/>
    <w:rsid w:val="00C92DE2"/>
    <w:rsid w:val="00C93A35"/>
    <w:rsid w:val="00C978E5"/>
    <w:rsid w:val="00CA2445"/>
    <w:rsid w:val="00CA429B"/>
    <w:rsid w:val="00CA66DC"/>
    <w:rsid w:val="00CA7588"/>
    <w:rsid w:val="00CC35F1"/>
    <w:rsid w:val="00CD203C"/>
    <w:rsid w:val="00CE0914"/>
    <w:rsid w:val="00CE1D7F"/>
    <w:rsid w:val="00CE7074"/>
    <w:rsid w:val="00CF4101"/>
    <w:rsid w:val="00D003A5"/>
    <w:rsid w:val="00D00C2F"/>
    <w:rsid w:val="00D0244A"/>
    <w:rsid w:val="00D03BC1"/>
    <w:rsid w:val="00D03F85"/>
    <w:rsid w:val="00D0483F"/>
    <w:rsid w:val="00D05513"/>
    <w:rsid w:val="00D1269B"/>
    <w:rsid w:val="00D14468"/>
    <w:rsid w:val="00D16916"/>
    <w:rsid w:val="00D213DC"/>
    <w:rsid w:val="00D301A3"/>
    <w:rsid w:val="00D32311"/>
    <w:rsid w:val="00D36031"/>
    <w:rsid w:val="00D363A4"/>
    <w:rsid w:val="00D37E55"/>
    <w:rsid w:val="00D45F30"/>
    <w:rsid w:val="00D4627E"/>
    <w:rsid w:val="00D537D5"/>
    <w:rsid w:val="00D55FFF"/>
    <w:rsid w:val="00D56FC5"/>
    <w:rsid w:val="00D574D1"/>
    <w:rsid w:val="00D6007D"/>
    <w:rsid w:val="00D61B59"/>
    <w:rsid w:val="00D61BBE"/>
    <w:rsid w:val="00D61DF6"/>
    <w:rsid w:val="00D643BF"/>
    <w:rsid w:val="00D66F58"/>
    <w:rsid w:val="00D709C9"/>
    <w:rsid w:val="00D70A82"/>
    <w:rsid w:val="00D74DA6"/>
    <w:rsid w:val="00D77A0D"/>
    <w:rsid w:val="00D82523"/>
    <w:rsid w:val="00D84C76"/>
    <w:rsid w:val="00D84D2B"/>
    <w:rsid w:val="00D86247"/>
    <w:rsid w:val="00D87E90"/>
    <w:rsid w:val="00D87FEA"/>
    <w:rsid w:val="00D9229A"/>
    <w:rsid w:val="00D92AD4"/>
    <w:rsid w:val="00D942EB"/>
    <w:rsid w:val="00D95507"/>
    <w:rsid w:val="00D95C91"/>
    <w:rsid w:val="00D974A7"/>
    <w:rsid w:val="00DA3AA1"/>
    <w:rsid w:val="00DA50A4"/>
    <w:rsid w:val="00DB140F"/>
    <w:rsid w:val="00DB42E0"/>
    <w:rsid w:val="00DB6645"/>
    <w:rsid w:val="00DC14A1"/>
    <w:rsid w:val="00DC7972"/>
    <w:rsid w:val="00DD0639"/>
    <w:rsid w:val="00DD3ADA"/>
    <w:rsid w:val="00DE11C4"/>
    <w:rsid w:val="00DE1BFB"/>
    <w:rsid w:val="00DE3C68"/>
    <w:rsid w:val="00DE5644"/>
    <w:rsid w:val="00DF3CC9"/>
    <w:rsid w:val="00DF4B27"/>
    <w:rsid w:val="00DF7282"/>
    <w:rsid w:val="00E00AF8"/>
    <w:rsid w:val="00E17323"/>
    <w:rsid w:val="00E2038B"/>
    <w:rsid w:val="00E20FEF"/>
    <w:rsid w:val="00E22626"/>
    <w:rsid w:val="00E2724B"/>
    <w:rsid w:val="00E373A4"/>
    <w:rsid w:val="00E410D8"/>
    <w:rsid w:val="00E41DAD"/>
    <w:rsid w:val="00E5044D"/>
    <w:rsid w:val="00E53837"/>
    <w:rsid w:val="00E546D5"/>
    <w:rsid w:val="00E60CD8"/>
    <w:rsid w:val="00E62708"/>
    <w:rsid w:val="00E67C5A"/>
    <w:rsid w:val="00E7419C"/>
    <w:rsid w:val="00E8253A"/>
    <w:rsid w:val="00E857D4"/>
    <w:rsid w:val="00E86E50"/>
    <w:rsid w:val="00E86EA2"/>
    <w:rsid w:val="00EA510F"/>
    <w:rsid w:val="00EB08CC"/>
    <w:rsid w:val="00EB0D42"/>
    <w:rsid w:val="00EC6858"/>
    <w:rsid w:val="00EC7C2F"/>
    <w:rsid w:val="00ED3635"/>
    <w:rsid w:val="00ED3A3A"/>
    <w:rsid w:val="00ED59CF"/>
    <w:rsid w:val="00ED7FC9"/>
    <w:rsid w:val="00EE547F"/>
    <w:rsid w:val="00EE5ECA"/>
    <w:rsid w:val="00EE6575"/>
    <w:rsid w:val="00EE6756"/>
    <w:rsid w:val="00EF4E85"/>
    <w:rsid w:val="00EF6AFA"/>
    <w:rsid w:val="00F04E5D"/>
    <w:rsid w:val="00F0752C"/>
    <w:rsid w:val="00F0754F"/>
    <w:rsid w:val="00F10524"/>
    <w:rsid w:val="00F10B9B"/>
    <w:rsid w:val="00F156D5"/>
    <w:rsid w:val="00F33214"/>
    <w:rsid w:val="00F42143"/>
    <w:rsid w:val="00F5279A"/>
    <w:rsid w:val="00F562B7"/>
    <w:rsid w:val="00F600C2"/>
    <w:rsid w:val="00F6145E"/>
    <w:rsid w:val="00F64553"/>
    <w:rsid w:val="00F649EC"/>
    <w:rsid w:val="00F77178"/>
    <w:rsid w:val="00F8075C"/>
    <w:rsid w:val="00F860D4"/>
    <w:rsid w:val="00F93C09"/>
    <w:rsid w:val="00F9546C"/>
    <w:rsid w:val="00F96A9E"/>
    <w:rsid w:val="00FA1B16"/>
    <w:rsid w:val="00FA3CC0"/>
    <w:rsid w:val="00FA5FF4"/>
    <w:rsid w:val="00FB00E4"/>
    <w:rsid w:val="00FB4541"/>
    <w:rsid w:val="00FB4A8C"/>
    <w:rsid w:val="00FB639C"/>
    <w:rsid w:val="00FB7E6D"/>
    <w:rsid w:val="00FC523B"/>
    <w:rsid w:val="00FD36AD"/>
    <w:rsid w:val="00FE25B7"/>
    <w:rsid w:val="00FE4E81"/>
    <w:rsid w:val="00FE4F81"/>
    <w:rsid w:val="00FE5409"/>
    <w:rsid w:val="00FF05DA"/>
    <w:rsid w:val="00FF308E"/>
    <w:rsid w:val="00FF5552"/>
    <w:rsid w:val="00FF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D1EF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2D1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D12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247276"/>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247276"/>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customStyle="1" w:styleId="Heading6Char">
    <w:name w:val="Heading 6 Char"/>
    <w:basedOn w:val="DefaultParagraphFont"/>
    <w:link w:val="Heading6"/>
    <w:semiHidden/>
    <w:rsid w:val="002D125C"/>
    <w:rPr>
      <w:rFonts w:asciiTheme="majorHAnsi" w:eastAsiaTheme="majorEastAsia" w:hAnsiTheme="majorHAnsi" w:cstheme="majorBidi"/>
      <w:i/>
      <w:iCs/>
      <w:color w:val="243F60" w:themeColor="accent1" w:themeShade="7F"/>
      <w:sz w:val="24"/>
    </w:rPr>
  </w:style>
  <w:style w:type="character" w:customStyle="1" w:styleId="Heading5Char">
    <w:name w:val="Heading 5 Char"/>
    <w:basedOn w:val="DefaultParagraphFont"/>
    <w:link w:val="Heading5"/>
    <w:semiHidden/>
    <w:rsid w:val="002D125C"/>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semiHidden/>
    <w:rsid w:val="006D1EF3"/>
    <w:rPr>
      <w:rFonts w:asciiTheme="majorHAnsi" w:eastAsiaTheme="majorEastAsia" w:hAnsiTheme="majorHAnsi" w:cstheme="majorBidi"/>
      <w:b/>
      <w:bCs/>
      <w:color w:val="4F81BD" w:themeColor="accent1"/>
      <w:sz w:val="24"/>
    </w:rPr>
  </w:style>
  <w:style w:type="table" w:styleId="TableGrid">
    <w:name w:val="Table Grid"/>
    <w:basedOn w:val="TableNormal"/>
    <w:rsid w:val="00810E76"/>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2F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B70A4D"/>
    <w:pPr>
      <w:spacing w:after="120" w:line="480" w:lineRule="auto"/>
    </w:pPr>
    <w:rPr>
      <w:rFonts w:ascii="Calibri" w:eastAsia="SimSun" w:hAnsi="Calibri"/>
      <w:szCs w:val="24"/>
      <w:lang w:eastAsia="en-US"/>
    </w:rPr>
  </w:style>
  <w:style w:type="character" w:customStyle="1" w:styleId="BodyText2Char">
    <w:name w:val="Body Text 2 Char"/>
    <w:basedOn w:val="DefaultParagraphFont"/>
    <w:link w:val="BodyText2"/>
    <w:rsid w:val="00B70A4D"/>
    <w:rPr>
      <w:rFonts w:ascii="Calibri" w:eastAsia="SimSun" w:hAnsi="Calibri"/>
      <w:sz w:val="24"/>
      <w:szCs w:val="24"/>
      <w:lang w:eastAsia="en-US"/>
    </w:rPr>
  </w:style>
  <w:style w:type="paragraph" w:styleId="NormalWeb">
    <w:name w:val="Normal (Web)"/>
    <w:basedOn w:val="Normal"/>
    <w:uiPriority w:val="99"/>
    <w:unhideWhenUsed/>
    <w:rsid w:val="008614B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D1EF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2D1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D12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247276"/>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247276"/>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customStyle="1" w:styleId="Heading6Char">
    <w:name w:val="Heading 6 Char"/>
    <w:basedOn w:val="DefaultParagraphFont"/>
    <w:link w:val="Heading6"/>
    <w:semiHidden/>
    <w:rsid w:val="002D125C"/>
    <w:rPr>
      <w:rFonts w:asciiTheme="majorHAnsi" w:eastAsiaTheme="majorEastAsia" w:hAnsiTheme="majorHAnsi" w:cstheme="majorBidi"/>
      <w:i/>
      <w:iCs/>
      <w:color w:val="243F60" w:themeColor="accent1" w:themeShade="7F"/>
      <w:sz w:val="24"/>
    </w:rPr>
  </w:style>
  <w:style w:type="character" w:customStyle="1" w:styleId="Heading5Char">
    <w:name w:val="Heading 5 Char"/>
    <w:basedOn w:val="DefaultParagraphFont"/>
    <w:link w:val="Heading5"/>
    <w:semiHidden/>
    <w:rsid w:val="002D125C"/>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semiHidden/>
    <w:rsid w:val="006D1EF3"/>
    <w:rPr>
      <w:rFonts w:asciiTheme="majorHAnsi" w:eastAsiaTheme="majorEastAsia" w:hAnsiTheme="majorHAnsi" w:cstheme="majorBidi"/>
      <w:b/>
      <w:bCs/>
      <w:color w:val="4F81BD" w:themeColor="accent1"/>
      <w:sz w:val="24"/>
    </w:rPr>
  </w:style>
  <w:style w:type="table" w:styleId="TableGrid">
    <w:name w:val="Table Grid"/>
    <w:basedOn w:val="TableNormal"/>
    <w:rsid w:val="00810E76"/>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2F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B70A4D"/>
    <w:pPr>
      <w:spacing w:after="120" w:line="480" w:lineRule="auto"/>
    </w:pPr>
    <w:rPr>
      <w:rFonts w:ascii="Calibri" w:eastAsia="SimSun" w:hAnsi="Calibri"/>
      <w:szCs w:val="24"/>
      <w:lang w:eastAsia="en-US"/>
    </w:rPr>
  </w:style>
  <w:style w:type="character" w:customStyle="1" w:styleId="BodyText2Char">
    <w:name w:val="Body Text 2 Char"/>
    <w:basedOn w:val="DefaultParagraphFont"/>
    <w:link w:val="BodyText2"/>
    <w:rsid w:val="00B70A4D"/>
    <w:rPr>
      <w:rFonts w:ascii="Calibri" w:eastAsia="SimSun" w:hAnsi="Calibri"/>
      <w:sz w:val="24"/>
      <w:szCs w:val="24"/>
      <w:lang w:eastAsia="en-US"/>
    </w:rPr>
  </w:style>
  <w:style w:type="paragraph" w:styleId="NormalWeb">
    <w:name w:val="Normal (Web)"/>
    <w:basedOn w:val="Normal"/>
    <w:uiPriority w:val="99"/>
    <w:unhideWhenUsed/>
    <w:rsid w:val="008614B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0560-C2E4-4ECB-A833-D5BBE0B6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5278</Words>
  <Characters>29261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34471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2</cp:revision>
  <cp:lastPrinted>2013-11-15T02:03:00Z</cp:lastPrinted>
  <dcterms:created xsi:type="dcterms:W3CDTF">2014-03-24T07:00:00Z</dcterms:created>
  <dcterms:modified xsi:type="dcterms:W3CDTF">2014-03-24T07:00:00Z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