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E3" w:rsidRPr="00707064" w:rsidRDefault="0076192A"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extent cx="2628900" cy="107442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074420"/>
                    </a:xfrm>
                    <a:prstGeom prst="rect">
                      <a:avLst/>
                    </a:prstGeom>
                    <a:noFill/>
                    <a:ln>
                      <a:noFill/>
                    </a:ln>
                  </pic:spPr>
                </pic:pic>
              </a:graphicData>
            </a:graphic>
          </wp:inline>
        </w:drawing>
      </w:r>
    </w:p>
    <w:p w:rsidR="007920E3" w:rsidRPr="008D5885" w:rsidRDefault="007920E3" w:rsidP="008D5885"/>
    <w:p w:rsidR="007920E3" w:rsidRPr="008D5885" w:rsidRDefault="007920E3" w:rsidP="008D5885"/>
    <w:p w:rsidR="007920E3" w:rsidRPr="007B32D1" w:rsidRDefault="007920E3"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7920E3" w:rsidRPr="007B32D1" w:rsidRDefault="007920E3" w:rsidP="007B32D1"/>
    <w:p w:rsidR="007920E3" w:rsidRPr="00EA61DC" w:rsidRDefault="007920E3" w:rsidP="00A34736">
      <w:pPr>
        <w:tabs>
          <w:tab w:val="left" w:pos="4320"/>
        </w:tabs>
        <w:spacing w:before="120"/>
        <w:jc w:val="center"/>
        <w:rPr>
          <w:rFonts w:ascii="Arial" w:hAnsi="Arial" w:cs="Arial"/>
          <w:b/>
          <w:i/>
          <w:color w:val="000080"/>
          <w:sz w:val="28"/>
          <w:szCs w:val="28"/>
        </w:rPr>
      </w:pPr>
      <w:r w:rsidRPr="007B32D1">
        <w:rPr>
          <w:rFonts w:ascii="Arial" w:hAnsi="Arial" w:cs="Arial"/>
          <w:b/>
          <w:bCs/>
          <w:i/>
          <w:color w:val="000080"/>
          <w:sz w:val="28"/>
          <w:szCs w:val="28"/>
        </w:rPr>
        <w:t xml:space="preserve">Application No. </w:t>
      </w:r>
      <w:r>
        <w:rPr>
          <w:rFonts w:ascii="Arial" w:hAnsi="Arial" w:cs="Arial"/>
          <w:b/>
          <w:bCs/>
          <w:i/>
          <w:color w:val="000080"/>
          <w:sz w:val="28"/>
          <w:szCs w:val="28"/>
        </w:rPr>
        <w:t>1313</w:t>
      </w:r>
      <w:r w:rsidRPr="007B32D1">
        <w:rPr>
          <w:rFonts w:ascii="Arial" w:hAnsi="Arial" w:cs="Arial"/>
          <w:b/>
          <w:bCs/>
          <w:i/>
          <w:color w:val="000080"/>
          <w:sz w:val="28"/>
          <w:szCs w:val="28"/>
        </w:rPr>
        <w:t xml:space="preserve">– </w:t>
      </w:r>
      <w:r w:rsidRPr="00053A98">
        <w:rPr>
          <w:rFonts w:ascii="Arial" w:hAnsi="Arial" w:cs="Arial"/>
          <w:b/>
          <w:i/>
          <w:color w:val="000080"/>
          <w:sz w:val="28"/>
        </w:rPr>
        <w:t>Bone mineral density analyses using Dual Energy X-ray Absorptiometry (DXA) in breast cancer patients receiving aromatase inhibitor treatment</w:t>
      </w:r>
    </w:p>
    <w:p w:rsidR="007920E3" w:rsidRPr="00707064" w:rsidRDefault="007920E3" w:rsidP="00065623">
      <w:pPr>
        <w:tabs>
          <w:tab w:val="left" w:pos="3600"/>
        </w:tabs>
        <w:ind w:left="3600" w:hanging="3600"/>
        <w:rPr>
          <w:szCs w:val="24"/>
        </w:rPr>
      </w:pPr>
    </w:p>
    <w:p w:rsidR="007920E3" w:rsidRPr="00D90A38" w:rsidRDefault="007920E3" w:rsidP="000A43DF">
      <w:pPr>
        <w:tabs>
          <w:tab w:val="left" w:pos="3686"/>
        </w:tabs>
        <w:ind w:left="3686" w:hanging="3686"/>
        <w:rPr>
          <w:rFonts w:ascii="Arial" w:hAnsi="Arial" w:cs="Arial"/>
          <w:b/>
          <w:szCs w:val="24"/>
        </w:rPr>
      </w:pPr>
      <w:r>
        <w:rPr>
          <w:rFonts w:ascii="Arial" w:hAnsi="Arial" w:cs="Arial"/>
          <w:b/>
          <w:szCs w:val="24"/>
        </w:rPr>
        <w:t>Applicant</w:t>
      </w:r>
      <w:r w:rsidRPr="00D90A38">
        <w:rPr>
          <w:rFonts w:ascii="Arial" w:hAnsi="Arial" w:cs="Arial"/>
          <w:b/>
          <w:szCs w:val="24"/>
        </w:rPr>
        <w:t>:</w:t>
      </w:r>
      <w:r w:rsidRPr="00D90A38">
        <w:rPr>
          <w:rFonts w:ascii="Arial" w:hAnsi="Arial" w:cs="Arial"/>
          <w:b/>
          <w:szCs w:val="24"/>
        </w:rPr>
        <w:tab/>
      </w:r>
      <w:r w:rsidRPr="006852B8">
        <w:rPr>
          <w:rFonts w:ascii="Arial" w:hAnsi="Arial" w:cs="Arial"/>
          <w:b/>
          <w:szCs w:val="24"/>
        </w:rPr>
        <w:t>Australian and New Zealand Bone Mineral Society</w:t>
      </w:r>
    </w:p>
    <w:p w:rsidR="007920E3" w:rsidRPr="009C137A" w:rsidRDefault="007920E3" w:rsidP="00065623">
      <w:pPr>
        <w:tabs>
          <w:tab w:val="left" w:pos="2265"/>
          <w:tab w:val="left" w:pos="3420"/>
          <w:tab w:val="left" w:pos="4320"/>
        </w:tabs>
        <w:rPr>
          <w:rFonts w:ascii="Arial" w:hAnsi="Arial" w:cs="Arial"/>
        </w:rPr>
      </w:pPr>
    </w:p>
    <w:p w:rsidR="007920E3" w:rsidRPr="00D90A38" w:rsidRDefault="007920E3"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t xml:space="preserve">MSAC </w:t>
      </w:r>
      <w:r>
        <w:rPr>
          <w:rFonts w:ascii="Arial" w:hAnsi="Arial" w:cs="Arial"/>
          <w:b/>
          <w:szCs w:val="24"/>
        </w:rPr>
        <w:t>64</w:t>
      </w:r>
      <w:r w:rsidRPr="000A43DF">
        <w:rPr>
          <w:rFonts w:ascii="Arial" w:hAnsi="Arial" w:cs="Arial"/>
          <w:b/>
          <w:szCs w:val="24"/>
          <w:vertAlign w:val="superscript"/>
        </w:rPr>
        <w:t>th</w:t>
      </w:r>
      <w:r>
        <w:rPr>
          <w:rFonts w:ascii="Arial" w:hAnsi="Arial" w:cs="Arial"/>
          <w:b/>
          <w:szCs w:val="24"/>
        </w:rPr>
        <w:t xml:space="preserve"> </w:t>
      </w:r>
      <w:r w:rsidRPr="00D90A38">
        <w:rPr>
          <w:rFonts w:ascii="Arial" w:hAnsi="Arial" w:cs="Arial"/>
          <w:b/>
          <w:szCs w:val="24"/>
        </w:rPr>
        <w:t xml:space="preserve">Meeting, </w:t>
      </w:r>
      <w:r>
        <w:rPr>
          <w:rFonts w:ascii="Arial" w:hAnsi="Arial" w:cs="Arial"/>
          <w:b/>
          <w:szCs w:val="24"/>
        </w:rPr>
        <w:t>30-31 July 2015</w:t>
      </w:r>
    </w:p>
    <w:p w:rsidR="007920E3" w:rsidRDefault="007920E3" w:rsidP="00065623">
      <w:pPr>
        <w:rPr>
          <w:szCs w:val="24"/>
        </w:rPr>
      </w:pPr>
    </w:p>
    <w:p w:rsidR="007920E3" w:rsidRDefault="007920E3" w:rsidP="00065623">
      <w:pPr>
        <w:rPr>
          <w:szCs w:val="24"/>
        </w:rPr>
      </w:pPr>
      <w:r>
        <w:rPr>
          <w:szCs w:val="24"/>
        </w:rPr>
        <w:t xml:space="preserve">Context for decision: MSAC makes its advice in accordance with its Terms of Reference, see at </w:t>
      </w:r>
      <w:hyperlink r:id="rId9" w:tooltip="link to the medical services advisory committee website" w:history="1">
        <w:r w:rsidRPr="000A74FE">
          <w:rPr>
            <w:rStyle w:val="Hyperlink"/>
            <w:szCs w:val="24"/>
          </w:rPr>
          <w:t>www.msac.gov.au</w:t>
        </w:r>
      </w:hyperlink>
    </w:p>
    <w:p w:rsidR="007920E3" w:rsidRDefault="007920E3" w:rsidP="00065623">
      <w:pPr>
        <w:rPr>
          <w:szCs w:val="24"/>
        </w:rPr>
      </w:pPr>
    </w:p>
    <w:p w:rsidR="007920E3" w:rsidRDefault="007920E3" w:rsidP="00065623">
      <w:pPr>
        <w:rPr>
          <w:szCs w:val="24"/>
        </w:rPr>
      </w:pPr>
    </w:p>
    <w:p w:rsidR="007920E3" w:rsidRPr="00D90A38" w:rsidRDefault="007920E3" w:rsidP="003D7F29">
      <w:pPr>
        <w:pStyle w:val="Heading1"/>
        <w:numPr>
          <w:ilvl w:val="0"/>
          <w:numId w:val="23"/>
        </w:numPr>
        <w:ind w:hanging="720"/>
      </w:pPr>
      <w:r w:rsidRPr="00D90A38">
        <w:t>Purpose of application</w:t>
      </w:r>
      <w:r>
        <w:t xml:space="preserve"> and links to other applications</w:t>
      </w:r>
    </w:p>
    <w:p w:rsidR="007920E3" w:rsidRPr="009C137A" w:rsidRDefault="007920E3" w:rsidP="009C137A">
      <w:pPr>
        <w:tabs>
          <w:tab w:val="left" w:pos="720"/>
          <w:tab w:val="left" w:pos="1140"/>
        </w:tabs>
        <w:rPr>
          <w:bCs/>
          <w:szCs w:val="24"/>
        </w:rPr>
      </w:pPr>
    </w:p>
    <w:p w:rsidR="007920E3" w:rsidRDefault="007920E3" w:rsidP="000A43DF">
      <w:pPr>
        <w:tabs>
          <w:tab w:val="left" w:pos="0"/>
          <w:tab w:val="left" w:pos="1140"/>
        </w:tabs>
        <w:rPr>
          <w:szCs w:val="24"/>
        </w:rPr>
      </w:pPr>
      <w:r>
        <w:rPr>
          <w:szCs w:val="24"/>
        </w:rPr>
        <w:t xml:space="preserve">An application requesting MBS listing </w:t>
      </w:r>
      <w:r>
        <w:t>of</w:t>
      </w:r>
      <w:r w:rsidRPr="00A67624">
        <w:t xml:space="preserve"> </w:t>
      </w:r>
      <w:r>
        <w:t>bone densitometry d</w:t>
      </w:r>
      <w:r w:rsidRPr="00A67624">
        <w:t>ual energy X-ray absorptiometry</w:t>
      </w:r>
      <w:r>
        <w:t xml:space="preserve"> (DXA) for post-menopausal women with early stage breast cancer who receive, or are being considered for, treatment with aromatase inhibitors, </w:t>
      </w:r>
      <w:r>
        <w:rPr>
          <w:szCs w:val="24"/>
        </w:rPr>
        <w:t xml:space="preserve">was received from the </w:t>
      </w:r>
      <w:r w:rsidRPr="00C321D6">
        <w:t>Australian and New Zealand Bone and Mineral Society</w:t>
      </w:r>
      <w:r>
        <w:rPr>
          <w:szCs w:val="24"/>
        </w:rPr>
        <w:t xml:space="preserve"> (</w:t>
      </w:r>
      <w:r>
        <w:t>ANZBMS)</w:t>
      </w:r>
      <w:r>
        <w:rPr>
          <w:szCs w:val="24"/>
        </w:rPr>
        <w:t xml:space="preserve">. </w:t>
      </w:r>
    </w:p>
    <w:p w:rsidR="007920E3" w:rsidRPr="009C137A" w:rsidRDefault="007920E3" w:rsidP="003D7F29">
      <w:pPr>
        <w:rPr>
          <w:szCs w:val="24"/>
        </w:rPr>
      </w:pPr>
    </w:p>
    <w:p w:rsidR="007920E3" w:rsidRDefault="007920E3" w:rsidP="003D7F29">
      <w:r w:rsidRPr="00532F63">
        <w:t xml:space="preserve">MSAC deferred the application </w:t>
      </w:r>
      <w:r>
        <w:t xml:space="preserve">in November 2014 and requested </w:t>
      </w:r>
      <w:r w:rsidRPr="00532F63">
        <w:t>further external evaluation of the economic modelling</w:t>
      </w:r>
      <w:r>
        <w:t xml:space="preserve">. </w:t>
      </w:r>
      <w:r>
        <w:rPr>
          <w:szCs w:val="24"/>
        </w:rPr>
        <w:t>The evidence for assessment of this application was submitted in May 2015.</w:t>
      </w:r>
    </w:p>
    <w:p w:rsidR="007920E3" w:rsidRPr="009C137A" w:rsidRDefault="007920E3" w:rsidP="003D7F29">
      <w:pPr>
        <w:rPr>
          <w:szCs w:val="24"/>
        </w:rPr>
      </w:pPr>
    </w:p>
    <w:p w:rsidR="007920E3" w:rsidRDefault="007920E3" w:rsidP="00E977EE">
      <w:pPr>
        <w:pStyle w:val="Heading1"/>
        <w:numPr>
          <w:ilvl w:val="0"/>
          <w:numId w:val="23"/>
        </w:numPr>
        <w:ind w:hanging="720"/>
      </w:pPr>
      <w:r w:rsidRPr="008D5885">
        <w:t>MSAC’s advice to the Minister</w:t>
      </w:r>
    </w:p>
    <w:p w:rsidR="007920E3" w:rsidRPr="009C137A" w:rsidRDefault="007920E3" w:rsidP="00E977EE">
      <w:pPr>
        <w:tabs>
          <w:tab w:val="left" w:pos="720"/>
        </w:tabs>
        <w:ind w:left="709" w:hanging="709"/>
        <w:rPr>
          <w:szCs w:val="24"/>
        </w:rPr>
      </w:pPr>
    </w:p>
    <w:p w:rsidR="007920E3" w:rsidRDefault="007920E3" w:rsidP="00610399">
      <w:r>
        <w:t xml:space="preserve">After considering the available evidence presented in relation to safety, clinical effectiveness and cost-effectiveness of </w:t>
      </w:r>
      <w:r w:rsidRPr="00972607">
        <w:t>bone densitometry dual energy X-ray absorptiometry (DXA)</w:t>
      </w:r>
      <w:r>
        <w:t xml:space="preserve">, </w:t>
      </w:r>
      <w:r w:rsidRPr="007B7BEA">
        <w:t xml:space="preserve">MSAC did not support public funding because of </w:t>
      </w:r>
      <w:r>
        <w:t>uncertain and unacceptably high cost-effectiveness in the proposed setting.</w:t>
      </w:r>
    </w:p>
    <w:p w:rsidR="007920E3" w:rsidRPr="00C2639E" w:rsidRDefault="007920E3" w:rsidP="00C2639E">
      <w:pPr>
        <w:pStyle w:val="Default"/>
        <w:rPr>
          <w:color w:val="auto"/>
        </w:rPr>
      </w:pPr>
    </w:p>
    <w:p w:rsidR="007920E3" w:rsidRDefault="007920E3" w:rsidP="00550354">
      <w:pPr>
        <w:pStyle w:val="Heading1"/>
        <w:numPr>
          <w:ilvl w:val="0"/>
          <w:numId w:val="23"/>
        </w:numPr>
        <w:ind w:hanging="720"/>
      </w:pPr>
      <w:r w:rsidRPr="008D5885">
        <w:t>Summary of consideration and rationale for MSAC’s advice</w:t>
      </w:r>
    </w:p>
    <w:p w:rsidR="007920E3" w:rsidRDefault="007920E3" w:rsidP="00550354">
      <w:pPr>
        <w:rPr>
          <w:szCs w:val="24"/>
        </w:rPr>
      </w:pPr>
    </w:p>
    <w:p w:rsidR="007920E3" w:rsidRDefault="007920E3" w:rsidP="00BB562F">
      <w:r>
        <w:t xml:space="preserve">MSAC recalled that the previous application was deferred </w:t>
      </w:r>
      <w:r w:rsidRPr="00532F63">
        <w:t>to seek further external evaluation of the economic modelling, especially of the estimates of elevated fracture risks and prescription drug costs.</w:t>
      </w:r>
    </w:p>
    <w:p w:rsidR="007920E3" w:rsidRDefault="007920E3" w:rsidP="00BB562F"/>
    <w:p w:rsidR="007920E3" w:rsidRDefault="007920E3" w:rsidP="00BB562F">
      <w:r>
        <w:t xml:space="preserve">MSAC noted there were no studies presented of the analytical or clinical validity of DXA in women taking aromatase inhibitors, and so these needed to be extrapolated from other studies of DXA. The results for the updated data indicated that DXA scanning and anti-resorptive </w:t>
      </w:r>
      <w:r>
        <w:lastRenderedPageBreak/>
        <w:t>therapy in women receiving aromatase inhibitor treatment is superior to placebo for BMD loss in the lumbar spine and hip and may be effective at reducing the relative risk of fractures (but with a high level of unexplained between study heterogeneity). MSAC noted that there were fewer bone fractures in women taking aromatase inhibitors who also took anti-</w:t>
      </w:r>
      <w:proofErr w:type="spellStart"/>
      <w:r>
        <w:t>resorptives</w:t>
      </w:r>
      <w:proofErr w:type="spellEnd"/>
      <w:r>
        <w:t xml:space="preserve"> than in women taking aromatase inhibitors who did not take anti-</w:t>
      </w:r>
      <w:proofErr w:type="spellStart"/>
      <w:proofErr w:type="gramStart"/>
      <w:r>
        <w:t>resorptives</w:t>
      </w:r>
      <w:proofErr w:type="spellEnd"/>
      <w:r>
        <w:t>,</w:t>
      </w:r>
      <w:proofErr w:type="gramEnd"/>
      <w:r>
        <w:t xml:space="preserve"> the difference in rate of fracture was not statistically significant. However, MSAC considered that the claimed superiority was biologically plausible, particularly as there is no clinical reason why anti-</w:t>
      </w:r>
      <w:proofErr w:type="spellStart"/>
      <w:r>
        <w:t>resorptives</w:t>
      </w:r>
      <w:proofErr w:type="spellEnd"/>
      <w:r>
        <w:t xml:space="preserve"> would work differently in patients taking aromatase inhibitors.</w:t>
      </w:r>
    </w:p>
    <w:p w:rsidR="007920E3" w:rsidRDefault="007920E3" w:rsidP="00BB562F"/>
    <w:p w:rsidR="007920E3" w:rsidRDefault="007920E3" w:rsidP="00BB562F">
      <w:r>
        <w:t>MSAC noted that the cost estimates used in this application assume that the target population can access PBS-subsidised anti-</w:t>
      </w:r>
      <w:proofErr w:type="spellStart"/>
      <w:proofErr w:type="gramStart"/>
      <w:r>
        <w:t>resorptives</w:t>
      </w:r>
      <w:proofErr w:type="spellEnd"/>
      <w:r>
        <w:t>,</w:t>
      </w:r>
      <w:proofErr w:type="gramEnd"/>
      <w:r>
        <w:t xml:space="preserve"> however this would require an application to the PBAC for at least one of these medicines in order to broaden the current eligibility criteria to include women who meet the proposed criteria to start anti-resorptive treatment.</w:t>
      </w:r>
    </w:p>
    <w:p w:rsidR="007920E3" w:rsidRDefault="007920E3" w:rsidP="00BB562F"/>
    <w:p w:rsidR="007920E3" w:rsidRDefault="007920E3" w:rsidP="00A77B86">
      <w:r>
        <w:t>MSAC considered that most of the amended model inputs to the economic model were reasonable but expressed concern with the limited clinical benefit. MSAC noted that the ICERs were considerably less favourable than generated by the versions of the model considered previously. MSAC expressed concern with the large difference in the ICER for the base case scenario, which was approximately $47,000 when only women (aged 60 years) with osteoporosis on aromatase inhibitors were included, compared to when women with osteopenia were also included and the ICER increased to over $250,000. MSAC also noted that the ICER increased in the younger population (aged 50 years) and decreased for the older population (aged 65 years). Overall, MSAC judged that use of DXA scanning in the population of women over 50 years with osteopenia or osteoporosis that are taking aromatase inhibitors was not acceptably cost-effective. MSAC considered that it would be impractical in this context to attempt to limit the use of non-subsidised anti</w:t>
      </w:r>
      <w:r w:rsidR="00DB3E5F">
        <w:t>-</w:t>
      </w:r>
      <w:proofErr w:type="spellStart"/>
      <w:r>
        <w:t>resorptives</w:t>
      </w:r>
      <w:proofErr w:type="spellEnd"/>
      <w:r>
        <w:t xml:space="preserve"> to osteoporosis and not osteopenia.</w:t>
      </w:r>
    </w:p>
    <w:p w:rsidR="007920E3" w:rsidRDefault="007920E3">
      <w:pPr>
        <w:rPr>
          <w:szCs w:val="24"/>
        </w:rPr>
      </w:pPr>
    </w:p>
    <w:p w:rsidR="007920E3" w:rsidRPr="00D90A38" w:rsidRDefault="007920E3" w:rsidP="007B32D1">
      <w:pPr>
        <w:pStyle w:val="Heading1"/>
        <w:numPr>
          <w:ilvl w:val="0"/>
          <w:numId w:val="23"/>
        </w:numPr>
        <w:ind w:hanging="720"/>
      </w:pPr>
      <w:r w:rsidRPr="00D90A38">
        <w:t>Background</w:t>
      </w:r>
    </w:p>
    <w:p w:rsidR="007920E3" w:rsidRPr="00C2639E" w:rsidRDefault="007920E3" w:rsidP="00DD2858">
      <w:pPr>
        <w:rPr>
          <w:szCs w:val="24"/>
        </w:rPr>
      </w:pPr>
    </w:p>
    <w:p w:rsidR="007920E3" w:rsidRDefault="007920E3" w:rsidP="000A43DF">
      <w:r>
        <w:t xml:space="preserve">At the November 2014 meeting, </w:t>
      </w:r>
      <w:r w:rsidRPr="00532F63">
        <w:t>MSAC deferred the application to seek further external evaluation of the economic modelling, especially of the estimates of elevated fracture risks and prescription drug costs.</w:t>
      </w:r>
      <w:r w:rsidDel="000F220F">
        <w:t xml:space="preserve"> </w:t>
      </w:r>
    </w:p>
    <w:p w:rsidR="007920E3" w:rsidRDefault="007920E3" w:rsidP="000A43DF">
      <w:pPr>
        <w:pStyle w:val="ListParagraph"/>
        <w:ind w:hanging="706"/>
      </w:pPr>
    </w:p>
    <w:p w:rsidR="007920E3" w:rsidRDefault="007920E3" w:rsidP="004A6546">
      <w:r>
        <w:t>MSAC separately supported amending the current MBS items for BMD analysis to allow trained technicians to perform DXA scanning under the supervision of a medical practitioner. MSAC considered that this should also involve a fee review of these items.</w:t>
      </w:r>
    </w:p>
    <w:p w:rsidR="007920E3" w:rsidRPr="00C2639E" w:rsidRDefault="007920E3">
      <w:pPr>
        <w:rPr>
          <w:bCs/>
          <w:szCs w:val="28"/>
        </w:rPr>
      </w:pPr>
    </w:p>
    <w:p w:rsidR="007920E3" w:rsidRPr="008D5885" w:rsidRDefault="007920E3" w:rsidP="007B32D1">
      <w:pPr>
        <w:pStyle w:val="Heading1"/>
        <w:numPr>
          <w:ilvl w:val="0"/>
          <w:numId w:val="23"/>
        </w:numPr>
        <w:ind w:hanging="720"/>
      </w:pPr>
      <w:r w:rsidRPr="008D5885">
        <w:t>Comparative safety</w:t>
      </w:r>
    </w:p>
    <w:p w:rsidR="007920E3" w:rsidRPr="00C2639E" w:rsidRDefault="007920E3" w:rsidP="00DD2858">
      <w:pPr>
        <w:pStyle w:val="ListParagraph"/>
        <w:ind w:left="0"/>
        <w:rPr>
          <w:szCs w:val="24"/>
        </w:rPr>
      </w:pPr>
    </w:p>
    <w:p w:rsidR="007920E3" w:rsidRDefault="007920E3" w:rsidP="00857F07">
      <w:r>
        <w:t>In November 2014, MSAC noted that there were no studies that assessed the safety of DXA scans in the population of interest. However, DXA in general, is a widely used technique that is considered to be safe, being non-invasive, and using low levels of radiation, the equivalent of two to four days of background radiation.</w:t>
      </w:r>
    </w:p>
    <w:p w:rsidR="007920E3" w:rsidRPr="00C2639E" w:rsidRDefault="007920E3" w:rsidP="00DD2858">
      <w:pPr>
        <w:pStyle w:val="ListParagraph"/>
        <w:ind w:left="0"/>
        <w:rPr>
          <w:szCs w:val="24"/>
        </w:rPr>
      </w:pPr>
    </w:p>
    <w:p w:rsidR="007920E3" w:rsidRPr="008D5885" w:rsidRDefault="007920E3" w:rsidP="007B32D1">
      <w:pPr>
        <w:pStyle w:val="Heading1"/>
        <w:numPr>
          <w:ilvl w:val="0"/>
          <w:numId w:val="23"/>
        </w:numPr>
        <w:ind w:hanging="720"/>
      </w:pPr>
      <w:r w:rsidRPr="008D5885">
        <w:t>Comparative effectiveness</w:t>
      </w:r>
    </w:p>
    <w:p w:rsidR="007920E3" w:rsidRPr="00C2639E" w:rsidRDefault="007920E3" w:rsidP="00DD2858"/>
    <w:p w:rsidR="007920E3" w:rsidRPr="0052597D" w:rsidRDefault="007920E3" w:rsidP="0052597D">
      <w:pPr>
        <w:rPr>
          <w:u w:val="single"/>
        </w:rPr>
      </w:pPr>
      <w:bookmarkStart w:id="1" w:name="_Toc418671222"/>
      <w:r w:rsidRPr="0052597D">
        <w:rPr>
          <w:u w:val="single"/>
        </w:rPr>
        <w:t>Information of DXA performance</w:t>
      </w:r>
      <w:bookmarkEnd w:id="1"/>
    </w:p>
    <w:p w:rsidR="007920E3" w:rsidRDefault="007920E3" w:rsidP="000A43DF">
      <w:pPr>
        <w:rPr>
          <w:kern w:val="16"/>
        </w:rPr>
      </w:pPr>
      <w:r>
        <w:rPr>
          <w:kern w:val="16"/>
        </w:rPr>
        <w:t xml:space="preserve">DXA came into practice in 1987 and has since been recognised as the gold standard of BMD measurement. It has very low radiation doses, high image resolution, precision and stable calibration of the instruments. With supporting data on normal BMD ranges for different </w:t>
      </w:r>
      <w:r>
        <w:rPr>
          <w:kern w:val="16"/>
        </w:rPr>
        <w:lastRenderedPageBreak/>
        <w:t>population groups, DXA allows for an immediate diagnosis of whether a person has osteopenia or osteoporosis.</w:t>
      </w:r>
    </w:p>
    <w:p w:rsidR="007920E3" w:rsidRDefault="007920E3" w:rsidP="000A43DF">
      <w:pPr>
        <w:rPr>
          <w:kern w:val="16"/>
        </w:rPr>
      </w:pPr>
    </w:p>
    <w:p w:rsidR="007920E3" w:rsidRPr="00FC130A" w:rsidRDefault="007920E3" w:rsidP="000A43DF">
      <w:pPr>
        <w:rPr>
          <w:kern w:val="16"/>
        </w:rPr>
      </w:pPr>
      <w:r>
        <w:rPr>
          <w:kern w:val="16"/>
        </w:rPr>
        <w:t>The Assessment Report identified seven studies which assessed the effectiveness of DXA in predicting fractures compared with fracture risk tools. The</w:t>
      </w:r>
      <w:r>
        <w:t xml:space="preserve"> performance of DXA is also determined by manufacturer quality control factors. Analytical performance of BMD is influenced by device, operator performance, and physiological composition, therefore good quality control of the DXA device and use is important </w:t>
      </w:r>
      <w:r>
        <w:fldChar w:fldCharType="begin"/>
      </w:r>
      <w:r>
        <w:instrText xml:space="preserve"> ADDIN EN.CITE &lt;EndNote&gt;&lt;Cite&gt;&lt;Author&gt;Homik&lt;/Author&gt;&lt;Year&gt;1999&lt;/Year&gt;&lt;RecNum&gt;235&lt;/RecNum&gt;&lt;DisplayText&gt;(Homik and Hailey 1999)&lt;/DisplayText&gt;&lt;record&gt;&lt;rec-number&gt;235&lt;/rec-number&gt;&lt;foreign-keys&gt;&lt;key app="EN" db-id="v9edw0zeqvve5nedzvjx29f1df2z2tvpvw55" timestamp="1398311956"&gt;235&lt;/key&gt;&lt;/foreign-keys&gt;&lt;ref-type name="Electronic Article"&gt;43&lt;/ref-type&gt;&lt;contributors&gt;&lt;authors&gt;&lt;author&gt;Homik, J.&lt;/author&gt;&lt;author&gt;Hailey, D.&lt;/author&gt;&lt;/authors&gt;&lt;/contributors&gt;&lt;titles&gt;&lt;title&gt;Selective testing with bone density measurement (Structured abstract)&lt;/title&gt;&lt;secondary-title&gt;Health Technology Assessment Database&lt;/secondary-title&gt;&lt;/titles&gt;&lt;periodical&gt;&lt;full-title&gt;Health Technology Assessment Database&lt;/full-title&gt;&lt;/periodical&gt;&lt;number&gt;1&lt;/number&gt;&lt;keywords&gt;&lt;keyword&gt;Absorptiometry, Photon&lt;/keyword&gt;&lt;keyword&gt;Bone Density&lt;/keyword&gt;&lt;keyword&gt;Mass Screening&lt;/keyword&gt;&lt;keyword&gt;Osteoporosis&lt;/keyword&gt;&lt;/keywords&gt;&lt;dates&gt;&lt;year&gt;1999&lt;/year&gt;&lt;/dates&gt;&lt;publisher&gt;Alberta Heritage Foundation for Medical Research (AHFMR)&lt;/publisher&gt;&lt;accession-num&gt;HTA-31999009317&lt;/accession-num&gt;&lt;label&gt;Included&lt;/label&gt;&lt;urls&gt;&lt;related-urls&gt;&lt;url&gt;http://onlinelibrary.wiley.com/o/cochrane/clhta/articles/HTA-31999009317/frame.html&lt;/url&gt;&lt;/related-urls&gt;&lt;/urls&gt;&lt;/record&gt;&lt;/Cite&gt;&lt;/EndNote&gt;</w:instrText>
      </w:r>
      <w:r>
        <w:fldChar w:fldCharType="separate"/>
      </w:r>
      <w:r>
        <w:rPr>
          <w:noProof/>
        </w:rPr>
        <w:t>(</w:t>
      </w:r>
      <w:hyperlink w:anchor="_ENREF_11" w:tooltip="Homik, 1999 #235" w:history="1">
        <w:r>
          <w:rPr>
            <w:noProof/>
          </w:rPr>
          <w:t>Homik and Hailey 1999</w:t>
        </w:r>
      </w:hyperlink>
      <w:r>
        <w:rPr>
          <w:noProof/>
        </w:rPr>
        <w:t>)</w:t>
      </w:r>
      <w:r>
        <w:fldChar w:fldCharType="end"/>
      </w:r>
      <w:r>
        <w:t>.</w:t>
      </w:r>
    </w:p>
    <w:p w:rsidR="007920E3" w:rsidRDefault="007920E3" w:rsidP="000A43DF"/>
    <w:p w:rsidR="007920E3" w:rsidRPr="0052597D" w:rsidRDefault="007920E3" w:rsidP="0052597D">
      <w:pPr>
        <w:rPr>
          <w:u w:val="single"/>
        </w:rPr>
      </w:pPr>
      <w:bookmarkStart w:id="2" w:name="_Toc418671223"/>
      <w:r w:rsidRPr="0052597D">
        <w:rPr>
          <w:u w:val="single"/>
        </w:rPr>
        <w:t>Methods to assess treatment effects on change in BMD</w:t>
      </w:r>
      <w:bookmarkEnd w:id="2"/>
    </w:p>
    <w:p w:rsidR="007920E3" w:rsidRDefault="007920E3" w:rsidP="000A43DF">
      <w:r>
        <w:t>A systematic review of fourteen studies was undertaken on the efficacy of treatments for aromatase-inhibitor-associated bone loss.</w:t>
      </w:r>
    </w:p>
    <w:p w:rsidR="007920E3" w:rsidRDefault="007920E3" w:rsidP="000A43DF"/>
    <w:p w:rsidR="007920E3" w:rsidRDefault="007920E3" w:rsidP="000A43DF">
      <w:r>
        <w:t xml:space="preserve">Although there were several systematic reviews and meta-analyses on anti-resorptive bone treatment efficacy in women taking aromatase-inhibitors </w:t>
      </w:r>
      <w:r>
        <w:fldChar w:fldCharType="begin">
          <w:fldData xml:space="preserve">PEVuZE5vdGU+PENpdGU+PEF1dGhvcj5IYWRqaTwvQXV0aG9yPjxZZWFyPjIwMTE8L1llYXI+PFJl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</w:fldData>
        </w:fldChar>
      </w:r>
      <w:r>
        <w:instrText xml:space="preserve"> ADDIN EN.CITE </w:instrText>
      </w:r>
      <w:r>
        <w:fldChar w:fldCharType="begin">
          <w:fldData xml:space="preserve">PEVuZE5vdGU+PENpdGU+PEF1dGhvcj5IYWRqaTwvQXV0aG9yPjxZZWFyPjIwMTE8L1llYXI+PFJl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</w:fldData>
        </w:fldChar>
      </w:r>
      <w:r>
        <w:instrText xml:space="preserve"> ADDIN EN.CITE.DATA </w:instrText>
      </w:r>
      <w:r>
        <w:fldChar w:fldCharType="end"/>
      </w:r>
      <w:r>
        <w:fldChar w:fldCharType="separate"/>
      </w:r>
      <w:r>
        <w:rPr>
          <w:noProof/>
        </w:rPr>
        <w:t>(</w:t>
      </w:r>
      <w:hyperlink w:anchor="_ENREF_19" w:tooltip="Perez, 2006 #95" w:history="1">
        <w:r>
          <w:rPr>
            <w:noProof/>
          </w:rPr>
          <w:t>Perez and Weilbaecher 2006</w:t>
        </w:r>
      </w:hyperlink>
      <w:r>
        <w:rPr>
          <w:noProof/>
        </w:rPr>
        <w:t xml:space="preserve">, </w:t>
      </w:r>
      <w:hyperlink w:anchor="_ENREF_8" w:tooltip="Hadji, 2011 #53" w:history="1">
        <w:r>
          <w:rPr>
            <w:noProof/>
          </w:rPr>
          <w:t>Hadji, Aapro et al. 2011</w:t>
        </w:r>
      </w:hyperlink>
      <w:r>
        <w:rPr>
          <w:noProof/>
        </w:rPr>
        <w:t>)</w:t>
      </w:r>
      <w:r>
        <w:fldChar w:fldCharType="end"/>
      </w:r>
      <w:r w:rsidRPr="008068E8">
        <w:t>,</w:t>
      </w:r>
      <w:r>
        <w:t xml:space="preserve"> they included many studies that have been superseded by more recent reports of outcomes from longer follow-ups. With updated data, the findings were presented both descriptively, using bar graphs and summary table, and statistically using a random-effects meta-analysis. The key treatment outcome in the main trials was </w:t>
      </w:r>
      <w:r w:rsidRPr="00697004">
        <w:rPr>
          <w:u w:val="single"/>
        </w:rPr>
        <w:t>percentage change in BMD</w:t>
      </w:r>
      <w:r>
        <w:t xml:space="preserve"> of the lumbar spine and hip. Negative BMD change values indicate bone density loss while a positive BMD change indicate the favourable outcome of bone density gain.</w:t>
      </w:r>
    </w:p>
    <w:p w:rsidR="007920E3" w:rsidRDefault="007920E3"/>
    <w:p w:rsidR="007920E3" w:rsidRDefault="007920E3" w:rsidP="000A43DF">
      <w:r>
        <w:t>The percentage change in BMD results are summarised graphically below.</w:t>
      </w:r>
    </w:p>
    <w:p w:rsidR="007920E3" w:rsidRDefault="007920E3" w:rsidP="000A43DF"/>
    <w:p w:rsidR="007920E3" w:rsidRDefault="007920E3" w:rsidP="00C2639E">
      <w:pPr>
        <w:pStyle w:val="Figures"/>
        <w:ind w:left="0" w:firstLine="0"/>
      </w:pPr>
      <w:bookmarkStart w:id="3" w:name="_Toc386112710"/>
      <w:r>
        <w:t>Figure</w:t>
      </w:r>
      <w:r w:rsidRPr="006339AA">
        <w:t xml:space="preserve"> </w:t>
      </w:r>
      <w:r>
        <w:t>1</w:t>
      </w:r>
      <w:r w:rsidRPr="006339AA">
        <w:t xml:space="preserve">: </w:t>
      </w:r>
      <w:r>
        <w:t xml:space="preserve">% change in BMD </w:t>
      </w:r>
      <w:r w:rsidRPr="005A4220">
        <w:rPr>
          <w:u w:val="single"/>
        </w:rPr>
        <w:t>lumb</w:t>
      </w:r>
      <w:r w:rsidR="00CE402E">
        <w:rPr>
          <w:u w:val="single"/>
        </w:rPr>
        <w:t>a</w:t>
      </w:r>
      <w:r w:rsidRPr="005A4220">
        <w:rPr>
          <w:u w:val="single"/>
        </w:rPr>
        <w:t>r spine</w:t>
      </w:r>
      <w:r>
        <w:t xml:space="preserve"> </w:t>
      </w:r>
      <w:r w:rsidRPr="006339AA">
        <w:t xml:space="preserve">of studies on treatments for </w:t>
      </w:r>
      <w:r>
        <w:t>AI</w:t>
      </w:r>
      <w:r w:rsidRPr="006339AA">
        <w:t>-associated bone loss</w:t>
      </w:r>
      <w:bookmarkEnd w:id="3"/>
    </w:p>
    <w:p w:rsidR="007920E3" w:rsidRPr="006339AA" w:rsidRDefault="007920E3" w:rsidP="00FC130A">
      <w:pPr>
        <w:pStyle w:val="TableText0"/>
        <w:ind w:left="567"/>
        <w:rPr>
          <w:b/>
        </w:rPr>
      </w:pPr>
    </w:p>
    <w:p w:rsidR="007920E3" w:rsidRDefault="0076192A" w:rsidP="00FC130A">
      <w:pPr>
        <w:pStyle w:val="TableText0"/>
        <w:rPr>
          <w:b/>
        </w:rPr>
      </w:pPr>
      <w:r>
        <w:rPr>
          <w:b/>
          <w:noProof/>
          <w:lang w:eastAsia="en-AU"/>
        </w:rPr>
        <w:drawing>
          <wp:inline distT="0" distB="0" distL="0" distR="0">
            <wp:extent cx="4724400" cy="2354580"/>
            <wp:effectExtent l="0" t="0" r="0" b="7620"/>
            <wp:docPr id="2" name="Picture 23" descr="The treatment arms of upfront zoledronic acid, other bisphosphonates and denosumab consistently show positive % change in BMD measures while the placebo or other comparators show declines in BMD. Two exceptions were Safra and Hines where the placebo arms had positive change but were lower than the intervention arms in BMD lumbar sp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treatment arms of upfront zoledronic acid, other bisphosphonates and denosumab consistently show positive % change in BMD measures while the placebo or other comparators show declines in BMD. Two exceptions were Safra and Hines where the placebo arms had positive change but were lower than the intervention arms in BMD lumbar spin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2354580"/>
                    </a:xfrm>
                    <a:prstGeom prst="rect">
                      <a:avLst/>
                    </a:prstGeom>
                    <a:noFill/>
                    <a:ln>
                      <a:noFill/>
                    </a:ln>
                  </pic:spPr>
                </pic:pic>
              </a:graphicData>
            </a:graphic>
          </wp:inline>
        </w:drawing>
      </w:r>
    </w:p>
    <w:p w:rsidR="007920E3" w:rsidRDefault="007920E3" w:rsidP="00FC130A">
      <w:pPr>
        <w:pStyle w:val="TableText0"/>
        <w:keepNext w:val="0"/>
        <w:ind w:left="567"/>
        <w:rPr>
          <w:b/>
        </w:rPr>
      </w:pPr>
    </w:p>
    <w:p w:rsidR="007920E3" w:rsidRDefault="007920E3" w:rsidP="00FC130A">
      <w:pPr>
        <w:pStyle w:val="TableText0"/>
        <w:keepNext w:val="0"/>
        <w:spacing w:after="480"/>
        <w:ind w:left="567"/>
        <w:rPr>
          <w:b/>
        </w:rPr>
      </w:pPr>
      <w:r w:rsidRPr="00DF4768">
        <w:t xml:space="preserve">NB: Control group for </w:t>
      </w:r>
      <w:proofErr w:type="spellStart"/>
      <w:r w:rsidRPr="00DF4768">
        <w:t>Bruksky</w:t>
      </w:r>
      <w:proofErr w:type="spellEnd"/>
      <w:r w:rsidRPr="00DF4768">
        <w:t xml:space="preserve">, Coleman, </w:t>
      </w:r>
      <w:proofErr w:type="spellStart"/>
      <w:r w:rsidRPr="00DF4768">
        <w:t>Llombart</w:t>
      </w:r>
      <w:proofErr w:type="spellEnd"/>
      <w:r w:rsidRPr="00DF4768">
        <w:t xml:space="preserve">, Hines and Takahashi </w:t>
      </w:r>
      <w:r>
        <w:t>wa</w:t>
      </w:r>
      <w:r w:rsidRPr="00DF4768">
        <w:t xml:space="preserve">s ‘delayed </w:t>
      </w:r>
      <w:r w:rsidRPr="002404CD">
        <w:t>zoledronic</w:t>
      </w:r>
      <w:r w:rsidRPr="00DF4768">
        <w:t xml:space="preserve"> acid’ not placebo.</w:t>
      </w:r>
      <w:r>
        <w:rPr>
          <w:b/>
        </w:rPr>
        <w:t xml:space="preserve"> </w:t>
      </w:r>
    </w:p>
    <w:p w:rsidR="00DB3E5F" w:rsidRDefault="00DB3E5F">
      <w:pPr>
        <w:rPr>
          <w:rFonts w:ascii="Arial Narrow" w:hAnsi="Arial Narrow"/>
          <w:b/>
          <w:sz w:val="20"/>
          <w:lang w:eastAsia="ja-JP"/>
        </w:rPr>
      </w:pPr>
      <w:bookmarkStart w:id="4" w:name="_Toc386112711"/>
      <w:r>
        <w:br w:type="page"/>
      </w:r>
    </w:p>
    <w:p w:rsidR="007920E3" w:rsidRDefault="007920E3" w:rsidP="00556165">
      <w:pPr>
        <w:pStyle w:val="Figures"/>
        <w:keepNext w:val="0"/>
        <w:ind w:left="0" w:firstLine="0"/>
      </w:pPr>
      <w:r>
        <w:lastRenderedPageBreak/>
        <w:t>Figure</w:t>
      </w:r>
      <w:r w:rsidRPr="006339AA">
        <w:t xml:space="preserve"> </w:t>
      </w:r>
      <w:r>
        <w:t>2</w:t>
      </w:r>
      <w:r w:rsidRPr="006339AA">
        <w:t xml:space="preserve">: </w:t>
      </w:r>
      <w:r>
        <w:t xml:space="preserve">% change in BMD total hip </w:t>
      </w:r>
      <w:r w:rsidRPr="006339AA">
        <w:t xml:space="preserve">of studies on treatments for </w:t>
      </w:r>
      <w:r>
        <w:t>AI</w:t>
      </w:r>
      <w:r w:rsidRPr="006339AA">
        <w:t>-associated bone loss</w:t>
      </w:r>
      <w:bookmarkEnd w:id="4"/>
    </w:p>
    <w:p w:rsidR="007920E3" w:rsidRPr="006339AA" w:rsidRDefault="0076192A" w:rsidP="00FC130A">
      <w:pPr>
        <w:pStyle w:val="TableText0"/>
        <w:ind w:left="153"/>
        <w:rPr>
          <w:b/>
        </w:rPr>
      </w:pPr>
      <w:r>
        <w:rPr>
          <w:b/>
          <w:noProof/>
          <w:lang w:eastAsia="en-AU"/>
        </w:rPr>
        <w:drawing>
          <wp:inline distT="0" distB="0" distL="0" distR="0">
            <wp:extent cx="5044440" cy="2522220"/>
            <wp:effectExtent l="0" t="0" r="3810" b="0"/>
            <wp:docPr id="3" name="Picture 24" descr="The treatment arms of upfront zoledronic acid, other bisphosphonates and denosumab consistently show positive % change in BMD measures while the placebo or other comparators show declines in BMD. Two exceptions were Safra and Hines where the placebo arms had positive change but were lower than the intervention arms in BMD lumbar sp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 treatment arms of upfront zoledronic acid, other bisphosphonates and denosumab consistently show positive % change in BMD measures while the placebo or other comparators show declines in BMD. Two exceptions were Safra and Hines where the placebo arms had positive change but were lower than the intervention arms in BMD lumbar spin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4440" cy="2522220"/>
                    </a:xfrm>
                    <a:prstGeom prst="rect">
                      <a:avLst/>
                    </a:prstGeom>
                    <a:noFill/>
                    <a:ln>
                      <a:noFill/>
                    </a:ln>
                  </pic:spPr>
                </pic:pic>
              </a:graphicData>
            </a:graphic>
          </wp:inline>
        </w:drawing>
      </w:r>
    </w:p>
    <w:p w:rsidR="007920E3" w:rsidRDefault="007920E3" w:rsidP="00BB562F">
      <w:pPr>
        <w:pStyle w:val="TableText0"/>
        <w:keepNext w:val="0"/>
        <w:spacing w:before="0" w:after="0"/>
        <w:ind w:left="567"/>
      </w:pPr>
      <w:r w:rsidRPr="00DF4768">
        <w:t xml:space="preserve">NB: Control group for </w:t>
      </w:r>
      <w:proofErr w:type="spellStart"/>
      <w:r w:rsidRPr="00DF4768">
        <w:t>Bruksky</w:t>
      </w:r>
      <w:proofErr w:type="spellEnd"/>
      <w:r w:rsidRPr="00DF4768">
        <w:t xml:space="preserve">, Coleman, </w:t>
      </w:r>
      <w:proofErr w:type="spellStart"/>
      <w:r w:rsidRPr="00DF4768">
        <w:t>Llombart</w:t>
      </w:r>
      <w:proofErr w:type="spellEnd"/>
      <w:r w:rsidRPr="00DF4768">
        <w:t>, Hines and Takahashi</w:t>
      </w:r>
      <w:r>
        <w:t xml:space="preserve"> </w:t>
      </w:r>
      <w:proofErr w:type="spellStart"/>
      <w:r>
        <w:t>wa</w:t>
      </w:r>
      <w:r w:rsidRPr="00DF4768">
        <w:t>is</w:t>
      </w:r>
      <w:proofErr w:type="spellEnd"/>
      <w:r w:rsidRPr="00DF4768">
        <w:t xml:space="preserve"> ‘delayed </w:t>
      </w:r>
      <w:proofErr w:type="spellStart"/>
      <w:r>
        <w:t>zoledronic</w:t>
      </w:r>
      <w:proofErr w:type="spellEnd"/>
      <w:r w:rsidRPr="00DF4768">
        <w:t xml:space="preserve"> acid’ not placebo.</w:t>
      </w:r>
      <w:r>
        <w:t xml:space="preserve"> </w:t>
      </w:r>
    </w:p>
    <w:p w:rsidR="007920E3" w:rsidRDefault="007920E3" w:rsidP="000A43DF"/>
    <w:p w:rsidR="007920E3" w:rsidRDefault="007920E3" w:rsidP="000A43DF">
      <w:r>
        <w:t>A meta-analysis was performed using a random effects model. Where BMD was recorded for different follow-up times, the BMD of the longest follow-up period was included. Study heterogeneity was assessed using the I</w:t>
      </w:r>
      <w:r>
        <w:rPr>
          <w:vertAlign w:val="superscript"/>
        </w:rPr>
        <w:t>2</w:t>
      </w:r>
      <w:r>
        <w:t xml:space="preserve"> statistic where &gt;50-74% was considered moderate heterogeneity and ≥75% was considered high heterogeneity. Analyses were undertaken for BMD lumbar spine and total hip outcomes. Subgroup analyses were undertaken, by early or longer follow up period (≤ or &gt; 24 months) and by zoledronic acid versus other bone treatment.</w:t>
      </w:r>
    </w:p>
    <w:p w:rsidR="007920E3" w:rsidRDefault="007920E3" w:rsidP="000A43DF"/>
    <w:p w:rsidR="007920E3" w:rsidRPr="0052597D" w:rsidRDefault="007920E3" w:rsidP="0052597D">
      <w:pPr>
        <w:rPr>
          <w:u w:val="single"/>
        </w:rPr>
      </w:pPr>
      <w:bookmarkStart w:id="5" w:name="_Toc418671224"/>
      <w:r w:rsidRPr="0052597D">
        <w:rPr>
          <w:u w:val="single"/>
        </w:rPr>
        <w:t>Interpretation of results of change in BMD</w:t>
      </w:r>
      <w:bookmarkEnd w:id="5"/>
    </w:p>
    <w:p w:rsidR="007920E3" w:rsidRDefault="007920E3" w:rsidP="000A43DF">
      <w:r>
        <w:t>The presentation of the trial results for ‘percentage change in BMD’ was in terms of standardised mean difference. For BMD lumbar spine, the standardised mean difference between the intervention and comparator arms were 1.46% and for BMD total hip was 1.48%.</w:t>
      </w:r>
    </w:p>
    <w:p w:rsidR="007920E3" w:rsidRDefault="007920E3" w:rsidP="000A43DF"/>
    <w:p w:rsidR="007920E3" w:rsidRDefault="007920E3" w:rsidP="000A43DF">
      <w:r>
        <w:t>The revised meta-analyses present the results of the mean difference across treatment arms in percentage change in BMD over time in Tables 1 and 2, consistent with the bar graphs in the Assessment Report.</w:t>
      </w:r>
    </w:p>
    <w:p w:rsidR="007920E3" w:rsidRDefault="007920E3" w:rsidP="000A43DF">
      <w:pPr>
        <w:pStyle w:val="Tabletextboldleft"/>
      </w:pPr>
      <w:r>
        <w:lastRenderedPageBreak/>
        <w:t>Table 1: Mean difference in treatment arms in percentage change in BMD (hip) by study</w:t>
      </w:r>
    </w:p>
    <w:p w:rsidR="007920E3" w:rsidRDefault="007920E3" w:rsidP="000A43DF">
      <w:pPr>
        <w:pStyle w:val="Tabletextboldleft"/>
      </w:pPr>
    </w:p>
    <w:p w:rsidR="007920E3" w:rsidRDefault="0076192A" w:rsidP="000A43DF">
      <w:pPr>
        <w:pStyle w:val="Tabletextboldleft"/>
      </w:pPr>
      <w:r>
        <w:rPr>
          <w:noProof/>
          <w:sz w:val="16"/>
          <w:szCs w:val="16"/>
          <w:lang w:eastAsia="en-AU"/>
        </w:rPr>
        <w:drawing>
          <wp:inline distT="0" distB="0" distL="0" distR="0">
            <wp:extent cx="5615940" cy="2407920"/>
            <wp:effectExtent l="0" t="0" r="3810" b="0"/>
            <wp:docPr id="4" name="Picture 3" descr="The pooled weighted mean difference % change in BMD (hip) of all the studies was 5.6%, 95% CI: 3.5 to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ooled weighted mean difference % change in BMD (hip) of all the studies was 5.6%, 95% CI: 3.5 to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5940" cy="2407920"/>
                    </a:xfrm>
                    <a:prstGeom prst="rect">
                      <a:avLst/>
                    </a:prstGeom>
                    <a:noFill/>
                    <a:ln>
                      <a:noFill/>
                    </a:ln>
                  </pic:spPr>
                </pic:pic>
              </a:graphicData>
            </a:graphic>
          </wp:inline>
        </w:drawing>
      </w:r>
    </w:p>
    <w:p w:rsidR="007920E3" w:rsidRDefault="007920E3" w:rsidP="000A43DF">
      <w:pPr>
        <w:spacing w:before="240"/>
      </w:pPr>
      <w:r w:rsidRPr="008B72AA">
        <w:rPr>
          <w:rStyle w:val="TabletextboldleftChar"/>
        </w:rPr>
        <w:t xml:space="preserve">Figure </w:t>
      </w:r>
      <w:r>
        <w:rPr>
          <w:rStyle w:val="TabletextboldleftChar"/>
        </w:rPr>
        <w:t>3</w:t>
      </w:r>
      <w:r w:rsidRPr="008B72AA">
        <w:rPr>
          <w:rStyle w:val="TabletextboldleftChar"/>
        </w:rPr>
        <w:t>: Forest plot of mean</w:t>
      </w:r>
      <w:r>
        <w:rPr>
          <w:rStyle w:val="TabletextboldleftChar"/>
        </w:rPr>
        <w:t xml:space="preserve"> difference in</w:t>
      </w:r>
      <w:r w:rsidRPr="008B72AA">
        <w:rPr>
          <w:rStyle w:val="TabletextboldleftChar"/>
        </w:rPr>
        <w:t xml:space="preserve"> % change in BMD</w:t>
      </w:r>
      <w:r>
        <w:rPr>
          <w:rStyle w:val="TabletextboldleftChar"/>
        </w:rPr>
        <w:t xml:space="preserve"> (total hip)</w:t>
      </w:r>
      <w:r w:rsidRPr="008B72AA">
        <w:rPr>
          <w:rStyle w:val="TabletextboldleftChar"/>
        </w:rPr>
        <w:br/>
      </w:r>
      <w:r>
        <w:t xml:space="preserve"> </w:t>
      </w:r>
      <w:r w:rsidR="0076192A">
        <w:rPr>
          <w:noProof/>
        </w:rPr>
        <w:drawing>
          <wp:inline distT="0" distB="0" distL="0" distR="0">
            <wp:extent cx="4389120" cy="2461260"/>
            <wp:effectExtent l="0" t="0" r="0" b="0"/>
            <wp:docPr id="5" name="Picture 4" descr="Forest plot representation that the pooled weighted mean difference % change in BMD (hip) of all the studies was 5.6%, 95% CI: 3.5 to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est plot representation that the pooled weighted mean difference % change in BMD (hip) of all the studies was 5.6%, 95% CI: 3.5 to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9120" cy="2461260"/>
                    </a:xfrm>
                    <a:prstGeom prst="rect">
                      <a:avLst/>
                    </a:prstGeom>
                    <a:noFill/>
                    <a:ln>
                      <a:noFill/>
                    </a:ln>
                  </pic:spPr>
                </pic:pic>
              </a:graphicData>
            </a:graphic>
          </wp:inline>
        </w:drawing>
      </w:r>
    </w:p>
    <w:p w:rsidR="007920E3" w:rsidRDefault="007920E3" w:rsidP="000A43DF">
      <w:pPr>
        <w:ind w:left="1440" w:firstLine="720"/>
      </w:pPr>
      <w:r w:rsidRPr="00B155F6">
        <w:rPr>
          <w:rFonts w:ascii="Calibri" w:hAnsi="Calibri"/>
          <w:sz w:val="16"/>
          <w:szCs w:val="16"/>
        </w:rPr>
        <w:t>Favours comparator</w:t>
      </w:r>
      <w:r>
        <w:rPr>
          <w:rFonts w:ascii="Calibri" w:hAnsi="Calibri"/>
          <w:sz w:val="16"/>
          <w:szCs w:val="16"/>
        </w:rPr>
        <w:tab/>
      </w:r>
      <w:r>
        <w:rPr>
          <w:rFonts w:ascii="Calibri" w:hAnsi="Calibri"/>
          <w:sz w:val="16"/>
          <w:szCs w:val="16"/>
        </w:rPr>
        <w:tab/>
      </w:r>
      <w:r w:rsidRPr="00B155F6">
        <w:rPr>
          <w:rFonts w:ascii="Calibri" w:hAnsi="Calibri"/>
          <w:sz w:val="16"/>
          <w:szCs w:val="16"/>
        </w:rPr>
        <w:t>Favours treatment</w:t>
      </w:r>
    </w:p>
    <w:p w:rsidR="007920E3" w:rsidRDefault="007920E3" w:rsidP="000A43DF">
      <w:pPr>
        <w:pStyle w:val="Tabletextboldleft"/>
      </w:pPr>
      <w:r>
        <w:t>Table 2: Mean difference in treatment arms in percentage change in BMD (lumbar spine) by study</w:t>
      </w:r>
    </w:p>
    <w:p w:rsidR="007920E3" w:rsidRDefault="007920E3" w:rsidP="000A43DF">
      <w:pPr>
        <w:pStyle w:val="Tabletextboldleft"/>
      </w:pPr>
    </w:p>
    <w:p w:rsidR="007920E3" w:rsidRDefault="0076192A" w:rsidP="000A43DF">
      <w:pPr>
        <w:pStyle w:val="Tabletextboldleft"/>
      </w:pPr>
      <w:r>
        <w:rPr>
          <w:noProof/>
          <w:lang w:eastAsia="en-AU"/>
        </w:rPr>
        <w:drawing>
          <wp:inline distT="0" distB="0" distL="0" distR="0">
            <wp:extent cx="5638800" cy="2415540"/>
            <wp:effectExtent l="0" t="0" r="0" b="3810"/>
            <wp:docPr id="6" name="Picture 5" descr="The pooled weighted mean difference % change in BMD (lumbar spine) of all the studies was 5.8%, 95% CI: 4.1 to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ooled weighted mean difference % change in BMD (lumbar spine) of all the studies was 5.8%, 95% CI: 4.1 to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2415540"/>
                    </a:xfrm>
                    <a:prstGeom prst="rect">
                      <a:avLst/>
                    </a:prstGeom>
                    <a:noFill/>
                    <a:ln>
                      <a:noFill/>
                    </a:ln>
                  </pic:spPr>
                </pic:pic>
              </a:graphicData>
            </a:graphic>
          </wp:inline>
        </w:drawing>
      </w:r>
    </w:p>
    <w:p w:rsidR="007920E3" w:rsidRDefault="007920E3" w:rsidP="00C2639E"/>
    <w:p w:rsidR="00DB3E5F" w:rsidRDefault="00DB3E5F">
      <w:pPr>
        <w:rPr>
          <w:rStyle w:val="TabletextboldleftChar"/>
        </w:rPr>
      </w:pPr>
      <w:r>
        <w:rPr>
          <w:rStyle w:val="TabletextboldleftChar"/>
        </w:rPr>
        <w:br w:type="page"/>
      </w:r>
    </w:p>
    <w:p w:rsidR="007920E3" w:rsidRDefault="007920E3" w:rsidP="000A43DF">
      <w:r w:rsidRPr="008B72AA">
        <w:rPr>
          <w:rStyle w:val="TabletextboldleftChar"/>
        </w:rPr>
        <w:lastRenderedPageBreak/>
        <w:t xml:space="preserve">Figure </w:t>
      </w:r>
      <w:r>
        <w:rPr>
          <w:rStyle w:val="TabletextboldleftChar"/>
        </w:rPr>
        <w:t>4</w:t>
      </w:r>
      <w:r w:rsidRPr="008B72AA">
        <w:rPr>
          <w:rStyle w:val="TabletextboldleftChar"/>
        </w:rPr>
        <w:t xml:space="preserve">: Forest plot of mean % change in BMD </w:t>
      </w:r>
      <w:r>
        <w:rPr>
          <w:rStyle w:val="TabletextboldleftChar"/>
        </w:rPr>
        <w:t>(lumbar spine)</w:t>
      </w:r>
    </w:p>
    <w:p w:rsidR="007920E3" w:rsidRDefault="0076192A" w:rsidP="000A43DF">
      <w:pPr>
        <w:rPr>
          <w:rFonts w:ascii="Calibri" w:hAnsi="Calibri"/>
          <w:sz w:val="16"/>
          <w:szCs w:val="16"/>
        </w:rPr>
      </w:pPr>
      <w:r>
        <w:rPr>
          <w:noProof/>
        </w:rPr>
        <w:drawing>
          <wp:inline distT="0" distB="0" distL="0" distR="0">
            <wp:extent cx="4526280" cy="2278380"/>
            <wp:effectExtent l="0" t="0" r="7620" b="7620"/>
            <wp:docPr id="7" name="Picture 6" descr="Forest plot representation that the pooled weighted mean difference % change in BMD (lumbar spine) of all the studies was 5.8%, 95% CI: 4.1 to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est plot representation that the pooled weighted mean difference % change in BMD (lumbar spine) of all the studies was 5.8%, 95% CI: 4.1 to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6280" cy="2278380"/>
                    </a:xfrm>
                    <a:prstGeom prst="rect">
                      <a:avLst/>
                    </a:prstGeom>
                    <a:noFill/>
                    <a:ln>
                      <a:noFill/>
                    </a:ln>
                  </pic:spPr>
                </pic:pic>
              </a:graphicData>
            </a:graphic>
          </wp:inline>
        </w:drawing>
      </w:r>
    </w:p>
    <w:p w:rsidR="007920E3" w:rsidRPr="00B155F6" w:rsidRDefault="007920E3" w:rsidP="000A43DF">
      <w:pPr>
        <w:ind w:left="1440" w:firstLine="720"/>
        <w:rPr>
          <w:rFonts w:ascii="Calibri" w:hAnsi="Calibri"/>
          <w:sz w:val="16"/>
          <w:szCs w:val="16"/>
        </w:rPr>
      </w:pPr>
      <w:r w:rsidRPr="00B155F6">
        <w:rPr>
          <w:rFonts w:ascii="Calibri" w:hAnsi="Calibri"/>
          <w:sz w:val="16"/>
          <w:szCs w:val="16"/>
        </w:rPr>
        <w:t>Favours comparator</w:t>
      </w:r>
      <w:r>
        <w:rPr>
          <w:rFonts w:ascii="Calibri" w:hAnsi="Calibri"/>
          <w:sz w:val="16"/>
          <w:szCs w:val="16"/>
        </w:rPr>
        <w:tab/>
      </w:r>
      <w:r>
        <w:rPr>
          <w:rFonts w:ascii="Calibri" w:hAnsi="Calibri"/>
          <w:sz w:val="16"/>
          <w:szCs w:val="16"/>
        </w:rPr>
        <w:tab/>
      </w:r>
      <w:r w:rsidRPr="00B155F6">
        <w:rPr>
          <w:rFonts w:ascii="Calibri" w:hAnsi="Calibri"/>
          <w:sz w:val="16"/>
          <w:szCs w:val="16"/>
        </w:rPr>
        <w:t>Favours treatment</w:t>
      </w:r>
    </w:p>
    <w:p w:rsidR="007920E3" w:rsidRDefault="007920E3" w:rsidP="00C2639E"/>
    <w:p w:rsidR="007920E3" w:rsidRDefault="007920E3" w:rsidP="000A43DF">
      <w:r>
        <w:t>The findings of the meta-analysis show a pooled effect of 5.6% difference across groups in the change in BMD (95%CI: 3.5% to 7.7%) at the hip and 5.8% (95%CI: 4.1% to 7.4%) at the lumbar spine. The pooled findings show positive bone density and are consistent and significant. Based on updated data, they indicate a superior benefit of anti-resorptive therapy for women with breast cancer on aromatase inhibitors for increasing bone density compared with no treatment.</w:t>
      </w:r>
    </w:p>
    <w:p w:rsidR="007920E3" w:rsidRDefault="007920E3" w:rsidP="000A43DF"/>
    <w:p w:rsidR="007920E3" w:rsidRDefault="007920E3" w:rsidP="000A43DF">
      <w:r>
        <w:t>However, study heterogeneity was problematic and high as indicated by I</w:t>
      </w:r>
      <w:r>
        <w:rPr>
          <w:vertAlign w:val="superscript"/>
        </w:rPr>
        <w:t>2</w:t>
      </w:r>
      <w:r>
        <w:t xml:space="preserve"> ≥90.0%. No study dominated these results as they equally contributed to the final results (between 9-12%) </w:t>
      </w:r>
      <w:proofErr w:type="gramStart"/>
      <w:r>
        <w:t>(Tables</w:t>
      </w:r>
      <w:r w:rsidR="009C0580">
        <w:t xml:space="preserve"> </w:t>
      </w:r>
      <w:r>
        <w:t>1 and 2).</w:t>
      </w:r>
      <w:proofErr w:type="gramEnd"/>
      <w:r>
        <w:t xml:space="preserve"> The three key studies with the largest sample sizes and five-year follow-ups, </w:t>
      </w:r>
      <w:proofErr w:type="spellStart"/>
      <w:r>
        <w:t>Brufsky</w:t>
      </w:r>
      <w:proofErr w:type="spellEnd"/>
      <w:r>
        <w:t xml:space="preserve"> 2012, Coleman 2013 and </w:t>
      </w:r>
      <w:proofErr w:type="spellStart"/>
      <w:r>
        <w:t>Llombart</w:t>
      </w:r>
      <w:proofErr w:type="spellEnd"/>
      <w:r>
        <w:t xml:space="preserve"> 2012, produced consistent results.</w:t>
      </w:r>
    </w:p>
    <w:p w:rsidR="007920E3" w:rsidRPr="006B6F55" w:rsidRDefault="007920E3" w:rsidP="00C2639E"/>
    <w:p w:rsidR="007920E3" w:rsidRPr="0052597D" w:rsidRDefault="007920E3" w:rsidP="0052597D">
      <w:pPr>
        <w:rPr>
          <w:u w:val="single"/>
        </w:rPr>
      </w:pPr>
      <w:bookmarkStart w:id="6" w:name="_Toc418671225"/>
      <w:r w:rsidRPr="0052597D">
        <w:rPr>
          <w:u w:val="single"/>
        </w:rPr>
        <w:t>Balance of benefits and harms for BMD management</w:t>
      </w:r>
      <w:bookmarkEnd w:id="6"/>
    </w:p>
    <w:p w:rsidR="007920E3" w:rsidRDefault="007920E3" w:rsidP="000A43DF">
      <w:r>
        <w:t>The intervention proposed in the application, DXA and anti-resorptive treatment, as shown by the evidence in this assessment, is superior to placebo for BMD loss in the lumbar spine and hip and may be superior in terms of bone fractures. Although fewer bone fractures were observed in the trials in women taking AR, the numbers were low and a lack of statistical power was the likely reason for a lack of statistical significance.</w:t>
      </w:r>
    </w:p>
    <w:p w:rsidR="007920E3" w:rsidRDefault="007920E3" w:rsidP="000A43DF"/>
    <w:p w:rsidR="007920E3" w:rsidRPr="006B6F55" w:rsidRDefault="007920E3" w:rsidP="000A43DF">
      <w:r>
        <w:t xml:space="preserve">Table 3 below </w:t>
      </w:r>
      <w:r w:rsidRPr="006B6F55">
        <w:t>summarise</w:t>
      </w:r>
      <w:r>
        <w:t>s</w:t>
      </w:r>
      <w:r w:rsidRPr="006B6F55">
        <w:t xml:space="preserve"> the </w:t>
      </w:r>
      <w:r>
        <w:t>comparative benefits and harms for ‘DXA plus anti-</w:t>
      </w:r>
      <w:proofErr w:type="spellStart"/>
      <w:r>
        <w:t>resorptives</w:t>
      </w:r>
      <w:proofErr w:type="spellEnd"/>
      <w:r>
        <w:t>’ compared with placebo, based on the trials identified in the systematic review.</w:t>
      </w:r>
    </w:p>
    <w:p w:rsidR="007920E3" w:rsidRDefault="007920E3" w:rsidP="000A43DF"/>
    <w:p w:rsidR="007920E3" w:rsidRDefault="007920E3" w:rsidP="000A43DF">
      <w:r>
        <w:t>The common adverse events reported by women in the AI trials on anti-resorptive treatments were arthralgia, hot flushes, fatigue, myalgia, bone pain and fever. Arthralgia, fever, hot flushes and fatigue are also common symptoms for AI treatment making the attribution of them to AI or AR therapy blurred.</w:t>
      </w:r>
    </w:p>
    <w:p w:rsidR="007920E3" w:rsidRDefault="007920E3" w:rsidP="000A43DF"/>
    <w:p w:rsidR="007920E3" w:rsidRDefault="007920E3" w:rsidP="000A43DF">
      <w:pPr>
        <w:pStyle w:val="Tabletextboldleft"/>
        <w:rPr>
          <w:rStyle w:val="CommentReference"/>
          <w:sz w:val="20"/>
          <w:szCs w:val="20"/>
        </w:rPr>
      </w:pPr>
      <w:r w:rsidRPr="00A229E8">
        <w:rPr>
          <w:rStyle w:val="CommentReference"/>
          <w:sz w:val="20"/>
          <w:szCs w:val="20"/>
        </w:rPr>
        <w:lastRenderedPageBreak/>
        <w:t xml:space="preserve">Table </w:t>
      </w:r>
      <w:r>
        <w:rPr>
          <w:rStyle w:val="CommentReference"/>
          <w:sz w:val="20"/>
          <w:szCs w:val="20"/>
        </w:rPr>
        <w:t>3</w:t>
      </w:r>
      <w:r w:rsidRPr="00A229E8">
        <w:rPr>
          <w:rStyle w:val="CommentReference"/>
          <w:sz w:val="20"/>
          <w:szCs w:val="20"/>
        </w:rPr>
        <w:t xml:space="preserve">: Summary of comparative benefits and harms for </w:t>
      </w:r>
      <w:r w:rsidRPr="00A229E8">
        <w:rPr>
          <w:color w:val="000000"/>
        </w:rPr>
        <w:t>DXA plus ARs</w:t>
      </w:r>
      <w:r w:rsidRPr="00A229E8">
        <w:rPr>
          <w:rStyle w:val="CommentReference"/>
          <w:sz w:val="20"/>
          <w:szCs w:val="20"/>
        </w:rPr>
        <w:t xml:space="preserve"> and PBO</w:t>
      </w:r>
    </w:p>
    <w:p w:rsidR="007920E3" w:rsidRDefault="007920E3" w:rsidP="000A43DF">
      <w:pPr>
        <w:pStyle w:val="Tabletextboldleft"/>
        <w:rPr>
          <w:rStyle w:val="CommentReference"/>
          <w:sz w:val="20"/>
          <w:szCs w:val="20"/>
        </w:rPr>
      </w:pPr>
    </w:p>
    <w:p w:rsidR="007920E3" w:rsidRPr="00A229E8" w:rsidRDefault="0076192A" w:rsidP="000A43DF">
      <w:pPr>
        <w:pStyle w:val="Tabletextboldleft"/>
        <w:rPr>
          <w:rStyle w:val="CommentReference"/>
          <w:sz w:val="20"/>
          <w:szCs w:val="20"/>
        </w:rPr>
      </w:pPr>
      <w:r>
        <w:rPr>
          <w:rFonts w:cs="Times New Roman"/>
          <w:noProof/>
          <w:lang w:eastAsia="en-AU"/>
        </w:rPr>
        <w:drawing>
          <wp:inline distT="0" distB="0" distL="0" distR="0">
            <wp:extent cx="5661660" cy="6332220"/>
            <wp:effectExtent l="0" t="0" r="0" b="0"/>
            <wp:docPr id="8" name="Picture 7" descr="Based on the trials identified in the systematic review, the common adverse events for women on anti-resorptive treatments were arthralgia, hot flushes, fatigue, myalgia, bone pain and fever. Arthralgia, fever, hot flushes and fatigue are also common symptoms for AI treatment making the attribution of them to AI or AR therapy blurred.With women on AR therapy, there were a significantly higher proportion of women experiencing bone pain and fever in the studies. There appeared to be a protective effect of hot flushes in two studies (Safra, Bernstein-Molho et al. 2011, Llombart, Frassoldati et al. 2012). Also fatigue was found in one study (Hines, Mincey et al. 2009). Not all studies reported all types of adverse events or only reported them sel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sed on the trials identified in the systematic review, the common adverse events for women on anti-resorptive treatments were arthralgia, hot flushes, fatigue, myalgia, bone pain and fever. Arthralgia, fever, hot flushes and fatigue are also common symptoms for AI treatment making the attribution of them to AI or AR therapy blurred.With women on AR therapy, there were a significantly higher proportion of women experiencing bone pain and fever in the studies. There appeared to be a protective effect of hot flushes in two studies (Safra, Bernstein-Molho et al. 2011, Llombart, Frassoldati et al. 2012). Also fatigue was found in one study (Hines, Mincey et al. 2009). Not all studies reported all types of adverse events or only reported them selectivel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1660" cy="6332220"/>
                    </a:xfrm>
                    <a:prstGeom prst="rect">
                      <a:avLst/>
                    </a:prstGeom>
                    <a:noFill/>
                    <a:ln>
                      <a:noFill/>
                    </a:ln>
                  </pic:spPr>
                </pic:pic>
              </a:graphicData>
            </a:graphic>
          </wp:inline>
        </w:drawing>
      </w:r>
    </w:p>
    <w:p w:rsidR="007920E3" w:rsidRPr="00CF6B1B" w:rsidRDefault="007920E3" w:rsidP="000A43DF">
      <w:pPr>
        <w:pStyle w:val="TableFooter"/>
      </w:pPr>
      <w:r w:rsidRPr="00CF6B1B">
        <w:t>* Median duration of follow-up</w:t>
      </w:r>
      <w:r>
        <w:t>; 5 years (</w:t>
      </w:r>
      <w:proofErr w:type="spellStart"/>
      <w:r>
        <w:t>Brufsky</w:t>
      </w:r>
      <w:proofErr w:type="spellEnd"/>
      <w:r>
        <w:t xml:space="preserve"> 2012, Coleman 2013, </w:t>
      </w:r>
      <w:proofErr w:type="spellStart"/>
      <w:r>
        <w:t>Llombart</w:t>
      </w:r>
      <w:proofErr w:type="spellEnd"/>
      <w:r>
        <w:t xml:space="preserve"> 2012, </w:t>
      </w:r>
      <w:proofErr w:type="spellStart"/>
      <w:r>
        <w:t>Safra</w:t>
      </w:r>
      <w:proofErr w:type="spellEnd"/>
      <w:r>
        <w:t xml:space="preserve"> 2011), 24 months (Hines), 12 months (Takahashi 2012, </w:t>
      </w:r>
      <w:proofErr w:type="spellStart"/>
      <w:r>
        <w:t>Nuzzo</w:t>
      </w:r>
      <w:proofErr w:type="spellEnd"/>
      <w:r>
        <w:t xml:space="preserve"> 2012)</w:t>
      </w:r>
    </w:p>
    <w:p w:rsidR="007920E3" w:rsidRPr="00CF6B1B" w:rsidRDefault="007920E3" w:rsidP="000A43DF">
      <w:pPr>
        <w:pStyle w:val="TableFooter"/>
      </w:pPr>
      <w:r w:rsidRPr="00CF6B1B">
        <w:t>Abbreviations: PBO = placebo; RD = risk difference; RR = risk ratio</w:t>
      </w:r>
    </w:p>
    <w:p w:rsidR="007920E3" w:rsidRDefault="007920E3" w:rsidP="000A43DF">
      <w:pPr>
        <w:pStyle w:val="TableFooter"/>
      </w:pPr>
      <w:r w:rsidRPr="00CF6B1B">
        <w:t>Source: Compiled during the evaluation</w:t>
      </w:r>
    </w:p>
    <w:p w:rsidR="007920E3" w:rsidRDefault="007920E3" w:rsidP="000A43DF"/>
    <w:p w:rsidR="007920E3" w:rsidRDefault="007920E3" w:rsidP="000A43DF">
      <w:r>
        <w:t xml:space="preserve">Zoledronic acid was the only anti-resorptive used in the studies reporting harms in Table 3. With women on AR therapy, there were a significantly higher proportion of women experiencing bone pain and fever in the studies. There appeared to be a protective effect of hot flushes in two studies </w:t>
      </w:r>
      <w:r>
        <w:fldChar w:fldCharType="begin">
          <w:fldData xml:space="preserve">PEVuZE5vdGU+PENpdGU+PEF1dGhvcj5MbG9tYmFydDwvQXV0aG9yPjxZZWFyPjIwMTI8L1llYXI+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</w:fldData>
        </w:fldChar>
      </w:r>
      <w:r>
        <w:instrText xml:space="preserve"> ADDIN EN.CITE </w:instrText>
      </w:r>
      <w:r>
        <w:fldChar w:fldCharType="begin">
          <w:fldData xml:space="preserve">PEVuZE5vdGU+PENpdGU+PEF1dGhvcj5MbG9tYmFydDwvQXV0aG9yPjxZZWFyPjIwMTI8L1llYXI+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</w:fldData>
        </w:fldChar>
      </w:r>
      <w:r>
        <w:instrText xml:space="preserve"> ADDIN EN.CITE.DATA </w:instrText>
      </w:r>
      <w:r>
        <w:fldChar w:fldCharType="end"/>
      </w:r>
      <w:r>
        <w:fldChar w:fldCharType="separate"/>
      </w:r>
      <w:r>
        <w:rPr>
          <w:noProof/>
        </w:rPr>
        <w:t>(</w:t>
      </w:r>
      <w:hyperlink w:anchor="_ENREF_21" w:tooltip="Safra, 2011 #105" w:history="1">
        <w:r>
          <w:rPr>
            <w:noProof/>
          </w:rPr>
          <w:t>Safra, Bernstein-Molho et al. 2011</w:t>
        </w:r>
      </w:hyperlink>
      <w:r>
        <w:rPr>
          <w:noProof/>
        </w:rPr>
        <w:t xml:space="preserve">, </w:t>
      </w:r>
      <w:hyperlink w:anchor="_ENREF_14" w:tooltip="Llombart, 2012 #162" w:history="1">
        <w:r>
          <w:rPr>
            <w:noProof/>
          </w:rPr>
          <w:t>Llombart, Frassoldati et al. 2012</w:t>
        </w:r>
      </w:hyperlink>
      <w:r>
        <w:rPr>
          <w:noProof/>
        </w:rPr>
        <w:t>)</w:t>
      </w:r>
      <w:r>
        <w:fldChar w:fldCharType="end"/>
      </w:r>
      <w:r>
        <w:t xml:space="preserve">. Also fatigue was found in one study </w:t>
      </w:r>
      <w:r>
        <w:fldChar w:fldCharType="begin">
          <w:fldData xml:space="preserve">PEVuZE5vdGU+PENpdGU+PEF1dGhvcj5IaW5lczwvQXV0aG9yPjxZZWFyPjIwMDk8L1llYXI+PFJl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</w:fldData>
        </w:fldChar>
      </w:r>
      <w:r>
        <w:instrText xml:space="preserve"> ADDIN EN.CITE </w:instrText>
      </w:r>
      <w:r>
        <w:fldChar w:fldCharType="begin">
          <w:fldData xml:space="preserve">PEVuZE5vdGU+PENpdGU+PEF1dGhvcj5IaW5lczwvQXV0aG9yPjxZZWFyPjIwMDk8L1llYXI+PFJl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</w:fldData>
        </w:fldChar>
      </w:r>
      <w:r>
        <w:instrText xml:space="preserve"> ADDIN EN.CITE.DATA </w:instrText>
      </w:r>
      <w:r>
        <w:fldChar w:fldCharType="end"/>
      </w:r>
      <w:r>
        <w:fldChar w:fldCharType="separate"/>
      </w:r>
      <w:r>
        <w:rPr>
          <w:noProof/>
        </w:rPr>
        <w:t>(</w:t>
      </w:r>
      <w:hyperlink w:anchor="_ENREF_10" w:tooltip="Hines, 2009 #62" w:history="1">
        <w:r>
          <w:rPr>
            <w:noProof/>
          </w:rPr>
          <w:t>Hines, Mincey et al. 2009</w:t>
        </w:r>
      </w:hyperlink>
      <w:r>
        <w:rPr>
          <w:noProof/>
        </w:rPr>
        <w:t>)</w:t>
      </w:r>
      <w:r>
        <w:fldChar w:fldCharType="end"/>
      </w:r>
      <w:r>
        <w:t>.</w:t>
      </w:r>
      <w:r w:rsidRPr="004D560F">
        <w:t xml:space="preserve"> </w:t>
      </w:r>
      <w:r>
        <w:t>Not all studies reported all types of adverse events or only reported them selectively.</w:t>
      </w:r>
    </w:p>
    <w:p w:rsidR="007920E3" w:rsidRDefault="007920E3" w:rsidP="000A43DF"/>
    <w:p w:rsidR="007920E3" w:rsidRDefault="007920E3" w:rsidP="000A43DF">
      <w:r>
        <w:t xml:space="preserve">Due to the higher occurrence of bone pain and fever in patients and fever that would likely be managed by over-the-counter medication, these additional resources were considered in the </w:t>
      </w:r>
      <w:r>
        <w:lastRenderedPageBreak/>
        <w:t>financial estimates for consumers. They were not included in the economic model as they wo</w:t>
      </w:r>
      <w:r w:rsidR="009C0580">
        <w:t xml:space="preserve">uld not likely to impact over </w:t>
      </w:r>
      <w:proofErr w:type="gramStart"/>
      <w:r w:rsidR="009C0580">
        <w:t xml:space="preserve">a </w:t>
      </w:r>
      <w:r>
        <w:t>40</w:t>
      </w:r>
      <w:proofErr w:type="gramEnd"/>
      <w:r>
        <w:t>-year duration.</w:t>
      </w:r>
    </w:p>
    <w:p w:rsidR="007920E3" w:rsidRDefault="007920E3" w:rsidP="000A43DF"/>
    <w:p w:rsidR="007920E3" w:rsidRDefault="007920E3" w:rsidP="007B32D1">
      <w:pPr>
        <w:pStyle w:val="Heading1"/>
        <w:numPr>
          <w:ilvl w:val="0"/>
          <w:numId w:val="23"/>
        </w:numPr>
        <w:ind w:hanging="720"/>
      </w:pPr>
      <w:r w:rsidRPr="008D5885">
        <w:t>Economic evaluation</w:t>
      </w:r>
    </w:p>
    <w:p w:rsidR="007920E3" w:rsidRPr="00C2639E" w:rsidRDefault="007920E3" w:rsidP="00DD2858">
      <w:pPr>
        <w:rPr>
          <w:szCs w:val="24"/>
        </w:rPr>
      </w:pPr>
    </w:p>
    <w:p w:rsidR="007920E3" w:rsidRDefault="007920E3" w:rsidP="000A43DF">
      <w:r>
        <w:t>A summary of the revisions in the economic model are provided in Table 4 below.</w:t>
      </w:r>
    </w:p>
    <w:p w:rsidR="007920E3" w:rsidRDefault="007920E3" w:rsidP="000A43DF"/>
    <w:p w:rsidR="007920E3" w:rsidRPr="00556165" w:rsidRDefault="007920E3" w:rsidP="005D1D2A">
      <w:pPr>
        <w:rPr>
          <w:rFonts w:ascii="Arial Narrow" w:hAnsi="Arial Narrow" w:cs="Arial"/>
          <w:b/>
          <w:sz w:val="20"/>
        </w:rPr>
      </w:pPr>
      <w:r w:rsidRPr="00556165">
        <w:rPr>
          <w:rFonts w:ascii="Arial Narrow" w:hAnsi="Arial Narrow" w:cs="Arial"/>
          <w:b/>
          <w:sz w:val="20"/>
        </w:rPr>
        <w:t>Table 4: Changes to inputs for the revised economic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118"/>
        <w:gridCol w:w="3402"/>
      </w:tblGrid>
      <w:tr w:rsidR="007920E3" w:rsidRPr="00556165" w:rsidTr="00FF7C35">
        <w:trPr>
          <w:tblHeader/>
        </w:trPr>
        <w:tc>
          <w:tcPr>
            <w:tcW w:w="2093" w:type="dxa"/>
          </w:tcPr>
          <w:p w:rsidR="007920E3" w:rsidRPr="00FF7C35" w:rsidRDefault="007920E3" w:rsidP="00A14B39">
            <w:pPr>
              <w:rPr>
                <w:rFonts w:ascii="Arial Narrow" w:hAnsi="Arial Narrow" w:cs="Arial"/>
                <w:b/>
                <w:sz w:val="20"/>
                <w:lang w:eastAsia="en-US"/>
              </w:rPr>
            </w:pPr>
            <w:r w:rsidRPr="00FF7C35">
              <w:rPr>
                <w:rFonts w:ascii="Arial Narrow" w:hAnsi="Arial Narrow" w:cs="Arial"/>
                <w:b/>
                <w:sz w:val="20"/>
                <w:lang w:eastAsia="en-US"/>
              </w:rPr>
              <w:t>Concern</w:t>
            </w:r>
          </w:p>
        </w:tc>
        <w:tc>
          <w:tcPr>
            <w:tcW w:w="3118" w:type="dxa"/>
          </w:tcPr>
          <w:p w:rsidR="007920E3" w:rsidRPr="00FF7C35" w:rsidRDefault="007920E3" w:rsidP="00A14B39">
            <w:pPr>
              <w:rPr>
                <w:rFonts w:ascii="Arial Narrow" w:hAnsi="Arial Narrow" w:cs="Arial"/>
                <w:b/>
                <w:sz w:val="20"/>
                <w:lang w:eastAsia="en-US"/>
              </w:rPr>
            </w:pPr>
            <w:r w:rsidRPr="00FF7C35">
              <w:rPr>
                <w:rFonts w:ascii="Arial Narrow" w:hAnsi="Arial Narrow" w:cs="Arial"/>
                <w:b/>
                <w:sz w:val="20"/>
                <w:lang w:eastAsia="en-US"/>
              </w:rPr>
              <w:t>Current model estimates</w:t>
            </w:r>
          </w:p>
        </w:tc>
        <w:tc>
          <w:tcPr>
            <w:tcW w:w="3402" w:type="dxa"/>
          </w:tcPr>
          <w:p w:rsidR="007920E3" w:rsidRPr="00FF7C35" w:rsidRDefault="007920E3" w:rsidP="00A14B39">
            <w:pPr>
              <w:rPr>
                <w:rFonts w:ascii="Arial Narrow" w:hAnsi="Arial Narrow" w:cs="Arial"/>
                <w:b/>
                <w:sz w:val="20"/>
                <w:lang w:eastAsia="en-US"/>
              </w:rPr>
            </w:pPr>
            <w:r w:rsidRPr="00FF7C35">
              <w:rPr>
                <w:rFonts w:ascii="Arial Narrow" w:hAnsi="Arial Narrow" w:cs="Arial"/>
                <w:b/>
                <w:sz w:val="20"/>
                <w:lang w:eastAsia="en-US"/>
              </w:rPr>
              <w:t>Revised model estimates</w:t>
            </w:r>
          </w:p>
        </w:tc>
      </w:tr>
      <w:tr w:rsidR="007920E3" w:rsidRPr="00556165" w:rsidTr="00FF7C35">
        <w:tc>
          <w:tcPr>
            <w:tcW w:w="2093"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DXA frequency</w:t>
            </w:r>
          </w:p>
        </w:tc>
        <w:tc>
          <w:tcPr>
            <w:tcW w:w="3118"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Annual</w:t>
            </w:r>
          </w:p>
        </w:tc>
        <w:tc>
          <w:tcPr>
            <w:tcW w:w="3402"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Baseline, 24 months, 48 months</w:t>
            </w:r>
          </w:p>
        </w:tc>
      </w:tr>
      <w:tr w:rsidR="007920E3" w:rsidRPr="00556165" w:rsidTr="00FF7C35">
        <w:tc>
          <w:tcPr>
            <w:tcW w:w="2093"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 xml:space="preserve">RR of </w:t>
            </w:r>
            <w:proofErr w:type="spellStart"/>
            <w:r w:rsidRPr="00FF7C35">
              <w:rPr>
                <w:rFonts w:ascii="Arial Narrow" w:hAnsi="Arial Narrow" w:cs="Arial"/>
                <w:sz w:val="20"/>
                <w:lang w:eastAsia="en-US"/>
              </w:rPr>
              <w:t>fx</w:t>
            </w:r>
            <w:proofErr w:type="spellEnd"/>
            <w:r w:rsidRPr="00FF7C35">
              <w:rPr>
                <w:rFonts w:ascii="Arial Narrow" w:hAnsi="Arial Narrow" w:cs="Arial"/>
                <w:sz w:val="20"/>
                <w:lang w:eastAsia="en-US"/>
              </w:rPr>
              <w:t xml:space="preserve"> due to osteoporosis</w:t>
            </w:r>
          </w:p>
        </w:tc>
        <w:tc>
          <w:tcPr>
            <w:tcW w:w="3118"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3.75, sensitivity analysis: 3.5 and 4.0</w:t>
            </w:r>
          </w:p>
        </w:tc>
        <w:tc>
          <w:tcPr>
            <w:tcW w:w="3402"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3.75, sensitivity analysis: 2.0 and 5.0</w:t>
            </w:r>
          </w:p>
        </w:tc>
      </w:tr>
      <w:tr w:rsidR="007920E3" w:rsidRPr="00556165" w:rsidTr="00FF7C35">
        <w:tc>
          <w:tcPr>
            <w:tcW w:w="2093"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 xml:space="preserve">RR of </w:t>
            </w:r>
            <w:proofErr w:type="spellStart"/>
            <w:r w:rsidRPr="00FF7C35">
              <w:rPr>
                <w:rFonts w:ascii="Arial Narrow" w:hAnsi="Arial Narrow" w:cs="Arial"/>
                <w:sz w:val="20"/>
                <w:lang w:eastAsia="en-US"/>
              </w:rPr>
              <w:t>fx</w:t>
            </w:r>
            <w:proofErr w:type="spellEnd"/>
            <w:r w:rsidRPr="00FF7C35">
              <w:rPr>
                <w:rFonts w:ascii="Arial Narrow" w:hAnsi="Arial Narrow" w:cs="Arial"/>
                <w:sz w:val="20"/>
                <w:lang w:eastAsia="en-US"/>
              </w:rPr>
              <w:t xml:space="preserve"> due to AR therapy</w:t>
            </w:r>
          </w:p>
        </w:tc>
        <w:tc>
          <w:tcPr>
            <w:tcW w:w="3118"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0.66, sensitivity analysis: 0.40 and 0.85</w:t>
            </w:r>
          </w:p>
        </w:tc>
        <w:tc>
          <w:tcPr>
            <w:tcW w:w="3402"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0.70</w:t>
            </w:r>
            <w:r w:rsidRPr="00FF7C35">
              <w:rPr>
                <w:rFonts w:ascii="Arial Narrow" w:hAnsi="Arial Narrow" w:cs="Arial"/>
                <w:sz w:val="20"/>
                <w:vertAlign w:val="superscript"/>
                <w:lang w:eastAsia="en-US"/>
              </w:rPr>
              <w:t>1</w:t>
            </w:r>
            <w:r w:rsidRPr="00FF7C35">
              <w:rPr>
                <w:rFonts w:ascii="Arial Narrow" w:hAnsi="Arial Narrow" w:cs="Arial"/>
                <w:sz w:val="20"/>
                <w:lang w:eastAsia="en-US"/>
              </w:rPr>
              <w:t>, sensitivity analysis: 0.40 and 0.85</w:t>
            </w:r>
          </w:p>
        </w:tc>
      </w:tr>
      <w:tr w:rsidR="007920E3" w:rsidRPr="00556165" w:rsidTr="00FF7C35">
        <w:tc>
          <w:tcPr>
            <w:tcW w:w="2093"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 xml:space="preserve">Cost of </w:t>
            </w:r>
            <w:proofErr w:type="spellStart"/>
            <w:r w:rsidRPr="00FF7C35">
              <w:rPr>
                <w:rFonts w:ascii="Arial Narrow" w:hAnsi="Arial Narrow" w:cs="Arial"/>
                <w:sz w:val="20"/>
                <w:lang w:eastAsia="en-US"/>
              </w:rPr>
              <w:t>fx</w:t>
            </w:r>
            <w:proofErr w:type="spellEnd"/>
          </w:p>
        </w:tc>
        <w:tc>
          <w:tcPr>
            <w:tcW w:w="3118" w:type="dxa"/>
          </w:tcPr>
          <w:p w:rsidR="007920E3" w:rsidRPr="00FF7C35" w:rsidRDefault="007920E3" w:rsidP="00FF7C35">
            <w:pPr>
              <w:pStyle w:val="ListParagraph"/>
              <w:numPr>
                <w:ilvl w:val="0"/>
                <w:numId w:val="31"/>
              </w:numPr>
              <w:ind w:left="181" w:hanging="142"/>
              <w:jc w:val="both"/>
              <w:rPr>
                <w:rFonts w:ascii="Arial Narrow" w:hAnsi="Arial Narrow" w:cs="Arial"/>
                <w:sz w:val="20"/>
                <w:lang w:eastAsia="en-US"/>
              </w:rPr>
            </w:pPr>
            <w:r w:rsidRPr="00FF7C35">
              <w:rPr>
                <w:rFonts w:ascii="Arial Narrow" w:hAnsi="Arial Narrow" w:cs="Arial"/>
                <w:sz w:val="20"/>
                <w:lang w:eastAsia="en-US"/>
              </w:rPr>
              <w:t xml:space="preserve">Hip </w:t>
            </w:r>
            <w:proofErr w:type="spellStart"/>
            <w:r w:rsidRPr="00FF7C35">
              <w:rPr>
                <w:rFonts w:ascii="Arial Narrow" w:hAnsi="Arial Narrow" w:cs="Arial"/>
                <w:sz w:val="20"/>
                <w:lang w:eastAsia="en-US"/>
              </w:rPr>
              <w:t>fx</w:t>
            </w:r>
            <w:proofErr w:type="spellEnd"/>
            <w:r w:rsidRPr="00FF7C35">
              <w:rPr>
                <w:rFonts w:ascii="Arial Narrow" w:hAnsi="Arial Narrow" w:cs="Arial"/>
                <w:sz w:val="20"/>
                <w:lang w:eastAsia="en-US"/>
              </w:rPr>
              <w:t xml:space="preserve"> $17,515 (±30% $12258, $22766)</w:t>
            </w:r>
          </w:p>
          <w:p w:rsidR="007920E3" w:rsidRPr="00FF7C35" w:rsidRDefault="007920E3" w:rsidP="00FF7C35">
            <w:pPr>
              <w:pStyle w:val="ListParagraph"/>
              <w:numPr>
                <w:ilvl w:val="0"/>
                <w:numId w:val="31"/>
              </w:numPr>
              <w:ind w:left="181" w:hanging="142"/>
              <w:jc w:val="both"/>
              <w:rPr>
                <w:rFonts w:ascii="Arial Narrow" w:hAnsi="Arial Narrow" w:cs="Arial"/>
                <w:sz w:val="20"/>
                <w:lang w:eastAsia="en-US"/>
              </w:rPr>
            </w:pPr>
            <w:r w:rsidRPr="00FF7C35">
              <w:rPr>
                <w:rFonts w:ascii="Arial Narrow" w:hAnsi="Arial Narrow" w:cs="Arial"/>
                <w:sz w:val="20"/>
                <w:lang w:eastAsia="en-US"/>
              </w:rPr>
              <w:t xml:space="preserve">Spine </w:t>
            </w:r>
            <w:proofErr w:type="spellStart"/>
            <w:r w:rsidRPr="00FF7C35">
              <w:rPr>
                <w:rFonts w:ascii="Arial Narrow" w:hAnsi="Arial Narrow" w:cs="Arial"/>
                <w:sz w:val="20"/>
                <w:lang w:eastAsia="en-US"/>
              </w:rPr>
              <w:t>fx</w:t>
            </w:r>
            <w:proofErr w:type="spellEnd"/>
            <w:r w:rsidRPr="00FF7C35">
              <w:rPr>
                <w:rFonts w:ascii="Arial Narrow" w:hAnsi="Arial Narrow" w:cs="Arial"/>
                <w:sz w:val="20"/>
                <w:lang w:eastAsia="en-US"/>
              </w:rPr>
              <w:t xml:space="preserve"> $11,974 (±30% $8381, $15566)</w:t>
            </w:r>
          </w:p>
          <w:p w:rsidR="007920E3" w:rsidRPr="00FF7C35" w:rsidRDefault="007920E3" w:rsidP="00FF7C35">
            <w:pPr>
              <w:pStyle w:val="ListParagraph"/>
              <w:numPr>
                <w:ilvl w:val="0"/>
                <w:numId w:val="31"/>
              </w:numPr>
              <w:ind w:left="181" w:hanging="142"/>
              <w:jc w:val="both"/>
              <w:rPr>
                <w:rFonts w:ascii="Arial Narrow" w:hAnsi="Arial Narrow" w:cs="Arial"/>
                <w:sz w:val="20"/>
                <w:lang w:eastAsia="en-US"/>
              </w:rPr>
            </w:pPr>
            <w:r w:rsidRPr="00FF7C35">
              <w:rPr>
                <w:rFonts w:ascii="Arial Narrow" w:hAnsi="Arial Narrow" w:cs="Arial"/>
                <w:sz w:val="20"/>
                <w:lang w:eastAsia="en-US"/>
              </w:rPr>
              <w:t xml:space="preserve">Other </w:t>
            </w:r>
            <w:proofErr w:type="spellStart"/>
            <w:r w:rsidRPr="00FF7C35">
              <w:rPr>
                <w:rFonts w:ascii="Arial Narrow" w:hAnsi="Arial Narrow" w:cs="Arial"/>
                <w:sz w:val="20"/>
                <w:lang w:eastAsia="en-US"/>
              </w:rPr>
              <w:t>fx</w:t>
            </w:r>
            <w:proofErr w:type="spellEnd"/>
            <w:r w:rsidRPr="00FF7C35">
              <w:rPr>
                <w:rFonts w:ascii="Arial Narrow" w:hAnsi="Arial Narrow" w:cs="Arial"/>
                <w:sz w:val="20"/>
                <w:lang w:eastAsia="en-US"/>
              </w:rPr>
              <w:t xml:space="preserve"> $2,416 (±30% $1691, $3141)</w:t>
            </w:r>
          </w:p>
        </w:tc>
        <w:tc>
          <w:tcPr>
            <w:tcW w:w="3402" w:type="dxa"/>
          </w:tcPr>
          <w:p w:rsidR="007920E3" w:rsidRPr="00FF7C35" w:rsidRDefault="007920E3" w:rsidP="00FF7C35">
            <w:pPr>
              <w:pStyle w:val="ListParagraph"/>
              <w:ind w:left="0"/>
              <w:rPr>
                <w:rFonts w:ascii="Arial Narrow" w:hAnsi="Arial Narrow" w:cs="Arial"/>
                <w:sz w:val="20"/>
                <w:lang w:eastAsia="en-US"/>
              </w:rPr>
            </w:pPr>
            <w:r w:rsidRPr="00FF7C35">
              <w:rPr>
                <w:rFonts w:ascii="Arial Narrow" w:hAnsi="Arial Narrow" w:cs="Arial"/>
                <w:sz w:val="20"/>
                <w:lang w:eastAsia="en-US"/>
              </w:rPr>
              <w:t>Taking a wider account of costs and allowing for inpatient and outpatient scenarios:</w:t>
            </w:r>
          </w:p>
          <w:p w:rsidR="007920E3" w:rsidRPr="00FF7C35" w:rsidRDefault="007920E3" w:rsidP="00FF7C35">
            <w:pPr>
              <w:pStyle w:val="ListParagraph"/>
              <w:numPr>
                <w:ilvl w:val="0"/>
                <w:numId w:val="31"/>
              </w:numPr>
              <w:ind w:left="218" w:hanging="218"/>
              <w:rPr>
                <w:rFonts w:ascii="Arial Narrow" w:hAnsi="Arial Narrow" w:cs="Arial"/>
                <w:sz w:val="20"/>
                <w:lang w:eastAsia="en-US"/>
              </w:rPr>
            </w:pPr>
            <w:r w:rsidRPr="00FF7C35">
              <w:rPr>
                <w:rFonts w:ascii="Arial Narrow" w:hAnsi="Arial Narrow" w:cs="Arial"/>
                <w:sz w:val="20"/>
                <w:lang w:eastAsia="en-US"/>
              </w:rPr>
              <w:t xml:space="preserve">Hip </w:t>
            </w:r>
            <w:proofErr w:type="spellStart"/>
            <w:r w:rsidRPr="00FF7C35">
              <w:rPr>
                <w:rFonts w:ascii="Arial Narrow" w:hAnsi="Arial Narrow" w:cs="Arial"/>
                <w:sz w:val="20"/>
                <w:lang w:eastAsia="en-US"/>
              </w:rPr>
              <w:t>fx</w:t>
            </w:r>
            <w:proofErr w:type="spellEnd"/>
            <w:r w:rsidRPr="00FF7C35">
              <w:rPr>
                <w:rFonts w:ascii="Arial Narrow" w:hAnsi="Arial Narrow" w:cs="Arial"/>
                <w:sz w:val="20"/>
                <w:lang w:eastAsia="en-US"/>
              </w:rPr>
              <w:t xml:space="preserve"> $23,695 (±30% $16,586, $30,803)</w:t>
            </w:r>
          </w:p>
          <w:p w:rsidR="007920E3" w:rsidRPr="00FF7C35" w:rsidRDefault="007920E3" w:rsidP="00FF7C35">
            <w:pPr>
              <w:pStyle w:val="ListParagraph"/>
              <w:numPr>
                <w:ilvl w:val="0"/>
                <w:numId w:val="31"/>
              </w:numPr>
              <w:ind w:left="218" w:hanging="218"/>
              <w:rPr>
                <w:rFonts w:ascii="Arial Narrow" w:hAnsi="Arial Narrow" w:cs="Arial"/>
                <w:sz w:val="20"/>
                <w:lang w:eastAsia="en-US"/>
              </w:rPr>
            </w:pPr>
            <w:r w:rsidRPr="00FF7C35">
              <w:rPr>
                <w:rFonts w:ascii="Arial Narrow" w:hAnsi="Arial Narrow" w:cs="Arial"/>
                <w:sz w:val="20"/>
                <w:lang w:eastAsia="en-US"/>
              </w:rPr>
              <w:t xml:space="preserve">Spine </w:t>
            </w:r>
            <w:proofErr w:type="spellStart"/>
            <w:r w:rsidRPr="00FF7C35">
              <w:rPr>
                <w:rFonts w:ascii="Arial Narrow" w:hAnsi="Arial Narrow" w:cs="Arial"/>
                <w:sz w:val="20"/>
                <w:lang w:eastAsia="en-US"/>
              </w:rPr>
              <w:t>fx</w:t>
            </w:r>
            <w:proofErr w:type="spellEnd"/>
            <w:r w:rsidRPr="00FF7C35">
              <w:rPr>
                <w:rFonts w:ascii="Arial Narrow" w:hAnsi="Arial Narrow" w:cs="Arial"/>
                <w:sz w:val="20"/>
                <w:lang w:eastAsia="en-US"/>
              </w:rPr>
              <w:t xml:space="preserve"> $5,753 (±30% $4,027, $7,479)</w:t>
            </w:r>
          </w:p>
          <w:p w:rsidR="007920E3" w:rsidRPr="00FF7C35" w:rsidRDefault="007920E3" w:rsidP="00FF7C35">
            <w:pPr>
              <w:pStyle w:val="ListParagraph"/>
              <w:numPr>
                <w:ilvl w:val="0"/>
                <w:numId w:val="31"/>
              </w:numPr>
              <w:ind w:left="218" w:hanging="218"/>
              <w:rPr>
                <w:rFonts w:ascii="Arial Narrow" w:hAnsi="Arial Narrow" w:cs="Arial"/>
                <w:sz w:val="20"/>
                <w:lang w:eastAsia="en-US"/>
              </w:rPr>
            </w:pPr>
            <w:r w:rsidRPr="00FF7C35">
              <w:rPr>
                <w:rFonts w:ascii="Arial Narrow" w:hAnsi="Arial Narrow" w:cs="Arial"/>
                <w:sz w:val="20"/>
                <w:lang w:eastAsia="en-US"/>
              </w:rPr>
              <w:t xml:space="preserve">Other </w:t>
            </w:r>
            <w:proofErr w:type="spellStart"/>
            <w:r w:rsidRPr="00FF7C35">
              <w:rPr>
                <w:rFonts w:ascii="Arial Narrow" w:hAnsi="Arial Narrow" w:cs="Arial"/>
                <w:sz w:val="20"/>
                <w:lang w:eastAsia="en-US"/>
              </w:rPr>
              <w:t>fx</w:t>
            </w:r>
            <w:proofErr w:type="spellEnd"/>
            <w:r w:rsidRPr="00FF7C35">
              <w:rPr>
                <w:rFonts w:ascii="Arial Narrow" w:hAnsi="Arial Narrow" w:cs="Arial"/>
                <w:sz w:val="20"/>
                <w:lang w:eastAsia="en-US"/>
              </w:rPr>
              <w:t xml:space="preserve"> $9,158 (±30% $6,411, $11,905)</w:t>
            </w:r>
          </w:p>
        </w:tc>
      </w:tr>
      <w:tr w:rsidR="007920E3" w:rsidRPr="00556165" w:rsidTr="00FF7C35">
        <w:tc>
          <w:tcPr>
            <w:tcW w:w="2093"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 xml:space="preserve">Survival of women on AR </w:t>
            </w:r>
          </w:p>
        </w:tc>
        <w:tc>
          <w:tcPr>
            <w:tcW w:w="3118"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QALYs only</w:t>
            </w:r>
          </w:p>
        </w:tc>
        <w:tc>
          <w:tcPr>
            <w:tcW w:w="3402"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Life years saved added as an outcome</w:t>
            </w:r>
          </w:p>
        </w:tc>
      </w:tr>
      <w:tr w:rsidR="007920E3" w:rsidRPr="00556165" w:rsidTr="00FF7C35">
        <w:tc>
          <w:tcPr>
            <w:tcW w:w="2093"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AR therapy adherence</w:t>
            </w:r>
          </w:p>
        </w:tc>
        <w:tc>
          <w:tcPr>
            <w:tcW w:w="3118"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100% adherence</w:t>
            </w:r>
          </w:p>
        </w:tc>
        <w:tc>
          <w:tcPr>
            <w:tcW w:w="3402"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40.5% adherence</w:t>
            </w:r>
            <w:r w:rsidRPr="00FF7C35">
              <w:rPr>
                <w:rFonts w:ascii="Arial Narrow" w:hAnsi="Arial Narrow" w:cs="Arial"/>
                <w:sz w:val="20"/>
                <w:vertAlign w:val="superscript"/>
                <w:lang w:eastAsia="en-US"/>
              </w:rPr>
              <w:t>2</w:t>
            </w:r>
            <w:r w:rsidRPr="00FF7C35">
              <w:rPr>
                <w:rFonts w:ascii="Arial Narrow" w:hAnsi="Arial Narrow" w:cs="Arial"/>
                <w:sz w:val="20"/>
                <w:lang w:eastAsia="en-US"/>
              </w:rPr>
              <w:t xml:space="preserve"> (applied in model through RR of </w:t>
            </w:r>
            <w:proofErr w:type="spellStart"/>
            <w:r w:rsidRPr="00FF7C35">
              <w:rPr>
                <w:rFonts w:ascii="Arial Narrow" w:hAnsi="Arial Narrow" w:cs="Arial"/>
                <w:sz w:val="20"/>
                <w:lang w:eastAsia="en-US"/>
              </w:rPr>
              <w:t>fx</w:t>
            </w:r>
            <w:proofErr w:type="spellEnd"/>
            <w:r w:rsidRPr="00FF7C35">
              <w:rPr>
                <w:rFonts w:ascii="Arial Narrow" w:hAnsi="Arial Narrow" w:cs="Arial"/>
                <w:sz w:val="20"/>
                <w:lang w:eastAsia="en-US"/>
              </w:rPr>
              <w:t xml:space="preserve"> while on AR allowing for non-adherence)</w:t>
            </w:r>
          </w:p>
        </w:tc>
      </w:tr>
      <w:tr w:rsidR="007920E3" w:rsidRPr="00556165" w:rsidTr="00FF7C35">
        <w:tc>
          <w:tcPr>
            <w:tcW w:w="2093"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 xml:space="preserve">RR of </w:t>
            </w:r>
            <w:proofErr w:type="spellStart"/>
            <w:r w:rsidRPr="00FF7C35">
              <w:rPr>
                <w:rFonts w:ascii="Arial Narrow" w:hAnsi="Arial Narrow" w:cs="Arial"/>
                <w:sz w:val="20"/>
                <w:lang w:eastAsia="en-US"/>
              </w:rPr>
              <w:t>fx</w:t>
            </w:r>
            <w:proofErr w:type="spellEnd"/>
            <w:r w:rsidRPr="00FF7C35">
              <w:rPr>
                <w:rFonts w:ascii="Arial Narrow" w:hAnsi="Arial Narrow" w:cs="Arial"/>
                <w:sz w:val="20"/>
                <w:lang w:eastAsia="en-US"/>
              </w:rPr>
              <w:t xml:space="preserve"> while on AR allowing for non-adherence</w:t>
            </w:r>
          </w:p>
        </w:tc>
        <w:tc>
          <w:tcPr>
            <w:tcW w:w="3118"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 xml:space="preserve">Not applicable </w:t>
            </w:r>
          </w:p>
        </w:tc>
        <w:tc>
          <w:tcPr>
            <w:tcW w:w="3402" w:type="dxa"/>
          </w:tcPr>
          <w:p w:rsidR="007920E3" w:rsidRPr="00FF7C35" w:rsidRDefault="007920E3" w:rsidP="00A14B39">
            <w:pPr>
              <w:rPr>
                <w:rFonts w:ascii="Arial Narrow" w:hAnsi="Arial Narrow" w:cs="Arial"/>
                <w:sz w:val="20"/>
                <w:vertAlign w:val="superscript"/>
                <w:lang w:eastAsia="en-US"/>
              </w:rPr>
            </w:pPr>
            <w:r w:rsidRPr="00FF7C35">
              <w:rPr>
                <w:rFonts w:ascii="Arial Narrow" w:hAnsi="Arial Narrow" w:cs="Arial"/>
                <w:sz w:val="20"/>
                <w:lang w:eastAsia="en-US"/>
              </w:rPr>
              <w:t xml:space="preserve">RR of </w:t>
            </w:r>
            <w:proofErr w:type="spellStart"/>
            <w:r w:rsidRPr="00FF7C35">
              <w:rPr>
                <w:rFonts w:ascii="Arial Narrow" w:hAnsi="Arial Narrow" w:cs="Arial"/>
                <w:sz w:val="20"/>
                <w:lang w:eastAsia="en-US"/>
              </w:rPr>
              <w:t>fx</w:t>
            </w:r>
            <w:proofErr w:type="spellEnd"/>
            <w:r w:rsidRPr="00FF7C35">
              <w:rPr>
                <w:rFonts w:ascii="Arial Narrow" w:hAnsi="Arial Narrow" w:cs="Arial"/>
                <w:sz w:val="20"/>
                <w:lang w:eastAsia="en-US"/>
              </w:rPr>
              <w:t xml:space="preserve"> 1.20 (1.07, 1.35)</w:t>
            </w:r>
            <w:r w:rsidRPr="00FF7C35">
              <w:rPr>
                <w:rFonts w:ascii="Arial Narrow" w:hAnsi="Arial Narrow" w:cs="Arial"/>
                <w:sz w:val="20"/>
                <w:vertAlign w:val="superscript"/>
                <w:lang w:eastAsia="en-US"/>
              </w:rPr>
              <w:t>2</w:t>
            </w:r>
          </w:p>
        </w:tc>
      </w:tr>
      <w:tr w:rsidR="007920E3" w:rsidRPr="00556165" w:rsidTr="00FF7C35">
        <w:tc>
          <w:tcPr>
            <w:tcW w:w="2093"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AR price allowing for non-adherence</w:t>
            </w:r>
          </w:p>
        </w:tc>
        <w:tc>
          <w:tcPr>
            <w:tcW w:w="3118"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$619.80 per year</w:t>
            </w:r>
          </w:p>
        </w:tc>
        <w:tc>
          <w:tcPr>
            <w:tcW w:w="3402"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$428.28 per year (modified by non-adherence)</w:t>
            </w:r>
          </w:p>
        </w:tc>
      </w:tr>
      <w:tr w:rsidR="007920E3" w:rsidRPr="00556165" w:rsidTr="00FF7C35">
        <w:tc>
          <w:tcPr>
            <w:tcW w:w="2093"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Cost of zoledronic acid treatment</w:t>
            </w:r>
          </w:p>
        </w:tc>
        <w:tc>
          <w:tcPr>
            <w:tcW w:w="3118"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$1252 per year</w:t>
            </w:r>
          </w:p>
        </w:tc>
        <w:tc>
          <w:tcPr>
            <w:tcW w:w="3402"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$589 per year</w:t>
            </w:r>
          </w:p>
        </w:tc>
      </w:tr>
      <w:tr w:rsidR="007920E3" w:rsidRPr="00556165" w:rsidTr="00FF7C35">
        <w:tc>
          <w:tcPr>
            <w:tcW w:w="2093"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Correction to probability of fracture in model</w:t>
            </w:r>
          </w:p>
        </w:tc>
        <w:tc>
          <w:tcPr>
            <w:tcW w:w="3118"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Model originally had fractures underestimated and not cycling through the fracture risk tables correctly.</w:t>
            </w:r>
          </w:p>
        </w:tc>
        <w:tc>
          <w:tcPr>
            <w:tcW w:w="3402" w:type="dxa"/>
          </w:tcPr>
          <w:p w:rsidR="007920E3" w:rsidRPr="00FF7C35" w:rsidRDefault="007920E3" w:rsidP="00A14B39">
            <w:pPr>
              <w:rPr>
                <w:rFonts w:ascii="Arial Narrow" w:hAnsi="Arial Narrow" w:cs="Arial"/>
                <w:sz w:val="20"/>
                <w:lang w:eastAsia="en-US"/>
              </w:rPr>
            </w:pPr>
            <w:r w:rsidRPr="00FF7C35">
              <w:rPr>
                <w:rFonts w:ascii="Arial Narrow" w:hAnsi="Arial Narrow" w:cs="Arial"/>
                <w:sz w:val="20"/>
                <w:lang w:eastAsia="en-US"/>
              </w:rPr>
              <w:t>Corrected.</w:t>
            </w:r>
          </w:p>
        </w:tc>
      </w:tr>
    </w:tbl>
    <w:p w:rsidR="007920E3" w:rsidRPr="00556165" w:rsidRDefault="007920E3" w:rsidP="005D1D2A">
      <w:pPr>
        <w:rPr>
          <w:rFonts w:ascii="Arial Narrow" w:hAnsi="Arial Narrow" w:cs="Arial"/>
          <w:sz w:val="18"/>
          <w:szCs w:val="18"/>
        </w:rPr>
      </w:pPr>
      <w:r w:rsidRPr="00556165">
        <w:rPr>
          <w:rFonts w:ascii="Arial Narrow" w:hAnsi="Arial Narrow" w:cs="Arial"/>
          <w:sz w:val="18"/>
          <w:szCs w:val="18"/>
        </w:rPr>
        <w:t xml:space="preserve">AR = Anti-resorptive, DXA = dual absorptiometry X-ray, </w:t>
      </w:r>
      <w:proofErr w:type="spellStart"/>
      <w:proofErr w:type="gramStart"/>
      <w:r w:rsidRPr="00556165">
        <w:rPr>
          <w:rFonts w:ascii="Arial Narrow" w:hAnsi="Arial Narrow" w:cs="Arial"/>
          <w:sz w:val="18"/>
          <w:szCs w:val="18"/>
        </w:rPr>
        <w:t>fx</w:t>
      </w:r>
      <w:proofErr w:type="spellEnd"/>
      <w:proofErr w:type="gramEnd"/>
      <w:r w:rsidRPr="00556165">
        <w:rPr>
          <w:rFonts w:ascii="Arial Narrow" w:hAnsi="Arial Narrow" w:cs="Arial"/>
          <w:sz w:val="18"/>
          <w:szCs w:val="18"/>
        </w:rPr>
        <w:t xml:space="preserve"> = fracture, RR = relative risk, QALYs = quality adjusted life years </w:t>
      </w:r>
    </w:p>
    <w:p w:rsidR="007920E3" w:rsidRPr="00556165" w:rsidRDefault="007920E3" w:rsidP="005D1D2A">
      <w:pPr>
        <w:pStyle w:val="Tabletext"/>
        <w:numPr>
          <w:ilvl w:val="0"/>
          <w:numId w:val="28"/>
        </w:numPr>
        <w:spacing w:before="0" w:after="0"/>
        <w:rPr>
          <w:rFonts w:cs="Arial"/>
          <w:sz w:val="18"/>
          <w:szCs w:val="18"/>
        </w:rPr>
      </w:pPr>
      <w:r w:rsidRPr="00556165">
        <w:rPr>
          <w:rFonts w:cs="Arial"/>
          <w:sz w:val="18"/>
          <w:szCs w:val="18"/>
        </w:rPr>
        <w:t>Based on a meta-analysis during evaluation.</w:t>
      </w:r>
    </w:p>
    <w:p w:rsidR="007920E3" w:rsidRPr="00556165" w:rsidRDefault="007920E3" w:rsidP="005D1D2A">
      <w:pPr>
        <w:pStyle w:val="Tabletext"/>
        <w:numPr>
          <w:ilvl w:val="0"/>
          <w:numId w:val="28"/>
        </w:numPr>
        <w:spacing w:before="0" w:after="0"/>
        <w:rPr>
          <w:rFonts w:cs="Arial"/>
          <w:sz w:val="18"/>
          <w:szCs w:val="18"/>
        </w:rPr>
      </w:pPr>
      <w:r w:rsidRPr="00556165">
        <w:rPr>
          <w:rFonts w:cs="Arial"/>
          <w:sz w:val="18"/>
          <w:szCs w:val="18"/>
        </w:rPr>
        <w:t xml:space="preserve">Based on Modi 2015 where the non-adherence rate was 59.5%, or adherence 40.5% </w:t>
      </w:r>
      <w:r w:rsidRPr="00556165">
        <w:rPr>
          <w:rFonts w:cs="Arial"/>
          <w:sz w:val="18"/>
          <w:szCs w:val="18"/>
        </w:rPr>
        <w:fldChar w:fldCharType="begin"/>
      </w:r>
      <w:r w:rsidRPr="00556165">
        <w:rPr>
          <w:rFonts w:cs="Arial"/>
          <w:sz w:val="18"/>
          <w:szCs w:val="18"/>
        </w:rPr>
        <w:instrText xml:space="preserve"> ADDIN EN.CITE &lt;EndNote&gt;&lt;Cite&gt;&lt;Author&gt;Modi&lt;/Author&gt;&lt;Year&gt;2015&lt;/Year&gt;&lt;RecNum&gt;304&lt;/RecNum&gt;&lt;DisplayText&gt;(Modi, Siris et al. 2015)&lt;/DisplayText&gt;&lt;record&gt;&lt;rec-number&gt;304&lt;/rec-number&gt;&lt;foreign-keys&gt;&lt;key app="EN" db-id="v9edw0zeqvve5nedzvjx29f1df2z2tvpvw55" timestamp="1430698963"&gt;304&lt;/key&gt;&lt;/foreign-keys&gt;&lt;ref-type name="Journal Article"&gt;17&lt;/ref-type&gt;&lt;contributors&gt;&lt;authors&gt;&lt;author&gt;Modi, A.&lt;/author&gt;&lt;author&gt;Siris, E. S.&lt;/author&gt;&lt;author&gt;Tang, J.&lt;/author&gt;&lt;author&gt;Sen, S.&lt;/author&gt;&lt;/authors&gt;&lt;/contributors&gt;&lt;auth-address&gt;Merck &amp;amp; Co. Inc. , Lebanon, NJ , USA.&lt;/auth-address&gt;&lt;titles&gt;&lt;title&gt;Cost and consequences of noncompliance with osteoporosis treatment among women initiating therapy&lt;/title&gt;&lt;secondary-title&gt;Curr Med Res Opin&lt;/secondary-title&gt;&lt;alt-title&gt;Current medical research and opinion&lt;/alt-title&gt;&lt;/titles&gt;&lt;periodical&gt;&lt;full-title&gt;Current Medical Research &amp;amp; Opinion&lt;/full-title&gt;&lt;abbr-1&gt;Curr Med Res Opin&lt;/abbr-1&gt;&lt;/periodical&gt;&lt;pages&gt;757-65&lt;/pages&gt;&lt;volume&gt;31&lt;/volume&gt;&lt;number&gt;4&lt;/number&gt;&lt;edition&gt;2015/02/11&lt;/edition&gt;&lt;dates&gt;&lt;year&gt;2015&lt;/year&gt;&lt;pub-dates&gt;&lt;date&gt;Apr&lt;/date&gt;&lt;/pub-dates&gt;&lt;/dates&gt;&lt;isbn&gt;0300-7995&lt;/isbn&gt;&lt;accession-num&gt;25661017&lt;/accession-num&gt;&lt;urls&gt;&lt;/urls&gt;&lt;electronic-resource-num&gt;10.1185/03007995.2015.1016605&lt;/electronic-resource-num&gt;&lt;remote-database-provider&gt;Nlm&lt;/remote-database-provider&gt;&lt;language&gt;eng&lt;/language&gt;&lt;/record&gt;&lt;/Cite&gt;&lt;/EndNote&gt;</w:instrText>
      </w:r>
      <w:r w:rsidRPr="00556165">
        <w:rPr>
          <w:rFonts w:cs="Arial"/>
          <w:sz w:val="18"/>
          <w:szCs w:val="18"/>
        </w:rPr>
        <w:fldChar w:fldCharType="separate"/>
      </w:r>
      <w:r w:rsidRPr="00556165">
        <w:rPr>
          <w:rFonts w:cs="Arial"/>
          <w:noProof/>
          <w:sz w:val="18"/>
          <w:szCs w:val="18"/>
        </w:rPr>
        <w:t>(</w:t>
      </w:r>
      <w:hyperlink w:anchor="_ENREF_17" w:tooltip="Modi, 2015 #304" w:history="1">
        <w:r w:rsidRPr="00556165">
          <w:rPr>
            <w:rFonts w:cs="Arial"/>
            <w:noProof/>
            <w:sz w:val="18"/>
            <w:szCs w:val="18"/>
          </w:rPr>
          <w:t>Modi, Siris et al. 2015</w:t>
        </w:r>
      </w:hyperlink>
      <w:r w:rsidRPr="00556165">
        <w:rPr>
          <w:rFonts w:cs="Arial"/>
          <w:noProof/>
          <w:sz w:val="18"/>
          <w:szCs w:val="18"/>
        </w:rPr>
        <w:t>)</w:t>
      </w:r>
      <w:r w:rsidRPr="00556165">
        <w:rPr>
          <w:rFonts w:cs="Arial"/>
          <w:sz w:val="18"/>
          <w:szCs w:val="18"/>
        </w:rPr>
        <w:fldChar w:fldCharType="end"/>
      </w:r>
      <w:r w:rsidRPr="00556165">
        <w:rPr>
          <w:rFonts w:cs="Arial"/>
          <w:sz w:val="18"/>
          <w:szCs w:val="18"/>
        </w:rPr>
        <w:t>.</w:t>
      </w:r>
    </w:p>
    <w:p w:rsidR="007920E3" w:rsidRDefault="007920E3" w:rsidP="00556165"/>
    <w:p w:rsidR="007920E3" w:rsidRDefault="007920E3" w:rsidP="000A43DF">
      <w:r>
        <w:t>The model was revised and the updated results are provided below in Tables 5 and 6. Table 5 presents the outcomes for a 60 year old cohort over their remaining lifetime and costs and effects discounted at 5%. The results for the subgroup of DXA and AR for all women with breast cancer on AI therapy (i.e., regardless of T-score) is not shown as this subgroup is unlikely to be realistic in clinical practice. The costs are in 2014 Australian dollars.</w:t>
      </w:r>
    </w:p>
    <w:p w:rsidR="007920E3" w:rsidRPr="00556165" w:rsidRDefault="007920E3" w:rsidP="001E715D">
      <w:pPr>
        <w:pStyle w:val="TableName"/>
        <w:ind w:left="720"/>
        <w:rPr>
          <w:rFonts w:cs="Arial"/>
        </w:rPr>
      </w:pPr>
      <w:r w:rsidRPr="00556165">
        <w:rPr>
          <w:rFonts w:cs="Arial"/>
        </w:rPr>
        <w:t xml:space="preserve">Table 5: Key results of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954"/>
        <w:gridCol w:w="1024"/>
        <w:gridCol w:w="1017"/>
        <w:gridCol w:w="1013"/>
        <w:gridCol w:w="1159"/>
      </w:tblGrid>
      <w:tr w:rsidR="007920E3" w:rsidRPr="00556165" w:rsidTr="00FF7C35">
        <w:trPr>
          <w:trHeight w:val="20"/>
          <w:tblHeader/>
        </w:trPr>
        <w:tc>
          <w:tcPr>
            <w:tcW w:w="2205" w:type="pct"/>
          </w:tcPr>
          <w:p w:rsidR="007920E3" w:rsidRPr="00FF7C35" w:rsidRDefault="007920E3" w:rsidP="00FF7C35">
            <w:pPr>
              <w:pStyle w:val="TableText0"/>
              <w:spacing w:before="0" w:after="0"/>
              <w:rPr>
                <w:rFonts w:cs="Arial"/>
                <w:sz w:val="20"/>
                <w:lang w:eastAsia="en-US"/>
              </w:rPr>
            </w:pPr>
          </w:p>
          <w:p w:rsidR="007920E3" w:rsidRPr="00FF7C35" w:rsidRDefault="007920E3" w:rsidP="00FF7C35">
            <w:pPr>
              <w:pStyle w:val="TableText0"/>
              <w:spacing w:before="0" w:after="0"/>
              <w:rPr>
                <w:rFonts w:cs="Arial"/>
                <w:b/>
                <w:sz w:val="20"/>
                <w:lang w:eastAsia="en-US"/>
              </w:rPr>
            </w:pPr>
            <w:r w:rsidRPr="00FF7C35">
              <w:rPr>
                <w:rFonts w:cs="Arial"/>
                <w:sz w:val="20"/>
                <w:lang w:eastAsia="en-US"/>
              </w:rPr>
              <w:t xml:space="preserve"> </w:t>
            </w:r>
            <w:r w:rsidRPr="00FF7C35">
              <w:rPr>
                <w:rFonts w:cs="Arial"/>
                <w:b/>
                <w:sz w:val="20"/>
                <w:lang w:eastAsia="en-US"/>
              </w:rPr>
              <w:t>60 year old cohort, discounted</w:t>
            </w:r>
          </w:p>
        </w:tc>
        <w:tc>
          <w:tcPr>
            <w:tcW w:w="516" w:type="pct"/>
            <w:vAlign w:val="center"/>
          </w:tcPr>
          <w:p w:rsidR="007920E3" w:rsidRPr="00FF7C35" w:rsidRDefault="007920E3" w:rsidP="00FF7C35">
            <w:pPr>
              <w:pStyle w:val="TableText0"/>
              <w:spacing w:before="0" w:after="0"/>
              <w:jc w:val="center"/>
              <w:rPr>
                <w:rFonts w:cs="Arial"/>
                <w:b/>
                <w:sz w:val="20"/>
                <w:lang w:eastAsia="en-US"/>
              </w:rPr>
            </w:pPr>
            <w:r w:rsidRPr="00FF7C35">
              <w:rPr>
                <w:rFonts w:cs="Arial"/>
                <w:b/>
                <w:sz w:val="20"/>
                <w:lang w:eastAsia="en-US"/>
              </w:rPr>
              <w:t>Mean Costs</w:t>
            </w:r>
          </w:p>
        </w:tc>
        <w:tc>
          <w:tcPr>
            <w:tcW w:w="554" w:type="pct"/>
            <w:vAlign w:val="center"/>
          </w:tcPr>
          <w:p w:rsidR="007920E3" w:rsidRPr="00FF7C35" w:rsidRDefault="007920E3" w:rsidP="00FF7C35">
            <w:pPr>
              <w:pStyle w:val="TableText0"/>
              <w:spacing w:before="0" w:after="0"/>
              <w:jc w:val="center"/>
              <w:rPr>
                <w:rFonts w:cs="Arial"/>
                <w:b/>
                <w:sz w:val="20"/>
                <w:lang w:eastAsia="en-US"/>
              </w:rPr>
            </w:pPr>
            <w:r w:rsidRPr="00FF7C35">
              <w:rPr>
                <w:rFonts w:cs="Arial"/>
                <w:b/>
                <w:sz w:val="20"/>
                <w:lang w:eastAsia="en-US"/>
              </w:rPr>
              <w:t>Mean QALYs</w:t>
            </w:r>
          </w:p>
        </w:tc>
        <w:tc>
          <w:tcPr>
            <w:tcW w:w="550" w:type="pct"/>
            <w:vAlign w:val="center"/>
          </w:tcPr>
          <w:p w:rsidR="007920E3" w:rsidRPr="00FF7C35" w:rsidRDefault="007920E3" w:rsidP="00FF7C35">
            <w:pPr>
              <w:pStyle w:val="TableText0"/>
              <w:spacing w:before="0" w:after="0"/>
              <w:jc w:val="center"/>
              <w:rPr>
                <w:rFonts w:cs="Arial"/>
                <w:b/>
                <w:sz w:val="20"/>
                <w:lang w:eastAsia="en-US"/>
              </w:rPr>
            </w:pPr>
            <w:proofErr w:type="spellStart"/>
            <w:r w:rsidRPr="00FF7C35">
              <w:rPr>
                <w:rFonts w:cs="Arial"/>
                <w:b/>
                <w:sz w:val="20"/>
                <w:lang w:eastAsia="en-US"/>
              </w:rPr>
              <w:t>Inc</w:t>
            </w:r>
            <w:proofErr w:type="spellEnd"/>
            <w:r w:rsidRPr="00FF7C35">
              <w:rPr>
                <w:rFonts w:cs="Arial"/>
                <w:b/>
                <w:sz w:val="20"/>
                <w:lang w:eastAsia="en-US"/>
              </w:rPr>
              <w:t xml:space="preserve"> Costs</w:t>
            </w:r>
          </w:p>
        </w:tc>
        <w:tc>
          <w:tcPr>
            <w:tcW w:w="548" w:type="pct"/>
            <w:vAlign w:val="center"/>
          </w:tcPr>
          <w:p w:rsidR="007920E3" w:rsidRPr="00FF7C35" w:rsidRDefault="007920E3" w:rsidP="00FF7C35">
            <w:pPr>
              <w:pStyle w:val="TableText0"/>
              <w:spacing w:before="0" w:after="0"/>
              <w:jc w:val="center"/>
              <w:rPr>
                <w:rFonts w:cs="Arial"/>
                <w:b/>
                <w:sz w:val="20"/>
                <w:lang w:eastAsia="en-US"/>
              </w:rPr>
            </w:pPr>
            <w:proofErr w:type="spellStart"/>
            <w:r w:rsidRPr="00FF7C35">
              <w:rPr>
                <w:rFonts w:cs="Arial"/>
                <w:b/>
                <w:sz w:val="20"/>
                <w:lang w:eastAsia="en-US"/>
              </w:rPr>
              <w:t>Inc</w:t>
            </w:r>
            <w:proofErr w:type="spellEnd"/>
            <w:r w:rsidRPr="00FF7C35">
              <w:rPr>
                <w:rFonts w:cs="Arial"/>
                <w:b/>
                <w:sz w:val="20"/>
                <w:lang w:eastAsia="en-US"/>
              </w:rPr>
              <w:t xml:space="preserve"> QALYs</w:t>
            </w:r>
          </w:p>
        </w:tc>
        <w:tc>
          <w:tcPr>
            <w:tcW w:w="627" w:type="pct"/>
            <w:vAlign w:val="center"/>
          </w:tcPr>
          <w:p w:rsidR="007920E3" w:rsidRPr="00FF7C35" w:rsidRDefault="007920E3" w:rsidP="00FF7C35">
            <w:pPr>
              <w:pStyle w:val="TableText0"/>
              <w:spacing w:before="0" w:after="0"/>
              <w:jc w:val="center"/>
              <w:rPr>
                <w:rFonts w:cs="Arial"/>
                <w:b/>
                <w:sz w:val="20"/>
                <w:lang w:eastAsia="en-US"/>
              </w:rPr>
            </w:pPr>
            <w:r w:rsidRPr="00FF7C35">
              <w:rPr>
                <w:rFonts w:cs="Arial"/>
                <w:b/>
                <w:sz w:val="20"/>
                <w:lang w:eastAsia="en-US"/>
              </w:rPr>
              <w:t xml:space="preserve">ICER </w:t>
            </w:r>
          </w:p>
        </w:tc>
      </w:tr>
      <w:tr w:rsidR="007920E3" w:rsidRPr="00556165" w:rsidTr="00FF7C35">
        <w:trPr>
          <w:trHeight w:val="20"/>
          <w:tblHeader/>
        </w:trPr>
        <w:tc>
          <w:tcPr>
            <w:tcW w:w="2205" w:type="pct"/>
          </w:tcPr>
          <w:p w:rsidR="007920E3" w:rsidRPr="00FF7C35" w:rsidRDefault="007920E3" w:rsidP="00FF7C35">
            <w:pPr>
              <w:pStyle w:val="TableText0"/>
              <w:spacing w:before="0" w:after="0"/>
              <w:rPr>
                <w:rFonts w:cs="Arial"/>
                <w:b/>
                <w:sz w:val="20"/>
                <w:lang w:eastAsia="en-US"/>
              </w:rPr>
            </w:pPr>
            <w:r w:rsidRPr="00FF7C35">
              <w:rPr>
                <w:rFonts w:cs="Arial"/>
                <w:b/>
                <w:sz w:val="20"/>
                <w:lang w:eastAsia="en-US"/>
              </w:rPr>
              <w:t>Previous base case</w:t>
            </w:r>
          </w:p>
        </w:tc>
        <w:tc>
          <w:tcPr>
            <w:tcW w:w="516" w:type="pct"/>
            <w:vAlign w:val="center"/>
          </w:tcPr>
          <w:p w:rsidR="007920E3" w:rsidRPr="00FF7C35" w:rsidRDefault="007920E3" w:rsidP="00FF7C35">
            <w:pPr>
              <w:pStyle w:val="TableText0"/>
              <w:spacing w:before="0" w:after="0"/>
              <w:jc w:val="center"/>
              <w:rPr>
                <w:rFonts w:cs="Arial"/>
                <w:b/>
                <w:sz w:val="20"/>
                <w:lang w:eastAsia="en-US"/>
              </w:rPr>
            </w:pPr>
            <w:r w:rsidRPr="00FF7C35">
              <w:rPr>
                <w:rFonts w:cs="Arial"/>
                <w:b/>
                <w:sz w:val="20"/>
                <w:lang w:eastAsia="en-US"/>
              </w:rPr>
              <w:t>-</w:t>
            </w:r>
          </w:p>
        </w:tc>
        <w:tc>
          <w:tcPr>
            <w:tcW w:w="554" w:type="pct"/>
            <w:vAlign w:val="center"/>
          </w:tcPr>
          <w:p w:rsidR="007920E3" w:rsidRPr="00FF7C35" w:rsidRDefault="007920E3" w:rsidP="00FF7C35">
            <w:pPr>
              <w:pStyle w:val="TableText0"/>
              <w:spacing w:before="0" w:after="0"/>
              <w:jc w:val="center"/>
              <w:rPr>
                <w:rFonts w:cs="Arial"/>
                <w:b/>
                <w:sz w:val="20"/>
                <w:lang w:eastAsia="en-US"/>
              </w:rPr>
            </w:pPr>
            <w:r w:rsidRPr="00FF7C35">
              <w:rPr>
                <w:rFonts w:cs="Arial"/>
                <w:b/>
                <w:sz w:val="20"/>
                <w:lang w:eastAsia="en-US"/>
              </w:rPr>
              <w:t>-</w:t>
            </w:r>
          </w:p>
        </w:tc>
        <w:tc>
          <w:tcPr>
            <w:tcW w:w="550" w:type="pct"/>
            <w:vAlign w:val="center"/>
          </w:tcPr>
          <w:p w:rsidR="007920E3" w:rsidRPr="00FF7C35" w:rsidRDefault="007920E3" w:rsidP="00FF7C35">
            <w:pPr>
              <w:pStyle w:val="TableText0"/>
              <w:spacing w:before="0" w:after="0"/>
              <w:jc w:val="center"/>
              <w:rPr>
                <w:rFonts w:cs="Arial"/>
                <w:b/>
                <w:sz w:val="20"/>
                <w:lang w:eastAsia="en-US"/>
              </w:rPr>
            </w:pPr>
            <w:r w:rsidRPr="00FF7C35">
              <w:rPr>
                <w:rFonts w:cs="Arial"/>
                <w:b/>
                <w:sz w:val="20"/>
                <w:lang w:eastAsia="en-US"/>
              </w:rPr>
              <w:t>-</w:t>
            </w:r>
          </w:p>
        </w:tc>
        <w:tc>
          <w:tcPr>
            <w:tcW w:w="548" w:type="pct"/>
            <w:vAlign w:val="center"/>
          </w:tcPr>
          <w:p w:rsidR="007920E3" w:rsidRPr="00FF7C35" w:rsidRDefault="007920E3" w:rsidP="00FF7C35">
            <w:pPr>
              <w:pStyle w:val="TableText0"/>
              <w:spacing w:before="0" w:after="0"/>
              <w:jc w:val="center"/>
              <w:rPr>
                <w:rFonts w:cs="Arial"/>
                <w:b/>
                <w:sz w:val="20"/>
                <w:lang w:eastAsia="en-US"/>
              </w:rPr>
            </w:pPr>
            <w:r w:rsidRPr="00FF7C35">
              <w:rPr>
                <w:rFonts w:cs="Arial"/>
                <w:b/>
                <w:sz w:val="20"/>
                <w:lang w:eastAsia="en-US"/>
              </w:rPr>
              <w:t>-</w:t>
            </w:r>
          </w:p>
        </w:tc>
        <w:tc>
          <w:tcPr>
            <w:tcW w:w="627" w:type="pct"/>
            <w:vAlign w:val="center"/>
          </w:tcPr>
          <w:p w:rsidR="007920E3" w:rsidRPr="00FF7C35" w:rsidRDefault="007920E3" w:rsidP="00FF7C35">
            <w:pPr>
              <w:pStyle w:val="TableText0"/>
              <w:spacing w:before="0" w:after="0"/>
              <w:jc w:val="center"/>
              <w:rPr>
                <w:rFonts w:cs="Arial"/>
                <w:b/>
                <w:sz w:val="20"/>
                <w:lang w:eastAsia="en-US"/>
              </w:rPr>
            </w:pPr>
            <w:r w:rsidRPr="00FF7C35">
              <w:rPr>
                <w:rFonts w:cs="Arial"/>
                <w:b/>
                <w:sz w:val="20"/>
                <w:lang w:eastAsia="en-US"/>
              </w:rPr>
              <w:t>-</w:t>
            </w:r>
          </w:p>
        </w:tc>
      </w:tr>
      <w:tr w:rsidR="007920E3" w:rsidRPr="00556165" w:rsidTr="00FF7C35">
        <w:trPr>
          <w:trHeight w:val="20"/>
          <w:tblHeader/>
        </w:trPr>
        <w:tc>
          <w:tcPr>
            <w:tcW w:w="2205" w:type="pct"/>
            <w:vAlign w:val="center"/>
          </w:tcPr>
          <w:p w:rsidR="007920E3" w:rsidRPr="00FF7C35" w:rsidRDefault="007920E3" w:rsidP="00FF7C35">
            <w:pPr>
              <w:pStyle w:val="TableText0"/>
              <w:spacing w:before="0" w:after="0"/>
              <w:rPr>
                <w:rFonts w:cs="Arial"/>
                <w:sz w:val="20"/>
                <w:lang w:eastAsia="en-US"/>
              </w:rPr>
            </w:pPr>
            <w:r w:rsidRPr="00FF7C35">
              <w:rPr>
                <w:rFonts w:cs="Arial"/>
                <w:sz w:val="20"/>
                <w:lang w:eastAsia="en-US"/>
              </w:rPr>
              <w:t>No DXA and lifestyle advice only (all women)</w:t>
            </w:r>
          </w:p>
        </w:tc>
        <w:tc>
          <w:tcPr>
            <w:tcW w:w="516"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$4,056</w:t>
            </w:r>
          </w:p>
        </w:tc>
        <w:tc>
          <w:tcPr>
            <w:tcW w:w="554"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11.657</w:t>
            </w:r>
          </w:p>
        </w:tc>
        <w:tc>
          <w:tcPr>
            <w:tcW w:w="550"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ref</w:t>
            </w:r>
          </w:p>
        </w:tc>
        <w:tc>
          <w:tcPr>
            <w:tcW w:w="548"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ref</w:t>
            </w:r>
          </w:p>
        </w:tc>
        <w:tc>
          <w:tcPr>
            <w:tcW w:w="627"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ref</w:t>
            </w:r>
          </w:p>
        </w:tc>
      </w:tr>
      <w:tr w:rsidR="007920E3" w:rsidRPr="00556165" w:rsidTr="00FF7C35">
        <w:trPr>
          <w:trHeight w:val="20"/>
          <w:tblHeader/>
        </w:trPr>
        <w:tc>
          <w:tcPr>
            <w:tcW w:w="2205" w:type="pct"/>
            <w:vAlign w:val="center"/>
          </w:tcPr>
          <w:p w:rsidR="007920E3" w:rsidRPr="00FF7C35" w:rsidRDefault="007920E3" w:rsidP="00FF7C35">
            <w:pPr>
              <w:pStyle w:val="TableText0"/>
              <w:spacing w:before="0" w:after="0"/>
              <w:rPr>
                <w:rFonts w:cs="Arial"/>
                <w:sz w:val="20"/>
                <w:lang w:eastAsia="en-US"/>
              </w:rPr>
            </w:pPr>
            <w:r w:rsidRPr="00FF7C35">
              <w:rPr>
                <w:rFonts w:cs="Arial"/>
                <w:sz w:val="20"/>
                <w:lang w:eastAsia="en-US"/>
              </w:rPr>
              <w:t xml:space="preserve">DXA + </w:t>
            </w:r>
            <w:proofErr w:type="spellStart"/>
            <w:r w:rsidRPr="00FF7C35">
              <w:rPr>
                <w:rFonts w:cs="Arial"/>
                <w:sz w:val="20"/>
                <w:lang w:eastAsia="en-US"/>
              </w:rPr>
              <w:t>ARtx</w:t>
            </w:r>
            <w:proofErr w:type="spellEnd"/>
            <w:r w:rsidRPr="00FF7C35">
              <w:rPr>
                <w:rFonts w:cs="Arial"/>
                <w:sz w:val="20"/>
                <w:lang w:eastAsia="en-US"/>
              </w:rPr>
              <w:t xml:space="preserve"> (osteoporosis)</w:t>
            </w:r>
          </w:p>
        </w:tc>
        <w:tc>
          <w:tcPr>
            <w:tcW w:w="516"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$5,331</w:t>
            </w:r>
          </w:p>
        </w:tc>
        <w:tc>
          <w:tcPr>
            <w:tcW w:w="554"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11.956</w:t>
            </w:r>
          </w:p>
        </w:tc>
        <w:tc>
          <w:tcPr>
            <w:tcW w:w="550"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$1,275</w:t>
            </w:r>
          </w:p>
        </w:tc>
        <w:tc>
          <w:tcPr>
            <w:tcW w:w="548"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0.299</w:t>
            </w:r>
          </w:p>
        </w:tc>
        <w:tc>
          <w:tcPr>
            <w:tcW w:w="627"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$4,264</w:t>
            </w:r>
          </w:p>
        </w:tc>
      </w:tr>
      <w:tr w:rsidR="007920E3" w:rsidRPr="00556165" w:rsidTr="00FF7C35">
        <w:trPr>
          <w:trHeight w:val="20"/>
          <w:tblHeader/>
        </w:trPr>
        <w:tc>
          <w:tcPr>
            <w:tcW w:w="2205" w:type="pct"/>
            <w:vAlign w:val="center"/>
          </w:tcPr>
          <w:p w:rsidR="007920E3" w:rsidRPr="00FF7C35" w:rsidRDefault="007920E3" w:rsidP="00FF7C35">
            <w:pPr>
              <w:pStyle w:val="TableText0"/>
              <w:spacing w:before="0" w:after="0"/>
              <w:rPr>
                <w:rFonts w:cs="Arial"/>
                <w:sz w:val="20"/>
                <w:lang w:eastAsia="en-US"/>
              </w:rPr>
            </w:pPr>
            <w:r w:rsidRPr="00FF7C35">
              <w:rPr>
                <w:rFonts w:cs="Arial"/>
                <w:sz w:val="20"/>
                <w:lang w:eastAsia="en-US"/>
              </w:rPr>
              <w:t xml:space="preserve">DXA + </w:t>
            </w:r>
            <w:proofErr w:type="spellStart"/>
            <w:r w:rsidRPr="00FF7C35">
              <w:rPr>
                <w:rFonts w:cs="Arial"/>
                <w:sz w:val="20"/>
                <w:lang w:eastAsia="en-US"/>
              </w:rPr>
              <w:t>ARtx</w:t>
            </w:r>
            <w:proofErr w:type="spellEnd"/>
            <w:r w:rsidRPr="00FF7C35">
              <w:rPr>
                <w:rFonts w:cs="Arial"/>
                <w:sz w:val="20"/>
                <w:lang w:eastAsia="en-US"/>
              </w:rPr>
              <w:t xml:space="preserve"> (osteoporosis + osteopenia)</w:t>
            </w:r>
          </w:p>
        </w:tc>
        <w:tc>
          <w:tcPr>
            <w:tcW w:w="516"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$10,249</w:t>
            </w:r>
          </w:p>
        </w:tc>
        <w:tc>
          <w:tcPr>
            <w:tcW w:w="554"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11.959</w:t>
            </w:r>
          </w:p>
        </w:tc>
        <w:tc>
          <w:tcPr>
            <w:tcW w:w="550"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$6,193</w:t>
            </w:r>
          </w:p>
        </w:tc>
        <w:tc>
          <w:tcPr>
            <w:tcW w:w="548"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0.302</w:t>
            </w:r>
          </w:p>
        </w:tc>
        <w:tc>
          <w:tcPr>
            <w:tcW w:w="627" w:type="pct"/>
            <w:vAlign w:val="center"/>
          </w:tcPr>
          <w:p w:rsidR="007920E3" w:rsidRPr="00FF7C35" w:rsidRDefault="007920E3" w:rsidP="00FF7C35">
            <w:pPr>
              <w:pStyle w:val="TableText0"/>
              <w:spacing w:before="0" w:after="0"/>
              <w:jc w:val="center"/>
              <w:rPr>
                <w:rFonts w:cs="Arial"/>
                <w:sz w:val="20"/>
                <w:lang w:eastAsia="en-US"/>
              </w:rPr>
            </w:pPr>
            <w:r w:rsidRPr="00FF7C35">
              <w:rPr>
                <w:rFonts w:cs="Arial"/>
                <w:sz w:val="20"/>
                <w:lang w:eastAsia="en-US"/>
              </w:rPr>
              <w:t>$20,507</w:t>
            </w:r>
          </w:p>
        </w:tc>
      </w:tr>
      <w:tr w:rsidR="007920E3" w:rsidRPr="00556165" w:rsidTr="00FF7C35">
        <w:trPr>
          <w:trHeight w:val="20"/>
          <w:tblHeader/>
        </w:trPr>
        <w:tc>
          <w:tcPr>
            <w:tcW w:w="2205" w:type="pct"/>
          </w:tcPr>
          <w:p w:rsidR="007920E3" w:rsidRPr="00FF7C35" w:rsidRDefault="007920E3" w:rsidP="00FF7C35">
            <w:pPr>
              <w:pStyle w:val="TableText0"/>
              <w:spacing w:before="0" w:after="0"/>
              <w:rPr>
                <w:rFonts w:cs="Arial"/>
                <w:b/>
                <w:sz w:val="20"/>
                <w:lang w:eastAsia="en-US"/>
              </w:rPr>
            </w:pPr>
            <w:r w:rsidRPr="00FF7C35">
              <w:rPr>
                <w:rFonts w:cs="Arial"/>
                <w:b/>
                <w:sz w:val="20"/>
                <w:lang w:eastAsia="en-US"/>
              </w:rPr>
              <w:t>Revised base case</w:t>
            </w:r>
          </w:p>
        </w:tc>
        <w:tc>
          <w:tcPr>
            <w:tcW w:w="516" w:type="pct"/>
            <w:vAlign w:val="center"/>
          </w:tcPr>
          <w:p w:rsidR="007920E3" w:rsidRPr="00FF7C35" w:rsidRDefault="007920E3" w:rsidP="00FF7C35">
            <w:pPr>
              <w:pStyle w:val="TableText0"/>
              <w:spacing w:before="0" w:after="0"/>
              <w:jc w:val="center"/>
              <w:rPr>
                <w:rFonts w:cs="Arial"/>
                <w:b/>
                <w:sz w:val="20"/>
                <w:lang w:eastAsia="en-US"/>
              </w:rPr>
            </w:pPr>
            <w:r w:rsidRPr="00FF7C35">
              <w:rPr>
                <w:rFonts w:cs="Arial"/>
                <w:b/>
                <w:sz w:val="20"/>
                <w:lang w:eastAsia="en-US"/>
              </w:rPr>
              <w:t>-</w:t>
            </w:r>
          </w:p>
        </w:tc>
        <w:tc>
          <w:tcPr>
            <w:tcW w:w="554" w:type="pct"/>
            <w:vAlign w:val="center"/>
          </w:tcPr>
          <w:p w:rsidR="007920E3" w:rsidRPr="00FF7C35" w:rsidRDefault="007920E3" w:rsidP="00FF7C35">
            <w:pPr>
              <w:pStyle w:val="TableText0"/>
              <w:spacing w:before="0" w:after="0"/>
              <w:jc w:val="center"/>
              <w:rPr>
                <w:rFonts w:cs="Arial"/>
                <w:b/>
                <w:sz w:val="20"/>
                <w:lang w:eastAsia="en-US"/>
              </w:rPr>
            </w:pPr>
            <w:r w:rsidRPr="00FF7C35">
              <w:rPr>
                <w:rFonts w:cs="Arial"/>
                <w:b/>
                <w:sz w:val="20"/>
                <w:lang w:eastAsia="en-US"/>
              </w:rPr>
              <w:t>-</w:t>
            </w:r>
          </w:p>
        </w:tc>
        <w:tc>
          <w:tcPr>
            <w:tcW w:w="550" w:type="pct"/>
            <w:vAlign w:val="center"/>
          </w:tcPr>
          <w:p w:rsidR="007920E3" w:rsidRPr="00FF7C35" w:rsidRDefault="007920E3" w:rsidP="00FF7C35">
            <w:pPr>
              <w:pStyle w:val="TableText0"/>
              <w:spacing w:before="0" w:after="0"/>
              <w:jc w:val="center"/>
              <w:rPr>
                <w:rFonts w:cs="Arial"/>
                <w:b/>
                <w:sz w:val="20"/>
                <w:lang w:eastAsia="en-US"/>
              </w:rPr>
            </w:pPr>
            <w:r w:rsidRPr="00FF7C35">
              <w:rPr>
                <w:rFonts w:cs="Arial"/>
                <w:b/>
                <w:sz w:val="20"/>
                <w:lang w:eastAsia="en-US"/>
              </w:rPr>
              <w:t>-</w:t>
            </w:r>
          </w:p>
        </w:tc>
        <w:tc>
          <w:tcPr>
            <w:tcW w:w="548" w:type="pct"/>
            <w:vAlign w:val="center"/>
          </w:tcPr>
          <w:p w:rsidR="007920E3" w:rsidRPr="00FF7C35" w:rsidRDefault="007920E3" w:rsidP="00FF7C35">
            <w:pPr>
              <w:pStyle w:val="TableText0"/>
              <w:spacing w:before="0" w:after="0"/>
              <w:jc w:val="center"/>
              <w:rPr>
                <w:rFonts w:cs="Arial"/>
                <w:b/>
                <w:sz w:val="20"/>
                <w:lang w:eastAsia="en-US"/>
              </w:rPr>
            </w:pPr>
            <w:r w:rsidRPr="00FF7C35">
              <w:rPr>
                <w:rFonts w:cs="Arial"/>
                <w:b/>
                <w:sz w:val="20"/>
                <w:lang w:eastAsia="en-US"/>
              </w:rPr>
              <w:t>-</w:t>
            </w:r>
          </w:p>
        </w:tc>
        <w:tc>
          <w:tcPr>
            <w:tcW w:w="627" w:type="pct"/>
            <w:vAlign w:val="center"/>
          </w:tcPr>
          <w:p w:rsidR="007920E3" w:rsidRPr="00FF7C35" w:rsidRDefault="007920E3" w:rsidP="00FF7C35">
            <w:pPr>
              <w:pStyle w:val="TableText0"/>
              <w:spacing w:before="0" w:after="0"/>
              <w:jc w:val="center"/>
              <w:rPr>
                <w:rFonts w:cs="Arial"/>
                <w:b/>
                <w:sz w:val="20"/>
                <w:lang w:eastAsia="en-US"/>
              </w:rPr>
            </w:pPr>
            <w:r w:rsidRPr="00FF7C35">
              <w:rPr>
                <w:rFonts w:cs="Arial"/>
                <w:b/>
                <w:sz w:val="20"/>
                <w:lang w:eastAsia="en-US"/>
              </w:rPr>
              <w:t>-</w:t>
            </w:r>
          </w:p>
        </w:tc>
      </w:tr>
      <w:tr w:rsidR="007920E3" w:rsidRPr="00556165" w:rsidTr="00FF7C35">
        <w:trPr>
          <w:trHeight w:val="20"/>
          <w:tblHeader/>
        </w:trPr>
        <w:tc>
          <w:tcPr>
            <w:tcW w:w="2205" w:type="pct"/>
          </w:tcPr>
          <w:p w:rsidR="007920E3" w:rsidRPr="00FF7C35" w:rsidRDefault="007920E3" w:rsidP="00FF7C35">
            <w:pPr>
              <w:pStyle w:val="TableText0"/>
              <w:spacing w:before="0" w:after="0"/>
              <w:rPr>
                <w:rFonts w:cs="Arial"/>
                <w:sz w:val="20"/>
                <w:lang w:eastAsia="en-US"/>
              </w:rPr>
            </w:pPr>
            <w:r w:rsidRPr="00FF7C35">
              <w:rPr>
                <w:rFonts w:cs="Arial"/>
                <w:sz w:val="20"/>
                <w:lang w:eastAsia="en-US"/>
              </w:rPr>
              <w:t>No DXA and lifestyle advice only (all women)</w:t>
            </w:r>
          </w:p>
        </w:tc>
        <w:tc>
          <w:tcPr>
            <w:tcW w:w="516"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$7,545</w:t>
            </w:r>
          </w:p>
        </w:tc>
        <w:tc>
          <w:tcPr>
            <w:tcW w:w="554"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11.822</w:t>
            </w:r>
          </w:p>
        </w:tc>
        <w:tc>
          <w:tcPr>
            <w:tcW w:w="550"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ref</w:t>
            </w:r>
          </w:p>
        </w:tc>
        <w:tc>
          <w:tcPr>
            <w:tcW w:w="548"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ref</w:t>
            </w:r>
          </w:p>
        </w:tc>
        <w:tc>
          <w:tcPr>
            <w:tcW w:w="627"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ref</w:t>
            </w:r>
          </w:p>
        </w:tc>
      </w:tr>
      <w:tr w:rsidR="007920E3" w:rsidRPr="00556165" w:rsidTr="00FF7C35">
        <w:trPr>
          <w:trHeight w:val="20"/>
          <w:tblHeader/>
        </w:trPr>
        <w:tc>
          <w:tcPr>
            <w:tcW w:w="2205" w:type="pct"/>
          </w:tcPr>
          <w:p w:rsidR="007920E3" w:rsidRPr="00FF7C35" w:rsidRDefault="007920E3" w:rsidP="00FF7C35">
            <w:pPr>
              <w:pStyle w:val="TableText0"/>
              <w:spacing w:before="0" w:after="0"/>
              <w:rPr>
                <w:rFonts w:cs="Arial"/>
                <w:sz w:val="20"/>
                <w:lang w:eastAsia="en-US"/>
              </w:rPr>
            </w:pPr>
            <w:r w:rsidRPr="00FF7C35">
              <w:rPr>
                <w:rFonts w:cs="Arial"/>
                <w:sz w:val="20"/>
                <w:lang w:eastAsia="en-US"/>
              </w:rPr>
              <w:t xml:space="preserve">DXA + </w:t>
            </w:r>
            <w:proofErr w:type="spellStart"/>
            <w:r w:rsidRPr="00FF7C35">
              <w:rPr>
                <w:rFonts w:cs="Arial"/>
                <w:sz w:val="20"/>
                <w:lang w:eastAsia="en-US"/>
              </w:rPr>
              <w:t>ARtx</w:t>
            </w:r>
            <w:proofErr w:type="spellEnd"/>
            <w:r w:rsidRPr="00FF7C35">
              <w:rPr>
                <w:rFonts w:cs="Arial"/>
                <w:sz w:val="20"/>
                <w:lang w:eastAsia="en-US"/>
              </w:rPr>
              <w:t xml:space="preserve"> (osteoporosis)</w:t>
            </w:r>
          </w:p>
        </w:tc>
        <w:tc>
          <w:tcPr>
            <w:tcW w:w="516"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$7,973</w:t>
            </w:r>
          </w:p>
        </w:tc>
        <w:tc>
          <w:tcPr>
            <w:tcW w:w="554"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11.831</w:t>
            </w:r>
          </w:p>
        </w:tc>
        <w:tc>
          <w:tcPr>
            <w:tcW w:w="550"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$428</w:t>
            </w:r>
          </w:p>
        </w:tc>
        <w:tc>
          <w:tcPr>
            <w:tcW w:w="548"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0.009</w:t>
            </w:r>
          </w:p>
        </w:tc>
        <w:tc>
          <w:tcPr>
            <w:tcW w:w="627" w:type="pct"/>
            <w:vAlign w:val="bottom"/>
          </w:tcPr>
          <w:p w:rsidR="007920E3" w:rsidRPr="00FF7C35" w:rsidRDefault="007920E3" w:rsidP="00FF7C35">
            <w:pPr>
              <w:jc w:val="center"/>
              <w:rPr>
                <w:rFonts w:ascii="Arial Narrow" w:hAnsi="Arial Narrow" w:cs="Arial"/>
                <w:b/>
                <w:color w:val="000000"/>
                <w:sz w:val="20"/>
                <w:lang w:eastAsia="en-US"/>
              </w:rPr>
            </w:pPr>
            <w:r w:rsidRPr="00FF7C35">
              <w:rPr>
                <w:rFonts w:ascii="Arial Narrow" w:hAnsi="Arial Narrow" w:cs="Arial"/>
                <w:b/>
                <w:color w:val="000000"/>
                <w:sz w:val="20"/>
                <w:lang w:eastAsia="en-US"/>
              </w:rPr>
              <w:t>$47,556</w:t>
            </w:r>
          </w:p>
        </w:tc>
      </w:tr>
      <w:tr w:rsidR="007920E3" w:rsidRPr="00556165" w:rsidTr="00FF7C35">
        <w:trPr>
          <w:trHeight w:val="20"/>
          <w:tblHeader/>
        </w:trPr>
        <w:tc>
          <w:tcPr>
            <w:tcW w:w="2205" w:type="pct"/>
          </w:tcPr>
          <w:p w:rsidR="007920E3" w:rsidRPr="00FF7C35" w:rsidRDefault="007920E3" w:rsidP="00FF7C35">
            <w:pPr>
              <w:pStyle w:val="TableText0"/>
              <w:spacing w:before="0" w:after="0"/>
              <w:rPr>
                <w:rFonts w:cs="Arial"/>
                <w:sz w:val="20"/>
                <w:lang w:eastAsia="en-US"/>
              </w:rPr>
            </w:pPr>
            <w:r w:rsidRPr="00FF7C35">
              <w:rPr>
                <w:rFonts w:cs="Arial"/>
                <w:sz w:val="20"/>
                <w:lang w:eastAsia="en-US"/>
              </w:rPr>
              <w:t xml:space="preserve">DXA + </w:t>
            </w:r>
            <w:proofErr w:type="spellStart"/>
            <w:r w:rsidRPr="00FF7C35">
              <w:rPr>
                <w:rFonts w:cs="Arial"/>
                <w:sz w:val="20"/>
                <w:lang w:eastAsia="en-US"/>
              </w:rPr>
              <w:t>ARtx</w:t>
            </w:r>
            <w:proofErr w:type="spellEnd"/>
            <w:r w:rsidRPr="00FF7C35">
              <w:rPr>
                <w:rFonts w:cs="Arial"/>
                <w:sz w:val="20"/>
                <w:lang w:eastAsia="en-US"/>
              </w:rPr>
              <w:t xml:space="preserve"> (osteoporosis + osteopenia)</w:t>
            </w:r>
          </w:p>
        </w:tc>
        <w:tc>
          <w:tcPr>
            <w:tcW w:w="516"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$10,581</w:t>
            </w:r>
          </w:p>
        </w:tc>
        <w:tc>
          <w:tcPr>
            <w:tcW w:w="554"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11.834</w:t>
            </w:r>
          </w:p>
        </w:tc>
        <w:tc>
          <w:tcPr>
            <w:tcW w:w="550"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$3,036</w:t>
            </w:r>
          </w:p>
        </w:tc>
        <w:tc>
          <w:tcPr>
            <w:tcW w:w="548"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0.012</w:t>
            </w:r>
          </w:p>
        </w:tc>
        <w:tc>
          <w:tcPr>
            <w:tcW w:w="627" w:type="pct"/>
            <w:vAlign w:val="bottom"/>
          </w:tcPr>
          <w:p w:rsidR="007920E3" w:rsidRPr="00FF7C35" w:rsidRDefault="007920E3" w:rsidP="00FF7C35">
            <w:pPr>
              <w:jc w:val="center"/>
              <w:rPr>
                <w:rFonts w:ascii="Arial Narrow" w:hAnsi="Arial Narrow" w:cs="Arial"/>
                <w:b/>
                <w:color w:val="000000"/>
                <w:sz w:val="20"/>
                <w:lang w:eastAsia="en-US"/>
              </w:rPr>
            </w:pPr>
            <w:r w:rsidRPr="00FF7C35">
              <w:rPr>
                <w:rFonts w:ascii="Arial Narrow" w:hAnsi="Arial Narrow" w:cs="Arial"/>
                <w:b/>
                <w:color w:val="000000"/>
                <w:sz w:val="20"/>
                <w:lang w:eastAsia="en-US"/>
              </w:rPr>
              <w:t>$253,000</w:t>
            </w:r>
          </w:p>
        </w:tc>
      </w:tr>
    </w:tbl>
    <w:p w:rsidR="007920E3" w:rsidRDefault="007920E3" w:rsidP="001E715D">
      <w:proofErr w:type="spellStart"/>
      <w:r>
        <w:rPr>
          <w:rFonts w:ascii="Arial Narrow" w:hAnsi="Arial Narrow"/>
          <w:sz w:val="18"/>
          <w:szCs w:val="18"/>
        </w:rPr>
        <w:t>ARtx</w:t>
      </w:r>
      <w:proofErr w:type="spellEnd"/>
      <w:r>
        <w:rPr>
          <w:rFonts w:ascii="Arial Narrow" w:hAnsi="Arial Narrow"/>
          <w:sz w:val="18"/>
          <w:szCs w:val="18"/>
        </w:rPr>
        <w:t xml:space="preserve"> = Anti-</w:t>
      </w:r>
      <w:proofErr w:type="spellStart"/>
      <w:r>
        <w:rPr>
          <w:rFonts w:ascii="Arial Narrow" w:hAnsi="Arial Narrow"/>
          <w:sz w:val="18"/>
          <w:szCs w:val="18"/>
        </w:rPr>
        <w:t>resorptive</w:t>
      </w:r>
      <w:proofErr w:type="spellEnd"/>
      <w:r>
        <w:rPr>
          <w:rFonts w:ascii="Arial Narrow" w:hAnsi="Arial Narrow"/>
          <w:sz w:val="18"/>
          <w:szCs w:val="18"/>
        </w:rPr>
        <w:t xml:space="preserve"> therapy, </w:t>
      </w:r>
      <w:r w:rsidRPr="006D19D1">
        <w:rPr>
          <w:rFonts w:ascii="Arial Narrow" w:hAnsi="Arial Narrow"/>
          <w:sz w:val="18"/>
          <w:szCs w:val="18"/>
        </w:rPr>
        <w:t>DXA = dual absorptiometry X-ray</w:t>
      </w:r>
      <w:r>
        <w:rPr>
          <w:rFonts w:ascii="Arial Narrow" w:hAnsi="Arial Narrow"/>
          <w:sz w:val="18"/>
          <w:szCs w:val="18"/>
        </w:rPr>
        <w:t xml:space="preserve">, ICER = incremental cost effectiveness ratio, </w:t>
      </w:r>
      <w:proofErr w:type="spellStart"/>
      <w:proofErr w:type="gramStart"/>
      <w:r>
        <w:rPr>
          <w:rFonts w:ascii="Arial Narrow" w:hAnsi="Arial Narrow"/>
          <w:sz w:val="18"/>
          <w:szCs w:val="18"/>
        </w:rPr>
        <w:t>inc</w:t>
      </w:r>
      <w:proofErr w:type="spellEnd"/>
      <w:proofErr w:type="gramEnd"/>
      <w:r>
        <w:rPr>
          <w:rFonts w:ascii="Arial Narrow" w:hAnsi="Arial Narrow"/>
          <w:sz w:val="18"/>
          <w:szCs w:val="18"/>
        </w:rPr>
        <w:t xml:space="preserve"> = incremental, QALYs = quality adjusted life years</w:t>
      </w:r>
      <w:r>
        <w:t xml:space="preserve"> </w:t>
      </w:r>
    </w:p>
    <w:p w:rsidR="007920E3" w:rsidRDefault="007920E3" w:rsidP="000A43DF"/>
    <w:p w:rsidR="007920E3" w:rsidRDefault="007920E3" w:rsidP="000A43DF">
      <w:r w:rsidRPr="00A0697B">
        <w:lastRenderedPageBreak/>
        <w:t>Over their remaining lives, for a cohort of 60 year old women with breast cancer taking AIs, the mean cost for DXA plus AR therapy for osteoporosis was estimated at $7,</w:t>
      </w:r>
      <w:r>
        <w:t>973</w:t>
      </w:r>
      <w:r w:rsidRPr="00A0697B">
        <w:t xml:space="preserve"> compared with $7,</w:t>
      </w:r>
      <w:r>
        <w:t>545</w:t>
      </w:r>
      <w:r w:rsidRPr="00A0697B">
        <w:t xml:space="preserve"> for risk assessment plus lifestyle advice. The corresponding mean QALYs were 11.83</w:t>
      </w:r>
      <w:r>
        <w:t>1</w:t>
      </w:r>
      <w:r w:rsidRPr="00A0697B">
        <w:t xml:space="preserve"> and 11.82</w:t>
      </w:r>
      <w:r>
        <w:t>2</w:t>
      </w:r>
      <w:r w:rsidRPr="00A0697B">
        <w:t>, respectively. Consequently, the incremental cost per QALY ratio, for women with osteoporosis, was $</w:t>
      </w:r>
      <w:r>
        <w:t>47,556</w:t>
      </w:r>
      <w:r w:rsidRPr="00A0697B">
        <w:t xml:space="preserve"> per QALY gained. </w:t>
      </w:r>
      <w:r>
        <w:t xml:space="preserve"> The ICER was considerably higher for women receiving DXA plus AR therapy with osteoporosis or osteopenia where the mean costs drove up the ICER to $253,000.</w:t>
      </w:r>
    </w:p>
    <w:p w:rsidR="007920E3" w:rsidRDefault="007920E3" w:rsidP="000A43DF"/>
    <w:p w:rsidR="007920E3" w:rsidRDefault="007920E3" w:rsidP="000A43DF">
      <w:r>
        <w:t>The results for fractures and life years saved are presented in Table 6. The costs and effects are undiscounted. Fractures are expressed as per 1000 women.</w:t>
      </w:r>
    </w:p>
    <w:p w:rsidR="007920E3" w:rsidRDefault="007920E3" w:rsidP="000A43DF"/>
    <w:p w:rsidR="007920E3" w:rsidRPr="00556165" w:rsidRDefault="007920E3" w:rsidP="001E715D">
      <w:pPr>
        <w:pStyle w:val="TableName"/>
        <w:ind w:left="720"/>
        <w:rPr>
          <w:rFonts w:cs="Arial"/>
        </w:rPr>
      </w:pPr>
      <w:r w:rsidRPr="00556165">
        <w:rPr>
          <w:rFonts w:cs="Arial"/>
        </w:rPr>
        <w:t>Table 6: Results of economic evaluation (60 year old cohort, undiscounted, life years saved and fractures)</w:t>
      </w:r>
    </w:p>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8"/>
        <w:gridCol w:w="1128"/>
        <w:gridCol w:w="1139"/>
        <w:gridCol w:w="1092"/>
        <w:gridCol w:w="1045"/>
        <w:gridCol w:w="1110"/>
      </w:tblGrid>
      <w:tr w:rsidR="007920E3" w:rsidRPr="00556165" w:rsidTr="00FF7C35">
        <w:trPr>
          <w:tblHeader/>
        </w:trPr>
        <w:tc>
          <w:tcPr>
            <w:tcW w:w="1896" w:type="pct"/>
          </w:tcPr>
          <w:p w:rsidR="007920E3" w:rsidRPr="00FF7C35" w:rsidRDefault="007920E3" w:rsidP="00A14B39">
            <w:pPr>
              <w:pStyle w:val="Tabletext"/>
              <w:rPr>
                <w:rFonts w:cs="Arial"/>
                <w:b/>
                <w:lang w:eastAsia="en-US"/>
              </w:rPr>
            </w:pPr>
            <w:r w:rsidRPr="00FF7C35">
              <w:rPr>
                <w:rFonts w:cs="Arial"/>
                <w:b/>
                <w:lang w:eastAsia="en-US"/>
              </w:rPr>
              <w:t>Intervention</w:t>
            </w:r>
          </w:p>
        </w:tc>
        <w:tc>
          <w:tcPr>
            <w:tcW w:w="635" w:type="pct"/>
            <w:vAlign w:val="center"/>
          </w:tcPr>
          <w:p w:rsidR="007920E3" w:rsidRPr="00FF7C35" w:rsidRDefault="007920E3" w:rsidP="00FF7C35">
            <w:pPr>
              <w:pStyle w:val="Tabletext"/>
              <w:jc w:val="center"/>
              <w:rPr>
                <w:rFonts w:cs="Arial"/>
                <w:b/>
                <w:lang w:eastAsia="en-US"/>
              </w:rPr>
            </w:pPr>
            <w:r w:rsidRPr="00FF7C35">
              <w:rPr>
                <w:rFonts w:cs="Arial"/>
                <w:b/>
                <w:lang w:eastAsia="en-US"/>
              </w:rPr>
              <w:t>Mean Costs</w:t>
            </w:r>
          </w:p>
        </w:tc>
        <w:tc>
          <w:tcPr>
            <w:tcW w:w="641" w:type="pct"/>
            <w:vAlign w:val="center"/>
          </w:tcPr>
          <w:p w:rsidR="007920E3" w:rsidRPr="00FF7C35" w:rsidRDefault="007920E3" w:rsidP="00FF7C35">
            <w:pPr>
              <w:pStyle w:val="Tabletext"/>
              <w:jc w:val="center"/>
              <w:rPr>
                <w:rFonts w:cs="Arial"/>
                <w:b/>
                <w:lang w:eastAsia="en-US"/>
              </w:rPr>
            </w:pPr>
            <w:r w:rsidRPr="00FF7C35">
              <w:rPr>
                <w:rFonts w:cs="Arial"/>
                <w:b/>
                <w:lang w:eastAsia="en-US"/>
              </w:rPr>
              <w:t>Mean Effects</w:t>
            </w:r>
          </w:p>
        </w:tc>
        <w:tc>
          <w:tcPr>
            <w:tcW w:w="615" w:type="pct"/>
            <w:vAlign w:val="center"/>
          </w:tcPr>
          <w:p w:rsidR="007920E3" w:rsidRPr="00FF7C35" w:rsidRDefault="007920E3" w:rsidP="00FF7C35">
            <w:pPr>
              <w:pStyle w:val="Tabletext"/>
              <w:jc w:val="center"/>
              <w:rPr>
                <w:rFonts w:cs="Arial"/>
                <w:b/>
                <w:lang w:eastAsia="en-US"/>
              </w:rPr>
            </w:pPr>
            <w:proofErr w:type="spellStart"/>
            <w:r w:rsidRPr="00FF7C35">
              <w:rPr>
                <w:rFonts w:cs="Arial"/>
                <w:b/>
                <w:lang w:eastAsia="en-US"/>
              </w:rPr>
              <w:t>Inc</w:t>
            </w:r>
            <w:proofErr w:type="spellEnd"/>
            <w:r w:rsidRPr="00FF7C35">
              <w:rPr>
                <w:rFonts w:cs="Arial"/>
                <w:b/>
                <w:lang w:eastAsia="en-US"/>
              </w:rPr>
              <w:t xml:space="preserve"> Costs</w:t>
            </w:r>
          </w:p>
        </w:tc>
        <w:tc>
          <w:tcPr>
            <w:tcW w:w="588" w:type="pct"/>
            <w:vAlign w:val="center"/>
          </w:tcPr>
          <w:p w:rsidR="007920E3" w:rsidRPr="00FF7C35" w:rsidRDefault="007920E3" w:rsidP="00FF7C35">
            <w:pPr>
              <w:pStyle w:val="Tabletext"/>
              <w:jc w:val="center"/>
              <w:rPr>
                <w:rFonts w:cs="Arial"/>
                <w:b/>
                <w:lang w:eastAsia="en-US"/>
              </w:rPr>
            </w:pPr>
            <w:proofErr w:type="spellStart"/>
            <w:r w:rsidRPr="00FF7C35">
              <w:rPr>
                <w:rFonts w:cs="Arial"/>
                <w:b/>
                <w:lang w:eastAsia="en-US"/>
              </w:rPr>
              <w:t>Inc</w:t>
            </w:r>
            <w:proofErr w:type="spellEnd"/>
            <w:r w:rsidRPr="00FF7C35">
              <w:rPr>
                <w:rFonts w:cs="Arial"/>
                <w:b/>
                <w:lang w:eastAsia="en-US"/>
              </w:rPr>
              <w:t xml:space="preserve"> Effects</w:t>
            </w:r>
          </w:p>
        </w:tc>
        <w:tc>
          <w:tcPr>
            <w:tcW w:w="625" w:type="pct"/>
            <w:vAlign w:val="center"/>
          </w:tcPr>
          <w:p w:rsidR="007920E3" w:rsidRPr="00FF7C35" w:rsidRDefault="007920E3" w:rsidP="00FF7C35">
            <w:pPr>
              <w:pStyle w:val="Tabletext"/>
              <w:jc w:val="center"/>
              <w:rPr>
                <w:rFonts w:cs="Arial"/>
                <w:b/>
                <w:lang w:eastAsia="en-US"/>
              </w:rPr>
            </w:pPr>
            <w:r w:rsidRPr="00FF7C35">
              <w:rPr>
                <w:rFonts w:cs="Arial"/>
                <w:b/>
                <w:lang w:eastAsia="en-US"/>
              </w:rPr>
              <w:t>ICER</w:t>
            </w:r>
          </w:p>
        </w:tc>
      </w:tr>
      <w:tr w:rsidR="007920E3" w:rsidRPr="00556165" w:rsidTr="00FF7C35">
        <w:trPr>
          <w:tblHeader/>
        </w:trPr>
        <w:tc>
          <w:tcPr>
            <w:tcW w:w="1896" w:type="pct"/>
          </w:tcPr>
          <w:p w:rsidR="007920E3" w:rsidRPr="00FF7C35" w:rsidRDefault="007920E3" w:rsidP="00A14B39">
            <w:pPr>
              <w:pStyle w:val="Tabletext"/>
              <w:rPr>
                <w:rFonts w:cs="Arial"/>
                <w:lang w:eastAsia="en-US"/>
              </w:rPr>
            </w:pPr>
            <w:r w:rsidRPr="00FF7C35">
              <w:rPr>
                <w:rFonts w:cs="Arial"/>
                <w:lang w:eastAsia="en-US"/>
              </w:rPr>
              <w:t>-</w:t>
            </w:r>
          </w:p>
        </w:tc>
        <w:tc>
          <w:tcPr>
            <w:tcW w:w="635" w:type="pct"/>
            <w:vAlign w:val="center"/>
          </w:tcPr>
          <w:p w:rsidR="007920E3" w:rsidRPr="00FF7C35" w:rsidRDefault="007920E3" w:rsidP="00FF7C35">
            <w:pPr>
              <w:pStyle w:val="Tabletext"/>
              <w:jc w:val="center"/>
              <w:rPr>
                <w:rFonts w:cs="Arial"/>
                <w:lang w:eastAsia="en-US"/>
              </w:rPr>
            </w:pPr>
            <w:r w:rsidRPr="00FF7C35">
              <w:rPr>
                <w:rFonts w:cs="Arial"/>
                <w:lang w:eastAsia="en-US"/>
              </w:rPr>
              <w:t>-</w:t>
            </w:r>
          </w:p>
        </w:tc>
        <w:tc>
          <w:tcPr>
            <w:tcW w:w="641" w:type="pct"/>
            <w:vAlign w:val="center"/>
          </w:tcPr>
          <w:p w:rsidR="007920E3" w:rsidRPr="00FF7C35" w:rsidRDefault="007920E3" w:rsidP="00FF7C35">
            <w:pPr>
              <w:pStyle w:val="Tabletext"/>
              <w:jc w:val="center"/>
              <w:rPr>
                <w:rFonts w:cs="Arial"/>
                <w:b/>
                <w:lang w:eastAsia="en-US"/>
              </w:rPr>
            </w:pPr>
            <w:r w:rsidRPr="00FF7C35">
              <w:rPr>
                <w:rFonts w:cs="Arial"/>
                <w:b/>
                <w:lang w:eastAsia="en-US"/>
              </w:rPr>
              <w:t>LYS</w:t>
            </w:r>
          </w:p>
        </w:tc>
        <w:tc>
          <w:tcPr>
            <w:tcW w:w="615" w:type="pct"/>
            <w:vAlign w:val="center"/>
          </w:tcPr>
          <w:p w:rsidR="007920E3" w:rsidRPr="00FF7C35" w:rsidRDefault="007920E3" w:rsidP="00FF7C35">
            <w:pPr>
              <w:pStyle w:val="Tabletext"/>
              <w:jc w:val="center"/>
              <w:rPr>
                <w:rFonts w:cs="Arial"/>
                <w:b/>
                <w:lang w:eastAsia="en-US"/>
              </w:rPr>
            </w:pPr>
            <w:r w:rsidRPr="00FF7C35">
              <w:rPr>
                <w:rFonts w:cs="Arial"/>
                <w:b/>
                <w:lang w:eastAsia="en-US"/>
              </w:rPr>
              <w:t>-</w:t>
            </w:r>
          </w:p>
        </w:tc>
        <w:tc>
          <w:tcPr>
            <w:tcW w:w="588" w:type="pct"/>
            <w:vAlign w:val="center"/>
          </w:tcPr>
          <w:p w:rsidR="007920E3" w:rsidRPr="00FF7C35" w:rsidRDefault="007920E3" w:rsidP="00FF7C35">
            <w:pPr>
              <w:pStyle w:val="Tabletext"/>
              <w:jc w:val="center"/>
              <w:rPr>
                <w:rFonts w:cs="Arial"/>
                <w:b/>
                <w:lang w:eastAsia="en-US"/>
              </w:rPr>
            </w:pPr>
            <w:r w:rsidRPr="00FF7C35">
              <w:rPr>
                <w:rFonts w:cs="Arial"/>
                <w:b/>
                <w:lang w:eastAsia="en-US"/>
              </w:rPr>
              <w:t>LYS</w:t>
            </w:r>
          </w:p>
        </w:tc>
        <w:tc>
          <w:tcPr>
            <w:tcW w:w="625" w:type="pct"/>
            <w:vAlign w:val="center"/>
          </w:tcPr>
          <w:p w:rsidR="007920E3" w:rsidRPr="00FF7C35" w:rsidRDefault="007920E3" w:rsidP="00FF7C35">
            <w:pPr>
              <w:pStyle w:val="Tabletext"/>
              <w:jc w:val="center"/>
              <w:rPr>
                <w:rFonts w:cs="Arial"/>
                <w:b/>
                <w:lang w:eastAsia="en-US"/>
              </w:rPr>
            </w:pPr>
            <w:r w:rsidRPr="00FF7C35">
              <w:rPr>
                <w:rFonts w:cs="Arial"/>
                <w:b/>
                <w:lang w:eastAsia="en-US"/>
              </w:rPr>
              <w:t>LYS</w:t>
            </w:r>
          </w:p>
        </w:tc>
      </w:tr>
      <w:tr w:rsidR="007920E3" w:rsidRPr="00556165" w:rsidTr="00FF7C35">
        <w:trPr>
          <w:tblHeader/>
        </w:trPr>
        <w:tc>
          <w:tcPr>
            <w:tcW w:w="1896" w:type="pct"/>
          </w:tcPr>
          <w:p w:rsidR="007920E3" w:rsidRPr="00FF7C35" w:rsidRDefault="007920E3" w:rsidP="00A14B39">
            <w:pPr>
              <w:pStyle w:val="Tabletext"/>
              <w:rPr>
                <w:rFonts w:cs="Arial"/>
                <w:lang w:eastAsia="en-US"/>
              </w:rPr>
            </w:pPr>
            <w:r w:rsidRPr="00FF7C35">
              <w:rPr>
                <w:rFonts w:cs="Arial"/>
                <w:lang w:eastAsia="en-US"/>
              </w:rPr>
              <w:t>No DXA and lifestyle advice only (all women)</w:t>
            </w:r>
          </w:p>
        </w:tc>
        <w:tc>
          <w:tcPr>
            <w:tcW w:w="63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$21,062</w:t>
            </w:r>
          </w:p>
        </w:tc>
        <w:tc>
          <w:tcPr>
            <w:tcW w:w="641"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25.593</w:t>
            </w:r>
          </w:p>
        </w:tc>
        <w:tc>
          <w:tcPr>
            <w:tcW w:w="61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ref</w:t>
            </w:r>
          </w:p>
        </w:tc>
        <w:tc>
          <w:tcPr>
            <w:tcW w:w="588"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ref</w:t>
            </w:r>
          </w:p>
        </w:tc>
        <w:tc>
          <w:tcPr>
            <w:tcW w:w="62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ref</w:t>
            </w:r>
          </w:p>
        </w:tc>
      </w:tr>
      <w:tr w:rsidR="007920E3" w:rsidRPr="00556165" w:rsidTr="00FF7C35">
        <w:trPr>
          <w:tblHeader/>
        </w:trPr>
        <w:tc>
          <w:tcPr>
            <w:tcW w:w="1896" w:type="pct"/>
          </w:tcPr>
          <w:p w:rsidR="007920E3" w:rsidRPr="00FF7C35" w:rsidRDefault="007920E3" w:rsidP="00A14B39">
            <w:pPr>
              <w:pStyle w:val="Tabletext"/>
              <w:rPr>
                <w:rFonts w:cs="Arial"/>
                <w:lang w:eastAsia="en-US"/>
              </w:rPr>
            </w:pPr>
            <w:r w:rsidRPr="00FF7C35">
              <w:rPr>
                <w:rFonts w:cs="Arial"/>
                <w:lang w:eastAsia="en-US"/>
              </w:rPr>
              <w:t xml:space="preserve">DXA + </w:t>
            </w:r>
            <w:proofErr w:type="spellStart"/>
            <w:r w:rsidRPr="00FF7C35">
              <w:rPr>
                <w:rFonts w:cs="Arial"/>
                <w:lang w:eastAsia="en-US"/>
              </w:rPr>
              <w:t>ARtx</w:t>
            </w:r>
            <w:proofErr w:type="spellEnd"/>
            <w:r w:rsidRPr="00FF7C35">
              <w:rPr>
                <w:rFonts w:cs="Arial"/>
                <w:lang w:eastAsia="en-US"/>
              </w:rPr>
              <w:t xml:space="preserve"> (osteoporosis)</w:t>
            </w:r>
          </w:p>
        </w:tc>
        <w:tc>
          <w:tcPr>
            <w:tcW w:w="63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$21,449</w:t>
            </w:r>
          </w:p>
        </w:tc>
        <w:tc>
          <w:tcPr>
            <w:tcW w:w="641"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25.626</w:t>
            </w:r>
          </w:p>
        </w:tc>
        <w:tc>
          <w:tcPr>
            <w:tcW w:w="61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$387</w:t>
            </w:r>
          </w:p>
        </w:tc>
        <w:tc>
          <w:tcPr>
            <w:tcW w:w="588"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0.033</w:t>
            </w:r>
          </w:p>
        </w:tc>
        <w:tc>
          <w:tcPr>
            <w:tcW w:w="62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$11,727</w:t>
            </w:r>
          </w:p>
        </w:tc>
      </w:tr>
      <w:tr w:rsidR="007920E3" w:rsidRPr="00556165" w:rsidTr="00FF7C35">
        <w:trPr>
          <w:tblHeader/>
        </w:trPr>
        <w:tc>
          <w:tcPr>
            <w:tcW w:w="1896" w:type="pct"/>
          </w:tcPr>
          <w:p w:rsidR="007920E3" w:rsidRPr="00FF7C35" w:rsidRDefault="007920E3" w:rsidP="00A14B39">
            <w:pPr>
              <w:pStyle w:val="Tabletext"/>
              <w:rPr>
                <w:rFonts w:cs="Arial"/>
                <w:lang w:eastAsia="en-US"/>
              </w:rPr>
            </w:pPr>
            <w:r w:rsidRPr="00FF7C35">
              <w:rPr>
                <w:rFonts w:cs="Arial"/>
                <w:lang w:eastAsia="en-US"/>
              </w:rPr>
              <w:t xml:space="preserve">DXA + </w:t>
            </w:r>
            <w:proofErr w:type="spellStart"/>
            <w:r w:rsidRPr="00FF7C35">
              <w:rPr>
                <w:rFonts w:cs="Arial"/>
                <w:lang w:eastAsia="en-US"/>
              </w:rPr>
              <w:t>ARtx</w:t>
            </w:r>
            <w:proofErr w:type="spellEnd"/>
            <w:r w:rsidRPr="00FF7C35">
              <w:rPr>
                <w:rFonts w:cs="Arial"/>
                <w:lang w:eastAsia="en-US"/>
              </w:rPr>
              <w:t xml:space="preserve"> (osteoporosis + osteopenia)</w:t>
            </w:r>
          </w:p>
        </w:tc>
        <w:tc>
          <w:tcPr>
            <w:tcW w:w="63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$25,811</w:t>
            </w:r>
          </w:p>
        </w:tc>
        <w:tc>
          <w:tcPr>
            <w:tcW w:w="641"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25.632</w:t>
            </w:r>
          </w:p>
        </w:tc>
        <w:tc>
          <w:tcPr>
            <w:tcW w:w="61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$4,749</w:t>
            </w:r>
          </w:p>
        </w:tc>
        <w:tc>
          <w:tcPr>
            <w:tcW w:w="588"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0.039</w:t>
            </w:r>
          </w:p>
        </w:tc>
        <w:tc>
          <w:tcPr>
            <w:tcW w:w="62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$121,769</w:t>
            </w:r>
          </w:p>
        </w:tc>
      </w:tr>
      <w:tr w:rsidR="007920E3" w:rsidRPr="00556165" w:rsidTr="00FF7C35">
        <w:trPr>
          <w:tblHeader/>
        </w:trPr>
        <w:tc>
          <w:tcPr>
            <w:tcW w:w="1896" w:type="pct"/>
          </w:tcPr>
          <w:p w:rsidR="007920E3" w:rsidRPr="00FF7C35" w:rsidRDefault="007920E3" w:rsidP="00A14B39">
            <w:pPr>
              <w:pStyle w:val="Tabletext"/>
              <w:rPr>
                <w:rFonts w:cs="Arial"/>
                <w:lang w:eastAsia="en-US"/>
              </w:rPr>
            </w:pPr>
            <w:r w:rsidRPr="00FF7C35">
              <w:rPr>
                <w:rFonts w:cs="Arial"/>
                <w:lang w:eastAsia="en-US"/>
              </w:rPr>
              <w:t>-</w:t>
            </w:r>
          </w:p>
        </w:tc>
        <w:tc>
          <w:tcPr>
            <w:tcW w:w="635" w:type="pct"/>
            <w:vAlign w:val="center"/>
          </w:tcPr>
          <w:p w:rsidR="007920E3" w:rsidRPr="00FF7C35" w:rsidRDefault="007920E3" w:rsidP="00FF7C35">
            <w:pPr>
              <w:pStyle w:val="Tabletext"/>
              <w:jc w:val="center"/>
              <w:rPr>
                <w:rFonts w:cs="Arial"/>
                <w:lang w:eastAsia="en-US"/>
              </w:rPr>
            </w:pPr>
            <w:r w:rsidRPr="00FF7C35">
              <w:rPr>
                <w:rFonts w:cs="Arial"/>
                <w:lang w:eastAsia="en-US"/>
              </w:rPr>
              <w:t>-</w:t>
            </w:r>
          </w:p>
        </w:tc>
        <w:tc>
          <w:tcPr>
            <w:tcW w:w="641" w:type="pct"/>
            <w:vAlign w:val="center"/>
          </w:tcPr>
          <w:p w:rsidR="007920E3" w:rsidRPr="00FF7C35" w:rsidRDefault="007920E3" w:rsidP="00FF7C35">
            <w:pPr>
              <w:pStyle w:val="Tabletext"/>
              <w:jc w:val="center"/>
              <w:rPr>
                <w:rFonts w:cs="Arial"/>
                <w:b/>
                <w:lang w:eastAsia="en-US"/>
              </w:rPr>
            </w:pPr>
            <w:proofErr w:type="spellStart"/>
            <w:r w:rsidRPr="00FF7C35">
              <w:rPr>
                <w:rFonts w:cs="Arial"/>
                <w:b/>
                <w:lang w:eastAsia="en-US"/>
              </w:rPr>
              <w:t>Fx</w:t>
            </w:r>
            <w:proofErr w:type="spellEnd"/>
            <w:r w:rsidRPr="00FF7C35">
              <w:rPr>
                <w:rFonts w:cs="Arial"/>
                <w:b/>
                <w:lang w:eastAsia="en-US"/>
              </w:rPr>
              <w:t xml:space="preserve"> per 1000</w:t>
            </w:r>
          </w:p>
        </w:tc>
        <w:tc>
          <w:tcPr>
            <w:tcW w:w="615" w:type="pct"/>
            <w:vAlign w:val="center"/>
          </w:tcPr>
          <w:p w:rsidR="007920E3" w:rsidRPr="00FF7C35" w:rsidRDefault="007920E3" w:rsidP="00FF7C35">
            <w:pPr>
              <w:pStyle w:val="Tabletext"/>
              <w:jc w:val="center"/>
              <w:rPr>
                <w:rFonts w:cs="Arial"/>
                <w:b/>
                <w:lang w:eastAsia="en-US"/>
              </w:rPr>
            </w:pPr>
            <w:r w:rsidRPr="00FF7C35">
              <w:rPr>
                <w:rFonts w:cs="Arial"/>
                <w:b/>
                <w:lang w:eastAsia="en-US"/>
              </w:rPr>
              <w:t>-</w:t>
            </w:r>
          </w:p>
        </w:tc>
        <w:tc>
          <w:tcPr>
            <w:tcW w:w="588" w:type="pct"/>
            <w:vAlign w:val="center"/>
          </w:tcPr>
          <w:p w:rsidR="007920E3" w:rsidRPr="00FF7C35" w:rsidRDefault="007920E3" w:rsidP="00FF7C35">
            <w:pPr>
              <w:pStyle w:val="Tabletext"/>
              <w:jc w:val="center"/>
              <w:rPr>
                <w:rFonts w:cs="Arial"/>
                <w:b/>
                <w:lang w:eastAsia="en-US"/>
              </w:rPr>
            </w:pPr>
            <w:proofErr w:type="spellStart"/>
            <w:r w:rsidRPr="00FF7C35">
              <w:rPr>
                <w:rFonts w:cs="Arial"/>
                <w:b/>
                <w:lang w:eastAsia="en-US"/>
              </w:rPr>
              <w:t>Fx</w:t>
            </w:r>
            <w:proofErr w:type="spellEnd"/>
            <w:r w:rsidRPr="00FF7C35">
              <w:rPr>
                <w:rFonts w:cs="Arial"/>
                <w:b/>
                <w:lang w:eastAsia="en-US"/>
              </w:rPr>
              <w:t xml:space="preserve"> avoided</w:t>
            </w:r>
          </w:p>
        </w:tc>
        <w:tc>
          <w:tcPr>
            <w:tcW w:w="625" w:type="pct"/>
            <w:vAlign w:val="center"/>
          </w:tcPr>
          <w:p w:rsidR="007920E3" w:rsidRPr="00FF7C35" w:rsidRDefault="007920E3" w:rsidP="00FF7C35">
            <w:pPr>
              <w:pStyle w:val="Tabletext"/>
              <w:jc w:val="center"/>
              <w:rPr>
                <w:rFonts w:cs="Arial"/>
                <w:b/>
                <w:lang w:eastAsia="en-US"/>
              </w:rPr>
            </w:pPr>
            <w:r w:rsidRPr="00FF7C35">
              <w:rPr>
                <w:rFonts w:cs="Arial"/>
                <w:b/>
                <w:lang w:eastAsia="en-US"/>
              </w:rPr>
              <w:t>ICER</w:t>
            </w:r>
          </w:p>
          <w:p w:rsidR="007920E3" w:rsidRPr="00FF7C35" w:rsidRDefault="007920E3" w:rsidP="00FF7C35">
            <w:pPr>
              <w:pStyle w:val="Tabletext"/>
              <w:jc w:val="center"/>
              <w:rPr>
                <w:rFonts w:cs="Arial"/>
                <w:b/>
                <w:lang w:eastAsia="en-US"/>
              </w:rPr>
            </w:pPr>
            <w:proofErr w:type="spellStart"/>
            <w:r w:rsidRPr="00FF7C35">
              <w:rPr>
                <w:rFonts w:cs="Arial"/>
                <w:b/>
                <w:lang w:eastAsia="en-US"/>
              </w:rPr>
              <w:t>Fx</w:t>
            </w:r>
            <w:proofErr w:type="spellEnd"/>
            <w:r w:rsidRPr="00FF7C35">
              <w:rPr>
                <w:rFonts w:cs="Arial"/>
                <w:b/>
                <w:lang w:eastAsia="en-US"/>
              </w:rPr>
              <w:t xml:space="preserve"> avoided</w:t>
            </w:r>
          </w:p>
        </w:tc>
      </w:tr>
      <w:tr w:rsidR="007920E3" w:rsidRPr="00556165" w:rsidTr="00FF7C35">
        <w:trPr>
          <w:tblHeader/>
        </w:trPr>
        <w:tc>
          <w:tcPr>
            <w:tcW w:w="1896" w:type="pct"/>
          </w:tcPr>
          <w:p w:rsidR="007920E3" w:rsidRPr="00FF7C35" w:rsidRDefault="007920E3" w:rsidP="00A14B39">
            <w:pPr>
              <w:pStyle w:val="Tabletext"/>
              <w:rPr>
                <w:rFonts w:cs="Arial"/>
                <w:lang w:eastAsia="en-US"/>
              </w:rPr>
            </w:pPr>
            <w:r w:rsidRPr="00FF7C35">
              <w:rPr>
                <w:rFonts w:cs="Arial"/>
                <w:lang w:eastAsia="en-US"/>
              </w:rPr>
              <w:t>No DXA and lifestyle advice only (all women)</w:t>
            </w:r>
          </w:p>
        </w:tc>
        <w:tc>
          <w:tcPr>
            <w:tcW w:w="63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$21,062</w:t>
            </w:r>
          </w:p>
        </w:tc>
        <w:tc>
          <w:tcPr>
            <w:tcW w:w="641"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887</w:t>
            </w:r>
          </w:p>
        </w:tc>
        <w:tc>
          <w:tcPr>
            <w:tcW w:w="61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ref</w:t>
            </w:r>
          </w:p>
        </w:tc>
        <w:tc>
          <w:tcPr>
            <w:tcW w:w="588" w:type="pct"/>
            <w:vAlign w:val="center"/>
          </w:tcPr>
          <w:p w:rsidR="007920E3" w:rsidRPr="00FF7C35" w:rsidRDefault="007920E3" w:rsidP="00FF7C35">
            <w:pPr>
              <w:pStyle w:val="Tabletext"/>
              <w:jc w:val="center"/>
              <w:rPr>
                <w:rFonts w:cs="Arial"/>
                <w:lang w:eastAsia="en-US"/>
              </w:rPr>
            </w:pPr>
            <w:r w:rsidRPr="00FF7C35">
              <w:rPr>
                <w:rFonts w:cs="Arial"/>
                <w:lang w:eastAsia="en-US"/>
              </w:rPr>
              <w:t>ref</w:t>
            </w:r>
          </w:p>
        </w:tc>
        <w:tc>
          <w:tcPr>
            <w:tcW w:w="62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ref</w:t>
            </w:r>
          </w:p>
        </w:tc>
      </w:tr>
      <w:tr w:rsidR="007920E3" w:rsidRPr="00556165" w:rsidTr="00FF7C35">
        <w:trPr>
          <w:tblHeader/>
        </w:trPr>
        <w:tc>
          <w:tcPr>
            <w:tcW w:w="1896" w:type="pct"/>
          </w:tcPr>
          <w:p w:rsidR="007920E3" w:rsidRPr="00FF7C35" w:rsidRDefault="007920E3" w:rsidP="00A14B39">
            <w:pPr>
              <w:pStyle w:val="Tabletext"/>
              <w:rPr>
                <w:rFonts w:cs="Arial"/>
                <w:lang w:eastAsia="en-US"/>
              </w:rPr>
            </w:pPr>
            <w:r w:rsidRPr="00FF7C35">
              <w:rPr>
                <w:rFonts w:cs="Arial"/>
                <w:lang w:eastAsia="en-US"/>
              </w:rPr>
              <w:t xml:space="preserve">DXA + </w:t>
            </w:r>
            <w:proofErr w:type="spellStart"/>
            <w:r w:rsidRPr="00FF7C35">
              <w:rPr>
                <w:rFonts w:cs="Arial"/>
                <w:lang w:eastAsia="en-US"/>
              </w:rPr>
              <w:t>ARtx</w:t>
            </w:r>
            <w:proofErr w:type="spellEnd"/>
            <w:r w:rsidRPr="00FF7C35">
              <w:rPr>
                <w:rFonts w:cs="Arial"/>
                <w:lang w:eastAsia="en-US"/>
              </w:rPr>
              <w:t xml:space="preserve"> (osteoporosis)</w:t>
            </w:r>
          </w:p>
        </w:tc>
        <w:tc>
          <w:tcPr>
            <w:tcW w:w="63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$21,449</w:t>
            </w:r>
          </w:p>
        </w:tc>
        <w:tc>
          <w:tcPr>
            <w:tcW w:w="641"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831</w:t>
            </w:r>
          </w:p>
        </w:tc>
        <w:tc>
          <w:tcPr>
            <w:tcW w:w="61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$387</w:t>
            </w:r>
          </w:p>
        </w:tc>
        <w:tc>
          <w:tcPr>
            <w:tcW w:w="588" w:type="pct"/>
            <w:vAlign w:val="center"/>
          </w:tcPr>
          <w:p w:rsidR="007920E3" w:rsidRPr="00FF7C35" w:rsidRDefault="007920E3" w:rsidP="00FF7C35">
            <w:pPr>
              <w:pStyle w:val="Tabletext"/>
              <w:jc w:val="center"/>
              <w:rPr>
                <w:rFonts w:cs="Arial"/>
                <w:lang w:eastAsia="en-US"/>
              </w:rPr>
            </w:pPr>
            <w:r w:rsidRPr="00FF7C35">
              <w:rPr>
                <w:rFonts w:cs="Arial"/>
                <w:lang w:eastAsia="en-US"/>
              </w:rPr>
              <w:t>56</w:t>
            </w:r>
          </w:p>
        </w:tc>
        <w:tc>
          <w:tcPr>
            <w:tcW w:w="62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$6,911</w:t>
            </w:r>
          </w:p>
        </w:tc>
      </w:tr>
      <w:tr w:rsidR="007920E3" w:rsidRPr="00556165" w:rsidTr="00FF7C35">
        <w:trPr>
          <w:tblHeader/>
        </w:trPr>
        <w:tc>
          <w:tcPr>
            <w:tcW w:w="1896" w:type="pct"/>
          </w:tcPr>
          <w:p w:rsidR="007920E3" w:rsidRPr="00FF7C35" w:rsidRDefault="007920E3" w:rsidP="00A14B39">
            <w:pPr>
              <w:pStyle w:val="Tabletext"/>
              <w:rPr>
                <w:rFonts w:cs="Arial"/>
                <w:lang w:eastAsia="en-US"/>
              </w:rPr>
            </w:pPr>
            <w:r w:rsidRPr="00FF7C35">
              <w:rPr>
                <w:rFonts w:cs="Arial"/>
                <w:lang w:eastAsia="en-US"/>
              </w:rPr>
              <w:t xml:space="preserve">DXA + </w:t>
            </w:r>
            <w:proofErr w:type="spellStart"/>
            <w:r w:rsidRPr="00FF7C35">
              <w:rPr>
                <w:rFonts w:cs="Arial"/>
                <w:lang w:eastAsia="en-US"/>
              </w:rPr>
              <w:t>ARtx</w:t>
            </w:r>
            <w:proofErr w:type="spellEnd"/>
            <w:r w:rsidRPr="00FF7C35">
              <w:rPr>
                <w:rFonts w:cs="Arial"/>
                <w:lang w:eastAsia="en-US"/>
              </w:rPr>
              <w:t xml:space="preserve"> (osteoporosis + osteopenia)</w:t>
            </w:r>
          </w:p>
        </w:tc>
        <w:tc>
          <w:tcPr>
            <w:tcW w:w="63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$25,811</w:t>
            </w:r>
          </w:p>
        </w:tc>
        <w:tc>
          <w:tcPr>
            <w:tcW w:w="641"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810</w:t>
            </w:r>
          </w:p>
        </w:tc>
        <w:tc>
          <w:tcPr>
            <w:tcW w:w="61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$4,749</w:t>
            </w:r>
          </w:p>
        </w:tc>
        <w:tc>
          <w:tcPr>
            <w:tcW w:w="588" w:type="pct"/>
            <w:vAlign w:val="center"/>
          </w:tcPr>
          <w:p w:rsidR="007920E3" w:rsidRPr="00FF7C35" w:rsidRDefault="007920E3" w:rsidP="00FF7C35">
            <w:pPr>
              <w:pStyle w:val="Tabletext"/>
              <w:jc w:val="center"/>
              <w:rPr>
                <w:rFonts w:cs="Arial"/>
                <w:lang w:eastAsia="en-US"/>
              </w:rPr>
            </w:pPr>
            <w:r w:rsidRPr="00FF7C35">
              <w:rPr>
                <w:rFonts w:cs="Arial"/>
                <w:lang w:eastAsia="en-US"/>
              </w:rPr>
              <w:t>77</w:t>
            </w:r>
          </w:p>
        </w:tc>
        <w:tc>
          <w:tcPr>
            <w:tcW w:w="625" w:type="pct"/>
            <w:vAlign w:val="bottom"/>
          </w:tcPr>
          <w:p w:rsidR="007920E3" w:rsidRPr="00FF7C35" w:rsidRDefault="007920E3" w:rsidP="00FF7C35">
            <w:pPr>
              <w:jc w:val="center"/>
              <w:rPr>
                <w:rFonts w:ascii="Arial Narrow" w:hAnsi="Arial Narrow" w:cs="Arial"/>
                <w:color w:val="000000"/>
                <w:sz w:val="20"/>
                <w:lang w:eastAsia="en-US"/>
              </w:rPr>
            </w:pPr>
            <w:r w:rsidRPr="00FF7C35">
              <w:rPr>
                <w:rFonts w:ascii="Arial Narrow" w:hAnsi="Arial Narrow" w:cs="Arial"/>
                <w:color w:val="000000"/>
                <w:sz w:val="20"/>
                <w:lang w:eastAsia="en-US"/>
              </w:rPr>
              <w:t>$61,675</w:t>
            </w:r>
          </w:p>
        </w:tc>
      </w:tr>
    </w:tbl>
    <w:p w:rsidR="007920E3" w:rsidRDefault="007920E3" w:rsidP="001E715D">
      <w:proofErr w:type="spellStart"/>
      <w:r>
        <w:rPr>
          <w:rFonts w:ascii="Arial Narrow" w:hAnsi="Arial Narrow"/>
          <w:sz w:val="18"/>
          <w:szCs w:val="18"/>
        </w:rPr>
        <w:t>ARtx</w:t>
      </w:r>
      <w:proofErr w:type="spellEnd"/>
      <w:r>
        <w:rPr>
          <w:rFonts w:ascii="Arial Narrow" w:hAnsi="Arial Narrow"/>
          <w:sz w:val="18"/>
          <w:szCs w:val="18"/>
        </w:rPr>
        <w:t xml:space="preserve"> = Anti-</w:t>
      </w:r>
      <w:proofErr w:type="spellStart"/>
      <w:r>
        <w:rPr>
          <w:rFonts w:ascii="Arial Narrow" w:hAnsi="Arial Narrow"/>
          <w:sz w:val="18"/>
          <w:szCs w:val="18"/>
        </w:rPr>
        <w:t>resorptive</w:t>
      </w:r>
      <w:proofErr w:type="spellEnd"/>
      <w:r>
        <w:rPr>
          <w:rFonts w:ascii="Arial Narrow" w:hAnsi="Arial Narrow"/>
          <w:sz w:val="18"/>
          <w:szCs w:val="18"/>
        </w:rPr>
        <w:t xml:space="preserve"> therapy, </w:t>
      </w:r>
      <w:r w:rsidRPr="006D19D1">
        <w:rPr>
          <w:rFonts w:ascii="Arial Narrow" w:hAnsi="Arial Narrow"/>
          <w:sz w:val="18"/>
          <w:szCs w:val="18"/>
        </w:rPr>
        <w:t>DXA = dual absorptiometry X-ray</w:t>
      </w:r>
      <w:r>
        <w:rPr>
          <w:rFonts w:ascii="Arial Narrow" w:hAnsi="Arial Narrow"/>
          <w:sz w:val="18"/>
          <w:szCs w:val="18"/>
        </w:rPr>
        <w:t xml:space="preserve">, </w:t>
      </w:r>
      <w:proofErr w:type="spellStart"/>
      <w:proofErr w:type="gramStart"/>
      <w:r>
        <w:rPr>
          <w:rFonts w:ascii="Arial Narrow" w:hAnsi="Arial Narrow"/>
          <w:sz w:val="18"/>
          <w:szCs w:val="18"/>
        </w:rPr>
        <w:t>fx</w:t>
      </w:r>
      <w:proofErr w:type="spellEnd"/>
      <w:proofErr w:type="gramEnd"/>
      <w:r>
        <w:rPr>
          <w:rFonts w:ascii="Arial Narrow" w:hAnsi="Arial Narrow"/>
          <w:sz w:val="18"/>
          <w:szCs w:val="18"/>
        </w:rPr>
        <w:t xml:space="preserve"> = fracture, ICER = incremental cost effectiveness ratio, LYS = life years saved, QALYs = quality adjusted life years</w:t>
      </w:r>
      <w:r>
        <w:t xml:space="preserve"> </w:t>
      </w:r>
    </w:p>
    <w:p w:rsidR="007920E3" w:rsidRDefault="007920E3" w:rsidP="00556165"/>
    <w:p w:rsidR="007920E3" w:rsidRDefault="007920E3" w:rsidP="000A43DF">
      <w:r>
        <w:t>The predicted additional survival was 12-14 days for women in the two DXA and AR therapy treatment groups.  The small survival gain is most likely due to women in all three groups having similar outcomes as they age, irrespective of the short-lived benefits of the reduced fracture risk during the five years of AI treatment when women are 60 years old at the start. The number of fractures avoided was 56-77 over the 40 year model duration.</w:t>
      </w:r>
    </w:p>
    <w:p w:rsidR="007920E3" w:rsidRDefault="007920E3" w:rsidP="000A43DF"/>
    <w:p w:rsidR="007920E3" w:rsidRDefault="007920E3" w:rsidP="000A43DF">
      <w:r>
        <w:t>Sensitivity analyses were completed for different starting age cohorts; 50 and 65 year old women and presented in Table 7.</w:t>
      </w:r>
    </w:p>
    <w:p w:rsidR="007920E3" w:rsidRDefault="007920E3" w:rsidP="000A43DF"/>
    <w:p w:rsidR="00DB3E5F" w:rsidRDefault="00DB3E5F">
      <w:pPr>
        <w:rPr>
          <w:rFonts w:ascii="Arial Narrow" w:hAnsi="Arial Narrow" w:cs="Arial"/>
          <w:b/>
          <w:sz w:val="20"/>
          <w:lang w:eastAsia="ja-JP"/>
        </w:rPr>
      </w:pPr>
      <w:r>
        <w:rPr>
          <w:rFonts w:cs="Arial"/>
        </w:rPr>
        <w:br w:type="page"/>
      </w:r>
    </w:p>
    <w:p w:rsidR="007920E3" w:rsidRPr="00556165" w:rsidRDefault="007920E3" w:rsidP="00290269">
      <w:pPr>
        <w:pStyle w:val="TableName"/>
        <w:ind w:left="720"/>
        <w:rPr>
          <w:rFonts w:cs="Arial"/>
        </w:rPr>
      </w:pPr>
      <w:r w:rsidRPr="00556165">
        <w:rPr>
          <w:rFonts w:cs="Arial"/>
        </w:rPr>
        <w:lastRenderedPageBreak/>
        <w:t>Table 7: Results of economic model by starting age cohorts</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1122"/>
        <w:gridCol w:w="863"/>
        <w:gridCol w:w="1092"/>
        <w:gridCol w:w="1201"/>
        <w:gridCol w:w="1107"/>
      </w:tblGrid>
      <w:tr w:rsidR="007920E3" w:rsidRPr="00556165" w:rsidTr="005A1887">
        <w:trPr>
          <w:trHeight w:val="227"/>
        </w:trPr>
        <w:tc>
          <w:tcPr>
            <w:tcW w:w="2111" w:type="pct"/>
            <w:noWrap/>
            <w:vAlign w:val="center"/>
          </w:tcPr>
          <w:p w:rsidR="007920E3" w:rsidRPr="00FF7C35" w:rsidRDefault="007920E3" w:rsidP="00A14B39">
            <w:pPr>
              <w:pStyle w:val="Tabletext"/>
              <w:rPr>
                <w:rFonts w:cs="Arial"/>
                <w:b/>
                <w:lang w:eastAsia="en-AU"/>
              </w:rPr>
            </w:pPr>
            <w:r w:rsidRPr="00FF7C35">
              <w:rPr>
                <w:rFonts w:cs="Arial"/>
                <w:b/>
                <w:lang w:eastAsia="en-AU"/>
              </w:rPr>
              <w:t>Type of sensitivity analysis</w:t>
            </w:r>
          </w:p>
        </w:tc>
        <w:tc>
          <w:tcPr>
            <w:tcW w:w="602" w:type="pct"/>
            <w:noWrap/>
            <w:vAlign w:val="center"/>
          </w:tcPr>
          <w:p w:rsidR="007920E3" w:rsidRPr="00FF7C35" w:rsidRDefault="007920E3" w:rsidP="00A14B39">
            <w:pPr>
              <w:pStyle w:val="Tabletext"/>
              <w:jc w:val="center"/>
              <w:rPr>
                <w:rFonts w:cs="Arial"/>
                <w:b/>
                <w:lang w:eastAsia="en-AU"/>
              </w:rPr>
            </w:pPr>
            <w:r w:rsidRPr="00FF7C35">
              <w:rPr>
                <w:rFonts w:cs="Arial"/>
                <w:b/>
                <w:lang w:eastAsia="en-AU"/>
              </w:rPr>
              <w:t>Costs</w:t>
            </w:r>
          </w:p>
        </w:tc>
        <w:tc>
          <w:tcPr>
            <w:tcW w:w="463" w:type="pct"/>
            <w:vAlign w:val="center"/>
          </w:tcPr>
          <w:p w:rsidR="007920E3" w:rsidRPr="00FF7C35" w:rsidRDefault="007920E3" w:rsidP="00A14B39">
            <w:pPr>
              <w:pStyle w:val="Tabletext"/>
              <w:jc w:val="center"/>
              <w:rPr>
                <w:rFonts w:cs="Arial"/>
                <w:b/>
                <w:lang w:eastAsia="en-AU"/>
              </w:rPr>
            </w:pPr>
            <w:r w:rsidRPr="00FF7C35">
              <w:rPr>
                <w:rFonts w:cs="Arial"/>
                <w:b/>
                <w:lang w:eastAsia="en-AU"/>
              </w:rPr>
              <w:t>QALYs</w:t>
            </w:r>
          </w:p>
        </w:tc>
        <w:tc>
          <w:tcPr>
            <w:tcW w:w="586" w:type="pct"/>
            <w:noWrap/>
            <w:vAlign w:val="center"/>
          </w:tcPr>
          <w:p w:rsidR="007920E3" w:rsidRPr="00FF7C35" w:rsidRDefault="007920E3" w:rsidP="00A14B39">
            <w:pPr>
              <w:pStyle w:val="TableText0"/>
              <w:spacing w:before="0" w:after="0"/>
              <w:jc w:val="center"/>
              <w:rPr>
                <w:rFonts w:cs="Arial"/>
                <w:b/>
                <w:sz w:val="20"/>
                <w:lang w:eastAsia="en-AU"/>
              </w:rPr>
            </w:pPr>
            <w:proofErr w:type="spellStart"/>
            <w:r w:rsidRPr="00FF7C35">
              <w:rPr>
                <w:rFonts w:cs="Arial"/>
                <w:b/>
                <w:sz w:val="20"/>
                <w:lang w:eastAsia="en-AU"/>
              </w:rPr>
              <w:t>Inc</w:t>
            </w:r>
            <w:proofErr w:type="spellEnd"/>
            <w:r w:rsidRPr="00FF7C35">
              <w:rPr>
                <w:rFonts w:cs="Arial"/>
                <w:b/>
                <w:sz w:val="20"/>
                <w:lang w:eastAsia="en-AU"/>
              </w:rPr>
              <w:t xml:space="preserve"> Costs</w:t>
            </w:r>
          </w:p>
        </w:tc>
        <w:tc>
          <w:tcPr>
            <w:tcW w:w="644" w:type="pct"/>
            <w:noWrap/>
            <w:vAlign w:val="center"/>
          </w:tcPr>
          <w:p w:rsidR="007920E3" w:rsidRPr="00FF7C35" w:rsidRDefault="007920E3" w:rsidP="00A14B39">
            <w:pPr>
              <w:pStyle w:val="TableText0"/>
              <w:spacing w:before="0" w:after="0"/>
              <w:jc w:val="center"/>
              <w:rPr>
                <w:rFonts w:cs="Arial"/>
                <w:b/>
                <w:sz w:val="20"/>
                <w:lang w:eastAsia="en-AU"/>
              </w:rPr>
            </w:pPr>
            <w:proofErr w:type="spellStart"/>
            <w:r w:rsidRPr="00FF7C35">
              <w:rPr>
                <w:rFonts w:cs="Arial"/>
                <w:b/>
                <w:sz w:val="20"/>
                <w:lang w:eastAsia="en-AU"/>
              </w:rPr>
              <w:t>Inc</w:t>
            </w:r>
            <w:proofErr w:type="spellEnd"/>
            <w:r w:rsidRPr="00FF7C35">
              <w:rPr>
                <w:rFonts w:cs="Arial"/>
                <w:b/>
                <w:sz w:val="20"/>
                <w:lang w:eastAsia="en-AU"/>
              </w:rPr>
              <w:t xml:space="preserve"> QALYs</w:t>
            </w:r>
          </w:p>
        </w:tc>
        <w:tc>
          <w:tcPr>
            <w:tcW w:w="594" w:type="pct"/>
            <w:noWrap/>
            <w:vAlign w:val="center"/>
          </w:tcPr>
          <w:p w:rsidR="007920E3" w:rsidRPr="00FF7C35" w:rsidRDefault="007920E3" w:rsidP="00A14B39">
            <w:pPr>
              <w:pStyle w:val="Tabletext"/>
              <w:jc w:val="center"/>
              <w:rPr>
                <w:rFonts w:cs="Arial"/>
                <w:b/>
                <w:lang w:eastAsia="en-AU"/>
              </w:rPr>
            </w:pPr>
            <w:r w:rsidRPr="00FF7C35">
              <w:rPr>
                <w:rFonts w:cs="Arial"/>
                <w:b/>
                <w:lang w:eastAsia="en-AU"/>
              </w:rPr>
              <w:t>ICER</w:t>
            </w:r>
          </w:p>
        </w:tc>
      </w:tr>
      <w:tr w:rsidR="007920E3" w:rsidRPr="00556165" w:rsidTr="005A1887">
        <w:trPr>
          <w:trHeight w:val="227"/>
        </w:trPr>
        <w:tc>
          <w:tcPr>
            <w:tcW w:w="2111" w:type="pct"/>
            <w:noWrap/>
            <w:vAlign w:val="center"/>
          </w:tcPr>
          <w:p w:rsidR="007920E3" w:rsidRPr="00FF7C35" w:rsidRDefault="007920E3" w:rsidP="00A14B39">
            <w:pPr>
              <w:pStyle w:val="Tabletext"/>
              <w:rPr>
                <w:rFonts w:cs="Arial"/>
                <w:b/>
                <w:bCs/>
                <w:lang w:eastAsia="en-AU"/>
              </w:rPr>
            </w:pPr>
            <w:r w:rsidRPr="00FF7C35">
              <w:rPr>
                <w:rFonts w:cs="Arial"/>
                <w:b/>
                <w:bCs/>
                <w:lang w:eastAsia="en-AU"/>
              </w:rPr>
              <w:t>60 year olds (base case)</w:t>
            </w:r>
          </w:p>
        </w:tc>
        <w:tc>
          <w:tcPr>
            <w:tcW w:w="602" w:type="pct"/>
            <w:noWrap/>
            <w:vAlign w:val="center"/>
          </w:tcPr>
          <w:p w:rsidR="007920E3" w:rsidRPr="00FF7C35" w:rsidRDefault="007920E3" w:rsidP="00A14B39">
            <w:pPr>
              <w:pStyle w:val="Tabletext"/>
              <w:jc w:val="center"/>
              <w:rPr>
                <w:rFonts w:cs="Arial"/>
                <w:b/>
                <w:bCs/>
                <w:lang w:eastAsia="en-AU"/>
              </w:rPr>
            </w:pPr>
            <w:r w:rsidRPr="00FF7C35">
              <w:rPr>
                <w:rFonts w:cs="Arial"/>
                <w:b/>
                <w:bCs/>
                <w:lang w:eastAsia="en-AU"/>
              </w:rPr>
              <w:t>-</w:t>
            </w:r>
          </w:p>
        </w:tc>
        <w:tc>
          <w:tcPr>
            <w:tcW w:w="463" w:type="pct"/>
            <w:vAlign w:val="center"/>
          </w:tcPr>
          <w:p w:rsidR="007920E3" w:rsidRPr="00FF7C35" w:rsidRDefault="007920E3" w:rsidP="00A14B39">
            <w:pPr>
              <w:pStyle w:val="Tabletext"/>
              <w:jc w:val="center"/>
              <w:rPr>
                <w:rFonts w:cs="Arial"/>
                <w:b/>
                <w:bCs/>
                <w:lang w:eastAsia="en-AU"/>
              </w:rPr>
            </w:pPr>
            <w:r w:rsidRPr="00FF7C35">
              <w:rPr>
                <w:rFonts w:cs="Arial"/>
                <w:b/>
                <w:bCs/>
                <w:lang w:eastAsia="en-AU"/>
              </w:rPr>
              <w:t>-</w:t>
            </w:r>
          </w:p>
        </w:tc>
        <w:tc>
          <w:tcPr>
            <w:tcW w:w="586" w:type="pct"/>
            <w:noWrap/>
            <w:vAlign w:val="center"/>
          </w:tcPr>
          <w:p w:rsidR="007920E3" w:rsidRPr="00FF7C35" w:rsidRDefault="007920E3" w:rsidP="00A14B39">
            <w:pPr>
              <w:pStyle w:val="Tabletext"/>
              <w:jc w:val="center"/>
              <w:rPr>
                <w:rFonts w:cs="Arial"/>
                <w:b/>
                <w:bCs/>
                <w:lang w:eastAsia="en-AU"/>
              </w:rPr>
            </w:pPr>
            <w:r w:rsidRPr="00FF7C35">
              <w:rPr>
                <w:rFonts w:cs="Arial"/>
                <w:b/>
                <w:bCs/>
                <w:lang w:eastAsia="en-AU"/>
              </w:rPr>
              <w:t>-</w:t>
            </w:r>
          </w:p>
        </w:tc>
        <w:tc>
          <w:tcPr>
            <w:tcW w:w="644" w:type="pct"/>
            <w:noWrap/>
            <w:vAlign w:val="center"/>
          </w:tcPr>
          <w:p w:rsidR="007920E3" w:rsidRPr="00FF7C35" w:rsidRDefault="007920E3" w:rsidP="00A14B39">
            <w:pPr>
              <w:pStyle w:val="Tabletext"/>
              <w:jc w:val="center"/>
              <w:rPr>
                <w:rFonts w:cs="Arial"/>
                <w:b/>
                <w:bCs/>
                <w:lang w:eastAsia="en-AU"/>
              </w:rPr>
            </w:pPr>
            <w:r w:rsidRPr="00FF7C35">
              <w:rPr>
                <w:rFonts w:cs="Arial"/>
                <w:b/>
                <w:bCs/>
                <w:lang w:eastAsia="en-AU"/>
              </w:rPr>
              <w:t>-</w:t>
            </w:r>
          </w:p>
        </w:tc>
        <w:tc>
          <w:tcPr>
            <w:tcW w:w="594" w:type="pct"/>
            <w:noWrap/>
            <w:vAlign w:val="center"/>
          </w:tcPr>
          <w:p w:rsidR="007920E3" w:rsidRPr="00FF7C35" w:rsidRDefault="007920E3" w:rsidP="00A14B39">
            <w:pPr>
              <w:pStyle w:val="Tabletext"/>
              <w:jc w:val="center"/>
              <w:rPr>
                <w:rFonts w:cs="Arial"/>
                <w:b/>
                <w:bCs/>
                <w:lang w:eastAsia="en-AU"/>
              </w:rPr>
            </w:pPr>
            <w:r w:rsidRPr="00FF7C35">
              <w:rPr>
                <w:rFonts w:cs="Arial"/>
                <w:b/>
                <w:bCs/>
                <w:lang w:eastAsia="en-AU"/>
              </w:rPr>
              <w:t>-</w:t>
            </w:r>
          </w:p>
        </w:tc>
      </w:tr>
      <w:tr w:rsidR="007920E3" w:rsidRPr="00556165" w:rsidTr="005A1887">
        <w:trPr>
          <w:trHeight w:val="227"/>
        </w:trPr>
        <w:tc>
          <w:tcPr>
            <w:tcW w:w="2111" w:type="pct"/>
            <w:noWrap/>
            <w:vAlign w:val="center"/>
          </w:tcPr>
          <w:p w:rsidR="007920E3" w:rsidRPr="00FF7C35" w:rsidRDefault="007920E3" w:rsidP="00A14B39">
            <w:pPr>
              <w:pStyle w:val="Tabletext"/>
              <w:rPr>
                <w:rFonts w:cs="Arial"/>
                <w:lang w:eastAsia="en-AU"/>
              </w:rPr>
            </w:pPr>
            <w:r w:rsidRPr="00FF7C35">
              <w:rPr>
                <w:rFonts w:cs="Arial"/>
                <w:lang w:eastAsia="en-AU"/>
              </w:rPr>
              <w:t>No DXA and lifestyle advice</w:t>
            </w:r>
          </w:p>
        </w:tc>
        <w:tc>
          <w:tcPr>
            <w:tcW w:w="602"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$7,545</w:t>
            </w:r>
          </w:p>
        </w:tc>
        <w:tc>
          <w:tcPr>
            <w:tcW w:w="463" w:type="pct"/>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11.822</w:t>
            </w:r>
          </w:p>
        </w:tc>
        <w:tc>
          <w:tcPr>
            <w:tcW w:w="586"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ref</w:t>
            </w:r>
          </w:p>
        </w:tc>
        <w:tc>
          <w:tcPr>
            <w:tcW w:w="64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ref</w:t>
            </w:r>
          </w:p>
        </w:tc>
        <w:tc>
          <w:tcPr>
            <w:tcW w:w="59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ref</w:t>
            </w:r>
          </w:p>
        </w:tc>
      </w:tr>
      <w:tr w:rsidR="007920E3" w:rsidRPr="00556165" w:rsidTr="005A1887">
        <w:trPr>
          <w:trHeight w:val="227"/>
        </w:trPr>
        <w:tc>
          <w:tcPr>
            <w:tcW w:w="2111" w:type="pct"/>
            <w:noWrap/>
            <w:vAlign w:val="center"/>
          </w:tcPr>
          <w:p w:rsidR="007920E3" w:rsidRPr="00FF7C35" w:rsidRDefault="007920E3" w:rsidP="00A14B39">
            <w:pPr>
              <w:pStyle w:val="Tabletext"/>
              <w:rPr>
                <w:rFonts w:cs="Arial"/>
                <w:lang w:eastAsia="en-AU"/>
              </w:rPr>
            </w:pPr>
            <w:r w:rsidRPr="00FF7C35">
              <w:rPr>
                <w:rFonts w:cs="Arial"/>
                <w:lang w:eastAsia="en-AU"/>
              </w:rPr>
              <w:t xml:space="preserve">DXA and </w:t>
            </w:r>
            <w:proofErr w:type="spellStart"/>
            <w:r w:rsidRPr="00FF7C35">
              <w:rPr>
                <w:rFonts w:cs="Arial"/>
                <w:lang w:eastAsia="en-AU"/>
              </w:rPr>
              <w:t>ARtx</w:t>
            </w:r>
            <w:proofErr w:type="spellEnd"/>
            <w:r w:rsidRPr="00FF7C35">
              <w:rPr>
                <w:rFonts w:cs="Arial"/>
                <w:lang w:eastAsia="en-AU"/>
              </w:rPr>
              <w:t xml:space="preserve"> (osteoporosis)</w:t>
            </w:r>
          </w:p>
        </w:tc>
        <w:tc>
          <w:tcPr>
            <w:tcW w:w="602"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$7,973</w:t>
            </w:r>
          </w:p>
        </w:tc>
        <w:tc>
          <w:tcPr>
            <w:tcW w:w="463" w:type="pct"/>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11.831</w:t>
            </w:r>
          </w:p>
        </w:tc>
        <w:tc>
          <w:tcPr>
            <w:tcW w:w="586"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$428</w:t>
            </w:r>
          </w:p>
        </w:tc>
        <w:tc>
          <w:tcPr>
            <w:tcW w:w="64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0.009</w:t>
            </w:r>
          </w:p>
        </w:tc>
        <w:tc>
          <w:tcPr>
            <w:tcW w:w="594" w:type="pct"/>
            <w:noWrap/>
            <w:vAlign w:val="bottom"/>
          </w:tcPr>
          <w:p w:rsidR="007920E3" w:rsidRPr="00556165" w:rsidRDefault="007920E3" w:rsidP="00A14B39">
            <w:pPr>
              <w:jc w:val="center"/>
              <w:rPr>
                <w:rFonts w:ascii="Arial Narrow" w:hAnsi="Arial Narrow" w:cs="Arial"/>
                <w:b/>
                <w:color w:val="000000"/>
                <w:sz w:val="20"/>
              </w:rPr>
            </w:pPr>
            <w:r w:rsidRPr="00556165">
              <w:rPr>
                <w:rFonts w:ascii="Arial Narrow" w:hAnsi="Arial Narrow" w:cs="Arial"/>
                <w:b/>
                <w:color w:val="000000"/>
                <w:sz w:val="20"/>
              </w:rPr>
              <w:t>$47,556</w:t>
            </w:r>
          </w:p>
        </w:tc>
      </w:tr>
      <w:tr w:rsidR="007920E3" w:rsidRPr="00556165" w:rsidTr="005A1887">
        <w:trPr>
          <w:trHeight w:val="227"/>
        </w:trPr>
        <w:tc>
          <w:tcPr>
            <w:tcW w:w="2111" w:type="pct"/>
            <w:noWrap/>
            <w:vAlign w:val="center"/>
          </w:tcPr>
          <w:p w:rsidR="007920E3" w:rsidRPr="00FF7C35" w:rsidRDefault="007920E3" w:rsidP="00A14B39">
            <w:pPr>
              <w:pStyle w:val="Tabletext"/>
              <w:rPr>
                <w:rFonts w:cs="Arial"/>
                <w:lang w:eastAsia="en-AU"/>
              </w:rPr>
            </w:pPr>
            <w:r w:rsidRPr="00FF7C35">
              <w:rPr>
                <w:rFonts w:cs="Arial"/>
                <w:lang w:eastAsia="en-AU"/>
              </w:rPr>
              <w:t xml:space="preserve">DXA and </w:t>
            </w:r>
            <w:proofErr w:type="spellStart"/>
            <w:r w:rsidRPr="00FF7C35">
              <w:rPr>
                <w:rFonts w:cs="Arial"/>
                <w:lang w:eastAsia="en-AU"/>
              </w:rPr>
              <w:t>ARtx</w:t>
            </w:r>
            <w:proofErr w:type="spellEnd"/>
            <w:r w:rsidRPr="00FF7C35">
              <w:rPr>
                <w:rFonts w:cs="Arial"/>
                <w:lang w:eastAsia="en-AU"/>
              </w:rPr>
              <w:t xml:space="preserve"> (osteoporosis and osteopenia)</w:t>
            </w:r>
          </w:p>
        </w:tc>
        <w:tc>
          <w:tcPr>
            <w:tcW w:w="602"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$10,581</w:t>
            </w:r>
          </w:p>
        </w:tc>
        <w:tc>
          <w:tcPr>
            <w:tcW w:w="463" w:type="pct"/>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11.834</w:t>
            </w:r>
          </w:p>
        </w:tc>
        <w:tc>
          <w:tcPr>
            <w:tcW w:w="586"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$3,036</w:t>
            </w:r>
          </w:p>
        </w:tc>
        <w:tc>
          <w:tcPr>
            <w:tcW w:w="64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0.012</w:t>
            </w:r>
          </w:p>
        </w:tc>
        <w:tc>
          <w:tcPr>
            <w:tcW w:w="594" w:type="pct"/>
            <w:noWrap/>
            <w:vAlign w:val="bottom"/>
          </w:tcPr>
          <w:p w:rsidR="007920E3" w:rsidRPr="00556165" w:rsidRDefault="007920E3" w:rsidP="00A14B39">
            <w:pPr>
              <w:jc w:val="center"/>
              <w:rPr>
                <w:rFonts w:ascii="Arial Narrow" w:hAnsi="Arial Narrow" w:cs="Arial"/>
                <w:b/>
                <w:color w:val="000000"/>
                <w:sz w:val="20"/>
              </w:rPr>
            </w:pPr>
            <w:r w:rsidRPr="00556165">
              <w:rPr>
                <w:rFonts w:ascii="Arial Narrow" w:hAnsi="Arial Narrow" w:cs="Arial"/>
                <w:b/>
                <w:color w:val="000000"/>
                <w:sz w:val="20"/>
              </w:rPr>
              <w:t>$253,000</w:t>
            </w:r>
          </w:p>
        </w:tc>
      </w:tr>
      <w:tr w:rsidR="007920E3" w:rsidRPr="00556165" w:rsidTr="005A1887">
        <w:trPr>
          <w:trHeight w:val="227"/>
        </w:trPr>
        <w:tc>
          <w:tcPr>
            <w:tcW w:w="2111" w:type="pct"/>
            <w:noWrap/>
            <w:vAlign w:val="center"/>
          </w:tcPr>
          <w:p w:rsidR="007920E3" w:rsidRPr="00FF7C35" w:rsidRDefault="007920E3" w:rsidP="00A14B39">
            <w:pPr>
              <w:pStyle w:val="Tabletext"/>
              <w:rPr>
                <w:rFonts w:cs="Arial"/>
                <w:b/>
                <w:lang w:eastAsia="en-AU"/>
              </w:rPr>
            </w:pPr>
            <w:r w:rsidRPr="00FF7C35">
              <w:rPr>
                <w:rFonts w:cs="Arial"/>
                <w:b/>
                <w:lang w:eastAsia="en-AU"/>
              </w:rPr>
              <w:t>50 year olds</w:t>
            </w:r>
          </w:p>
        </w:tc>
        <w:tc>
          <w:tcPr>
            <w:tcW w:w="602" w:type="pct"/>
            <w:noWrap/>
            <w:vAlign w:val="center"/>
          </w:tcPr>
          <w:p w:rsidR="007920E3" w:rsidRPr="00FF7C35" w:rsidRDefault="007920E3" w:rsidP="00A14B39">
            <w:pPr>
              <w:pStyle w:val="Tabletext"/>
              <w:jc w:val="center"/>
              <w:rPr>
                <w:rFonts w:cs="Arial"/>
                <w:b/>
                <w:lang w:eastAsia="en-AU"/>
              </w:rPr>
            </w:pPr>
            <w:r w:rsidRPr="00FF7C35">
              <w:rPr>
                <w:rFonts w:cs="Arial"/>
                <w:b/>
                <w:lang w:eastAsia="en-AU"/>
              </w:rPr>
              <w:t>-</w:t>
            </w:r>
          </w:p>
        </w:tc>
        <w:tc>
          <w:tcPr>
            <w:tcW w:w="463" w:type="pct"/>
            <w:vAlign w:val="center"/>
          </w:tcPr>
          <w:p w:rsidR="007920E3" w:rsidRPr="00FF7C35" w:rsidRDefault="007920E3" w:rsidP="00A14B39">
            <w:pPr>
              <w:pStyle w:val="Tabletext"/>
              <w:jc w:val="center"/>
              <w:rPr>
                <w:rFonts w:cs="Arial"/>
                <w:b/>
                <w:lang w:eastAsia="en-AU"/>
              </w:rPr>
            </w:pPr>
            <w:r w:rsidRPr="00FF7C35">
              <w:rPr>
                <w:rFonts w:cs="Arial"/>
                <w:b/>
                <w:lang w:eastAsia="en-AU"/>
              </w:rPr>
              <w:t>-</w:t>
            </w:r>
          </w:p>
        </w:tc>
        <w:tc>
          <w:tcPr>
            <w:tcW w:w="586" w:type="pct"/>
            <w:noWrap/>
            <w:vAlign w:val="center"/>
          </w:tcPr>
          <w:p w:rsidR="007920E3" w:rsidRPr="00FF7C35" w:rsidRDefault="007920E3" w:rsidP="00A14B39">
            <w:pPr>
              <w:pStyle w:val="Tabletext"/>
              <w:jc w:val="center"/>
              <w:rPr>
                <w:rFonts w:cs="Arial"/>
                <w:b/>
                <w:lang w:eastAsia="en-AU"/>
              </w:rPr>
            </w:pPr>
            <w:r w:rsidRPr="00FF7C35">
              <w:rPr>
                <w:rFonts w:cs="Arial"/>
                <w:b/>
                <w:lang w:eastAsia="en-AU"/>
              </w:rPr>
              <w:t>-</w:t>
            </w:r>
          </w:p>
        </w:tc>
        <w:tc>
          <w:tcPr>
            <w:tcW w:w="644" w:type="pct"/>
            <w:noWrap/>
            <w:vAlign w:val="center"/>
          </w:tcPr>
          <w:p w:rsidR="007920E3" w:rsidRPr="00FF7C35" w:rsidRDefault="007920E3" w:rsidP="00A14B39">
            <w:pPr>
              <w:pStyle w:val="Tabletext"/>
              <w:jc w:val="center"/>
              <w:rPr>
                <w:rFonts w:cs="Arial"/>
                <w:b/>
                <w:lang w:eastAsia="en-AU"/>
              </w:rPr>
            </w:pPr>
            <w:r w:rsidRPr="00FF7C35">
              <w:rPr>
                <w:rFonts w:cs="Arial"/>
                <w:b/>
                <w:lang w:eastAsia="en-AU"/>
              </w:rPr>
              <w:t>-</w:t>
            </w:r>
          </w:p>
        </w:tc>
        <w:tc>
          <w:tcPr>
            <w:tcW w:w="594" w:type="pct"/>
            <w:noWrap/>
            <w:vAlign w:val="center"/>
          </w:tcPr>
          <w:p w:rsidR="007920E3" w:rsidRPr="00FF7C35" w:rsidRDefault="007920E3" w:rsidP="00A14B39">
            <w:pPr>
              <w:pStyle w:val="Tabletext"/>
              <w:jc w:val="center"/>
              <w:rPr>
                <w:rFonts w:cs="Arial"/>
                <w:b/>
                <w:lang w:eastAsia="en-AU"/>
              </w:rPr>
            </w:pPr>
            <w:r w:rsidRPr="00FF7C35">
              <w:rPr>
                <w:rFonts w:cs="Arial"/>
                <w:b/>
                <w:lang w:eastAsia="en-AU"/>
              </w:rPr>
              <w:t>-</w:t>
            </w:r>
          </w:p>
        </w:tc>
      </w:tr>
      <w:tr w:rsidR="007920E3" w:rsidRPr="00556165" w:rsidTr="005A1887">
        <w:trPr>
          <w:trHeight w:val="227"/>
        </w:trPr>
        <w:tc>
          <w:tcPr>
            <w:tcW w:w="2111" w:type="pct"/>
            <w:noWrap/>
            <w:vAlign w:val="center"/>
          </w:tcPr>
          <w:p w:rsidR="007920E3" w:rsidRPr="00FF7C35" w:rsidRDefault="007920E3" w:rsidP="00A14B39">
            <w:pPr>
              <w:pStyle w:val="Tabletext"/>
              <w:rPr>
                <w:rFonts w:cs="Arial"/>
                <w:lang w:eastAsia="en-AU"/>
              </w:rPr>
            </w:pPr>
            <w:r w:rsidRPr="00FF7C35">
              <w:rPr>
                <w:rFonts w:cs="Arial"/>
                <w:lang w:eastAsia="en-AU"/>
              </w:rPr>
              <w:t>No DXA and lifestyle advice</w:t>
            </w:r>
          </w:p>
        </w:tc>
        <w:tc>
          <w:tcPr>
            <w:tcW w:w="602"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$5,098</w:t>
            </w:r>
          </w:p>
        </w:tc>
        <w:tc>
          <w:tcPr>
            <w:tcW w:w="463" w:type="pct"/>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13.648</w:t>
            </w:r>
          </w:p>
        </w:tc>
        <w:tc>
          <w:tcPr>
            <w:tcW w:w="586"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ref</w:t>
            </w:r>
          </w:p>
        </w:tc>
        <w:tc>
          <w:tcPr>
            <w:tcW w:w="64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ref</w:t>
            </w:r>
          </w:p>
        </w:tc>
        <w:tc>
          <w:tcPr>
            <w:tcW w:w="59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ref</w:t>
            </w:r>
          </w:p>
        </w:tc>
      </w:tr>
      <w:tr w:rsidR="007920E3" w:rsidRPr="00556165" w:rsidTr="005A1887">
        <w:trPr>
          <w:trHeight w:val="227"/>
        </w:trPr>
        <w:tc>
          <w:tcPr>
            <w:tcW w:w="2111" w:type="pct"/>
            <w:noWrap/>
            <w:vAlign w:val="center"/>
          </w:tcPr>
          <w:p w:rsidR="007920E3" w:rsidRPr="00FF7C35" w:rsidRDefault="007920E3" w:rsidP="00A14B39">
            <w:pPr>
              <w:pStyle w:val="Tabletext"/>
              <w:rPr>
                <w:rFonts w:cs="Arial"/>
                <w:lang w:eastAsia="en-AU"/>
              </w:rPr>
            </w:pPr>
            <w:r w:rsidRPr="00FF7C35">
              <w:rPr>
                <w:rFonts w:cs="Arial"/>
                <w:lang w:eastAsia="en-AU"/>
              </w:rPr>
              <w:t xml:space="preserve">DXA and </w:t>
            </w:r>
            <w:proofErr w:type="spellStart"/>
            <w:r w:rsidRPr="00FF7C35">
              <w:rPr>
                <w:rFonts w:cs="Arial"/>
                <w:lang w:eastAsia="en-AU"/>
              </w:rPr>
              <w:t>ARtx</w:t>
            </w:r>
            <w:proofErr w:type="spellEnd"/>
            <w:r w:rsidRPr="00FF7C35">
              <w:rPr>
                <w:rFonts w:cs="Arial"/>
                <w:lang w:eastAsia="en-AU"/>
              </w:rPr>
              <w:t xml:space="preserve"> (osteoporosis)</w:t>
            </w:r>
          </w:p>
        </w:tc>
        <w:tc>
          <w:tcPr>
            <w:tcW w:w="602"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$5,797</w:t>
            </w:r>
          </w:p>
        </w:tc>
        <w:tc>
          <w:tcPr>
            <w:tcW w:w="463" w:type="pct"/>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13.654</w:t>
            </w:r>
          </w:p>
        </w:tc>
        <w:tc>
          <w:tcPr>
            <w:tcW w:w="586"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$699</w:t>
            </w:r>
          </w:p>
        </w:tc>
        <w:tc>
          <w:tcPr>
            <w:tcW w:w="64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0.006</w:t>
            </w:r>
          </w:p>
        </w:tc>
        <w:tc>
          <w:tcPr>
            <w:tcW w:w="59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$116,500</w:t>
            </w:r>
          </w:p>
        </w:tc>
      </w:tr>
      <w:tr w:rsidR="007920E3" w:rsidRPr="00556165" w:rsidTr="005A1887">
        <w:trPr>
          <w:trHeight w:val="227"/>
        </w:trPr>
        <w:tc>
          <w:tcPr>
            <w:tcW w:w="2111" w:type="pct"/>
            <w:noWrap/>
            <w:vAlign w:val="center"/>
          </w:tcPr>
          <w:p w:rsidR="007920E3" w:rsidRPr="00FF7C35" w:rsidRDefault="007920E3" w:rsidP="00A14B39">
            <w:pPr>
              <w:pStyle w:val="Tabletext"/>
              <w:rPr>
                <w:rFonts w:cs="Arial"/>
                <w:lang w:eastAsia="en-AU"/>
              </w:rPr>
            </w:pPr>
            <w:r w:rsidRPr="00FF7C35">
              <w:rPr>
                <w:rFonts w:cs="Arial"/>
                <w:lang w:eastAsia="en-AU"/>
              </w:rPr>
              <w:t xml:space="preserve">DXA and </w:t>
            </w:r>
            <w:proofErr w:type="spellStart"/>
            <w:r w:rsidRPr="00FF7C35">
              <w:rPr>
                <w:rFonts w:cs="Arial"/>
                <w:lang w:eastAsia="en-AU"/>
              </w:rPr>
              <w:t>ARtx</w:t>
            </w:r>
            <w:proofErr w:type="spellEnd"/>
            <w:r w:rsidRPr="00FF7C35">
              <w:rPr>
                <w:rFonts w:cs="Arial"/>
                <w:lang w:eastAsia="en-AU"/>
              </w:rPr>
              <w:t xml:space="preserve"> (osteoporosis and osteopenia)</w:t>
            </w:r>
          </w:p>
        </w:tc>
        <w:tc>
          <w:tcPr>
            <w:tcW w:w="602"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$8,991</w:t>
            </w:r>
          </w:p>
        </w:tc>
        <w:tc>
          <w:tcPr>
            <w:tcW w:w="463" w:type="pct"/>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13.656</w:t>
            </w:r>
          </w:p>
        </w:tc>
        <w:tc>
          <w:tcPr>
            <w:tcW w:w="586"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$3,893</w:t>
            </w:r>
          </w:p>
        </w:tc>
        <w:tc>
          <w:tcPr>
            <w:tcW w:w="64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0.008</w:t>
            </w:r>
          </w:p>
        </w:tc>
        <w:tc>
          <w:tcPr>
            <w:tcW w:w="59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$486,625</w:t>
            </w:r>
          </w:p>
        </w:tc>
      </w:tr>
      <w:tr w:rsidR="007920E3" w:rsidRPr="00556165" w:rsidTr="005A1887">
        <w:trPr>
          <w:trHeight w:val="227"/>
        </w:trPr>
        <w:tc>
          <w:tcPr>
            <w:tcW w:w="2111" w:type="pct"/>
            <w:noWrap/>
            <w:vAlign w:val="center"/>
          </w:tcPr>
          <w:p w:rsidR="007920E3" w:rsidRPr="00FF7C35" w:rsidRDefault="007920E3" w:rsidP="00A14B39">
            <w:pPr>
              <w:pStyle w:val="Tabletext"/>
              <w:rPr>
                <w:rFonts w:cs="Arial"/>
                <w:b/>
                <w:lang w:eastAsia="en-AU"/>
              </w:rPr>
            </w:pPr>
            <w:r w:rsidRPr="00FF7C35">
              <w:rPr>
                <w:rFonts w:cs="Arial"/>
                <w:b/>
                <w:lang w:eastAsia="en-AU"/>
              </w:rPr>
              <w:t>65 year olds</w:t>
            </w:r>
          </w:p>
        </w:tc>
        <w:tc>
          <w:tcPr>
            <w:tcW w:w="602" w:type="pct"/>
            <w:noWrap/>
            <w:vAlign w:val="center"/>
          </w:tcPr>
          <w:p w:rsidR="007920E3" w:rsidRPr="00FF7C35" w:rsidRDefault="007920E3" w:rsidP="00A14B39">
            <w:pPr>
              <w:pStyle w:val="Tabletext"/>
              <w:jc w:val="center"/>
              <w:rPr>
                <w:rFonts w:cs="Arial"/>
                <w:b/>
                <w:lang w:eastAsia="en-AU"/>
              </w:rPr>
            </w:pPr>
            <w:r w:rsidRPr="00FF7C35">
              <w:rPr>
                <w:rFonts w:cs="Arial"/>
                <w:b/>
                <w:lang w:eastAsia="en-AU"/>
              </w:rPr>
              <w:t>-</w:t>
            </w:r>
          </w:p>
        </w:tc>
        <w:tc>
          <w:tcPr>
            <w:tcW w:w="463" w:type="pct"/>
            <w:vAlign w:val="center"/>
          </w:tcPr>
          <w:p w:rsidR="007920E3" w:rsidRPr="00FF7C35" w:rsidRDefault="007920E3" w:rsidP="00A14B39">
            <w:pPr>
              <w:pStyle w:val="Tabletext"/>
              <w:jc w:val="center"/>
              <w:rPr>
                <w:rFonts w:cs="Arial"/>
                <w:b/>
                <w:lang w:eastAsia="en-AU"/>
              </w:rPr>
            </w:pPr>
            <w:r w:rsidRPr="00FF7C35">
              <w:rPr>
                <w:rFonts w:cs="Arial"/>
                <w:b/>
                <w:lang w:eastAsia="en-AU"/>
              </w:rPr>
              <w:t>-</w:t>
            </w:r>
          </w:p>
        </w:tc>
        <w:tc>
          <w:tcPr>
            <w:tcW w:w="586" w:type="pct"/>
            <w:noWrap/>
            <w:vAlign w:val="center"/>
          </w:tcPr>
          <w:p w:rsidR="007920E3" w:rsidRPr="00FF7C35" w:rsidRDefault="007920E3" w:rsidP="00A14B39">
            <w:pPr>
              <w:pStyle w:val="Tabletext"/>
              <w:jc w:val="center"/>
              <w:rPr>
                <w:rFonts w:cs="Arial"/>
                <w:b/>
                <w:lang w:eastAsia="en-AU"/>
              </w:rPr>
            </w:pPr>
            <w:r w:rsidRPr="00FF7C35">
              <w:rPr>
                <w:rFonts w:cs="Arial"/>
                <w:b/>
                <w:lang w:eastAsia="en-AU"/>
              </w:rPr>
              <w:t>-</w:t>
            </w:r>
          </w:p>
        </w:tc>
        <w:tc>
          <w:tcPr>
            <w:tcW w:w="644" w:type="pct"/>
            <w:noWrap/>
            <w:vAlign w:val="center"/>
          </w:tcPr>
          <w:p w:rsidR="007920E3" w:rsidRPr="00FF7C35" w:rsidRDefault="007920E3" w:rsidP="00A14B39">
            <w:pPr>
              <w:pStyle w:val="Tabletext"/>
              <w:jc w:val="center"/>
              <w:rPr>
                <w:rFonts w:cs="Arial"/>
                <w:b/>
                <w:lang w:eastAsia="en-AU"/>
              </w:rPr>
            </w:pPr>
            <w:r w:rsidRPr="00FF7C35">
              <w:rPr>
                <w:rFonts w:cs="Arial"/>
                <w:b/>
                <w:lang w:eastAsia="en-AU"/>
              </w:rPr>
              <w:t>-</w:t>
            </w:r>
          </w:p>
        </w:tc>
        <w:tc>
          <w:tcPr>
            <w:tcW w:w="594" w:type="pct"/>
            <w:noWrap/>
            <w:vAlign w:val="center"/>
          </w:tcPr>
          <w:p w:rsidR="007920E3" w:rsidRPr="00FF7C35" w:rsidRDefault="007920E3" w:rsidP="00A14B39">
            <w:pPr>
              <w:pStyle w:val="Tabletext"/>
              <w:jc w:val="center"/>
              <w:rPr>
                <w:rFonts w:cs="Arial"/>
                <w:b/>
                <w:lang w:eastAsia="en-AU"/>
              </w:rPr>
            </w:pPr>
            <w:r w:rsidRPr="00FF7C35">
              <w:rPr>
                <w:rFonts w:cs="Arial"/>
                <w:b/>
                <w:lang w:eastAsia="en-AU"/>
              </w:rPr>
              <w:t>-</w:t>
            </w:r>
          </w:p>
        </w:tc>
      </w:tr>
      <w:tr w:rsidR="007920E3" w:rsidRPr="00556165" w:rsidTr="005A1887">
        <w:trPr>
          <w:trHeight w:val="227"/>
        </w:trPr>
        <w:tc>
          <w:tcPr>
            <w:tcW w:w="2111" w:type="pct"/>
            <w:noWrap/>
            <w:vAlign w:val="center"/>
          </w:tcPr>
          <w:p w:rsidR="007920E3" w:rsidRPr="00FF7C35" w:rsidRDefault="007920E3" w:rsidP="00A14B39">
            <w:pPr>
              <w:pStyle w:val="Tabletext"/>
              <w:rPr>
                <w:rFonts w:cs="Arial"/>
                <w:lang w:eastAsia="en-AU"/>
              </w:rPr>
            </w:pPr>
            <w:r w:rsidRPr="00FF7C35">
              <w:rPr>
                <w:rFonts w:cs="Arial"/>
                <w:lang w:eastAsia="en-AU"/>
              </w:rPr>
              <w:t>No DXA and lifestyle advice</w:t>
            </w:r>
          </w:p>
        </w:tc>
        <w:tc>
          <w:tcPr>
            <w:tcW w:w="602"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$7,616</w:t>
            </w:r>
          </w:p>
        </w:tc>
        <w:tc>
          <w:tcPr>
            <w:tcW w:w="463" w:type="pct"/>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10.679</w:t>
            </w:r>
          </w:p>
        </w:tc>
        <w:tc>
          <w:tcPr>
            <w:tcW w:w="586"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ref</w:t>
            </w:r>
          </w:p>
        </w:tc>
        <w:tc>
          <w:tcPr>
            <w:tcW w:w="64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ref</w:t>
            </w:r>
          </w:p>
        </w:tc>
        <w:tc>
          <w:tcPr>
            <w:tcW w:w="59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ref</w:t>
            </w:r>
          </w:p>
        </w:tc>
      </w:tr>
      <w:tr w:rsidR="007920E3" w:rsidRPr="00556165" w:rsidTr="005A1887">
        <w:trPr>
          <w:trHeight w:val="227"/>
        </w:trPr>
        <w:tc>
          <w:tcPr>
            <w:tcW w:w="2111" w:type="pct"/>
            <w:noWrap/>
            <w:vAlign w:val="center"/>
          </w:tcPr>
          <w:p w:rsidR="007920E3" w:rsidRPr="00FF7C35" w:rsidRDefault="007920E3" w:rsidP="00A14B39">
            <w:pPr>
              <w:pStyle w:val="Tabletext"/>
              <w:rPr>
                <w:rFonts w:cs="Arial"/>
                <w:lang w:eastAsia="en-AU"/>
              </w:rPr>
            </w:pPr>
            <w:r w:rsidRPr="00FF7C35">
              <w:rPr>
                <w:rFonts w:cs="Arial"/>
                <w:lang w:eastAsia="en-AU"/>
              </w:rPr>
              <w:t xml:space="preserve">DXA and </w:t>
            </w:r>
            <w:proofErr w:type="spellStart"/>
            <w:r w:rsidRPr="00FF7C35">
              <w:rPr>
                <w:rFonts w:cs="Arial"/>
                <w:lang w:eastAsia="en-AU"/>
              </w:rPr>
              <w:t>ARtx</w:t>
            </w:r>
            <w:proofErr w:type="spellEnd"/>
            <w:r w:rsidRPr="00FF7C35">
              <w:rPr>
                <w:rFonts w:cs="Arial"/>
                <w:lang w:eastAsia="en-AU"/>
              </w:rPr>
              <w:t xml:space="preserve"> (osteoporosis)</w:t>
            </w:r>
          </w:p>
        </w:tc>
        <w:tc>
          <w:tcPr>
            <w:tcW w:w="602"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$8,009</w:t>
            </w:r>
          </w:p>
        </w:tc>
        <w:tc>
          <w:tcPr>
            <w:tcW w:w="463" w:type="pct"/>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10.689</w:t>
            </w:r>
          </w:p>
        </w:tc>
        <w:tc>
          <w:tcPr>
            <w:tcW w:w="586"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$393</w:t>
            </w:r>
          </w:p>
        </w:tc>
        <w:tc>
          <w:tcPr>
            <w:tcW w:w="64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0.010</w:t>
            </w:r>
          </w:p>
        </w:tc>
        <w:tc>
          <w:tcPr>
            <w:tcW w:w="59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$39,300</w:t>
            </w:r>
          </w:p>
        </w:tc>
      </w:tr>
      <w:tr w:rsidR="007920E3" w:rsidRPr="00556165" w:rsidTr="005A1887">
        <w:trPr>
          <w:trHeight w:val="227"/>
        </w:trPr>
        <w:tc>
          <w:tcPr>
            <w:tcW w:w="2111" w:type="pct"/>
            <w:noWrap/>
            <w:vAlign w:val="center"/>
          </w:tcPr>
          <w:p w:rsidR="007920E3" w:rsidRPr="00FF7C35" w:rsidRDefault="007920E3" w:rsidP="00A14B39">
            <w:pPr>
              <w:pStyle w:val="Tabletext"/>
              <w:rPr>
                <w:rFonts w:cs="Arial"/>
                <w:lang w:eastAsia="en-AU"/>
              </w:rPr>
            </w:pPr>
            <w:r w:rsidRPr="00FF7C35">
              <w:rPr>
                <w:rFonts w:cs="Arial"/>
                <w:lang w:eastAsia="en-AU"/>
              </w:rPr>
              <w:t xml:space="preserve">DXA and </w:t>
            </w:r>
            <w:proofErr w:type="spellStart"/>
            <w:r w:rsidRPr="00FF7C35">
              <w:rPr>
                <w:rFonts w:cs="Arial"/>
                <w:lang w:eastAsia="en-AU"/>
              </w:rPr>
              <w:t>ARtx</w:t>
            </w:r>
            <w:proofErr w:type="spellEnd"/>
            <w:r w:rsidRPr="00FF7C35">
              <w:rPr>
                <w:rFonts w:cs="Arial"/>
                <w:lang w:eastAsia="en-AU"/>
              </w:rPr>
              <w:t xml:space="preserve"> (osteoporosis and osteopenia)</w:t>
            </w:r>
          </w:p>
        </w:tc>
        <w:tc>
          <w:tcPr>
            <w:tcW w:w="602"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$10,370</w:t>
            </w:r>
          </w:p>
        </w:tc>
        <w:tc>
          <w:tcPr>
            <w:tcW w:w="463" w:type="pct"/>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10.693</w:t>
            </w:r>
          </w:p>
        </w:tc>
        <w:tc>
          <w:tcPr>
            <w:tcW w:w="586"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$2,754</w:t>
            </w:r>
          </w:p>
        </w:tc>
        <w:tc>
          <w:tcPr>
            <w:tcW w:w="64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0.014</w:t>
            </w:r>
          </w:p>
        </w:tc>
        <w:tc>
          <w:tcPr>
            <w:tcW w:w="594" w:type="pct"/>
            <w:noWrap/>
            <w:vAlign w:val="bottom"/>
          </w:tcPr>
          <w:p w:rsidR="007920E3" w:rsidRPr="00556165" w:rsidRDefault="007920E3" w:rsidP="00A14B39">
            <w:pPr>
              <w:jc w:val="center"/>
              <w:rPr>
                <w:rFonts w:ascii="Arial Narrow" w:hAnsi="Arial Narrow" w:cs="Arial"/>
                <w:color w:val="000000"/>
                <w:sz w:val="20"/>
              </w:rPr>
            </w:pPr>
            <w:r w:rsidRPr="00556165">
              <w:rPr>
                <w:rFonts w:ascii="Arial Narrow" w:hAnsi="Arial Narrow" w:cs="Arial"/>
                <w:color w:val="000000"/>
                <w:sz w:val="20"/>
              </w:rPr>
              <w:t>$196,714</w:t>
            </w:r>
          </w:p>
        </w:tc>
      </w:tr>
    </w:tbl>
    <w:p w:rsidR="007920E3" w:rsidRDefault="007920E3" w:rsidP="00290269">
      <w:proofErr w:type="spellStart"/>
      <w:r>
        <w:rPr>
          <w:rFonts w:ascii="Arial Narrow" w:hAnsi="Arial Narrow"/>
          <w:sz w:val="18"/>
          <w:szCs w:val="18"/>
        </w:rPr>
        <w:t>ARtx</w:t>
      </w:r>
      <w:proofErr w:type="spellEnd"/>
      <w:r>
        <w:rPr>
          <w:rFonts w:ascii="Arial Narrow" w:hAnsi="Arial Narrow"/>
          <w:sz w:val="18"/>
          <w:szCs w:val="18"/>
        </w:rPr>
        <w:t xml:space="preserve"> = Anti-</w:t>
      </w:r>
      <w:proofErr w:type="spellStart"/>
      <w:r>
        <w:rPr>
          <w:rFonts w:ascii="Arial Narrow" w:hAnsi="Arial Narrow"/>
          <w:sz w:val="18"/>
          <w:szCs w:val="18"/>
        </w:rPr>
        <w:t>resorptive</w:t>
      </w:r>
      <w:proofErr w:type="spellEnd"/>
      <w:r>
        <w:rPr>
          <w:rFonts w:ascii="Arial Narrow" w:hAnsi="Arial Narrow"/>
          <w:sz w:val="18"/>
          <w:szCs w:val="18"/>
        </w:rPr>
        <w:t xml:space="preserve"> therapy, </w:t>
      </w:r>
      <w:r w:rsidRPr="006D19D1">
        <w:rPr>
          <w:rFonts w:ascii="Arial Narrow" w:hAnsi="Arial Narrow"/>
          <w:sz w:val="18"/>
          <w:szCs w:val="18"/>
        </w:rPr>
        <w:t>DXA = dual absorptiometry X-ray</w:t>
      </w:r>
      <w:r>
        <w:rPr>
          <w:rFonts w:ascii="Arial Narrow" w:hAnsi="Arial Narrow"/>
          <w:sz w:val="18"/>
          <w:szCs w:val="18"/>
        </w:rPr>
        <w:t>, ICER = incremental cost effectiveness ratio, QALYs = quality adjusted life years</w:t>
      </w:r>
    </w:p>
    <w:p w:rsidR="007920E3" w:rsidRDefault="007920E3" w:rsidP="000A43DF"/>
    <w:p w:rsidR="007920E3" w:rsidRDefault="007920E3" w:rsidP="000A43DF">
      <w:r>
        <w:t>The model predicted that interventions confined to 50 year old women with breast cancer on AI therapy would not be cost effective (ICERs &gt;$116,000) due to the lack of benefit arising. In older women aged 65 years, the interventions were more cost-effective due to lower incremental costs and QALYs proportionally. In no age group was the intervention cost-effective in the larger group of women with osteoporosis or osteopenia.</w:t>
      </w:r>
    </w:p>
    <w:p w:rsidR="007920E3" w:rsidRDefault="007920E3" w:rsidP="000A43DF"/>
    <w:p w:rsidR="007920E3" w:rsidRPr="00827D91" w:rsidRDefault="007920E3" w:rsidP="000A43DF">
      <w:pPr>
        <w:rPr>
          <w:rStyle w:val="SubtleEmphasis"/>
          <w:rFonts w:ascii="Cambria" w:hAnsi="Cambria"/>
        </w:rPr>
      </w:pPr>
      <w:r>
        <w:t>One-way sensitivity analyses were conducted for all other variables in the model. The most influential inputs are presented in Table 8.</w:t>
      </w:r>
    </w:p>
    <w:p w:rsidR="007920E3" w:rsidRPr="00827D91" w:rsidRDefault="007920E3" w:rsidP="00556165"/>
    <w:p w:rsidR="007920E3" w:rsidRPr="00556165" w:rsidRDefault="007920E3" w:rsidP="002C4420">
      <w:pPr>
        <w:rPr>
          <w:rFonts w:ascii="Arial Narrow" w:hAnsi="Arial Narrow" w:cs="Arial"/>
          <w:b/>
          <w:sz w:val="20"/>
        </w:rPr>
      </w:pPr>
      <w:bookmarkStart w:id="7" w:name="_Ref388964651"/>
      <w:r w:rsidRPr="00556165">
        <w:rPr>
          <w:rFonts w:ascii="Arial Narrow" w:hAnsi="Arial Narrow" w:cs="Arial"/>
          <w:b/>
          <w:sz w:val="20"/>
        </w:rPr>
        <w:t>Table 8: One-way sensitivity analysis for incremental cost per QALY (discounted)</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6"/>
        <w:gridCol w:w="1984"/>
        <w:gridCol w:w="1981"/>
        <w:gridCol w:w="2128"/>
      </w:tblGrid>
      <w:tr w:rsidR="007920E3" w:rsidRPr="00556165" w:rsidTr="00A14B39">
        <w:trPr>
          <w:trHeight w:val="227"/>
        </w:trPr>
        <w:tc>
          <w:tcPr>
            <w:tcW w:w="1681" w:type="pct"/>
            <w:vAlign w:val="bottom"/>
          </w:tcPr>
          <w:p w:rsidR="007920E3" w:rsidRPr="00556165" w:rsidRDefault="007920E3" w:rsidP="00A14B39">
            <w:pPr>
              <w:keepNext/>
              <w:keepLines/>
              <w:autoSpaceDE w:val="0"/>
              <w:autoSpaceDN w:val="0"/>
              <w:adjustRightInd w:val="0"/>
              <w:rPr>
                <w:rFonts w:ascii="Arial Narrow" w:hAnsi="Arial Narrow" w:cs="Arial"/>
                <w:b/>
                <w:bCs/>
                <w:color w:val="000000"/>
                <w:sz w:val="20"/>
              </w:rPr>
            </w:pPr>
            <w:r w:rsidRPr="00556165">
              <w:rPr>
                <w:rFonts w:ascii="Arial Narrow" w:hAnsi="Arial Narrow" w:cs="Arial"/>
                <w:b/>
                <w:bCs/>
                <w:color w:val="000000"/>
                <w:sz w:val="20"/>
              </w:rPr>
              <w:t>Parameter</w:t>
            </w:r>
          </w:p>
        </w:tc>
        <w:tc>
          <w:tcPr>
            <w:tcW w:w="1081" w:type="pct"/>
            <w:vAlign w:val="bottom"/>
          </w:tcPr>
          <w:p w:rsidR="007920E3" w:rsidRPr="00556165" w:rsidRDefault="007920E3" w:rsidP="00A14B39">
            <w:pPr>
              <w:keepNext/>
              <w:keepLines/>
              <w:autoSpaceDE w:val="0"/>
              <w:autoSpaceDN w:val="0"/>
              <w:adjustRightInd w:val="0"/>
              <w:jc w:val="center"/>
              <w:rPr>
                <w:rFonts w:ascii="Arial Narrow" w:hAnsi="Arial Narrow" w:cs="Arial"/>
                <w:b/>
                <w:bCs/>
                <w:color w:val="000000"/>
                <w:sz w:val="20"/>
              </w:rPr>
            </w:pPr>
            <w:r w:rsidRPr="00556165">
              <w:rPr>
                <w:rFonts w:ascii="Arial Narrow" w:hAnsi="Arial Narrow" w:cs="Arial"/>
                <w:b/>
                <w:bCs/>
                <w:color w:val="000000"/>
                <w:sz w:val="20"/>
              </w:rPr>
              <w:t>Range tested</w:t>
            </w:r>
          </w:p>
        </w:tc>
        <w:tc>
          <w:tcPr>
            <w:tcW w:w="1079" w:type="pct"/>
            <w:vAlign w:val="bottom"/>
          </w:tcPr>
          <w:p w:rsidR="007920E3" w:rsidRPr="00556165" w:rsidRDefault="007920E3" w:rsidP="00A14B39">
            <w:pPr>
              <w:keepNext/>
              <w:keepLines/>
              <w:autoSpaceDE w:val="0"/>
              <w:autoSpaceDN w:val="0"/>
              <w:adjustRightInd w:val="0"/>
              <w:jc w:val="center"/>
              <w:rPr>
                <w:rFonts w:ascii="Arial Narrow" w:hAnsi="Arial Narrow" w:cs="Arial"/>
                <w:b/>
                <w:bCs/>
                <w:color w:val="000000"/>
                <w:sz w:val="20"/>
              </w:rPr>
            </w:pPr>
            <w:r w:rsidRPr="00556165">
              <w:rPr>
                <w:rFonts w:ascii="Arial Narrow" w:hAnsi="Arial Narrow" w:cs="Arial"/>
                <w:b/>
                <w:bCs/>
                <w:color w:val="000000"/>
                <w:sz w:val="20"/>
              </w:rPr>
              <w:t>ICER ($/QALY) DXA + AR Osteoporosis</w:t>
            </w:r>
          </w:p>
          <w:p w:rsidR="007920E3" w:rsidRPr="00556165" w:rsidRDefault="007920E3" w:rsidP="00A14B39">
            <w:pPr>
              <w:keepNext/>
              <w:keepLines/>
              <w:autoSpaceDE w:val="0"/>
              <w:autoSpaceDN w:val="0"/>
              <w:adjustRightInd w:val="0"/>
              <w:jc w:val="center"/>
              <w:rPr>
                <w:rFonts w:ascii="Arial Narrow" w:hAnsi="Arial Narrow" w:cs="Arial"/>
                <w:b/>
                <w:bCs/>
                <w:color w:val="000000"/>
                <w:sz w:val="20"/>
              </w:rPr>
            </w:pPr>
            <w:r w:rsidRPr="00556165">
              <w:rPr>
                <w:rFonts w:ascii="Arial Narrow" w:hAnsi="Arial Narrow" w:cs="Arial"/>
                <w:b/>
                <w:bCs/>
                <w:color w:val="000000"/>
                <w:sz w:val="20"/>
              </w:rPr>
              <w:t>(T-score≤-2.5)</w:t>
            </w:r>
          </w:p>
        </w:tc>
        <w:tc>
          <w:tcPr>
            <w:tcW w:w="1159" w:type="pct"/>
            <w:vAlign w:val="bottom"/>
          </w:tcPr>
          <w:p w:rsidR="007920E3" w:rsidRPr="00556165" w:rsidRDefault="007920E3" w:rsidP="00A14B39">
            <w:pPr>
              <w:keepNext/>
              <w:keepLines/>
              <w:autoSpaceDE w:val="0"/>
              <w:autoSpaceDN w:val="0"/>
              <w:adjustRightInd w:val="0"/>
              <w:jc w:val="center"/>
              <w:rPr>
                <w:rFonts w:ascii="Arial Narrow" w:hAnsi="Arial Narrow" w:cs="Arial"/>
                <w:b/>
                <w:bCs/>
                <w:color w:val="000000"/>
                <w:sz w:val="20"/>
              </w:rPr>
            </w:pPr>
            <w:r w:rsidRPr="00556165">
              <w:rPr>
                <w:rFonts w:ascii="Arial Narrow" w:hAnsi="Arial Narrow" w:cs="Arial"/>
                <w:b/>
                <w:bCs/>
                <w:color w:val="000000"/>
                <w:sz w:val="20"/>
              </w:rPr>
              <w:t xml:space="preserve">ICER ($/QALY) </w:t>
            </w:r>
          </w:p>
          <w:p w:rsidR="007920E3" w:rsidRPr="00556165" w:rsidRDefault="007920E3" w:rsidP="00A14B39">
            <w:pPr>
              <w:keepNext/>
              <w:keepLines/>
              <w:autoSpaceDE w:val="0"/>
              <w:autoSpaceDN w:val="0"/>
              <w:adjustRightInd w:val="0"/>
              <w:jc w:val="center"/>
              <w:rPr>
                <w:rFonts w:ascii="Arial Narrow" w:hAnsi="Arial Narrow" w:cs="Arial"/>
                <w:b/>
                <w:bCs/>
                <w:color w:val="000000"/>
                <w:sz w:val="20"/>
              </w:rPr>
            </w:pPr>
            <w:r w:rsidRPr="00556165">
              <w:rPr>
                <w:rFonts w:ascii="Arial Narrow" w:hAnsi="Arial Narrow" w:cs="Arial"/>
                <w:b/>
                <w:bCs/>
                <w:color w:val="000000"/>
                <w:sz w:val="20"/>
              </w:rPr>
              <w:t>DXA + AR Osteoporosis</w:t>
            </w:r>
          </w:p>
          <w:p w:rsidR="007920E3" w:rsidRPr="00556165" w:rsidRDefault="007920E3" w:rsidP="00A14B39">
            <w:pPr>
              <w:keepNext/>
              <w:keepLines/>
              <w:autoSpaceDE w:val="0"/>
              <w:autoSpaceDN w:val="0"/>
              <w:adjustRightInd w:val="0"/>
              <w:jc w:val="center"/>
              <w:rPr>
                <w:rFonts w:ascii="Arial Narrow" w:hAnsi="Arial Narrow" w:cs="Arial"/>
                <w:b/>
                <w:bCs/>
                <w:color w:val="000000"/>
                <w:sz w:val="20"/>
              </w:rPr>
            </w:pPr>
            <w:r w:rsidRPr="00556165">
              <w:rPr>
                <w:rFonts w:ascii="Arial Narrow" w:hAnsi="Arial Narrow" w:cs="Arial"/>
                <w:b/>
                <w:bCs/>
                <w:color w:val="000000"/>
                <w:sz w:val="20"/>
              </w:rPr>
              <w:t>or osteopenia</w:t>
            </w:r>
          </w:p>
          <w:p w:rsidR="007920E3" w:rsidRPr="00556165" w:rsidRDefault="007920E3" w:rsidP="00A14B39">
            <w:pPr>
              <w:keepNext/>
              <w:keepLines/>
              <w:autoSpaceDE w:val="0"/>
              <w:autoSpaceDN w:val="0"/>
              <w:adjustRightInd w:val="0"/>
              <w:jc w:val="center"/>
              <w:rPr>
                <w:rFonts w:ascii="Arial Narrow" w:hAnsi="Arial Narrow" w:cs="Arial"/>
                <w:b/>
                <w:bCs/>
                <w:color w:val="000000"/>
                <w:sz w:val="20"/>
              </w:rPr>
            </w:pPr>
            <w:r w:rsidRPr="00556165">
              <w:rPr>
                <w:rFonts w:ascii="Arial Narrow" w:hAnsi="Arial Narrow" w:cs="Arial"/>
                <w:b/>
                <w:bCs/>
                <w:color w:val="000000"/>
                <w:sz w:val="20"/>
              </w:rPr>
              <w:t>(T-score≤-1.0)</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rPr>
                <w:rFonts w:ascii="Arial Narrow" w:hAnsi="Arial Narrow" w:cs="Arial"/>
                <w:b/>
                <w:color w:val="000000"/>
                <w:sz w:val="20"/>
              </w:rPr>
            </w:pPr>
            <w:r w:rsidRPr="00556165">
              <w:rPr>
                <w:rFonts w:ascii="Arial Narrow" w:hAnsi="Arial Narrow" w:cs="Arial"/>
                <w:b/>
                <w:color w:val="000000"/>
                <w:sz w:val="20"/>
              </w:rPr>
              <w:t>Base case</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b/>
                <w:color w:val="000000"/>
                <w:sz w:val="20"/>
              </w:rPr>
            </w:pPr>
            <w:r w:rsidRPr="00556165">
              <w:rPr>
                <w:rFonts w:ascii="Arial Narrow" w:hAnsi="Arial Narrow" w:cs="Arial"/>
                <w:b/>
                <w:color w:val="000000"/>
                <w:sz w:val="20"/>
              </w:rPr>
              <w:t>-</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b/>
                <w:color w:val="000000"/>
                <w:sz w:val="20"/>
              </w:rPr>
              <w:t>$47,556</w:t>
            </w:r>
          </w:p>
        </w:tc>
        <w:tc>
          <w:tcPr>
            <w:tcW w:w="115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b/>
                <w:color w:val="000000"/>
                <w:sz w:val="20"/>
              </w:rPr>
              <w:t>$253,000</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rPr>
                <w:rFonts w:ascii="Arial Narrow" w:hAnsi="Arial Narrow" w:cs="Arial"/>
                <w:color w:val="000000"/>
                <w:sz w:val="20"/>
              </w:rPr>
            </w:pPr>
            <w:r w:rsidRPr="00556165">
              <w:rPr>
                <w:rFonts w:ascii="Arial Narrow" w:hAnsi="Arial Narrow" w:cs="Arial"/>
                <w:color w:val="000000"/>
                <w:sz w:val="20"/>
              </w:rPr>
              <w:t>Probability of osteoporosis at start</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0.089 - 0.21</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-$1068, $155,358</w:t>
            </w:r>
          </w:p>
        </w:tc>
        <w:tc>
          <w:tcPr>
            <w:tcW w:w="115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$177,356, $334,789</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ind w:left="64" w:hanging="64"/>
              <w:rPr>
                <w:rFonts w:ascii="Arial Narrow" w:hAnsi="Arial Narrow" w:cs="Arial"/>
                <w:color w:val="000000"/>
                <w:sz w:val="20"/>
              </w:rPr>
            </w:pPr>
            <w:r w:rsidRPr="00556165">
              <w:rPr>
                <w:rFonts w:ascii="Arial Narrow" w:hAnsi="Arial Narrow" w:cs="Arial"/>
                <w:color w:val="000000"/>
                <w:sz w:val="20"/>
              </w:rPr>
              <w:t>Weighted RR of fracture in all women</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1.57 to 1.80</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$16,409, $147,892</w:t>
            </w:r>
          </w:p>
        </w:tc>
        <w:tc>
          <w:tcPr>
            <w:tcW w:w="1159" w:type="pct"/>
            <w:vAlign w:val="center"/>
          </w:tcPr>
          <w:p w:rsidR="007920E3" w:rsidRPr="00556165" w:rsidRDefault="007920E3" w:rsidP="00A14B39">
            <w:pPr>
              <w:jc w:val="center"/>
              <w:rPr>
                <w:rFonts w:ascii="Arial Narrow" w:hAnsi="Arial Narrow" w:cs="Arial"/>
                <w:b/>
                <w:bCs/>
                <w:sz w:val="20"/>
              </w:rPr>
            </w:pPr>
            <w:r w:rsidRPr="00556165">
              <w:rPr>
                <w:rFonts w:ascii="Arial Narrow" w:hAnsi="Arial Narrow" w:cs="Arial"/>
                <w:b/>
                <w:bCs/>
                <w:sz w:val="20"/>
              </w:rPr>
              <w:t>$161,529, $433,450</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rPr>
                <w:rFonts w:ascii="Arial Narrow" w:hAnsi="Arial Narrow" w:cs="Arial"/>
                <w:color w:val="000000"/>
                <w:sz w:val="20"/>
              </w:rPr>
            </w:pPr>
            <w:r w:rsidRPr="00556165">
              <w:rPr>
                <w:rFonts w:ascii="Arial Narrow" w:hAnsi="Arial Narrow" w:cs="Arial"/>
                <w:color w:val="000000"/>
                <w:sz w:val="20"/>
              </w:rPr>
              <w:t>RR of a fracture in osteoporosis</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2.0-5.0</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$11,898, $76,326</w:t>
            </w:r>
          </w:p>
        </w:tc>
        <w:tc>
          <w:tcPr>
            <w:tcW w:w="115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$241,289, $241,289</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rPr>
                <w:rFonts w:ascii="Arial Narrow" w:hAnsi="Arial Narrow" w:cs="Arial"/>
                <w:color w:val="000000"/>
                <w:sz w:val="20"/>
              </w:rPr>
            </w:pPr>
            <w:r w:rsidRPr="00556165">
              <w:rPr>
                <w:rFonts w:ascii="Arial Narrow" w:hAnsi="Arial Narrow" w:cs="Arial"/>
                <w:color w:val="000000"/>
                <w:sz w:val="20"/>
              </w:rPr>
              <w:t>Discount rate for effects</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0.0 - 0.07</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$12,621, $74,531</w:t>
            </w:r>
          </w:p>
        </w:tc>
        <w:tc>
          <w:tcPr>
            <w:tcW w:w="1159" w:type="pct"/>
            <w:vAlign w:val="center"/>
          </w:tcPr>
          <w:p w:rsidR="007920E3" w:rsidRPr="00556165" w:rsidRDefault="007920E3" w:rsidP="00A14B39">
            <w:pPr>
              <w:jc w:val="center"/>
              <w:rPr>
                <w:rFonts w:ascii="Arial Narrow" w:hAnsi="Arial Narrow" w:cs="Arial"/>
                <w:b/>
                <w:bCs/>
                <w:sz w:val="20"/>
              </w:rPr>
            </w:pPr>
            <w:r w:rsidRPr="00556165">
              <w:rPr>
                <w:rFonts w:ascii="Arial Narrow" w:hAnsi="Arial Narrow" w:cs="Arial"/>
                <w:b/>
                <w:sz w:val="20"/>
              </w:rPr>
              <w:t>$</w:t>
            </w:r>
            <w:r w:rsidRPr="00556165">
              <w:rPr>
                <w:rFonts w:ascii="Arial Narrow" w:hAnsi="Arial Narrow" w:cs="Arial"/>
                <w:b/>
                <w:bCs/>
                <w:sz w:val="20"/>
              </w:rPr>
              <w:t>74,161, $373,184</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rPr>
                <w:rFonts w:ascii="Arial Narrow" w:hAnsi="Arial Narrow" w:cs="Arial"/>
                <w:color w:val="000000"/>
                <w:sz w:val="20"/>
              </w:rPr>
            </w:pPr>
            <w:r w:rsidRPr="00556165">
              <w:rPr>
                <w:rFonts w:ascii="Arial Narrow" w:hAnsi="Arial Narrow" w:cs="Arial"/>
                <w:color w:val="000000"/>
                <w:sz w:val="20"/>
              </w:rPr>
              <w:t>RR of excess death from 1st fracture</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2.52 - 3.27</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$41,424, $93,528</w:t>
            </w:r>
          </w:p>
        </w:tc>
        <w:tc>
          <w:tcPr>
            <w:tcW w:w="1159" w:type="pct"/>
            <w:vAlign w:val="center"/>
          </w:tcPr>
          <w:p w:rsidR="007920E3" w:rsidRPr="00556165" w:rsidRDefault="007920E3" w:rsidP="00A14B39">
            <w:pPr>
              <w:jc w:val="center"/>
              <w:rPr>
                <w:rFonts w:ascii="Arial Narrow" w:hAnsi="Arial Narrow" w:cs="Arial"/>
                <w:b/>
                <w:bCs/>
                <w:sz w:val="20"/>
              </w:rPr>
            </w:pPr>
            <w:r w:rsidRPr="00556165">
              <w:rPr>
                <w:rFonts w:ascii="Arial Narrow" w:hAnsi="Arial Narrow" w:cs="Arial"/>
                <w:b/>
                <w:sz w:val="20"/>
              </w:rPr>
              <w:t>$</w:t>
            </w:r>
            <w:r w:rsidRPr="00556165">
              <w:rPr>
                <w:rFonts w:ascii="Arial Narrow" w:hAnsi="Arial Narrow" w:cs="Arial"/>
                <w:b/>
                <w:bCs/>
                <w:sz w:val="20"/>
              </w:rPr>
              <w:t>218,414, $472,116</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ind w:left="64" w:hanging="64"/>
              <w:rPr>
                <w:rFonts w:ascii="Arial Narrow" w:hAnsi="Arial Narrow" w:cs="Arial"/>
                <w:color w:val="000000"/>
                <w:sz w:val="20"/>
              </w:rPr>
            </w:pPr>
            <w:r w:rsidRPr="00556165">
              <w:rPr>
                <w:rFonts w:ascii="Arial Narrow" w:hAnsi="Arial Narrow" w:cs="Arial"/>
                <w:color w:val="000000"/>
                <w:sz w:val="20"/>
              </w:rPr>
              <w:t>RR of fracture in aromatase inhibitors therapy with AR</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0.4 - 0.85</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$14,188, $64,428</w:t>
            </w:r>
          </w:p>
        </w:tc>
        <w:tc>
          <w:tcPr>
            <w:tcW w:w="1159" w:type="pct"/>
            <w:vAlign w:val="center"/>
          </w:tcPr>
          <w:p w:rsidR="007920E3" w:rsidRPr="00556165" w:rsidRDefault="007920E3" w:rsidP="00A14B39">
            <w:pPr>
              <w:jc w:val="center"/>
              <w:rPr>
                <w:rFonts w:ascii="Arial Narrow" w:hAnsi="Arial Narrow" w:cs="Arial"/>
                <w:b/>
                <w:bCs/>
                <w:sz w:val="20"/>
              </w:rPr>
            </w:pPr>
            <w:r w:rsidRPr="00556165">
              <w:rPr>
                <w:rFonts w:ascii="Arial Narrow" w:hAnsi="Arial Narrow" w:cs="Arial"/>
                <w:b/>
                <w:sz w:val="20"/>
              </w:rPr>
              <w:t>$</w:t>
            </w:r>
            <w:r w:rsidRPr="00556165">
              <w:rPr>
                <w:rFonts w:ascii="Arial Narrow" w:hAnsi="Arial Narrow" w:cs="Arial"/>
                <w:b/>
                <w:bCs/>
                <w:sz w:val="20"/>
              </w:rPr>
              <w:t>52,680, $117,1183</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rPr>
                <w:rFonts w:ascii="Arial Narrow" w:hAnsi="Arial Narrow" w:cs="Arial"/>
                <w:color w:val="000000"/>
                <w:sz w:val="20"/>
              </w:rPr>
            </w:pPr>
            <w:r w:rsidRPr="00556165">
              <w:rPr>
                <w:rFonts w:ascii="Arial Narrow" w:hAnsi="Arial Narrow" w:cs="Arial"/>
                <w:color w:val="000000"/>
                <w:sz w:val="20"/>
              </w:rPr>
              <w:t>Cost of AR therapy</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$428 – $626</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$45,913, $80,780</w:t>
            </w:r>
          </w:p>
        </w:tc>
        <w:tc>
          <w:tcPr>
            <w:tcW w:w="115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$241,289, $373,073</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ind w:left="64" w:hanging="64"/>
              <w:rPr>
                <w:rFonts w:ascii="Arial Narrow" w:hAnsi="Arial Narrow" w:cs="Arial"/>
                <w:color w:val="000000"/>
                <w:sz w:val="20"/>
              </w:rPr>
            </w:pPr>
            <w:r w:rsidRPr="00556165">
              <w:rPr>
                <w:rFonts w:ascii="Arial Narrow" w:hAnsi="Arial Narrow" w:cs="Arial"/>
                <w:color w:val="000000"/>
                <w:sz w:val="20"/>
              </w:rPr>
              <w:t>Fracture risk adjustment factor for non-adherence with AR treatment</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1.07 - 1.35</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$36,971, $56,854</w:t>
            </w:r>
          </w:p>
        </w:tc>
        <w:tc>
          <w:tcPr>
            <w:tcW w:w="1159" w:type="pct"/>
            <w:vAlign w:val="center"/>
          </w:tcPr>
          <w:p w:rsidR="007920E3" w:rsidRPr="00556165" w:rsidRDefault="007920E3" w:rsidP="00A14B39">
            <w:pPr>
              <w:jc w:val="center"/>
              <w:rPr>
                <w:rFonts w:ascii="Arial Narrow" w:hAnsi="Arial Narrow" w:cs="Arial"/>
                <w:b/>
                <w:bCs/>
                <w:sz w:val="20"/>
              </w:rPr>
            </w:pPr>
            <w:r w:rsidRPr="00556165">
              <w:rPr>
                <w:rFonts w:ascii="Arial Narrow" w:hAnsi="Arial Narrow" w:cs="Arial"/>
                <w:b/>
                <w:bCs/>
                <w:sz w:val="20"/>
              </w:rPr>
              <w:t>$152,960, $499,737</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rPr>
                <w:rFonts w:ascii="Arial Narrow" w:hAnsi="Arial Narrow" w:cs="Arial"/>
                <w:color w:val="000000"/>
                <w:sz w:val="20"/>
              </w:rPr>
            </w:pPr>
            <w:r w:rsidRPr="00556165">
              <w:rPr>
                <w:rFonts w:ascii="Arial Narrow" w:hAnsi="Arial Narrow" w:cs="Arial"/>
                <w:color w:val="000000"/>
                <w:sz w:val="20"/>
              </w:rPr>
              <w:t>Background utility for early stage breast cancer</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0.728 - 0.986</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$41,094, $52,013</w:t>
            </w:r>
          </w:p>
        </w:tc>
        <w:tc>
          <w:tcPr>
            <w:tcW w:w="115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$217,006, $271,689</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rPr>
                <w:rFonts w:ascii="Arial Narrow" w:hAnsi="Arial Narrow" w:cs="Arial"/>
                <w:color w:val="000000"/>
                <w:sz w:val="20"/>
              </w:rPr>
            </w:pPr>
            <w:r w:rsidRPr="00556165">
              <w:rPr>
                <w:rFonts w:ascii="Arial Narrow" w:hAnsi="Arial Narrow" w:cs="Arial"/>
                <w:color w:val="000000"/>
                <w:sz w:val="20"/>
              </w:rPr>
              <w:t>RR of excess death from 2nd fracture</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1.74 - 2.92</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$40,758, $50,803</w:t>
            </w:r>
          </w:p>
        </w:tc>
        <w:tc>
          <w:tcPr>
            <w:tcW w:w="115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$214,480, $266,659</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rPr>
                <w:rFonts w:ascii="Arial Narrow" w:hAnsi="Arial Narrow" w:cs="Arial"/>
                <w:color w:val="000000"/>
                <w:sz w:val="20"/>
              </w:rPr>
            </w:pPr>
            <w:r w:rsidRPr="00556165">
              <w:rPr>
                <w:rFonts w:ascii="Arial Narrow" w:hAnsi="Arial Narrow" w:cs="Arial"/>
                <w:color w:val="000000"/>
                <w:sz w:val="20"/>
              </w:rPr>
              <w:t xml:space="preserve">Probability of a 2nd fracture </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0.57 - 0.92</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$41,270, $50,465</w:t>
            </w:r>
          </w:p>
        </w:tc>
        <w:tc>
          <w:tcPr>
            <w:tcW w:w="115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$220,775, $261,528</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rPr>
                <w:rFonts w:ascii="Arial Narrow" w:hAnsi="Arial Narrow" w:cs="Arial"/>
                <w:color w:val="000000"/>
                <w:sz w:val="20"/>
              </w:rPr>
            </w:pPr>
            <w:r w:rsidRPr="00556165">
              <w:rPr>
                <w:rFonts w:ascii="Arial Narrow" w:hAnsi="Arial Narrow" w:cs="Arial"/>
                <w:color w:val="000000"/>
                <w:sz w:val="20"/>
              </w:rPr>
              <w:t>Cost of a hip fracture</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$16,586-$30,803</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$41,613, $49,725</w:t>
            </w:r>
          </w:p>
        </w:tc>
        <w:tc>
          <w:tcPr>
            <w:tcW w:w="115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$236,356, $245,661</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rPr>
                <w:rFonts w:ascii="Arial Narrow" w:hAnsi="Arial Narrow" w:cs="Arial"/>
                <w:color w:val="000000"/>
                <w:sz w:val="20"/>
              </w:rPr>
            </w:pPr>
            <w:r w:rsidRPr="00556165">
              <w:rPr>
                <w:rFonts w:ascii="Arial Narrow" w:hAnsi="Arial Narrow" w:cs="Arial"/>
                <w:color w:val="000000"/>
                <w:sz w:val="20"/>
              </w:rPr>
              <w:t>Cost of spine fracture</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$4,027-$7,479</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$43,856, $47,152</w:t>
            </w:r>
          </w:p>
        </w:tc>
        <w:tc>
          <w:tcPr>
            <w:tcW w:w="115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$238,854, $242,755</w:t>
            </w:r>
          </w:p>
        </w:tc>
      </w:tr>
      <w:tr w:rsidR="007920E3" w:rsidRPr="00556165" w:rsidTr="00A14B39">
        <w:trPr>
          <w:trHeight w:val="227"/>
        </w:trPr>
        <w:tc>
          <w:tcPr>
            <w:tcW w:w="1681" w:type="pct"/>
            <w:vAlign w:val="center"/>
          </w:tcPr>
          <w:p w:rsidR="007920E3" w:rsidRPr="00556165" w:rsidRDefault="007920E3" w:rsidP="00A14B39">
            <w:pPr>
              <w:keepNext/>
              <w:keepLines/>
              <w:autoSpaceDE w:val="0"/>
              <w:autoSpaceDN w:val="0"/>
              <w:adjustRightInd w:val="0"/>
              <w:rPr>
                <w:rFonts w:ascii="Arial Narrow" w:hAnsi="Arial Narrow" w:cs="Arial"/>
                <w:color w:val="000000"/>
                <w:sz w:val="20"/>
              </w:rPr>
            </w:pPr>
            <w:r w:rsidRPr="00556165">
              <w:rPr>
                <w:rFonts w:ascii="Arial Narrow" w:hAnsi="Arial Narrow" w:cs="Arial"/>
                <w:color w:val="000000"/>
                <w:sz w:val="20"/>
              </w:rPr>
              <w:t>Discount rate for costs</w:t>
            </w:r>
          </w:p>
        </w:tc>
        <w:tc>
          <w:tcPr>
            <w:tcW w:w="1081" w:type="pct"/>
            <w:vAlign w:val="center"/>
          </w:tcPr>
          <w:p w:rsidR="007920E3" w:rsidRPr="00556165" w:rsidRDefault="007920E3" w:rsidP="00A14B39">
            <w:pPr>
              <w:keepNext/>
              <w:keepLines/>
              <w:autoSpaceDE w:val="0"/>
              <w:autoSpaceDN w:val="0"/>
              <w:adjustRightInd w:val="0"/>
              <w:jc w:val="center"/>
              <w:rPr>
                <w:rFonts w:ascii="Arial Narrow" w:hAnsi="Arial Narrow" w:cs="Arial"/>
                <w:color w:val="000000"/>
                <w:sz w:val="20"/>
              </w:rPr>
            </w:pPr>
            <w:r w:rsidRPr="00556165">
              <w:rPr>
                <w:rFonts w:ascii="Arial Narrow" w:hAnsi="Arial Narrow" w:cs="Arial"/>
                <w:color w:val="000000"/>
                <w:sz w:val="20"/>
              </w:rPr>
              <w:t>0.07 - 0.0</w:t>
            </w:r>
          </w:p>
        </w:tc>
        <w:tc>
          <w:tcPr>
            <w:tcW w:w="107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$41,478, $44,040</w:t>
            </w:r>
          </w:p>
        </w:tc>
        <w:tc>
          <w:tcPr>
            <w:tcW w:w="1159" w:type="pct"/>
            <w:vAlign w:val="center"/>
          </w:tcPr>
          <w:p w:rsidR="007920E3" w:rsidRPr="00556165" w:rsidRDefault="007920E3" w:rsidP="00A14B39">
            <w:pPr>
              <w:jc w:val="center"/>
              <w:rPr>
                <w:rFonts w:ascii="Arial Narrow" w:hAnsi="Arial Narrow" w:cs="Arial"/>
                <w:sz w:val="20"/>
              </w:rPr>
            </w:pPr>
            <w:r w:rsidRPr="00556165">
              <w:rPr>
                <w:rFonts w:ascii="Arial Narrow" w:hAnsi="Arial Narrow" w:cs="Arial"/>
                <w:sz w:val="20"/>
              </w:rPr>
              <w:t>$208,076, $377,391</w:t>
            </w:r>
          </w:p>
        </w:tc>
      </w:tr>
    </w:tbl>
    <w:p w:rsidR="007920E3" w:rsidRDefault="007920E3" w:rsidP="00A14B39">
      <w:pPr>
        <w:rPr>
          <w:rFonts w:ascii="Arial Narrow" w:hAnsi="Arial Narrow"/>
          <w:sz w:val="18"/>
          <w:szCs w:val="18"/>
        </w:rPr>
      </w:pPr>
      <w:r>
        <w:rPr>
          <w:rFonts w:ascii="Arial Narrow" w:hAnsi="Arial Narrow"/>
          <w:sz w:val="18"/>
          <w:szCs w:val="18"/>
        </w:rPr>
        <w:t xml:space="preserve">AR = Anti-resorptive therapy, </w:t>
      </w:r>
      <w:r w:rsidRPr="006D19D1">
        <w:rPr>
          <w:rFonts w:ascii="Arial Narrow" w:hAnsi="Arial Narrow"/>
          <w:sz w:val="18"/>
          <w:szCs w:val="18"/>
        </w:rPr>
        <w:t>DXA = dual absorptiometry X-ray</w:t>
      </w:r>
      <w:r>
        <w:rPr>
          <w:rFonts w:ascii="Arial Narrow" w:hAnsi="Arial Narrow"/>
          <w:sz w:val="18"/>
          <w:szCs w:val="18"/>
        </w:rPr>
        <w:t>, ICER = incremental cost effectiveness ratio, QALYs = quality adjusted life years; RR = relative risk</w:t>
      </w:r>
    </w:p>
    <w:p w:rsidR="007920E3" w:rsidRDefault="007920E3" w:rsidP="00A14B39">
      <w:pPr>
        <w:rPr>
          <w:rFonts w:ascii="Arial Narrow" w:hAnsi="Arial Narrow"/>
          <w:sz w:val="18"/>
          <w:szCs w:val="18"/>
        </w:rPr>
      </w:pPr>
      <w:r w:rsidRPr="0090736E">
        <w:rPr>
          <w:rFonts w:ascii="Arial Narrow" w:hAnsi="Arial Narrow"/>
          <w:b/>
          <w:sz w:val="18"/>
          <w:szCs w:val="18"/>
        </w:rPr>
        <w:t>Bolded</w:t>
      </w:r>
      <w:r>
        <w:rPr>
          <w:rFonts w:ascii="Arial Narrow" w:hAnsi="Arial Narrow"/>
          <w:sz w:val="18"/>
          <w:szCs w:val="18"/>
        </w:rPr>
        <w:t xml:space="preserve"> = 5 most influential variables</w:t>
      </w:r>
      <w:r>
        <w:t xml:space="preserve"> </w:t>
      </w:r>
      <w:r w:rsidRPr="003B6986">
        <w:rPr>
          <w:rFonts w:ascii="Arial Narrow" w:hAnsi="Arial Narrow"/>
          <w:sz w:val="18"/>
          <w:szCs w:val="18"/>
        </w:rPr>
        <w:t>for broader group.</w:t>
      </w:r>
    </w:p>
    <w:p w:rsidR="007920E3" w:rsidRDefault="007920E3" w:rsidP="00A14B39"/>
    <w:p w:rsidR="007920E3" w:rsidRDefault="007920E3" w:rsidP="000A43DF">
      <w:r w:rsidRPr="00277121">
        <w:lastRenderedPageBreak/>
        <w:t xml:space="preserve">These one-way sensitivity findings show that the model is </w:t>
      </w:r>
      <w:r>
        <w:t>relatively un</w:t>
      </w:r>
      <w:r w:rsidRPr="00277121">
        <w:t xml:space="preserve">stable to changes </w:t>
      </w:r>
      <w:r>
        <w:t>in the above</w:t>
      </w:r>
      <w:r w:rsidRPr="00277121">
        <w:t xml:space="preserve"> variables. </w:t>
      </w:r>
      <w:r>
        <w:t xml:space="preserve">The ICER moves below or above $50,000 per QALY with variation to the estimates. </w:t>
      </w:r>
      <w:r w:rsidRPr="00277121">
        <w:t xml:space="preserve">The most important drivers of the model </w:t>
      </w:r>
      <w:r>
        <w:t>were the</w:t>
      </w:r>
      <w:r w:rsidRPr="00277121">
        <w:t xml:space="preserve"> probability of women with osteoporosis, </w:t>
      </w:r>
      <w:r>
        <w:t xml:space="preserve">the relative risk of fracture for all women, </w:t>
      </w:r>
      <w:r w:rsidRPr="00277121">
        <w:t>relative risk of fracture in osteoporosis discount rate of QALYs, relative risk of fracture in AI and AR and the non-</w:t>
      </w:r>
      <w:r>
        <w:t>adherence</w:t>
      </w:r>
      <w:r w:rsidRPr="00277121">
        <w:t xml:space="preserve"> of AR</w:t>
      </w:r>
      <w:r>
        <w:t xml:space="preserve"> (via reduced bone treatment effect)</w:t>
      </w:r>
      <w:r w:rsidRPr="00277121">
        <w:t>.</w:t>
      </w:r>
    </w:p>
    <w:p w:rsidR="007920E3" w:rsidRDefault="007920E3" w:rsidP="000A43DF"/>
    <w:p w:rsidR="007920E3" w:rsidRDefault="007920E3" w:rsidP="000A43DF">
      <w:r>
        <w:t>A probabilistic sensitivity analysis was undertaken using 5000 simulations. This provides the likelihood of the model having cost-effective results below the cost per QALY threshold of $50,000. The results of these analyses are provided in Table 9.</w:t>
      </w:r>
    </w:p>
    <w:p w:rsidR="007920E3" w:rsidRDefault="007920E3" w:rsidP="00556165"/>
    <w:p w:rsidR="007920E3" w:rsidRPr="00B73395" w:rsidRDefault="007920E3" w:rsidP="00B73395">
      <w:pPr>
        <w:rPr>
          <w:rFonts w:ascii="Arial" w:hAnsi="Arial" w:cs="Arial"/>
          <w:b/>
          <w:sz w:val="20"/>
        </w:rPr>
      </w:pPr>
      <w:r w:rsidRPr="00B73395">
        <w:rPr>
          <w:rFonts w:ascii="Arial" w:hAnsi="Arial" w:cs="Arial"/>
          <w:b/>
          <w:sz w:val="20"/>
        </w:rPr>
        <w:t xml:space="preserve">Table </w:t>
      </w:r>
      <w:r>
        <w:rPr>
          <w:rFonts w:ascii="Arial" w:hAnsi="Arial" w:cs="Arial"/>
          <w:b/>
          <w:sz w:val="20"/>
        </w:rPr>
        <w:t>9</w:t>
      </w:r>
      <w:r w:rsidRPr="00B73395">
        <w:rPr>
          <w:rFonts w:ascii="Arial" w:hAnsi="Arial" w:cs="Arial"/>
          <w:b/>
          <w:sz w:val="20"/>
        </w:rPr>
        <w:t>: Results of the probabilistic sensitivity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0"/>
        <w:gridCol w:w="4212"/>
      </w:tblGrid>
      <w:tr w:rsidR="007920E3" w:rsidRPr="00B73395" w:rsidTr="00DF3C75">
        <w:trPr>
          <w:trHeight w:val="227"/>
        </w:trPr>
        <w:tc>
          <w:tcPr>
            <w:tcW w:w="3287" w:type="pct"/>
            <w:noWrap/>
            <w:vAlign w:val="center"/>
          </w:tcPr>
          <w:p w:rsidR="007920E3" w:rsidRPr="00FF7C35" w:rsidRDefault="007920E3" w:rsidP="00DF3C75">
            <w:pPr>
              <w:pStyle w:val="Tabletext"/>
              <w:rPr>
                <w:rFonts w:ascii="Arial" w:hAnsi="Arial" w:cs="Arial"/>
                <w:b/>
                <w:lang w:eastAsia="en-AU"/>
              </w:rPr>
            </w:pPr>
            <w:r w:rsidRPr="00FF7C35">
              <w:rPr>
                <w:rFonts w:ascii="Arial" w:hAnsi="Arial" w:cs="Arial"/>
                <w:b/>
                <w:lang w:eastAsia="en-AU"/>
              </w:rPr>
              <w:t>Type of Sensitivity Analysis</w:t>
            </w:r>
          </w:p>
        </w:tc>
        <w:tc>
          <w:tcPr>
            <w:tcW w:w="1713" w:type="pct"/>
            <w:noWrap/>
            <w:vAlign w:val="center"/>
          </w:tcPr>
          <w:p w:rsidR="007920E3" w:rsidRPr="00FF7C35" w:rsidRDefault="007920E3" w:rsidP="00DF3C75">
            <w:pPr>
              <w:pStyle w:val="Tabletext"/>
              <w:jc w:val="center"/>
              <w:rPr>
                <w:rFonts w:ascii="Arial" w:hAnsi="Arial" w:cs="Arial"/>
                <w:b/>
                <w:lang w:eastAsia="en-AU"/>
              </w:rPr>
            </w:pPr>
            <w:r w:rsidRPr="00FF7C35">
              <w:rPr>
                <w:rFonts w:ascii="Arial" w:hAnsi="Arial" w:cs="Arial"/>
                <w:b/>
                <w:lang w:eastAsia="en-AU"/>
              </w:rPr>
              <w:t>% cost-effective (&lt;$50,000 per QALY gain)</w:t>
            </w:r>
          </w:p>
        </w:tc>
      </w:tr>
      <w:tr w:rsidR="007920E3" w:rsidRPr="00B73395" w:rsidTr="00DF3C75">
        <w:trPr>
          <w:trHeight w:val="227"/>
        </w:trPr>
        <w:tc>
          <w:tcPr>
            <w:tcW w:w="3287" w:type="pct"/>
            <w:noWrap/>
            <w:vAlign w:val="center"/>
          </w:tcPr>
          <w:p w:rsidR="007920E3" w:rsidRPr="00FF7C35" w:rsidRDefault="007920E3" w:rsidP="00DF3C75">
            <w:pPr>
              <w:pStyle w:val="Tabletext"/>
              <w:rPr>
                <w:rFonts w:ascii="Arial" w:hAnsi="Arial" w:cs="Arial"/>
                <w:lang w:eastAsia="en-AU"/>
              </w:rPr>
            </w:pPr>
            <w:r w:rsidRPr="00FF7C35">
              <w:rPr>
                <w:rFonts w:ascii="Arial" w:hAnsi="Arial" w:cs="Arial"/>
                <w:lang w:eastAsia="en-AU"/>
              </w:rPr>
              <w:t>No DXA and lifestyle advice</w:t>
            </w:r>
          </w:p>
        </w:tc>
        <w:tc>
          <w:tcPr>
            <w:tcW w:w="1713" w:type="pct"/>
            <w:noWrap/>
            <w:vAlign w:val="bottom"/>
          </w:tcPr>
          <w:p w:rsidR="007920E3" w:rsidRPr="00B73395" w:rsidRDefault="007920E3" w:rsidP="00DF3C75">
            <w:pPr>
              <w:jc w:val="center"/>
              <w:rPr>
                <w:rFonts w:ascii="Arial" w:hAnsi="Arial" w:cs="Arial"/>
                <w:color w:val="000000"/>
                <w:sz w:val="20"/>
              </w:rPr>
            </w:pPr>
            <w:r w:rsidRPr="00B73395">
              <w:rPr>
                <w:rFonts w:ascii="Arial" w:hAnsi="Arial" w:cs="Arial"/>
                <w:color w:val="000000"/>
                <w:sz w:val="20"/>
              </w:rPr>
              <w:t>ref</w:t>
            </w:r>
          </w:p>
        </w:tc>
      </w:tr>
      <w:tr w:rsidR="007920E3" w:rsidRPr="00B73395" w:rsidTr="00DF3C75">
        <w:trPr>
          <w:trHeight w:val="227"/>
        </w:trPr>
        <w:tc>
          <w:tcPr>
            <w:tcW w:w="3287" w:type="pct"/>
            <w:noWrap/>
            <w:vAlign w:val="center"/>
          </w:tcPr>
          <w:p w:rsidR="007920E3" w:rsidRPr="00FF7C35" w:rsidRDefault="007920E3" w:rsidP="00DF3C75">
            <w:pPr>
              <w:pStyle w:val="Tabletext"/>
              <w:rPr>
                <w:rFonts w:ascii="Arial" w:hAnsi="Arial" w:cs="Arial"/>
                <w:lang w:eastAsia="en-AU"/>
              </w:rPr>
            </w:pPr>
            <w:r w:rsidRPr="00FF7C35">
              <w:rPr>
                <w:rFonts w:ascii="Arial" w:hAnsi="Arial" w:cs="Arial"/>
                <w:lang w:eastAsia="en-AU"/>
              </w:rPr>
              <w:t xml:space="preserve">DXA and </w:t>
            </w:r>
            <w:proofErr w:type="spellStart"/>
            <w:r w:rsidRPr="00FF7C35">
              <w:rPr>
                <w:rFonts w:ascii="Arial" w:hAnsi="Arial" w:cs="Arial"/>
                <w:lang w:eastAsia="en-AU"/>
              </w:rPr>
              <w:t>ARtx</w:t>
            </w:r>
            <w:proofErr w:type="spellEnd"/>
            <w:r w:rsidRPr="00FF7C35">
              <w:rPr>
                <w:rFonts w:ascii="Arial" w:hAnsi="Arial" w:cs="Arial"/>
                <w:lang w:eastAsia="en-AU"/>
              </w:rPr>
              <w:t xml:space="preserve"> (osteoporosis)</w:t>
            </w:r>
          </w:p>
        </w:tc>
        <w:tc>
          <w:tcPr>
            <w:tcW w:w="1713" w:type="pct"/>
            <w:noWrap/>
            <w:vAlign w:val="bottom"/>
          </w:tcPr>
          <w:p w:rsidR="007920E3" w:rsidRPr="00B73395" w:rsidRDefault="007920E3" w:rsidP="00DF3C75">
            <w:pPr>
              <w:jc w:val="center"/>
              <w:rPr>
                <w:rFonts w:ascii="Arial" w:hAnsi="Arial" w:cs="Arial"/>
                <w:color w:val="000000"/>
                <w:sz w:val="20"/>
              </w:rPr>
            </w:pPr>
            <w:r w:rsidRPr="00B73395">
              <w:rPr>
                <w:rFonts w:ascii="Arial" w:hAnsi="Arial" w:cs="Arial"/>
                <w:color w:val="000000"/>
                <w:sz w:val="20"/>
              </w:rPr>
              <w:t>50.8%</w:t>
            </w:r>
          </w:p>
        </w:tc>
      </w:tr>
      <w:tr w:rsidR="007920E3" w:rsidRPr="00B73395" w:rsidTr="00DF3C75">
        <w:trPr>
          <w:trHeight w:val="227"/>
        </w:trPr>
        <w:tc>
          <w:tcPr>
            <w:tcW w:w="3287" w:type="pct"/>
            <w:noWrap/>
            <w:vAlign w:val="center"/>
          </w:tcPr>
          <w:p w:rsidR="007920E3" w:rsidRPr="00FF7C35" w:rsidRDefault="007920E3" w:rsidP="00DF3C75">
            <w:pPr>
              <w:pStyle w:val="Tabletext"/>
              <w:rPr>
                <w:rFonts w:ascii="Arial" w:hAnsi="Arial" w:cs="Arial"/>
                <w:lang w:eastAsia="en-AU"/>
              </w:rPr>
            </w:pPr>
            <w:r w:rsidRPr="00FF7C35">
              <w:rPr>
                <w:rFonts w:ascii="Arial" w:hAnsi="Arial" w:cs="Arial"/>
                <w:lang w:eastAsia="en-AU"/>
              </w:rPr>
              <w:t xml:space="preserve">DXA and </w:t>
            </w:r>
            <w:proofErr w:type="spellStart"/>
            <w:r w:rsidRPr="00FF7C35">
              <w:rPr>
                <w:rFonts w:ascii="Arial" w:hAnsi="Arial" w:cs="Arial"/>
                <w:lang w:eastAsia="en-AU"/>
              </w:rPr>
              <w:t>ARtx</w:t>
            </w:r>
            <w:proofErr w:type="spellEnd"/>
            <w:r w:rsidRPr="00FF7C35">
              <w:rPr>
                <w:rFonts w:ascii="Arial" w:hAnsi="Arial" w:cs="Arial"/>
                <w:lang w:eastAsia="en-AU"/>
              </w:rPr>
              <w:t xml:space="preserve"> (osteoporosis and osteopenia)</w:t>
            </w:r>
          </w:p>
        </w:tc>
        <w:tc>
          <w:tcPr>
            <w:tcW w:w="1713" w:type="pct"/>
            <w:noWrap/>
            <w:vAlign w:val="bottom"/>
          </w:tcPr>
          <w:p w:rsidR="007920E3" w:rsidRPr="00B73395" w:rsidRDefault="007920E3" w:rsidP="00DF3C75">
            <w:pPr>
              <w:jc w:val="center"/>
              <w:rPr>
                <w:rFonts w:ascii="Arial" w:hAnsi="Arial" w:cs="Arial"/>
                <w:color w:val="000000"/>
                <w:sz w:val="20"/>
              </w:rPr>
            </w:pPr>
            <w:r w:rsidRPr="00B73395">
              <w:rPr>
                <w:rFonts w:ascii="Arial" w:hAnsi="Arial" w:cs="Arial"/>
                <w:color w:val="000000"/>
                <w:sz w:val="20"/>
              </w:rPr>
              <w:t>6.0%</w:t>
            </w:r>
          </w:p>
        </w:tc>
      </w:tr>
    </w:tbl>
    <w:p w:rsidR="007920E3" w:rsidRDefault="007920E3" w:rsidP="00B73395">
      <w:r>
        <w:rPr>
          <w:rFonts w:ascii="Arial Narrow" w:hAnsi="Arial Narrow"/>
          <w:sz w:val="18"/>
          <w:szCs w:val="18"/>
        </w:rPr>
        <w:t xml:space="preserve">AR = Anti-resorptive therapy, </w:t>
      </w:r>
      <w:r w:rsidRPr="006D19D1">
        <w:rPr>
          <w:rFonts w:ascii="Arial Narrow" w:hAnsi="Arial Narrow"/>
          <w:sz w:val="18"/>
          <w:szCs w:val="18"/>
        </w:rPr>
        <w:t>DXA = dual absorptiometry X-ray</w:t>
      </w:r>
      <w:r>
        <w:rPr>
          <w:rFonts w:ascii="Arial Narrow" w:hAnsi="Arial Narrow"/>
          <w:sz w:val="18"/>
          <w:szCs w:val="18"/>
        </w:rPr>
        <w:t>, QALYs = quality adjusted life years</w:t>
      </w:r>
    </w:p>
    <w:p w:rsidR="007920E3" w:rsidRDefault="007920E3" w:rsidP="00556165"/>
    <w:p w:rsidR="007920E3" w:rsidRDefault="007920E3" w:rsidP="000A43DF">
      <w:r>
        <w:t>The outcome of the above analysis suggests that in about half of the interventions, the intervention of DXA plus AR therapy for women with osteoporosis is cost-effective when a threshold of $50,000 per QALY is used. It would not be a cost-effective intervention for a broader group of women who had either osteoporosis or osteopenia.</w:t>
      </w:r>
    </w:p>
    <w:p w:rsidR="007920E3" w:rsidRDefault="007920E3" w:rsidP="0052597D">
      <w:pPr>
        <w:rPr>
          <w:u w:val="single"/>
        </w:rPr>
      </w:pPr>
      <w:bookmarkStart w:id="8" w:name="_Toc418671229"/>
      <w:bookmarkEnd w:id="7"/>
    </w:p>
    <w:p w:rsidR="007920E3" w:rsidRPr="0052597D" w:rsidRDefault="007920E3" w:rsidP="0052597D">
      <w:pPr>
        <w:rPr>
          <w:u w:val="single"/>
        </w:rPr>
      </w:pPr>
      <w:r w:rsidRPr="0052597D">
        <w:rPr>
          <w:u w:val="single"/>
        </w:rPr>
        <w:t>Model validation</w:t>
      </w:r>
      <w:bookmarkEnd w:id="8"/>
    </w:p>
    <w:p w:rsidR="007920E3" w:rsidRDefault="007920E3" w:rsidP="00C70A6E"/>
    <w:p w:rsidR="007920E3" w:rsidRDefault="007920E3" w:rsidP="00C70A6E">
      <w:r>
        <w:t>The model was assessed for internal and external validity.</w:t>
      </w:r>
    </w:p>
    <w:p w:rsidR="007920E3" w:rsidRDefault="007920E3" w:rsidP="00C70A6E"/>
    <w:p w:rsidR="007920E3" w:rsidRDefault="007920E3" w:rsidP="00C70A6E">
      <w:r>
        <w:t>To assess the reliability of the model outputs, the predicted survival and number of fractures were compared with those from other Australian sources.  These are summarised in Table 10. The type of model, the starting age and source for the relative fracture risk estimate were the same</w:t>
      </w:r>
      <w:r w:rsidRPr="00F02D9E">
        <w:t xml:space="preserve"> </w:t>
      </w:r>
      <w:r>
        <w:t>(Table 10).</w:t>
      </w:r>
    </w:p>
    <w:p w:rsidR="007920E3" w:rsidRDefault="007920E3" w:rsidP="00C70A6E">
      <w:pPr>
        <w:rPr>
          <w:rFonts w:ascii="Arial Narrow" w:hAnsi="Arial Narrow"/>
          <w:b/>
          <w:sz w:val="20"/>
        </w:rPr>
      </w:pPr>
    </w:p>
    <w:p w:rsidR="007920E3" w:rsidRPr="00556165" w:rsidRDefault="007920E3" w:rsidP="00C70A6E">
      <w:pPr>
        <w:pStyle w:val="TableName"/>
        <w:ind w:left="0" w:firstLine="0"/>
        <w:rPr>
          <w:rFonts w:cs="Arial"/>
        </w:rPr>
      </w:pPr>
      <w:r w:rsidRPr="00556165">
        <w:rPr>
          <w:rFonts w:cs="Arial"/>
        </w:rPr>
        <w:t xml:space="preserve">Table 10: Comparison of outcomes from our model with external studies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3969"/>
        <w:gridCol w:w="4172"/>
      </w:tblGrid>
      <w:tr w:rsidR="007920E3" w:rsidRPr="00556165" w:rsidTr="00FF7C35">
        <w:trPr>
          <w:tblHeader/>
        </w:trPr>
        <w:tc>
          <w:tcPr>
            <w:tcW w:w="1101" w:type="dxa"/>
          </w:tcPr>
          <w:p w:rsidR="007920E3" w:rsidRPr="00FF7C35" w:rsidRDefault="007920E3" w:rsidP="00DF3C75">
            <w:pPr>
              <w:rPr>
                <w:rFonts w:ascii="Arial Narrow" w:hAnsi="Arial Narrow" w:cs="Arial"/>
                <w:b/>
                <w:sz w:val="20"/>
                <w:lang w:eastAsia="en-US"/>
              </w:rPr>
            </w:pPr>
            <w:r w:rsidRPr="00FF7C35">
              <w:rPr>
                <w:rFonts w:ascii="Arial Narrow" w:hAnsi="Arial Narrow" w:cs="Arial"/>
                <w:b/>
                <w:sz w:val="20"/>
                <w:lang w:eastAsia="en-US"/>
              </w:rPr>
              <w:t xml:space="preserve">Parameter </w:t>
            </w:r>
          </w:p>
        </w:tc>
        <w:tc>
          <w:tcPr>
            <w:tcW w:w="3969" w:type="dxa"/>
          </w:tcPr>
          <w:p w:rsidR="007920E3" w:rsidRPr="00FF7C35" w:rsidRDefault="007920E3" w:rsidP="00DF3C75">
            <w:pPr>
              <w:rPr>
                <w:rFonts w:ascii="Arial Narrow" w:hAnsi="Arial Narrow" w:cs="Arial"/>
                <w:b/>
                <w:sz w:val="20"/>
                <w:lang w:eastAsia="en-US"/>
              </w:rPr>
            </w:pPr>
            <w:r w:rsidRPr="00FF7C35">
              <w:rPr>
                <w:rFonts w:ascii="Arial Narrow" w:hAnsi="Arial Narrow" w:cs="Arial"/>
                <w:b/>
                <w:sz w:val="20"/>
                <w:lang w:eastAsia="en-US"/>
              </w:rPr>
              <w:t>External evidence</w:t>
            </w:r>
          </w:p>
        </w:tc>
        <w:tc>
          <w:tcPr>
            <w:tcW w:w="4172" w:type="dxa"/>
          </w:tcPr>
          <w:p w:rsidR="007920E3" w:rsidRPr="00FF7C35" w:rsidRDefault="007920E3" w:rsidP="00DF3C75">
            <w:pPr>
              <w:rPr>
                <w:rFonts w:ascii="Arial Narrow" w:hAnsi="Arial Narrow" w:cs="Arial"/>
                <w:b/>
                <w:sz w:val="20"/>
                <w:lang w:eastAsia="en-US"/>
              </w:rPr>
            </w:pPr>
            <w:r w:rsidRPr="00FF7C35">
              <w:rPr>
                <w:rFonts w:ascii="Arial Narrow" w:hAnsi="Arial Narrow" w:cs="Arial"/>
                <w:b/>
                <w:sz w:val="20"/>
                <w:lang w:eastAsia="en-US"/>
              </w:rPr>
              <w:t>Economic model predictions</w:t>
            </w:r>
          </w:p>
        </w:tc>
      </w:tr>
      <w:tr w:rsidR="007920E3" w:rsidRPr="00556165" w:rsidTr="00FF7C35">
        <w:tc>
          <w:tcPr>
            <w:tcW w:w="1101" w:type="dxa"/>
          </w:tcPr>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Survival</w:t>
            </w:r>
          </w:p>
        </w:tc>
        <w:tc>
          <w:tcPr>
            <w:tcW w:w="3969" w:type="dxa"/>
          </w:tcPr>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ABS Life Tables: 60 year old women life expectancy is 26.4 years or age 86.4 years.</w:t>
            </w:r>
          </w:p>
        </w:tc>
        <w:tc>
          <w:tcPr>
            <w:tcW w:w="4172" w:type="dxa"/>
          </w:tcPr>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Mean survival (LYS) = 25.593-25.632 years or age 85.6 years</w:t>
            </w:r>
          </w:p>
        </w:tc>
      </w:tr>
      <w:tr w:rsidR="007920E3" w:rsidRPr="00556165" w:rsidTr="00FF7C35">
        <w:tc>
          <w:tcPr>
            <w:tcW w:w="1101" w:type="dxa"/>
          </w:tcPr>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Survival</w:t>
            </w:r>
          </w:p>
        </w:tc>
        <w:tc>
          <w:tcPr>
            <w:tcW w:w="3969" w:type="dxa"/>
          </w:tcPr>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AIHW Cancer in Australia Women with early-stage breast cancer 5-year survival rate 97%</w:t>
            </w:r>
          </w:p>
        </w:tc>
        <w:tc>
          <w:tcPr>
            <w:tcW w:w="4172" w:type="dxa"/>
          </w:tcPr>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 xml:space="preserve">Adjustment in the model was made for early-stage breast cancer survival and would contribute to the lower mean survival above. </w:t>
            </w:r>
          </w:p>
        </w:tc>
      </w:tr>
      <w:tr w:rsidR="007920E3" w:rsidRPr="00556165" w:rsidTr="00FF7C35">
        <w:tc>
          <w:tcPr>
            <w:tcW w:w="1101" w:type="dxa"/>
          </w:tcPr>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Incidence of fractures</w:t>
            </w:r>
          </w:p>
        </w:tc>
        <w:tc>
          <w:tcPr>
            <w:tcW w:w="3969" w:type="dxa"/>
          </w:tcPr>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Lifetime risk of osteoporotic fractures &gt;50 years : 440 to 560 cases per 1000 women</w:t>
            </w:r>
          </w:p>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Tasmanian Older Adult Cohort = 44%</w:t>
            </w:r>
          </w:p>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Geelong Osteoporosis Study = 42%</w:t>
            </w:r>
          </w:p>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Dubbo Study = 56%</w:t>
            </w:r>
          </w:p>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 xml:space="preserve">Source: </w:t>
            </w:r>
            <w:r w:rsidRPr="00FF7C35">
              <w:rPr>
                <w:rFonts w:ascii="Arial Narrow" w:hAnsi="Arial Narrow" w:cs="Arial"/>
                <w:sz w:val="20"/>
                <w:lang w:eastAsia="en-US"/>
              </w:rPr>
              <w:fldChar w:fldCharType="begin"/>
            </w:r>
            <w:r w:rsidRPr="00FF7C35">
              <w:rPr>
                <w:rFonts w:ascii="Arial Narrow" w:hAnsi="Arial Narrow" w:cs="Arial"/>
                <w:sz w:val="20"/>
                <w:lang w:eastAsia="en-US"/>
              </w:rPr>
              <w:instrText xml:space="preserve"> ADDIN EN.CITE &lt;EndNote&gt;&lt;Cite&gt;&lt;Author&gt;Watts&lt;/Author&gt;&lt;Year&gt;2013&lt;/Year&gt;&lt;RecNum&gt;303&lt;/RecNum&gt;&lt;DisplayText&gt;(Watts, Abimanyi-Ochom et al. 2013)&lt;/DisplayText&gt;&lt;record&gt;&lt;rec-number&gt;303&lt;/rec-number&gt;&lt;foreign-keys&gt;&lt;key app="EN" db-id="v9edw0zeqvve5nedzvjx29f1df2z2tvpvw55" timestamp="1430698629"&gt;303&lt;/key&gt;&lt;/foreign-keys&gt;&lt;ref-type name="Report"&gt;27&lt;/ref-type&gt;&lt;contributors&gt;&lt;authors&gt;&lt;author&gt;Watts, J.J.&lt;/author&gt;&lt;author&gt;Abimanyi-Ochom, J.&lt;/author&gt;&lt;author&gt;Sanders, K.M.&lt;/author&gt;&lt;/authors&gt;&lt;/contributors&gt;&lt;titles&gt;&lt;title&gt;Osteoporosis costing all Australians: A new burden of disease analysis 2012 to 2022.&lt;/title&gt;&lt;/titles&gt;&lt;dates&gt;&lt;year&gt;2013&lt;/year&gt;&lt;/dates&gt;&lt;pub-location&gt;Sydney&lt;/pub-location&gt;&lt;publisher&gt;Osteoporosis Australia.&lt;/publisher&gt;&lt;urls&gt;&lt;/urls&gt;&lt;/record&gt;&lt;/Cite&gt;&lt;/EndNote&gt;</w:instrText>
            </w:r>
            <w:r w:rsidRPr="00FF7C35">
              <w:rPr>
                <w:rFonts w:ascii="Arial Narrow" w:hAnsi="Arial Narrow" w:cs="Arial"/>
                <w:sz w:val="20"/>
                <w:lang w:eastAsia="en-US"/>
              </w:rPr>
              <w:fldChar w:fldCharType="separate"/>
            </w:r>
            <w:r w:rsidRPr="00FF7C35">
              <w:rPr>
                <w:rFonts w:ascii="Arial Narrow" w:hAnsi="Arial Narrow" w:cs="Arial"/>
                <w:noProof/>
                <w:sz w:val="20"/>
                <w:lang w:eastAsia="en-US"/>
              </w:rPr>
              <w:t>(</w:t>
            </w:r>
            <w:hyperlink w:anchor="_ENREF_23" w:tooltip="Watts, 2013 #303" w:history="1">
              <w:r w:rsidRPr="00FF7C35">
                <w:rPr>
                  <w:rFonts w:ascii="Arial Narrow" w:hAnsi="Arial Narrow" w:cs="Arial"/>
                  <w:noProof/>
                  <w:sz w:val="20"/>
                  <w:lang w:eastAsia="en-US"/>
                </w:rPr>
                <w:t>Watts, Abimanyi-Ochom et al. 2013</w:t>
              </w:r>
            </w:hyperlink>
            <w:r w:rsidRPr="00FF7C35">
              <w:rPr>
                <w:rFonts w:ascii="Arial Narrow" w:hAnsi="Arial Narrow" w:cs="Arial"/>
                <w:noProof/>
                <w:sz w:val="20"/>
                <w:lang w:eastAsia="en-US"/>
              </w:rPr>
              <w:t>)</w:t>
            </w:r>
            <w:r w:rsidRPr="00FF7C35">
              <w:rPr>
                <w:rFonts w:ascii="Arial Narrow" w:hAnsi="Arial Narrow" w:cs="Arial"/>
                <w:sz w:val="20"/>
                <w:lang w:eastAsia="en-US"/>
              </w:rPr>
              <w:fldChar w:fldCharType="end"/>
            </w:r>
          </w:p>
        </w:tc>
        <w:tc>
          <w:tcPr>
            <w:tcW w:w="4172" w:type="dxa"/>
          </w:tcPr>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 xml:space="preserve">810 to 887 fractures per 1000 women. Although this seems high in the economic model, the model includes women experiencing second fractures which are a large proportion (73%) </w:t>
            </w:r>
            <w:r w:rsidRPr="00FF7C35">
              <w:rPr>
                <w:rFonts w:ascii="Arial Narrow" w:hAnsi="Arial Narrow" w:cs="Arial"/>
                <w:sz w:val="20"/>
                <w:lang w:eastAsia="en-US"/>
              </w:rPr>
              <w:fldChar w:fldCharType="begin">
                <w:fldData xml:space="preserve">PEVuZE5vdGU+PENpdGU+PEF1dGhvcj5LYW5pczwvQXV0aG9yPjxZZWFyPjIwMDQ8L1llYXI+PFJl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</w:fldData>
              </w:fldChar>
            </w:r>
            <w:r w:rsidRPr="00FF7C35">
              <w:rPr>
                <w:rFonts w:ascii="Arial Narrow" w:hAnsi="Arial Narrow" w:cs="Arial"/>
                <w:sz w:val="20"/>
                <w:lang w:eastAsia="en-US"/>
              </w:rPr>
              <w:instrText xml:space="preserve"> ADDIN EN.CITE </w:instrText>
            </w:r>
            <w:r w:rsidRPr="00FF7C35">
              <w:rPr>
                <w:rFonts w:ascii="Arial Narrow" w:hAnsi="Arial Narrow" w:cs="Arial"/>
                <w:sz w:val="20"/>
                <w:lang w:eastAsia="en-US"/>
              </w:rPr>
              <w:fldChar w:fldCharType="begin">
                <w:fldData xml:space="preserve">PEVuZE5vdGU+PENpdGU+PEF1dGhvcj5LYW5pczwvQXV0aG9yPjxZZWFyPjIwMDQ8L1llYXI+PFJl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</w:fldData>
              </w:fldChar>
            </w:r>
            <w:r w:rsidRPr="00FF7C35">
              <w:rPr>
                <w:rFonts w:ascii="Arial Narrow" w:hAnsi="Arial Narrow" w:cs="Arial"/>
                <w:sz w:val="20"/>
                <w:lang w:eastAsia="en-US"/>
              </w:rPr>
              <w:instrText xml:space="preserve"> ADDIN EN.CITE.DATA </w:instrText>
            </w:r>
            <w:r w:rsidRPr="00FF7C35">
              <w:rPr>
                <w:rFonts w:ascii="Arial Narrow" w:hAnsi="Arial Narrow" w:cs="Arial"/>
                <w:sz w:val="20"/>
                <w:lang w:eastAsia="en-US"/>
              </w:rPr>
            </w:r>
            <w:r w:rsidRPr="00FF7C35">
              <w:rPr>
                <w:rFonts w:ascii="Arial Narrow" w:hAnsi="Arial Narrow" w:cs="Arial"/>
                <w:sz w:val="20"/>
                <w:lang w:eastAsia="en-US"/>
              </w:rPr>
              <w:fldChar w:fldCharType="end"/>
            </w:r>
            <w:r w:rsidRPr="00FF7C35">
              <w:rPr>
                <w:rFonts w:ascii="Arial Narrow" w:hAnsi="Arial Narrow" w:cs="Arial"/>
                <w:sz w:val="20"/>
                <w:lang w:eastAsia="en-US"/>
              </w:rPr>
            </w:r>
            <w:r w:rsidRPr="00FF7C35">
              <w:rPr>
                <w:rFonts w:ascii="Arial Narrow" w:hAnsi="Arial Narrow" w:cs="Arial"/>
                <w:sz w:val="20"/>
                <w:lang w:eastAsia="en-US"/>
              </w:rPr>
              <w:fldChar w:fldCharType="separate"/>
            </w:r>
            <w:r w:rsidRPr="00FF7C35">
              <w:rPr>
                <w:rFonts w:ascii="Arial Narrow" w:hAnsi="Arial Narrow" w:cs="Arial"/>
                <w:noProof/>
                <w:sz w:val="20"/>
                <w:lang w:eastAsia="en-US"/>
              </w:rPr>
              <w:t>(</w:t>
            </w:r>
            <w:hyperlink w:anchor="_ENREF_13" w:tooltip="Kanis, 2004 #308" w:history="1">
              <w:r w:rsidRPr="00FF7C35">
                <w:rPr>
                  <w:rFonts w:ascii="Arial Narrow" w:hAnsi="Arial Narrow" w:cs="Arial"/>
                  <w:noProof/>
                  <w:sz w:val="20"/>
                  <w:lang w:eastAsia="en-US"/>
                </w:rPr>
                <w:t>Kanis, Johnell et al. 2004</w:t>
              </w:r>
            </w:hyperlink>
            <w:r w:rsidRPr="00FF7C35">
              <w:rPr>
                <w:rFonts w:ascii="Arial Narrow" w:hAnsi="Arial Narrow" w:cs="Arial"/>
                <w:noProof/>
                <w:sz w:val="20"/>
                <w:lang w:eastAsia="en-US"/>
              </w:rPr>
              <w:t>)</w:t>
            </w:r>
            <w:r w:rsidRPr="00FF7C35">
              <w:rPr>
                <w:rFonts w:ascii="Arial Narrow" w:hAnsi="Arial Narrow" w:cs="Arial"/>
                <w:sz w:val="20"/>
                <w:lang w:eastAsia="en-US"/>
              </w:rPr>
              <w:fldChar w:fldCharType="end"/>
            </w:r>
            <w:r w:rsidRPr="00FF7C35">
              <w:rPr>
                <w:rFonts w:ascii="Arial Narrow" w:hAnsi="Arial Narrow" w:cs="Arial"/>
                <w:sz w:val="20"/>
                <w:lang w:eastAsia="en-US"/>
              </w:rPr>
              <w:t>.</w:t>
            </w:r>
          </w:p>
        </w:tc>
      </w:tr>
      <w:tr w:rsidR="007920E3" w:rsidRPr="00556165" w:rsidTr="00FF7C35">
        <w:tc>
          <w:tcPr>
            <w:tcW w:w="1101" w:type="dxa"/>
          </w:tcPr>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Incidence of fractures</w:t>
            </w:r>
          </w:p>
        </w:tc>
        <w:tc>
          <w:tcPr>
            <w:tcW w:w="3969" w:type="dxa"/>
          </w:tcPr>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Fractures during AR therapy, observational US data &gt;32,000 women, 50% osteoporosis</w:t>
            </w:r>
          </w:p>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Fractures: % women with first fracture at 12 months ranged 1.2% to 1.5%, therefore 1.5% x 1000 x 40 years = 600 fractures expected per 1000 women.</w:t>
            </w:r>
          </w:p>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 xml:space="preserve">Source: </w:t>
            </w:r>
            <w:r w:rsidRPr="00FF7C35">
              <w:rPr>
                <w:rFonts w:ascii="Arial Narrow" w:hAnsi="Arial Narrow" w:cs="Arial"/>
                <w:sz w:val="20"/>
                <w:lang w:eastAsia="en-US"/>
              </w:rPr>
              <w:fldChar w:fldCharType="begin">
                <w:fldData xml:space="preserve">PEVuZE5vdGU+PENpdGU+PEF1dGhvcj5TaWx2ZXJtYW48L0F1dGhvcj48WWVhcj4yMDA3PC9ZZWFy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</w:fldData>
              </w:fldChar>
            </w:r>
            <w:r w:rsidRPr="00FF7C35">
              <w:rPr>
                <w:rFonts w:ascii="Arial Narrow" w:hAnsi="Arial Narrow" w:cs="Arial"/>
                <w:sz w:val="20"/>
                <w:lang w:eastAsia="en-US"/>
              </w:rPr>
              <w:instrText xml:space="preserve"> ADDIN EN.CITE </w:instrText>
            </w:r>
            <w:r w:rsidRPr="00FF7C35">
              <w:rPr>
                <w:rFonts w:ascii="Arial Narrow" w:hAnsi="Arial Narrow" w:cs="Arial"/>
                <w:sz w:val="20"/>
                <w:lang w:eastAsia="en-US"/>
              </w:rPr>
              <w:fldChar w:fldCharType="begin">
                <w:fldData xml:space="preserve">PEVuZE5vdGU+PENpdGU+PEF1dGhvcj5TaWx2ZXJtYW48L0F1dGhvcj48WWVhcj4yMDA3PC9ZZWFy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</w:fldData>
              </w:fldChar>
            </w:r>
            <w:r w:rsidRPr="00FF7C35">
              <w:rPr>
                <w:rFonts w:ascii="Arial Narrow" w:hAnsi="Arial Narrow" w:cs="Arial"/>
                <w:sz w:val="20"/>
                <w:lang w:eastAsia="en-US"/>
              </w:rPr>
              <w:instrText xml:space="preserve"> ADDIN EN.CITE.DATA </w:instrText>
            </w:r>
            <w:r w:rsidRPr="00FF7C35">
              <w:rPr>
                <w:rFonts w:ascii="Arial Narrow" w:hAnsi="Arial Narrow" w:cs="Arial"/>
                <w:sz w:val="20"/>
                <w:lang w:eastAsia="en-US"/>
              </w:rPr>
            </w:r>
            <w:r w:rsidRPr="00FF7C35">
              <w:rPr>
                <w:rFonts w:ascii="Arial Narrow" w:hAnsi="Arial Narrow" w:cs="Arial"/>
                <w:sz w:val="20"/>
                <w:lang w:eastAsia="en-US"/>
              </w:rPr>
              <w:fldChar w:fldCharType="end"/>
            </w:r>
            <w:r w:rsidRPr="00FF7C35">
              <w:rPr>
                <w:rFonts w:ascii="Arial Narrow" w:hAnsi="Arial Narrow" w:cs="Arial"/>
                <w:sz w:val="20"/>
                <w:lang w:eastAsia="en-US"/>
              </w:rPr>
            </w:r>
            <w:r w:rsidRPr="00FF7C35">
              <w:rPr>
                <w:rFonts w:ascii="Arial Narrow" w:hAnsi="Arial Narrow" w:cs="Arial"/>
                <w:sz w:val="20"/>
                <w:lang w:eastAsia="en-US"/>
              </w:rPr>
              <w:fldChar w:fldCharType="separate"/>
            </w:r>
            <w:r w:rsidRPr="00FF7C35">
              <w:rPr>
                <w:rFonts w:ascii="Arial Narrow" w:hAnsi="Arial Narrow" w:cs="Arial"/>
                <w:noProof/>
                <w:sz w:val="20"/>
                <w:lang w:eastAsia="en-US"/>
              </w:rPr>
              <w:t>(</w:t>
            </w:r>
            <w:hyperlink w:anchor="_ENREF_22" w:tooltip="Silverman, 2007 #307" w:history="1">
              <w:r w:rsidRPr="00FF7C35">
                <w:rPr>
                  <w:rFonts w:ascii="Arial Narrow" w:hAnsi="Arial Narrow" w:cs="Arial"/>
                  <w:noProof/>
                  <w:sz w:val="20"/>
                  <w:lang w:eastAsia="en-US"/>
                </w:rPr>
                <w:t>Silverman, Watts et al. 2007</w:t>
              </w:r>
            </w:hyperlink>
            <w:r w:rsidRPr="00FF7C35">
              <w:rPr>
                <w:rFonts w:ascii="Arial Narrow" w:hAnsi="Arial Narrow" w:cs="Arial"/>
                <w:noProof/>
                <w:sz w:val="20"/>
                <w:lang w:eastAsia="en-US"/>
              </w:rPr>
              <w:t>)</w:t>
            </w:r>
            <w:r w:rsidRPr="00FF7C35">
              <w:rPr>
                <w:rFonts w:ascii="Arial Narrow" w:hAnsi="Arial Narrow" w:cs="Arial"/>
                <w:sz w:val="20"/>
                <w:lang w:eastAsia="en-US"/>
              </w:rPr>
              <w:fldChar w:fldCharType="end"/>
            </w:r>
          </w:p>
        </w:tc>
        <w:tc>
          <w:tcPr>
            <w:tcW w:w="4172" w:type="dxa"/>
          </w:tcPr>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As above. Includes first fractures only.</w:t>
            </w:r>
          </w:p>
          <w:p w:rsidR="007920E3" w:rsidRPr="00FF7C35" w:rsidRDefault="007920E3" w:rsidP="00DF3C75">
            <w:pPr>
              <w:rPr>
                <w:rFonts w:ascii="Arial Narrow" w:hAnsi="Arial Narrow" w:cs="Arial"/>
                <w:sz w:val="20"/>
                <w:lang w:eastAsia="en-US"/>
              </w:rPr>
            </w:pPr>
            <w:r w:rsidRPr="00FF7C35">
              <w:rPr>
                <w:rFonts w:ascii="Arial Narrow" w:hAnsi="Arial Narrow" w:cs="Arial"/>
                <w:sz w:val="20"/>
                <w:lang w:eastAsia="en-US"/>
              </w:rPr>
              <w:t>Although this is not Australian, it is a prospective observational study including women from all backgrounds.</w:t>
            </w:r>
          </w:p>
          <w:p w:rsidR="007920E3" w:rsidRPr="00FF7C35" w:rsidRDefault="007920E3" w:rsidP="00DF3C75">
            <w:pPr>
              <w:rPr>
                <w:rFonts w:ascii="Arial Narrow" w:hAnsi="Arial Narrow" w:cs="Arial"/>
                <w:sz w:val="20"/>
                <w:lang w:eastAsia="en-US"/>
              </w:rPr>
            </w:pPr>
          </w:p>
        </w:tc>
      </w:tr>
    </w:tbl>
    <w:p w:rsidR="007920E3" w:rsidRPr="00C103F8" w:rsidRDefault="007920E3" w:rsidP="00C70A6E">
      <w:pPr>
        <w:pStyle w:val="TableFooter"/>
      </w:pPr>
      <w:r w:rsidRPr="00C103F8">
        <w:t>ABS = Australian Bureau of Statistics; AIHW = Australian Institute of Health and Welfare</w:t>
      </w:r>
      <w:r>
        <w:t>; LYS = life years saved</w:t>
      </w:r>
    </w:p>
    <w:p w:rsidR="007920E3" w:rsidRDefault="007920E3" w:rsidP="000A43DF"/>
    <w:p w:rsidR="007920E3" w:rsidRDefault="007920E3" w:rsidP="000A43DF">
      <w:r>
        <w:t>The economic model predicted reasonably close estimates of numbers of fractures and survival as expected when compared with other sources.</w:t>
      </w:r>
    </w:p>
    <w:p w:rsidR="007920E3" w:rsidRDefault="007920E3" w:rsidP="000A43DF"/>
    <w:p w:rsidR="007920E3" w:rsidRDefault="007920E3" w:rsidP="008227EF">
      <w:pPr>
        <w:rPr>
          <w:lang w:eastAsia="ja-JP"/>
        </w:rPr>
      </w:pPr>
      <w:r>
        <w:t>External validity of the revised model was assessed by comparing the model features and outcomes to those from existing cost-effectiveness studies from other countries.</w:t>
      </w:r>
    </w:p>
    <w:p w:rsidR="007920E3" w:rsidRDefault="007920E3" w:rsidP="00556165"/>
    <w:p w:rsidR="007920E3" w:rsidRDefault="007920E3" w:rsidP="000A43DF">
      <w:r>
        <w:t xml:space="preserve">Overall, the results from the applicant’s model seem to be reasonably close for the group of women with osteoporosis but somewhat outside the other findings for the larger group with osteoporosis or osteopenia. The incremental QALYs in the applicant’s model were similar compared with the UK and US study findings. The incremental costs appear similar across all three studies. The model findings were closest to the values from the UK report with ICERs of £16,069 to £24,868 per QALY </w:t>
      </w:r>
      <w:r>
        <w:fldChar w:fldCharType="begin">
          <w:fldData xml:space="preserve">PEVuZE5vdGU+PENpdGU+PEF1dGhvcj5Mb2dtYW48L0F1dGhvcj48WWVhcj4yMDEwPC9ZZWFyPjxS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</w:fldData>
        </w:fldChar>
      </w:r>
      <w:r>
        <w:instrText xml:space="preserve"> ADDIN EN.CITE </w:instrText>
      </w:r>
      <w:r>
        <w:fldChar w:fldCharType="begin">
          <w:fldData xml:space="preserve">PEVuZE5vdGU+PENpdGU+PEF1dGhvcj5Mb2dtYW48L0F1dGhvcj48WWVhcj4yMDEwPC9ZZWFyPjxS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</w:fldData>
        </w:fldChar>
      </w:r>
      <w:r>
        <w:instrText xml:space="preserve"> ADDIN EN.CITE.DATA </w:instrText>
      </w:r>
      <w:r>
        <w:fldChar w:fldCharType="end"/>
      </w:r>
      <w:r>
        <w:fldChar w:fldCharType="separate"/>
      </w:r>
      <w:r>
        <w:rPr>
          <w:noProof/>
        </w:rPr>
        <w:t>(</w:t>
      </w:r>
      <w:hyperlink w:anchor="_ENREF_15" w:tooltip="Logman, 2010 #73" w:history="1">
        <w:r>
          <w:rPr>
            <w:noProof/>
          </w:rPr>
          <w:t>Logman, Heeg et al. 2010</w:t>
        </w:r>
      </w:hyperlink>
      <w:r>
        <w:rPr>
          <w:noProof/>
        </w:rPr>
        <w:t>)</w:t>
      </w:r>
      <w:r>
        <w:fldChar w:fldCharType="end"/>
      </w:r>
      <w:r>
        <w:t>. The number of fractures averted predicted from the applicant’s model, 53-73 per 1,000 patients appear to be at the high end of the UK study.</w:t>
      </w:r>
    </w:p>
    <w:p w:rsidR="007920E3" w:rsidRPr="0075468E" w:rsidRDefault="007920E3" w:rsidP="00DD2858">
      <w:pPr>
        <w:rPr>
          <w:szCs w:val="24"/>
        </w:rPr>
      </w:pPr>
    </w:p>
    <w:p w:rsidR="007920E3" w:rsidRDefault="007920E3" w:rsidP="007B32D1">
      <w:pPr>
        <w:pStyle w:val="Heading1"/>
        <w:numPr>
          <w:ilvl w:val="0"/>
          <w:numId w:val="23"/>
        </w:numPr>
        <w:ind w:hanging="720"/>
      </w:pPr>
      <w:r w:rsidRPr="008D5885">
        <w:t>Financial/budgetary impacts</w:t>
      </w:r>
    </w:p>
    <w:p w:rsidR="007920E3" w:rsidRDefault="007920E3" w:rsidP="00D340DE">
      <w:pPr>
        <w:pStyle w:val="Default"/>
      </w:pPr>
    </w:p>
    <w:p w:rsidR="007920E3" w:rsidRPr="007A6D15" w:rsidRDefault="007920E3" w:rsidP="000A43DF">
      <w:pPr>
        <w:rPr>
          <w:u w:val="single"/>
        </w:rPr>
      </w:pPr>
      <w:bookmarkStart w:id="9" w:name="_Toc418671231"/>
      <w:r w:rsidRPr="0052597D">
        <w:rPr>
          <w:u w:val="single"/>
        </w:rPr>
        <w:t>Current pricing issues of anti-resorptive therapies</w:t>
      </w:r>
      <w:bookmarkEnd w:id="9"/>
    </w:p>
    <w:p w:rsidR="007920E3" w:rsidRDefault="007920E3" w:rsidP="000A43DF"/>
    <w:p w:rsidR="007920E3" w:rsidRDefault="007920E3" w:rsidP="000A43DF">
      <w:r>
        <w:t xml:space="preserve">The bone anti-resorptive medications available on the PBS for osteoporosis are available to persons if they have osteoporosis as defined by a T-score ≤-2.5 </w:t>
      </w:r>
      <w:r w:rsidRPr="00052D90">
        <w:rPr>
          <w:b/>
        </w:rPr>
        <w:t>and</w:t>
      </w:r>
      <w:r>
        <w:t xml:space="preserve"> they are at least 70 years old.  In women diagnosed with breast cancer in Australia, 64% are aged between 45-69 years and on average are diagnosed at age 60 </w:t>
      </w:r>
      <w:r>
        <w:fldChar w:fldCharType="begin"/>
      </w:r>
      <w:r>
        <w:instrText xml:space="preserve"> ADDIN EN.CITE &lt;EndNote&gt;&lt;Cite&gt;&lt;Author&gt;Australian Institute of Health and Welfare&lt;/Author&gt;&lt;Year&gt;2014&lt;/Year&gt;&lt;RecNum&gt;299&lt;/RecNum&gt;&lt;DisplayText&gt;(Australian Institute of Health and Welfare 2014)&lt;/DisplayText&gt;&lt;record&gt;&lt;rec-number&gt;299&lt;/rec-number&gt;&lt;foreign-keys&gt;&lt;key app="EN" db-id="v9edw0zeqvve5nedzvjx29f1df2z2tvpvw55" timestamp="1414635836"&gt;299&lt;/key&gt;&lt;/foreign-keys&gt;&lt;ref-type name="Report"&gt;27&lt;/ref-type&gt;&lt;contributors&gt;&lt;authors&gt;&lt;author&gt;Australian Institute of Health and Welfare,&lt;/author&gt;&lt;/authors&gt;&lt;/contributors&gt;&lt;titles&gt;&lt;title&gt;Australian Cancer Incidence and Mortality (ACIM) book for breast cancer&lt;/title&gt;&lt;/titles&gt;&lt;volume&gt;Incidence table&lt;/volume&gt;&lt;dates&gt;&lt;year&gt;2014&lt;/year&gt;&lt;/dates&gt;&lt;pub-location&gt;Canberra&lt;/pub-location&gt;&lt;publisher&gt;AIHW&lt;/publisher&gt;&lt;urls&gt;&lt;related-urls&gt;&lt;url&gt;http://www.aihw.gov.au/acim-books/&lt;/url&gt;&lt;/related-urls&gt;&lt;/urls&gt;&lt;/record&gt;&lt;/Cite&gt;&lt;/EndNote&gt;</w:instrText>
      </w:r>
      <w:r>
        <w:fldChar w:fldCharType="separate"/>
      </w:r>
      <w:r>
        <w:rPr>
          <w:noProof/>
        </w:rPr>
        <w:t>(</w:t>
      </w:r>
      <w:hyperlink w:anchor="_ENREF_3" w:tooltip="Australian Institute of Health and Welfare, 2014 #299" w:history="1">
        <w:r>
          <w:rPr>
            <w:noProof/>
          </w:rPr>
          <w:t>Australian Institute of Health and Welfare 2014</w:t>
        </w:r>
      </w:hyperlink>
      <w:r>
        <w:rPr>
          <w:noProof/>
        </w:rPr>
        <w:t>)</w:t>
      </w:r>
      <w:r>
        <w:fldChar w:fldCharType="end"/>
      </w:r>
      <w:r>
        <w:t>. Therefore, anti-</w:t>
      </w:r>
      <w:proofErr w:type="spellStart"/>
      <w:r>
        <w:t>resorptives</w:t>
      </w:r>
      <w:proofErr w:type="spellEnd"/>
      <w:r>
        <w:t xml:space="preserve"> for two-thirds of the target group are not currently available for PBS subsidy and would currently need to be prescribed outside the PBS and paid for by the patient.</w:t>
      </w:r>
    </w:p>
    <w:p w:rsidR="007920E3" w:rsidRDefault="007920E3" w:rsidP="000A43DF"/>
    <w:p w:rsidR="007920E3" w:rsidRDefault="007920E3" w:rsidP="000A43DF">
      <w:r>
        <w:t>If a sponsor applied for broader eligibility criteria to women of earlier ages or specifically aligned with the population proposed in this application, the pricing would apply as detailed further below. The financial estimates therefore assume that risedronate is available through the PBS to the target population of this application.</w:t>
      </w:r>
    </w:p>
    <w:p w:rsidR="007920E3" w:rsidRPr="006B6F55" w:rsidRDefault="007920E3" w:rsidP="00556165"/>
    <w:p w:rsidR="007920E3" w:rsidRPr="0052597D" w:rsidRDefault="007920E3" w:rsidP="0052597D">
      <w:pPr>
        <w:rPr>
          <w:u w:val="single"/>
        </w:rPr>
      </w:pPr>
      <w:bookmarkStart w:id="10" w:name="_Toc418671232"/>
      <w:r w:rsidRPr="0052597D">
        <w:rPr>
          <w:u w:val="single"/>
        </w:rPr>
        <w:t>Frequency of DXA scans</w:t>
      </w:r>
      <w:bookmarkEnd w:id="10"/>
    </w:p>
    <w:p w:rsidR="007920E3" w:rsidRDefault="007920E3" w:rsidP="000A43DF"/>
    <w:p w:rsidR="007920E3" w:rsidRDefault="007920E3" w:rsidP="000A43DF">
      <w:r>
        <w:t xml:space="preserve">Annual DXA scan frequency was the base case in the Assessment Report. This was because annual scans matched the proposed MBS item description for the target population where it is worded as ‘no more than every 12 months’, which aligns with current practice guidelines and appears to be current practice for a proportion of women with breast cancer in Australia according to the feedback from the Breast Cancer Network Australia. Two-yearly scans were tested in sensitivity analyses.  The </w:t>
      </w:r>
      <w:r w:rsidRPr="008B14DE">
        <w:t>Australian and New Zealand Bone and Mineral Society (ANZBMS)</w:t>
      </w:r>
      <w:r w:rsidRPr="008B14DE" w:rsidDel="008B14DE">
        <w:t xml:space="preserve"> </w:t>
      </w:r>
      <w:proofErr w:type="gramStart"/>
      <w:r>
        <w:t>has</w:t>
      </w:r>
      <w:proofErr w:type="gramEnd"/>
      <w:r>
        <w:t xml:space="preserve"> said there is no consensus on the frequency of scans in the target population.</w:t>
      </w:r>
    </w:p>
    <w:p w:rsidR="007920E3" w:rsidRDefault="007920E3" w:rsidP="000A43DF"/>
    <w:p w:rsidR="007920E3" w:rsidRDefault="007920E3" w:rsidP="000A43DF">
      <w:r>
        <w:t>At the request of ESC and MSAC, both the economic model and financial estimates have been revised to include an initial scan in the first year and follow up scans at Years 3 and 5.</w:t>
      </w:r>
    </w:p>
    <w:p w:rsidR="007920E3" w:rsidRPr="006B6F55" w:rsidRDefault="007920E3" w:rsidP="00556165"/>
    <w:p w:rsidR="007920E3" w:rsidRPr="0052597D" w:rsidRDefault="007920E3" w:rsidP="0052597D">
      <w:pPr>
        <w:rPr>
          <w:u w:val="single"/>
        </w:rPr>
      </w:pPr>
      <w:bookmarkStart w:id="11" w:name="_Toc418671233"/>
      <w:r w:rsidRPr="0052597D">
        <w:rPr>
          <w:u w:val="single"/>
        </w:rPr>
        <w:t>Eligibility for DXA scans via existing MBS items and for PBS therapies</w:t>
      </w:r>
      <w:bookmarkEnd w:id="11"/>
    </w:p>
    <w:p w:rsidR="007920E3" w:rsidRDefault="007920E3" w:rsidP="000A43DF"/>
    <w:p w:rsidR="007920E3" w:rsidRPr="00DB3E5F" w:rsidRDefault="007920E3" w:rsidP="00556165">
      <w:r>
        <w:t>For existing MBS items for DXA scans, the most applicable items that could apply to the target group are items relating to persons with comorbid conditions; 12306, 12309, 12312, 12315, and 12318 (Box 1). All these items have the same scheduled fee $102.40 and this is also the nominated fee for the proposed MBS item. Assessing any replacement of one MBS DXA item for the proposed MBS item would therefore mean a cost-neutral effect on the financial assessment. Therefore, no adjustments in the financial estimates were made for this issue.</w:t>
      </w:r>
    </w:p>
    <w:p w:rsidR="007920E3" w:rsidRDefault="007920E3" w:rsidP="000A43DF">
      <w:pPr>
        <w:rPr>
          <w:snapToGrid w:val="0"/>
          <w:lang w:val="en-US"/>
        </w:rPr>
      </w:pPr>
      <w:r>
        <w:rPr>
          <w:snapToGrid w:val="0"/>
          <w:lang w:val="en-US"/>
        </w:rPr>
        <w:lastRenderedPageBreak/>
        <w:t xml:space="preserve">The number of women with early-stage breast cancer and taking AI therapy with the concurrent conditions listed in Box 1 is unknown. The MBS item 12312 </w:t>
      </w:r>
      <w:r w:rsidRPr="004F6460">
        <w:rPr>
          <w:snapToGrid w:val="0"/>
          <w:lang w:val="en-US"/>
        </w:rPr>
        <w:t>for DXA BMD is available for women with premature menopause before the age of 45 years</w:t>
      </w:r>
      <w:r>
        <w:rPr>
          <w:snapToGrid w:val="0"/>
          <w:lang w:val="en-US"/>
        </w:rPr>
        <w:t xml:space="preserve"> </w:t>
      </w:r>
      <w:r w:rsidRPr="004F6460">
        <w:rPr>
          <w:snapToGrid w:val="0"/>
          <w:lang w:val="en-US"/>
        </w:rPr>
        <w:t>with one service only in a period of 12 months.</w:t>
      </w:r>
      <w:r>
        <w:rPr>
          <w:snapToGrid w:val="0"/>
          <w:lang w:val="en-US"/>
        </w:rPr>
        <w:t xml:space="preserve"> This may apply to women where premature menopause is an adverse event of chemotherapy treatment and possibly other adjuvant treatments for breast cancer. It is estimated up to 50% of women younger than 40 years would develop permanent premature menopause.  However, this would represent a small number of women each year diagnosed with breast cancer (approximately 767 x 50% = 384) and not all of these would have early-stage disease.</w:t>
      </w:r>
    </w:p>
    <w:p w:rsidR="007920E3" w:rsidRDefault="007920E3">
      <w:pPr>
        <w:rPr>
          <w:snapToGrid w:val="0"/>
          <w:lang w:val="en-US"/>
        </w:rPr>
      </w:pP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rPr>
          <w:b/>
        </w:rPr>
      </w:pPr>
      <w:r>
        <w:rPr>
          <w:b/>
        </w:rPr>
        <w:t xml:space="preserve">Box 1. </w:t>
      </w:r>
      <w:r w:rsidRPr="004F6362">
        <w:rPr>
          <w:b/>
        </w:rPr>
        <w:t>Eligibility for DXA items on MBS wh</w:t>
      </w:r>
      <w:r>
        <w:rPr>
          <w:b/>
        </w:rPr>
        <w:t>ere concurrent conditions apply</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For Items 12306 and 12309 the referral should specify the indication for the test, namely:</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(a)</w:t>
      </w:r>
      <w:r>
        <w:tab/>
      </w:r>
      <w:r w:rsidRPr="004F6362">
        <w:t>1 or more fractures occurring after minimal trauma; or</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(b)</w:t>
      </w:r>
      <w:r>
        <w:tab/>
      </w:r>
      <w:proofErr w:type="gramStart"/>
      <w:r w:rsidRPr="004F6362">
        <w:t>monitoring</w:t>
      </w:r>
      <w:proofErr w:type="gramEnd"/>
      <w:r w:rsidRPr="004F6362">
        <w:t xml:space="preserve"> of low bone mineral density proven by previous bone densitometry.</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 </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For Item 12312 the referral should specify the indication for the test, namely:</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(a)</w:t>
      </w:r>
      <w:r>
        <w:tab/>
      </w:r>
      <w:proofErr w:type="gramStart"/>
      <w:r w:rsidRPr="004F6362">
        <w:t>prolonged</w:t>
      </w:r>
      <w:proofErr w:type="gramEnd"/>
      <w:r w:rsidRPr="004F6362">
        <w:t xml:space="preserve"> glucocorticoid therapy;</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(b)</w:t>
      </w:r>
      <w:r>
        <w:tab/>
      </w:r>
      <w:proofErr w:type="gramStart"/>
      <w:r w:rsidRPr="004F6362">
        <w:t>conditions</w:t>
      </w:r>
      <w:proofErr w:type="gramEnd"/>
      <w:r w:rsidRPr="004F6362">
        <w:t xml:space="preserve"> associated with excess glucocorticoid secretion;</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(c)</w:t>
      </w:r>
      <w:r>
        <w:tab/>
      </w:r>
      <w:proofErr w:type="gramStart"/>
      <w:r w:rsidRPr="004F6362">
        <w:t>male</w:t>
      </w:r>
      <w:proofErr w:type="gramEnd"/>
      <w:r w:rsidRPr="004F6362">
        <w:t xml:space="preserve"> hypogonadism; or</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(d)</w:t>
      </w:r>
      <w:r>
        <w:tab/>
      </w:r>
      <w:proofErr w:type="gramStart"/>
      <w:r w:rsidRPr="004F6362">
        <w:t>female</w:t>
      </w:r>
      <w:proofErr w:type="gramEnd"/>
      <w:r w:rsidRPr="004F6362">
        <w:t xml:space="preserve"> hypogonadism lasting more than 6 months before the age of 45.</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 </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For Item 12315 the referral should specify the indication for the test, namely:</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(a)</w:t>
      </w:r>
      <w:r>
        <w:tab/>
      </w:r>
      <w:proofErr w:type="gramStart"/>
      <w:r w:rsidRPr="004F6362">
        <w:t>primary</w:t>
      </w:r>
      <w:proofErr w:type="gramEnd"/>
      <w:r w:rsidRPr="004F6362">
        <w:t xml:space="preserve"> hyperparathyroidism;</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(b)</w:t>
      </w:r>
      <w:r>
        <w:tab/>
      </w:r>
      <w:proofErr w:type="gramStart"/>
      <w:r w:rsidRPr="004F6362">
        <w:t>chronic</w:t>
      </w:r>
      <w:proofErr w:type="gramEnd"/>
      <w:r w:rsidRPr="004F6362">
        <w:t xml:space="preserve"> liver disease;</w:t>
      </w:r>
    </w:p>
    <w:p w:rsidR="007920E3" w:rsidRPr="004F6362" w:rsidRDefault="007920E3" w:rsidP="000A43DF">
      <w:pPr>
        <w:pStyle w:val="Tabletext"/>
        <w:pBdr>
          <w:top w:val="single" w:sz="4" w:space="1" w:color="auto"/>
          <w:left w:val="single" w:sz="4" w:space="4" w:color="auto"/>
          <w:bottom w:val="single" w:sz="4" w:space="1" w:color="auto"/>
          <w:right w:val="single" w:sz="4" w:space="0" w:color="auto"/>
        </w:pBdr>
      </w:pPr>
      <w:r w:rsidRPr="004F6362">
        <w:t>(c)</w:t>
      </w:r>
      <w:r>
        <w:tab/>
      </w:r>
      <w:proofErr w:type="gramStart"/>
      <w:r w:rsidRPr="004F6362">
        <w:t>chronic</w:t>
      </w:r>
      <w:proofErr w:type="gramEnd"/>
      <w:r w:rsidRPr="004F6362">
        <w:t xml:space="preserve"> renal disease;</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(d)</w:t>
      </w:r>
      <w:r>
        <w:tab/>
      </w:r>
      <w:proofErr w:type="gramStart"/>
      <w:r w:rsidRPr="004F6362">
        <w:t>proven</w:t>
      </w:r>
      <w:proofErr w:type="gramEnd"/>
      <w:r w:rsidRPr="004F6362">
        <w:t xml:space="preserve"> </w:t>
      </w:r>
      <w:proofErr w:type="spellStart"/>
      <w:r w:rsidRPr="004F6362">
        <w:t>malabsorptive</w:t>
      </w:r>
      <w:proofErr w:type="spellEnd"/>
      <w:r w:rsidRPr="004F6362">
        <w:t xml:space="preserve"> disorders;</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(e)</w:t>
      </w:r>
      <w:r>
        <w:tab/>
      </w:r>
      <w:proofErr w:type="gramStart"/>
      <w:r w:rsidRPr="004F6362">
        <w:t>rheumatoid</w:t>
      </w:r>
      <w:proofErr w:type="gramEnd"/>
      <w:r w:rsidRPr="004F6362">
        <w:t xml:space="preserve"> arthritis; or</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(f)</w:t>
      </w:r>
      <w:r>
        <w:tab/>
      </w:r>
      <w:proofErr w:type="gramStart"/>
      <w:r w:rsidRPr="004F6362">
        <w:t>conditions</w:t>
      </w:r>
      <w:proofErr w:type="gramEnd"/>
      <w:r w:rsidRPr="004F6362">
        <w:t xml:space="preserve"> associated with thyroxine excess.</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 </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For Item 12318 the referral should specify the indication for the test, namely:</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(a)</w:t>
      </w:r>
      <w:r>
        <w:tab/>
      </w:r>
      <w:proofErr w:type="gramStart"/>
      <w:r w:rsidRPr="004F6362">
        <w:t>prolonged</w:t>
      </w:r>
      <w:proofErr w:type="gramEnd"/>
      <w:r w:rsidRPr="004F6362">
        <w:t xml:space="preserve"> glucocorticoid therapy;</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(b)</w:t>
      </w:r>
      <w:r>
        <w:tab/>
      </w:r>
      <w:proofErr w:type="gramStart"/>
      <w:r w:rsidRPr="004F6362">
        <w:t>conditions</w:t>
      </w:r>
      <w:proofErr w:type="gramEnd"/>
      <w:r w:rsidRPr="004F6362">
        <w:t xml:space="preserve"> associated with excess glucocorticoid secretion;</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(c)</w:t>
      </w:r>
      <w:r>
        <w:tab/>
      </w:r>
      <w:proofErr w:type="gramStart"/>
      <w:r w:rsidRPr="004F6362">
        <w:t>male</w:t>
      </w:r>
      <w:proofErr w:type="gramEnd"/>
      <w:r w:rsidRPr="004F6362">
        <w:t xml:space="preserve"> hypogonadism;</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(d)</w:t>
      </w:r>
      <w:r>
        <w:tab/>
      </w:r>
      <w:proofErr w:type="gramStart"/>
      <w:r w:rsidRPr="004F6362">
        <w:t>female</w:t>
      </w:r>
      <w:proofErr w:type="gramEnd"/>
      <w:r w:rsidRPr="004F6362">
        <w:t xml:space="preserve"> hypogonadism lasting more than 6 months before the age of 45;</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(e)</w:t>
      </w:r>
      <w:r>
        <w:tab/>
      </w:r>
      <w:proofErr w:type="gramStart"/>
      <w:r w:rsidRPr="004F6362">
        <w:t>primary</w:t>
      </w:r>
      <w:proofErr w:type="gramEnd"/>
      <w:r w:rsidRPr="004F6362">
        <w:t xml:space="preserve"> hyperparathyroidism;</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(f)</w:t>
      </w:r>
      <w:r>
        <w:tab/>
      </w:r>
      <w:proofErr w:type="gramStart"/>
      <w:r w:rsidRPr="004F6362">
        <w:t>chronic</w:t>
      </w:r>
      <w:proofErr w:type="gramEnd"/>
      <w:r w:rsidRPr="004F6362">
        <w:t xml:space="preserve"> liver disease;</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(g)</w:t>
      </w:r>
      <w:r>
        <w:tab/>
      </w:r>
      <w:proofErr w:type="gramStart"/>
      <w:r w:rsidRPr="004F6362">
        <w:t>chronic</w:t>
      </w:r>
      <w:proofErr w:type="gramEnd"/>
      <w:r w:rsidRPr="004F6362">
        <w:t xml:space="preserve"> renal disease;</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(h)</w:t>
      </w:r>
      <w:r>
        <w:tab/>
      </w:r>
      <w:proofErr w:type="gramStart"/>
      <w:r w:rsidRPr="004F6362">
        <w:t>proven</w:t>
      </w:r>
      <w:proofErr w:type="gramEnd"/>
      <w:r w:rsidRPr="004F6362">
        <w:t xml:space="preserve"> </w:t>
      </w:r>
      <w:proofErr w:type="spellStart"/>
      <w:r w:rsidRPr="004F6362">
        <w:t>malabsorptive</w:t>
      </w:r>
      <w:proofErr w:type="spellEnd"/>
      <w:r w:rsidRPr="004F6362">
        <w:t xml:space="preserve"> disorders;</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w:t>
      </w:r>
      <w:proofErr w:type="spellStart"/>
      <w:r w:rsidRPr="004F6362">
        <w:t>i</w:t>
      </w:r>
      <w:proofErr w:type="spellEnd"/>
      <w:r w:rsidRPr="004F6362">
        <w:t>)</w:t>
      </w:r>
      <w:r>
        <w:tab/>
      </w:r>
      <w:proofErr w:type="gramStart"/>
      <w:r w:rsidRPr="004F6362">
        <w:t>rheumatoid</w:t>
      </w:r>
      <w:proofErr w:type="gramEnd"/>
      <w:r w:rsidRPr="004F6362">
        <w:t xml:space="preserve"> arthritis; or</w:t>
      </w:r>
    </w:p>
    <w:p w:rsidR="007920E3" w:rsidRPr="004F6362" w:rsidRDefault="007920E3" w:rsidP="000A43DF">
      <w:pPr>
        <w:pStyle w:val="Tabletext"/>
        <w:pBdr>
          <w:top w:val="single" w:sz="4" w:space="1" w:color="auto"/>
          <w:left w:val="single" w:sz="4" w:space="4" w:color="auto"/>
          <w:bottom w:val="single" w:sz="4" w:space="1" w:color="auto"/>
          <w:right w:val="single" w:sz="4" w:space="4" w:color="auto"/>
        </w:pBdr>
      </w:pPr>
      <w:r w:rsidRPr="004F6362">
        <w:t>(j)</w:t>
      </w:r>
      <w:r>
        <w:tab/>
      </w:r>
      <w:proofErr w:type="gramStart"/>
      <w:r w:rsidRPr="004F6362">
        <w:t>conditions</w:t>
      </w:r>
      <w:proofErr w:type="gramEnd"/>
      <w:r w:rsidRPr="004F6362">
        <w:t xml:space="preserve"> associated with thyroxine excess.</w:t>
      </w:r>
    </w:p>
    <w:p w:rsidR="007920E3" w:rsidRPr="0052597D" w:rsidRDefault="007920E3" w:rsidP="0052597D">
      <w:bookmarkStart w:id="12" w:name="_Toc418671234"/>
    </w:p>
    <w:p w:rsidR="007920E3" w:rsidRPr="0052597D" w:rsidRDefault="007920E3" w:rsidP="0052597D">
      <w:pPr>
        <w:rPr>
          <w:u w:val="single"/>
        </w:rPr>
      </w:pPr>
      <w:r w:rsidRPr="0052597D">
        <w:rPr>
          <w:u w:val="single"/>
        </w:rPr>
        <w:t>Costs to the MBS for general practitioner visits</w:t>
      </w:r>
      <w:bookmarkEnd w:id="12"/>
    </w:p>
    <w:p w:rsidR="007920E3" w:rsidRDefault="007920E3" w:rsidP="000A43DF"/>
    <w:p w:rsidR="007920E3" w:rsidRDefault="007920E3" w:rsidP="000A43DF">
      <w:r>
        <w:t>The applicant’s financial estimates have been revised to include two standard GP visits (item 23), originally there was only one GP visit added.</w:t>
      </w:r>
    </w:p>
    <w:p w:rsidR="007920E3" w:rsidRPr="006B6F55" w:rsidRDefault="007920E3" w:rsidP="00057ACD"/>
    <w:p w:rsidR="007920E3" w:rsidRPr="0052597D" w:rsidRDefault="007920E3" w:rsidP="0052597D">
      <w:pPr>
        <w:rPr>
          <w:u w:val="single"/>
        </w:rPr>
      </w:pPr>
      <w:bookmarkStart w:id="13" w:name="_Toc418671235"/>
      <w:r w:rsidRPr="0052597D">
        <w:rPr>
          <w:u w:val="single"/>
        </w:rPr>
        <w:t>Co-payment for risedronate and safety net considerations</w:t>
      </w:r>
      <w:bookmarkEnd w:id="13"/>
    </w:p>
    <w:p w:rsidR="007920E3" w:rsidRDefault="007920E3" w:rsidP="000A43DF"/>
    <w:p w:rsidR="007920E3" w:rsidRDefault="007920E3" w:rsidP="000A43DF">
      <w:r>
        <w:t>Based on the prescriptions for aromatase inhibitors medications</w:t>
      </w:r>
      <w:r w:rsidRPr="00174D99">
        <w:t xml:space="preserve"> </w:t>
      </w:r>
      <w:r>
        <w:t xml:space="preserve">on the PBS for the previous 12 months, </w:t>
      </w:r>
      <w:proofErr w:type="spellStart"/>
      <w:r>
        <w:t>letrozole</w:t>
      </w:r>
      <w:proofErr w:type="spellEnd"/>
      <w:r>
        <w:t xml:space="preserve">, </w:t>
      </w:r>
      <w:proofErr w:type="spellStart"/>
      <w:r>
        <w:t>anastrazole</w:t>
      </w:r>
      <w:proofErr w:type="spellEnd"/>
      <w:r>
        <w:t xml:space="preserve"> and </w:t>
      </w:r>
      <w:proofErr w:type="spellStart"/>
      <w:r>
        <w:t>exemestane</w:t>
      </w:r>
      <w:proofErr w:type="spellEnd"/>
      <w:r>
        <w:t xml:space="preserve">, the total number of scripts were $486,604. </w:t>
      </w:r>
      <w:r>
        <w:lastRenderedPageBreak/>
        <w:t>The financial estimates were modified to account for the PBS and patient co-payment disbursements above.</w:t>
      </w:r>
    </w:p>
    <w:p w:rsidR="007920E3" w:rsidRPr="006B6F55" w:rsidRDefault="007920E3" w:rsidP="00293DC2"/>
    <w:p w:rsidR="007920E3" w:rsidRPr="0052597D" w:rsidRDefault="007920E3" w:rsidP="0052597D">
      <w:pPr>
        <w:rPr>
          <w:u w:val="single"/>
        </w:rPr>
      </w:pPr>
      <w:bookmarkStart w:id="14" w:name="_Toc418671236"/>
      <w:r w:rsidRPr="0052597D">
        <w:rPr>
          <w:u w:val="single"/>
        </w:rPr>
        <w:t>Adherence to risedronate</w:t>
      </w:r>
      <w:bookmarkEnd w:id="14"/>
    </w:p>
    <w:p w:rsidR="007920E3" w:rsidRDefault="007920E3" w:rsidP="000A43DF"/>
    <w:p w:rsidR="007920E3" w:rsidRDefault="007920E3" w:rsidP="000A43DF">
      <w:r>
        <w:t>The adherence rate of risedronate was revised down according to Modi 2015 reflecting osteoporotic medication in the general post-menopausal women population, 40.5% were adherent. This was assumed to be constant for five years.</w:t>
      </w:r>
    </w:p>
    <w:p w:rsidR="007920E3" w:rsidRPr="00F80078" w:rsidRDefault="007920E3" w:rsidP="00556165"/>
    <w:p w:rsidR="007920E3" w:rsidRPr="0052597D" w:rsidRDefault="007920E3" w:rsidP="0052597D">
      <w:pPr>
        <w:rPr>
          <w:u w:val="single"/>
        </w:rPr>
      </w:pPr>
      <w:bookmarkStart w:id="15" w:name="_Toc418671237"/>
      <w:r w:rsidRPr="0052597D">
        <w:rPr>
          <w:u w:val="single"/>
        </w:rPr>
        <w:t>Revised financial estimates</w:t>
      </w:r>
      <w:bookmarkEnd w:id="15"/>
    </w:p>
    <w:p w:rsidR="007920E3" w:rsidRDefault="007920E3" w:rsidP="000A43DF"/>
    <w:p w:rsidR="007920E3" w:rsidRDefault="007920E3" w:rsidP="000A43DF">
      <w:r>
        <w:t>The financial estimates were updated to include the revised estimates above. Also, the cost of fractures avoided used a weighted cost $14,855 based on updated fracture costs.</w:t>
      </w:r>
    </w:p>
    <w:p w:rsidR="007920E3" w:rsidRDefault="007920E3" w:rsidP="00556165"/>
    <w:p w:rsidR="007920E3" w:rsidRDefault="007920E3" w:rsidP="000A43DF">
      <w:r>
        <w:t>The PBS costs assume access to anti-</w:t>
      </w:r>
      <w:proofErr w:type="spellStart"/>
      <w:r>
        <w:t>resorptives</w:t>
      </w:r>
      <w:proofErr w:type="spellEnd"/>
      <w:r>
        <w:t xml:space="preserve"> by the target population. Currently this is not the case and an alternative approach is to view PBS costs as zero and view these as paid by consumers in full.</w:t>
      </w:r>
    </w:p>
    <w:p w:rsidR="007920E3" w:rsidRDefault="007920E3" w:rsidP="00556165"/>
    <w:p w:rsidR="007920E3" w:rsidRDefault="007920E3" w:rsidP="000A43DF">
      <w:r>
        <w:t>The results of the revised calculations are provided in Table 11.</w:t>
      </w:r>
    </w:p>
    <w:p w:rsidR="007920E3" w:rsidRDefault="007920E3" w:rsidP="000A43DF"/>
    <w:p w:rsidR="007920E3" w:rsidRPr="00C262EC" w:rsidRDefault="007920E3" w:rsidP="00134F2E">
      <w:pPr>
        <w:pStyle w:val="TableName"/>
        <w:ind w:left="720"/>
      </w:pPr>
      <w:r w:rsidRPr="00C262EC">
        <w:t xml:space="preserve">Table </w:t>
      </w:r>
      <w:r>
        <w:t>11</w:t>
      </w:r>
      <w:r w:rsidRPr="00C262EC">
        <w:t xml:space="preserve">: Results of the financial estimates over </w:t>
      </w:r>
      <w:r>
        <w:t xml:space="preserve">the </w:t>
      </w:r>
      <w:r w:rsidRPr="00C262EC">
        <w:t>next five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0"/>
        <w:gridCol w:w="1031"/>
        <w:gridCol w:w="1076"/>
        <w:gridCol w:w="1164"/>
        <w:gridCol w:w="1031"/>
        <w:gridCol w:w="1030"/>
      </w:tblGrid>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b/>
                <w:bCs/>
                <w:lang w:eastAsia="en-AU"/>
              </w:rPr>
            </w:pPr>
            <w:r w:rsidRPr="00FF7C35">
              <w:rPr>
                <w:b/>
                <w:bCs/>
                <w:lang w:eastAsia="en-AU"/>
              </w:rPr>
              <w:t>Eligible population</w:t>
            </w:r>
          </w:p>
        </w:tc>
        <w:tc>
          <w:tcPr>
            <w:tcW w:w="558" w:type="pct"/>
            <w:noWrap/>
            <w:vAlign w:val="bottom"/>
          </w:tcPr>
          <w:p w:rsidR="007920E3" w:rsidRPr="00FF7C35" w:rsidRDefault="007920E3" w:rsidP="00DF3C75">
            <w:pPr>
              <w:pStyle w:val="TableText0"/>
              <w:spacing w:before="0" w:after="0"/>
              <w:jc w:val="right"/>
              <w:rPr>
                <w:lang w:eastAsia="en-AU"/>
              </w:rPr>
            </w:pPr>
            <w:r w:rsidRPr="00FF7C35">
              <w:rPr>
                <w:b/>
                <w:bCs/>
                <w:lang w:eastAsia="en-AU"/>
              </w:rPr>
              <w:t>Year 1</w:t>
            </w:r>
          </w:p>
        </w:tc>
        <w:tc>
          <w:tcPr>
            <w:tcW w:w="582"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2</w:t>
            </w:r>
          </w:p>
        </w:tc>
        <w:tc>
          <w:tcPr>
            <w:tcW w:w="630"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3</w:t>
            </w:r>
          </w:p>
        </w:tc>
        <w:tc>
          <w:tcPr>
            <w:tcW w:w="558"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4</w:t>
            </w:r>
          </w:p>
        </w:tc>
        <w:tc>
          <w:tcPr>
            <w:tcW w:w="557"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5</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 xml:space="preserve">Incidence of women with </w:t>
            </w:r>
            <w:proofErr w:type="spellStart"/>
            <w:r w:rsidRPr="00FF7C35">
              <w:rPr>
                <w:lang w:eastAsia="en-AU"/>
              </w:rPr>
              <w:t>brca</w:t>
            </w:r>
            <w:proofErr w:type="spellEnd"/>
            <w:r w:rsidRPr="00FF7C35">
              <w:rPr>
                <w:lang w:eastAsia="en-AU"/>
              </w:rPr>
              <w:t xml:space="preserve"> aged 50-69</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8108</w:t>
            </w:r>
          </w:p>
        </w:tc>
        <w:tc>
          <w:tcPr>
            <w:tcW w:w="582" w:type="pct"/>
            <w:noWrap/>
            <w:vAlign w:val="bottom"/>
          </w:tcPr>
          <w:p w:rsidR="007920E3" w:rsidRPr="00FF7C35" w:rsidRDefault="007920E3" w:rsidP="00DF3C75">
            <w:pPr>
              <w:pStyle w:val="TableText0"/>
              <w:spacing w:before="0" w:after="0"/>
              <w:jc w:val="right"/>
              <w:rPr>
                <w:lang w:eastAsia="en-AU"/>
              </w:rPr>
            </w:pPr>
            <w:r w:rsidRPr="00FF7C35">
              <w:rPr>
                <w:lang w:eastAsia="en-AU"/>
              </w:rPr>
              <w:t>8293</w:t>
            </w:r>
          </w:p>
        </w:tc>
        <w:tc>
          <w:tcPr>
            <w:tcW w:w="630" w:type="pct"/>
            <w:noWrap/>
            <w:vAlign w:val="bottom"/>
          </w:tcPr>
          <w:p w:rsidR="007920E3" w:rsidRPr="00FF7C35" w:rsidRDefault="007920E3" w:rsidP="00DF3C75">
            <w:pPr>
              <w:pStyle w:val="TableText0"/>
              <w:spacing w:before="0" w:after="0"/>
              <w:jc w:val="right"/>
              <w:rPr>
                <w:lang w:eastAsia="en-AU"/>
              </w:rPr>
            </w:pPr>
            <w:r w:rsidRPr="00FF7C35">
              <w:rPr>
                <w:lang w:eastAsia="en-AU"/>
              </w:rPr>
              <w:t>8479</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8665</w:t>
            </w:r>
          </w:p>
        </w:tc>
        <w:tc>
          <w:tcPr>
            <w:tcW w:w="557" w:type="pct"/>
            <w:noWrap/>
            <w:vAlign w:val="bottom"/>
          </w:tcPr>
          <w:p w:rsidR="007920E3" w:rsidRPr="00FF7C35" w:rsidRDefault="007920E3" w:rsidP="00DF3C75">
            <w:pPr>
              <w:pStyle w:val="TableText0"/>
              <w:spacing w:before="0" w:after="0"/>
              <w:jc w:val="right"/>
              <w:rPr>
                <w:lang w:eastAsia="en-AU"/>
              </w:rPr>
            </w:pPr>
            <w:r w:rsidRPr="00FF7C35">
              <w:rPr>
                <w:lang w:eastAsia="en-AU"/>
              </w:rPr>
              <w:t>8851</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Proportion with early stage</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7297</w:t>
            </w:r>
          </w:p>
        </w:tc>
        <w:tc>
          <w:tcPr>
            <w:tcW w:w="582" w:type="pct"/>
            <w:noWrap/>
            <w:vAlign w:val="bottom"/>
          </w:tcPr>
          <w:p w:rsidR="007920E3" w:rsidRPr="00FF7C35" w:rsidRDefault="007920E3" w:rsidP="00DF3C75">
            <w:pPr>
              <w:pStyle w:val="TableText0"/>
              <w:spacing w:before="0" w:after="0"/>
              <w:jc w:val="right"/>
              <w:rPr>
                <w:lang w:eastAsia="en-AU"/>
              </w:rPr>
            </w:pPr>
            <w:r w:rsidRPr="00FF7C35">
              <w:rPr>
                <w:lang w:eastAsia="en-AU"/>
              </w:rPr>
              <w:t>7464</w:t>
            </w:r>
          </w:p>
        </w:tc>
        <w:tc>
          <w:tcPr>
            <w:tcW w:w="630" w:type="pct"/>
            <w:noWrap/>
            <w:vAlign w:val="bottom"/>
          </w:tcPr>
          <w:p w:rsidR="007920E3" w:rsidRPr="00FF7C35" w:rsidRDefault="007920E3" w:rsidP="00DF3C75">
            <w:pPr>
              <w:pStyle w:val="TableText0"/>
              <w:spacing w:before="0" w:after="0"/>
              <w:jc w:val="right"/>
              <w:rPr>
                <w:lang w:eastAsia="en-AU"/>
              </w:rPr>
            </w:pPr>
            <w:r w:rsidRPr="00FF7C35">
              <w:rPr>
                <w:lang w:eastAsia="en-AU"/>
              </w:rPr>
              <w:t>7631</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7798</w:t>
            </w:r>
          </w:p>
        </w:tc>
        <w:tc>
          <w:tcPr>
            <w:tcW w:w="557" w:type="pct"/>
            <w:noWrap/>
            <w:vAlign w:val="bottom"/>
          </w:tcPr>
          <w:p w:rsidR="007920E3" w:rsidRPr="00FF7C35" w:rsidRDefault="007920E3" w:rsidP="00DF3C75">
            <w:pPr>
              <w:pStyle w:val="TableText0"/>
              <w:spacing w:before="0" w:after="0"/>
              <w:jc w:val="right"/>
              <w:rPr>
                <w:lang w:eastAsia="en-AU"/>
              </w:rPr>
            </w:pPr>
            <w:r w:rsidRPr="00FF7C35">
              <w:rPr>
                <w:lang w:eastAsia="en-AU"/>
              </w:rPr>
              <w:t>7966</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Proportion taking aromatase inhibitors</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5911</w:t>
            </w:r>
          </w:p>
        </w:tc>
        <w:tc>
          <w:tcPr>
            <w:tcW w:w="582" w:type="pct"/>
            <w:noWrap/>
            <w:vAlign w:val="bottom"/>
          </w:tcPr>
          <w:p w:rsidR="007920E3" w:rsidRPr="00FF7C35" w:rsidRDefault="007920E3" w:rsidP="00DF3C75">
            <w:pPr>
              <w:pStyle w:val="TableText0"/>
              <w:spacing w:before="0" w:after="0"/>
              <w:jc w:val="right"/>
              <w:rPr>
                <w:lang w:eastAsia="en-AU"/>
              </w:rPr>
            </w:pPr>
            <w:r w:rsidRPr="00FF7C35">
              <w:rPr>
                <w:lang w:eastAsia="en-AU"/>
              </w:rPr>
              <w:t>6046</w:t>
            </w:r>
          </w:p>
        </w:tc>
        <w:tc>
          <w:tcPr>
            <w:tcW w:w="630" w:type="pct"/>
            <w:noWrap/>
            <w:vAlign w:val="bottom"/>
          </w:tcPr>
          <w:p w:rsidR="007920E3" w:rsidRPr="00FF7C35" w:rsidRDefault="007920E3" w:rsidP="00DF3C75">
            <w:pPr>
              <w:pStyle w:val="TableText0"/>
              <w:spacing w:before="0" w:after="0"/>
              <w:jc w:val="right"/>
              <w:rPr>
                <w:lang w:eastAsia="en-AU"/>
              </w:rPr>
            </w:pPr>
            <w:r w:rsidRPr="00FF7C35">
              <w:rPr>
                <w:lang w:eastAsia="en-AU"/>
              </w:rPr>
              <w:t>6181</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6317</w:t>
            </w:r>
          </w:p>
        </w:tc>
        <w:tc>
          <w:tcPr>
            <w:tcW w:w="557" w:type="pct"/>
            <w:noWrap/>
            <w:vAlign w:val="bottom"/>
          </w:tcPr>
          <w:p w:rsidR="007920E3" w:rsidRPr="00FF7C35" w:rsidRDefault="007920E3" w:rsidP="00DF3C75">
            <w:pPr>
              <w:pStyle w:val="TableText0"/>
              <w:spacing w:before="0" w:after="0"/>
              <w:jc w:val="right"/>
              <w:rPr>
                <w:lang w:eastAsia="en-AU"/>
              </w:rPr>
            </w:pPr>
            <w:r w:rsidRPr="00FF7C35">
              <w:rPr>
                <w:lang w:eastAsia="en-AU"/>
              </w:rPr>
              <w:t>6452</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Total number of women each year</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5911</w:t>
            </w:r>
          </w:p>
        </w:tc>
        <w:tc>
          <w:tcPr>
            <w:tcW w:w="582" w:type="pct"/>
            <w:noWrap/>
            <w:vAlign w:val="bottom"/>
          </w:tcPr>
          <w:p w:rsidR="007920E3" w:rsidRPr="00FF7C35" w:rsidRDefault="007920E3" w:rsidP="00DF3C75">
            <w:pPr>
              <w:pStyle w:val="TableText0"/>
              <w:spacing w:before="0" w:after="0"/>
              <w:jc w:val="right"/>
              <w:rPr>
                <w:lang w:eastAsia="en-AU"/>
              </w:rPr>
            </w:pPr>
            <w:r w:rsidRPr="00FF7C35">
              <w:rPr>
                <w:lang w:eastAsia="en-AU"/>
              </w:rPr>
              <w:t>11956</w:t>
            </w:r>
          </w:p>
        </w:tc>
        <w:tc>
          <w:tcPr>
            <w:tcW w:w="630" w:type="pct"/>
            <w:noWrap/>
            <w:vAlign w:val="bottom"/>
          </w:tcPr>
          <w:p w:rsidR="007920E3" w:rsidRPr="00FF7C35" w:rsidRDefault="007920E3" w:rsidP="00DF3C75">
            <w:pPr>
              <w:pStyle w:val="TableText0"/>
              <w:spacing w:before="0" w:after="0"/>
              <w:jc w:val="right"/>
              <w:rPr>
                <w:lang w:eastAsia="en-AU"/>
              </w:rPr>
            </w:pPr>
            <w:r w:rsidRPr="00FF7C35">
              <w:rPr>
                <w:lang w:eastAsia="en-AU"/>
              </w:rPr>
              <w:t>18138</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24454</w:t>
            </w:r>
          </w:p>
        </w:tc>
        <w:tc>
          <w:tcPr>
            <w:tcW w:w="557" w:type="pct"/>
            <w:noWrap/>
            <w:vAlign w:val="bottom"/>
          </w:tcPr>
          <w:p w:rsidR="007920E3" w:rsidRPr="00FF7C35" w:rsidRDefault="007920E3" w:rsidP="00DF3C75">
            <w:pPr>
              <w:pStyle w:val="TableText0"/>
              <w:spacing w:before="0" w:after="0"/>
              <w:jc w:val="right"/>
              <w:rPr>
                <w:lang w:eastAsia="en-AU"/>
              </w:rPr>
            </w:pPr>
            <w:r w:rsidRPr="00FF7C35">
              <w:rPr>
                <w:lang w:eastAsia="en-AU"/>
              </w:rPr>
              <w:t>30906</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b/>
                <w:bCs/>
                <w:lang w:eastAsia="en-AU"/>
              </w:rPr>
            </w:pPr>
            <w:r w:rsidRPr="00FF7C35">
              <w:rPr>
                <w:b/>
                <w:bCs/>
                <w:lang w:eastAsia="en-AU"/>
              </w:rPr>
              <w:t>Estimated uptake of DXA scans</w:t>
            </w:r>
          </w:p>
        </w:tc>
        <w:tc>
          <w:tcPr>
            <w:tcW w:w="558" w:type="pct"/>
            <w:noWrap/>
            <w:vAlign w:val="bottom"/>
          </w:tcPr>
          <w:p w:rsidR="007920E3" w:rsidRPr="00FF7C35" w:rsidRDefault="007920E3" w:rsidP="00DF3C75">
            <w:pPr>
              <w:pStyle w:val="TableText0"/>
              <w:spacing w:before="0" w:after="0"/>
              <w:jc w:val="right"/>
              <w:rPr>
                <w:lang w:eastAsia="en-AU"/>
              </w:rPr>
            </w:pPr>
            <w:r w:rsidRPr="00FF7C35">
              <w:rPr>
                <w:b/>
                <w:bCs/>
                <w:lang w:eastAsia="en-AU"/>
              </w:rPr>
              <w:t>Year 1</w:t>
            </w:r>
          </w:p>
        </w:tc>
        <w:tc>
          <w:tcPr>
            <w:tcW w:w="582"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2</w:t>
            </w:r>
          </w:p>
        </w:tc>
        <w:tc>
          <w:tcPr>
            <w:tcW w:w="630"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3</w:t>
            </w:r>
          </w:p>
        </w:tc>
        <w:tc>
          <w:tcPr>
            <w:tcW w:w="558"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4</w:t>
            </w:r>
          </w:p>
        </w:tc>
        <w:tc>
          <w:tcPr>
            <w:tcW w:w="557"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5</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 xml:space="preserve">Number of scans if at baseline, then at 24 and 48 </w:t>
            </w:r>
            <w:proofErr w:type="spellStart"/>
            <w:r w:rsidRPr="00FF7C35">
              <w:rPr>
                <w:lang w:eastAsia="en-AU"/>
              </w:rPr>
              <w:t>mths</w:t>
            </w:r>
            <w:proofErr w:type="spellEnd"/>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5911</w:t>
            </w:r>
          </w:p>
        </w:tc>
        <w:tc>
          <w:tcPr>
            <w:tcW w:w="582" w:type="pct"/>
            <w:noWrap/>
            <w:vAlign w:val="center"/>
          </w:tcPr>
          <w:p w:rsidR="007920E3" w:rsidRPr="00E2575D" w:rsidRDefault="007920E3" w:rsidP="00DF3C75">
            <w:pPr>
              <w:jc w:val="right"/>
              <w:rPr>
                <w:rFonts w:ascii="Arial Narrow" w:hAnsi="Arial Narrow"/>
                <w:color w:val="000000"/>
                <w:sz w:val="18"/>
                <w:szCs w:val="18"/>
              </w:rPr>
            </w:pPr>
            <w:r w:rsidRPr="00E2575D">
              <w:rPr>
                <w:rFonts w:ascii="Arial Narrow" w:hAnsi="Arial Narrow"/>
                <w:color w:val="000000"/>
                <w:sz w:val="18"/>
                <w:szCs w:val="18"/>
              </w:rPr>
              <w:t>6046</w:t>
            </w:r>
          </w:p>
        </w:tc>
        <w:tc>
          <w:tcPr>
            <w:tcW w:w="630" w:type="pct"/>
            <w:noWrap/>
            <w:vAlign w:val="center"/>
          </w:tcPr>
          <w:p w:rsidR="007920E3" w:rsidRPr="00E2575D" w:rsidRDefault="007920E3" w:rsidP="00DF3C75">
            <w:pPr>
              <w:jc w:val="right"/>
              <w:rPr>
                <w:rFonts w:ascii="Arial Narrow" w:hAnsi="Arial Narrow"/>
                <w:color w:val="000000"/>
                <w:sz w:val="18"/>
                <w:szCs w:val="18"/>
              </w:rPr>
            </w:pPr>
            <w:r w:rsidRPr="00E2575D">
              <w:rPr>
                <w:rFonts w:ascii="Arial Narrow" w:hAnsi="Arial Narrow"/>
                <w:color w:val="000000"/>
                <w:sz w:val="18"/>
                <w:szCs w:val="18"/>
              </w:rPr>
              <w:t>12092</w:t>
            </w:r>
          </w:p>
        </w:tc>
        <w:tc>
          <w:tcPr>
            <w:tcW w:w="558" w:type="pct"/>
            <w:noWrap/>
            <w:vAlign w:val="center"/>
          </w:tcPr>
          <w:p w:rsidR="007920E3" w:rsidRPr="00E2575D" w:rsidRDefault="007920E3" w:rsidP="00DF3C75">
            <w:pPr>
              <w:jc w:val="right"/>
              <w:rPr>
                <w:rFonts w:ascii="Arial Narrow" w:hAnsi="Arial Narrow"/>
                <w:color w:val="000000"/>
                <w:sz w:val="18"/>
                <w:szCs w:val="18"/>
              </w:rPr>
            </w:pPr>
            <w:r w:rsidRPr="00E2575D">
              <w:rPr>
                <w:rFonts w:ascii="Arial Narrow" w:hAnsi="Arial Narrow"/>
                <w:color w:val="000000"/>
                <w:sz w:val="18"/>
                <w:szCs w:val="18"/>
              </w:rPr>
              <w:t>12363</w:t>
            </w:r>
          </w:p>
        </w:tc>
        <w:tc>
          <w:tcPr>
            <w:tcW w:w="557" w:type="pct"/>
            <w:noWrap/>
            <w:vAlign w:val="center"/>
          </w:tcPr>
          <w:p w:rsidR="007920E3" w:rsidRPr="00E2575D" w:rsidRDefault="007920E3" w:rsidP="00DF3C75">
            <w:pPr>
              <w:jc w:val="right"/>
              <w:rPr>
                <w:rFonts w:ascii="Arial Narrow" w:hAnsi="Arial Narrow"/>
                <w:color w:val="000000"/>
                <w:sz w:val="18"/>
                <w:szCs w:val="18"/>
              </w:rPr>
            </w:pPr>
            <w:r w:rsidRPr="00E2575D">
              <w:rPr>
                <w:rFonts w:ascii="Arial Narrow" w:hAnsi="Arial Narrow"/>
                <w:color w:val="000000"/>
                <w:sz w:val="18"/>
                <w:szCs w:val="18"/>
              </w:rPr>
              <w:t>18544</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b/>
                <w:bCs/>
                <w:lang w:eastAsia="en-AU"/>
              </w:rPr>
            </w:pPr>
            <w:r w:rsidRPr="00FF7C35">
              <w:rPr>
                <w:b/>
                <w:bCs/>
                <w:lang w:eastAsia="en-AU"/>
              </w:rPr>
              <w:t>Estimated women taking anti-</w:t>
            </w:r>
            <w:proofErr w:type="spellStart"/>
            <w:r w:rsidRPr="00FF7C35">
              <w:rPr>
                <w:b/>
                <w:bCs/>
                <w:lang w:eastAsia="en-AU"/>
              </w:rPr>
              <w:t>resorptives</w:t>
            </w:r>
            <w:proofErr w:type="spellEnd"/>
          </w:p>
        </w:tc>
        <w:tc>
          <w:tcPr>
            <w:tcW w:w="558" w:type="pct"/>
            <w:noWrap/>
            <w:vAlign w:val="bottom"/>
          </w:tcPr>
          <w:p w:rsidR="007920E3" w:rsidRPr="00FF7C35" w:rsidRDefault="007920E3" w:rsidP="00DF3C75">
            <w:pPr>
              <w:pStyle w:val="TableText0"/>
              <w:spacing w:before="0" w:after="0"/>
              <w:jc w:val="right"/>
              <w:rPr>
                <w:lang w:eastAsia="en-AU"/>
              </w:rPr>
            </w:pPr>
            <w:r w:rsidRPr="00FF7C35">
              <w:rPr>
                <w:b/>
                <w:bCs/>
                <w:lang w:eastAsia="en-AU"/>
              </w:rPr>
              <w:t>Year 1</w:t>
            </w:r>
          </w:p>
        </w:tc>
        <w:tc>
          <w:tcPr>
            <w:tcW w:w="582"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2</w:t>
            </w:r>
          </w:p>
        </w:tc>
        <w:tc>
          <w:tcPr>
            <w:tcW w:w="630"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3</w:t>
            </w:r>
          </w:p>
        </w:tc>
        <w:tc>
          <w:tcPr>
            <w:tcW w:w="558"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4</w:t>
            </w:r>
          </w:p>
        </w:tc>
        <w:tc>
          <w:tcPr>
            <w:tcW w:w="557"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5</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Proportion of women with osteoporosis</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866</w:t>
            </w:r>
          </w:p>
        </w:tc>
        <w:tc>
          <w:tcPr>
            <w:tcW w:w="582" w:type="pct"/>
            <w:noWrap/>
            <w:vAlign w:val="bottom"/>
          </w:tcPr>
          <w:p w:rsidR="007920E3" w:rsidRPr="00FF7C35" w:rsidRDefault="007920E3" w:rsidP="00DF3C75">
            <w:pPr>
              <w:pStyle w:val="TableText0"/>
              <w:spacing w:before="0" w:after="0"/>
              <w:jc w:val="right"/>
              <w:rPr>
                <w:lang w:eastAsia="en-AU"/>
              </w:rPr>
            </w:pPr>
            <w:r w:rsidRPr="00FF7C35">
              <w:rPr>
                <w:lang w:eastAsia="en-AU"/>
              </w:rPr>
              <w:t>1752</w:t>
            </w:r>
          </w:p>
        </w:tc>
        <w:tc>
          <w:tcPr>
            <w:tcW w:w="630" w:type="pct"/>
            <w:noWrap/>
            <w:vAlign w:val="bottom"/>
          </w:tcPr>
          <w:p w:rsidR="007920E3" w:rsidRPr="00FF7C35" w:rsidRDefault="007920E3" w:rsidP="00DF3C75">
            <w:pPr>
              <w:pStyle w:val="TableText0"/>
              <w:spacing w:before="0" w:after="0"/>
              <w:jc w:val="right"/>
              <w:rPr>
                <w:lang w:eastAsia="en-AU"/>
              </w:rPr>
            </w:pPr>
            <w:r w:rsidRPr="00FF7C35">
              <w:rPr>
                <w:lang w:eastAsia="en-AU"/>
              </w:rPr>
              <w:t>2657</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3583</w:t>
            </w:r>
          </w:p>
        </w:tc>
        <w:tc>
          <w:tcPr>
            <w:tcW w:w="557" w:type="pct"/>
            <w:noWrap/>
            <w:vAlign w:val="bottom"/>
          </w:tcPr>
          <w:p w:rsidR="007920E3" w:rsidRPr="00FF7C35" w:rsidRDefault="007920E3" w:rsidP="00DF3C75">
            <w:pPr>
              <w:pStyle w:val="TableText0"/>
              <w:spacing w:before="0" w:after="0"/>
              <w:jc w:val="right"/>
              <w:rPr>
                <w:lang w:eastAsia="en-AU"/>
              </w:rPr>
            </w:pPr>
            <w:r w:rsidRPr="00FF7C35">
              <w:rPr>
                <w:lang w:eastAsia="en-AU"/>
              </w:rPr>
              <w:t>4528</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Total women treated</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866</w:t>
            </w:r>
          </w:p>
        </w:tc>
        <w:tc>
          <w:tcPr>
            <w:tcW w:w="582" w:type="pct"/>
            <w:noWrap/>
            <w:vAlign w:val="bottom"/>
          </w:tcPr>
          <w:p w:rsidR="007920E3" w:rsidRPr="00FF7C35" w:rsidRDefault="007920E3" w:rsidP="00DF3C75">
            <w:pPr>
              <w:pStyle w:val="TableText0"/>
              <w:spacing w:before="0" w:after="0"/>
              <w:jc w:val="right"/>
              <w:rPr>
                <w:lang w:eastAsia="en-AU"/>
              </w:rPr>
            </w:pPr>
            <w:r w:rsidRPr="00FF7C35">
              <w:rPr>
                <w:lang w:eastAsia="en-AU"/>
              </w:rPr>
              <w:t>1752</w:t>
            </w:r>
          </w:p>
        </w:tc>
        <w:tc>
          <w:tcPr>
            <w:tcW w:w="630" w:type="pct"/>
            <w:noWrap/>
            <w:vAlign w:val="bottom"/>
          </w:tcPr>
          <w:p w:rsidR="007920E3" w:rsidRPr="00FF7C35" w:rsidRDefault="007920E3" w:rsidP="00DF3C75">
            <w:pPr>
              <w:pStyle w:val="TableText0"/>
              <w:spacing w:before="0" w:after="0"/>
              <w:jc w:val="right"/>
              <w:rPr>
                <w:lang w:eastAsia="en-AU"/>
              </w:rPr>
            </w:pPr>
            <w:r w:rsidRPr="00FF7C35">
              <w:rPr>
                <w:lang w:eastAsia="en-AU"/>
              </w:rPr>
              <w:t>2657</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3583</w:t>
            </w:r>
          </w:p>
        </w:tc>
        <w:tc>
          <w:tcPr>
            <w:tcW w:w="557" w:type="pct"/>
            <w:noWrap/>
            <w:vAlign w:val="bottom"/>
          </w:tcPr>
          <w:p w:rsidR="007920E3" w:rsidRPr="00FF7C35" w:rsidRDefault="007920E3" w:rsidP="00DF3C75">
            <w:pPr>
              <w:pStyle w:val="TableText0"/>
              <w:spacing w:before="0" w:after="0"/>
              <w:jc w:val="right"/>
              <w:rPr>
                <w:lang w:eastAsia="en-AU"/>
              </w:rPr>
            </w:pPr>
            <w:r w:rsidRPr="00FF7C35">
              <w:rPr>
                <w:lang w:eastAsia="en-AU"/>
              </w:rPr>
              <w:t>4528</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b/>
                <w:bCs/>
                <w:lang w:eastAsia="en-AU"/>
              </w:rPr>
            </w:pPr>
            <w:r w:rsidRPr="00FF7C35">
              <w:rPr>
                <w:b/>
                <w:bCs/>
                <w:lang w:eastAsia="en-AU"/>
              </w:rPr>
              <w:t xml:space="preserve">MBS Costs </w:t>
            </w:r>
          </w:p>
        </w:tc>
        <w:tc>
          <w:tcPr>
            <w:tcW w:w="558" w:type="pct"/>
            <w:noWrap/>
            <w:vAlign w:val="bottom"/>
          </w:tcPr>
          <w:p w:rsidR="007920E3" w:rsidRPr="00FF7C35" w:rsidRDefault="007920E3" w:rsidP="00DF3C75">
            <w:pPr>
              <w:pStyle w:val="TableText0"/>
              <w:spacing w:before="0" w:after="0"/>
              <w:jc w:val="right"/>
              <w:rPr>
                <w:lang w:eastAsia="en-AU"/>
              </w:rPr>
            </w:pPr>
            <w:r w:rsidRPr="00FF7C35">
              <w:rPr>
                <w:b/>
                <w:bCs/>
                <w:lang w:eastAsia="en-AU"/>
              </w:rPr>
              <w:t>Year 1</w:t>
            </w:r>
          </w:p>
        </w:tc>
        <w:tc>
          <w:tcPr>
            <w:tcW w:w="582"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2</w:t>
            </w:r>
          </w:p>
        </w:tc>
        <w:tc>
          <w:tcPr>
            <w:tcW w:w="630"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3</w:t>
            </w:r>
          </w:p>
        </w:tc>
        <w:tc>
          <w:tcPr>
            <w:tcW w:w="558"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4</w:t>
            </w:r>
          </w:p>
        </w:tc>
        <w:tc>
          <w:tcPr>
            <w:tcW w:w="557"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5</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 xml:space="preserve">DXA scans </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 xml:space="preserve">$514,510 </w:t>
            </w:r>
          </w:p>
        </w:tc>
        <w:tc>
          <w:tcPr>
            <w:tcW w:w="582" w:type="pct"/>
            <w:noWrap/>
            <w:vAlign w:val="bottom"/>
          </w:tcPr>
          <w:p w:rsidR="007920E3" w:rsidRPr="00FF7C35" w:rsidRDefault="007920E3" w:rsidP="00DF3C75">
            <w:pPr>
              <w:pStyle w:val="TableText0"/>
              <w:spacing w:before="0" w:after="0"/>
              <w:jc w:val="right"/>
              <w:rPr>
                <w:lang w:eastAsia="en-AU"/>
              </w:rPr>
            </w:pPr>
            <w:r w:rsidRPr="00FF7C35">
              <w:rPr>
                <w:lang w:eastAsia="en-AU"/>
              </w:rPr>
              <w:t xml:space="preserve"> $1,040,770 </w:t>
            </w:r>
          </w:p>
        </w:tc>
        <w:tc>
          <w:tcPr>
            <w:tcW w:w="630" w:type="pct"/>
            <w:noWrap/>
            <w:vAlign w:val="bottom"/>
          </w:tcPr>
          <w:p w:rsidR="007920E3" w:rsidRPr="00FF7C35" w:rsidRDefault="007920E3" w:rsidP="00DF3C75">
            <w:pPr>
              <w:pStyle w:val="TableText0"/>
              <w:spacing w:before="0" w:after="0"/>
              <w:jc w:val="right"/>
              <w:rPr>
                <w:lang w:eastAsia="en-AU"/>
              </w:rPr>
            </w:pPr>
            <w:r w:rsidRPr="00FF7C35">
              <w:rPr>
                <w:lang w:eastAsia="en-AU"/>
              </w:rPr>
              <w:t xml:space="preserve">$1,578,913 </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 xml:space="preserve">$2,128,721 </w:t>
            </w:r>
          </w:p>
        </w:tc>
        <w:tc>
          <w:tcPr>
            <w:tcW w:w="557" w:type="pct"/>
            <w:noWrap/>
            <w:vAlign w:val="bottom"/>
          </w:tcPr>
          <w:p w:rsidR="007920E3" w:rsidRPr="00FF7C35" w:rsidRDefault="007920E3" w:rsidP="00DF3C75">
            <w:pPr>
              <w:pStyle w:val="TableText0"/>
              <w:spacing w:before="0" w:after="0"/>
              <w:jc w:val="right"/>
              <w:rPr>
                <w:lang w:eastAsia="en-AU"/>
              </w:rPr>
            </w:pPr>
            <w:r w:rsidRPr="00FF7C35">
              <w:rPr>
                <w:lang w:eastAsia="en-AU"/>
              </w:rPr>
              <w:t xml:space="preserve">$2,690,367 </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 xml:space="preserve">Vitamin D tests </w:t>
            </w:r>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$150,969 </w:t>
            </w:r>
          </w:p>
        </w:tc>
        <w:tc>
          <w:tcPr>
            <w:tcW w:w="582"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$154,427 </w:t>
            </w:r>
          </w:p>
        </w:tc>
        <w:tc>
          <w:tcPr>
            <w:tcW w:w="630"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$157,886 </w:t>
            </w:r>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$161,344 </w:t>
            </w:r>
          </w:p>
        </w:tc>
        <w:tc>
          <w:tcPr>
            <w:tcW w:w="557"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$164,802 </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 xml:space="preserve">GP visits </w:t>
            </w:r>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$429,103 </w:t>
            </w:r>
          </w:p>
        </w:tc>
        <w:tc>
          <w:tcPr>
            <w:tcW w:w="582"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$868,036 </w:t>
            </w:r>
          </w:p>
        </w:tc>
        <w:tc>
          <w:tcPr>
            <w:tcW w:w="630"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$1,316,798 </w:t>
            </w:r>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$1,775,389 </w:t>
            </w:r>
          </w:p>
        </w:tc>
        <w:tc>
          <w:tcPr>
            <w:tcW w:w="557"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$2,243,810 </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b/>
                <w:bCs/>
                <w:lang w:eastAsia="en-AU"/>
              </w:rPr>
            </w:pPr>
            <w:r w:rsidRPr="00FF7C35">
              <w:rPr>
                <w:b/>
                <w:bCs/>
                <w:lang w:eastAsia="en-AU"/>
              </w:rPr>
              <w:t>PBS Costs of anti-</w:t>
            </w:r>
            <w:proofErr w:type="spellStart"/>
            <w:r w:rsidRPr="00FF7C35">
              <w:rPr>
                <w:b/>
                <w:bCs/>
                <w:lang w:eastAsia="en-AU"/>
              </w:rPr>
              <w:t>resorptives</w:t>
            </w:r>
            <w:proofErr w:type="spellEnd"/>
            <w:r w:rsidRPr="00FF7C35">
              <w:rPr>
                <w:b/>
                <w:bCs/>
                <w:lang w:eastAsia="en-AU"/>
              </w:rPr>
              <w:t xml:space="preserve"> (</w:t>
            </w:r>
            <w:proofErr w:type="spellStart"/>
            <w:r w:rsidRPr="00FF7C35">
              <w:rPr>
                <w:b/>
                <w:bCs/>
                <w:lang w:eastAsia="en-AU"/>
              </w:rPr>
              <w:t>risedronate</w:t>
            </w:r>
            <w:proofErr w:type="spellEnd"/>
            <w:r w:rsidRPr="00FF7C35">
              <w:rPr>
                <w:b/>
                <w:bCs/>
                <w:lang w:eastAsia="en-AU"/>
              </w:rPr>
              <w:t xml:space="preserve"> 8749Y)</w:t>
            </w:r>
          </w:p>
        </w:tc>
        <w:tc>
          <w:tcPr>
            <w:tcW w:w="558" w:type="pct"/>
            <w:noWrap/>
            <w:vAlign w:val="bottom"/>
          </w:tcPr>
          <w:p w:rsidR="007920E3" w:rsidRPr="00FF7C35" w:rsidRDefault="007920E3" w:rsidP="00DF3C75">
            <w:pPr>
              <w:pStyle w:val="TableText0"/>
              <w:spacing w:before="0" w:after="0"/>
              <w:jc w:val="right"/>
              <w:rPr>
                <w:lang w:eastAsia="en-AU"/>
              </w:rPr>
            </w:pPr>
            <w:r w:rsidRPr="00FF7C35">
              <w:rPr>
                <w:b/>
                <w:bCs/>
                <w:lang w:eastAsia="en-AU"/>
              </w:rPr>
              <w:t>Year 1</w:t>
            </w:r>
          </w:p>
        </w:tc>
        <w:tc>
          <w:tcPr>
            <w:tcW w:w="582"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2</w:t>
            </w:r>
          </w:p>
        </w:tc>
        <w:tc>
          <w:tcPr>
            <w:tcW w:w="630"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3</w:t>
            </w:r>
          </w:p>
        </w:tc>
        <w:tc>
          <w:tcPr>
            <w:tcW w:w="558"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4</w:t>
            </w:r>
          </w:p>
        </w:tc>
        <w:tc>
          <w:tcPr>
            <w:tcW w:w="557"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5</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 xml:space="preserve">   General ordinary patients 36%</w:t>
            </w:r>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$29,551 </w:t>
            </w:r>
          </w:p>
        </w:tc>
        <w:tc>
          <w:tcPr>
            <w:tcW w:w="582"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$59,779 </w:t>
            </w:r>
          </w:p>
        </w:tc>
        <w:tc>
          <w:tcPr>
            <w:tcW w:w="630"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$90,684 </w:t>
            </w:r>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$122,266 </w:t>
            </w:r>
          </w:p>
        </w:tc>
        <w:tc>
          <w:tcPr>
            <w:tcW w:w="557"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$154,525 </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 xml:space="preserve">   General safety net patients 2%</w:t>
            </w:r>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$8,209 </w:t>
            </w:r>
          </w:p>
        </w:tc>
        <w:tc>
          <w:tcPr>
            <w:tcW w:w="582"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$16,605 </w:t>
            </w:r>
          </w:p>
        </w:tc>
        <w:tc>
          <w:tcPr>
            <w:tcW w:w="630"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$25,190 </w:t>
            </w:r>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$33,963 </w:t>
            </w:r>
          </w:p>
        </w:tc>
        <w:tc>
          <w:tcPr>
            <w:tcW w:w="557"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$42,924 </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 xml:space="preserve">   Concessional ordinary 50%</w:t>
            </w:r>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$205,216 </w:t>
            </w:r>
          </w:p>
        </w:tc>
        <w:tc>
          <w:tcPr>
            <w:tcW w:w="582"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$415,133 </w:t>
            </w:r>
          </w:p>
        </w:tc>
        <w:tc>
          <w:tcPr>
            <w:tcW w:w="630"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$629,750 </w:t>
            </w:r>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$849,069 </w:t>
            </w:r>
          </w:p>
        </w:tc>
        <w:tc>
          <w:tcPr>
            <w:tcW w:w="557"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$1,073,088 </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 xml:space="preserve">   Concessional free safety net 12%</w:t>
            </w:r>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$56,858 </w:t>
            </w:r>
          </w:p>
        </w:tc>
        <w:tc>
          <w:tcPr>
            <w:tcW w:w="582"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$115,018 </w:t>
            </w:r>
          </w:p>
        </w:tc>
        <w:tc>
          <w:tcPr>
            <w:tcW w:w="630"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$174,481 </w:t>
            </w:r>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$235,246 </w:t>
            </w:r>
          </w:p>
        </w:tc>
        <w:tc>
          <w:tcPr>
            <w:tcW w:w="557"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$297,313 </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Compliance rate of anti-resorptive</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40.5%</w:t>
            </w:r>
          </w:p>
        </w:tc>
        <w:tc>
          <w:tcPr>
            <w:tcW w:w="582" w:type="pct"/>
            <w:noWrap/>
            <w:vAlign w:val="bottom"/>
          </w:tcPr>
          <w:p w:rsidR="007920E3" w:rsidRPr="00FF7C35" w:rsidRDefault="007920E3" w:rsidP="00DF3C75">
            <w:pPr>
              <w:pStyle w:val="TableText0"/>
              <w:spacing w:before="0" w:after="0"/>
              <w:jc w:val="right"/>
              <w:rPr>
                <w:lang w:eastAsia="en-AU"/>
              </w:rPr>
            </w:pPr>
            <w:r w:rsidRPr="00FF7C35">
              <w:rPr>
                <w:lang w:eastAsia="en-AU"/>
              </w:rPr>
              <w:t>40.5%</w:t>
            </w:r>
          </w:p>
        </w:tc>
        <w:tc>
          <w:tcPr>
            <w:tcW w:w="630" w:type="pct"/>
            <w:noWrap/>
            <w:vAlign w:val="bottom"/>
          </w:tcPr>
          <w:p w:rsidR="007920E3" w:rsidRPr="00FF7C35" w:rsidRDefault="007920E3" w:rsidP="00DF3C75">
            <w:pPr>
              <w:pStyle w:val="TableText0"/>
              <w:spacing w:before="0" w:after="0"/>
              <w:jc w:val="right"/>
              <w:rPr>
                <w:lang w:eastAsia="en-AU"/>
              </w:rPr>
            </w:pPr>
            <w:r w:rsidRPr="00FF7C35">
              <w:rPr>
                <w:lang w:eastAsia="en-AU"/>
              </w:rPr>
              <w:t>40.5%</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40.5%</w:t>
            </w:r>
          </w:p>
        </w:tc>
        <w:tc>
          <w:tcPr>
            <w:tcW w:w="557" w:type="pct"/>
            <w:noWrap/>
            <w:vAlign w:val="bottom"/>
          </w:tcPr>
          <w:p w:rsidR="007920E3" w:rsidRPr="00FF7C35" w:rsidRDefault="007920E3" w:rsidP="00DF3C75">
            <w:pPr>
              <w:pStyle w:val="TableText0"/>
              <w:spacing w:before="0" w:after="0"/>
              <w:jc w:val="right"/>
              <w:rPr>
                <w:lang w:eastAsia="en-AU"/>
              </w:rPr>
            </w:pPr>
            <w:r w:rsidRPr="00FF7C35">
              <w:rPr>
                <w:lang w:eastAsia="en-AU"/>
              </w:rPr>
              <w:t>40.5%</w:t>
            </w:r>
          </w:p>
        </w:tc>
      </w:tr>
      <w:tr w:rsidR="007920E3" w:rsidRPr="00F14E3D" w:rsidTr="00DF3C75">
        <w:trPr>
          <w:trHeight w:val="20"/>
          <w:tblHeader/>
        </w:trPr>
        <w:tc>
          <w:tcPr>
            <w:tcW w:w="2115" w:type="pct"/>
            <w:noWrap/>
            <w:vAlign w:val="bottom"/>
          </w:tcPr>
          <w:p w:rsidR="007920E3" w:rsidRPr="00FF7C35" w:rsidRDefault="007920E3" w:rsidP="00DF3C75">
            <w:pPr>
              <w:pStyle w:val="TableText0"/>
              <w:spacing w:before="0" w:after="0"/>
              <w:rPr>
                <w:szCs w:val="18"/>
                <w:lang w:eastAsia="en-AU"/>
              </w:rPr>
            </w:pPr>
            <w:r w:rsidRPr="00FF7C35">
              <w:rPr>
                <w:szCs w:val="18"/>
                <w:lang w:eastAsia="en-AU"/>
              </w:rPr>
              <w:t>Total cost of anti-</w:t>
            </w:r>
            <w:proofErr w:type="spellStart"/>
            <w:r w:rsidRPr="00FF7C35">
              <w:rPr>
                <w:szCs w:val="18"/>
                <w:lang w:eastAsia="en-AU"/>
              </w:rPr>
              <w:t>resorptives</w:t>
            </w:r>
            <w:proofErr w:type="spellEnd"/>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$121,433 </w:t>
            </w:r>
          </w:p>
        </w:tc>
        <w:tc>
          <w:tcPr>
            <w:tcW w:w="582"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$245,647 </w:t>
            </w:r>
          </w:p>
        </w:tc>
        <w:tc>
          <w:tcPr>
            <w:tcW w:w="630"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$372,643 </w:t>
            </w:r>
          </w:p>
        </w:tc>
        <w:tc>
          <w:tcPr>
            <w:tcW w:w="558"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$502,420 </w:t>
            </w:r>
          </w:p>
        </w:tc>
        <w:tc>
          <w:tcPr>
            <w:tcW w:w="557" w:type="pct"/>
            <w:noWrap/>
            <w:vAlign w:val="bottom"/>
          </w:tcPr>
          <w:p w:rsidR="007920E3" w:rsidRPr="00F14E3D" w:rsidRDefault="007920E3" w:rsidP="00DF3C75">
            <w:pPr>
              <w:jc w:val="right"/>
              <w:rPr>
                <w:rFonts w:ascii="Arial Narrow" w:hAnsi="Arial Narrow"/>
                <w:color w:val="000000"/>
                <w:sz w:val="18"/>
                <w:szCs w:val="18"/>
              </w:rPr>
            </w:pPr>
            <w:r w:rsidRPr="00F14E3D">
              <w:rPr>
                <w:rFonts w:ascii="Arial Narrow" w:hAnsi="Arial Narrow"/>
                <w:color w:val="000000"/>
                <w:sz w:val="18"/>
                <w:szCs w:val="18"/>
              </w:rPr>
              <w:t xml:space="preserve"> $634,979 </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b/>
                <w:bCs/>
                <w:lang w:eastAsia="en-AU"/>
              </w:rPr>
            </w:pPr>
            <w:r w:rsidRPr="00FF7C35">
              <w:rPr>
                <w:b/>
                <w:bCs/>
                <w:lang w:eastAsia="en-AU"/>
              </w:rPr>
              <w:t>Hospital cost savings from fracture prevention</w:t>
            </w:r>
          </w:p>
        </w:tc>
        <w:tc>
          <w:tcPr>
            <w:tcW w:w="558" w:type="pct"/>
            <w:noWrap/>
            <w:vAlign w:val="bottom"/>
          </w:tcPr>
          <w:p w:rsidR="007920E3" w:rsidRPr="00FF7C35" w:rsidRDefault="007920E3" w:rsidP="00DF3C75">
            <w:pPr>
              <w:pStyle w:val="TableText0"/>
              <w:spacing w:before="0" w:after="0"/>
              <w:jc w:val="right"/>
              <w:rPr>
                <w:lang w:eastAsia="en-AU"/>
              </w:rPr>
            </w:pPr>
            <w:r w:rsidRPr="00FF7C35">
              <w:rPr>
                <w:b/>
                <w:bCs/>
                <w:lang w:eastAsia="en-AU"/>
              </w:rPr>
              <w:t>Year 1</w:t>
            </w:r>
          </w:p>
        </w:tc>
        <w:tc>
          <w:tcPr>
            <w:tcW w:w="582"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2</w:t>
            </w:r>
          </w:p>
        </w:tc>
        <w:tc>
          <w:tcPr>
            <w:tcW w:w="630"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3</w:t>
            </w:r>
          </w:p>
        </w:tc>
        <w:tc>
          <w:tcPr>
            <w:tcW w:w="558"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4</w:t>
            </w:r>
          </w:p>
        </w:tc>
        <w:tc>
          <w:tcPr>
            <w:tcW w:w="557" w:type="pct"/>
            <w:noWrap/>
            <w:vAlign w:val="center"/>
          </w:tcPr>
          <w:p w:rsidR="007920E3" w:rsidRPr="00FF7C35" w:rsidRDefault="007920E3" w:rsidP="00DF3C75">
            <w:pPr>
              <w:pStyle w:val="TableText0"/>
              <w:spacing w:before="0" w:after="0"/>
              <w:jc w:val="right"/>
              <w:rPr>
                <w:b/>
                <w:bCs/>
                <w:lang w:eastAsia="en-AU"/>
              </w:rPr>
            </w:pPr>
            <w:r w:rsidRPr="00FF7C35">
              <w:rPr>
                <w:b/>
                <w:bCs/>
                <w:lang w:eastAsia="en-AU"/>
              </w:rPr>
              <w:t>Year 5</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Expected incidence of fractures (all women on AI)</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85</w:t>
            </w:r>
          </w:p>
        </w:tc>
        <w:tc>
          <w:tcPr>
            <w:tcW w:w="582" w:type="pct"/>
            <w:noWrap/>
            <w:vAlign w:val="bottom"/>
          </w:tcPr>
          <w:p w:rsidR="007920E3" w:rsidRPr="00FF7C35" w:rsidRDefault="007920E3" w:rsidP="00DF3C75">
            <w:pPr>
              <w:pStyle w:val="TableText0"/>
              <w:spacing w:before="0" w:after="0"/>
              <w:jc w:val="right"/>
              <w:rPr>
                <w:lang w:eastAsia="en-AU"/>
              </w:rPr>
            </w:pPr>
            <w:r w:rsidRPr="00FF7C35">
              <w:rPr>
                <w:lang w:eastAsia="en-AU"/>
              </w:rPr>
              <w:t>172</w:t>
            </w:r>
          </w:p>
        </w:tc>
        <w:tc>
          <w:tcPr>
            <w:tcW w:w="630" w:type="pct"/>
            <w:noWrap/>
            <w:vAlign w:val="bottom"/>
          </w:tcPr>
          <w:p w:rsidR="007920E3" w:rsidRPr="00FF7C35" w:rsidRDefault="007920E3" w:rsidP="00DF3C75">
            <w:pPr>
              <w:pStyle w:val="TableText0"/>
              <w:spacing w:before="0" w:after="0"/>
              <w:jc w:val="right"/>
              <w:rPr>
                <w:lang w:eastAsia="en-AU"/>
              </w:rPr>
            </w:pPr>
            <w:r w:rsidRPr="00FF7C35">
              <w:rPr>
                <w:lang w:eastAsia="en-AU"/>
              </w:rPr>
              <w:t>261</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352</w:t>
            </w:r>
          </w:p>
        </w:tc>
        <w:tc>
          <w:tcPr>
            <w:tcW w:w="557" w:type="pct"/>
            <w:noWrap/>
            <w:vAlign w:val="bottom"/>
          </w:tcPr>
          <w:p w:rsidR="007920E3" w:rsidRPr="00FF7C35" w:rsidRDefault="007920E3" w:rsidP="00DF3C75">
            <w:pPr>
              <w:pStyle w:val="TableText0"/>
              <w:spacing w:before="0" w:after="0"/>
              <w:jc w:val="right"/>
              <w:rPr>
                <w:lang w:eastAsia="en-AU"/>
              </w:rPr>
            </w:pPr>
            <w:r w:rsidRPr="00FF7C35">
              <w:rPr>
                <w:lang w:eastAsia="en-AU"/>
              </w:rPr>
              <w:t>445</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Number of women untreated (no osteoporosis)</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5045</w:t>
            </w:r>
          </w:p>
        </w:tc>
        <w:tc>
          <w:tcPr>
            <w:tcW w:w="582" w:type="pct"/>
            <w:noWrap/>
            <w:vAlign w:val="bottom"/>
          </w:tcPr>
          <w:p w:rsidR="007920E3" w:rsidRPr="00FF7C35" w:rsidRDefault="007920E3" w:rsidP="00DF3C75">
            <w:pPr>
              <w:pStyle w:val="TableText0"/>
              <w:spacing w:before="0" w:after="0"/>
              <w:jc w:val="right"/>
              <w:rPr>
                <w:lang w:eastAsia="en-AU"/>
              </w:rPr>
            </w:pPr>
            <w:r w:rsidRPr="00FF7C35">
              <w:rPr>
                <w:lang w:eastAsia="en-AU"/>
              </w:rPr>
              <w:t>10205</w:t>
            </w:r>
          </w:p>
        </w:tc>
        <w:tc>
          <w:tcPr>
            <w:tcW w:w="630" w:type="pct"/>
            <w:noWrap/>
            <w:vAlign w:val="bottom"/>
          </w:tcPr>
          <w:p w:rsidR="007920E3" w:rsidRPr="00FF7C35" w:rsidRDefault="007920E3" w:rsidP="00DF3C75">
            <w:pPr>
              <w:pStyle w:val="TableText0"/>
              <w:spacing w:before="0" w:after="0"/>
              <w:jc w:val="right"/>
              <w:rPr>
                <w:lang w:eastAsia="en-AU"/>
              </w:rPr>
            </w:pPr>
            <w:r w:rsidRPr="00FF7C35">
              <w:rPr>
                <w:lang w:eastAsia="en-AU"/>
              </w:rPr>
              <w:t>15481</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20872</w:t>
            </w:r>
          </w:p>
        </w:tc>
        <w:tc>
          <w:tcPr>
            <w:tcW w:w="557" w:type="pct"/>
            <w:noWrap/>
            <w:vAlign w:val="bottom"/>
          </w:tcPr>
          <w:p w:rsidR="007920E3" w:rsidRPr="00FF7C35" w:rsidRDefault="007920E3" w:rsidP="00DF3C75">
            <w:pPr>
              <w:pStyle w:val="TableText0"/>
              <w:spacing w:before="0" w:after="0"/>
              <w:jc w:val="right"/>
              <w:rPr>
                <w:lang w:eastAsia="en-AU"/>
              </w:rPr>
            </w:pPr>
            <w:r w:rsidRPr="00FF7C35">
              <w:rPr>
                <w:lang w:eastAsia="en-AU"/>
              </w:rPr>
              <w:t>26379</w:t>
            </w:r>
          </w:p>
        </w:tc>
      </w:tr>
      <w:tr w:rsidR="007920E3" w:rsidRPr="00277121"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Number of fractures in untreated women</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73</w:t>
            </w:r>
          </w:p>
        </w:tc>
        <w:tc>
          <w:tcPr>
            <w:tcW w:w="582" w:type="pct"/>
            <w:noWrap/>
            <w:vAlign w:val="bottom"/>
          </w:tcPr>
          <w:p w:rsidR="007920E3" w:rsidRPr="00FF7C35" w:rsidRDefault="007920E3" w:rsidP="00DF3C75">
            <w:pPr>
              <w:pStyle w:val="TableText0"/>
              <w:spacing w:before="0" w:after="0"/>
              <w:jc w:val="right"/>
              <w:rPr>
                <w:lang w:eastAsia="en-AU"/>
              </w:rPr>
            </w:pPr>
            <w:r w:rsidRPr="00FF7C35">
              <w:rPr>
                <w:lang w:eastAsia="en-AU"/>
              </w:rPr>
              <w:t>147</w:t>
            </w:r>
          </w:p>
        </w:tc>
        <w:tc>
          <w:tcPr>
            <w:tcW w:w="630" w:type="pct"/>
            <w:noWrap/>
            <w:vAlign w:val="bottom"/>
          </w:tcPr>
          <w:p w:rsidR="007920E3" w:rsidRPr="00FF7C35" w:rsidRDefault="007920E3" w:rsidP="00DF3C75">
            <w:pPr>
              <w:pStyle w:val="TableText0"/>
              <w:spacing w:before="0" w:after="0"/>
              <w:jc w:val="right"/>
              <w:rPr>
                <w:lang w:eastAsia="en-AU"/>
              </w:rPr>
            </w:pPr>
            <w:r w:rsidRPr="00FF7C35">
              <w:rPr>
                <w:lang w:eastAsia="en-AU"/>
              </w:rPr>
              <w:t>223</w:t>
            </w:r>
          </w:p>
        </w:tc>
        <w:tc>
          <w:tcPr>
            <w:tcW w:w="558" w:type="pct"/>
            <w:noWrap/>
            <w:vAlign w:val="bottom"/>
          </w:tcPr>
          <w:p w:rsidR="007920E3" w:rsidRPr="00FF7C35" w:rsidRDefault="007920E3" w:rsidP="00DF3C75">
            <w:pPr>
              <w:pStyle w:val="TableText0"/>
              <w:spacing w:before="0" w:after="0"/>
              <w:jc w:val="right"/>
              <w:rPr>
                <w:lang w:eastAsia="en-AU"/>
              </w:rPr>
            </w:pPr>
            <w:r w:rsidRPr="00FF7C35">
              <w:rPr>
                <w:lang w:eastAsia="en-AU"/>
              </w:rPr>
              <w:t>301</w:t>
            </w:r>
          </w:p>
        </w:tc>
        <w:tc>
          <w:tcPr>
            <w:tcW w:w="557" w:type="pct"/>
            <w:noWrap/>
            <w:vAlign w:val="bottom"/>
          </w:tcPr>
          <w:p w:rsidR="007920E3" w:rsidRPr="00FF7C35" w:rsidRDefault="007920E3" w:rsidP="00DF3C75">
            <w:pPr>
              <w:pStyle w:val="TableText0"/>
              <w:spacing w:before="0" w:after="0"/>
              <w:jc w:val="right"/>
              <w:rPr>
                <w:lang w:eastAsia="en-AU"/>
              </w:rPr>
            </w:pPr>
            <w:r w:rsidRPr="00FF7C35">
              <w:rPr>
                <w:lang w:eastAsia="en-AU"/>
              </w:rPr>
              <w:t>380</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Number of fractures in treated women</w:t>
            </w:r>
          </w:p>
        </w:tc>
        <w:tc>
          <w:tcPr>
            <w:tcW w:w="558" w:type="pct"/>
            <w:noWrap/>
            <w:vAlign w:val="bottom"/>
          </w:tcPr>
          <w:p w:rsidR="007920E3" w:rsidRPr="00277121" w:rsidRDefault="007920E3" w:rsidP="00DF3C75">
            <w:pPr>
              <w:jc w:val="right"/>
              <w:rPr>
                <w:rFonts w:ascii="Arial Narrow" w:hAnsi="Arial Narrow"/>
                <w:color w:val="000000"/>
                <w:sz w:val="18"/>
                <w:szCs w:val="18"/>
              </w:rPr>
            </w:pPr>
            <w:r w:rsidRPr="00277121">
              <w:rPr>
                <w:rFonts w:ascii="Arial Narrow" w:hAnsi="Arial Narrow"/>
                <w:color w:val="000000"/>
                <w:sz w:val="18"/>
                <w:szCs w:val="18"/>
              </w:rPr>
              <w:t>9</w:t>
            </w:r>
          </w:p>
        </w:tc>
        <w:tc>
          <w:tcPr>
            <w:tcW w:w="582" w:type="pct"/>
            <w:noWrap/>
            <w:vAlign w:val="bottom"/>
          </w:tcPr>
          <w:p w:rsidR="007920E3" w:rsidRPr="00277121" w:rsidRDefault="007920E3" w:rsidP="00DF3C75">
            <w:pPr>
              <w:jc w:val="right"/>
              <w:rPr>
                <w:rFonts w:ascii="Arial Narrow" w:hAnsi="Arial Narrow"/>
                <w:color w:val="000000"/>
                <w:sz w:val="18"/>
                <w:szCs w:val="18"/>
              </w:rPr>
            </w:pPr>
            <w:r w:rsidRPr="00277121">
              <w:rPr>
                <w:rFonts w:ascii="Arial Narrow" w:hAnsi="Arial Narrow"/>
                <w:color w:val="000000"/>
                <w:sz w:val="18"/>
                <w:szCs w:val="18"/>
              </w:rPr>
              <w:t>18</w:t>
            </w:r>
          </w:p>
        </w:tc>
        <w:tc>
          <w:tcPr>
            <w:tcW w:w="630" w:type="pct"/>
            <w:noWrap/>
            <w:vAlign w:val="bottom"/>
          </w:tcPr>
          <w:p w:rsidR="007920E3" w:rsidRPr="00277121" w:rsidRDefault="007920E3" w:rsidP="00DF3C75">
            <w:pPr>
              <w:jc w:val="right"/>
              <w:rPr>
                <w:rFonts w:ascii="Arial Narrow" w:hAnsi="Arial Narrow"/>
                <w:color w:val="000000"/>
                <w:sz w:val="18"/>
                <w:szCs w:val="18"/>
              </w:rPr>
            </w:pPr>
            <w:r w:rsidRPr="00277121">
              <w:rPr>
                <w:rFonts w:ascii="Arial Narrow" w:hAnsi="Arial Narrow"/>
                <w:color w:val="000000"/>
                <w:sz w:val="18"/>
                <w:szCs w:val="18"/>
              </w:rPr>
              <w:t>27</w:t>
            </w:r>
          </w:p>
        </w:tc>
        <w:tc>
          <w:tcPr>
            <w:tcW w:w="558" w:type="pct"/>
            <w:noWrap/>
            <w:vAlign w:val="bottom"/>
          </w:tcPr>
          <w:p w:rsidR="007920E3" w:rsidRPr="00277121" w:rsidRDefault="007920E3" w:rsidP="00DF3C75">
            <w:pPr>
              <w:jc w:val="right"/>
              <w:rPr>
                <w:rFonts w:ascii="Arial Narrow" w:hAnsi="Arial Narrow"/>
                <w:color w:val="000000"/>
                <w:sz w:val="18"/>
                <w:szCs w:val="18"/>
              </w:rPr>
            </w:pPr>
            <w:r w:rsidRPr="00277121">
              <w:rPr>
                <w:rFonts w:ascii="Arial Narrow" w:hAnsi="Arial Narrow"/>
                <w:color w:val="000000"/>
                <w:sz w:val="18"/>
                <w:szCs w:val="18"/>
              </w:rPr>
              <w:t>36</w:t>
            </w:r>
          </w:p>
        </w:tc>
        <w:tc>
          <w:tcPr>
            <w:tcW w:w="557" w:type="pct"/>
            <w:noWrap/>
            <w:vAlign w:val="bottom"/>
          </w:tcPr>
          <w:p w:rsidR="007920E3" w:rsidRPr="00C77D28" w:rsidRDefault="007920E3" w:rsidP="00DF3C75">
            <w:pPr>
              <w:jc w:val="right"/>
              <w:rPr>
                <w:rFonts w:ascii="Arial Narrow" w:hAnsi="Arial Narrow"/>
                <w:color w:val="000000"/>
                <w:sz w:val="18"/>
                <w:szCs w:val="18"/>
              </w:rPr>
            </w:pPr>
            <w:r w:rsidRPr="00277121">
              <w:rPr>
                <w:rFonts w:ascii="Arial Narrow" w:hAnsi="Arial Narrow"/>
                <w:color w:val="000000"/>
                <w:sz w:val="18"/>
                <w:szCs w:val="18"/>
              </w:rPr>
              <w:t>46</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Fractures prevented</w:t>
            </w:r>
          </w:p>
        </w:tc>
        <w:tc>
          <w:tcPr>
            <w:tcW w:w="558" w:type="pct"/>
            <w:noWrap/>
            <w:vAlign w:val="bottom"/>
          </w:tcPr>
          <w:p w:rsidR="007920E3" w:rsidRPr="00C77D28" w:rsidRDefault="007920E3" w:rsidP="00DF3C75">
            <w:pPr>
              <w:jc w:val="right"/>
              <w:rPr>
                <w:rFonts w:ascii="Arial Narrow" w:hAnsi="Arial Narrow"/>
                <w:color w:val="000000"/>
                <w:sz w:val="18"/>
                <w:szCs w:val="18"/>
              </w:rPr>
            </w:pPr>
            <w:r w:rsidRPr="00C77D28">
              <w:rPr>
                <w:rFonts w:ascii="Arial Narrow" w:hAnsi="Arial Narrow"/>
                <w:color w:val="000000"/>
                <w:sz w:val="18"/>
                <w:szCs w:val="18"/>
              </w:rPr>
              <w:t>4</w:t>
            </w:r>
          </w:p>
        </w:tc>
        <w:tc>
          <w:tcPr>
            <w:tcW w:w="582" w:type="pct"/>
            <w:noWrap/>
            <w:vAlign w:val="bottom"/>
          </w:tcPr>
          <w:p w:rsidR="007920E3" w:rsidRPr="00C77D28" w:rsidRDefault="007920E3" w:rsidP="00DF3C75">
            <w:pPr>
              <w:jc w:val="right"/>
              <w:rPr>
                <w:rFonts w:ascii="Arial Narrow" w:hAnsi="Arial Narrow"/>
                <w:color w:val="000000"/>
                <w:sz w:val="18"/>
                <w:szCs w:val="18"/>
              </w:rPr>
            </w:pPr>
            <w:r w:rsidRPr="00C77D28">
              <w:rPr>
                <w:rFonts w:ascii="Arial Narrow" w:hAnsi="Arial Narrow"/>
                <w:color w:val="000000"/>
                <w:sz w:val="18"/>
                <w:szCs w:val="18"/>
              </w:rPr>
              <w:t>8</w:t>
            </w:r>
          </w:p>
        </w:tc>
        <w:tc>
          <w:tcPr>
            <w:tcW w:w="630" w:type="pct"/>
            <w:noWrap/>
            <w:vAlign w:val="bottom"/>
          </w:tcPr>
          <w:p w:rsidR="007920E3" w:rsidRPr="00C77D28" w:rsidRDefault="007920E3" w:rsidP="00DF3C75">
            <w:pPr>
              <w:jc w:val="right"/>
              <w:rPr>
                <w:rFonts w:ascii="Arial Narrow" w:hAnsi="Arial Narrow"/>
                <w:color w:val="000000"/>
                <w:sz w:val="18"/>
                <w:szCs w:val="18"/>
              </w:rPr>
            </w:pPr>
            <w:r w:rsidRPr="00C77D28">
              <w:rPr>
                <w:rFonts w:ascii="Arial Narrow" w:hAnsi="Arial Narrow"/>
                <w:color w:val="000000"/>
                <w:sz w:val="18"/>
                <w:szCs w:val="18"/>
              </w:rPr>
              <w:t>11</w:t>
            </w:r>
          </w:p>
        </w:tc>
        <w:tc>
          <w:tcPr>
            <w:tcW w:w="558" w:type="pct"/>
            <w:noWrap/>
            <w:vAlign w:val="bottom"/>
          </w:tcPr>
          <w:p w:rsidR="007920E3" w:rsidRPr="00C77D28" w:rsidRDefault="007920E3" w:rsidP="00DF3C75">
            <w:pPr>
              <w:jc w:val="right"/>
              <w:rPr>
                <w:rFonts w:ascii="Arial Narrow" w:hAnsi="Arial Narrow"/>
                <w:color w:val="000000"/>
                <w:sz w:val="18"/>
                <w:szCs w:val="18"/>
              </w:rPr>
            </w:pPr>
            <w:r w:rsidRPr="00C77D28">
              <w:rPr>
                <w:rFonts w:ascii="Arial Narrow" w:hAnsi="Arial Narrow"/>
                <w:color w:val="000000"/>
                <w:sz w:val="18"/>
                <w:szCs w:val="18"/>
              </w:rPr>
              <w:t>15</w:t>
            </w:r>
          </w:p>
        </w:tc>
        <w:tc>
          <w:tcPr>
            <w:tcW w:w="557" w:type="pct"/>
            <w:noWrap/>
            <w:vAlign w:val="bottom"/>
          </w:tcPr>
          <w:p w:rsidR="007920E3" w:rsidRPr="00C77D28" w:rsidRDefault="007920E3" w:rsidP="00DF3C75">
            <w:pPr>
              <w:jc w:val="right"/>
              <w:rPr>
                <w:rFonts w:ascii="Arial Narrow" w:hAnsi="Arial Narrow"/>
                <w:color w:val="000000"/>
                <w:sz w:val="18"/>
                <w:szCs w:val="18"/>
              </w:rPr>
            </w:pPr>
            <w:r w:rsidRPr="00C77D28">
              <w:rPr>
                <w:rFonts w:ascii="Arial Narrow" w:hAnsi="Arial Narrow"/>
                <w:color w:val="000000"/>
                <w:sz w:val="18"/>
                <w:szCs w:val="18"/>
              </w:rPr>
              <w:t>20</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lang w:eastAsia="en-AU"/>
              </w:rPr>
            </w:pPr>
            <w:r w:rsidRPr="00FF7C35">
              <w:rPr>
                <w:lang w:eastAsia="en-AU"/>
              </w:rPr>
              <w:t>Cost of fractures avoided (weighted mean AR-DRG)</w:t>
            </w:r>
          </w:p>
        </w:tc>
        <w:tc>
          <w:tcPr>
            <w:tcW w:w="558" w:type="pct"/>
            <w:noWrap/>
            <w:vAlign w:val="bottom"/>
          </w:tcPr>
          <w:p w:rsidR="007920E3" w:rsidRPr="00FF7C35" w:rsidRDefault="007920E3" w:rsidP="00DF3C75">
            <w:pPr>
              <w:pStyle w:val="TableText0"/>
              <w:spacing w:before="0" w:after="0"/>
              <w:jc w:val="right"/>
              <w:rPr>
                <w:szCs w:val="18"/>
                <w:lang w:eastAsia="en-AU"/>
              </w:rPr>
            </w:pPr>
            <w:r w:rsidRPr="00FF7C35">
              <w:rPr>
                <w:szCs w:val="18"/>
                <w:lang w:eastAsia="en-AU"/>
              </w:rPr>
              <w:t xml:space="preserve">$14,855 </w:t>
            </w:r>
          </w:p>
        </w:tc>
        <w:tc>
          <w:tcPr>
            <w:tcW w:w="582" w:type="pct"/>
            <w:noWrap/>
            <w:vAlign w:val="bottom"/>
          </w:tcPr>
          <w:p w:rsidR="007920E3" w:rsidRPr="00FF7C35" w:rsidRDefault="007920E3" w:rsidP="00DF3C75">
            <w:pPr>
              <w:pStyle w:val="TableText0"/>
              <w:spacing w:before="0" w:after="0"/>
              <w:jc w:val="right"/>
              <w:rPr>
                <w:szCs w:val="18"/>
                <w:lang w:eastAsia="en-AU"/>
              </w:rPr>
            </w:pPr>
            <w:r w:rsidRPr="00FF7C35">
              <w:rPr>
                <w:szCs w:val="18"/>
                <w:lang w:eastAsia="en-AU"/>
              </w:rPr>
              <w:t xml:space="preserve"> $14,855</w:t>
            </w:r>
          </w:p>
        </w:tc>
        <w:tc>
          <w:tcPr>
            <w:tcW w:w="630" w:type="pct"/>
            <w:noWrap/>
            <w:vAlign w:val="bottom"/>
          </w:tcPr>
          <w:p w:rsidR="007920E3" w:rsidRPr="00FF7C35" w:rsidRDefault="007920E3" w:rsidP="00DF3C75">
            <w:pPr>
              <w:pStyle w:val="TableText0"/>
              <w:spacing w:before="0" w:after="0"/>
              <w:jc w:val="right"/>
              <w:rPr>
                <w:szCs w:val="18"/>
                <w:lang w:eastAsia="en-AU"/>
              </w:rPr>
            </w:pPr>
            <w:r w:rsidRPr="00FF7C35">
              <w:rPr>
                <w:szCs w:val="18"/>
                <w:lang w:eastAsia="en-AU"/>
              </w:rPr>
              <w:t>$14,855</w:t>
            </w:r>
          </w:p>
        </w:tc>
        <w:tc>
          <w:tcPr>
            <w:tcW w:w="558" w:type="pct"/>
            <w:noWrap/>
            <w:vAlign w:val="bottom"/>
          </w:tcPr>
          <w:p w:rsidR="007920E3" w:rsidRPr="00FF7C35" w:rsidRDefault="007920E3" w:rsidP="00DF3C75">
            <w:pPr>
              <w:pStyle w:val="TableText0"/>
              <w:spacing w:before="0" w:after="0"/>
              <w:jc w:val="right"/>
              <w:rPr>
                <w:szCs w:val="18"/>
                <w:lang w:eastAsia="en-AU"/>
              </w:rPr>
            </w:pPr>
            <w:r w:rsidRPr="00FF7C35">
              <w:rPr>
                <w:szCs w:val="18"/>
                <w:lang w:eastAsia="en-AU"/>
              </w:rPr>
              <w:t>$14,855</w:t>
            </w:r>
          </w:p>
        </w:tc>
        <w:tc>
          <w:tcPr>
            <w:tcW w:w="557" w:type="pct"/>
            <w:noWrap/>
            <w:vAlign w:val="bottom"/>
          </w:tcPr>
          <w:p w:rsidR="007920E3" w:rsidRPr="00FF7C35" w:rsidRDefault="007920E3" w:rsidP="00DF3C75">
            <w:pPr>
              <w:pStyle w:val="TableText0"/>
              <w:spacing w:before="0" w:after="0"/>
              <w:jc w:val="right"/>
              <w:rPr>
                <w:szCs w:val="18"/>
                <w:lang w:eastAsia="en-AU"/>
              </w:rPr>
            </w:pPr>
            <w:r w:rsidRPr="00FF7C35">
              <w:rPr>
                <w:szCs w:val="18"/>
                <w:lang w:eastAsia="en-AU"/>
              </w:rPr>
              <w:t>$14,855</w:t>
            </w:r>
          </w:p>
        </w:tc>
      </w:tr>
      <w:tr w:rsidR="007920E3" w:rsidRPr="00C67A8A" w:rsidTr="00DF3C75">
        <w:trPr>
          <w:trHeight w:val="20"/>
          <w:tblHeader/>
        </w:trPr>
        <w:tc>
          <w:tcPr>
            <w:tcW w:w="2115" w:type="pct"/>
            <w:noWrap/>
            <w:vAlign w:val="bottom"/>
          </w:tcPr>
          <w:p w:rsidR="007920E3" w:rsidRPr="00FF7C35" w:rsidRDefault="007920E3" w:rsidP="00EA69B8">
            <w:pPr>
              <w:pStyle w:val="TableText0"/>
              <w:spacing w:before="0" w:after="0"/>
              <w:rPr>
                <w:bCs/>
                <w:lang w:eastAsia="en-AU"/>
              </w:rPr>
            </w:pPr>
            <w:r w:rsidRPr="00FF7C35">
              <w:rPr>
                <w:bCs/>
                <w:lang w:eastAsia="en-AU"/>
              </w:rPr>
              <w:t>Total cost savings</w:t>
            </w:r>
          </w:p>
        </w:tc>
        <w:tc>
          <w:tcPr>
            <w:tcW w:w="558" w:type="pct"/>
            <w:noWrap/>
            <w:vAlign w:val="bottom"/>
          </w:tcPr>
          <w:p w:rsidR="007920E3" w:rsidRPr="00C77D28" w:rsidRDefault="007920E3" w:rsidP="00DF3C75">
            <w:pPr>
              <w:jc w:val="right"/>
              <w:rPr>
                <w:rFonts w:ascii="Arial Narrow" w:hAnsi="Arial Narrow"/>
                <w:color w:val="000000"/>
                <w:sz w:val="18"/>
                <w:szCs w:val="18"/>
              </w:rPr>
            </w:pPr>
            <w:r w:rsidRPr="00C77D28">
              <w:rPr>
                <w:rFonts w:ascii="Arial Narrow" w:hAnsi="Arial Narrow"/>
                <w:color w:val="000000"/>
                <w:sz w:val="18"/>
                <w:szCs w:val="18"/>
              </w:rPr>
              <w:t xml:space="preserve"> </w:t>
            </w:r>
            <w:r>
              <w:rPr>
                <w:rFonts w:ascii="Arial Narrow" w:hAnsi="Arial Narrow"/>
                <w:color w:val="000000"/>
                <w:sz w:val="18"/>
                <w:szCs w:val="18"/>
              </w:rPr>
              <w:t xml:space="preserve">- </w:t>
            </w:r>
            <w:r w:rsidRPr="00C77D28">
              <w:rPr>
                <w:rFonts w:ascii="Arial Narrow" w:hAnsi="Arial Narrow"/>
                <w:color w:val="000000"/>
                <w:sz w:val="18"/>
                <w:szCs w:val="18"/>
              </w:rPr>
              <w:t xml:space="preserve">$55,567 </w:t>
            </w:r>
          </w:p>
        </w:tc>
        <w:tc>
          <w:tcPr>
            <w:tcW w:w="582" w:type="pct"/>
            <w:noWrap/>
            <w:vAlign w:val="bottom"/>
          </w:tcPr>
          <w:p w:rsidR="007920E3" w:rsidRPr="00C77D28" w:rsidRDefault="007920E3" w:rsidP="00DF3C75">
            <w:pPr>
              <w:jc w:val="right"/>
              <w:rPr>
                <w:rFonts w:ascii="Arial Narrow" w:hAnsi="Arial Narrow"/>
                <w:color w:val="000000"/>
                <w:sz w:val="18"/>
                <w:szCs w:val="18"/>
              </w:rPr>
            </w:pPr>
            <w:r>
              <w:rPr>
                <w:rFonts w:ascii="Arial Narrow" w:hAnsi="Arial Narrow"/>
                <w:color w:val="000000"/>
                <w:sz w:val="18"/>
                <w:szCs w:val="18"/>
              </w:rPr>
              <w:t>-</w:t>
            </w:r>
            <w:r w:rsidRPr="00C77D28">
              <w:rPr>
                <w:rFonts w:ascii="Arial Narrow" w:hAnsi="Arial Narrow"/>
                <w:color w:val="000000"/>
                <w:sz w:val="18"/>
                <w:szCs w:val="18"/>
              </w:rPr>
              <w:t xml:space="preserve"> $112,406 </w:t>
            </w:r>
          </w:p>
        </w:tc>
        <w:tc>
          <w:tcPr>
            <w:tcW w:w="630" w:type="pct"/>
            <w:noWrap/>
            <w:vAlign w:val="bottom"/>
          </w:tcPr>
          <w:p w:rsidR="007920E3" w:rsidRPr="00C77D28" w:rsidRDefault="007920E3" w:rsidP="00DF3C75">
            <w:pPr>
              <w:jc w:val="right"/>
              <w:rPr>
                <w:rFonts w:ascii="Arial Narrow" w:hAnsi="Arial Narrow"/>
                <w:color w:val="000000"/>
                <w:sz w:val="18"/>
                <w:szCs w:val="18"/>
              </w:rPr>
            </w:pPr>
            <w:r>
              <w:rPr>
                <w:rFonts w:ascii="Arial Narrow" w:hAnsi="Arial Narrow"/>
                <w:color w:val="000000"/>
                <w:sz w:val="18"/>
                <w:szCs w:val="18"/>
              </w:rPr>
              <w:t>-</w:t>
            </w:r>
            <w:r w:rsidRPr="00C77D28">
              <w:rPr>
                <w:rFonts w:ascii="Arial Narrow" w:hAnsi="Arial Narrow"/>
                <w:color w:val="000000"/>
                <w:sz w:val="18"/>
                <w:szCs w:val="18"/>
              </w:rPr>
              <w:t xml:space="preserve"> $170,518 </w:t>
            </w:r>
          </w:p>
        </w:tc>
        <w:tc>
          <w:tcPr>
            <w:tcW w:w="558" w:type="pct"/>
            <w:noWrap/>
            <w:vAlign w:val="bottom"/>
          </w:tcPr>
          <w:p w:rsidR="007920E3" w:rsidRPr="00C77D28" w:rsidRDefault="007920E3" w:rsidP="00DF3C75">
            <w:pPr>
              <w:jc w:val="right"/>
              <w:rPr>
                <w:rFonts w:ascii="Arial Narrow" w:hAnsi="Arial Narrow"/>
                <w:color w:val="000000"/>
                <w:sz w:val="18"/>
                <w:szCs w:val="18"/>
              </w:rPr>
            </w:pPr>
            <w:r>
              <w:rPr>
                <w:rFonts w:ascii="Arial Narrow" w:hAnsi="Arial Narrow"/>
                <w:color w:val="000000"/>
                <w:sz w:val="18"/>
                <w:szCs w:val="18"/>
              </w:rPr>
              <w:t>-</w:t>
            </w:r>
            <w:r w:rsidRPr="00C77D28">
              <w:rPr>
                <w:rFonts w:ascii="Arial Narrow" w:hAnsi="Arial Narrow"/>
                <w:color w:val="000000"/>
                <w:sz w:val="18"/>
                <w:szCs w:val="18"/>
              </w:rPr>
              <w:t xml:space="preserve"> $229,903 </w:t>
            </w:r>
          </w:p>
        </w:tc>
        <w:tc>
          <w:tcPr>
            <w:tcW w:w="557" w:type="pct"/>
            <w:noWrap/>
            <w:vAlign w:val="bottom"/>
          </w:tcPr>
          <w:p w:rsidR="007920E3" w:rsidRPr="00C77D28" w:rsidRDefault="007920E3" w:rsidP="00DF3C75">
            <w:pPr>
              <w:jc w:val="right"/>
              <w:rPr>
                <w:rFonts w:ascii="Arial Narrow" w:hAnsi="Arial Narrow"/>
                <w:color w:val="000000"/>
                <w:sz w:val="18"/>
                <w:szCs w:val="18"/>
              </w:rPr>
            </w:pPr>
            <w:r>
              <w:rPr>
                <w:rFonts w:ascii="Arial Narrow" w:hAnsi="Arial Narrow"/>
                <w:color w:val="000000"/>
                <w:sz w:val="18"/>
                <w:szCs w:val="18"/>
              </w:rPr>
              <w:t>-</w:t>
            </w:r>
            <w:r w:rsidRPr="00C77D28">
              <w:rPr>
                <w:rFonts w:ascii="Arial Narrow" w:hAnsi="Arial Narrow"/>
                <w:color w:val="000000"/>
                <w:sz w:val="18"/>
                <w:szCs w:val="18"/>
              </w:rPr>
              <w:t xml:space="preserve"> $290,561 </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b/>
                <w:bCs/>
                <w:lang w:eastAsia="en-AU"/>
              </w:rPr>
            </w:pPr>
            <w:r w:rsidRPr="00FF7C35">
              <w:rPr>
                <w:b/>
                <w:bCs/>
                <w:lang w:eastAsia="en-AU"/>
              </w:rPr>
              <w:t>TOTAL MBS COSTS</w:t>
            </w:r>
          </w:p>
        </w:tc>
        <w:tc>
          <w:tcPr>
            <w:tcW w:w="558"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1</w:t>
            </w:r>
            <w:r>
              <w:rPr>
                <w:rFonts w:ascii="Arial Narrow" w:hAnsi="Arial Narrow"/>
                <w:b/>
                <w:bCs/>
                <w:color w:val="000000"/>
                <w:sz w:val="18"/>
                <w:szCs w:val="18"/>
              </w:rPr>
              <w:t>,</w:t>
            </w:r>
            <w:r w:rsidRPr="00C77D28">
              <w:rPr>
                <w:rFonts w:ascii="Arial Narrow" w:hAnsi="Arial Narrow"/>
                <w:b/>
                <w:bCs/>
                <w:color w:val="000000"/>
                <w:sz w:val="18"/>
                <w:szCs w:val="18"/>
              </w:rPr>
              <w:t>094</w:t>
            </w:r>
            <w:r>
              <w:rPr>
                <w:rFonts w:ascii="Arial Narrow" w:hAnsi="Arial Narrow"/>
                <w:b/>
                <w:bCs/>
                <w:color w:val="000000"/>
                <w:sz w:val="18"/>
                <w:szCs w:val="18"/>
              </w:rPr>
              <w:t>,</w:t>
            </w:r>
            <w:r w:rsidRPr="00C77D28">
              <w:rPr>
                <w:rFonts w:ascii="Arial Narrow" w:hAnsi="Arial Narrow"/>
                <w:b/>
                <w:bCs/>
                <w:color w:val="000000"/>
                <w:sz w:val="18"/>
                <w:szCs w:val="18"/>
              </w:rPr>
              <w:t>583</w:t>
            </w:r>
          </w:p>
        </w:tc>
        <w:tc>
          <w:tcPr>
            <w:tcW w:w="582"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1</w:t>
            </w:r>
            <w:r>
              <w:rPr>
                <w:rFonts w:ascii="Arial Narrow" w:hAnsi="Arial Narrow"/>
                <w:b/>
                <w:bCs/>
                <w:color w:val="000000"/>
                <w:sz w:val="18"/>
                <w:szCs w:val="18"/>
              </w:rPr>
              <w:t>,</w:t>
            </w:r>
            <w:r w:rsidRPr="00C77D28">
              <w:rPr>
                <w:rFonts w:ascii="Arial Narrow" w:hAnsi="Arial Narrow"/>
                <w:b/>
                <w:bCs/>
                <w:color w:val="000000"/>
                <w:sz w:val="18"/>
                <w:szCs w:val="18"/>
              </w:rPr>
              <w:t>548</w:t>
            </w:r>
            <w:r>
              <w:rPr>
                <w:rFonts w:ascii="Arial Narrow" w:hAnsi="Arial Narrow"/>
                <w:b/>
                <w:bCs/>
                <w:color w:val="000000"/>
                <w:sz w:val="18"/>
                <w:szCs w:val="18"/>
              </w:rPr>
              <w:t>,</w:t>
            </w:r>
            <w:r w:rsidRPr="00C77D28">
              <w:rPr>
                <w:rFonts w:ascii="Arial Narrow" w:hAnsi="Arial Narrow"/>
                <w:b/>
                <w:bCs/>
                <w:color w:val="000000"/>
                <w:sz w:val="18"/>
                <w:szCs w:val="18"/>
              </w:rPr>
              <w:t>759</w:t>
            </w:r>
          </w:p>
        </w:tc>
        <w:tc>
          <w:tcPr>
            <w:tcW w:w="630"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2</w:t>
            </w:r>
            <w:r>
              <w:rPr>
                <w:rFonts w:ascii="Arial Narrow" w:hAnsi="Arial Narrow"/>
                <w:b/>
                <w:bCs/>
                <w:color w:val="000000"/>
                <w:sz w:val="18"/>
                <w:szCs w:val="18"/>
              </w:rPr>
              <w:t>,</w:t>
            </w:r>
            <w:r w:rsidRPr="00C77D28">
              <w:rPr>
                <w:rFonts w:ascii="Arial Narrow" w:hAnsi="Arial Narrow"/>
                <w:b/>
                <w:bCs/>
                <w:color w:val="000000"/>
                <w:sz w:val="18"/>
                <w:szCs w:val="18"/>
              </w:rPr>
              <w:t>527</w:t>
            </w:r>
            <w:r>
              <w:rPr>
                <w:rFonts w:ascii="Arial Narrow" w:hAnsi="Arial Narrow"/>
                <w:b/>
                <w:bCs/>
                <w:color w:val="000000"/>
                <w:sz w:val="18"/>
                <w:szCs w:val="18"/>
              </w:rPr>
              <w:t>,</w:t>
            </w:r>
            <w:r w:rsidRPr="00C77D28">
              <w:rPr>
                <w:rFonts w:ascii="Arial Narrow" w:hAnsi="Arial Narrow"/>
                <w:b/>
                <w:bCs/>
                <w:color w:val="000000"/>
                <w:sz w:val="18"/>
                <w:szCs w:val="18"/>
              </w:rPr>
              <w:t>275</w:t>
            </w:r>
          </w:p>
        </w:tc>
        <w:tc>
          <w:tcPr>
            <w:tcW w:w="558"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3</w:t>
            </w:r>
            <w:r>
              <w:rPr>
                <w:rFonts w:ascii="Arial Narrow" w:hAnsi="Arial Narrow"/>
                <w:b/>
                <w:bCs/>
                <w:color w:val="000000"/>
                <w:sz w:val="18"/>
                <w:szCs w:val="18"/>
              </w:rPr>
              <w:t>,</w:t>
            </w:r>
            <w:r w:rsidRPr="00C77D28">
              <w:rPr>
                <w:rFonts w:ascii="Arial Narrow" w:hAnsi="Arial Narrow"/>
                <w:b/>
                <w:bCs/>
                <w:color w:val="000000"/>
                <w:sz w:val="18"/>
                <w:szCs w:val="18"/>
              </w:rPr>
              <w:t>012</w:t>
            </w:r>
            <w:r>
              <w:rPr>
                <w:rFonts w:ascii="Arial Narrow" w:hAnsi="Arial Narrow"/>
                <w:b/>
                <w:bCs/>
                <w:color w:val="000000"/>
                <w:sz w:val="18"/>
                <w:szCs w:val="18"/>
              </w:rPr>
              <w:t>,</w:t>
            </w:r>
            <w:r w:rsidRPr="00C77D28">
              <w:rPr>
                <w:rFonts w:ascii="Arial Narrow" w:hAnsi="Arial Narrow"/>
                <w:b/>
                <w:bCs/>
                <w:color w:val="000000"/>
                <w:sz w:val="18"/>
                <w:szCs w:val="18"/>
              </w:rPr>
              <w:t>896</w:t>
            </w:r>
          </w:p>
        </w:tc>
        <w:tc>
          <w:tcPr>
            <w:tcW w:w="557"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4</w:t>
            </w:r>
            <w:r>
              <w:rPr>
                <w:rFonts w:ascii="Arial Narrow" w:hAnsi="Arial Narrow"/>
                <w:b/>
                <w:bCs/>
                <w:color w:val="000000"/>
                <w:sz w:val="18"/>
                <w:szCs w:val="18"/>
              </w:rPr>
              <w:t>,</w:t>
            </w:r>
            <w:r w:rsidRPr="00C77D28">
              <w:rPr>
                <w:rFonts w:ascii="Arial Narrow" w:hAnsi="Arial Narrow"/>
                <w:b/>
                <w:bCs/>
                <w:color w:val="000000"/>
                <w:sz w:val="18"/>
                <w:szCs w:val="18"/>
              </w:rPr>
              <w:t>022</w:t>
            </w:r>
            <w:r>
              <w:rPr>
                <w:rFonts w:ascii="Arial Narrow" w:hAnsi="Arial Narrow"/>
                <w:b/>
                <w:bCs/>
                <w:color w:val="000000"/>
                <w:sz w:val="18"/>
                <w:szCs w:val="18"/>
              </w:rPr>
              <w:t>,</w:t>
            </w:r>
            <w:r w:rsidRPr="00C77D28">
              <w:rPr>
                <w:rFonts w:ascii="Arial Narrow" w:hAnsi="Arial Narrow"/>
                <w:b/>
                <w:bCs/>
                <w:color w:val="000000"/>
                <w:sz w:val="18"/>
                <w:szCs w:val="18"/>
              </w:rPr>
              <w:t>857</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b/>
                <w:bCs/>
                <w:lang w:eastAsia="en-AU"/>
              </w:rPr>
            </w:pPr>
            <w:r w:rsidRPr="00FF7C35">
              <w:rPr>
                <w:b/>
                <w:bCs/>
                <w:lang w:eastAsia="en-AU"/>
              </w:rPr>
              <w:t>TOTAL PBS COSTS</w:t>
            </w:r>
          </w:p>
        </w:tc>
        <w:tc>
          <w:tcPr>
            <w:tcW w:w="558"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121</w:t>
            </w:r>
            <w:r>
              <w:rPr>
                <w:rFonts w:ascii="Arial Narrow" w:hAnsi="Arial Narrow"/>
                <w:b/>
                <w:bCs/>
                <w:color w:val="000000"/>
                <w:sz w:val="18"/>
                <w:szCs w:val="18"/>
              </w:rPr>
              <w:t>,</w:t>
            </w:r>
            <w:r w:rsidRPr="00C77D28">
              <w:rPr>
                <w:rFonts w:ascii="Arial Narrow" w:hAnsi="Arial Narrow"/>
                <w:b/>
                <w:bCs/>
                <w:color w:val="000000"/>
                <w:sz w:val="18"/>
                <w:szCs w:val="18"/>
              </w:rPr>
              <w:t>433</w:t>
            </w:r>
          </w:p>
        </w:tc>
        <w:tc>
          <w:tcPr>
            <w:tcW w:w="582"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245</w:t>
            </w:r>
            <w:r>
              <w:rPr>
                <w:rFonts w:ascii="Arial Narrow" w:hAnsi="Arial Narrow"/>
                <w:b/>
                <w:bCs/>
                <w:color w:val="000000"/>
                <w:sz w:val="18"/>
                <w:szCs w:val="18"/>
              </w:rPr>
              <w:t>,</w:t>
            </w:r>
            <w:r w:rsidRPr="00C77D28">
              <w:rPr>
                <w:rFonts w:ascii="Arial Narrow" w:hAnsi="Arial Narrow"/>
                <w:b/>
                <w:bCs/>
                <w:color w:val="000000"/>
                <w:sz w:val="18"/>
                <w:szCs w:val="18"/>
              </w:rPr>
              <w:t>647</w:t>
            </w:r>
          </w:p>
        </w:tc>
        <w:tc>
          <w:tcPr>
            <w:tcW w:w="630"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372</w:t>
            </w:r>
            <w:r>
              <w:rPr>
                <w:rFonts w:ascii="Arial Narrow" w:hAnsi="Arial Narrow"/>
                <w:b/>
                <w:bCs/>
                <w:color w:val="000000"/>
                <w:sz w:val="18"/>
                <w:szCs w:val="18"/>
              </w:rPr>
              <w:t>,</w:t>
            </w:r>
            <w:r w:rsidRPr="00C77D28">
              <w:rPr>
                <w:rFonts w:ascii="Arial Narrow" w:hAnsi="Arial Narrow"/>
                <w:b/>
                <w:bCs/>
                <w:color w:val="000000"/>
                <w:sz w:val="18"/>
                <w:szCs w:val="18"/>
              </w:rPr>
              <w:t>643</w:t>
            </w:r>
          </w:p>
        </w:tc>
        <w:tc>
          <w:tcPr>
            <w:tcW w:w="558"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502</w:t>
            </w:r>
            <w:r>
              <w:rPr>
                <w:rFonts w:ascii="Arial Narrow" w:hAnsi="Arial Narrow"/>
                <w:b/>
                <w:bCs/>
                <w:color w:val="000000"/>
                <w:sz w:val="18"/>
                <w:szCs w:val="18"/>
              </w:rPr>
              <w:t>,</w:t>
            </w:r>
            <w:r w:rsidRPr="00C77D28">
              <w:rPr>
                <w:rFonts w:ascii="Arial Narrow" w:hAnsi="Arial Narrow"/>
                <w:b/>
                <w:bCs/>
                <w:color w:val="000000"/>
                <w:sz w:val="18"/>
                <w:szCs w:val="18"/>
              </w:rPr>
              <w:t>420</w:t>
            </w:r>
          </w:p>
        </w:tc>
        <w:tc>
          <w:tcPr>
            <w:tcW w:w="557"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634</w:t>
            </w:r>
            <w:r>
              <w:rPr>
                <w:rFonts w:ascii="Arial Narrow" w:hAnsi="Arial Narrow"/>
                <w:b/>
                <w:bCs/>
                <w:color w:val="000000"/>
                <w:sz w:val="18"/>
                <w:szCs w:val="18"/>
              </w:rPr>
              <w:t>,</w:t>
            </w:r>
            <w:r w:rsidRPr="00C77D28">
              <w:rPr>
                <w:rFonts w:ascii="Arial Narrow" w:hAnsi="Arial Narrow"/>
                <w:b/>
                <w:bCs/>
                <w:color w:val="000000"/>
                <w:sz w:val="18"/>
                <w:szCs w:val="18"/>
              </w:rPr>
              <w:t>979</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b/>
                <w:bCs/>
                <w:lang w:eastAsia="en-AU"/>
              </w:rPr>
            </w:pPr>
            <w:r w:rsidRPr="00FF7C35">
              <w:rPr>
                <w:b/>
                <w:bCs/>
                <w:lang w:eastAsia="en-AU"/>
              </w:rPr>
              <w:t>TOTAL STATE GOVT COST SAVINGS</w:t>
            </w:r>
          </w:p>
        </w:tc>
        <w:tc>
          <w:tcPr>
            <w:tcW w:w="558"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55</w:t>
            </w:r>
            <w:r>
              <w:rPr>
                <w:rFonts w:ascii="Arial Narrow" w:hAnsi="Arial Narrow"/>
                <w:b/>
                <w:bCs/>
                <w:color w:val="000000"/>
                <w:sz w:val="18"/>
                <w:szCs w:val="18"/>
              </w:rPr>
              <w:t>,</w:t>
            </w:r>
            <w:r w:rsidRPr="00C77D28">
              <w:rPr>
                <w:rFonts w:ascii="Arial Narrow" w:hAnsi="Arial Narrow"/>
                <w:b/>
                <w:bCs/>
                <w:color w:val="000000"/>
                <w:sz w:val="18"/>
                <w:szCs w:val="18"/>
              </w:rPr>
              <w:t>567</w:t>
            </w:r>
          </w:p>
        </w:tc>
        <w:tc>
          <w:tcPr>
            <w:tcW w:w="582" w:type="pct"/>
            <w:noWrap/>
            <w:vAlign w:val="bottom"/>
          </w:tcPr>
          <w:p w:rsidR="007920E3" w:rsidRPr="00C77D28" w:rsidRDefault="007920E3" w:rsidP="00DF3C75">
            <w:pPr>
              <w:jc w:val="right"/>
              <w:rPr>
                <w:rFonts w:ascii="Arial Narrow" w:hAnsi="Arial Narrow"/>
                <w:b/>
                <w:bCs/>
                <w:color w:val="000000"/>
                <w:sz w:val="18"/>
                <w:szCs w:val="18"/>
              </w:rPr>
            </w:pPr>
            <w:r w:rsidRPr="00C77D28">
              <w:rPr>
                <w:rFonts w:ascii="Arial Narrow" w:hAnsi="Arial Narrow"/>
                <w:b/>
                <w:bCs/>
                <w:color w:val="000000"/>
                <w:sz w:val="18"/>
                <w:szCs w:val="18"/>
              </w:rPr>
              <w:t>-</w:t>
            </w:r>
            <w:r>
              <w:rPr>
                <w:rFonts w:ascii="Arial Narrow" w:hAnsi="Arial Narrow"/>
                <w:b/>
                <w:bCs/>
                <w:color w:val="000000"/>
                <w:sz w:val="18"/>
                <w:szCs w:val="18"/>
              </w:rPr>
              <w:t>$</w:t>
            </w:r>
            <w:r w:rsidRPr="00C77D28">
              <w:rPr>
                <w:rFonts w:ascii="Arial Narrow" w:hAnsi="Arial Narrow"/>
                <w:b/>
                <w:bCs/>
                <w:color w:val="000000"/>
                <w:sz w:val="18"/>
                <w:szCs w:val="18"/>
              </w:rPr>
              <w:t>112</w:t>
            </w:r>
            <w:r>
              <w:rPr>
                <w:rFonts w:ascii="Arial Narrow" w:hAnsi="Arial Narrow"/>
                <w:b/>
                <w:bCs/>
                <w:color w:val="000000"/>
                <w:sz w:val="18"/>
                <w:szCs w:val="18"/>
              </w:rPr>
              <w:t>,</w:t>
            </w:r>
            <w:r w:rsidRPr="00C77D28">
              <w:rPr>
                <w:rFonts w:ascii="Arial Narrow" w:hAnsi="Arial Narrow"/>
                <w:b/>
                <w:bCs/>
                <w:color w:val="000000"/>
                <w:sz w:val="18"/>
                <w:szCs w:val="18"/>
              </w:rPr>
              <w:t>406</w:t>
            </w:r>
          </w:p>
        </w:tc>
        <w:tc>
          <w:tcPr>
            <w:tcW w:w="630" w:type="pct"/>
            <w:noWrap/>
            <w:vAlign w:val="bottom"/>
          </w:tcPr>
          <w:p w:rsidR="007920E3" w:rsidRPr="00C77D28" w:rsidRDefault="007920E3" w:rsidP="00DF3C75">
            <w:pPr>
              <w:jc w:val="right"/>
              <w:rPr>
                <w:rFonts w:ascii="Arial Narrow" w:hAnsi="Arial Narrow"/>
                <w:b/>
                <w:bCs/>
                <w:color w:val="000000"/>
                <w:sz w:val="18"/>
                <w:szCs w:val="18"/>
              </w:rPr>
            </w:pPr>
            <w:r w:rsidRPr="00C77D28">
              <w:rPr>
                <w:rFonts w:ascii="Arial Narrow" w:hAnsi="Arial Narrow"/>
                <w:b/>
                <w:bCs/>
                <w:color w:val="000000"/>
                <w:sz w:val="18"/>
                <w:szCs w:val="18"/>
              </w:rPr>
              <w:t>-</w:t>
            </w:r>
            <w:r>
              <w:rPr>
                <w:rFonts w:ascii="Arial Narrow" w:hAnsi="Arial Narrow"/>
                <w:b/>
                <w:bCs/>
                <w:color w:val="000000"/>
                <w:sz w:val="18"/>
                <w:szCs w:val="18"/>
              </w:rPr>
              <w:t>$</w:t>
            </w:r>
            <w:r w:rsidRPr="00C77D28">
              <w:rPr>
                <w:rFonts w:ascii="Arial Narrow" w:hAnsi="Arial Narrow"/>
                <w:b/>
                <w:bCs/>
                <w:color w:val="000000"/>
                <w:sz w:val="18"/>
                <w:szCs w:val="18"/>
              </w:rPr>
              <w:t>170</w:t>
            </w:r>
            <w:r>
              <w:rPr>
                <w:rFonts w:ascii="Arial Narrow" w:hAnsi="Arial Narrow"/>
                <w:b/>
                <w:bCs/>
                <w:color w:val="000000"/>
                <w:sz w:val="18"/>
                <w:szCs w:val="18"/>
              </w:rPr>
              <w:t>,</w:t>
            </w:r>
            <w:r w:rsidRPr="00C77D28">
              <w:rPr>
                <w:rFonts w:ascii="Arial Narrow" w:hAnsi="Arial Narrow"/>
                <w:b/>
                <w:bCs/>
                <w:color w:val="000000"/>
                <w:sz w:val="18"/>
                <w:szCs w:val="18"/>
              </w:rPr>
              <w:t>518</w:t>
            </w:r>
          </w:p>
        </w:tc>
        <w:tc>
          <w:tcPr>
            <w:tcW w:w="558" w:type="pct"/>
            <w:noWrap/>
            <w:vAlign w:val="bottom"/>
          </w:tcPr>
          <w:p w:rsidR="007920E3" w:rsidRPr="00C77D28" w:rsidRDefault="007920E3" w:rsidP="00DF3C75">
            <w:pPr>
              <w:jc w:val="right"/>
              <w:rPr>
                <w:rFonts w:ascii="Arial Narrow" w:hAnsi="Arial Narrow"/>
                <w:b/>
                <w:bCs/>
                <w:color w:val="000000"/>
                <w:sz w:val="18"/>
                <w:szCs w:val="18"/>
              </w:rPr>
            </w:pPr>
            <w:r w:rsidRPr="00C77D28">
              <w:rPr>
                <w:rFonts w:ascii="Arial Narrow" w:hAnsi="Arial Narrow"/>
                <w:b/>
                <w:bCs/>
                <w:color w:val="000000"/>
                <w:sz w:val="18"/>
                <w:szCs w:val="18"/>
              </w:rPr>
              <w:t>-</w:t>
            </w:r>
            <w:r>
              <w:rPr>
                <w:rFonts w:ascii="Arial Narrow" w:hAnsi="Arial Narrow"/>
                <w:b/>
                <w:bCs/>
                <w:color w:val="000000"/>
                <w:sz w:val="18"/>
                <w:szCs w:val="18"/>
              </w:rPr>
              <w:t>$</w:t>
            </w:r>
            <w:r w:rsidRPr="00C77D28">
              <w:rPr>
                <w:rFonts w:ascii="Arial Narrow" w:hAnsi="Arial Narrow"/>
                <w:b/>
                <w:bCs/>
                <w:color w:val="000000"/>
                <w:sz w:val="18"/>
                <w:szCs w:val="18"/>
              </w:rPr>
              <w:t>229</w:t>
            </w:r>
            <w:r>
              <w:rPr>
                <w:rFonts w:ascii="Arial Narrow" w:hAnsi="Arial Narrow"/>
                <w:b/>
                <w:bCs/>
                <w:color w:val="000000"/>
                <w:sz w:val="18"/>
                <w:szCs w:val="18"/>
              </w:rPr>
              <w:t>,</w:t>
            </w:r>
            <w:r w:rsidRPr="00C77D28">
              <w:rPr>
                <w:rFonts w:ascii="Arial Narrow" w:hAnsi="Arial Narrow"/>
                <w:b/>
                <w:bCs/>
                <w:color w:val="000000"/>
                <w:sz w:val="18"/>
                <w:szCs w:val="18"/>
              </w:rPr>
              <w:t>903</w:t>
            </w:r>
          </w:p>
        </w:tc>
        <w:tc>
          <w:tcPr>
            <w:tcW w:w="557" w:type="pct"/>
            <w:noWrap/>
            <w:vAlign w:val="bottom"/>
          </w:tcPr>
          <w:p w:rsidR="007920E3" w:rsidRPr="00C77D28" w:rsidRDefault="007920E3" w:rsidP="00DF3C75">
            <w:pPr>
              <w:jc w:val="right"/>
              <w:rPr>
                <w:rFonts w:ascii="Arial Narrow" w:hAnsi="Arial Narrow"/>
                <w:b/>
                <w:bCs/>
                <w:color w:val="000000"/>
                <w:sz w:val="18"/>
                <w:szCs w:val="18"/>
              </w:rPr>
            </w:pPr>
            <w:r w:rsidRPr="00C77D28">
              <w:rPr>
                <w:rFonts w:ascii="Arial Narrow" w:hAnsi="Arial Narrow"/>
                <w:b/>
                <w:bCs/>
                <w:color w:val="000000"/>
                <w:sz w:val="18"/>
                <w:szCs w:val="18"/>
              </w:rPr>
              <w:t>-</w:t>
            </w:r>
            <w:r>
              <w:rPr>
                <w:rFonts w:ascii="Arial Narrow" w:hAnsi="Arial Narrow"/>
                <w:b/>
                <w:bCs/>
                <w:color w:val="000000"/>
                <w:sz w:val="18"/>
                <w:szCs w:val="18"/>
              </w:rPr>
              <w:t>$</w:t>
            </w:r>
            <w:r w:rsidRPr="00C77D28">
              <w:rPr>
                <w:rFonts w:ascii="Arial Narrow" w:hAnsi="Arial Narrow"/>
                <w:b/>
                <w:bCs/>
                <w:color w:val="000000"/>
                <w:sz w:val="18"/>
                <w:szCs w:val="18"/>
              </w:rPr>
              <w:t>290</w:t>
            </w:r>
            <w:r>
              <w:rPr>
                <w:rFonts w:ascii="Arial Narrow" w:hAnsi="Arial Narrow"/>
                <w:b/>
                <w:bCs/>
                <w:color w:val="000000"/>
                <w:sz w:val="18"/>
                <w:szCs w:val="18"/>
              </w:rPr>
              <w:t>,</w:t>
            </w:r>
            <w:r w:rsidRPr="00C77D28">
              <w:rPr>
                <w:rFonts w:ascii="Arial Narrow" w:hAnsi="Arial Narrow"/>
                <w:b/>
                <w:bCs/>
                <w:color w:val="000000"/>
                <w:sz w:val="18"/>
                <w:szCs w:val="18"/>
              </w:rPr>
              <w:t>561</w:t>
            </w:r>
          </w:p>
        </w:tc>
      </w:tr>
      <w:tr w:rsidR="007920E3" w:rsidRPr="00C67A8A" w:rsidTr="00DF3C75">
        <w:trPr>
          <w:trHeight w:val="20"/>
          <w:tblHeader/>
        </w:trPr>
        <w:tc>
          <w:tcPr>
            <w:tcW w:w="2115" w:type="pct"/>
            <w:noWrap/>
            <w:vAlign w:val="bottom"/>
          </w:tcPr>
          <w:p w:rsidR="007920E3" w:rsidRPr="00FF7C35" w:rsidRDefault="007920E3" w:rsidP="00DF3C75">
            <w:pPr>
              <w:pStyle w:val="TableText0"/>
              <w:spacing w:before="0" w:after="0"/>
              <w:rPr>
                <w:b/>
                <w:bCs/>
                <w:lang w:eastAsia="en-AU"/>
              </w:rPr>
            </w:pPr>
            <w:r w:rsidRPr="00FF7C35">
              <w:rPr>
                <w:b/>
                <w:bCs/>
                <w:lang w:eastAsia="en-AU"/>
              </w:rPr>
              <w:t>TOTAL COSTS</w:t>
            </w:r>
          </w:p>
        </w:tc>
        <w:tc>
          <w:tcPr>
            <w:tcW w:w="558"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$1,</w:t>
            </w:r>
            <w:r w:rsidRPr="00C77D28">
              <w:rPr>
                <w:rFonts w:ascii="Arial Narrow" w:hAnsi="Arial Narrow"/>
                <w:b/>
                <w:bCs/>
                <w:color w:val="000000"/>
                <w:sz w:val="18"/>
                <w:szCs w:val="18"/>
              </w:rPr>
              <w:t>160</w:t>
            </w:r>
            <w:r>
              <w:rPr>
                <w:rFonts w:ascii="Arial Narrow" w:hAnsi="Arial Narrow"/>
                <w:b/>
                <w:bCs/>
                <w:color w:val="000000"/>
                <w:sz w:val="18"/>
                <w:szCs w:val="18"/>
              </w:rPr>
              <w:t>,</w:t>
            </w:r>
            <w:r w:rsidRPr="00C77D28">
              <w:rPr>
                <w:rFonts w:ascii="Arial Narrow" w:hAnsi="Arial Narrow"/>
                <w:b/>
                <w:bCs/>
                <w:color w:val="000000"/>
                <w:sz w:val="18"/>
                <w:szCs w:val="18"/>
              </w:rPr>
              <w:t>449</w:t>
            </w:r>
          </w:p>
        </w:tc>
        <w:tc>
          <w:tcPr>
            <w:tcW w:w="582"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1</w:t>
            </w:r>
            <w:r>
              <w:rPr>
                <w:rFonts w:ascii="Arial Narrow" w:hAnsi="Arial Narrow"/>
                <w:b/>
                <w:bCs/>
                <w:color w:val="000000"/>
                <w:sz w:val="18"/>
                <w:szCs w:val="18"/>
              </w:rPr>
              <w:t>,</w:t>
            </w:r>
            <w:r w:rsidRPr="00C77D28">
              <w:rPr>
                <w:rFonts w:ascii="Arial Narrow" w:hAnsi="Arial Narrow"/>
                <w:b/>
                <w:bCs/>
                <w:color w:val="000000"/>
                <w:sz w:val="18"/>
                <w:szCs w:val="18"/>
              </w:rPr>
              <w:t>682</w:t>
            </w:r>
            <w:r>
              <w:rPr>
                <w:rFonts w:ascii="Arial Narrow" w:hAnsi="Arial Narrow"/>
                <w:b/>
                <w:bCs/>
                <w:color w:val="000000"/>
                <w:sz w:val="18"/>
                <w:szCs w:val="18"/>
              </w:rPr>
              <w:t>,</w:t>
            </w:r>
            <w:r w:rsidRPr="00C77D28">
              <w:rPr>
                <w:rFonts w:ascii="Arial Narrow" w:hAnsi="Arial Narrow"/>
                <w:b/>
                <w:bCs/>
                <w:color w:val="000000"/>
                <w:sz w:val="18"/>
                <w:szCs w:val="18"/>
              </w:rPr>
              <w:t>000</w:t>
            </w:r>
          </w:p>
        </w:tc>
        <w:tc>
          <w:tcPr>
            <w:tcW w:w="630"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2</w:t>
            </w:r>
            <w:r>
              <w:rPr>
                <w:rFonts w:ascii="Arial Narrow" w:hAnsi="Arial Narrow"/>
                <w:b/>
                <w:bCs/>
                <w:color w:val="000000"/>
                <w:sz w:val="18"/>
                <w:szCs w:val="18"/>
              </w:rPr>
              <w:t>,</w:t>
            </w:r>
            <w:r w:rsidRPr="00C77D28">
              <w:rPr>
                <w:rFonts w:ascii="Arial Narrow" w:hAnsi="Arial Narrow"/>
                <w:b/>
                <w:bCs/>
                <w:color w:val="000000"/>
                <w:sz w:val="18"/>
                <w:szCs w:val="18"/>
              </w:rPr>
              <w:t>729</w:t>
            </w:r>
            <w:r>
              <w:rPr>
                <w:rFonts w:ascii="Arial Narrow" w:hAnsi="Arial Narrow"/>
                <w:b/>
                <w:bCs/>
                <w:color w:val="000000"/>
                <w:sz w:val="18"/>
                <w:szCs w:val="18"/>
              </w:rPr>
              <w:t>,</w:t>
            </w:r>
            <w:r w:rsidRPr="00C77D28">
              <w:rPr>
                <w:rFonts w:ascii="Arial Narrow" w:hAnsi="Arial Narrow"/>
                <w:b/>
                <w:bCs/>
                <w:color w:val="000000"/>
                <w:sz w:val="18"/>
                <w:szCs w:val="18"/>
              </w:rPr>
              <w:t>400</w:t>
            </w:r>
          </w:p>
        </w:tc>
        <w:tc>
          <w:tcPr>
            <w:tcW w:w="558"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3</w:t>
            </w:r>
            <w:r>
              <w:rPr>
                <w:rFonts w:ascii="Arial Narrow" w:hAnsi="Arial Narrow"/>
                <w:b/>
                <w:bCs/>
                <w:color w:val="000000"/>
                <w:sz w:val="18"/>
                <w:szCs w:val="18"/>
              </w:rPr>
              <w:t>,</w:t>
            </w:r>
            <w:r w:rsidRPr="00C77D28">
              <w:rPr>
                <w:rFonts w:ascii="Arial Narrow" w:hAnsi="Arial Narrow"/>
                <w:b/>
                <w:bCs/>
                <w:color w:val="000000"/>
                <w:sz w:val="18"/>
                <w:szCs w:val="18"/>
              </w:rPr>
              <w:t>285</w:t>
            </w:r>
            <w:r>
              <w:rPr>
                <w:rFonts w:ascii="Arial Narrow" w:hAnsi="Arial Narrow"/>
                <w:b/>
                <w:bCs/>
                <w:color w:val="000000"/>
                <w:sz w:val="18"/>
                <w:szCs w:val="18"/>
              </w:rPr>
              <w:t>,</w:t>
            </w:r>
            <w:r w:rsidRPr="00C77D28">
              <w:rPr>
                <w:rFonts w:ascii="Arial Narrow" w:hAnsi="Arial Narrow"/>
                <w:b/>
                <w:bCs/>
                <w:color w:val="000000"/>
                <w:sz w:val="18"/>
                <w:szCs w:val="18"/>
              </w:rPr>
              <w:t>413</w:t>
            </w:r>
          </w:p>
        </w:tc>
        <w:tc>
          <w:tcPr>
            <w:tcW w:w="557" w:type="pct"/>
            <w:noWrap/>
            <w:vAlign w:val="bottom"/>
          </w:tcPr>
          <w:p w:rsidR="007920E3" w:rsidRPr="00C77D28"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C77D28">
              <w:rPr>
                <w:rFonts w:ascii="Arial Narrow" w:hAnsi="Arial Narrow"/>
                <w:b/>
                <w:bCs/>
                <w:color w:val="000000"/>
                <w:sz w:val="18"/>
                <w:szCs w:val="18"/>
              </w:rPr>
              <w:t>4</w:t>
            </w:r>
            <w:r>
              <w:rPr>
                <w:rFonts w:ascii="Arial Narrow" w:hAnsi="Arial Narrow"/>
                <w:b/>
                <w:bCs/>
                <w:color w:val="000000"/>
                <w:sz w:val="18"/>
                <w:szCs w:val="18"/>
              </w:rPr>
              <w:t>,</w:t>
            </w:r>
            <w:r w:rsidRPr="00C77D28">
              <w:rPr>
                <w:rFonts w:ascii="Arial Narrow" w:hAnsi="Arial Narrow"/>
                <w:b/>
                <w:bCs/>
                <w:color w:val="000000"/>
                <w:sz w:val="18"/>
                <w:szCs w:val="18"/>
              </w:rPr>
              <w:t>367</w:t>
            </w:r>
            <w:r>
              <w:rPr>
                <w:rFonts w:ascii="Arial Narrow" w:hAnsi="Arial Narrow"/>
                <w:b/>
                <w:bCs/>
                <w:color w:val="000000"/>
                <w:sz w:val="18"/>
                <w:szCs w:val="18"/>
              </w:rPr>
              <w:t>,</w:t>
            </w:r>
            <w:r w:rsidRPr="00C77D28">
              <w:rPr>
                <w:rFonts w:ascii="Arial Narrow" w:hAnsi="Arial Narrow"/>
                <w:b/>
                <w:bCs/>
                <w:color w:val="000000"/>
                <w:sz w:val="18"/>
                <w:szCs w:val="18"/>
              </w:rPr>
              <w:t>275</w:t>
            </w:r>
          </w:p>
        </w:tc>
      </w:tr>
    </w:tbl>
    <w:p w:rsidR="007920E3" w:rsidRDefault="007920E3" w:rsidP="00134F2E">
      <w:pPr>
        <w:pStyle w:val="TableText0"/>
      </w:pPr>
      <w:r>
        <w:t xml:space="preserve">AI = aromatase inhibitor, AR-DRG = Australian Related Diagnosis Relative Group, </w:t>
      </w:r>
      <w:proofErr w:type="spellStart"/>
      <w:r>
        <w:t>brca</w:t>
      </w:r>
      <w:proofErr w:type="spellEnd"/>
      <w:r>
        <w:t xml:space="preserve"> = breast cancer, DXA = dual x-ray absorptiometry, GP = general practitioner, MBS = Medical Benefits Schedule, PBS= Pharmaceutical Benefits Schedule.</w:t>
      </w:r>
    </w:p>
    <w:p w:rsidR="007920E3" w:rsidRDefault="007920E3" w:rsidP="00057ACD"/>
    <w:p w:rsidR="007920E3" w:rsidRDefault="007920E3" w:rsidP="000A43DF">
      <w:r>
        <w:t xml:space="preserve">The costs estimated in Table 11 are for women with osteoporosis. The results increase when the patient group is extended for women with osteoporosis or osteopenia; five-year totals are </w:t>
      </w:r>
      <w:r>
        <w:lastRenderedPageBreak/>
        <w:t>MBS costs $12,206,371, PBS costs $8,168,360, state government cost savings $3,737,758, overall total $16,636,973.</w:t>
      </w:r>
    </w:p>
    <w:p w:rsidR="007920E3" w:rsidRDefault="007920E3" w:rsidP="00057ACD"/>
    <w:p w:rsidR="007920E3" w:rsidRDefault="007920E3" w:rsidP="000A43DF">
      <w:r>
        <w:t>The financial estimates for patients are in Table 12. The cost for bone pain and fever as an adverse event of anti-resorptive therapies was based on over-the-counter consumer purchase of paracetamol (48 tablets 500mg) at a cost of $2.70 per patient (www.onlinepharmacy.com.au). This cost was applied once only for all new patients in each year.</w:t>
      </w:r>
    </w:p>
    <w:p w:rsidR="007920E3" w:rsidRDefault="007920E3" w:rsidP="000A43DF"/>
    <w:p w:rsidR="007920E3" w:rsidRPr="000552A8" w:rsidRDefault="007920E3" w:rsidP="00887CC4">
      <w:pPr>
        <w:pStyle w:val="Tabletext"/>
        <w:rPr>
          <w:b/>
        </w:rPr>
      </w:pPr>
      <w:r>
        <w:rPr>
          <w:b/>
        </w:rPr>
        <w:t>Table 12:</w:t>
      </w:r>
      <w:r w:rsidRPr="000552A8">
        <w:rPr>
          <w:b/>
        </w:rPr>
        <w:t xml:space="preserve"> Estimated patient out-of-pocket costs for MBS and PBS items</w:t>
      </w:r>
    </w:p>
    <w:tbl>
      <w:tblPr>
        <w:tblW w:w="90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993"/>
        <w:gridCol w:w="992"/>
        <w:gridCol w:w="955"/>
        <w:gridCol w:w="996"/>
        <w:gridCol w:w="996"/>
        <w:gridCol w:w="1119"/>
      </w:tblGrid>
      <w:tr w:rsidR="007920E3" w:rsidRPr="00A7618E" w:rsidTr="00DF3C75">
        <w:trPr>
          <w:trHeight w:val="227"/>
        </w:trPr>
        <w:tc>
          <w:tcPr>
            <w:tcW w:w="2972" w:type="dxa"/>
            <w:noWrap/>
            <w:vAlign w:val="bottom"/>
          </w:tcPr>
          <w:p w:rsidR="007920E3" w:rsidRPr="00887CC4" w:rsidRDefault="007920E3" w:rsidP="00DF3C75">
            <w:pPr>
              <w:rPr>
                <w:rFonts w:ascii="Arial Narrow" w:hAnsi="Arial Narrow"/>
                <w:b/>
                <w:color w:val="000000"/>
                <w:sz w:val="18"/>
                <w:szCs w:val="18"/>
              </w:rPr>
            </w:pPr>
            <w:r w:rsidRPr="00887CC4">
              <w:rPr>
                <w:rFonts w:ascii="Arial Narrow" w:hAnsi="Arial Narrow"/>
                <w:b/>
                <w:color w:val="000000"/>
                <w:sz w:val="18"/>
                <w:szCs w:val="18"/>
              </w:rPr>
              <w:t>MBS &amp; PBS Costs</w:t>
            </w:r>
          </w:p>
        </w:tc>
        <w:tc>
          <w:tcPr>
            <w:tcW w:w="993" w:type="dxa"/>
            <w:noWrap/>
            <w:vAlign w:val="bottom"/>
          </w:tcPr>
          <w:p w:rsidR="007920E3" w:rsidRPr="00A7618E" w:rsidRDefault="007920E3" w:rsidP="00DF3C75">
            <w:pPr>
              <w:jc w:val="right"/>
              <w:rPr>
                <w:rFonts w:ascii="Arial Narrow" w:hAnsi="Arial Narrow"/>
                <w:b/>
                <w:bCs/>
                <w:color w:val="000000"/>
                <w:sz w:val="18"/>
                <w:szCs w:val="18"/>
              </w:rPr>
            </w:pPr>
            <w:r>
              <w:rPr>
                <w:rFonts w:ascii="Arial Narrow" w:hAnsi="Arial Narrow"/>
                <w:b/>
                <w:bCs/>
                <w:color w:val="000000"/>
                <w:sz w:val="18"/>
                <w:szCs w:val="18"/>
              </w:rPr>
              <w:t>Patient co-payment</w:t>
            </w:r>
          </w:p>
        </w:tc>
        <w:tc>
          <w:tcPr>
            <w:tcW w:w="992" w:type="dxa"/>
            <w:noWrap/>
            <w:vAlign w:val="bottom"/>
          </w:tcPr>
          <w:p w:rsidR="007920E3" w:rsidRPr="00A7618E" w:rsidRDefault="007920E3" w:rsidP="00DF3C75">
            <w:pPr>
              <w:jc w:val="right"/>
              <w:rPr>
                <w:rFonts w:ascii="Arial Narrow" w:hAnsi="Arial Narrow"/>
                <w:b/>
                <w:color w:val="000000"/>
                <w:sz w:val="18"/>
                <w:szCs w:val="18"/>
              </w:rPr>
            </w:pPr>
            <w:r w:rsidRPr="00A7618E">
              <w:rPr>
                <w:rFonts w:ascii="Arial Narrow" w:hAnsi="Arial Narrow"/>
                <w:b/>
                <w:color w:val="000000"/>
                <w:sz w:val="18"/>
                <w:szCs w:val="18"/>
              </w:rPr>
              <w:t>Year 1</w:t>
            </w:r>
          </w:p>
        </w:tc>
        <w:tc>
          <w:tcPr>
            <w:tcW w:w="955" w:type="dxa"/>
            <w:noWrap/>
            <w:vAlign w:val="bottom"/>
          </w:tcPr>
          <w:p w:rsidR="007920E3" w:rsidRPr="00A7618E" w:rsidRDefault="007920E3" w:rsidP="00DF3C75">
            <w:pPr>
              <w:jc w:val="right"/>
              <w:rPr>
                <w:rFonts w:ascii="Arial Narrow" w:hAnsi="Arial Narrow"/>
                <w:b/>
                <w:color w:val="000000"/>
                <w:sz w:val="18"/>
                <w:szCs w:val="18"/>
              </w:rPr>
            </w:pPr>
            <w:r w:rsidRPr="00A7618E">
              <w:rPr>
                <w:rFonts w:ascii="Arial Narrow" w:hAnsi="Arial Narrow"/>
                <w:b/>
                <w:color w:val="000000"/>
                <w:sz w:val="18"/>
                <w:szCs w:val="18"/>
              </w:rPr>
              <w:t>Year 2</w:t>
            </w:r>
          </w:p>
        </w:tc>
        <w:tc>
          <w:tcPr>
            <w:tcW w:w="996" w:type="dxa"/>
            <w:noWrap/>
            <w:vAlign w:val="bottom"/>
          </w:tcPr>
          <w:p w:rsidR="007920E3" w:rsidRPr="00A7618E" w:rsidRDefault="007920E3" w:rsidP="00DF3C75">
            <w:pPr>
              <w:jc w:val="right"/>
              <w:rPr>
                <w:rFonts w:ascii="Arial Narrow" w:hAnsi="Arial Narrow"/>
                <w:b/>
                <w:color w:val="000000"/>
                <w:sz w:val="18"/>
                <w:szCs w:val="18"/>
              </w:rPr>
            </w:pPr>
            <w:r w:rsidRPr="00A7618E">
              <w:rPr>
                <w:rFonts w:ascii="Arial Narrow" w:hAnsi="Arial Narrow"/>
                <w:b/>
                <w:color w:val="000000"/>
                <w:sz w:val="18"/>
                <w:szCs w:val="18"/>
              </w:rPr>
              <w:t>Year 3</w:t>
            </w:r>
          </w:p>
        </w:tc>
        <w:tc>
          <w:tcPr>
            <w:tcW w:w="996" w:type="dxa"/>
            <w:noWrap/>
            <w:vAlign w:val="bottom"/>
          </w:tcPr>
          <w:p w:rsidR="007920E3" w:rsidRPr="00A7618E" w:rsidRDefault="007920E3" w:rsidP="00DF3C75">
            <w:pPr>
              <w:jc w:val="right"/>
              <w:rPr>
                <w:rFonts w:ascii="Arial Narrow" w:hAnsi="Arial Narrow"/>
                <w:b/>
                <w:color w:val="000000"/>
                <w:sz w:val="18"/>
                <w:szCs w:val="18"/>
              </w:rPr>
            </w:pPr>
            <w:r w:rsidRPr="00A7618E">
              <w:rPr>
                <w:rFonts w:ascii="Arial Narrow" w:hAnsi="Arial Narrow"/>
                <w:b/>
                <w:color w:val="000000"/>
                <w:sz w:val="18"/>
                <w:szCs w:val="18"/>
              </w:rPr>
              <w:t>Year 4</w:t>
            </w:r>
          </w:p>
        </w:tc>
        <w:tc>
          <w:tcPr>
            <w:tcW w:w="1119" w:type="dxa"/>
            <w:noWrap/>
            <w:vAlign w:val="bottom"/>
          </w:tcPr>
          <w:p w:rsidR="007920E3" w:rsidRPr="00A7618E" w:rsidRDefault="007920E3" w:rsidP="00DF3C75">
            <w:pPr>
              <w:jc w:val="right"/>
              <w:rPr>
                <w:rFonts w:ascii="Arial Narrow" w:hAnsi="Arial Narrow"/>
                <w:b/>
                <w:color w:val="000000"/>
                <w:sz w:val="18"/>
                <w:szCs w:val="18"/>
              </w:rPr>
            </w:pPr>
            <w:r w:rsidRPr="00A7618E">
              <w:rPr>
                <w:rFonts w:ascii="Arial Narrow" w:hAnsi="Arial Narrow"/>
                <w:b/>
                <w:color w:val="000000"/>
                <w:sz w:val="18"/>
                <w:szCs w:val="18"/>
              </w:rPr>
              <w:t>Year 5</w:t>
            </w:r>
          </w:p>
        </w:tc>
      </w:tr>
      <w:tr w:rsidR="007920E3" w:rsidRPr="00A7618E" w:rsidTr="00DF3C75">
        <w:trPr>
          <w:trHeight w:val="227"/>
        </w:trPr>
        <w:tc>
          <w:tcPr>
            <w:tcW w:w="2972" w:type="dxa"/>
            <w:noWrap/>
            <w:vAlign w:val="bottom"/>
          </w:tcPr>
          <w:p w:rsidR="007920E3" w:rsidRPr="00A7618E" w:rsidRDefault="007920E3" w:rsidP="00DF3C75">
            <w:pPr>
              <w:rPr>
                <w:rFonts w:ascii="Arial Narrow" w:hAnsi="Arial Narrow"/>
                <w:b/>
                <w:color w:val="000000"/>
                <w:sz w:val="18"/>
                <w:szCs w:val="18"/>
              </w:rPr>
            </w:pPr>
            <w:r w:rsidRPr="00A7618E">
              <w:rPr>
                <w:rFonts w:ascii="Arial Narrow" w:hAnsi="Arial Narrow"/>
                <w:b/>
                <w:color w:val="000000"/>
                <w:sz w:val="18"/>
                <w:szCs w:val="18"/>
              </w:rPr>
              <w:t>MBS costs to patients</w:t>
            </w:r>
          </w:p>
        </w:tc>
        <w:tc>
          <w:tcPr>
            <w:tcW w:w="993" w:type="dxa"/>
            <w:noWrap/>
            <w:vAlign w:val="bottom"/>
          </w:tcPr>
          <w:p w:rsidR="007920E3" w:rsidRPr="00A7618E" w:rsidRDefault="007920E3" w:rsidP="00DF3C75">
            <w:pPr>
              <w:jc w:val="right"/>
              <w:rPr>
                <w:rFonts w:ascii="Arial Narrow" w:hAnsi="Arial Narrow"/>
                <w:b/>
                <w:bCs/>
                <w:color w:val="000000"/>
                <w:sz w:val="18"/>
                <w:szCs w:val="18"/>
              </w:rPr>
            </w:pPr>
            <w:r>
              <w:rPr>
                <w:rFonts w:ascii="Arial Narrow" w:hAnsi="Arial Narrow"/>
                <w:b/>
                <w:bCs/>
                <w:color w:val="000000"/>
                <w:sz w:val="18"/>
                <w:szCs w:val="18"/>
              </w:rPr>
              <w:t>Unit cost</w:t>
            </w:r>
          </w:p>
        </w:tc>
        <w:tc>
          <w:tcPr>
            <w:tcW w:w="992" w:type="dxa"/>
            <w:noWrap/>
            <w:vAlign w:val="bottom"/>
          </w:tcPr>
          <w:p w:rsidR="007920E3" w:rsidRPr="00A7618E" w:rsidRDefault="007920E3" w:rsidP="00DF3C75">
            <w:pPr>
              <w:jc w:val="right"/>
              <w:rPr>
                <w:rFonts w:ascii="Arial Narrow" w:hAnsi="Arial Narrow"/>
                <w:color w:val="000000"/>
                <w:sz w:val="18"/>
                <w:szCs w:val="18"/>
              </w:rPr>
            </w:pPr>
            <w:r>
              <w:rPr>
                <w:rFonts w:ascii="Arial Narrow" w:hAnsi="Arial Narrow"/>
                <w:color w:val="000000"/>
                <w:sz w:val="18"/>
                <w:szCs w:val="18"/>
              </w:rPr>
              <w:t>-</w:t>
            </w:r>
          </w:p>
        </w:tc>
        <w:tc>
          <w:tcPr>
            <w:tcW w:w="955" w:type="dxa"/>
            <w:noWrap/>
            <w:vAlign w:val="bottom"/>
          </w:tcPr>
          <w:p w:rsidR="007920E3" w:rsidRPr="00A7618E" w:rsidRDefault="007920E3" w:rsidP="00DF3C75">
            <w:pPr>
              <w:jc w:val="right"/>
              <w:rPr>
                <w:rFonts w:ascii="Arial Narrow" w:hAnsi="Arial Narrow"/>
                <w:color w:val="000000"/>
                <w:sz w:val="18"/>
                <w:szCs w:val="18"/>
              </w:rPr>
            </w:pPr>
            <w:r>
              <w:rPr>
                <w:rFonts w:ascii="Arial Narrow" w:hAnsi="Arial Narrow"/>
                <w:color w:val="000000"/>
                <w:sz w:val="18"/>
                <w:szCs w:val="18"/>
              </w:rPr>
              <w:t>-</w:t>
            </w:r>
          </w:p>
        </w:tc>
        <w:tc>
          <w:tcPr>
            <w:tcW w:w="996" w:type="dxa"/>
            <w:noWrap/>
            <w:vAlign w:val="bottom"/>
          </w:tcPr>
          <w:p w:rsidR="007920E3" w:rsidRPr="00A7618E" w:rsidRDefault="007920E3" w:rsidP="00DF3C75">
            <w:pPr>
              <w:jc w:val="right"/>
              <w:rPr>
                <w:rFonts w:ascii="Arial Narrow" w:hAnsi="Arial Narrow"/>
                <w:color w:val="000000"/>
                <w:sz w:val="18"/>
                <w:szCs w:val="18"/>
              </w:rPr>
            </w:pPr>
            <w:r>
              <w:rPr>
                <w:rFonts w:ascii="Arial Narrow" w:hAnsi="Arial Narrow"/>
                <w:color w:val="000000"/>
                <w:sz w:val="18"/>
                <w:szCs w:val="18"/>
              </w:rPr>
              <w:t>-</w:t>
            </w:r>
          </w:p>
        </w:tc>
        <w:tc>
          <w:tcPr>
            <w:tcW w:w="996" w:type="dxa"/>
            <w:noWrap/>
            <w:vAlign w:val="bottom"/>
          </w:tcPr>
          <w:p w:rsidR="007920E3" w:rsidRPr="00A7618E" w:rsidRDefault="007920E3" w:rsidP="00DF3C75">
            <w:pPr>
              <w:jc w:val="right"/>
              <w:rPr>
                <w:rFonts w:ascii="Arial Narrow" w:hAnsi="Arial Narrow"/>
                <w:color w:val="000000"/>
                <w:sz w:val="18"/>
                <w:szCs w:val="18"/>
              </w:rPr>
            </w:pPr>
            <w:r>
              <w:rPr>
                <w:rFonts w:ascii="Arial Narrow" w:hAnsi="Arial Narrow"/>
                <w:color w:val="000000"/>
                <w:sz w:val="18"/>
                <w:szCs w:val="18"/>
              </w:rPr>
              <w:t>-</w:t>
            </w:r>
          </w:p>
        </w:tc>
        <w:tc>
          <w:tcPr>
            <w:tcW w:w="1119" w:type="dxa"/>
            <w:noWrap/>
            <w:vAlign w:val="bottom"/>
          </w:tcPr>
          <w:p w:rsidR="007920E3" w:rsidRPr="00A7618E" w:rsidRDefault="007920E3" w:rsidP="00DF3C75">
            <w:pPr>
              <w:jc w:val="right"/>
              <w:rPr>
                <w:rFonts w:ascii="Arial Narrow" w:hAnsi="Arial Narrow"/>
                <w:color w:val="000000"/>
                <w:sz w:val="18"/>
                <w:szCs w:val="18"/>
              </w:rPr>
            </w:pPr>
            <w:r>
              <w:rPr>
                <w:rFonts w:ascii="Arial Narrow" w:hAnsi="Arial Narrow"/>
                <w:color w:val="000000"/>
                <w:sz w:val="18"/>
                <w:szCs w:val="18"/>
              </w:rPr>
              <w:t>-</w:t>
            </w:r>
          </w:p>
        </w:tc>
      </w:tr>
      <w:tr w:rsidR="007920E3" w:rsidRPr="00A7618E" w:rsidTr="00DF3C75">
        <w:trPr>
          <w:trHeight w:val="227"/>
        </w:trPr>
        <w:tc>
          <w:tcPr>
            <w:tcW w:w="2972" w:type="dxa"/>
            <w:noWrap/>
            <w:vAlign w:val="bottom"/>
          </w:tcPr>
          <w:p w:rsidR="007920E3" w:rsidRPr="00A7618E" w:rsidRDefault="007920E3" w:rsidP="00DF3C75">
            <w:pPr>
              <w:rPr>
                <w:rFonts w:ascii="Arial Narrow" w:hAnsi="Arial Narrow"/>
                <w:color w:val="000000"/>
                <w:sz w:val="18"/>
                <w:szCs w:val="18"/>
              </w:rPr>
            </w:pPr>
            <w:r>
              <w:rPr>
                <w:rFonts w:ascii="Arial Narrow" w:hAnsi="Arial Narrow"/>
                <w:color w:val="000000"/>
                <w:sz w:val="18"/>
                <w:szCs w:val="18"/>
              </w:rPr>
              <w:t xml:space="preserve">DXA </w:t>
            </w:r>
            <w:r w:rsidRPr="00A7618E">
              <w:rPr>
                <w:rFonts w:ascii="Arial Narrow" w:hAnsi="Arial Narrow"/>
                <w:color w:val="000000"/>
                <w:sz w:val="18"/>
                <w:szCs w:val="18"/>
              </w:rPr>
              <w:t>Scan</w:t>
            </w:r>
            <w:r>
              <w:rPr>
                <w:rFonts w:ascii="Arial Narrow" w:hAnsi="Arial Narrow"/>
                <w:color w:val="000000"/>
                <w:sz w:val="18"/>
                <w:szCs w:val="18"/>
              </w:rPr>
              <w:t xml:space="preserve"> -</w:t>
            </w:r>
            <w:r w:rsidRPr="00A7618E">
              <w:rPr>
                <w:rFonts w:ascii="Arial Narrow" w:hAnsi="Arial Narrow"/>
                <w:color w:val="000000"/>
                <w:sz w:val="18"/>
                <w:szCs w:val="18"/>
              </w:rPr>
              <w:t xml:space="preserve"> 15%</w:t>
            </w:r>
            <w:r>
              <w:rPr>
                <w:rFonts w:ascii="Arial Narrow" w:hAnsi="Arial Narrow"/>
                <w:color w:val="000000"/>
                <w:sz w:val="18"/>
                <w:szCs w:val="18"/>
              </w:rPr>
              <w:t xml:space="preserve"> co-payment</w:t>
            </w:r>
          </w:p>
        </w:tc>
        <w:tc>
          <w:tcPr>
            <w:tcW w:w="993" w:type="dxa"/>
            <w:noWrap/>
            <w:vAlign w:val="bottom"/>
          </w:tcPr>
          <w:p w:rsidR="007920E3" w:rsidRPr="00A7618E" w:rsidRDefault="007920E3" w:rsidP="00DF3C75">
            <w:pPr>
              <w:jc w:val="right"/>
              <w:rPr>
                <w:rFonts w:ascii="Arial Narrow" w:hAnsi="Arial Narrow"/>
                <w:bCs/>
                <w:color w:val="000000"/>
                <w:sz w:val="18"/>
                <w:szCs w:val="18"/>
              </w:rPr>
            </w:pPr>
            <w:r w:rsidRPr="00A7618E">
              <w:rPr>
                <w:rFonts w:ascii="Arial Narrow" w:hAnsi="Arial Narrow"/>
                <w:bCs/>
                <w:color w:val="000000"/>
                <w:sz w:val="18"/>
                <w:szCs w:val="18"/>
              </w:rPr>
              <w:t>15.36</w:t>
            </w:r>
          </w:p>
        </w:tc>
        <w:tc>
          <w:tcPr>
            <w:tcW w:w="992"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90785</w:t>
            </w:r>
          </w:p>
        </w:tc>
        <w:tc>
          <w:tcPr>
            <w:tcW w:w="955"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92865</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185730</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189889</w:t>
            </w:r>
          </w:p>
        </w:tc>
        <w:tc>
          <w:tcPr>
            <w:tcW w:w="1119"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284834</w:t>
            </w:r>
          </w:p>
        </w:tc>
      </w:tr>
      <w:tr w:rsidR="007920E3" w:rsidRPr="00A7618E" w:rsidTr="00DF3C75">
        <w:trPr>
          <w:trHeight w:val="227"/>
        </w:trPr>
        <w:tc>
          <w:tcPr>
            <w:tcW w:w="2972" w:type="dxa"/>
            <w:noWrap/>
            <w:vAlign w:val="bottom"/>
          </w:tcPr>
          <w:p w:rsidR="007920E3" w:rsidRPr="00A7618E" w:rsidRDefault="007920E3" w:rsidP="00DF3C75">
            <w:pPr>
              <w:rPr>
                <w:rFonts w:ascii="Arial Narrow" w:hAnsi="Arial Narrow"/>
                <w:color w:val="000000"/>
                <w:sz w:val="18"/>
                <w:szCs w:val="18"/>
              </w:rPr>
            </w:pPr>
            <w:r>
              <w:rPr>
                <w:rFonts w:ascii="Arial Narrow" w:hAnsi="Arial Narrow"/>
                <w:color w:val="000000"/>
                <w:sz w:val="18"/>
                <w:szCs w:val="18"/>
              </w:rPr>
              <w:t>V</w:t>
            </w:r>
            <w:r w:rsidRPr="00A7618E">
              <w:rPr>
                <w:rFonts w:ascii="Arial Narrow" w:hAnsi="Arial Narrow"/>
                <w:color w:val="000000"/>
                <w:sz w:val="18"/>
                <w:szCs w:val="18"/>
              </w:rPr>
              <w:t>it</w:t>
            </w:r>
            <w:r>
              <w:rPr>
                <w:rFonts w:ascii="Arial Narrow" w:hAnsi="Arial Narrow"/>
                <w:color w:val="000000"/>
                <w:sz w:val="18"/>
                <w:szCs w:val="18"/>
              </w:rPr>
              <w:t>amin</w:t>
            </w:r>
            <w:r w:rsidRPr="00A7618E">
              <w:rPr>
                <w:rFonts w:ascii="Arial Narrow" w:hAnsi="Arial Narrow"/>
                <w:color w:val="000000"/>
                <w:sz w:val="18"/>
                <w:szCs w:val="18"/>
              </w:rPr>
              <w:t xml:space="preserve"> D test</w:t>
            </w:r>
            <w:r>
              <w:rPr>
                <w:rFonts w:ascii="Arial Narrow" w:hAnsi="Arial Narrow"/>
                <w:color w:val="000000"/>
                <w:sz w:val="18"/>
                <w:szCs w:val="18"/>
              </w:rPr>
              <w:t xml:space="preserve"> -</w:t>
            </w:r>
            <w:r w:rsidRPr="00A7618E">
              <w:rPr>
                <w:rFonts w:ascii="Arial Narrow" w:hAnsi="Arial Narrow"/>
                <w:color w:val="000000"/>
                <w:sz w:val="18"/>
                <w:szCs w:val="18"/>
              </w:rPr>
              <w:t xml:space="preserve"> 15%</w:t>
            </w:r>
            <w:r>
              <w:rPr>
                <w:rFonts w:ascii="Arial Narrow" w:hAnsi="Arial Narrow"/>
                <w:color w:val="000000"/>
                <w:sz w:val="18"/>
                <w:szCs w:val="18"/>
              </w:rPr>
              <w:t xml:space="preserve"> co-payment</w:t>
            </w:r>
          </w:p>
        </w:tc>
        <w:tc>
          <w:tcPr>
            <w:tcW w:w="993" w:type="dxa"/>
            <w:noWrap/>
            <w:vAlign w:val="bottom"/>
          </w:tcPr>
          <w:p w:rsidR="007920E3" w:rsidRPr="00A7618E" w:rsidRDefault="007920E3" w:rsidP="00DF3C75">
            <w:pPr>
              <w:jc w:val="right"/>
              <w:rPr>
                <w:rFonts w:ascii="Arial Narrow" w:hAnsi="Arial Narrow"/>
                <w:bCs/>
                <w:color w:val="000000"/>
                <w:sz w:val="18"/>
                <w:szCs w:val="18"/>
              </w:rPr>
            </w:pPr>
            <w:r w:rsidRPr="00A7618E">
              <w:rPr>
                <w:rFonts w:ascii="Arial Narrow" w:hAnsi="Arial Narrow"/>
                <w:bCs/>
                <w:color w:val="000000"/>
                <w:sz w:val="18"/>
                <w:szCs w:val="18"/>
              </w:rPr>
              <w:t>4.51</w:t>
            </w:r>
          </w:p>
        </w:tc>
        <w:tc>
          <w:tcPr>
            <w:tcW w:w="992"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26656</w:t>
            </w:r>
          </w:p>
        </w:tc>
        <w:tc>
          <w:tcPr>
            <w:tcW w:w="955"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27267</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27878</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28488</w:t>
            </w:r>
          </w:p>
        </w:tc>
        <w:tc>
          <w:tcPr>
            <w:tcW w:w="1119"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29099</w:t>
            </w:r>
          </w:p>
        </w:tc>
      </w:tr>
      <w:tr w:rsidR="007920E3" w:rsidRPr="00A7618E" w:rsidTr="00DF3C75">
        <w:trPr>
          <w:trHeight w:val="227"/>
        </w:trPr>
        <w:tc>
          <w:tcPr>
            <w:tcW w:w="2972" w:type="dxa"/>
            <w:noWrap/>
            <w:vAlign w:val="bottom"/>
          </w:tcPr>
          <w:p w:rsidR="007920E3" w:rsidRPr="00A7618E" w:rsidRDefault="007920E3" w:rsidP="00DF3C75">
            <w:pPr>
              <w:rPr>
                <w:rFonts w:ascii="Arial Narrow" w:hAnsi="Arial Narrow"/>
                <w:color w:val="000000"/>
                <w:sz w:val="18"/>
                <w:szCs w:val="18"/>
              </w:rPr>
            </w:pPr>
            <w:r w:rsidRPr="00A7618E">
              <w:rPr>
                <w:rFonts w:ascii="Arial Narrow" w:hAnsi="Arial Narrow"/>
                <w:color w:val="000000"/>
                <w:sz w:val="18"/>
                <w:szCs w:val="18"/>
              </w:rPr>
              <w:t xml:space="preserve">GP </w:t>
            </w:r>
            <w:r>
              <w:rPr>
                <w:rFonts w:ascii="Arial Narrow" w:hAnsi="Arial Narrow"/>
                <w:color w:val="000000"/>
                <w:sz w:val="18"/>
                <w:szCs w:val="18"/>
              </w:rPr>
              <w:t>visits</w:t>
            </w:r>
            <w:r w:rsidRPr="00A7618E">
              <w:rPr>
                <w:rFonts w:ascii="Arial Narrow" w:hAnsi="Arial Narrow"/>
                <w:color w:val="000000"/>
                <w:sz w:val="18"/>
                <w:szCs w:val="18"/>
              </w:rPr>
              <w:t xml:space="preserve"> </w:t>
            </w:r>
            <w:r>
              <w:rPr>
                <w:rFonts w:ascii="Arial Narrow" w:hAnsi="Arial Narrow"/>
                <w:color w:val="000000"/>
                <w:sz w:val="18"/>
                <w:szCs w:val="18"/>
              </w:rPr>
              <w:t xml:space="preserve">-assume </w:t>
            </w:r>
            <w:r w:rsidRPr="00A7618E">
              <w:rPr>
                <w:rFonts w:ascii="Arial Narrow" w:hAnsi="Arial Narrow"/>
                <w:color w:val="000000"/>
                <w:sz w:val="18"/>
                <w:szCs w:val="18"/>
              </w:rPr>
              <w:t>$140</w:t>
            </w:r>
            <w:r>
              <w:rPr>
                <w:rFonts w:ascii="Arial Narrow" w:hAnsi="Arial Narrow"/>
                <w:color w:val="000000"/>
                <w:sz w:val="18"/>
                <w:szCs w:val="18"/>
              </w:rPr>
              <w:t xml:space="preserve"> for 2 x item 23</w:t>
            </w:r>
          </w:p>
        </w:tc>
        <w:tc>
          <w:tcPr>
            <w:tcW w:w="993" w:type="dxa"/>
            <w:noWrap/>
            <w:vAlign w:val="bottom"/>
          </w:tcPr>
          <w:p w:rsidR="007920E3" w:rsidRPr="00A7618E" w:rsidRDefault="007920E3" w:rsidP="00DF3C75">
            <w:pPr>
              <w:jc w:val="right"/>
              <w:rPr>
                <w:rFonts w:ascii="Arial Narrow" w:hAnsi="Arial Narrow"/>
                <w:bCs/>
                <w:color w:val="000000"/>
                <w:sz w:val="18"/>
                <w:szCs w:val="18"/>
              </w:rPr>
            </w:pPr>
            <w:r w:rsidRPr="00A7618E">
              <w:rPr>
                <w:rFonts w:ascii="Arial Narrow" w:hAnsi="Arial Narrow"/>
                <w:bCs/>
                <w:color w:val="000000"/>
                <w:sz w:val="18"/>
                <w:szCs w:val="18"/>
              </w:rPr>
              <w:t>67.40</w:t>
            </w:r>
          </w:p>
        </w:tc>
        <w:tc>
          <w:tcPr>
            <w:tcW w:w="992"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58361</w:t>
            </w:r>
          </w:p>
        </w:tc>
        <w:tc>
          <w:tcPr>
            <w:tcW w:w="955"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118059</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179094</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241465</w:t>
            </w:r>
          </w:p>
        </w:tc>
        <w:tc>
          <w:tcPr>
            <w:tcW w:w="1119"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305174</w:t>
            </w:r>
          </w:p>
        </w:tc>
      </w:tr>
      <w:tr w:rsidR="007920E3" w:rsidRPr="00A7618E" w:rsidTr="00DF3C75">
        <w:trPr>
          <w:trHeight w:val="227"/>
        </w:trPr>
        <w:tc>
          <w:tcPr>
            <w:tcW w:w="2972" w:type="dxa"/>
            <w:noWrap/>
            <w:vAlign w:val="bottom"/>
          </w:tcPr>
          <w:p w:rsidR="007920E3" w:rsidRDefault="007920E3" w:rsidP="00DF3C75">
            <w:pPr>
              <w:rPr>
                <w:rFonts w:ascii="Arial Narrow" w:hAnsi="Arial Narrow"/>
                <w:b/>
                <w:bCs/>
                <w:color w:val="000000"/>
                <w:sz w:val="18"/>
                <w:szCs w:val="18"/>
              </w:rPr>
            </w:pPr>
            <w:r>
              <w:rPr>
                <w:rFonts w:ascii="Arial Narrow" w:hAnsi="Arial Narrow"/>
                <w:b/>
                <w:bCs/>
                <w:color w:val="000000"/>
                <w:sz w:val="18"/>
                <w:szCs w:val="18"/>
              </w:rPr>
              <w:t>Total cost to patient (MBS)</w:t>
            </w:r>
          </w:p>
        </w:tc>
        <w:tc>
          <w:tcPr>
            <w:tcW w:w="993" w:type="dxa"/>
            <w:noWrap/>
            <w:vAlign w:val="bottom"/>
          </w:tcPr>
          <w:p w:rsidR="007920E3" w:rsidRPr="000552A8" w:rsidRDefault="007920E3" w:rsidP="00DF3C75">
            <w:pPr>
              <w:jc w:val="right"/>
              <w:rPr>
                <w:rFonts w:ascii="Arial Narrow" w:hAnsi="Arial Narrow"/>
                <w:bCs/>
                <w:color w:val="000000"/>
                <w:sz w:val="18"/>
                <w:szCs w:val="18"/>
              </w:rPr>
            </w:pPr>
          </w:p>
        </w:tc>
        <w:tc>
          <w:tcPr>
            <w:tcW w:w="992" w:type="dxa"/>
            <w:noWrap/>
            <w:vAlign w:val="bottom"/>
          </w:tcPr>
          <w:p w:rsidR="007920E3" w:rsidRPr="00A7618E" w:rsidRDefault="007920E3" w:rsidP="00DF3C75">
            <w:pPr>
              <w:jc w:val="right"/>
              <w:rPr>
                <w:rFonts w:ascii="Arial Narrow" w:hAnsi="Arial Narrow"/>
                <w:b/>
                <w:color w:val="000000"/>
                <w:sz w:val="18"/>
                <w:szCs w:val="18"/>
              </w:rPr>
            </w:pPr>
            <w:r>
              <w:rPr>
                <w:rFonts w:ascii="Arial Narrow" w:hAnsi="Arial Narrow"/>
                <w:b/>
                <w:color w:val="000000"/>
                <w:sz w:val="18"/>
                <w:szCs w:val="18"/>
              </w:rPr>
              <w:t>$</w:t>
            </w:r>
            <w:r w:rsidRPr="00A7618E">
              <w:rPr>
                <w:rFonts w:ascii="Arial Narrow" w:hAnsi="Arial Narrow"/>
                <w:b/>
                <w:color w:val="000000"/>
                <w:sz w:val="18"/>
                <w:szCs w:val="18"/>
              </w:rPr>
              <w:t>175</w:t>
            </w:r>
            <w:r>
              <w:rPr>
                <w:rFonts w:ascii="Arial Narrow" w:hAnsi="Arial Narrow"/>
                <w:b/>
                <w:color w:val="000000"/>
                <w:sz w:val="18"/>
                <w:szCs w:val="18"/>
              </w:rPr>
              <w:t>,</w:t>
            </w:r>
            <w:r w:rsidRPr="00A7618E">
              <w:rPr>
                <w:rFonts w:ascii="Arial Narrow" w:hAnsi="Arial Narrow"/>
                <w:b/>
                <w:color w:val="000000"/>
                <w:sz w:val="18"/>
                <w:szCs w:val="18"/>
              </w:rPr>
              <w:t>803</w:t>
            </w:r>
          </w:p>
        </w:tc>
        <w:tc>
          <w:tcPr>
            <w:tcW w:w="955" w:type="dxa"/>
            <w:noWrap/>
            <w:vAlign w:val="bottom"/>
          </w:tcPr>
          <w:p w:rsidR="007920E3" w:rsidRPr="00A7618E"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A7618E">
              <w:rPr>
                <w:rFonts w:ascii="Arial Narrow" w:hAnsi="Arial Narrow"/>
                <w:b/>
                <w:bCs/>
                <w:color w:val="000000"/>
                <w:sz w:val="18"/>
                <w:szCs w:val="18"/>
              </w:rPr>
              <w:t>238</w:t>
            </w:r>
            <w:r>
              <w:rPr>
                <w:rFonts w:ascii="Arial Narrow" w:hAnsi="Arial Narrow"/>
                <w:b/>
                <w:bCs/>
                <w:color w:val="000000"/>
                <w:sz w:val="18"/>
                <w:szCs w:val="18"/>
              </w:rPr>
              <w:t>,</w:t>
            </w:r>
            <w:r w:rsidRPr="00A7618E">
              <w:rPr>
                <w:rFonts w:ascii="Arial Narrow" w:hAnsi="Arial Narrow"/>
                <w:b/>
                <w:bCs/>
                <w:color w:val="000000"/>
                <w:sz w:val="18"/>
                <w:szCs w:val="18"/>
              </w:rPr>
              <w:t>191</w:t>
            </w:r>
          </w:p>
        </w:tc>
        <w:tc>
          <w:tcPr>
            <w:tcW w:w="996" w:type="dxa"/>
            <w:noWrap/>
            <w:vAlign w:val="bottom"/>
          </w:tcPr>
          <w:p w:rsidR="007920E3" w:rsidRPr="00A7618E"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A7618E">
              <w:rPr>
                <w:rFonts w:ascii="Arial Narrow" w:hAnsi="Arial Narrow"/>
                <w:b/>
                <w:bCs/>
                <w:color w:val="000000"/>
                <w:sz w:val="18"/>
                <w:szCs w:val="18"/>
              </w:rPr>
              <w:t>392</w:t>
            </w:r>
            <w:r>
              <w:rPr>
                <w:rFonts w:ascii="Arial Narrow" w:hAnsi="Arial Narrow"/>
                <w:b/>
                <w:bCs/>
                <w:color w:val="000000"/>
                <w:sz w:val="18"/>
                <w:szCs w:val="18"/>
              </w:rPr>
              <w:t>,</w:t>
            </w:r>
            <w:r w:rsidRPr="00A7618E">
              <w:rPr>
                <w:rFonts w:ascii="Arial Narrow" w:hAnsi="Arial Narrow"/>
                <w:b/>
                <w:bCs/>
                <w:color w:val="000000"/>
                <w:sz w:val="18"/>
                <w:szCs w:val="18"/>
              </w:rPr>
              <w:t>701</w:t>
            </w:r>
          </w:p>
        </w:tc>
        <w:tc>
          <w:tcPr>
            <w:tcW w:w="996" w:type="dxa"/>
            <w:noWrap/>
            <w:vAlign w:val="bottom"/>
          </w:tcPr>
          <w:p w:rsidR="007920E3" w:rsidRPr="00A7618E"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A7618E">
              <w:rPr>
                <w:rFonts w:ascii="Arial Narrow" w:hAnsi="Arial Narrow"/>
                <w:b/>
                <w:bCs/>
                <w:color w:val="000000"/>
                <w:sz w:val="18"/>
                <w:szCs w:val="18"/>
              </w:rPr>
              <w:t>459</w:t>
            </w:r>
            <w:r>
              <w:rPr>
                <w:rFonts w:ascii="Arial Narrow" w:hAnsi="Arial Narrow"/>
                <w:b/>
                <w:bCs/>
                <w:color w:val="000000"/>
                <w:sz w:val="18"/>
                <w:szCs w:val="18"/>
              </w:rPr>
              <w:t>,</w:t>
            </w:r>
            <w:r w:rsidRPr="00A7618E">
              <w:rPr>
                <w:rFonts w:ascii="Arial Narrow" w:hAnsi="Arial Narrow"/>
                <w:b/>
                <w:bCs/>
                <w:color w:val="000000"/>
                <w:sz w:val="18"/>
                <w:szCs w:val="18"/>
              </w:rPr>
              <w:t>843</w:t>
            </w:r>
          </w:p>
        </w:tc>
        <w:tc>
          <w:tcPr>
            <w:tcW w:w="1119" w:type="dxa"/>
            <w:noWrap/>
            <w:vAlign w:val="bottom"/>
          </w:tcPr>
          <w:p w:rsidR="007920E3" w:rsidRPr="00A7618E"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r w:rsidRPr="00A7618E">
              <w:rPr>
                <w:rFonts w:ascii="Arial Narrow" w:hAnsi="Arial Narrow"/>
                <w:b/>
                <w:bCs/>
                <w:color w:val="000000"/>
                <w:sz w:val="18"/>
                <w:szCs w:val="18"/>
              </w:rPr>
              <w:t>619</w:t>
            </w:r>
            <w:r>
              <w:rPr>
                <w:rFonts w:ascii="Arial Narrow" w:hAnsi="Arial Narrow"/>
                <w:b/>
                <w:bCs/>
                <w:color w:val="000000"/>
                <w:sz w:val="18"/>
                <w:szCs w:val="18"/>
              </w:rPr>
              <w:t>,</w:t>
            </w:r>
            <w:r w:rsidRPr="00A7618E">
              <w:rPr>
                <w:rFonts w:ascii="Arial Narrow" w:hAnsi="Arial Narrow"/>
                <w:b/>
                <w:bCs/>
                <w:color w:val="000000"/>
                <w:sz w:val="18"/>
                <w:szCs w:val="18"/>
              </w:rPr>
              <w:t>106</w:t>
            </w:r>
          </w:p>
        </w:tc>
      </w:tr>
      <w:tr w:rsidR="007920E3" w:rsidRPr="00A7618E" w:rsidTr="00DF3C75">
        <w:trPr>
          <w:trHeight w:val="227"/>
        </w:trPr>
        <w:tc>
          <w:tcPr>
            <w:tcW w:w="2972" w:type="dxa"/>
            <w:noWrap/>
            <w:vAlign w:val="bottom"/>
          </w:tcPr>
          <w:p w:rsidR="007920E3" w:rsidRPr="00A7618E" w:rsidRDefault="007920E3" w:rsidP="00DF3C75">
            <w:pPr>
              <w:rPr>
                <w:rFonts w:ascii="Arial Narrow" w:hAnsi="Arial Narrow"/>
                <w:b/>
                <w:bCs/>
                <w:color w:val="000000"/>
                <w:sz w:val="18"/>
                <w:szCs w:val="18"/>
              </w:rPr>
            </w:pPr>
            <w:r>
              <w:rPr>
                <w:rFonts w:ascii="Arial Narrow" w:hAnsi="Arial Narrow"/>
                <w:b/>
                <w:bCs/>
                <w:color w:val="000000"/>
                <w:sz w:val="18"/>
                <w:szCs w:val="18"/>
              </w:rPr>
              <w:t xml:space="preserve">PBS medication costs: </w:t>
            </w:r>
            <w:r w:rsidRPr="00A7618E">
              <w:rPr>
                <w:rFonts w:ascii="Arial Narrow" w:hAnsi="Arial Narrow"/>
                <w:b/>
                <w:bCs/>
                <w:color w:val="000000"/>
                <w:sz w:val="18"/>
                <w:szCs w:val="18"/>
              </w:rPr>
              <w:t xml:space="preserve">AR therapy </w:t>
            </w:r>
          </w:p>
        </w:tc>
        <w:tc>
          <w:tcPr>
            <w:tcW w:w="993" w:type="dxa"/>
            <w:noWrap/>
            <w:vAlign w:val="bottom"/>
          </w:tcPr>
          <w:p w:rsidR="007920E3" w:rsidRPr="00A7618E" w:rsidRDefault="007920E3" w:rsidP="00DF3C75">
            <w:pPr>
              <w:jc w:val="right"/>
              <w:rPr>
                <w:rFonts w:ascii="Arial Narrow" w:hAnsi="Arial Narrow"/>
                <w:bCs/>
                <w:color w:val="000000"/>
                <w:sz w:val="18"/>
                <w:szCs w:val="18"/>
              </w:rPr>
            </w:pPr>
            <w:r w:rsidRPr="000552A8">
              <w:rPr>
                <w:rFonts w:ascii="Arial Narrow" w:hAnsi="Arial Narrow"/>
                <w:bCs/>
                <w:color w:val="000000"/>
                <w:sz w:val="18"/>
                <w:szCs w:val="18"/>
              </w:rPr>
              <w:t>Annual</w:t>
            </w:r>
          </w:p>
        </w:tc>
        <w:tc>
          <w:tcPr>
            <w:tcW w:w="992" w:type="dxa"/>
            <w:noWrap/>
            <w:vAlign w:val="bottom"/>
          </w:tcPr>
          <w:p w:rsidR="007920E3" w:rsidRPr="00A7618E" w:rsidRDefault="007920E3" w:rsidP="00DF3C75">
            <w:pPr>
              <w:jc w:val="right"/>
              <w:rPr>
                <w:rFonts w:ascii="Arial Narrow" w:hAnsi="Arial Narrow"/>
                <w:color w:val="000000"/>
                <w:sz w:val="18"/>
                <w:szCs w:val="18"/>
              </w:rPr>
            </w:pPr>
            <w:r>
              <w:rPr>
                <w:rFonts w:ascii="Arial Narrow" w:hAnsi="Arial Narrow"/>
                <w:color w:val="000000"/>
                <w:sz w:val="18"/>
                <w:szCs w:val="18"/>
              </w:rPr>
              <w:t>-</w:t>
            </w:r>
          </w:p>
        </w:tc>
        <w:tc>
          <w:tcPr>
            <w:tcW w:w="955" w:type="dxa"/>
            <w:noWrap/>
            <w:vAlign w:val="bottom"/>
          </w:tcPr>
          <w:p w:rsidR="007920E3" w:rsidRPr="00A7618E" w:rsidRDefault="007920E3" w:rsidP="00DF3C75">
            <w:pPr>
              <w:jc w:val="right"/>
              <w:rPr>
                <w:rFonts w:ascii="Arial Narrow" w:hAnsi="Arial Narrow"/>
                <w:color w:val="000000"/>
                <w:sz w:val="18"/>
                <w:szCs w:val="18"/>
              </w:rPr>
            </w:pPr>
            <w:r>
              <w:rPr>
                <w:rFonts w:ascii="Arial Narrow" w:hAnsi="Arial Narrow"/>
                <w:color w:val="000000"/>
                <w:sz w:val="18"/>
                <w:szCs w:val="18"/>
              </w:rPr>
              <w:t>-</w:t>
            </w:r>
          </w:p>
        </w:tc>
        <w:tc>
          <w:tcPr>
            <w:tcW w:w="996" w:type="dxa"/>
            <w:noWrap/>
            <w:vAlign w:val="bottom"/>
          </w:tcPr>
          <w:p w:rsidR="007920E3" w:rsidRPr="00A7618E" w:rsidRDefault="007920E3" w:rsidP="00DF3C75">
            <w:pPr>
              <w:jc w:val="right"/>
              <w:rPr>
                <w:rFonts w:ascii="Arial Narrow" w:hAnsi="Arial Narrow"/>
                <w:color w:val="000000"/>
                <w:sz w:val="18"/>
                <w:szCs w:val="18"/>
              </w:rPr>
            </w:pPr>
            <w:r>
              <w:rPr>
                <w:rFonts w:ascii="Arial Narrow" w:hAnsi="Arial Narrow"/>
                <w:color w:val="000000"/>
                <w:sz w:val="18"/>
                <w:szCs w:val="18"/>
              </w:rPr>
              <w:t>-</w:t>
            </w:r>
          </w:p>
        </w:tc>
        <w:tc>
          <w:tcPr>
            <w:tcW w:w="996" w:type="dxa"/>
            <w:noWrap/>
            <w:vAlign w:val="bottom"/>
          </w:tcPr>
          <w:p w:rsidR="007920E3" w:rsidRPr="00A7618E" w:rsidRDefault="007920E3" w:rsidP="00DF3C75">
            <w:pPr>
              <w:jc w:val="right"/>
              <w:rPr>
                <w:rFonts w:ascii="Arial Narrow" w:hAnsi="Arial Narrow"/>
                <w:color w:val="000000"/>
                <w:sz w:val="18"/>
                <w:szCs w:val="18"/>
              </w:rPr>
            </w:pPr>
            <w:r>
              <w:rPr>
                <w:rFonts w:ascii="Arial Narrow" w:hAnsi="Arial Narrow"/>
                <w:color w:val="000000"/>
                <w:sz w:val="18"/>
                <w:szCs w:val="18"/>
              </w:rPr>
              <w:t>-</w:t>
            </w:r>
          </w:p>
        </w:tc>
        <w:tc>
          <w:tcPr>
            <w:tcW w:w="1119"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0</w:t>
            </w:r>
          </w:p>
        </w:tc>
      </w:tr>
      <w:tr w:rsidR="007920E3" w:rsidRPr="00A7618E" w:rsidTr="00DF3C75">
        <w:trPr>
          <w:trHeight w:val="227"/>
        </w:trPr>
        <w:tc>
          <w:tcPr>
            <w:tcW w:w="2972" w:type="dxa"/>
            <w:noWrap/>
            <w:vAlign w:val="bottom"/>
          </w:tcPr>
          <w:p w:rsidR="007920E3" w:rsidRPr="00FF7C35" w:rsidRDefault="007920E3" w:rsidP="00DF3C75">
            <w:pPr>
              <w:pStyle w:val="TableText0"/>
              <w:spacing w:after="0"/>
              <w:rPr>
                <w:lang w:eastAsia="en-AU"/>
              </w:rPr>
            </w:pPr>
            <w:r w:rsidRPr="00FF7C35">
              <w:rPr>
                <w:lang w:eastAsia="en-AU"/>
              </w:rPr>
              <w:t>General ordinary patients =36%</w:t>
            </w:r>
          </w:p>
        </w:tc>
        <w:tc>
          <w:tcPr>
            <w:tcW w:w="993" w:type="dxa"/>
            <w:noWrap/>
            <w:vAlign w:val="bottom"/>
          </w:tcPr>
          <w:p w:rsidR="007920E3" w:rsidRPr="00A7618E" w:rsidRDefault="007920E3" w:rsidP="00DF3C75">
            <w:pPr>
              <w:jc w:val="right"/>
              <w:rPr>
                <w:rFonts w:ascii="Arial Narrow" w:hAnsi="Arial Narrow"/>
                <w:bCs/>
                <w:color w:val="000000"/>
                <w:sz w:val="18"/>
                <w:szCs w:val="18"/>
              </w:rPr>
            </w:pPr>
            <w:r w:rsidRPr="00A7618E">
              <w:rPr>
                <w:rFonts w:ascii="Arial Narrow" w:hAnsi="Arial Narrow"/>
                <w:bCs/>
                <w:color w:val="000000"/>
                <w:sz w:val="18"/>
                <w:szCs w:val="18"/>
              </w:rPr>
              <w:t>162.86</w:t>
            </w:r>
          </w:p>
        </w:tc>
        <w:tc>
          <w:tcPr>
            <w:tcW w:w="992"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141022</w:t>
            </w:r>
          </w:p>
        </w:tc>
        <w:tc>
          <w:tcPr>
            <w:tcW w:w="955"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285275</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432758</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583472</w:t>
            </w:r>
          </w:p>
        </w:tc>
        <w:tc>
          <w:tcPr>
            <w:tcW w:w="1119"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737415</w:t>
            </w:r>
          </w:p>
        </w:tc>
      </w:tr>
      <w:tr w:rsidR="007920E3" w:rsidRPr="00A7618E" w:rsidTr="00DF3C75">
        <w:trPr>
          <w:trHeight w:val="227"/>
        </w:trPr>
        <w:tc>
          <w:tcPr>
            <w:tcW w:w="2972" w:type="dxa"/>
            <w:noWrap/>
            <w:vAlign w:val="bottom"/>
          </w:tcPr>
          <w:p w:rsidR="007920E3" w:rsidRPr="00FF7C35" w:rsidRDefault="007920E3" w:rsidP="00DF3C75">
            <w:pPr>
              <w:pStyle w:val="TableText0"/>
              <w:spacing w:after="0"/>
              <w:rPr>
                <w:lang w:eastAsia="en-AU"/>
              </w:rPr>
            </w:pPr>
            <w:r w:rsidRPr="00FF7C35">
              <w:rPr>
                <w:lang w:eastAsia="en-AU"/>
              </w:rPr>
              <w:t>General safety net patients =2%</w:t>
            </w:r>
          </w:p>
        </w:tc>
        <w:tc>
          <w:tcPr>
            <w:tcW w:w="993" w:type="dxa"/>
            <w:noWrap/>
            <w:vAlign w:val="bottom"/>
          </w:tcPr>
          <w:p w:rsidR="007920E3" w:rsidRPr="00A7618E" w:rsidRDefault="007920E3" w:rsidP="00DF3C75">
            <w:pPr>
              <w:jc w:val="right"/>
              <w:rPr>
                <w:rFonts w:ascii="Arial Narrow" w:hAnsi="Arial Narrow"/>
                <w:bCs/>
                <w:color w:val="000000"/>
                <w:sz w:val="18"/>
                <w:szCs w:val="18"/>
              </w:rPr>
            </w:pPr>
            <w:r w:rsidRPr="00A7618E">
              <w:rPr>
                <w:rFonts w:ascii="Arial Narrow" w:hAnsi="Arial Narrow"/>
                <w:bCs/>
                <w:color w:val="000000"/>
                <w:sz w:val="18"/>
                <w:szCs w:val="18"/>
              </w:rPr>
              <w:t>1.46</w:t>
            </w:r>
          </w:p>
        </w:tc>
        <w:tc>
          <w:tcPr>
            <w:tcW w:w="992"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1264</w:t>
            </w:r>
          </w:p>
        </w:tc>
        <w:tc>
          <w:tcPr>
            <w:tcW w:w="955"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2557</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3879</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5231</w:t>
            </w:r>
          </w:p>
        </w:tc>
        <w:tc>
          <w:tcPr>
            <w:tcW w:w="1119"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6611</w:t>
            </w:r>
          </w:p>
        </w:tc>
      </w:tr>
      <w:tr w:rsidR="007920E3" w:rsidRPr="00A7618E" w:rsidTr="00DF3C75">
        <w:trPr>
          <w:trHeight w:val="227"/>
        </w:trPr>
        <w:tc>
          <w:tcPr>
            <w:tcW w:w="2972" w:type="dxa"/>
            <w:noWrap/>
            <w:vAlign w:val="bottom"/>
          </w:tcPr>
          <w:p w:rsidR="007920E3" w:rsidRPr="00FF7C35" w:rsidRDefault="007920E3" w:rsidP="00DF3C75">
            <w:pPr>
              <w:pStyle w:val="TableText0"/>
              <w:spacing w:after="0"/>
              <w:rPr>
                <w:lang w:eastAsia="en-AU"/>
              </w:rPr>
            </w:pPr>
            <w:r w:rsidRPr="00FF7C35">
              <w:rPr>
                <w:lang w:eastAsia="en-AU"/>
              </w:rPr>
              <w:t>Concessional ordinary =50%</w:t>
            </w:r>
          </w:p>
        </w:tc>
        <w:tc>
          <w:tcPr>
            <w:tcW w:w="993" w:type="dxa"/>
            <w:noWrap/>
            <w:vAlign w:val="bottom"/>
          </w:tcPr>
          <w:p w:rsidR="007920E3" w:rsidRPr="00A7618E" w:rsidRDefault="007920E3" w:rsidP="00DF3C75">
            <w:pPr>
              <w:jc w:val="right"/>
              <w:rPr>
                <w:rFonts w:ascii="Arial Narrow" w:hAnsi="Arial Narrow"/>
                <w:bCs/>
                <w:color w:val="000000"/>
                <w:sz w:val="18"/>
                <w:szCs w:val="18"/>
              </w:rPr>
            </w:pPr>
            <w:r w:rsidRPr="00A7618E">
              <w:rPr>
                <w:rFonts w:ascii="Arial Narrow" w:hAnsi="Arial Narrow"/>
                <w:bCs/>
                <w:color w:val="000000"/>
                <w:sz w:val="18"/>
                <w:szCs w:val="18"/>
              </w:rPr>
              <w:t>36.60</w:t>
            </w:r>
          </w:p>
        </w:tc>
        <w:tc>
          <w:tcPr>
            <w:tcW w:w="992"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31692</w:t>
            </w:r>
          </w:p>
        </w:tc>
        <w:tc>
          <w:tcPr>
            <w:tcW w:w="955"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64109</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97253</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131122</w:t>
            </w:r>
          </w:p>
        </w:tc>
        <w:tc>
          <w:tcPr>
            <w:tcW w:w="1119"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165717</w:t>
            </w:r>
          </w:p>
        </w:tc>
      </w:tr>
      <w:tr w:rsidR="007920E3" w:rsidRPr="00A7618E" w:rsidTr="00DF3C75">
        <w:trPr>
          <w:trHeight w:val="227"/>
        </w:trPr>
        <w:tc>
          <w:tcPr>
            <w:tcW w:w="2972" w:type="dxa"/>
            <w:noWrap/>
            <w:vAlign w:val="bottom"/>
          </w:tcPr>
          <w:p w:rsidR="007920E3" w:rsidRPr="00FF7C35" w:rsidRDefault="007920E3" w:rsidP="00DF3C75">
            <w:pPr>
              <w:pStyle w:val="TableText0"/>
              <w:spacing w:after="0"/>
              <w:rPr>
                <w:lang w:eastAsia="en-AU"/>
              </w:rPr>
            </w:pPr>
            <w:r w:rsidRPr="00FF7C35">
              <w:rPr>
                <w:lang w:eastAsia="en-AU"/>
              </w:rPr>
              <w:t>Concessional free safety net =12%</w:t>
            </w:r>
          </w:p>
        </w:tc>
        <w:tc>
          <w:tcPr>
            <w:tcW w:w="993" w:type="dxa"/>
            <w:noWrap/>
            <w:vAlign w:val="bottom"/>
          </w:tcPr>
          <w:p w:rsidR="007920E3" w:rsidRPr="00A7618E" w:rsidRDefault="007920E3" w:rsidP="00DF3C75">
            <w:pPr>
              <w:jc w:val="right"/>
              <w:rPr>
                <w:rFonts w:ascii="Arial Narrow" w:hAnsi="Arial Narrow"/>
                <w:bCs/>
                <w:color w:val="000000"/>
                <w:sz w:val="18"/>
                <w:szCs w:val="18"/>
              </w:rPr>
            </w:pPr>
            <w:r w:rsidRPr="00A7618E">
              <w:rPr>
                <w:rFonts w:ascii="Arial Narrow" w:hAnsi="Arial Narrow"/>
                <w:bCs/>
                <w:color w:val="000000"/>
                <w:sz w:val="18"/>
                <w:szCs w:val="18"/>
              </w:rPr>
              <w:t>0</w:t>
            </w:r>
          </w:p>
        </w:tc>
        <w:tc>
          <w:tcPr>
            <w:tcW w:w="992"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0</w:t>
            </w:r>
          </w:p>
        </w:tc>
        <w:tc>
          <w:tcPr>
            <w:tcW w:w="955"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0</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0</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0</w:t>
            </w:r>
          </w:p>
        </w:tc>
        <w:tc>
          <w:tcPr>
            <w:tcW w:w="1119"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0</w:t>
            </w:r>
          </w:p>
        </w:tc>
      </w:tr>
      <w:tr w:rsidR="007920E3" w:rsidRPr="00A7618E" w:rsidTr="00DF3C75">
        <w:trPr>
          <w:trHeight w:val="227"/>
        </w:trPr>
        <w:tc>
          <w:tcPr>
            <w:tcW w:w="2972" w:type="dxa"/>
            <w:noWrap/>
            <w:vAlign w:val="bottom"/>
          </w:tcPr>
          <w:p w:rsidR="007920E3" w:rsidRPr="00A7618E" w:rsidRDefault="007920E3" w:rsidP="00DF3C75">
            <w:pPr>
              <w:rPr>
                <w:rFonts w:ascii="Arial Narrow" w:hAnsi="Arial Narrow"/>
                <w:color w:val="000000"/>
                <w:sz w:val="18"/>
                <w:szCs w:val="18"/>
              </w:rPr>
            </w:pPr>
            <w:r>
              <w:rPr>
                <w:rFonts w:ascii="Arial Narrow" w:hAnsi="Arial Narrow"/>
                <w:color w:val="000000"/>
                <w:sz w:val="18"/>
                <w:szCs w:val="18"/>
              </w:rPr>
              <w:t>Sub-total</w:t>
            </w:r>
          </w:p>
        </w:tc>
        <w:tc>
          <w:tcPr>
            <w:tcW w:w="993" w:type="dxa"/>
            <w:noWrap/>
            <w:vAlign w:val="bottom"/>
          </w:tcPr>
          <w:p w:rsidR="007920E3" w:rsidRPr="00A7618E" w:rsidRDefault="007920E3" w:rsidP="00DF3C75">
            <w:pPr>
              <w:jc w:val="right"/>
              <w:rPr>
                <w:rFonts w:ascii="Arial Narrow" w:hAnsi="Arial Narrow"/>
                <w:color w:val="000000"/>
                <w:sz w:val="18"/>
                <w:szCs w:val="18"/>
              </w:rPr>
            </w:pPr>
            <w:r>
              <w:rPr>
                <w:rFonts w:ascii="Arial Narrow" w:hAnsi="Arial Narrow"/>
                <w:color w:val="000000"/>
                <w:sz w:val="18"/>
                <w:szCs w:val="18"/>
              </w:rPr>
              <w:t>-</w:t>
            </w:r>
          </w:p>
        </w:tc>
        <w:tc>
          <w:tcPr>
            <w:tcW w:w="992"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173978</w:t>
            </w:r>
          </w:p>
        </w:tc>
        <w:tc>
          <w:tcPr>
            <w:tcW w:w="955"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351942</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533890</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719824</w:t>
            </w:r>
          </w:p>
        </w:tc>
        <w:tc>
          <w:tcPr>
            <w:tcW w:w="1119"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909743</w:t>
            </w:r>
          </w:p>
        </w:tc>
      </w:tr>
      <w:tr w:rsidR="007920E3" w:rsidRPr="00A7618E" w:rsidTr="00DF3C75">
        <w:trPr>
          <w:trHeight w:val="227"/>
        </w:trPr>
        <w:tc>
          <w:tcPr>
            <w:tcW w:w="2972" w:type="dxa"/>
            <w:noWrap/>
            <w:vAlign w:val="bottom"/>
          </w:tcPr>
          <w:p w:rsidR="007920E3" w:rsidRPr="00A7618E" w:rsidRDefault="007920E3" w:rsidP="00DF3C75">
            <w:pPr>
              <w:rPr>
                <w:rFonts w:ascii="Arial Narrow" w:hAnsi="Arial Narrow"/>
                <w:color w:val="000000"/>
                <w:sz w:val="18"/>
                <w:szCs w:val="18"/>
              </w:rPr>
            </w:pPr>
            <w:r>
              <w:rPr>
                <w:rFonts w:ascii="Arial Narrow" w:hAnsi="Arial Narrow"/>
                <w:color w:val="000000"/>
                <w:sz w:val="18"/>
                <w:szCs w:val="18"/>
              </w:rPr>
              <w:t>Adherence rate to AR therapy</w:t>
            </w:r>
          </w:p>
        </w:tc>
        <w:tc>
          <w:tcPr>
            <w:tcW w:w="993" w:type="dxa"/>
            <w:noWrap/>
            <w:vAlign w:val="bottom"/>
          </w:tcPr>
          <w:p w:rsidR="007920E3" w:rsidRPr="00A7618E" w:rsidRDefault="007920E3" w:rsidP="00DF3C75">
            <w:pPr>
              <w:jc w:val="right"/>
              <w:rPr>
                <w:rFonts w:ascii="Arial Narrow" w:hAnsi="Arial Narrow"/>
                <w:color w:val="000000"/>
                <w:sz w:val="18"/>
                <w:szCs w:val="18"/>
              </w:rPr>
            </w:pPr>
            <w:r>
              <w:rPr>
                <w:rFonts w:ascii="Arial Narrow" w:hAnsi="Arial Narrow"/>
                <w:color w:val="000000"/>
                <w:sz w:val="18"/>
                <w:szCs w:val="18"/>
              </w:rPr>
              <w:t>-</w:t>
            </w:r>
            <w:r w:rsidRPr="00A7618E">
              <w:rPr>
                <w:rFonts w:ascii="Arial Narrow" w:hAnsi="Arial Narrow"/>
                <w:color w:val="000000"/>
                <w:sz w:val="18"/>
                <w:szCs w:val="18"/>
              </w:rPr>
              <w:t xml:space="preserve"> </w:t>
            </w:r>
          </w:p>
        </w:tc>
        <w:tc>
          <w:tcPr>
            <w:tcW w:w="992"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40.5%</w:t>
            </w:r>
          </w:p>
        </w:tc>
        <w:tc>
          <w:tcPr>
            <w:tcW w:w="955"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40.5%</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40.5%</w:t>
            </w:r>
          </w:p>
        </w:tc>
        <w:tc>
          <w:tcPr>
            <w:tcW w:w="996"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40.5%</w:t>
            </w:r>
          </w:p>
        </w:tc>
        <w:tc>
          <w:tcPr>
            <w:tcW w:w="1119" w:type="dxa"/>
            <w:noWrap/>
            <w:vAlign w:val="bottom"/>
          </w:tcPr>
          <w:p w:rsidR="007920E3" w:rsidRPr="00A7618E" w:rsidRDefault="007920E3" w:rsidP="00DF3C75">
            <w:pPr>
              <w:jc w:val="right"/>
              <w:rPr>
                <w:rFonts w:ascii="Arial Narrow" w:hAnsi="Arial Narrow"/>
                <w:color w:val="000000"/>
                <w:sz w:val="18"/>
                <w:szCs w:val="18"/>
              </w:rPr>
            </w:pPr>
            <w:r w:rsidRPr="00A7618E">
              <w:rPr>
                <w:rFonts w:ascii="Arial Narrow" w:hAnsi="Arial Narrow"/>
                <w:color w:val="000000"/>
                <w:sz w:val="18"/>
                <w:szCs w:val="18"/>
              </w:rPr>
              <w:t>40.5%</w:t>
            </w:r>
          </w:p>
        </w:tc>
      </w:tr>
      <w:tr w:rsidR="007920E3" w:rsidRPr="00A7618E" w:rsidTr="00DF3C75">
        <w:trPr>
          <w:trHeight w:val="227"/>
        </w:trPr>
        <w:tc>
          <w:tcPr>
            <w:tcW w:w="2972" w:type="dxa"/>
            <w:noWrap/>
            <w:vAlign w:val="bottom"/>
          </w:tcPr>
          <w:p w:rsidR="007920E3" w:rsidRPr="00A7618E" w:rsidRDefault="007920E3" w:rsidP="00DF3C75">
            <w:pPr>
              <w:rPr>
                <w:rFonts w:ascii="Arial Narrow" w:hAnsi="Arial Narrow"/>
                <w:color w:val="000000"/>
                <w:sz w:val="18"/>
                <w:szCs w:val="18"/>
              </w:rPr>
            </w:pPr>
            <w:r>
              <w:rPr>
                <w:rFonts w:ascii="Arial Narrow" w:hAnsi="Arial Narrow"/>
                <w:b/>
                <w:bCs/>
                <w:color w:val="000000"/>
                <w:sz w:val="18"/>
                <w:szCs w:val="18"/>
              </w:rPr>
              <w:t>Total cost to patient (PBS)</w:t>
            </w:r>
            <w:r>
              <w:rPr>
                <w:rFonts w:ascii="Arial Narrow" w:hAnsi="Arial Narrow"/>
                <w:color w:val="000000"/>
                <w:sz w:val="18"/>
                <w:szCs w:val="18"/>
              </w:rPr>
              <w:t xml:space="preserve"> </w:t>
            </w:r>
            <w:r w:rsidRPr="000F61E7">
              <w:rPr>
                <w:rFonts w:ascii="Arial Narrow" w:hAnsi="Arial Narrow"/>
                <w:b/>
                <w:color w:val="000000"/>
                <w:sz w:val="18"/>
                <w:szCs w:val="18"/>
              </w:rPr>
              <w:t>AR therapy</w:t>
            </w:r>
          </w:p>
        </w:tc>
        <w:tc>
          <w:tcPr>
            <w:tcW w:w="993" w:type="dxa"/>
            <w:noWrap/>
            <w:vAlign w:val="bottom"/>
          </w:tcPr>
          <w:p w:rsidR="007920E3" w:rsidRPr="00A7618E" w:rsidRDefault="007920E3" w:rsidP="00DF3C75">
            <w:pPr>
              <w:jc w:val="right"/>
              <w:rPr>
                <w:rFonts w:ascii="Arial Narrow" w:hAnsi="Arial Narrow"/>
                <w:color w:val="000000"/>
                <w:sz w:val="18"/>
                <w:szCs w:val="18"/>
              </w:rPr>
            </w:pPr>
            <w:r>
              <w:rPr>
                <w:rFonts w:ascii="Arial Narrow" w:hAnsi="Arial Narrow"/>
                <w:color w:val="000000"/>
                <w:sz w:val="18"/>
                <w:szCs w:val="18"/>
              </w:rPr>
              <w:t>-</w:t>
            </w:r>
            <w:r w:rsidRPr="00A7618E">
              <w:rPr>
                <w:rFonts w:ascii="Arial Narrow" w:hAnsi="Arial Narrow"/>
                <w:color w:val="000000"/>
                <w:sz w:val="18"/>
                <w:szCs w:val="18"/>
              </w:rPr>
              <w:t xml:space="preserve">   </w:t>
            </w:r>
          </w:p>
        </w:tc>
        <w:tc>
          <w:tcPr>
            <w:tcW w:w="992" w:type="dxa"/>
            <w:noWrap/>
            <w:vAlign w:val="bottom"/>
          </w:tcPr>
          <w:p w:rsidR="007920E3" w:rsidRPr="00A7618E" w:rsidRDefault="007920E3" w:rsidP="00DF3C75">
            <w:pPr>
              <w:jc w:val="right"/>
              <w:rPr>
                <w:rFonts w:ascii="Arial Narrow" w:hAnsi="Arial Narrow"/>
                <w:b/>
                <w:color w:val="000000"/>
                <w:sz w:val="18"/>
                <w:szCs w:val="18"/>
              </w:rPr>
            </w:pPr>
            <w:r w:rsidRPr="00A7618E">
              <w:rPr>
                <w:rFonts w:ascii="Arial Narrow" w:hAnsi="Arial Narrow"/>
                <w:b/>
                <w:color w:val="000000"/>
                <w:sz w:val="18"/>
                <w:szCs w:val="18"/>
              </w:rPr>
              <w:t xml:space="preserve"> $70,461 </w:t>
            </w:r>
          </w:p>
        </w:tc>
        <w:tc>
          <w:tcPr>
            <w:tcW w:w="955" w:type="dxa"/>
            <w:noWrap/>
            <w:vAlign w:val="bottom"/>
          </w:tcPr>
          <w:p w:rsidR="007920E3" w:rsidRPr="00A7618E" w:rsidRDefault="007920E3" w:rsidP="00DF3C75">
            <w:pPr>
              <w:jc w:val="right"/>
              <w:rPr>
                <w:rFonts w:ascii="Arial Narrow" w:hAnsi="Arial Narrow"/>
                <w:b/>
                <w:color w:val="000000"/>
                <w:sz w:val="18"/>
                <w:szCs w:val="18"/>
              </w:rPr>
            </w:pPr>
            <w:r w:rsidRPr="00A7618E">
              <w:rPr>
                <w:rFonts w:ascii="Arial Narrow" w:hAnsi="Arial Narrow"/>
                <w:b/>
                <w:color w:val="000000"/>
                <w:sz w:val="18"/>
                <w:szCs w:val="18"/>
              </w:rPr>
              <w:t xml:space="preserve"> $142,536 </w:t>
            </w:r>
          </w:p>
        </w:tc>
        <w:tc>
          <w:tcPr>
            <w:tcW w:w="996" w:type="dxa"/>
            <w:noWrap/>
            <w:vAlign w:val="bottom"/>
          </w:tcPr>
          <w:p w:rsidR="007920E3" w:rsidRPr="00A7618E" w:rsidRDefault="007920E3" w:rsidP="00DF3C75">
            <w:pPr>
              <w:jc w:val="right"/>
              <w:rPr>
                <w:rFonts w:ascii="Arial Narrow" w:hAnsi="Arial Narrow"/>
                <w:b/>
                <w:color w:val="000000"/>
                <w:sz w:val="18"/>
                <w:szCs w:val="18"/>
              </w:rPr>
            </w:pPr>
            <w:r w:rsidRPr="00A7618E">
              <w:rPr>
                <w:rFonts w:ascii="Arial Narrow" w:hAnsi="Arial Narrow"/>
                <w:b/>
                <w:color w:val="000000"/>
                <w:sz w:val="18"/>
                <w:szCs w:val="18"/>
              </w:rPr>
              <w:t xml:space="preserve"> $216,226 </w:t>
            </w:r>
          </w:p>
        </w:tc>
        <w:tc>
          <w:tcPr>
            <w:tcW w:w="996" w:type="dxa"/>
            <w:noWrap/>
            <w:vAlign w:val="bottom"/>
          </w:tcPr>
          <w:p w:rsidR="007920E3" w:rsidRPr="00A7618E" w:rsidRDefault="007920E3" w:rsidP="00DF3C75">
            <w:pPr>
              <w:jc w:val="right"/>
              <w:rPr>
                <w:rFonts w:ascii="Arial Narrow" w:hAnsi="Arial Narrow"/>
                <w:b/>
                <w:color w:val="000000"/>
                <w:sz w:val="18"/>
                <w:szCs w:val="18"/>
              </w:rPr>
            </w:pPr>
            <w:r w:rsidRPr="00A7618E">
              <w:rPr>
                <w:rFonts w:ascii="Arial Narrow" w:hAnsi="Arial Narrow"/>
                <w:b/>
                <w:color w:val="000000"/>
                <w:sz w:val="18"/>
                <w:szCs w:val="18"/>
              </w:rPr>
              <w:t xml:space="preserve"> $291,529 </w:t>
            </w:r>
          </w:p>
        </w:tc>
        <w:tc>
          <w:tcPr>
            <w:tcW w:w="1119" w:type="dxa"/>
            <w:noWrap/>
            <w:vAlign w:val="bottom"/>
          </w:tcPr>
          <w:p w:rsidR="007920E3" w:rsidRPr="00A7618E" w:rsidRDefault="007920E3" w:rsidP="00DF3C75">
            <w:pPr>
              <w:jc w:val="right"/>
              <w:rPr>
                <w:rFonts w:ascii="Arial Narrow" w:hAnsi="Arial Narrow"/>
                <w:b/>
                <w:color w:val="000000"/>
                <w:sz w:val="18"/>
                <w:szCs w:val="18"/>
              </w:rPr>
            </w:pPr>
            <w:r w:rsidRPr="00A7618E">
              <w:rPr>
                <w:rFonts w:ascii="Arial Narrow" w:hAnsi="Arial Narrow"/>
                <w:b/>
                <w:color w:val="000000"/>
                <w:sz w:val="18"/>
                <w:szCs w:val="18"/>
              </w:rPr>
              <w:t xml:space="preserve"> $368,446 </w:t>
            </w:r>
          </w:p>
        </w:tc>
      </w:tr>
      <w:tr w:rsidR="007920E3" w:rsidRPr="00AC3181" w:rsidTr="00DF3C75">
        <w:trPr>
          <w:trHeight w:val="227"/>
        </w:trPr>
        <w:tc>
          <w:tcPr>
            <w:tcW w:w="2972" w:type="dxa"/>
            <w:noWrap/>
            <w:vAlign w:val="bottom"/>
          </w:tcPr>
          <w:p w:rsidR="007920E3" w:rsidRPr="00AC3181" w:rsidRDefault="007920E3" w:rsidP="00DF3C75">
            <w:pPr>
              <w:rPr>
                <w:rFonts w:ascii="Arial Narrow" w:hAnsi="Arial Narrow"/>
                <w:b/>
                <w:bCs/>
                <w:color w:val="000000"/>
                <w:sz w:val="18"/>
                <w:szCs w:val="18"/>
              </w:rPr>
            </w:pPr>
            <w:r w:rsidRPr="00AC3181">
              <w:rPr>
                <w:rFonts w:ascii="Arial Narrow" w:hAnsi="Arial Narrow"/>
                <w:bCs/>
                <w:color w:val="000000"/>
                <w:sz w:val="18"/>
                <w:szCs w:val="18"/>
              </w:rPr>
              <w:t>Cost for bone pain and fever</w:t>
            </w:r>
          </w:p>
        </w:tc>
        <w:tc>
          <w:tcPr>
            <w:tcW w:w="993" w:type="dxa"/>
            <w:noWrap/>
            <w:vAlign w:val="bottom"/>
          </w:tcPr>
          <w:p w:rsidR="007920E3" w:rsidRPr="00AC3181" w:rsidRDefault="007920E3" w:rsidP="00DF3C75">
            <w:pPr>
              <w:jc w:val="right"/>
              <w:rPr>
                <w:rFonts w:ascii="Arial Narrow" w:hAnsi="Arial Narrow"/>
                <w:bCs/>
                <w:color w:val="000000"/>
                <w:sz w:val="18"/>
                <w:szCs w:val="18"/>
              </w:rPr>
            </w:pPr>
            <w:r w:rsidRPr="00AC3181">
              <w:rPr>
                <w:rFonts w:ascii="Arial Narrow" w:hAnsi="Arial Narrow"/>
                <w:bCs/>
                <w:color w:val="000000"/>
                <w:sz w:val="18"/>
                <w:szCs w:val="18"/>
              </w:rPr>
              <w:t>2.70</w:t>
            </w:r>
          </w:p>
        </w:tc>
        <w:tc>
          <w:tcPr>
            <w:tcW w:w="992" w:type="dxa"/>
            <w:noWrap/>
            <w:vAlign w:val="bottom"/>
          </w:tcPr>
          <w:p w:rsidR="007920E3" w:rsidRPr="00AC3181" w:rsidRDefault="007920E3" w:rsidP="00DF3C75">
            <w:pPr>
              <w:jc w:val="right"/>
              <w:rPr>
                <w:rFonts w:ascii="Arial Narrow" w:hAnsi="Arial Narrow"/>
                <w:color w:val="000000"/>
                <w:sz w:val="18"/>
                <w:szCs w:val="18"/>
              </w:rPr>
            </w:pPr>
            <w:r>
              <w:rPr>
                <w:rFonts w:ascii="Arial Narrow" w:hAnsi="Arial Narrow"/>
                <w:color w:val="000000"/>
                <w:sz w:val="18"/>
                <w:szCs w:val="18"/>
              </w:rPr>
              <w:t>$</w:t>
            </w:r>
            <w:r w:rsidRPr="00AC3181">
              <w:rPr>
                <w:rFonts w:ascii="Arial Narrow" w:hAnsi="Arial Narrow"/>
                <w:color w:val="000000"/>
                <w:sz w:val="18"/>
                <w:szCs w:val="18"/>
              </w:rPr>
              <w:t>2</w:t>
            </w:r>
            <w:r>
              <w:rPr>
                <w:rFonts w:ascii="Arial Narrow" w:hAnsi="Arial Narrow"/>
                <w:color w:val="000000"/>
                <w:sz w:val="18"/>
                <w:szCs w:val="18"/>
              </w:rPr>
              <w:t>,</w:t>
            </w:r>
            <w:r w:rsidRPr="00AC3181">
              <w:rPr>
                <w:rFonts w:ascii="Arial Narrow" w:hAnsi="Arial Narrow"/>
                <w:color w:val="000000"/>
                <w:sz w:val="18"/>
                <w:szCs w:val="18"/>
              </w:rPr>
              <w:t>338</w:t>
            </w:r>
          </w:p>
        </w:tc>
        <w:tc>
          <w:tcPr>
            <w:tcW w:w="955" w:type="dxa"/>
            <w:noWrap/>
            <w:vAlign w:val="bottom"/>
          </w:tcPr>
          <w:p w:rsidR="007920E3" w:rsidRPr="00AC3181" w:rsidRDefault="007920E3" w:rsidP="00DF3C75">
            <w:pPr>
              <w:jc w:val="right"/>
              <w:rPr>
                <w:rFonts w:ascii="Arial Narrow" w:hAnsi="Arial Narrow"/>
                <w:color w:val="000000"/>
                <w:sz w:val="18"/>
                <w:szCs w:val="18"/>
              </w:rPr>
            </w:pPr>
            <w:r>
              <w:rPr>
                <w:rFonts w:ascii="Arial Narrow" w:hAnsi="Arial Narrow"/>
                <w:color w:val="000000"/>
                <w:sz w:val="18"/>
                <w:szCs w:val="18"/>
              </w:rPr>
              <w:t>$</w:t>
            </w:r>
            <w:r w:rsidRPr="00AC3181">
              <w:rPr>
                <w:rFonts w:ascii="Arial Narrow" w:hAnsi="Arial Narrow"/>
                <w:color w:val="000000"/>
                <w:sz w:val="18"/>
                <w:szCs w:val="18"/>
              </w:rPr>
              <w:t>4</w:t>
            </w:r>
            <w:r>
              <w:rPr>
                <w:rFonts w:ascii="Arial Narrow" w:hAnsi="Arial Narrow"/>
                <w:color w:val="000000"/>
                <w:sz w:val="18"/>
                <w:szCs w:val="18"/>
              </w:rPr>
              <w:t>,</w:t>
            </w:r>
            <w:r w:rsidRPr="00AC3181">
              <w:rPr>
                <w:rFonts w:ascii="Arial Narrow" w:hAnsi="Arial Narrow"/>
                <w:color w:val="000000"/>
                <w:sz w:val="18"/>
                <w:szCs w:val="18"/>
              </w:rPr>
              <w:t>729</w:t>
            </w:r>
          </w:p>
        </w:tc>
        <w:tc>
          <w:tcPr>
            <w:tcW w:w="996" w:type="dxa"/>
            <w:noWrap/>
            <w:vAlign w:val="bottom"/>
          </w:tcPr>
          <w:p w:rsidR="007920E3" w:rsidRPr="00AC3181" w:rsidRDefault="007920E3" w:rsidP="00DF3C75">
            <w:pPr>
              <w:jc w:val="right"/>
              <w:rPr>
                <w:rFonts w:ascii="Arial Narrow" w:hAnsi="Arial Narrow"/>
                <w:color w:val="000000"/>
                <w:sz w:val="18"/>
                <w:szCs w:val="18"/>
              </w:rPr>
            </w:pPr>
            <w:r>
              <w:rPr>
                <w:rFonts w:ascii="Arial Narrow" w:hAnsi="Arial Narrow"/>
                <w:color w:val="000000"/>
                <w:sz w:val="18"/>
                <w:szCs w:val="18"/>
              </w:rPr>
              <w:t>$</w:t>
            </w:r>
            <w:r w:rsidRPr="00AC3181">
              <w:rPr>
                <w:rFonts w:ascii="Arial Narrow" w:hAnsi="Arial Narrow"/>
                <w:color w:val="000000"/>
                <w:sz w:val="18"/>
                <w:szCs w:val="18"/>
              </w:rPr>
              <w:t>7</w:t>
            </w:r>
            <w:r>
              <w:rPr>
                <w:rFonts w:ascii="Arial Narrow" w:hAnsi="Arial Narrow"/>
                <w:color w:val="000000"/>
                <w:sz w:val="18"/>
                <w:szCs w:val="18"/>
              </w:rPr>
              <w:t>,</w:t>
            </w:r>
            <w:r w:rsidRPr="00AC3181">
              <w:rPr>
                <w:rFonts w:ascii="Arial Narrow" w:hAnsi="Arial Narrow"/>
                <w:color w:val="000000"/>
                <w:sz w:val="18"/>
                <w:szCs w:val="18"/>
              </w:rPr>
              <w:t>174</w:t>
            </w:r>
          </w:p>
        </w:tc>
        <w:tc>
          <w:tcPr>
            <w:tcW w:w="996" w:type="dxa"/>
            <w:noWrap/>
            <w:vAlign w:val="bottom"/>
          </w:tcPr>
          <w:p w:rsidR="007920E3" w:rsidRPr="00AC3181" w:rsidRDefault="007920E3" w:rsidP="00DF3C75">
            <w:pPr>
              <w:jc w:val="right"/>
              <w:rPr>
                <w:rFonts w:ascii="Arial Narrow" w:hAnsi="Arial Narrow"/>
                <w:color w:val="000000"/>
                <w:sz w:val="18"/>
                <w:szCs w:val="18"/>
              </w:rPr>
            </w:pPr>
            <w:r>
              <w:rPr>
                <w:rFonts w:ascii="Arial Narrow" w:hAnsi="Arial Narrow"/>
                <w:color w:val="000000"/>
                <w:sz w:val="18"/>
                <w:szCs w:val="18"/>
              </w:rPr>
              <w:t>$</w:t>
            </w:r>
            <w:r w:rsidRPr="00AC3181">
              <w:rPr>
                <w:rFonts w:ascii="Arial Narrow" w:hAnsi="Arial Narrow"/>
                <w:color w:val="000000"/>
                <w:sz w:val="18"/>
                <w:szCs w:val="18"/>
              </w:rPr>
              <w:t>9</w:t>
            </w:r>
            <w:r>
              <w:rPr>
                <w:rFonts w:ascii="Arial Narrow" w:hAnsi="Arial Narrow"/>
                <w:color w:val="000000"/>
                <w:sz w:val="18"/>
                <w:szCs w:val="18"/>
              </w:rPr>
              <w:t>,</w:t>
            </w:r>
            <w:r w:rsidRPr="00AC3181">
              <w:rPr>
                <w:rFonts w:ascii="Arial Narrow" w:hAnsi="Arial Narrow"/>
                <w:color w:val="000000"/>
                <w:sz w:val="18"/>
                <w:szCs w:val="18"/>
              </w:rPr>
              <w:t>673</w:t>
            </w:r>
          </w:p>
        </w:tc>
        <w:tc>
          <w:tcPr>
            <w:tcW w:w="1119" w:type="dxa"/>
            <w:noWrap/>
            <w:vAlign w:val="bottom"/>
          </w:tcPr>
          <w:p w:rsidR="007920E3" w:rsidRPr="00AC3181" w:rsidRDefault="007920E3" w:rsidP="00DF3C75">
            <w:pPr>
              <w:jc w:val="right"/>
              <w:rPr>
                <w:rFonts w:ascii="Arial Narrow" w:hAnsi="Arial Narrow"/>
                <w:color w:val="000000"/>
                <w:sz w:val="18"/>
                <w:szCs w:val="18"/>
              </w:rPr>
            </w:pPr>
            <w:r>
              <w:rPr>
                <w:rFonts w:ascii="Arial Narrow" w:hAnsi="Arial Narrow"/>
                <w:color w:val="000000"/>
                <w:sz w:val="18"/>
                <w:szCs w:val="18"/>
              </w:rPr>
              <w:t>$</w:t>
            </w:r>
            <w:r w:rsidRPr="00AC3181">
              <w:rPr>
                <w:rFonts w:ascii="Arial Narrow" w:hAnsi="Arial Narrow"/>
                <w:color w:val="000000"/>
                <w:sz w:val="18"/>
                <w:szCs w:val="18"/>
              </w:rPr>
              <w:t>12</w:t>
            </w:r>
            <w:r>
              <w:rPr>
                <w:rFonts w:ascii="Arial Narrow" w:hAnsi="Arial Narrow"/>
                <w:color w:val="000000"/>
                <w:sz w:val="18"/>
                <w:szCs w:val="18"/>
              </w:rPr>
              <w:t>,</w:t>
            </w:r>
            <w:r w:rsidRPr="00AC3181">
              <w:rPr>
                <w:rFonts w:ascii="Arial Narrow" w:hAnsi="Arial Narrow"/>
                <w:color w:val="000000"/>
                <w:sz w:val="18"/>
                <w:szCs w:val="18"/>
              </w:rPr>
              <w:t>225</w:t>
            </w:r>
          </w:p>
        </w:tc>
      </w:tr>
      <w:tr w:rsidR="007920E3" w:rsidRPr="00AC3181" w:rsidTr="00DF3C75">
        <w:trPr>
          <w:trHeight w:val="227"/>
        </w:trPr>
        <w:tc>
          <w:tcPr>
            <w:tcW w:w="2972" w:type="dxa"/>
            <w:noWrap/>
            <w:vAlign w:val="bottom"/>
          </w:tcPr>
          <w:p w:rsidR="007920E3" w:rsidRPr="00AC3181" w:rsidRDefault="007920E3" w:rsidP="00DF3C75">
            <w:pPr>
              <w:jc w:val="right"/>
              <w:rPr>
                <w:rFonts w:ascii="Arial Narrow" w:hAnsi="Arial Narrow"/>
                <w:color w:val="000000"/>
                <w:sz w:val="18"/>
                <w:szCs w:val="18"/>
              </w:rPr>
            </w:pPr>
            <w:r w:rsidRPr="00AC3181">
              <w:rPr>
                <w:rFonts w:ascii="Arial Narrow" w:hAnsi="Arial Narrow"/>
                <w:b/>
                <w:bCs/>
                <w:color w:val="000000"/>
                <w:sz w:val="18"/>
                <w:szCs w:val="18"/>
              </w:rPr>
              <w:t>Total out-of-pocket cost (MBS+PBS)</w:t>
            </w:r>
          </w:p>
        </w:tc>
        <w:tc>
          <w:tcPr>
            <w:tcW w:w="993" w:type="dxa"/>
            <w:noWrap/>
            <w:vAlign w:val="bottom"/>
          </w:tcPr>
          <w:p w:rsidR="007920E3" w:rsidRPr="00AC3181" w:rsidRDefault="007920E3" w:rsidP="00DF3C75">
            <w:pPr>
              <w:jc w:val="right"/>
              <w:rPr>
                <w:rFonts w:ascii="Arial Narrow" w:hAnsi="Arial Narrow"/>
                <w:b/>
                <w:bCs/>
                <w:color w:val="000000"/>
                <w:sz w:val="18"/>
                <w:szCs w:val="18"/>
              </w:rPr>
            </w:pPr>
            <w:r>
              <w:rPr>
                <w:rFonts w:ascii="Arial Narrow" w:hAnsi="Arial Narrow"/>
                <w:b/>
                <w:bCs/>
                <w:color w:val="000000"/>
                <w:sz w:val="18"/>
                <w:szCs w:val="18"/>
              </w:rPr>
              <w:t>-</w:t>
            </w:r>
          </w:p>
        </w:tc>
        <w:tc>
          <w:tcPr>
            <w:tcW w:w="992" w:type="dxa"/>
            <w:noWrap/>
            <w:vAlign w:val="bottom"/>
          </w:tcPr>
          <w:p w:rsidR="007920E3" w:rsidRPr="00AC3181" w:rsidRDefault="007920E3" w:rsidP="00DF3C75">
            <w:pPr>
              <w:jc w:val="right"/>
              <w:rPr>
                <w:rFonts w:ascii="Arial Narrow" w:hAnsi="Arial Narrow"/>
                <w:b/>
                <w:bCs/>
                <w:color w:val="000000"/>
                <w:sz w:val="18"/>
                <w:szCs w:val="18"/>
              </w:rPr>
            </w:pPr>
            <w:r w:rsidRPr="00AC3181">
              <w:rPr>
                <w:rFonts w:ascii="Arial Narrow" w:hAnsi="Arial Narrow"/>
                <w:b/>
                <w:bCs/>
                <w:color w:val="000000"/>
                <w:sz w:val="18"/>
                <w:szCs w:val="18"/>
              </w:rPr>
              <w:t xml:space="preserve"> $248,602 </w:t>
            </w:r>
          </w:p>
        </w:tc>
        <w:tc>
          <w:tcPr>
            <w:tcW w:w="955" w:type="dxa"/>
            <w:noWrap/>
            <w:vAlign w:val="bottom"/>
          </w:tcPr>
          <w:p w:rsidR="007920E3" w:rsidRPr="00AC3181" w:rsidRDefault="007920E3" w:rsidP="00DF3C75">
            <w:pPr>
              <w:jc w:val="right"/>
              <w:rPr>
                <w:rFonts w:ascii="Arial Narrow" w:hAnsi="Arial Narrow"/>
                <w:b/>
                <w:bCs/>
                <w:color w:val="000000"/>
                <w:sz w:val="18"/>
                <w:szCs w:val="18"/>
              </w:rPr>
            </w:pPr>
            <w:r w:rsidRPr="00AC3181">
              <w:rPr>
                <w:rFonts w:ascii="Arial Narrow" w:hAnsi="Arial Narrow"/>
                <w:b/>
                <w:bCs/>
                <w:color w:val="000000"/>
                <w:sz w:val="18"/>
                <w:szCs w:val="18"/>
              </w:rPr>
              <w:t xml:space="preserve"> $385,457 </w:t>
            </w:r>
          </w:p>
        </w:tc>
        <w:tc>
          <w:tcPr>
            <w:tcW w:w="996" w:type="dxa"/>
            <w:noWrap/>
            <w:vAlign w:val="bottom"/>
          </w:tcPr>
          <w:p w:rsidR="007920E3" w:rsidRPr="00AC3181" w:rsidRDefault="007920E3" w:rsidP="00DF3C75">
            <w:pPr>
              <w:jc w:val="right"/>
              <w:rPr>
                <w:rFonts w:ascii="Arial Narrow" w:hAnsi="Arial Narrow"/>
                <w:b/>
                <w:bCs/>
                <w:color w:val="000000"/>
                <w:sz w:val="18"/>
                <w:szCs w:val="18"/>
              </w:rPr>
            </w:pPr>
            <w:r w:rsidRPr="00AC3181">
              <w:rPr>
                <w:rFonts w:ascii="Arial Narrow" w:hAnsi="Arial Narrow"/>
                <w:b/>
                <w:bCs/>
                <w:color w:val="000000"/>
                <w:sz w:val="18"/>
                <w:szCs w:val="18"/>
              </w:rPr>
              <w:t xml:space="preserve"> $616,101 </w:t>
            </w:r>
          </w:p>
        </w:tc>
        <w:tc>
          <w:tcPr>
            <w:tcW w:w="996" w:type="dxa"/>
            <w:noWrap/>
            <w:vAlign w:val="bottom"/>
          </w:tcPr>
          <w:p w:rsidR="007920E3" w:rsidRPr="00AC3181" w:rsidRDefault="007920E3" w:rsidP="00DF3C75">
            <w:pPr>
              <w:jc w:val="right"/>
              <w:rPr>
                <w:rFonts w:ascii="Arial Narrow" w:hAnsi="Arial Narrow"/>
                <w:b/>
                <w:bCs/>
                <w:color w:val="000000"/>
                <w:sz w:val="18"/>
                <w:szCs w:val="18"/>
              </w:rPr>
            </w:pPr>
            <w:r w:rsidRPr="00AC3181">
              <w:rPr>
                <w:rFonts w:ascii="Arial Narrow" w:hAnsi="Arial Narrow"/>
                <w:b/>
                <w:bCs/>
                <w:color w:val="000000"/>
                <w:sz w:val="18"/>
                <w:szCs w:val="18"/>
              </w:rPr>
              <w:t xml:space="preserve"> $761,044 </w:t>
            </w:r>
          </w:p>
        </w:tc>
        <w:tc>
          <w:tcPr>
            <w:tcW w:w="1119" w:type="dxa"/>
            <w:noWrap/>
            <w:vAlign w:val="bottom"/>
          </w:tcPr>
          <w:p w:rsidR="007920E3" w:rsidRPr="00AC3181" w:rsidRDefault="007920E3" w:rsidP="00DF3C75">
            <w:pPr>
              <w:jc w:val="right"/>
              <w:rPr>
                <w:rFonts w:ascii="Arial Narrow" w:hAnsi="Arial Narrow"/>
                <w:b/>
                <w:bCs/>
                <w:color w:val="000000"/>
                <w:sz w:val="18"/>
                <w:szCs w:val="18"/>
              </w:rPr>
            </w:pPr>
            <w:r w:rsidRPr="00AC3181">
              <w:rPr>
                <w:rFonts w:ascii="Arial Narrow" w:hAnsi="Arial Narrow"/>
                <w:b/>
                <w:bCs/>
                <w:color w:val="000000"/>
                <w:sz w:val="18"/>
                <w:szCs w:val="18"/>
              </w:rPr>
              <w:t xml:space="preserve"> $999,778 </w:t>
            </w:r>
          </w:p>
        </w:tc>
      </w:tr>
    </w:tbl>
    <w:p w:rsidR="007920E3" w:rsidRPr="00EC459B" w:rsidRDefault="007920E3" w:rsidP="00057ACD">
      <w:pPr>
        <w:pStyle w:val="TableText0"/>
        <w:spacing w:after="0"/>
      </w:pPr>
      <w:r>
        <w:t>AR = anti-</w:t>
      </w:r>
      <w:proofErr w:type="spellStart"/>
      <w:r>
        <w:t>resorptives</w:t>
      </w:r>
      <w:proofErr w:type="spellEnd"/>
      <w:r>
        <w:t>, DXA = dual x-ray absorptiometry, GP = general practitioner, MBS = Medical Benefits Schedule, PBS= Pharmaceutical Benefits Schedule.</w:t>
      </w:r>
    </w:p>
    <w:p w:rsidR="007920E3" w:rsidRDefault="007920E3" w:rsidP="000A43DF"/>
    <w:p w:rsidR="007920E3" w:rsidRDefault="007920E3" w:rsidP="000A43DF">
      <w:r>
        <w:t>In summary, over the next five years, the results of the financial estimates were:</w:t>
      </w:r>
    </w:p>
    <w:p w:rsidR="007920E3" w:rsidRDefault="007920E3" w:rsidP="000A43DF">
      <w:pPr>
        <w:pStyle w:val="ListParagraph"/>
        <w:numPr>
          <w:ilvl w:val="0"/>
          <w:numId w:val="30"/>
        </w:numPr>
        <w:ind w:left="851"/>
        <w:jc w:val="both"/>
      </w:pPr>
      <w:r>
        <w:t>total eligible patients: 91,366 (includes women continuing treatment)</w:t>
      </w:r>
    </w:p>
    <w:p w:rsidR="007920E3" w:rsidRDefault="007920E3" w:rsidP="000A43DF">
      <w:pPr>
        <w:pStyle w:val="ListParagraph"/>
        <w:numPr>
          <w:ilvl w:val="0"/>
          <w:numId w:val="30"/>
        </w:numPr>
        <w:ind w:left="851"/>
        <w:jc w:val="both"/>
      </w:pPr>
      <w:r>
        <w:t>additional costs to MBS for DXA scans: $4.8 million</w:t>
      </w:r>
    </w:p>
    <w:p w:rsidR="007920E3" w:rsidRDefault="007920E3" w:rsidP="000A43DF">
      <w:pPr>
        <w:pStyle w:val="ListParagraph"/>
        <w:numPr>
          <w:ilvl w:val="0"/>
          <w:numId w:val="30"/>
        </w:numPr>
        <w:ind w:left="851"/>
        <w:jc w:val="both"/>
      </w:pPr>
      <w:r>
        <w:t>total costs to MBS: $12.2 million</w:t>
      </w:r>
    </w:p>
    <w:p w:rsidR="007920E3" w:rsidRDefault="007920E3" w:rsidP="000A43DF">
      <w:pPr>
        <w:pStyle w:val="ListParagraph"/>
        <w:numPr>
          <w:ilvl w:val="0"/>
          <w:numId w:val="30"/>
        </w:numPr>
        <w:ind w:left="851"/>
        <w:jc w:val="both"/>
      </w:pPr>
      <w:r>
        <w:t>total costs to PBS: $1.9 million</w:t>
      </w:r>
    </w:p>
    <w:p w:rsidR="007920E3" w:rsidRDefault="007920E3" w:rsidP="000A43DF">
      <w:pPr>
        <w:pStyle w:val="ListParagraph"/>
        <w:numPr>
          <w:ilvl w:val="0"/>
          <w:numId w:val="30"/>
        </w:numPr>
        <w:ind w:left="851"/>
        <w:jc w:val="both"/>
      </w:pPr>
      <w:r>
        <w:t>total costs to other health budgets: savings $0.9 million</w:t>
      </w:r>
    </w:p>
    <w:p w:rsidR="007920E3" w:rsidRPr="003545F1" w:rsidRDefault="007920E3" w:rsidP="000A43DF">
      <w:pPr>
        <w:pStyle w:val="ListParagraph"/>
        <w:numPr>
          <w:ilvl w:val="0"/>
          <w:numId w:val="30"/>
        </w:numPr>
        <w:ind w:left="851"/>
        <w:jc w:val="both"/>
      </w:pPr>
      <w:proofErr w:type="gramStart"/>
      <w:r>
        <w:t>total</w:t>
      </w:r>
      <w:proofErr w:type="gramEnd"/>
      <w:r>
        <w:t xml:space="preserve"> costs to consumers for out-of-pocket expenses: $3.0 million.</w:t>
      </w:r>
    </w:p>
    <w:p w:rsidR="007920E3" w:rsidRPr="00057ACD" w:rsidRDefault="007920E3" w:rsidP="00D340DE">
      <w:pPr>
        <w:rPr>
          <w:szCs w:val="24"/>
        </w:rPr>
      </w:pPr>
    </w:p>
    <w:p w:rsidR="007920E3" w:rsidRDefault="007920E3" w:rsidP="006A0D97">
      <w:pPr>
        <w:pStyle w:val="Heading1"/>
        <w:numPr>
          <w:ilvl w:val="0"/>
          <w:numId w:val="23"/>
        </w:numPr>
        <w:ind w:hanging="720"/>
      </w:pPr>
      <w:r w:rsidRPr="006A0D97">
        <w:t>Key issues from ESC for MSAC</w:t>
      </w:r>
    </w:p>
    <w:p w:rsidR="007920E3" w:rsidRDefault="007920E3" w:rsidP="00B614BC"/>
    <w:p w:rsidR="007920E3" w:rsidRDefault="007920E3" w:rsidP="00B614BC">
      <w:r>
        <w:t>ESC noted that the revised analysis indicated that the intervention was less cost-effective than the original analysis; and considered that the populations including those with osteopenia and women from age 50 could no longer be considered cost-effective.</w:t>
      </w:r>
    </w:p>
    <w:p w:rsidR="007920E3" w:rsidRDefault="007920E3" w:rsidP="00B614BC"/>
    <w:p w:rsidR="007920E3" w:rsidRDefault="007920E3" w:rsidP="00B614BC">
      <w:r>
        <w:t>ESC recommended that, should MSAC support funding,  the proposed item descriptor should be restricted to ‘one service only in a period of 24 consecutive months’ to reflect the new model as indicated in the clinical management algorithm, that is, once every two  years.</w:t>
      </w:r>
    </w:p>
    <w:p w:rsidR="007920E3" w:rsidRDefault="007920E3" w:rsidP="00B614BC"/>
    <w:p w:rsidR="007920E3" w:rsidRDefault="007920E3" w:rsidP="00B614BC">
      <w:r>
        <w:t>ESC was satisfied with the quality of the revised economic analysis and noted that all issues raised by MSAC had been addressed.</w:t>
      </w:r>
    </w:p>
    <w:p w:rsidR="007920E3" w:rsidRDefault="007920E3" w:rsidP="00B614BC"/>
    <w:p w:rsidR="007920E3" w:rsidRDefault="007920E3" w:rsidP="007B32D1">
      <w:pPr>
        <w:pStyle w:val="Heading1"/>
        <w:numPr>
          <w:ilvl w:val="0"/>
          <w:numId w:val="23"/>
        </w:numPr>
        <w:ind w:hanging="720"/>
      </w:pPr>
      <w:r w:rsidRPr="008D5885">
        <w:t>Other significant factors</w:t>
      </w:r>
    </w:p>
    <w:p w:rsidR="007920E3" w:rsidRPr="009E0602" w:rsidRDefault="007920E3" w:rsidP="00DD2858">
      <w:pPr>
        <w:rPr>
          <w:szCs w:val="24"/>
        </w:rPr>
      </w:pPr>
    </w:p>
    <w:p w:rsidR="007920E3" w:rsidRPr="009E0602" w:rsidRDefault="007920E3" w:rsidP="00DD2858">
      <w:pPr>
        <w:rPr>
          <w:szCs w:val="24"/>
        </w:rPr>
      </w:pPr>
      <w:proofErr w:type="gramStart"/>
      <w:r w:rsidRPr="009E0602">
        <w:rPr>
          <w:szCs w:val="24"/>
        </w:rPr>
        <w:t>Nil.</w:t>
      </w:r>
      <w:proofErr w:type="gramEnd"/>
    </w:p>
    <w:p w:rsidR="007920E3" w:rsidRDefault="007920E3" w:rsidP="007B32D1">
      <w:pPr>
        <w:pStyle w:val="Heading1"/>
        <w:numPr>
          <w:ilvl w:val="0"/>
          <w:numId w:val="23"/>
        </w:numPr>
        <w:ind w:hanging="720"/>
      </w:pPr>
      <w:r w:rsidRPr="008D5885">
        <w:lastRenderedPageBreak/>
        <w:t xml:space="preserve">Applicant’s comments on MSAC’s </w:t>
      </w:r>
      <w:r>
        <w:t>Public Summary Document</w:t>
      </w:r>
    </w:p>
    <w:p w:rsidR="007920E3" w:rsidRPr="00057ACD" w:rsidRDefault="007920E3" w:rsidP="00230D6B">
      <w:pPr>
        <w:tabs>
          <w:tab w:val="left" w:pos="720"/>
        </w:tabs>
        <w:ind w:left="709" w:hanging="709"/>
        <w:rPr>
          <w:szCs w:val="24"/>
        </w:rPr>
      </w:pPr>
    </w:p>
    <w:p w:rsidR="008456E3" w:rsidRDefault="008456E3" w:rsidP="008456E3">
      <w:r>
        <w:t xml:space="preserve">The Australia and New Zealand Bone and Mineral Society (ANZBMS) highlights that the use of aromatase inhibitors in the treatment of breast cancer is associated with accelerated bone loss and an increased risk of fracture. This loss is analogous to the accelerated bone loss and increased fracture risk observed in men with prostate cancer treated with androgen deprivation therapy, which process is mediated by identical underlying pathophysiology. The MSAC acknowledges that there is some evidence supporting the use of DXA measurement and anti-fracture therapy in women receiving aromatase inhibitor therapy. The MSAC also recognises that under the current rules, only a subset of these women meet the criteria for Medicare-funded DXA measurement, namely those who have had a premature menopause before the age of 45 years, those aged &gt; 70 years and those who have sustained a low trauma fracture. By contrast, </w:t>
      </w:r>
      <w:r w:rsidRPr="00843EE5">
        <w:rPr>
          <w:b/>
          <w:u w:val="single"/>
        </w:rPr>
        <w:t>all</w:t>
      </w:r>
      <w:r w:rsidRPr="00B90598">
        <w:rPr>
          <w:b/>
        </w:rPr>
        <w:t xml:space="preserve"> </w:t>
      </w:r>
      <w:r>
        <w:t xml:space="preserve">men receiving androgen deprivation therapy are eligible </w:t>
      </w:r>
      <w:proofErr w:type="gramStart"/>
      <w:r>
        <w:t>for a Medicare-funded DXA measurements</w:t>
      </w:r>
      <w:proofErr w:type="gramEnd"/>
      <w:r>
        <w:t xml:space="preserve"> under the male hypogonadism indication. Thus, a gender inequality exists with respect to access to DXA scanning in patients </w:t>
      </w:r>
      <w:proofErr w:type="gramStart"/>
      <w:r>
        <w:t>effected</w:t>
      </w:r>
      <w:proofErr w:type="gramEnd"/>
      <w:r>
        <w:t xml:space="preserve"> by cancer therapy-induced bone loss. The current lack of a PBS indication for </w:t>
      </w:r>
      <w:proofErr w:type="spellStart"/>
      <w:r>
        <w:t>antiresorptive</w:t>
      </w:r>
      <w:proofErr w:type="spellEnd"/>
      <w:r>
        <w:t xml:space="preserve"> therapy to prevent bone loss and fractures due to both aromatase inhibitor and androgen deprivation therapy represents a treatment gap that should be addressed. </w:t>
      </w:r>
      <w:r w:rsidRPr="00044836">
        <w:t>The MSAC-commissioned economic modelling has indicated that detection and treatment of women with osteoporosis, aged over 60 years, commencing aromatase inhibitor therapy, would be cost-effective with an ICER of approximately $47,000 whereas extending detection and intervention to the population with low bone mass (osteoporosis and osteopenia) would not be cost-effective.</w:t>
      </w:r>
      <w:r>
        <w:t xml:space="preserve"> ANZBMS would advocate that extending Medicare-funded DXA measurement to women with breast cancer aged 60 years and older, as a logical and appropriate step to begin to address equity and treatment gaps in cancer therapy-induced bone loss and fracture.</w:t>
      </w:r>
    </w:p>
    <w:p w:rsidR="007920E3" w:rsidRPr="00057ACD" w:rsidRDefault="007920E3" w:rsidP="00230D6B">
      <w:pPr>
        <w:rPr>
          <w:szCs w:val="24"/>
        </w:rPr>
      </w:pPr>
    </w:p>
    <w:p w:rsidR="007920E3" w:rsidRDefault="007920E3" w:rsidP="007B32D1">
      <w:pPr>
        <w:pStyle w:val="Heading1"/>
        <w:numPr>
          <w:ilvl w:val="0"/>
          <w:numId w:val="23"/>
        </w:numPr>
        <w:ind w:hanging="720"/>
      </w:pPr>
      <w:r>
        <w:t>Further information on MSAC</w:t>
      </w:r>
    </w:p>
    <w:p w:rsidR="007920E3" w:rsidRPr="00057ACD" w:rsidRDefault="007920E3" w:rsidP="00DD2858">
      <w:pPr>
        <w:tabs>
          <w:tab w:val="left" w:pos="720"/>
        </w:tabs>
        <w:ind w:left="709" w:hanging="709"/>
        <w:rPr>
          <w:szCs w:val="24"/>
        </w:rPr>
      </w:pPr>
    </w:p>
    <w:p w:rsidR="007920E3" w:rsidRPr="00DD2858" w:rsidRDefault="007920E3" w:rsidP="00DD2858">
      <w:pPr>
        <w:rPr>
          <w:szCs w:val="24"/>
        </w:rPr>
      </w:pPr>
      <w:r>
        <w:rPr>
          <w:szCs w:val="24"/>
        </w:rPr>
        <w:t xml:space="preserve">MSAC Terms of Reference and other </w:t>
      </w:r>
      <w:r w:rsidRPr="00DD2858">
        <w:rPr>
          <w:szCs w:val="24"/>
        </w:rPr>
        <w:t xml:space="preserve">information are available on the MSAC Website at: </w:t>
      </w:r>
      <w:hyperlink r:id="rId17" w:tooltip="This is a link to the MSAC website" w:history="1">
        <w:r w:rsidRPr="00DD2858">
          <w:rPr>
            <w:rStyle w:val="Hyperlink"/>
            <w:color w:val="auto"/>
            <w:szCs w:val="24"/>
          </w:rPr>
          <w:t>www.msac.gov.au</w:t>
        </w:r>
      </w:hyperlink>
      <w:r>
        <w:rPr>
          <w:szCs w:val="24"/>
        </w:rPr>
        <w:t>.</w:t>
      </w:r>
    </w:p>
    <w:sectPr w:rsidR="007920E3" w:rsidRPr="00DD2858" w:rsidSect="00271F18">
      <w:footerReference w:type="defaul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63F" w:rsidRDefault="0010663F" w:rsidP="00065623">
      <w:r>
        <w:separator/>
      </w:r>
    </w:p>
  </w:endnote>
  <w:endnote w:type="continuationSeparator" w:id="0">
    <w:p w:rsidR="0010663F" w:rsidRDefault="0010663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0E3" w:rsidRDefault="00CE402E">
    <w:pPr>
      <w:pStyle w:val="Footer"/>
      <w:jc w:val="right"/>
    </w:pPr>
    <w:r>
      <w:fldChar w:fldCharType="begin"/>
    </w:r>
    <w:r>
      <w:instrText xml:space="preserve"> PAGE   \* MERGEFORMAT </w:instrText>
    </w:r>
    <w:r>
      <w:fldChar w:fldCharType="separate"/>
    </w:r>
    <w:r w:rsidR="00EC365D">
      <w:rPr>
        <w:noProof/>
      </w:rPr>
      <w:t>1</w:t>
    </w:r>
    <w:r>
      <w:rPr>
        <w:noProof/>
      </w:rPr>
      <w:fldChar w:fldCharType="end"/>
    </w:r>
  </w:p>
  <w:p w:rsidR="007920E3" w:rsidRDefault="00792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63F" w:rsidRDefault="0010663F" w:rsidP="00065623">
      <w:r>
        <w:separator/>
      </w:r>
    </w:p>
  </w:footnote>
  <w:footnote w:type="continuationSeparator" w:id="0">
    <w:p w:rsidR="0010663F" w:rsidRDefault="0010663F"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5888"/>
    <w:multiLevelType w:val="hybridMultilevel"/>
    <w:tmpl w:val="B4969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BBC3E8B"/>
    <w:multiLevelType w:val="hybridMultilevel"/>
    <w:tmpl w:val="33349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215184"/>
    <w:multiLevelType w:val="hybridMultilevel"/>
    <w:tmpl w:val="13F27B2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BB279E"/>
    <w:multiLevelType w:val="hybridMultilevel"/>
    <w:tmpl w:val="ADB691A2"/>
    <w:lvl w:ilvl="0" w:tplc="FBB29DD0">
      <w:start w:val="1"/>
      <w:numFmt w:val="lowerLetter"/>
      <w:lvlText w:val="(%1)"/>
      <w:lvlJc w:val="left"/>
      <w:pPr>
        <w:ind w:left="720" w:hanging="360"/>
      </w:pPr>
      <w:rPr>
        <w:rFonts w:ascii="Arial Narrow" w:eastAsia="Times New Roman" w:hAnsi="Arial Narrow" w:cs="Times New Roman" w:hint="default"/>
        <w:sz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CA47C8"/>
    <w:multiLevelType w:val="hybridMultilevel"/>
    <w:tmpl w:val="0060CE5E"/>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D324BB2"/>
    <w:multiLevelType w:val="hybridMultilevel"/>
    <w:tmpl w:val="41C8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2"/>
  </w:num>
  <w:num w:numId="4">
    <w:abstractNumId w:val="20"/>
  </w:num>
  <w:num w:numId="5">
    <w:abstractNumId w:val="12"/>
  </w:num>
  <w:num w:numId="6">
    <w:abstractNumId w:val="18"/>
  </w:num>
  <w:num w:numId="7">
    <w:abstractNumId w:val="23"/>
  </w:num>
  <w:num w:numId="8">
    <w:abstractNumId w:val="13"/>
  </w:num>
  <w:num w:numId="9">
    <w:abstractNumId w:val="30"/>
  </w:num>
  <w:num w:numId="10">
    <w:abstractNumId w:val="1"/>
  </w:num>
  <w:num w:numId="11">
    <w:abstractNumId w:val="22"/>
  </w:num>
  <w:num w:numId="12">
    <w:abstractNumId w:val="24"/>
  </w:num>
  <w:num w:numId="13">
    <w:abstractNumId w:val="5"/>
  </w:num>
  <w:num w:numId="14">
    <w:abstractNumId w:val="28"/>
  </w:num>
  <w:num w:numId="15">
    <w:abstractNumId w:val="21"/>
  </w:num>
  <w:num w:numId="16">
    <w:abstractNumId w:val="25"/>
  </w:num>
  <w:num w:numId="17">
    <w:abstractNumId w:val="14"/>
  </w:num>
  <w:num w:numId="18">
    <w:abstractNumId w:val="15"/>
  </w:num>
  <w:num w:numId="19">
    <w:abstractNumId w:val="27"/>
  </w:num>
  <w:num w:numId="20">
    <w:abstractNumId w:val="26"/>
  </w:num>
  <w:num w:numId="21">
    <w:abstractNumId w:val="4"/>
  </w:num>
  <w:num w:numId="22">
    <w:abstractNumId w:val="11"/>
  </w:num>
  <w:num w:numId="23">
    <w:abstractNumId w:val="3"/>
  </w:num>
  <w:num w:numId="24">
    <w:abstractNumId w:val="10"/>
  </w:num>
  <w:num w:numId="25">
    <w:abstractNumId w:val="7"/>
  </w:num>
  <w:num w:numId="26">
    <w:abstractNumId w:val="16"/>
  </w:num>
  <w:num w:numId="27">
    <w:abstractNumId w:val="9"/>
  </w:num>
  <w:num w:numId="28">
    <w:abstractNumId w:val="19"/>
  </w:num>
  <w:num w:numId="29">
    <w:abstractNumId w:val="29"/>
  </w:num>
  <w:num w:numId="30">
    <w:abstractNumId w:val="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0080"/>
    <w:rsid w:val="000011A7"/>
    <w:rsid w:val="00011A36"/>
    <w:rsid w:val="00046193"/>
    <w:rsid w:val="00047606"/>
    <w:rsid w:val="00052D90"/>
    <w:rsid w:val="00053A98"/>
    <w:rsid w:val="000552A8"/>
    <w:rsid w:val="00057ACD"/>
    <w:rsid w:val="00065623"/>
    <w:rsid w:val="00070F20"/>
    <w:rsid w:val="000756B9"/>
    <w:rsid w:val="00096B67"/>
    <w:rsid w:val="00096DAF"/>
    <w:rsid w:val="000A43DF"/>
    <w:rsid w:val="000A74FE"/>
    <w:rsid w:val="000C2F47"/>
    <w:rsid w:val="000D6C00"/>
    <w:rsid w:val="000E32E4"/>
    <w:rsid w:val="000E4E04"/>
    <w:rsid w:val="000F14B4"/>
    <w:rsid w:val="000F220F"/>
    <w:rsid w:val="000F48E5"/>
    <w:rsid w:val="000F61E7"/>
    <w:rsid w:val="000F75DF"/>
    <w:rsid w:val="00105C1B"/>
    <w:rsid w:val="0010663F"/>
    <w:rsid w:val="001328FA"/>
    <w:rsid w:val="00134F2E"/>
    <w:rsid w:val="00147AAF"/>
    <w:rsid w:val="001552C0"/>
    <w:rsid w:val="001640B1"/>
    <w:rsid w:val="00173A2F"/>
    <w:rsid w:val="00174D99"/>
    <w:rsid w:val="0018435E"/>
    <w:rsid w:val="00195F80"/>
    <w:rsid w:val="001D3BF2"/>
    <w:rsid w:val="001E715D"/>
    <w:rsid w:val="001F0E21"/>
    <w:rsid w:val="002041A1"/>
    <w:rsid w:val="002054F0"/>
    <w:rsid w:val="00220CB7"/>
    <w:rsid w:val="00230D6B"/>
    <w:rsid w:val="00232068"/>
    <w:rsid w:val="002330F2"/>
    <w:rsid w:val="002404CD"/>
    <w:rsid w:val="00243D9E"/>
    <w:rsid w:val="00253B66"/>
    <w:rsid w:val="00261DF1"/>
    <w:rsid w:val="00271F18"/>
    <w:rsid w:val="00277121"/>
    <w:rsid w:val="00282779"/>
    <w:rsid w:val="0028334D"/>
    <w:rsid w:val="00290269"/>
    <w:rsid w:val="002936B3"/>
    <w:rsid w:val="00293DC2"/>
    <w:rsid w:val="002B6672"/>
    <w:rsid w:val="002B7FFA"/>
    <w:rsid w:val="002C2BCF"/>
    <w:rsid w:val="002C4420"/>
    <w:rsid w:val="002E3089"/>
    <w:rsid w:val="002F279D"/>
    <w:rsid w:val="002F43B8"/>
    <w:rsid w:val="003142F8"/>
    <w:rsid w:val="0032203F"/>
    <w:rsid w:val="003257A2"/>
    <w:rsid w:val="003429CF"/>
    <w:rsid w:val="0034554D"/>
    <w:rsid w:val="00345A26"/>
    <w:rsid w:val="00352224"/>
    <w:rsid w:val="003545F1"/>
    <w:rsid w:val="003671E6"/>
    <w:rsid w:val="00384272"/>
    <w:rsid w:val="00386D67"/>
    <w:rsid w:val="003945B8"/>
    <w:rsid w:val="003971E1"/>
    <w:rsid w:val="003B6986"/>
    <w:rsid w:val="003D7F29"/>
    <w:rsid w:val="003F6A3B"/>
    <w:rsid w:val="00405A6B"/>
    <w:rsid w:val="00407B1F"/>
    <w:rsid w:val="00414C57"/>
    <w:rsid w:val="0041758C"/>
    <w:rsid w:val="00440EE9"/>
    <w:rsid w:val="00453868"/>
    <w:rsid w:val="004539DE"/>
    <w:rsid w:val="00483537"/>
    <w:rsid w:val="00486D62"/>
    <w:rsid w:val="004A2CF1"/>
    <w:rsid w:val="004A6546"/>
    <w:rsid w:val="004B2D0F"/>
    <w:rsid w:val="004B5672"/>
    <w:rsid w:val="004C3035"/>
    <w:rsid w:val="004C307F"/>
    <w:rsid w:val="004D560F"/>
    <w:rsid w:val="004E4BA8"/>
    <w:rsid w:val="004F340F"/>
    <w:rsid w:val="004F6362"/>
    <w:rsid w:val="004F6460"/>
    <w:rsid w:val="004F7B7C"/>
    <w:rsid w:val="0052243D"/>
    <w:rsid w:val="0052597D"/>
    <w:rsid w:val="00532435"/>
    <w:rsid w:val="00532F63"/>
    <w:rsid w:val="0053445A"/>
    <w:rsid w:val="005362C5"/>
    <w:rsid w:val="00550354"/>
    <w:rsid w:val="00556165"/>
    <w:rsid w:val="005608B1"/>
    <w:rsid w:val="005660B9"/>
    <w:rsid w:val="00571236"/>
    <w:rsid w:val="00576627"/>
    <w:rsid w:val="005953A1"/>
    <w:rsid w:val="005A1887"/>
    <w:rsid w:val="005A4220"/>
    <w:rsid w:val="005C7A43"/>
    <w:rsid w:val="005D0332"/>
    <w:rsid w:val="005D0D8C"/>
    <w:rsid w:val="005D1603"/>
    <w:rsid w:val="005D1D2A"/>
    <w:rsid w:val="00607D1B"/>
    <w:rsid w:val="00610399"/>
    <w:rsid w:val="006146C5"/>
    <w:rsid w:val="006158E9"/>
    <w:rsid w:val="00624318"/>
    <w:rsid w:val="006339AA"/>
    <w:rsid w:val="0065186A"/>
    <w:rsid w:val="006520BC"/>
    <w:rsid w:val="006776AE"/>
    <w:rsid w:val="006852B8"/>
    <w:rsid w:val="00697004"/>
    <w:rsid w:val="006A0D97"/>
    <w:rsid w:val="006B1F86"/>
    <w:rsid w:val="006B6F55"/>
    <w:rsid w:val="006C0A91"/>
    <w:rsid w:val="006D19D1"/>
    <w:rsid w:val="007054BB"/>
    <w:rsid w:val="00707064"/>
    <w:rsid w:val="00726B98"/>
    <w:rsid w:val="00730683"/>
    <w:rsid w:val="0075242D"/>
    <w:rsid w:val="0075261F"/>
    <w:rsid w:val="0075468E"/>
    <w:rsid w:val="0076192A"/>
    <w:rsid w:val="007665D8"/>
    <w:rsid w:val="00766E36"/>
    <w:rsid w:val="007765F4"/>
    <w:rsid w:val="00776633"/>
    <w:rsid w:val="00784D53"/>
    <w:rsid w:val="007920E3"/>
    <w:rsid w:val="00797797"/>
    <w:rsid w:val="007A63C9"/>
    <w:rsid w:val="007A6D15"/>
    <w:rsid w:val="007B32D1"/>
    <w:rsid w:val="007B7095"/>
    <w:rsid w:val="007B7BEA"/>
    <w:rsid w:val="007D24E1"/>
    <w:rsid w:val="007E74D8"/>
    <w:rsid w:val="007F4CE9"/>
    <w:rsid w:val="007F4E20"/>
    <w:rsid w:val="008068E8"/>
    <w:rsid w:val="008227EF"/>
    <w:rsid w:val="00822C7E"/>
    <w:rsid w:val="00827D91"/>
    <w:rsid w:val="008456E3"/>
    <w:rsid w:val="00847060"/>
    <w:rsid w:val="00856A33"/>
    <w:rsid w:val="00857F07"/>
    <w:rsid w:val="008670DF"/>
    <w:rsid w:val="0088572A"/>
    <w:rsid w:val="00887CC4"/>
    <w:rsid w:val="00892620"/>
    <w:rsid w:val="008B14DE"/>
    <w:rsid w:val="008B72AA"/>
    <w:rsid w:val="008C7D37"/>
    <w:rsid w:val="008D5885"/>
    <w:rsid w:val="008F53EB"/>
    <w:rsid w:val="0090736E"/>
    <w:rsid w:val="00911165"/>
    <w:rsid w:val="00911345"/>
    <w:rsid w:val="00923FA2"/>
    <w:rsid w:val="0096060D"/>
    <w:rsid w:val="00972607"/>
    <w:rsid w:val="00974A50"/>
    <w:rsid w:val="0097585A"/>
    <w:rsid w:val="009924B0"/>
    <w:rsid w:val="009942C9"/>
    <w:rsid w:val="009B35C4"/>
    <w:rsid w:val="009C0580"/>
    <w:rsid w:val="009C137A"/>
    <w:rsid w:val="009C630A"/>
    <w:rsid w:val="009D2BE7"/>
    <w:rsid w:val="009E0602"/>
    <w:rsid w:val="009E0D98"/>
    <w:rsid w:val="009E4B56"/>
    <w:rsid w:val="00A001FE"/>
    <w:rsid w:val="00A050AC"/>
    <w:rsid w:val="00A068A1"/>
    <w:rsid w:val="00A0697B"/>
    <w:rsid w:val="00A1207D"/>
    <w:rsid w:val="00A12FD8"/>
    <w:rsid w:val="00A14B39"/>
    <w:rsid w:val="00A229E8"/>
    <w:rsid w:val="00A346FC"/>
    <w:rsid w:val="00A34736"/>
    <w:rsid w:val="00A61FBA"/>
    <w:rsid w:val="00A67624"/>
    <w:rsid w:val="00A7618E"/>
    <w:rsid w:val="00A77B86"/>
    <w:rsid w:val="00A84F93"/>
    <w:rsid w:val="00A92463"/>
    <w:rsid w:val="00AB1AC5"/>
    <w:rsid w:val="00AB3BFC"/>
    <w:rsid w:val="00AC0E02"/>
    <w:rsid w:val="00AC3181"/>
    <w:rsid w:val="00AC4F2E"/>
    <w:rsid w:val="00AD0C37"/>
    <w:rsid w:val="00AD385F"/>
    <w:rsid w:val="00AD7900"/>
    <w:rsid w:val="00AE6E2A"/>
    <w:rsid w:val="00B155F6"/>
    <w:rsid w:val="00B30B1C"/>
    <w:rsid w:val="00B31E9C"/>
    <w:rsid w:val="00B35595"/>
    <w:rsid w:val="00B51C6D"/>
    <w:rsid w:val="00B614BC"/>
    <w:rsid w:val="00B710CA"/>
    <w:rsid w:val="00B73395"/>
    <w:rsid w:val="00B744E9"/>
    <w:rsid w:val="00B86D64"/>
    <w:rsid w:val="00BA4AC5"/>
    <w:rsid w:val="00BB562F"/>
    <w:rsid w:val="00BC1364"/>
    <w:rsid w:val="00BC4749"/>
    <w:rsid w:val="00BC7DE9"/>
    <w:rsid w:val="00BD3075"/>
    <w:rsid w:val="00BD3D7E"/>
    <w:rsid w:val="00BD6D25"/>
    <w:rsid w:val="00BF1181"/>
    <w:rsid w:val="00BF479B"/>
    <w:rsid w:val="00C008CE"/>
    <w:rsid w:val="00C02577"/>
    <w:rsid w:val="00C103F8"/>
    <w:rsid w:val="00C204FB"/>
    <w:rsid w:val="00C20BEE"/>
    <w:rsid w:val="00C2158D"/>
    <w:rsid w:val="00C2187E"/>
    <w:rsid w:val="00C262EC"/>
    <w:rsid w:val="00C2639E"/>
    <w:rsid w:val="00C321D6"/>
    <w:rsid w:val="00C67A8A"/>
    <w:rsid w:val="00C67DD2"/>
    <w:rsid w:val="00C70A6E"/>
    <w:rsid w:val="00C70BB6"/>
    <w:rsid w:val="00C7158A"/>
    <w:rsid w:val="00C725CB"/>
    <w:rsid w:val="00C76F5C"/>
    <w:rsid w:val="00C77D28"/>
    <w:rsid w:val="00C96BAD"/>
    <w:rsid w:val="00CA6944"/>
    <w:rsid w:val="00CB0F8E"/>
    <w:rsid w:val="00CB7E7D"/>
    <w:rsid w:val="00CC28C5"/>
    <w:rsid w:val="00CC2911"/>
    <w:rsid w:val="00CE3690"/>
    <w:rsid w:val="00CE402E"/>
    <w:rsid w:val="00CF0C6D"/>
    <w:rsid w:val="00CF6B1B"/>
    <w:rsid w:val="00CF7307"/>
    <w:rsid w:val="00CF7C68"/>
    <w:rsid w:val="00D124FA"/>
    <w:rsid w:val="00D32CF4"/>
    <w:rsid w:val="00D340DE"/>
    <w:rsid w:val="00D409F5"/>
    <w:rsid w:val="00D55723"/>
    <w:rsid w:val="00D62FAD"/>
    <w:rsid w:val="00D70450"/>
    <w:rsid w:val="00D72B9D"/>
    <w:rsid w:val="00D83BFD"/>
    <w:rsid w:val="00D90A38"/>
    <w:rsid w:val="00DA0515"/>
    <w:rsid w:val="00DA171E"/>
    <w:rsid w:val="00DA56AA"/>
    <w:rsid w:val="00DB21C4"/>
    <w:rsid w:val="00DB3E5F"/>
    <w:rsid w:val="00DB5833"/>
    <w:rsid w:val="00DD2858"/>
    <w:rsid w:val="00DE1B71"/>
    <w:rsid w:val="00DF3C75"/>
    <w:rsid w:val="00DF3D1E"/>
    <w:rsid w:val="00DF4768"/>
    <w:rsid w:val="00E03E33"/>
    <w:rsid w:val="00E2575D"/>
    <w:rsid w:val="00E3642A"/>
    <w:rsid w:val="00E415C4"/>
    <w:rsid w:val="00E50016"/>
    <w:rsid w:val="00E50EAA"/>
    <w:rsid w:val="00E576FE"/>
    <w:rsid w:val="00E656D6"/>
    <w:rsid w:val="00E67360"/>
    <w:rsid w:val="00E977EE"/>
    <w:rsid w:val="00EA5801"/>
    <w:rsid w:val="00EA61DC"/>
    <w:rsid w:val="00EA67A2"/>
    <w:rsid w:val="00EA69B8"/>
    <w:rsid w:val="00EB55A4"/>
    <w:rsid w:val="00EC365D"/>
    <w:rsid w:val="00EC459B"/>
    <w:rsid w:val="00EC4F98"/>
    <w:rsid w:val="00F02D9E"/>
    <w:rsid w:val="00F06A10"/>
    <w:rsid w:val="00F12F02"/>
    <w:rsid w:val="00F14E3D"/>
    <w:rsid w:val="00F32E0D"/>
    <w:rsid w:val="00F35134"/>
    <w:rsid w:val="00F41812"/>
    <w:rsid w:val="00F53C80"/>
    <w:rsid w:val="00F73333"/>
    <w:rsid w:val="00F80078"/>
    <w:rsid w:val="00F82892"/>
    <w:rsid w:val="00F95D8F"/>
    <w:rsid w:val="00FB350A"/>
    <w:rsid w:val="00FC130A"/>
    <w:rsid w:val="00FC630F"/>
    <w:rsid w:val="00FE209A"/>
    <w:rsid w:val="00FE731D"/>
    <w:rsid w:val="00FF7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eastAsia="MS ????"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hAnsi="Arial" w:cs="Times New Roman"/>
      <w:b/>
      <w:bCs/>
      <w:sz w:val="28"/>
      <w:szCs w:val="28"/>
    </w:rPr>
  </w:style>
  <w:style w:type="character" w:customStyle="1" w:styleId="Heading2Char">
    <w:name w:val="Heading 2 Char"/>
    <w:basedOn w:val="DefaultParagraphFont"/>
    <w:link w:val="Heading2"/>
    <w:uiPriority w:val="99"/>
    <w:locked/>
    <w:rsid w:val="008D5885"/>
    <w:rPr>
      <w:rFonts w:ascii="Cambria" w:eastAsia="MS ????" w:hAnsi="Cambria" w:cs="Times New Roman"/>
      <w:b/>
      <w:bCs/>
      <w:color w:val="4F81BD"/>
      <w:sz w:val="26"/>
      <w:szCs w:val="26"/>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character" w:customStyle="1" w:styleId="ListParagraphChar">
    <w:name w:val="List Paragraph Char"/>
    <w:basedOn w:val="DefaultParagraphFont"/>
    <w:link w:val="ListParagraph"/>
    <w:uiPriority w:val="99"/>
    <w:locked/>
    <w:rsid w:val="000A43DF"/>
    <w:rPr>
      <w:rFonts w:eastAsia="Times New Roman" w:cs="Times New Roman"/>
      <w:sz w:val="20"/>
      <w:szCs w:val="20"/>
    </w:rPr>
  </w:style>
  <w:style w:type="paragraph" w:styleId="NormalWeb">
    <w:name w:val="Normal (Web)"/>
    <w:basedOn w:val="Normal"/>
    <w:uiPriority w:val="99"/>
    <w:rsid w:val="000A43DF"/>
    <w:pPr>
      <w:spacing w:before="100" w:beforeAutospacing="1" w:after="100" w:afterAutospacing="1"/>
    </w:pPr>
    <w:rPr>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locked/>
    <w:rsid w:val="000A43DF"/>
    <w:pPr>
      <w:keepNext/>
      <w:spacing w:before="40" w:after="40"/>
      <w:ind w:left="1741" w:hanging="1021"/>
      <w:jc w:val="both"/>
    </w:pPr>
    <w:rPr>
      <w:rFonts w:ascii="Arial Narrow" w:eastAsia="Calibri" w:hAnsi="Arial Narrow"/>
      <w:b/>
      <w:iCs/>
      <w:sz w:val="20"/>
      <w:szCs w:val="18"/>
      <w:lang w:eastAsia="en-US"/>
    </w:rPr>
  </w:style>
  <w:style w:type="paragraph" w:customStyle="1" w:styleId="Tabletextboldleft">
    <w:name w:val="Table text bold left"/>
    <w:basedOn w:val="Normal"/>
    <w:link w:val="TabletextboldleftChar"/>
    <w:uiPriority w:val="99"/>
    <w:rsid w:val="000A43DF"/>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uiPriority w:val="99"/>
    <w:locked/>
    <w:rsid w:val="000A43DF"/>
    <w:rPr>
      <w:rFonts w:ascii="Arial Narrow" w:hAnsi="Arial Narrow" w:cs="Arial"/>
      <w:b/>
      <w:sz w:val="20"/>
      <w:szCs w:val="20"/>
      <w:lang w:eastAsia="en-US"/>
    </w:rPr>
  </w:style>
  <w:style w:type="paragraph" w:customStyle="1" w:styleId="TableFooter">
    <w:name w:val="Table Footer"/>
    <w:basedOn w:val="Normal"/>
    <w:link w:val="TableFooterChar"/>
    <w:uiPriority w:val="99"/>
    <w:rsid w:val="000A43DF"/>
    <w:pPr>
      <w:widowControl w:val="0"/>
      <w:jc w:val="both"/>
    </w:pPr>
    <w:rPr>
      <w:rFonts w:ascii="Arial Narrow" w:hAnsi="Arial Narrow" w:cs="Arial"/>
      <w:sz w:val="18"/>
      <w:lang w:eastAsia="en-US"/>
    </w:rPr>
  </w:style>
  <w:style w:type="character" w:customStyle="1" w:styleId="TableFooterChar">
    <w:name w:val="Table Footer Char"/>
    <w:basedOn w:val="DefaultParagraphFont"/>
    <w:link w:val="TableFooter"/>
    <w:uiPriority w:val="99"/>
    <w:locked/>
    <w:rsid w:val="000A43DF"/>
    <w:rPr>
      <w:rFonts w:ascii="Arial Narrow" w:hAnsi="Arial Narrow" w:cs="Arial"/>
      <w:snapToGrid w:val="0"/>
      <w:sz w:val="20"/>
      <w:szCs w:val="20"/>
      <w:lang w:eastAsia="en-US"/>
    </w:rPr>
  </w:style>
  <w:style w:type="paragraph" w:customStyle="1" w:styleId="Tabletext">
    <w:name w:val="Table text"/>
    <w:basedOn w:val="Normal"/>
    <w:link w:val="TabletextChar"/>
    <w:uiPriority w:val="99"/>
    <w:rsid w:val="000A43DF"/>
    <w:pPr>
      <w:spacing w:before="40" w:after="40"/>
    </w:pPr>
    <w:rPr>
      <w:rFonts w:ascii="Arial Narrow" w:hAnsi="Arial Narrow"/>
      <w:sz w:val="20"/>
      <w:lang w:eastAsia="ja-JP"/>
    </w:rPr>
  </w:style>
  <w:style w:type="character" w:customStyle="1" w:styleId="TabletextChar">
    <w:name w:val="Table text Char"/>
    <w:link w:val="Tabletext"/>
    <w:uiPriority w:val="99"/>
    <w:locked/>
    <w:rsid w:val="000A43DF"/>
    <w:rPr>
      <w:rFonts w:ascii="Arial Narrow" w:hAnsi="Arial Narrow"/>
      <w:sz w:val="20"/>
    </w:rPr>
  </w:style>
  <w:style w:type="paragraph" w:customStyle="1" w:styleId="TableText0">
    <w:name w:val="TableText"/>
    <w:basedOn w:val="Normal"/>
    <w:link w:val="TableTextChar0"/>
    <w:uiPriority w:val="99"/>
    <w:rsid w:val="000A43DF"/>
    <w:pPr>
      <w:keepNext/>
      <w:spacing w:before="40" w:after="40"/>
    </w:pPr>
    <w:rPr>
      <w:rFonts w:ascii="Arial Narrow" w:hAnsi="Arial Narrow"/>
      <w:sz w:val="18"/>
      <w:lang w:eastAsia="ja-JP"/>
    </w:rPr>
  </w:style>
  <w:style w:type="character" w:customStyle="1" w:styleId="TableTextChar0">
    <w:name w:val="TableText Char"/>
    <w:link w:val="TableText0"/>
    <w:uiPriority w:val="99"/>
    <w:locked/>
    <w:rsid w:val="000A43DF"/>
    <w:rPr>
      <w:rFonts w:ascii="Arial Narrow" w:hAnsi="Arial Narrow"/>
      <w:sz w:val="20"/>
    </w:rPr>
  </w:style>
  <w:style w:type="paragraph" w:customStyle="1" w:styleId="ESHeading2">
    <w:name w:val="ES Heading 2"/>
    <w:basedOn w:val="Heading2"/>
    <w:link w:val="ESHeading2Char"/>
    <w:uiPriority w:val="99"/>
    <w:rsid w:val="000A43DF"/>
    <w:pPr>
      <w:keepLines w:val="0"/>
      <w:spacing w:before="0"/>
      <w:ind w:left="576" w:hanging="576"/>
      <w:jc w:val="both"/>
    </w:pPr>
    <w:rPr>
      <w:rFonts w:ascii="Garamond" w:eastAsia="Times New Roman" w:hAnsi="Garamond"/>
      <w:iCs/>
      <w:sz w:val="24"/>
      <w:szCs w:val="28"/>
      <w:lang w:eastAsia="en-US"/>
    </w:rPr>
  </w:style>
  <w:style w:type="character" w:customStyle="1" w:styleId="ESHeading2Char">
    <w:name w:val="ES Heading 2 Char"/>
    <w:basedOn w:val="Heading2Char"/>
    <w:link w:val="ESHeading2"/>
    <w:uiPriority w:val="99"/>
    <w:locked/>
    <w:rsid w:val="000A43DF"/>
    <w:rPr>
      <w:rFonts w:ascii="Garamond" w:eastAsia="MS ????" w:hAnsi="Garamond" w:cs="Times New Roman"/>
      <w:b/>
      <w:bCs/>
      <w:iCs/>
      <w:color w:val="4F81BD"/>
      <w:sz w:val="28"/>
      <w:szCs w:val="28"/>
      <w:lang w:eastAsia="en-US"/>
    </w:rPr>
  </w:style>
  <w:style w:type="paragraph" w:customStyle="1" w:styleId="TableName">
    <w:name w:val="TableName"/>
    <w:basedOn w:val="TableText0"/>
    <w:link w:val="TableNameChar"/>
    <w:uiPriority w:val="99"/>
    <w:rsid w:val="000A43DF"/>
    <w:pPr>
      <w:ind w:left="1440" w:hanging="720"/>
    </w:pPr>
    <w:rPr>
      <w:b/>
      <w:sz w:val="20"/>
    </w:rPr>
  </w:style>
  <w:style w:type="character" w:customStyle="1" w:styleId="TableNameChar">
    <w:name w:val="TableName Char"/>
    <w:link w:val="TableName"/>
    <w:uiPriority w:val="99"/>
    <w:locked/>
    <w:rsid w:val="000A43DF"/>
    <w:rPr>
      <w:rFonts w:ascii="Arial Narrow" w:hAnsi="Arial Narrow"/>
      <w:b/>
      <w:sz w:val="20"/>
    </w:rPr>
  </w:style>
  <w:style w:type="character" w:styleId="SubtleEmphasis">
    <w:name w:val="Subtle Emphasis"/>
    <w:basedOn w:val="DefaultParagraphFont"/>
    <w:uiPriority w:val="99"/>
    <w:qFormat/>
    <w:rsid w:val="000A43DF"/>
    <w:rPr>
      <w:rFonts w:ascii="Calibri" w:hAnsi="Calibri" w:cs="Times New Roman"/>
      <w:iCs/>
      <w:color w:val="auto"/>
      <w:sz w:val="18"/>
    </w:rPr>
  </w:style>
  <w:style w:type="paragraph" w:customStyle="1" w:styleId="Figures">
    <w:name w:val="Figures"/>
    <w:basedOn w:val="TableName"/>
    <w:uiPriority w:val="99"/>
    <w:rsid w:val="00FC130A"/>
  </w:style>
  <w:style w:type="table" w:styleId="TableGrid">
    <w:name w:val="Table Grid"/>
    <w:basedOn w:val="TableNormal"/>
    <w:uiPriority w:val="99"/>
    <w:locked/>
    <w:rsid w:val="005D1D2A"/>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eastAsia="MS ????"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hAnsi="Arial" w:cs="Times New Roman"/>
      <w:b/>
      <w:bCs/>
      <w:sz w:val="28"/>
      <w:szCs w:val="28"/>
    </w:rPr>
  </w:style>
  <w:style w:type="character" w:customStyle="1" w:styleId="Heading2Char">
    <w:name w:val="Heading 2 Char"/>
    <w:basedOn w:val="DefaultParagraphFont"/>
    <w:link w:val="Heading2"/>
    <w:uiPriority w:val="99"/>
    <w:locked/>
    <w:rsid w:val="008D5885"/>
    <w:rPr>
      <w:rFonts w:ascii="Cambria" w:eastAsia="MS ????" w:hAnsi="Cambria" w:cs="Times New Roman"/>
      <w:b/>
      <w:bCs/>
      <w:color w:val="4F81BD"/>
      <w:sz w:val="26"/>
      <w:szCs w:val="26"/>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character" w:customStyle="1" w:styleId="ListParagraphChar">
    <w:name w:val="List Paragraph Char"/>
    <w:basedOn w:val="DefaultParagraphFont"/>
    <w:link w:val="ListParagraph"/>
    <w:uiPriority w:val="99"/>
    <w:locked/>
    <w:rsid w:val="000A43DF"/>
    <w:rPr>
      <w:rFonts w:eastAsia="Times New Roman" w:cs="Times New Roman"/>
      <w:sz w:val="20"/>
      <w:szCs w:val="20"/>
    </w:rPr>
  </w:style>
  <w:style w:type="paragraph" w:styleId="NormalWeb">
    <w:name w:val="Normal (Web)"/>
    <w:basedOn w:val="Normal"/>
    <w:uiPriority w:val="99"/>
    <w:rsid w:val="000A43DF"/>
    <w:pPr>
      <w:spacing w:before="100" w:beforeAutospacing="1" w:after="100" w:afterAutospacing="1"/>
    </w:pPr>
    <w:rPr>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locked/>
    <w:rsid w:val="000A43DF"/>
    <w:pPr>
      <w:keepNext/>
      <w:spacing w:before="40" w:after="40"/>
      <w:ind w:left="1741" w:hanging="1021"/>
      <w:jc w:val="both"/>
    </w:pPr>
    <w:rPr>
      <w:rFonts w:ascii="Arial Narrow" w:eastAsia="Calibri" w:hAnsi="Arial Narrow"/>
      <w:b/>
      <w:iCs/>
      <w:sz w:val="20"/>
      <w:szCs w:val="18"/>
      <w:lang w:eastAsia="en-US"/>
    </w:rPr>
  </w:style>
  <w:style w:type="paragraph" w:customStyle="1" w:styleId="Tabletextboldleft">
    <w:name w:val="Table text bold left"/>
    <w:basedOn w:val="Normal"/>
    <w:link w:val="TabletextboldleftChar"/>
    <w:uiPriority w:val="99"/>
    <w:rsid w:val="000A43DF"/>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uiPriority w:val="99"/>
    <w:locked/>
    <w:rsid w:val="000A43DF"/>
    <w:rPr>
      <w:rFonts w:ascii="Arial Narrow" w:hAnsi="Arial Narrow" w:cs="Arial"/>
      <w:b/>
      <w:sz w:val="20"/>
      <w:szCs w:val="20"/>
      <w:lang w:eastAsia="en-US"/>
    </w:rPr>
  </w:style>
  <w:style w:type="paragraph" w:customStyle="1" w:styleId="TableFooter">
    <w:name w:val="Table Footer"/>
    <w:basedOn w:val="Normal"/>
    <w:link w:val="TableFooterChar"/>
    <w:uiPriority w:val="99"/>
    <w:rsid w:val="000A43DF"/>
    <w:pPr>
      <w:widowControl w:val="0"/>
      <w:jc w:val="both"/>
    </w:pPr>
    <w:rPr>
      <w:rFonts w:ascii="Arial Narrow" w:hAnsi="Arial Narrow" w:cs="Arial"/>
      <w:sz w:val="18"/>
      <w:lang w:eastAsia="en-US"/>
    </w:rPr>
  </w:style>
  <w:style w:type="character" w:customStyle="1" w:styleId="TableFooterChar">
    <w:name w:val="Table Footer Char"/>
    <w:basedOn w:val="DefaultParagraphFont"/>
    <w:link w:val="TableFooter"/>
    <w:uiPriority w:val="99"/>
    <w:locked/>
    <w:rsid w:val="000A43DF"/>
    <w:rPr>
      <w:rFonts w:ascii="Arial Narrow" w:hAnsi="Arial Narrow" w:cs="Arial"/>
      <w:snapToGrid w:val="0"/>
      <w:sz w:val="20"/>
      <w:szCs w:val="20"/>
      <w:lang w:eastAsia="en-US"/>
    </w:rPr>
  </w:style>
  <w:style w:type="paragraph" w:customStyle="1" w:styleId="Tabletext">
    <w:name w:val="Table text"/>
    <w:basedOn w:val="Normal"/>
    <w:link w:val="TabletextChar"/>
    <w:uiPriority w:val="99"/>
    <w:rsid w:val="000A43DF"/>
    <w:pPr>
      <w:spacing w:before="40" w:after="40"/>
    </w:pPr>
    <w:rPr>
      <w:rFonts w:ascii="Arial Narrow" w:hAnsi="Arial Narrow"/>
      <w:sz w:val="20"/>
      <w:lang w:eastAsia="ja-JP"/>
    </w:rPr>
  </w:style>
  <w:style w:type="character" w:customStyle="1" w:styleId="TabletextChar">
    <w:name w:val="Table text Char"/>
    <w:link w:val="Tabletext"/>
    <w:uiPriority w:val="99"/>
    <w:locked/>
    <w:rsid w:val="000A43DF"/>
    <w:rPr>
      <w:rFonts w:ascii="Arial Narrow" w:hAnsi="Arial Narrow"/>
      <w:sz w:val="20"/>
    </w:rPr>
  </w:style>
  <w:style w:type="paragraph" w:customStyle="1" w:styleId="TableText0">
    <w:name w:val="TableText"/>
    <w:basedOn w:val="Normal"/>
    <w:link w:val="TableTextChar0"/>
    <w:uiPriority w:val="99"/>
    <w:rsid w:val="000A43DF"/>
    <w:pPr>
      <w:keepNext/>
      <w:spacing w:before="40" w:after="40"/>
    </w:pPr>
    <w:rPr>
      <w:rFonts w:ascii="Arial Narrow" w:hAnsi="Arial Narrow"/>
      <w:sz w:val="18"/>
      <w:lang w:eastAsia="ja-JP"/>
    </w:rPr>
  </w:style>
  <w:style w:type="character" w:customStyle="1" w:styleId="TableTextChar0">
    <w:name w:val="TableText Char"/>
    <w:link w:val="TableText0"/>
    <w:uiPriority w:val="99"/>
    <w:locked/>
    <w:rsid w:val="000A43DF"/>
    <w:rPr>
      <w:rFonts w:ascii="Arial Narrow" w:hAnsi="Arial Narrow"/>
      <w:sz w:val="20"/>
    </w:rPr>
  </w:style>
  <w:style w:type="paragraph" w:customStyle="1" w:styleId="ESHeading2">
    <w:name w:val="ES Heading 2"/>
    <w:basedOn w:val="Heading2"/>
    <w:link w:val="ESHeading2Char"/>
    <w:uiPriority w:val="99"/>
    <w:rsid w:val="000A43DF"/>
    <w:pPr>
      <w:keepLines w:val="0"/>
      <w:spacing w:before="0"/>
      <w:ind w:left="576" w:hanging="576"/>
      <w:jc w:val="both"/>
    </w:pPr>
    <w:rPr>
      <w:rFonts w:ascii="Garamond" w:eastAsia="Times New Roman" w:hAnsi="Garamond"/>
      <w:iCs/>
      <w:sz w:val="24"/>
      <w:szCs w:val="28"/>
      <w:lang w:eastAsia="en-US"/>
    </w:rPr>
  </w:style>
  <w:style w:type="character" w:customStyle="1" w:styleId="ESHeading2Char">
    <w:name w:val="ES Heading 2 Char"/>
    <w:basedOn w:val="Heading2Char"/>
    <w:link w:val="ESHeading2"/>
    <w:uiPriority w:val="99"/>
    <w:locked/>
    <w:rsid w:val="000A43DF"/>
    <w:rPr>
      <w:rFonts w:ascii="Garamond" w:eastAsia="MS ????" w:hAnsi="Garamond" w:cs="Times New Roman"/>
      <w:b/>
      <w:bCs/>
      <w:iCs/>
      <w:color w:val="4F81BD"/>
      <w:sz w:val="28"/>
      <w:szCs w:val="28"/>
      <w:lang w:eastAsia="en-US"/>
    </w:rPr>
  </w:style>
  <w:style w:type="paragraph" w:customStyle="1" w:styleId="TableName">
    <w:name w:val="TableName"/>
    <w:basedOn w:val="TableText0"/>
    <w:link w:val="TableNameChar"/>
    <w:uiPriority w:val="99"/>
    <w:rsid w:val="000A43DF"/>
    <w:pPr>
      <w:ind w:left="1440" w:hanging="720"/>
    </w:pPr>
    <w:rPr>
      <w:b/>
      <w:sz w:val="20"/>
    </w:rPr>
  </w:style>
  <w:style w:type="character" w:customStyle="1" w:styleId="TableNameChar">
    <w:name w:val="TableName Char"/>
    <w:link w:val="TableName"/>
    <w:uiPriority w:val="99"/>
    <w:locked/>
    <w:rsid w:val="000A43DF"/>
    <w:rPr>
      <w:rFonts w:ascii="Arial Narrow" w:hAnsi="Arial Narrow"/>
      <w:b/>
      <w:sz w:val="20"/>
    </w:rPr>
  </w:style>
  <w:style w:type="character" w:styleId="SubtleEmphasis">
    <w:name w:val="Subtle Emphasis"/>
    <w:basedOn w:val="DefaultParagraphFont"/>
    <w:uiPriority w:val="99"/>
    <w:qFormat/>
    <w:rsid w:val="000A43DF"/>
    <w:rPr>
      <w:rFonts w:ascii="Calibri" w:hAnsi="Calibri" w:cs="Times New Roman"/>
      <w:iCs/>
      <w:color w:val="auto"/>
      <w:sz w:val="18"/>
    </w:rPr>
  </w:style>
  <w:style w:type="paragraph" w:customStyle="1" w:styleId="Figures">
    <w:name w:val="Figures"/>
    <w:basedOn w:val="TableName"/>
    <w:uiPriority w:val="99"/>
    <w:rsid w:val="00FC130A"/>
  </w:style>
  <w:style w:type="table" w:styleId="TableGrid">
    <w:name w:val="Table Grid"/>
    <w:basedOn w:val="TableNormal"/>
    <w:uiPriority w:val="99"/>
    <w:locked/>
    <w:rsid w:val="005D1D2A"/>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msac.gov.au/"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5872</Words>
  <Characters>37134</Characters>
  <Application>Microsoft Office Word</Application>
  <DocSecurity>4</DocSecurity>
  <Lines>309</Lines>
  <Paragraphs>85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McCandless Sean</cp:lastModifiedBy>
  <cp:revision>2</cp:revision>
  <cp:lastPrinted>2014-01-23T05:11:00Z</cp:lastPrinted>
  <dcterms:created xsi:type="dcterms:W3CDTF">2016-05-02T04:05:00Z</dcterms:created>
  <dcterms:modified xsi:type="dcterms:W3CDTF">2016-05-02T04:05:00Z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