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5A4B" w:rsidRDefault="00E45A4B" w:rsidP="00C4750D">
      <w:pPr>
        <w:jc w:val="right"/>
        <w:rPr>
          <w:rFonts w:ascii="Arial" w:hAnsi="Arial" w:cs="Arial"/>
          <w:b/>
          <w:sz w:val="44"/>
          <w:szCs w:val="44"/>
        </w:rPr>
      </w:pPr>
    </w:p>
    <w:p w:rsidR="00C4750D" w:rsidRPr="0013164F" w:rsidRDefault="00C4750D" w:rsidP="0013164F">
      <w:pPr>
        <w:jc w:val="right"/>
        <w:rPr>
          <w:rFonts w:ascii="Arial" w:hAnsi="Arial" w:cs="Arial"/>
          <w:b/>
          <w:sz w:val="44"/>
          <w:szCs w:val="44"/>
        </w:rPr>
      </w:pPr>
      <w:bookmarkStart w:id="0" w:name="_Toc386092517"/>
      <w:bookmarkStart w:id="1" w:name="_Toc386092585"/>
      <w:r w:rsidRPr="0013164F">
        <w:rPr>
          <w:rFonts w:ascii="Arial" w:hAnsi="Arial" w:cs="Arial"/>
          <w:b/>
          <w:sz w:val="44"/>
          <w:szCs w:val="44"/>
        </w:rPr>
        <w:t xml:space="preserve">MSAC application no </w:t>
      </w:r>
      <w:r w:rsidR="00C34B51" w:rsidRPr="0013164F">
        <w:rPr>
          <w:rFonts w:ascii="Arial" w:hAnsi="Arial" w:cs="Arial"/>
          <w:b/>
          <w:sz w:val="44"/>
          <w:szCs w:val="44"/>
        </w:rPr>
        <w:t>1313</w:t>
      </w:r>
      <w:bookmarkEnd w:id="0"/>
      <w:bookmarkEnd w:id="1"/>
    </w:p>
    <w:p w:rsidR="00C4750D" w:rsidRPr="00C40E3D" w:rsidRDefault="00C4750D" w:rsidP="00C40E3D">
      <w:pPr>
        <w:pStyle w:val="Heading1"/>
      </w:pPr>
    </w:p>
    <w:p w:rsidR="00C34B51" w:rsidRPr="0013164F" w:rsidRDefault="00C34B51" w:rsidP="0013164F">
      <w:pPr>
        <w:jc w:val="right"/>
        <w:rPr>
          <w:rFonts w:ascii="Arial" w:hAnsi="Arial" w:cs="Arial"/>
          <w:b/>
          <w:sz w:val="44"/>
          <w:szCs w:val="44"/>
        </w:rPr>
      </w:pPr>
      <w:bookmarkStart w:id="2" w:name="_Toc386092518"/>
      <w:bookmarkStart w:id="3" w:name="_Toc386092586"/>
      <w:bookmarkStart w:id="4" w:name="_Toc386093156"/>
      <w:r w:rsidRPr="0013164F">
        <w:rPr>
          <w:rFonts w:ascii="Arial" w:hAnsi="Arial" w:cs="Arial"/>
          <w:b/>
          <w:sz w:val="44"/>
          <w:szCs w:val="44"/>
        </w:rPr>
        <w:t>Bone mineral density analyses using Dual Energy X-ray Absorptiometry (DXA) in breast cancer patients receiving aromatase inhibitor treatment</w:t>
      </w:r>
      <w:bookmarkEnd w:id="2"/>
      <w:bookmarkEnd w:id="3"/>
      <w:bookmarkEnd w:id="4"/>
    </w:p>
    <w:p w:rsidR="00C4750D" w:rsidRPr="00C9782D" w:rsidRDefault="00C4750D" w:rsidP="00C4750D">
      <w:pPr>
        <w:jc w:val="right"/>
        <w:rPr>
          <w:rFonts w:ascii="Arial" w:hAnsi="Arial" w:cs="Arial"/>
          <w:b/>
          <w:sz w:val="44"/>
          <w:szCs w:val="44"/>
        </w:rPr>
      </w:pPr>
    </w:p>
    <w:p w:rsidR="00E45A4B" w:rsidRPr="00C9782D" w:rsidRDefault="00C34B51" w:rsidP="00B2159B">
      <w:pPr>
        <w:jc w:val="right"/>
        <w:rPr>
          <w:rFonts w:ascii="Arial" w:hAnsi="Arial" w:cs="Arial"/>
          <w:b/>
          <w:sz w:val="44"/>
          <w:szCs w:val="44"/>
        </w:rPr>
      </w:pPr>
      <w:r>
        <w:rPr>
          <w:rFonts w:ascii="Arial" w:hAnsi="Arial" w:cs="Arial"/>
          <w:b/>
          <w:sz w:val="28"/>
          <w:szCs w:val="28"/>
        </w:rPr>
        <w:t>June 2014</w:t>
      </w:r>
    </w:p>
    <w:p w:rsidR="00C4750D" w:rsidRPr="00C9782D" w:rsidRDefault="00C4750D">
      <w:pPr>
        <w:sectPr w:rsidR="00C4750D" w:rsidRPr="00C9782D" w:rsidSect="00C4750D">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78" w:footer="74" w:gutter="0"/>
          <w:pgNumType w:fmt="lowerRoman" w:start="1"/>
          <w:cols w:space="720"/>
          <w:noEndnote/>
          <w:titlePg/>
        </w:sectPr>
      </w:pPr>
    </w:p>
    <w:p w:rsidR="00B7360E" w:rsidRPr="00C34B51" w:rsidRDefault="008F59A8" w:rsidP="00B7360E">
      <w:r w:rsidRPr="00C9782D">
        <w:lastRenderedPageBreak/>
        <w:br w:type="page"/>
      </w:r>
      <w:r w:rsidR="00A0054E" w:rsidRPr="00C9782D">
        <w:rPr>
          <w:b/>
        </w:rPr>
        <w:lastRenderedPageBreak/>
        <w:t xml:space="preserve">Assessment </w:t>
      </w:r>
      <w:r w:rsidR="00B7360E">
        <w:rPr>
          <w:b/>
        </w:rPr>
        <w:t>Report</w:t>
      </w:r>
      <w:r w:rsidR="00A0054E" w:rsidRPr="00C9782D">
        <w:rPr>
          <w:b/>
        </w:rPr>
        <w:t xml:space="preserve"> - </w:t>
      </w:r>
      <w:r w:rsidR="00B7360E">
        <w:t>Bone mineral density analyses using Dual Energy X-ray Absorptiometry (DXA) in breast cancer patients receiving aromatase inhibitor treatment</w:t>
      </w:r>
    </w:p>
    <w:p w:rsidR="00A0054E" w:rsidRPr="00C9782D" w:rsidRDefault="00A0054E" w:rsidP="00A0054E">
      <w:pPr>
        <w:rPr>
          <w:rFonts w:ascii="Tahoma" w:hAnsi="Tahoma" w:cs="Tahoma"/>
          <w:color w:val="0000FF"/>
          <w:sz w:val="18"/>
          <w:szCs w:val="18"/>
        </w:rPr>
      </w:pPr>
      <w:r w:rsidRPr="00C9782D">
        <w:rPr>
          <w:rFonts w:ascii="Tahoma" w:hAnsi="Tahoma" w:cs="Tahoma"/>
          <w:b/>
          <w:bCs/>
          <w:sz w:val="18"/>
          <w:szCs w:val="18"/>
        </w:rPr>
        <w:t xml:space="preserve">Internet site </w:t>
      </w:r>
      <w:hyperlink r:id="rId15" w:tooltip="This is a link to the MSAC website" w:history="1">
        <w:r w:rsidRPr="00C9782D">
          <w:rPr>
            <w:rStyle w:val="Hyperlink"/>
            <w:rFonts w:ascii="Tahoma" w:hAnsi="Tahoma" w:cs="Tahoma"/>
            <w:sz w:val="18"/>
            <w:szCs w:val="18"/>
          </w:rPr>
          <w:t>http://www.msac.gov.au</w:t>
        </w:r>
      </w:hyperlink>
    </w:p>
    <w:p w:rsidR="00A0054E" w:rsidRPr="00C9782D" w:rsidRDefault="00A0054E" w:rsidP="00A0054E">
      <w:r w:rsidRPr="00C9782D">
        <w:t>© Commonwealth of Australia 2013</w:t>
      </w:r>
    </w:p>
    <w:p w:rsidR="00A0054E" w:rsidRPr="00C9782D" w:rsidRDefault="00A0054E" w:rsidP="00A0054E">
      <w:r w:rsidRPr="00C9782D">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C9782D">
        <w:rPr>
          <w:i/>
          <w:iCs/>
        </w:rPr>
        <w:t xml:space="preserve">Copyright Act 1968 </w:t>
      </w:r>
      <w:r w:rsidRPr="00C9782D">
        <w:t>or allowed by this copyright notice</w:t>
      </w:r>
      <w:r w:rsidRPr="00C9782D">
        <w:rPr>
          <w:i/>
          <w:iCs/>
        </w:rPr>
        <w:t xml:space="preserve">, </w:t>
      </w:r>
      <w:r w:rsidRPr="00C9782D">
        <w:t>all other rights are reserved and</w:t>
      </w:r>
      <w:r w:rsidRPr="00C9782D">
        <w:rPr>
          <w:i/>
          <w:iCs/>
        </w:rPr>
        <w:t xml:space="preserve"> </w:t>
      </w:r>
      <w:r w:rsidRPr="00C9782D">
        <w:t xml:space="preserve">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GPO Box 9848, Canberra ACT 2601, or via e-mail to copyright@health.gov.au. </w:t>
      </w:r>
    </w:p>
    <w:p w:rsidR="00A0054E" w:rsidRPr="00C9782D" w:rsidRDefault="00A0054E" w:rsidP="00A0054E">
      <w:pPr>
        <w:rPr>
          <w:rFonts w:ascii="Tahoma" w:hAnsi="Tahoma" w:cs="Tahoma"/>
          <w:sz w:val="18"/>
          <w:szCs w:val="18"/>
        </w:rPr>
      </w:pPr>
      <w:r w:rsidRPr="00C9782D">
        <w:rPr>
          <w:rFonts w:ascii="Tahoma" w:hAnsi="Tahoma" w:cs="Tahoma"/>
          <w:sz w:val="18"/>
          <w:szCs w:val="18"/>
        </w:rPr>
        <w:t>Electronic copies of the report can be obtained from the Medical Service Advisory Committee’s Internet site at</w:t>
      </w:r>
    </w:p>
    <w:p w:rsidR="006F2CFC" w:rsidRDefault="0049135A" w:rsidP="00A0054E">
      <w:pPr>
        <w:rPr>
          <w:rFonts w:ascii="Tahoma" w:hAnsi="Tahoma" w:cs="Tahoma"/>
          <w:color w:val="0000FF"/>
          <w:sz w:val="18"/>
          <w:szCs w:val="18"/>
        </w:rPr>
      </w:pPr>
      <w:hyperlink r:id="rId16" w:tooltip="This is a link to the MSAC website" w:history="1">
        <w:r w:rsidR="006F2CFC" w:rsidRPr="00C9782D">
          <w:rPr>
            <w:rStyle w:val="Hyperlink"/>
            <w:rFonts w:ascii="Tahoma" w:hAnsi="Tahoma" w:cs="Tahoma"/>
            <w:sz w:val="18"/>
            <w:szCs w:val="18"/>
          </w:rPr>
          <w:t>http://www.msac.gov.au</w:t>
        </w:r>
      </w:hyperlink>
    </w:p>
    <w:p w:rsidR="00A0054E" w:rsidRPr="00C9782D" w:rsidRDefault="00A0054E" w:rsidP="00A0054E">
      <w:pPr>
        <w:rPr>
          <w:rFonts w:ascii="Tahoma" w:hAnsi="Tahoma" w:cs="Tahoma"/>
          <w:sz w:val="18"/>
          <w:szCs w:val="18"/>
        </w:rPr>
      </w:pPr>
      <w:r w:rsidRPr="00C9782D">
        <w:rPr>
          <w:rFonts w:ascii="Tahoma" w:hAnsi="Tahoma" w:cs="Tahoma"/>
          <w:sz w:val="18"/>
          <w:szCs w:val="18"/>
        </w:rPr>
        <w:t>Enquiries about the content of the report should be directed to the above address.</w:t>
      </w:r>
    </w:p>
    <w:p w:rsidR="00A0054E" w:rsidRPr="00C9782D" w:rsidRDefault="00A0054E" w:rsidP="00A0054E">
      <w:pPr>
        <w:rPr>
          <w:rFonts w:ascii="Tahoma" w:hAnsi="Tahoma" w:cs="Tahoma"/>
          <w:sz w:val="18"/>
          <w:szCs w:val="18"/>
        </w:rPr>
      </w:pPr>
      <w:r w:rsidRPr="00C9782D">
        <w:rPr>
          <w:rFonts w:ascii="Tahoma" w:hAnsi="Tahoma" w:cs="Tahoma"/>
          <w:sz w:val="18"/>
          <w:szCs w:val="18"/>
        </w:rPr>
        <w:t>This report is a contracted technical report for use by the Medical Services Advisory Committee (MSAC) to inform its deliberations. MSAC is an independent committee which has been established to provide advice to the Minister for Health and Ageing on the strength of evidence available on new and existing medical technologies and procedures in terms of their safety, effectiveness and cost effectiveness. This advice will help to inform government decisions about which medical services should attract funding under Medicare.</w:t>
      </w:r>
    </w:p>
    <w:p w:rsidR="00A0054E" w:rsidRPr="00C9782D" w:rsidRDefault="00A0054E" w:rsidP="00A0054E">
      <w:pPr>
        <w:rPr>
          <w:rFonts w:ascii="Tahoma" w:hAnsi="Tahoma" w:cs="Tahoma"/>
          <w:b/>
          <w:bCs/>
          <w:sz w:val="18"/>
          <w:szCs w:val="18"/>
        </w:rPr>
      </w:pPr>
      <w:r w:rsidRPr="00C9782D">
        <w:rPr>
          <w:rFonts w:ascii="Tahoma" w:hAnsi="Tahoma" w:cs="Tahoma"/>
          <w:b/>
          <w:bCs/>
          <w:sz w:val="18"/>
          <w:szCs w:val="18"/>
        </w:rPr>
        <w:t>MSAC’s advice does not necessarily reflect the views of all individuals who participated in the MSAC evaluation.</w:t>
      </w:r>
    </w:p>
    <w:p w:rsidR="00A0054E" w:rsidRPr="00C9782D" w:rsidRDefault="00A0054E" w:rsidP="00A0054E">
      <w:pPr>
        <w:rPr>
          <w:rFonts w:ascii="Tahoma" w:hAnsi="Tahoma" w:cs="Tahoma"/>
          <w:sz w:val="18"/>
          <w:szCs w:val="18"/>
        </w:rPr>
      </w:pPr>
      <w:r w:rsidRPr="00C9782D">
        <w:rPr>
          <w:rFonts w:ascii="Tahoma" w:hAnsi="Tahoma" w:cs="Tahoma"/>
          <w:sz w:val="18"/>
          <w:szCs w:val="18"/>
        </w:rPr>
        <w:t xml:space="preserve">This report was prepared for MSAC by </w:t>
      </w:r>
      <w:r w:rsidR="006567D9">
        <w:rPr>
          <w:rFonts w:ascii="Tahoma" w:hAnsi="Tahoma" w:cs="Tahoma"/>
          <w:sz w:val="18"/>
          <w:szCs w:val="18"/>
        </w:rPr>
        <w:t xml:space="preserve">L </w:t>
      </w:r>
      <w:r w:rsidR="006567D9">
        <w:rPr>
          <w:rFonts w:ascii="Tahoma" w:hAnsi="Tahoma" w:cs="Tahoma"/>
          <w:color w:val="212100"/>
          <w:sz w:val="18"/>
          <w:szCs w:val="18"/>
        </w:rPr>
        <w:t>Gordon</w:t>
      </w:r>
      <w:r w:rsidR="006567D9" w:rsidRPr="00E2063F">
        <w:rPr>
          <w:rFonts w:ascii="Tahoma" w:hAnsi="Tahoma" w:cs="Tahoma"/>
          <w:color w:val="212100"/>
          <w:sz w:val="18"/>
          <w:szCs w:val="18"/>
        </w:rPr>
        <w:t xml:space="preserve">, </w:t>
      </w:r>
      <w:r w:rsidR="006567D9">
        <w:rPr>
          <w:rFonts w:ascii="Tahoma" w:hAnsi="Tahoma" w:cs="Tahoma"/>
          <w:color w:val="212100"/>
          <w:sz w:val="18"/>
          <w:szCs w:val="18"/>
        </w:rPr>
        <w:t>M Downes</w:t>
      </w:r>
      <w:r w:rsidR="006567D9" w:rsidRPr="00E2063F">
        <w:rPr>
          <w:rFonts w:ascii="Tahoma" w:hAnsi="Tahoma" w:cs="Tahoma"/>
          <w:color w:val="212100"/>
          <w:sz w:val="18"/>
          <w:szCs w:val="18"/>
        </w:rPr>
        <w:t xml:space="preserve">, </w:t>
      </w:r>
      <w:r w:rsidR="006567D9">
        <w:rPr>
          <w:rFonts w:ascii="Tahoma" w:hAnsi="Tahoma" w:cs="Tahoma"/>
          <w:color w:val="212100"/>
          <w:sz w:val="18"/>
          <w:szCs w:val="18"/>
        </w:rPr>
        <w:t>P Sowa</w:t>
      </w:r>
      <w:r w:rsidR="006567D9" w:rsidRPr="00E2063F">
        <w:rPr>
          <w:rFonts w:ascii="Tahoma" w:hAnsi="Tahoma" w:cs="Tahoma"/>
          <w:color w:val="212100"/>
          <w:sz w:val="18"/>
          <w:szCs w:val="18"/>
        </w:rPr>
        <w:t xml:space="preserve">, </w:t>
      </w:r>
      <w:r w:rsidR="006567D9">
        <w:rPr>
          <w:rFonts w:ascii="Tahoma" w:hAnsi="Tahoma" w:cs="Tahoma"/>
          <w:color w:val="212100"/>
          <w:sz w:val="18"/>
          <w:szCs w:val="18"/>
        </w:rPr>
        <w:t>H Tuffaha, and P Scuffham</w:t>
      </w:r>
      <w:r w:rsidR="006567D9" w:rsidRPr="00C9782D">
        <w:rPr>
          <w:rFonts w:ascii="Tahoma" w:hAnsi="Tahoma" w:cs="Tahoma"/>
          <w:sz w:val="18"/>
          <w:szCs w:val="18"/>
        </w:rPr>
        <w:t xml:space="preserve"> </w:t>
      </w:r>
      <w:r w:rsidRPr="00C9782D">
        <w:rPr>
          <w:rFonts w:ascii="Tahoma" w:hAnsi="Tahoma" w:cs="Tahoma"/>
          <w:sz w:val="18"/>
          <w:szCs w:val="18"/>
        </w:rPr>
        <w:t xml:space="preserve">from </w:t>
      </w:r>
      <w:r w:rsidR="006567D9">
        <w:rPr>
          <w:rFonts w:ascii="Tahoma" w:hAnsi="Tahoma" w:cs="Tahoma"/>
          <w:sz w:val="18"/>
          <w:szCs w:val="18"/>
        </w:rPr>
        <w:t xml:space="preserve">Griffith University </w:t>
      </w:r>
      <w:r w:rsidRPr="00C9782D">
        <w:rPr>
          <w:rFonts w:ascii="Tahoma" w:hAnsi="Tahoma" w:cs="Tahoma"/>
          <w:sz w:val="18"/>
          <w:szCs w:val="18"/>
        </w:rPr>
        <w:t xml:space="preserve">with the assistance of Health Expert Standing Panel member </w:t>
      </w:r>
      <w:r w:rsidR="006567D9">
        <w:rPr>
          <w:rFonts w:ascii="Tahoma" w:hAnsi="Tahoma" w:cs="Tahoma"/>
          <w:sz w:val="18"/>
          <w:szCs w:val="18"/>
        </w:rPr>
        <w:t>J. Wong and M. Hooper</w:t>
      </w:r>
      <w:r w:rsidRPr="00C9782D">
        <w:rPr>
          <w:rFonts w:ascii="Tahoma" w:hAnsi="Tahoma" w:cs="Tahoma"/>
          <w:sz w:val="18"/>
          <w:szCs w:val="18"/>
        </w:rPr>
        <w:t xml:space="preserve">. The report was commissioned by the Department of Health and Ageing on behalf of MSAC. It was edited by </w:t>
      </w:r>
      <w:r w:rsidRPr="00533EF6">
        <w:rPr>
          <w:rFonts w:ascii="Tahoma" w:hAnsi="Tahoma" w:cs="Tahoma"/>
          <w:sz w:val="18"/>
          <w:szCs w:val="18"/>
        </w:rPr>
        <w:t>(</w:t>
      </w:r>
      <w:r w:rsidRPr="00533EF6">
        <w:rPr>
          <w:rFonts w:ascii="Tahoma" w:hAnsi="Tahoma" w:cs="Tahoma"/>
          <w:i/>
          <w:sz w:val="18"/>
          <w:szCs w:val="18"/>
        </w:rPr>
        <w:t>name where relevant</w:t>
      </w:r>
      <w:r w:rsidRPr="00533EF6">
        <w:rPr>
          <w:rFonts w:ascii="Tahoma" w:hAnsi="Tahoma" w:cs="Tahoma"/>
          <w:sz w:val="18"/>
          <w:szCs w:val="18"/>
        </w:rPr>
        <w:t>)</w:t>
      </w:r>
      <w:r w:rsidR="006567D9" w:rsidRPr="00533EF6">
        <w:rPr>
          <w:rFonts w:ascii="Tahoma" w:hAnsi="Tahoma" w:cs="Tahoma"/>
          <w:sz w:val="18"/>
          <w:szCs w:val="18"/>
        </w:rPr>
        <w:t>.</w:t>
      </w:r>
    </w:p>
    <w:p w:rsidR="00A0054E" w:rsidRPr="00C9782D" w:rsidRDefault="00A0054E" w:rsidP="00A0054E">
      <w:pPr>
        <w:rPr>
          <w:rFonts w:ascii="Tahoma" w:hAnsi="Tahoma" w:cs="Tahoma"/>
          <w:color w:val="212100"/>
          <w:sz w:val="18"/>
          <w:szCs w:val="18"/>
        </w:rPr>
      </w:pPr>
      <w:r w:rsidRPr="00C9782D">
        <w:rPr>
          <w:rFonts w:ascii="Tahoma" w:hAnsi="Tahoma" w:cs="Tahoma"/>
          <w:color w:val="212100"/>
          <w:sz w:val="18"/>
          <w:szCs w:val="18"/>
        </w:rPr>
        <w:t>This report should be referenced as follows</w:t>
      </w:r>
      <w:r w:rsidR="00C4750D" w:rsidRPr="00C9782D">
        <w:rPr>
          <w:rFonts w:ascii="Tahoma" w:hAnsi="Tahoma" w:cs="Tahoma"/>
          <w:color w:val="212100"/>
          <w:sz w:val="18"/>
          <w:szCs w:val="18"/>
        </w:rPr>
        <w:t>:</w:t>
      </w:r>
      <w:r w:rsidRPr="00C9782D">
        <w:rPr>
          <w:rFonts w:ascii="Tahoma" w:hAnsi="Tahoma" w:cs="Tahoma"/>
          <w:color w:val="212100"/>
          <w:sz w:val="18"/>
          <w:szCs w:val="18"/>
        </w:rPr>
        <w:t xml:space="preserve"> </w:t>
      </w:r>
    </w:p>
    <w:p w:rsidR="00A0054E" w:rsidRPr="00E2063F" w:rsidRDefault="00B7360E" w:rsidP="00E2063F">
      <w:pPr>
        <w:rPr>
          <w:rFonts w:ascii="Tahoma" w:hAnsi="Tahoma" w:cs="Tahoma"/>
          <w:b/>
          <w:color w:val="212100"/>
          <w:sz w:val="18"/>
          <w:szCs w:val="18"/>
        </w:rPr>
      </w:pPr>
      <w:r w:rsidRPr="00E2063F">
        <w:rPr>
          <w:rFonts w:ascii="Tahoma" w:hAnsi="Tahoma" w:cs="Tahoma"/>
          <w:color w:val="212100"/>
          <w:sz w:val="18"/>
          <w:szCs w:val="18"/>
        </w:rPr>
        <w:t xml:space="preserve">Gordon L, Downes M, </w:t>
      </w:r>
      <w:r w:rsidR="006567D9">
        <w:rPr>
          <w:rFonts w:ascii="Tahoma" w:hAnsi="Tahoma" w:cs="Tahoma"/>
          <w:color w:val="212100"/>
          <w:sz w:val="18"/>
          <w:szCs w:val="18"/>
        </w:rPr>
        <w:t>Sowa P</w:t>
      </w:r>
      <w:r w:rsidRPr="00E2063F">
        <w:rPr>
          <w:rFonts w:ascii="Tahoma" w:hAnsi="Tahoma" w:cs="Tahoma"/>
          <w:color w:val="212100"/>
          <w:sz w:val="18"/>
          <w:szCs w:val="18"/>
        </w:rPr>
        <w:t xml:space="preserve">, </w:t>
      </w:r>
      <w:r w:rsidR="006567D9">
        <w:rPr>
          <w:rFonts w:ascii="Tahoma" w:hAnsi="Tahoma" w:cs="Tahoma"/>
          <w:color w:val="212100"/>
          <w:sz w:val="18"/>
          <w:szCs w:val="18"/>
        </w:rPr>
        <w:t xml:space="preserve">Tuffaha H, </w:t>
      </w:r>
      <w:r w:rsidRPr="00E2063F">
        <w:rPr>
          <w:rFonts w:ascii="Tahoma" w:hAnsi="Tahoma" w:cs="Tahoma"/>
          <w:color w:val="212100"/>
          <w:sz w:val="18"/>
          <w:szCs w:val="18"/>
        </w:rPr>
        <w:t>Scuffham P. (2014</w:t>
      </w:r>
      <w:r w:rsidR="00A0054E" w:rsidRPr="00E2063F">
        <w:rPr>
          <w:rFonts w:ascii="Tahoma" w:hAnsi="Tahoma" w:cs="Tahoma"/>
          <w:color w:val="212100"/>
          <w:sz w:val="18"/>
          <w:szCs w:val="18"/>
        </w:rPr>
        <w:t xml:space="preserve">). </w:t>
      </w:r>
      <w:r w:rsidRPr="00E2063F">
        <w:rPr>
          <w:rFonts w:ascii="Tahoma" w:hAnsi="Tahoma" w:cs="Tahoma"/>
          <w:sz w:val="18"/>
          <w:szCs w:val="18"/>
        </w:rPr>
        <w:t>Bone mineral density analyses using Dual Energy X-ray Absorptiometry (DXA) in breast cancer patients receiving aromatase inhibitor treatment</w:t>
      </w:r>
      <w:r w:rsidR="00A0054E" w:rsidRPr="00E2063F">
        <w:rPr>
          <w:rFonts w:ascii="Tahoma" w:hAnsi="Tahoma" w:cs="Tahoma"/>
          <w:color w:val="212100"/>
          <w:sz w:val="18"/>
          <w:szCs w:val="18"/>
        </w:rPr>
        <w:t>. MSAC Application 1</w:t>
      </w:r>
      <w:r w:rsidRPr="00E2063F">
        <w:rPr>
          <w:rFonts w:ascii="Tahoma" w:hAnsi="Tahoma" w:cs="Tahoma"/>
          <w:color w:val="212100"/>
          <w:sz w:val="18"/>
          <w:szCs w:val="18"/>
        </w:rPr>
        <w:t>313</w:t>
      </w:r>
      <w:r w:rsidR="00A0054E" w:rsidRPr="00E2063F">
        <w:rPr>
          <w:rFonts w:ascii="Tahoma" w:hAnsi="Tahoma" w:cs="Tahoma"/>
          <w:color w:val="212100"/>
          <w:sz w:val="18"/>
          <w:szCs w:val="18"/>
        </w:rPr>
        <w:t>, Assessment Report. Commonwealth of Australia, Canberra, ACT.</w:t>
      </w:r>
    </w:p>
    <w:p w:rsidR="00665179" w:rsidRPr="00C9782D" w:rsidRDefault="00665179" w:rsidP="00A0054E">
      <w:pPr>
        <w:ind w:left="0"/>
        <w:rPr>
          <w:i/>
          <w:sz w:val="12"/>
        </w:rPr>
      </w:pPr>
    </w:p>
    <w:p w:rsidR="008F59A8" w:rsidRPr="00C9782D" w:rsidRDefault="00E75529" w:rsidP="00665179">
      <w:pPr>
        <w:jc w:val="right"/>
        <w:sectPr w:rsidR="008F59A8" w:rsidRPr="00C9782D" w:rsidSect="00C4750D">
          <w:type w:val="continuous"/>
          <w:pgSz w:w="11907" w:h="16840" w:code="9"/>
          <w:pgMar w:top="1440" w:right="1440" w:bottom="1440" w:left="1440" w:header="578" w:footer="74" w:gutter="0"/>
          <w:pgNumType w:fmt="lowerRoman" w:start="1"/>
          <w:cols w:space="720"/>
          <w:noEndnote/>
          <w:titlePg/>
        </w:sectPr>
      </w:pPr>
      <w:r w:rsidRPr="00C9782D">
        <w:rPr>
          <w:i/>
          <w:sz w:val="12"/>
        </w:rPr>
        <w:t xml:space="preserve">Template </w:t>
      </w:r>
      <w:r w:rsidR="00C33268" w:rsidRPr="00C9782D">
        <w:rPr>
          <w:i/>
          <w:sz w:val="12"/>
        </w:rPr>
        <w:t xml:space="preserve">Version </w:t>
      </w:r>
      <w:r w:rsidR="00124EA4" w:rsidRPr="00C9782D">
        <w:rPr>
          <w:i/>
          <w:sz w:val="12"/>
        </w:rPr>
        <w:t xml:space="preserve">updated </w:t>
      </w:r>
      <w:r w:rsidR="00A0054E" w:rsidRPr="00C9782D">
        <w:rPr>
          <w:i/>
          <w:sz w:val="12"/>
        </w:rPr>
        <w:t>21 October 2013</w:t>
      </w:r>
    </w:p>
    <w:p w:rsidR="008F59A8" w:rsidRPr="00C40E3D" w:rsidRDefault="008F59A8" w:rsidP="00C40E3D">
      <w:pPr>
        <w:pStyle w:val="Heading2"/>
      </w:pPr>
      <w:bookmarkStart w:id="5" w:name="_Toc192054741"/>
      <w:bookmarkStart w:id="6" w:name="_Toc206489930"/>
      <w:bookmarkStart w:id="7" w:name="_Toc206494639"/>
      <w:bookmarkStart w:id="8" w:name="_Toc386092519"/>
      <w:bookmarkStart w:id="9" w:name="_Toc386093157"/>
      <w:bookmarkStart w:id="10" w:name="_Toc386093654"/>
      <w:bookmarkStart w:id="11" w:name="_Toc386093678"/>
      <w:r w:rsidRPr="00C40E3D">
        <w:lastRenderedPageBreak/>
        <w:t>Contents</w:t>
      </w:r>
      <w:bookmarkEnd w:id="5"/>
      <w:bookmarkEnd w:id="6"/>
      <w:bookmarkEnd w:id="7"/>
      <w:bookmarkEnd w:id="8"/>
      <w:bookmarkEnd w:id="9"/>
      <w:bookmarkEnd w:id="10"/>
      <w:bookmarkEnd w:id="11"/>
    </w:p>
    <w:p w:rsidR="0013164F" w:rsidRDefault="00663116" w:rsidP="0013164F">
      <w:pPr>
        <w:pStyle w:val="TOC2"/>
        <w:rPr>
          <w:rFonts w:asciiTheme="minorHAnsi" w:eastAsiaTheme="minorEastAsia" w:hAnsiTheme="minorHAnsi" w:cstheme="minorBidi"/>
          <w:b w:val="0"/>
          <w:sz w:val="22"/>
          <w:szCs w:val="22"/>
        </w:rPr>
      </w:pPr>
      <w:r w:rsidRPr="00C9782D">
        <w:fldChar w:fldCharType="begin"/>
      </w:r>
      <w:r w:rsidRPr="00C9782D">
        <w:instrText xml:space="preserve"> TOC \o "1-2" \h \z \u </w:instrText>
      </w:r>
      <w:r w:rsidRPr="00C9782D">
        <w:fldChar w:fldCharType="separate"/>
      </w:r>
    </w:p>
    <w:sdt>
      <w:sdtPr>
        <w:rPr>
          <w:rFonts w:ascii="Garamond" w:eastAsia="Times New Roman" w:hAnsi="Garamond" w:cs="Times New Roman"/>
          <w:b w:val="0"/>
          <w:bCs w:val="0"/>
          <w:noProof/>
          <w:color w:val="auto"/>
          <w:sz w:val="24"/>
          <w:szCs w:val="20"/>
          <w:lang w:val="en-AU" w:eastAsia="en-AU"/>
        </w:rPr>
        <w:id w:val="-1900971446"/>
        <w:docPartObj>
          <w:docPartGallery w:val="Table of Contents"/>
          <w:docPartUnique/>
        </w:docPartObj>
      </w:sdtPr>
      <w:sdtEndPr/>
      <w:sdtContent>
        <w:p w:rsidR="0013164F" w:rsidRPr="0013164F" w:rsidRDefault="0013164F" w:rsidP="0013164F">
          <w:pPr>
            <w:pStyle w:val="TOCHeading"/>
            <w:spacing w:before="0" w:line="240" w:lineRule="auto"/>
            <w:rPr>
              <w:noProof/>
              <w:sz w:val="16"/>
              <w:szCs w:val="16"/>
            </w:rPr>
          </w:pPr>
        </w:p>
        <w:p w:rsidR="0013164F" w:rsidRDefault="0013164F">
          <w:pPr>
            <w:pStyle w:val="TOC2"/>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86093678" w:history="1">
            <w:r w:rsidRPr="008458A7">
              <w:rPr>
                <w:rStyle w:val="Hyperlink"/>
              </w:rPr>
              <w:t>Contents</w:t>
            </w:r>
            <w:r>
              <w:rPr>
                <w:webHidden/>
              </w:rPr>
              <w:tab/>
            </w:r>
            <w:r>
              <w:rPr>
                <w:webHidden/>
              </w:rPr>
              <w:fldChar w:fldCharType="begin"/>
            </w:r>
            <w:r>
              <w:rPr>
                <w:webHidden/>
              </w:rPr>
              <w:instrText xml:space="preserve"> PAGEREF _Toc386093678 \h </w:instrText>
            </w:r>
            <w:r>
              <w:rPr>
                <w:webHidden/>
              </w:rPr>
            </w:r>
            <w:r>
              <w:rPr>
                <w:webHidden/>
              </w:rPr>
              <w:fldChar w:fldCharType="separate"/>
            </w:r>
            <w:r w:rsidR="0049135A">
              <w:rPr>
                <w:webHidden/>
              </w:rPr>
              <w:t>iii</w:t>
            </w:r>
            <w:r>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679" w:history="1">
            <w:r w:rsidR="0013164F" w:rsidRPr="008458A7">
              <w:rPr>
                <w:rStyle w:val="Hyperlink"/>
              </w:rPr>
              <w:t>Executive summary</w:t>
            </w:r>
            <w:r w:rsidR="0013164F">
              <w:rPr>
                <w:webHidden/>
              </w:rPr>
              <w:tab/>
            </w:r>
            <w:r w:rsidR="0013164F">
              <w:rPr>
                <w:webHidden/>
              </w:rPr>
              <w:fldChar w:fldCharType="begin"/>
            </w:r>
            <w:r w:rsidR="0013164F">
              <w:rPr>
                <w:webHidden/>
              </w:rPr>
              <w:instrText xml:space="preserve"> PAGEREF _Toc386093679 \h </w:instrText>
            </w:r>
            <w:r w:rsidR="0013164F">
              <w:rPr>
                <w:webHidden/>
              </w:rPr>
            </w:r>
            <w:r w:rsidR="0013164F">
              <w:rPr>
                <w:webHidden/>
              </w:rPr>
              <w:fldChar w:fldCharType="separate"/>
            </w:r>
            <w:r>
              <w:rPr>
                <w:webHidden/>
              </w:rPr>
              <w:t>vii</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80" w:history="1">
            <w:r w:rsidR="0013164F" w:rsidRPr="008458A7">
              <w:rPr>
                <w:rStyle w:val="Hyperlink"/>
              </w:rPr>
              <w:t>The procedure</w:t>
            </w:r>
            <w:r w:rsidR="0013164F">
              <w:rPr>
                <w:webHidden/>
              </w:rPr>
              <w:tab/>
            </w:r>
            <w:r w:rsidR="0013164F">
              <w:rPr>
                <w:webHidden/>
              </w:rPr>
              <w:fldChar w:fldCharType="begin"/>
            </w:r>
            <w:r w:rsidR="0013164F">
              <w:rPr>
                <w:webHidden/>
              </w:rPr>
              <w:instrText xml:space="preserve"> PAGEREF _Toc386093680 \h </w:instrText>
            </w:r>
            <w:r w:rsidR="0013164F">
              <w:rPr>
                <w:webHidden/>
              </w:rPr>
            </w:r>
            <w:r w:rsidR="0013164F">
              <w:rPr>
                <w:webHidden/>
              </w:rPr>
              <w:fldChar w:fldCharType="separate"/>
            </w:r>
            <w:r>
              <w:rPr>
                <w:webHidden/>
              </w:rPr>
              <w:t>vii</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81" w:history="1">
            <w:r w:rsidR="0013164F" w:rsidRPr="008458A7">
              <w:rPr>
                <w:rStyle w:val="Hyperlink"/>
              </w:rPr>
              <w:t>Medical Services Advisory Committee – role and approach</w:t>
            </w:r>
            <w:r w:rsidR="0013164F">
              <w:rPr>
                <w:webHidden/>
              </w:rPr>
              <w:tab/>
            </w:r>
            <w:r w:rsidR="0013164F">
              <w:rPr>
                <w:webHidden/>
              </w:rPr>
              <w:fldChar w:fldCharType="begin"/>
            </w:r>
            <w:r w:rsidR="0013164F">
              <w:rPr>
                <w:webHidden/>
              </w:rPr>
              <w:instrText xml:space="preserve"> PAGEREF _Toc386093681 \h </w:instrText>
            </w:r>
            <w:r w:rsidR="0013164F">
              <w:rPr>
                <w:webHidden/>
              </w:rPr>
            </w:r>
            <w:r w:rsidR="0013164F">
              <w:rPr>
                <w:webHidden/>
              </w:rPr>
              <w:fldChar w:fldCharType="separate"/>
            </w:r>
            <w:r>
              <w:rPr>
                <w:webHidden/>
              </w:rPr>
              <w:t>vii</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82" w:history="1">
            <w:r w:rsidR="0013164F" w:rsidRPr="008458A7">
              <w:rPr>
                <w:rStyle w:val="Hyperlink"/>
              </w:rPr>
              <w:t>Assessment of DXA</w:t>
            </w:r>
            <w:r w:rsidR="0013164F">
              <w:rPr>
                <w:webHidden/>
              </w:rPr>
              <w:tab/>
            </w:r>
            <w:r w:rsidR="0013164F">
              <w:rPr>
                <w:webHidden/>
              </w:rPr>
              <w:fldChar w:fldCharType="begin"/>
            </w:r>
            <w:r w:rsidR="0013164F">
              <w:rPr>
                <w:webHidden/>
              </w:rPr>
              <w:instrText xml:space="preserve"> PAGEREF _Toc386093682 \h </w:instrText>
            </w:r>
            <w:r w:rsidR="0013164F">
              <w:rPr>
                <w:webHidden/>
              </w:rPr>
            </w:r>
            <w:r w:rsidR="0013164F">
              <w:rPr>
                <w:webHidden/>
              </w:rPr>
              <w:fldChar w:fldCharType="separate"/>
            </w:r>
            <w:r>
              <w:rPr>
                <w:webHidden/>
              </w:rPr>
              <w:t>vii</w:t>
            </w:r>
            <w:r w:rsidR="0013164F">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683" w:history="1">
            <w:r w:rsidR="0013164F" w:rsidRPr="008458A7">
              <w:rPr>
                <w:rStyle w:val="Hyperlink"/>
              </w:rPr>
              <w:t>Introduction</w:t>
            </w:r>
            <w:r w:rsidR="0013164F">
              <w:rPr>
                <w:webHidden/>
              </w:rPr>
              <w:tab/>
            </w:r>
            <w:r w:rsidR="0013164F">
              <w:rPr>
                <w:webHidden/>
              </w:rPr>
              <w:fldChar w:fldCharType="begin"/>
            </w:r>
            <w:r w:rsidR="0013164F">
              <w:rPr>
                <w:webHidden/>
              </w:rPr>
              <w:instrText xml:space="preserve"> PAGEREF _Toc386093683 \h </w:instrText>
            </w:r>
            <w:r w:rsidR="0013164F">
              <w:rPr>
                <w:webHidden/>
              </w:rPr>
            </w:r>
            <w:r w:rsidR="0013164F">
              <w:rPr>
                <w:webHidden/>
              </w:rPr>
              <w:fldChar w:fldCharType="separate"/>
            </w:r>
            <w:r>
              <w:rPr>
                <w:webHidden/>
              </w:rPr>
              <w:t>14</w:t>
            </w:r>
            <w:r w:rsidR="0013164F">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684" w:history="1">
            <w:r w:rsidR="0013164F" w:rsidRPr="008458A7">
              <w:rPr>
                <w:rStyle w:val="Hyperlink"/>
              </w:rPr>
              <w:t>Background</w:t>
            </w:r>
            <w:r w:rsidR="0013164F">
              <w:rPr>
                <w:webHidden/>
              </w:rPr>
              <w:tab/>
            </w:r>
            <w:r w:rsidR="0013164F">
              <w:rPr>
                <w:webHidden/>
              </w:rPr>
              <w:fldChar w:fldCharType="begin"/>
            </w:r>
            <w:r w:rsidR="0013164F">
              <w:rPr>
                <w:webHidden/>
              </w:rPr>
              <w:instrText xml:space="preserve"> PAGEREF _Toc386093684 \h </w:instrText>
            </w:r>
            <w:r w:rsidR="0013164F">
              <w:rPr>
                <w:webHidden/>
              </w:rPr>
            </w:r>
            <w:r w:rsidR="0013164F">
              <w:rPr>
                <w:webHidden/>
              </w:rPr>
              <w:fldChar w:fldCharType="separate"/>
            </w:r>
            <w:r>
              <w:rPr>
                <w:webHidden/>
              </w:rPr>
              <w:t>15</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85" w:history="1">
            <w:r w:rsidR="0013164F" w:rsidRPr="008458A7">
              <w:rPr>
                <w:rStyle w:val="Hyperlink"/>
              </w:rPr>
              <w:t>Breast cancer</w:t>
            </w:r>
            <w:r w:rsidR="0013164F">
              <w:rPr>
                <w:webHidden/>
              </w:rPr>
              <w:tab/>
            </w:r>
            <w:r w:rsidR="0013164F">
              <w:rPr>
                <w:webHidden/>
              </w:rPr>
              <w:fldChar w:fldCharType="begin"/>
            </w:r>
            <w:r w:rsidR="0013164F">
              <w:rPr>
                <w:webHidden/>
              </w:rPr>
              <w:instrText xml:space="preserve"> PAGEREF _Toc386093685 \h </w:instrText>
            </w:r>
            <w:r w:rsidR="0013164F">
              <w:rPr>
                <w:webHidden/>
              </w:rPr>
            </w:r>
            <w:r w:rsidR="0013164F">
              <w:rPr>
                <w:webHidden/>
              </w:rPr>
              <w:fldChar w:fldCharType="separate"/>
            </w:r>
            <w:r>
              <w:rPr>
                <w:webHidden/>
              </w:rPr>
              <w:t>15</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86" w:history="1">
            <w:r w:rsidR="0013164F" w:rsidRPr="008458A7">
              <w:rPr>
                <w:rStyle w:val="Hyperlink"/>
              </w:rPr>
              <w:t>Bone mineral density</w:t>
            </w:r>
            <w:r w:rsidR="0013164F">
              <w:rPr>
                <w:webHidden/>
              </w:rPr>
              <w:tab/>
            </w:r>
            <w:r w:rsidR="0013164F">
              <w:rPr>
                <w:webHidden/>
              </w:rPr>
              <w:fldChar w:fldCharType="begin"/>
            </w:r>
            <w:r w:rsidR="0013164F">
              <w:rPr>
                <w:webHidden/>
              </w:rPr>
              <w:instrText xml:space="preserve"> PAGEREF _Toc386093686 \h </w:instrText>
            </w:r>
            <w:r w:rsidR="0013164F">
              <w:rPr>
                <w:webHidden/>
              </w:rPr>
            </w:r>
            <w:r w:rsidR="0013164F">
              <w:rPr>
                <w:webHidden/>
              </w:rPr>
              <w:fldChar w:fldCharType="separate"/>
            </w:r>
            <w:r>
              <w:rPr>
                <w:webHidden/>
              </w:rPr>
              <w:t>16</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87" w:history="1">
            <w:r w:rsidR="0013164F" w:rsidRPr="008458A7">
              <w:rPr>
                <w:rStyle w:val="Hyperlink"/>
              </w:rPr>
              <w:t>Dual-energy X-ray absorptiometry (DXA)</w:t>
            </w:r>
            <w:r w:rsidR="0013164F">
              <w:rPr>
                <w:webHidden/>
              </w:rPr>
              <w:tab/>
            </w:r>
            <w:r w:rsidR="0013164F">
              <w:rPr>
                <w:webHidden/>
              </w:rPr>
              <w:fldChar w:fldCharType="begin"/>
            </w:r>
            <w:r w:rsidR="0013164F">
              <w:rPr>
                <w:webHidden/>
              </w:rPr>
              <w:instrText xml:space="preserve"> PAGEREF _Toc386093687 \h </w:instrText>
            </w:r>
            <w:r w:rsidR="0013164F">
              <w:rPr>
                <w:webHidden/>
              </w:rPr>
            </w:r>
            <w:r w:rsidR="0013164F">
              <w:rPr>
                <w:webHidden/>
              </w:rPr>
              <w:fldChar w:fldCharType="separate"/>
            </w:r>
            <w:r>
              <w:rPr>
                <w:webHidden/>
              </w:rPr>
              <w:t>18</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88" w:history="1">
            <w:r w:rsidR="0013164F" w:rsidRPr="008458A7">
              <w:rPr>
                <w:rStyle w:val="Hyperlink"/>
              </w:rPr>
              <w:t>Anti-resorptive therapies</w:t>
            </w:r>
            <w:r w:rsidR="0013164F">
              <w:rPr>
                <w:webHidden/>
              </w:rPr>
              <w:tab/>
            </w:r>
            <w:r w:rsidR="0013164F">
              <w:rPr>
                <w:webHidden/>
              </w:rPr>
              <w:fldChar w:fldCharType="begin"/>
            </w:r>
            <w:r w:rsidR="0013164F">
              <w:rPr>
                <w:webHidden/>
              </w:rPr>
              <w:instrText xml:space="preserve"> PAGEREF _Toc386093688 \h </w:instrText>
            </w:r>
            <w:r w:rsidR="0013164F">
              <w:rPr>
                <w:webHidden/>
              </w:rPr>
            </w:r>
            <w:r w:rsidR="0013164F">
              <w:rPr>
                <w:webHidden/>
              </w:rPr>
              <w:fldChar w:fldCharType="separate"/>
            </w:r>
            <w:r>
              <w:rPr>
                <w:webHidden/>
              </w:rPr>
              <w:t>18</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89" w:history="1">
            <w:r w:rsidR="0013164F" w:rsidRPr="008458A7">
              <w:rPr>
                <w:rStyle w:val="Hyperlink"/>
              </w:rPr>
              <w:t>Intended purpose</w:t>
            </w:r>
            <w:r w:rsidR="0013164F">
              <w:rPr>
                <w:webHidden/>
              </w:rPr>
              <w:tab/>
            </w:r>
            <w:r w:rsidR="0013164F">
              <w:rPr>
                <w:webHidden/>
              </w:rPr>
              <w:fldChar w:fldCharType="begin"/>
            </w:r>
            <w:r w:rsidR="0013164F">
              <w:rPr>
                <w:webHidden/>
              </w:rPr>
              <w:instrText xml:space="preserve"> PAGEREF _Toc386093689 \h </w:instrText>
            </w:r>
            <w:r w:rsidR="0013164F">
              <w:rPr>
                <w:webHidden/>
              </w:rPr>
            </w:r>
            <w:r w:rsidR="0013164F">
              <w:rPr>
                <w:webHidden/>
              </w:rPr>
              <w:fldChar w:fldCharType="separate"/>
            </w:r>
            <w:r>
              <w:rPr>
                <w:webHidden/>
              </w:rPr>
              <w:t>19</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90" w:history="1">
            <w:r w:rsidR="0013164F" w:rsidRPr="008458A7">
              <w:rPr>
                <w:rStyle w:val="Hyperlink"/>
              </w:rPr>
              <w:t>Clinical need</w:t>
            </w:r>
            <w:r w:rsidR="0013164F">
              <w:rPr>
                <w:webHidden/>
              </w:rPr>
              <w:tab/>
            </w:r>
            <w:r w:rsidR="0013164F">
              <w:rPr>
                <w:webHidden/>
              </w:rPr>
              <w:fldChar w:fldCharType="begin"/>
            </w:r>
            <w:r w:rsidR="0013164F">
              <w:rPr>
                <w:webHidden/>
              </w:rPr>
              <w:instrText xml:space="preserve"> PAGEREF _Toc386093690 \h </w:instrText>
            </w:r>
            <w:r w:rsidR="0013164F">
              <w:rPr>
                <w:webHidden/>
              </w:rPr>
            </w:r>
            <w:r w:rsidR="0013164F">
              <w:rPr>
                <w:webHidden/>
              </w:rPr>
              <w:fldChar w:fldCharType="separate"/>
            </w:r>
            <w:r>
              <w:rPr>
                <w:webHidden/>
              </w:rPr>
              <w:t>20</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91" w:history="1">
            <w:r w:rsidR="0013164F" w:rsidRPr="008458A7">
              <w:rPr>
                <w:rStyle w:val="Hyperlink"/>
              </w:rPr>
              <w:t>Existing tests</w:t>
            </w:r>
            <w:r w:rsidR="0013164F">
              <w:rPr>
                <w:webHidden/>
              </w:rPr>
              <w:tab/>
            </w:r>
            <w:r w:rsidR="0013164F">
              <w:rPr>
                <w:webHidden/>
              </w:rPr>
              <w:fldChar w:fldCharType="begin"/>
            </w:r>
            <w:r w:rsidR="0013164F">
              <w:rPr>
                <w:webHidden/>
              </w:rPr>
              <w:instrText xml:space="preserve"> PAGEREF _Toc386093691 \h </w:instrText>
            </w:r>
            <w:r w:rsidR="0013164F">
              <w:rPr>
                <w:webHidden/>
              </w:rPr>
            </w:r>
            <w:r w:rsidR="0013164F">
              <w:rPr>
                <w:webHidden/>
              </w:rPr>
              <w:fldChar w:fldCharType="separate"/>
            </w:r>
            <w:r>
              <w:rPr>
                <w:webHidden/>
              </w:rPr>
              <w:t>20</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92" w:history="1">
            <w:r w:rsidR="0013164F" w:rsidRPr="008458A7">
              <w:rPr>
                <w:rStyle w:val="Hyperlink"/>
              </w:rPr>
              <w:t>Marketing status of device</w:t>
            </w:r>
            <w:r w:rsidR="0013164F">
              <w:rPr>
                <w:webHidden/>
              </w:rPr>
              <w:tab/>
            </w:r>
            <w:r w:rsidR="0013164F">
              <w:rPr>
                <w:webHidden/>
              </w:rPr>
              <w:fldChar w:fldCharType="begin"/>
            </w:r>
            <w:r w:rsidR="0013164F">
              <w:rPr>
                <w:webHidden/>
              </w:rPr>
              <w:instrText xml:space="preserve"> PAGEREF _Toc386093692 \h </w:instrText>
            </w:r>
            <w:r w:rsidR="0013164F">
              <w:rPr>
                <w:webHidden/>
              </w:rPr>
            </w:r>
            <w:r w:rsidR="0013164F">
              <w:rPr>
                <w:webHidden/>
              </w:rPr>
              <w:fldChar w:fldCharType="separate"/>
            </w:r>
            <w:r>
              <w:rPr>
                <w:webHidden/>
              </w:rPr>
              <w:t>20</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93" w:history="1">
            <w:r w:rsidR="0013164F" w:rsidRPr="008458A7">
              <w:rPr>
                <w:rStyle w:val="Hyperlink"/>
              </w:rPr>
              <w:t>Current reimbursement arrangements</w:t>
            </w:r>
            <w:r w:rsidR="0013164F">
              <w:rPr>
                <w:webHidden/>
              </w:rPr>
              <w:tab/>
            </w:r>
            <w:r w:rsidR="0013164F">
              <w:rPr>
                <w:webHidden/>
              </w:rPr>
              <w:fldChar w:fldCharType="begin"/>
            </w:r>
            <w:r w:rsidR="0013164F">
              <w:rPr>
                <w:webHidden/>
              </w:rPr>
              <w:instrText xml:space="preserve"> PAGEREF _Toc386093693 \h </w:instrText>
            </w:r>
            <w:r w:rsidR="0013164F">
              <w:rPr>
                <w:webHidden/>
              </w:rPr>
            </w:r>
            <w:r w:rsidR="0013164F">
              <w:rPr>
                <w:webHidden/>
              </w:rPr>
              <w:fldChar w:fldCharType="separate"/>
            </w:r>
            <w:r>
              <w:rPr>
                <w:webHidden/>
              </w:rPr>
              <w:t>21</w:t>
            </w:r>
            <w:r w:rsidR="0013164F">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694" w:history="1">
            <w:r w:rsidR="0013164F" w:rsidRPr="008458A7">
              <w:rPr>
                <w:rStyle w:val="Hyperlink"/>
              </w:rPr>
              <w:t>Approach to assessment</w:t>
            </w:r>
            <w:r w:rsidR="0013164F">
              <w:rPr>
                <w:webHidden/>
              </w:rPr>
              <w:tab/>
            </w:r>
            <w:r w:rsidR="0013164F">
              <w:rPr>
                <w:webHidden/>
              </w:rPr>
              <w:fldChar w:fldCharType="begin"/>
            </w:r>
            <w:r w:rsidR="0013164F">
              <w:rPr>
                <w:webHidden/>
              </w:rPr>
              <w:instrText xml:space="preserve"> PAGEREF _Toc386093694 \h </w:instrText>
            </w:r>
            <w:r w:rsidR="0013164F">
              <w:rPr>
                <w:webHidden/>
              </w:rPr>
            </w:r>
            <w:r w:rsidR="0013164F">
              <w:rPr>
                <w:webHidden/>
              </w:rPr>
              <w:fldChar w:fldCharType="separate"/>
            </w:r>
            <w:r>
              <w:rPr>
                <w:webHidden/>
              </w:rPr>
              <w:t>25</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95" w:history="1">
            <w:r w:rsidR="0013164F" w:rsidRPr="008458A7">
              <w:rPr>
                <w:rStyle w:val="Hyperlink"/>
              </w:rPr>
              <w:t>Objective</w:t>
            </w:r>
            <w:r w:rsidR="0013164F">
              <w:rPr>
                <w:webHidden/>
              </w:rPr>
              <w:tab/>
            </w:r>
            <w:r w:rsidR="0013164F">
              <w:rPr>
                <w:webHidden/>
              </w:rPr>
              <w:fldChar w:fldCharType="begin"/>
            </w:r>
            <w:r w:rsidR="0013164F">
              <w:rPr>
                <w:webHidden/>
              </w:rPr>
              <w:instrText xml:space="preserve"> PAGEREF _Toc386093695 \h </w:instrText>
            </w:r>
            <w:r w:rsidR="0013164F">
              <w:rPr>
                <w:webHidden/>
              </w:rPr>
            </w:r>
            <w:r w:rsidR="0013164F">
              <w:rPr>
                <w:webHidden/>
              </w:rPr>
              <w:fldChar w:fldCharType="separate"/>
            </w:r>
            <w:r>
              <w:rPr>
                <w:webHidden/>
              </w:rPr>
              <w:t>25</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96" w:history="1">
            <w:r w:rsidR="0013164F" w:rsidRPr="008458A7">
              <w:rPr>
                <w:rStyle w:val="Hyperlink"/>
              </w:rPr>
              <w:t>Clinical decision pathway</w:t>
            </w:r>
            <w:r w:rsidR="0013164F">
              <w:rPr>
                <w:webHidden/>
              </w:rPr>
              <w:tab/>
            </w:r>
            <w:r w:rsidR="0013164F">
              <w:rPr>
                <w:webHidden/>
              </w:rPr>
              <w:fldChar w:fldCharType="begin"/>
            </w:r>
            <w:r w:rsidR="0013164F">
              <w:rPr>
                <w:webHidden/>
              </w:rPr>
              <w:instrText xml:space="preserve"> PAGEREF _Toc386093696 \h </w:instrText>
            </w:r>
            <w:r w:rsidR="0013164F">
              <w:rPr>
                <w:webHidden/>
              </w:rPr>
            </w:r>
            <w:r w:rsidR="0013164F">
              <w:rPr>
                <w:webHidden/>
              </w:rPr>
              <w:fldChar w:fldCharType="separate"/>
            </w:r>
            <w:r>
              <w:rPr>
                <w:webHidden/>
              </w:rPr>
              <w:t>25</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97" w:history="1">
            <w:r w:rsidR="0013164F" w:rsidRPr="008458A7">
              <w:rPr>
                <w:rStyle w:val="Hyperlink"/>
              </w:rPr>
              <w:t>Comparator</w:t>
            </w:r>
            <w:r w:rsidR="0013164F">
              <w:rPr>
                <w:webHidden/>
              </w:rPr>
              <w:tab/>
            </w:r>
            <w:r w:rsidR="0013164F">
              <w:rPr>
                <w:webHidden/>
              </w:rPr>
              <w:fldChar w:fldCharType="begin"/>
            </w:r>
            <w:r w:rsidR="0013164F">
              <w:rPr>
                <w:webHidden/>
              </w:rPr>
              <w:instrText xml:space="preserve"> PAGEREF _Toc386093697 \h </w:instrText>
            </w:r>
            <w:r w:rsidR="0013164F">
              <w:rPr>
                <w:webHidden/>
              </w:rPr>
            </w:r>
            <w:r w:rsidR="0013164F">
              <w:rPr>
                <w:webHidden/>
              </w:rPr>
              <w:fldChar w:fldCharType="separate"/>
            </w:r>
            <w:r>
              <w:rPr>
                <w:webHidden/>
              </w:rPr>
              <w:t>26</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98" w:history="1">
            <w:r w:rsidR="0013164F" w:rsidRPr="008458A7">
              <w:rPr>
                <w:rStyle w:val="Hyperlink"/>
              </w:rPr>
              <w:t>Research questions</w:t>
            </w:r>
            <w:r w:rsidR="0013164F">
              <w:rPr>
                <w:webHidden/>
              </w:rPr>
              <w:tab/>
            </w:r>
            <w:r w:rsidR="0013164F">
              <w:rPr>
                <w:webHidden/>
              </w:rPr>
              <w:fldChar w:fldCharType="begin"/>
            </w:r>
            <w:r w:rsidR="0013164F">
              <w:rPr>
                <w:webHidden/>
              </w:rPr>
              <w:instrText xml:space="preserve"> PAGEREF _Toc386093698 \h </w:instrText>
            </w:r>
            <w:r w:rsidR="0013164F">
              <w:rPr>
                <w:webHidden/>
              </w:rPr>
            </w:r>
            <w:r w:rsidR="0013164F">
              <w:rPr>
                <w:webHidden/>
              </w:rPr>
              <w:fldChar w:fldCharType="separate"/>
            </w:r>
            <w:r>
              <w:rPr>
                <w:webHidden/>
              </w:rPr>
              <w:t>26</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699" w:history="1">
            <w:r w:rsidR="0013164F" w:rsidRPr="008458A7">
              <w:rPr>
                <w:rStyle w:val="Hyperlink"/>
              </w:rPr>
              <w:t>Review of literature</w:t>
            </w:r>
            <w:r w:rsidR="0013164F">
              <w:rPr>
                <w:webHidden/>
              </w:rPr>
              <w:tab/>
            </w:r>
            <w:r w:rsidR="0013164F">
              <w:rPr>
                <w:webHidden/>
              </w:rPr>
              <w:fldChar w:fldCharType="begin"/>
            </w:r>
            <w:r w:rsidR="0013164F">
              <w:rPr>
                <w:webHidden/>
              </w:rPr>
              <w:instrText xml:space="preserve"> PAGEREF _Toc386093699 \h </w:instrText>
            </w:r>
            <w:r w:rsidR="0013164F">
              <w:rPr>
                <w:webHidden/>
              </w:rPr>
            </w:r>
            <w:r w:rsidR="0013164F">
              <w:rPr>
                <w:webHidden/>
              </w:rPr>
              <w:fldChar w:fldCharType="separate"/>
            </w:r>
            <w:r>
              <w:rPr>
                <w:webHidden/>
              </w:rPr>
              <w:t>27</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00" w:history="1">
            <w:r w:rsidR="0013164F" w:rsidRPr="008458A7">
              <w:rPr>
                <w:rStyle w:val="Hyperlink"/>
              </w:rPr>
              <w:t>Appraisal of the evidence</w:t>
            </w:r>
            <w:r w:rsidR="0013164F">
              <w:rPr>
                <w:webHidden/>
              </w:rPr>
              <w:tab/>
            </w:r>
            <w:r w:rsidR="0013164F">
              <w:rPr>
                <w:webHidden/>
              </w:rPr>
              <w:fldChar w:fldCharType="begin"/>
            </w:r>
            <w:r w:rsidR="0013164F">
              <w:rPr>
                <w:webHidden/>
              </w:rPr>
              <w:instrText xml:space="preserve"> PAGEREF _Toc386093700 \h </w:instrText>
            </w:r>
            <w:r w:rsidR="0013164F">
              <w:rPr>
                <w:webHidden/>
              </w:rPr>
            </w:r>
            <w:r w:rsidR="0013164F">
              <w:rPr>
                <w:webHidden/>
              </w:rPr>
              <w:fldChar w:fldCharType="separate"/>
            </w:r>
            <w:r>
              <w:rPr>
                <w:webHidden/>
              </w:rPr>
              <w:t>30</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01" w:history="1">
            <w:r w:rsidR="0013164F" w:rsidRPr="008458A7">
              <w:rPr>
                <w:rStyle w:val="Hyperlink"/>
                <w:lang w:val="en-US"/>
              </w:rPr>
              <w:t>Assessment of the body of evidence</w:t>
            </w:r>
            <w:r w:rsidR="0013164F">
              <w:rPr>
                <w:webHidden/>
              </w:rPr>
              <w:tab/>
            </w:r>
            <w:r w:rsidR="0013164F">
              <w:rPr>
                <w:webHidden/>
              </w:rPr>
              <w:fldChar w:fldCharType="begin"/>
            </w:r>
            <w:r w:rsidR="0013164F">
              <w:rPr>
                <w:webHidden/>
              </w:rPr>
              <w:instrText xml:space="preserve"> PAGEREF _Toc386093701 \h </w:instrText>
            </w:r>
            <w:r w:rsidR="0013164F">
              <w:rPr>
                <w:webHidden/>
              </w:rPr>
            </w:r>
            <w:r w:rsidR="0013164F">
              <w:rPr>
                <w:webHidden/>
              </w:rPr>
              <w:fldChar w:fldCharType="separate"/>
            </w:r>
            <w:r>
              <w:rPr>
                <w:webHidden/>
              </w:rPr>
              <w:t>33</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02" w:history="1">
            <w:r w:rsidR="0013164F" w:rsidRPr="008458A7">
              <w:rPr>
                <w:rStyle w:val="Hyperlink"/>
              </w:rPr>
              <w:t>Expert advice</w:t>
            </w:r>
            <w:r w:rsidR="0013164F">
              <w:rPr>
                <w:webHidden/>
              </w:rPr>
              <w:tab/>
            </w:r>
            <w:r w:rsidR="0013164F">
              <w:rPr>
                <w:webHidden/>
              </w:rPr>
              <w:fldChar w:fldCharType="begin"/>
            </w:r>
            <w:r w:rsidR="0013164F">
              <w:rPr>
                <w:webHidden/>
              </w:rPr>
              <w:instrText xml:space="preserve"> PAGEREF _Toc386093702 \h </w:instrText>
            </w:r>
            <w:r w:rsidR="0013164F">
              <w:rPr>
                <w:webHidden/>
              </w:rPr>
            </w:r>
            <w:r w:rsidR="0013164F">
              <w:rPr>
                <w:webHidden/>
              </w:rPr>
              <w:fldChar w:fldCharType="separate"/>
            </w:r>
            <w:r>
              <w:rPr>
                <w:webHidden/>
              </w:rPr>
              <w:t>34</w:t>
            </w:r>
            <w:r w:rsidR="0013164F">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703" w:history="1">
            <w:r w:rsidR="0013164F" w:rsidRPr="008458A7">
              <w:rPr>
                <w:rStyle w:val="Hyperlink"/>
              </w:rPr>
              <w:t>Results of assessment</w:t>
            </w:r>
            <w:r w:rsidR="0013164F">
              <w:rPr>
                <w:webHidden/>
              </w:rPr>
              <w:tab/>
            </w:r>
            <w:r w:rsidR="0013164F">
              <w:rPr>
                <w:webHidden/>
              </w:rPr>
              <w:fldChar w:fldCharType="begin"/>
            </w:r>
            <w:r w:rsidR="0013164F">
              <w:rPr>
                <w:webHidden/>
              </w:rPr>
              <w:instrText xml:space="preserve"> PAGEREF _Toc386093703 \h </w:instrText>
            </w:r>
            <w:r w:rsidR="0013164F">
              <w:rPr>
                <w:webHidden/>
              </w:rPr>
            </w:r>
            <w:r w:rsidR="0013164F">
              <w:rPr>
                <w:webHidden/>
              </w:rPr>
              <w:fldChar w:fldCharType="separate"/>
            </w:r>
            <w:r>
              <w:rPr>
                <w:webHidden/>
              </w:rPr>
              <w:t>35</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04" w:history="1">
            <w:r w:rsidR="0013164F" w:rsidRPr="008458A7">
              <w:rPr>
                <w:rStyle w:val="Hyperlink"/>
              </w:rPr>
              <w:t>Relevant studies for assessment</w:t>
            </w:r>
            <w:r w:rsidR="0013164F">
              <w:rPr>
                <w:webHidden/>
              </w:rPr>
              <w:tab/>
            </w:r>
            <w:r w:rsidR="0013164F">
              <w:rPr>
                <w:webHidden/>
              </w:rPr>
              <w:fldChar w:fldCharType="begin"/>
            </w:r>
            <w:r w:rsidR="0013164F">
              <w:rPr>
                <w:webHidden/>
              </w:rPr>
              <w:instrText xml:space="preserve"> PAGEREF _Toc386093704 \h </w:instrText>
            </w:r>
            <w:r w:rsidR="0013164F">
              <w:rPr>
                <w:webHidden/>
              </w:rPr>
            </w:r>
            <w:r w:rsidR="0013164F">
              <w:rPr>
                <w:webHidden/>
              </w:rPr>
              <w:fldChar w:fldCharType="separate"/>
            </w:r>
            <w:r>
              <w:rPr>
                <w:webHidden/>
              </w:rPr>
              <w:t>35</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05" w:history="1">
            <w:r w:rsidR="0013164F" w:rsidRPr="008458A7">
              <w:rPr>
                <w:rStyle w:val="Hyperlink"/>
              </w:rPr>
              <w:t>Are post-menopausal women with breast cancer on aromatase inhibitors at high risk of minimal trauma fractures?</w:t>
            </w:r>
            <w:r w:rsidR="0013164F">
              <w:rPr>
                <w:webHidden/>
              </w:rPr>
              <w:tab/>
            </w:r>
            <w:r w:rsidR="0013164F">
              <w:rPr>
                <w:webHidden/>
              </w:rPr>
              <w:fldChar w:fldCharType="begin"/>
            </w:r>
            <w:r w:rsidR="0013164F">
              <w:rPr>
                <w:webHidden/>
              </w:rPr>
              <w:instrText xml:space="preserve"> PAGEREF _Toc386093705 \h </w:instrText>
            </w:r>
            <w:r w:rsidR="0013164F">
              <w:rPr>
                <w:webHidden/>
              </w:rPr>
            </w:r>
            <w:r w:rsidR="0013164F">
              <w:rPr>
                <w:webHidden/>
              </w:rPr>
              <w:fldChar w:fldCharType="separate"/>
            </w:r>
            <w:r>
              <w:rPr>
                <w:webHidden/>
              </w:rPr>
              <w:t>36</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06" w:history="1">
            <w:r w:rsidR="0013164F" w:rsidRPr="008458A7">
              <w:rPr>
                <w:rStyle w:val="Hyperlink"/>
              </w:rPr>
              <w:t>Are DXA scans safe and effective?</w:t>
            </w:r>
            <w:r w:rsidR="0013164F">
              <w:rPr>
                <w:webHidden/>
              </w:rPr>
              <w:tab/>
            </w:r>
            <w:r w:rsidR="0013164F">
              <w:rPr>
                <w:webHidden/>
              </w:rPr>
              <w:fldChar w:fldCharType="begin"/>
            </w:r>
            <w:r w:rsidR="0013164F">
              <w:rPr>
                <w:webHidden/>
              </w:rPr>
              <w:instrText xml:space="preserve"> PAGEREF _Toc386093706 \h </w:instrText>
            </w:r>
            <w:r w:rsidR="0013164F">
              <w:rPr>
                <w:webHidden/>
              </w:rPr>
            </w:r>
            <w:r w:rsidR="0013164F">
              <w:rPr>
                <w:webHidden/>
              </w:rPr>
              <w:fldChar w:fldCharType="separate"/>
            </w:r>
            <w:r>
              <w:rPr>
                <w:webHidden/>
              </w:rPr>
              <w:t>41</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07" w:history="1">
            <w:r w:rsidR="0013164F" w:rsidRPr="008458A7">
              <w:rPr>
                <w:rStyle w:val="Hyperlink"/>
              </w:rPr>
              <w:t>Are anti-resorptives or other BMD treatments effective and safe?</w:t>
            </w:r>
            <w:r w:rsidR="0013164F">
              <w:rPr>
                <w:webHidden/>
              </w:rPr>
              <w:tab/>
            </w:r>
            <w:r w:rsidR="0013164F">
              <w:rPr>
                <w:webHidden/>
              </w:rPr>
              <w:fldChar w:fldCharType="begin"/>
            </w:r>
            <w:r w:rsidR="0013164F">
              <w:rPr>
                <w:webHidden/>
              </w:rPr>
              <w:instrText xml:space="preserve"> PAGEREF _Toc386093707 \h </w:instrText>
            </w:r>
            <w:r w:rsidR="0013164F">
              <w:rPr>
                <w:webHidden/>
              </w:rPr>
            </w:r>
            <w:r w:rsidR="0013164F">
              <w:rPr>
                <w:webHidden/>
              </w:rPr>
              <w:fldChar w:fldCharType="separate"/>
            </w:r>
            <w:r>
              <w:rPr>
                <w:webHidden/>
              </w:rPr>
              <w:t>47</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08" w:history="1">
            <w:r w:rsidR="0013164F" w:rsidRPr="008458A7">
              <w:rPr>
                <w:rStyle w:val="Hyperlink"/>
                <w:lang w:eastAsia="ja-JP"/>
              </w:rPr>
              <w:t>Summary of clinical evidence</w:t>
            </w:r>
            <w:r w:rsidR="0013164F">
              <w:rPr>
                <w:webHidden/>
              </w:rPr>
              <w:tab/>
            </w:r>
            <w:r w:rsidR="0013164F">
              <w:rPr>
                <w:webHidden/>
              </w:rPr>
              <w:fldChar w:fldCharType="begin"/>
            </w:r>
            <w:r w:rsidR="0013164F">
              <w:rPr>
                <w:webHidden/>
              </w:rPr>
              <w:instrText xml:space="preserve"> PAGEREF _Toc386093708 \h </w:instrText>
            </w:r>
            <w:r w:rsidR="0013164F">
              <w:rPr>
                <w:webHidden/>
              </w:rPr>
            </w:r>
            <w:r w:rsidR="0013164F">
              <w:rPr>
                <w:webHidden/>
              </w:rPr>
              <w:fldChar w:fldCharType="separate"/>
            </w:r>
            <w:r>
              <w:rPr>
                <w:webHidden/>
              </w:rPr>
              <w:t>56</w:t>
            </w:r>
            <w:r w:rsidR="0013164F">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709" w:history="1">
            <w:r w:rsidR="0013164F" w:rsidRPr="008458A7">
              <w:rPr>
                <w:rStyle w:val="Hyperlink"/>
              </w:rPr>
              <w:t>Other relevant considerations</w:t>
            </w:r>
            <w:r w:rsidR="0013164F">
              <w:rPr>
                <w:webHidden/>
              </w:rPr>
              <w:tab/>
            </w:r>
            <w:r w:rsidR="0013164F">
              <w:rPr>
                <w:webHidden/>
              </w:rPr>
              <w:fldChar w:fldCharType="begin"/>
            </w:r>
            <w:r w:rsidR="0013164F">
              <w:rPr>
                <w:webHidden/>
              </w:rPr>
              <w:instrText xml:space="preserve"> PAGEREF _Toc386093709 \h </w:instrText>
            </w:r>
            <w:r w:rsidR="0013164F">
              <w:rPr>
                <w:webHidden/>
              </w:rPr>
            </w:r>
            <w:r w:rsidR="0013164F">
              <w:rPr>
                <w:webHidden/>
              </w:rPr>
              <w:fldChar w:fldCharType="separate"/>
            </w:r>
            <w:r>
              <w:rPr>
                <w:webHidden/>
              </w:rPr>
              <w:t>57</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10" w:history="1">
            <w:r w:rsidR="0013164F" w:rsidRPr="008458A7">
              <w:rPr>
                <w:rStyle w:val="Hyperlink"/>
              </w:rPr>
              <w:t>Expert opinion</w:t>
            </w:r>
            <w:r w:rsidR="0013164F">
              <w:rPr>
                <w:webHidden/>
              </w:rPr>
              <w:tab/>
            </w:r>
            <w:r w:rsidR="0013164F">
              <w:rPr>
                <w:webHidden/>
              </w:rPr>
              <w:fldChar w:fldCharType="begin"/>
            </w:r>
            <w:r w:rsidR="0013164F">
              <w:rPr>
                <w:webHidden/>
              </w:rPr>
              <w:instrText xml:space="preserve"> PAGEREF _Toc386093710 \h </w:instrText>
            </w:r>
            <w:r w:rsidR="0013164F">
              <w:rPr>
                <w:webHidden/>
              </w:rPr>
            </w:r>
            <w:r w:rsidR="0013164F">
              <w:rPr>
                <w:webHidden/>
              </w:rPr>
              <w:fldChar w:fldCharType="separate"/>
            </w:r>
            <w:r>
              <w:rPr>
                <w:webHidden/>
              </w:rPr>
              <w:t>57</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11" w:history="1">
            <w:r w:rsidR="0013164F" w:rsidRPr="008458A7">
              <w:rPr>
                <w:rStyle w:val="Hyperlink"/>
              </w:rPr>
              <w:t>Consumer implications and other considerations</w:t>
            </w:r>
            <w:r w:rsidR="0013164F">
              <w:rPr>
                <w:webHidden/>
              </w:rPr>
              <w:tab/>
            </w:r>
            <w:r w:rsidR="0013164F">
              <w:rPr>
                <w:webHidden/>
              </w:rPr>
              <w:fldChar w:fldCharType="begin"/>
            </w:r>
            <w:r w:rsidR="0013164F">
              <w:rPr>
                <w:webHidden/>
              </w:rPr>
              <w:instrText xml:space="preserve"> PAGEREF _Toc386093711 \h </w:instrText>
            </w:r>
            <w:r w:rsidR="0013164F">
              <w:rPr>
                <w:webHidden/>
              </w:rPr>
            </w:r>
            <w:r w:rsidR="0013164F">
              <w:rPr>
                <w:webHidden/>
              </w:rPr>
              <w:fldChar w:fldCharType="separate"/>
            </w:r>
            <w:r>
              <w:rPr>
                <w:webHidden/>
              </w:rPr>
              <w:t>58</w:t>
            </w:r>
            <w:r w:rsidR="0013164F">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712" w:history="1">
            <w:r w:rsidR="0013164F" w:rsidRPr="008458A7">
              <w:rPr>
                <w:rStyle w:val="Hyperlink"/>
              </w:rPr>
              <w:t>What are the economic considerations?</w:t>
            </w:r>
            <w:r w:rsidR="0013164F">
              <w:rPr>
                <w:webHidden/>
              </w:rPr>
              <w:tab/>
            </w:r>
            <w:r w:rsidR="0013164F">
              <w:rPr>
                <w:webHidden/>
              </w:rPr>
              <w:fldChar w:fldCharType="begin"/>
            </w:r>
            <w:r w:rsidR="0013164F">
              <w:rPr>
                <w:webHidden/>
              </w:rPr>
              <w:instrText xml:space="preserve"> PAGEREF _Toc386093712 \h </w:instrText>
            </w:r>
            <w:r w:rsidR="0013164F">
              <w:rPr>
                <w:webHidden/>
              </w:rPr>
            </w:r>
            <w:r w:rsidR="0013164F">
              <w:rPr>
                <w:webHidden/>
              </w:rPr>
              <w:fldChar w:fldCharType="separate"/>
            </w:r>
            <w:r>
              <w:rPr>
                <w:webHidden/>
              </w:rPr>
              <w:t>59</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13" w:history="1">
            <w:r w:rsidR="0013164F" w:rsidRPr="008458A7">
              <w:rPr>
                <w:rStyle w:val="Hyperlink"/>
              </w:rPr>
              <w:t>Economic research questions</w:t>
            </w:r>
            <w:r w:rsidR="0013164F">
              <w:rPr>
                <w:webHidden/>
              </w:rPr>
              <w:tab/>
            </w:r>
            <w:r w:rsidR="0013164F">
              <w:rPr>
                <w:webHidden/>
              </w:rPr>
              <w:fldChar w:fldCharType="begin"/>
            </w:r>
            <w:r w:rsidR="0013164F">
              <w:rPr>
                <w:webHidden/>
              </w:rPr>
              <w:instrText xml:space="preserve"> PAGEREF _Toc386093713 \h </w:instrText>
            </w:r>
            <w:r w:rsidR="0013164F">
              <w:rPr>
                <w:webHidden/>
              </w:rPr>
            </w:r>
            <w:r w:rsidR="0013164F">
              <w:rPr>
                <w:webHidden/>
              </w:rPr>
              <w:fldChar w:fldCharType="separate"/>
            </w:r>
            <w:r>
              <w:rPr>
                <w:webHidden/>
              </w:rPr>
              <w:t>59</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14" w:history="1">
            <w:r w:rsidR="0013164F" w:rsidRPr="008458A7">
              <w:rPr>
                <w:rStyle w:val="Hyperlink"/>
                <w:lang w:eastAsia="ja-JP"/>
              </w:rPr>
              <w:t>Existing economic studies</w:t>
            </w:r>
            <w:r w:rsidR="0013164F">
              <w:rPr>
                <w:webHidden/>
              </w:rPr>
              <w:tab/>
            </w:r>
            <w:r w:rsidR="0013164F">
              <w:rPr>
                <w:webHidden/>
              </w:rPr>
              <w:fldChar w:fldCharType="begin"/>
            </w:r>
            <w:r w:rsidR="0013164F">
              <w:rPr>
                <w:webHidden/>
              </w:rPr>
              <w:instrText xml:space="preserve"> PAGEREF _Toc386093714 \h </w:instrText>
            </w:r>
            <w:r w:rsidR="0013164F">
              <w:rPr>
                <w:webHidden/>
              </w:rPr>
            </w:r>
            <w:r w:rsidR="0013164F">
              <w:rPr>
                <w:webHidden/>
              </w:rPr>
              <w:fldChar w:fldCharType="separate"/>
            </w:r>
            <w:r>
              <w:rPr>
                <w:webHidden/>
              </w:rPr>
              <w:t>59</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15" w:history="1">
            <w:r w:rsidR="0013164F" w:rsidRPr="008458A7">
              <w:rPr>
                <w:rStyle w:val="Hyperlink"/>
              </w:rPr>
              <w:t>Economic evaluation</w:t>
            </w:r>
            <w:r w:rsidR="0013164F">
              <w:rPr>
                <w:webHidden/>
              </w:rPr>
              <w:tab/>
            </w:r>
            <w:r w:rsidR="0013164F">
              <w:rPr>
                <w:webHidden/>
              </w:rPr>
              <w:fldChar w:fldCharType="begin"/>
            </w:r>
            <w:r w:rsidR="0013164F">
              <w:rPr>
                <w:webHidden/>
              </w:rPr>
              <w:instrText xml:space="preserve"> PAGEREF _Toc386093715 \h </w:instrText>
            </w:r>
            <w:r w:rsidR="0013164F">
              <w:rPr>
                <w:webHidden/>
              </w:rPr>
            </w:r>
            <w:r w:rsidR="0013164F">
              <w:rPr>
                <w:webHidden/>
              </w:rPr>
              <w:fldChar w:fldCharType="separate"/>
            </w:r>
            <w:r>
              <w:rPr>
                <w:webHidden/>
              </w:rPr>
              <w:t>60</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16" w:history="1">
            <w:r w:rsidR="0013164F" w:rsidRPr="008458A7">
              <w:rPr>
                <w:rStyle w:val="Hyperlink"/>
              </w:rPr>
              <w:t>Financial estimates</w:t>
            </w:r>
            <w:r w:rsidR="0013164F">
              <w:rPr>
                <w:webHidden/>
              </w:rPr>
              <w:tab/>
            </w:r>
            <w:r w:rsidR="0013164F">
              <w:rPr>
                <w:webHidden/>
              </w:rPr>
              <w:fldChar w:fldCharType="begin"/>
            </w:r>
            <w:r w:rsidR="0013164F">
              <w:rPr>
                <w:webHidden/>
              </w:rPr>
              <w:instrText xml:space="preserve"> PAGEREF _Toc386093716 \h </w:instrText>
            </w:r>
            <w:r w:rsidR="0013164F">
              <w:rPr>
                <w:webHidden/>
              </w:rPr>
            </w:r>
            <w:r w:rsidR="0013164F">
              <w:rPr>
                <w:webHidden/>
              </w:rPr>
              <w:fldChar w:fldCharType="separate"/>
            </w:r>
            <w:r>
              <w:rPr>
                <w:webHidden/>
              </w:rPr>
              <w:t>68</w:t>
            </w:r>
            <w:r w:rsidR="0013164F">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717" w:history="1">
            <w:r w:rsidR="0013164F" w:rsidRPr="008458A7">
              <w:rPr>
                <w:rStyle w:val="Hyperlink"/>
              </w:rPr>
              <w:t>Discussion</w:t>
            </w:r>
            <w:r w:rsidR="0013164F">
              <w:rPr>
                <w:webHidden/>
              </w:rPr>
              <w:tab/>
            </w:r>
            <w:r w:rsidR="0013164F">
              <w:rPr>
                <w:webHidden/>
              </w:rPr>
              <w:fldChar w:fldCharType="begin"/>
            </w:r>
            <w:r w:rsidR="0013164F">
              <w:rPr>
                <w:webHidden/>
              </w:rPr>
              <w:instrText xml:space="preserve"> PAGEREF _Toc386093717 \h </w:instrText>
            </w:r>
            <w:r w:rsidR="0013164F">
              <w:rPr>
                <w:webHidden/>
              </w:rPr>
            </w:r>
            <w:r w:rsidR="0013164F">
              <w:rPr>
                <w:webHidden/>
              </w:rPr>
              <w:fldChar w:fldCharType="separate"/>
            </w:r>
            <w:r>
              <w:rPr>
                <w:webHidden/>
              </w:rPr>
              <w:t>73</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18" w:history="1">
            <w:r w:rsidR="0013164F" w:rsidRPr="008458A7">
              <w:rPr>
                <w:rStyle w:val="Hyperlink"/>
              </w:rPr>
              <w:t>Is it safe?</w:t>
            </w:r>
            <w:r w:rsidR="0013164F">
              <w:rPr>
                <w:webHidden/>
              </w:rPr>
              <w:tab/>
            </w:r>
            <w:r w:rsidR="0013164F">
              <w:rPr>
                <w:webHidden/>
              </w:rPr>
              <w:fldChar w:fldCharType="begin"/>
            </w:r>
            <w:r w:rsidR="0013164F">
              <w:rPr>
                <w:webHidden/>
              </w:rPr>
              <w:instrText xml:space="preserve"> PAGEREF _Toc386093718 \h </w:instrText>
            </w:r>
            <w:r w:rsidR="0013164F">
              <w:rPr>
                <w:webHidden/>
              </w:rPr>
            </w:r>
            <w:r w:rsidR="0013164F">
              <w:rPr>
                <w:webHidden/>
              </w:rPr>
              <w:fldChar w:fldCharType="separate"/>
            </w:r>
            <w:r>
              <w:rPr>
                <w:webHidden/>
              </w:rPr>
              <w:t>73</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19" w:history="1">
            <w:r w:rsidR="0013164F" w:rsidRPr="008458A7">
              <w:rPr>
                <w:rStyle w:val="Hyperlink"/>
              </w:rPr>
              <w:t>Is it effective?</w:t>
            </w:r>
            <w:r w:rsidR="0013164F">
              <w:rPr>
                <w:webHidden/>
              </w:rPr>
              <w:tab/>
            </w:r>
            <w:r w:rsidR="0013164F">
              <w:rPr>
                <w:webHidden/>
              </w:rPr>
              <w:fldChar w:fldCharType="begin"/>
            </w:r>
            <w:r w:rsidR="0013164F">
              <w:rPr>
                <w:webHidden/>
              </w:rPr>
              <w:instrText xml:space="preserve"> PAGEREF _Toc386093719 \h </w:instrText>
            </w:r>
            <w:r w:rsidR="0013164F">
              <w:rPr>
                <w:webHidden/>
              </w:rPr>
            </w:r>
            <w:r w:rsidR="0013164F">
              <w:rPr>
                <w:webHidden/>
              </w:rPr>
              <w:fldChar w:fldCharType="separate"/>
            </w:r>
            <w:r>
              <w:rPr>
                <w:webHidden/>
              </w:rPr>
              <w:t>74</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20" w:history="1">
            <w:r w:rsidR="0013164F" w:rsidRPr="008458A7">
              <w:rPr>
                <w:rStyle w:val="Hyperlink"/>
              </w:rPr>
              <w:t>What are the economic considerations?</w:t>
            </w:r>
            <w:r w:rsidR="0013164F">
              <w:rPr>
                <w:webHidden/>
              </w:rPr>
              <w:tab/>
            </w:r>
            <w:r w:rsidR="0013164F">
              <w:rPr>
                <w:webHidden/>
              </w:rPr>
              <w:fldChar w:fldCharType="begin"/>
            </w:r>
            <w:r w:rsidR="0013164F">
              <w:rPr>
                <w:webHidden/>
              </w:rPr>
              <w:instrText xml:space="preserve"> PAGEREF _Toc386093720 \h </w:instrText>
            </w:r>
            <w:r w:rsidR="0013164F">
              <w:rPr>
                <w:webHidden/>
              </w:rPr>
            </w:r>
            <w:r w:rsidR="0013164F">
              <w:rPr>
                <w:webHidden/>
              </w:rPr>
              <w:fldChar w:fldCharType="separate"/>
            </w:r>
            <w:r>
              <w:rPr>
                <w:webHidden/>
              </w:rPr>
              <w:t>76</w:t>
            </w:r>
            <w:r w:rsidR="0013164F">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721" w:history="1">
            <w:r w:rsidR="0013164F" w:rsidRPr="008458A7">
              <w:rPr>
                <w:rStyle w:val="Hyperlink"/>
              </w:rPr>
              <w:t>Conclusions</w:t>
            </w:r>
            <w:r w:rsidR="0013164F">
              <w:rPr>
                <w:webHidden/>
              </w:rPr>
              <w:tab/>
            </w:r>
            <w:r w:rsidR="0013164F">
              <w:rPr>
                <w:webHidden/>
              </w:rPr>
              <w:fldChar w:fldCharType="begin"/>
            </w:r>
            <w:r w:rsidR="0013164F">
              <w:rPr>
                <w:webHidden/>
              </w:rPr>
              <w:instrText xml:space="preserve"> PAGEREF _Toc386093721 \h </w:instrText>
            </w:r>
            <w:r w:rsidR="0013164F">
              <w:rPr>
                <w:webHidden/>
              </w:rPr>
            </w:r>
            <w:r w:rsidR="0013164F">
              <w:rPr>
                <w:webHidden/>
              </w:rPr>
              <w:fldChar w:fldCharType="separate"/>
            </w:r>
            <w:r>
              <w:rPr>
                <w:webHidden/>
              </w:rPr>
              <w:t>78</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22" w:history="1">
            <w:r w:rsidR="0013164F" w:rsidRPr="008458A7">
              <w:rPr>
                <w:rStyle w:val="Hyperlink"/>
              </w:rPr>
              <w:t>Safety</w:t>
            </w:r>
            <w:r w:rsidR="0013164F">
              <w:rPr>
                <w:webHidden/>
              </w:rPr>
              <w:tab/>
            </w:r>
            <w:r w:rsidR="0013164F">
              <w:rPr>
                <w:webHidden/>
              </w:rPr>
              <w:fldChar w:fldCharType="begin"/>
            </w:r>
            <w:r w:rsidR="0013164F">
              <w:rPr>
                <w:webHidden/>
              </w:rPr>
              <w:instrText xml:space="preserve"> PAGEREF _Toc386093722 \h </w:instrText>
            </w:r>
            <w:r w:rsidR="0013164F">
              <w:rPr>
                <w:webHidden/>
              </w:rPr>
            </w:r>
            <w:r w:rsidR="0013164F">
              <w:rPr>
                <w:webHidden/>
              </w:rPr>
              <w:fldChar w:fldCharType="separate"/>
            </w:r>
            <w:r>
              <w:rPr>
                <w:webHidden/>
              </w:rPr>
              <w:t>78</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23" w:history="1">
            <w:r w:rsidR="0013164F" w:rsidRPr="008458A7">
              <w:rPr>
                <w:rStyle w:val="Hyperlink"/>
              </w:rPr>
              <w:t>Effectiveness</w:t>
            </w:r>
            <w:r w:rsidR="0013164F">
              <w:rPr>
                <w:webHidden/>
              </w:rPr>
              <w:tab/>
            </w:r>
            <w:r w:rsidR="0013164F">
              <w:rPr>
                <w:webHidden/>
              </w:rPr>
              <w:fldChar w:fldCharType="begin"/>
            </w:r>
            <w:r w:rsidR="0013164F">
              <w:rPr>
                <w:webHidden/>
              </w:rPr>
              <w:instrText xml:space="preserve"> PAGEREF _Toc386093723 \h </w:instrText>
            </w:r>
            <w:r w:rsidR="0013164F">
              <w:rPr>
                <w:webHidden/>
              </w:rPr>
            </w:r>
            <w:r w:rsidR="0013164F">
              <w:rPr>
                <w:webHidden/>
              </w:rPr>
              <w:fldChar w:fldCharType="separate"/>
            </w:r>
            <w:r>
              <w:rPr>
                <w:webHidden/>
              </w:rPr>
              <w:t>78</w:t>
            </w:r>
            <w:r w:rsidR="0013164F">
              <w:rPr>
                <w:webHidden/>
              </w:rPr>
              <w:fldChar w:fldCharType="end"/>
            </w:r>
          </w:hyperlink>
        </w:p>
        <w:p w:rsidR="0013164F" w:rsidRDefault="0049135A">
          <w:pPr>
            <w:pStyle w:val="TOC3"/>
            <w:rPr>
              <w:rFonts w:asciiTheme="minorHAnsi" w:eastAsiaTheme="minorEastAsia" w:hAnsiTheme="minorHAnsi" w:cstheme="minorBidi"/>
              <w:sz w:val="22"/>
              <w:szCs w:val="22"/>
            </w:rPr>
          </w:pPr>
          <w:hyperlink w:anchor="_Toc386093724" w:history="1">
            <w:r w:rsidR="0013164F" w:rsidRPr="008458A7">
              <w:rPr>
                <w:rStyle w:val="Hyperlink"/>
              </w:rPr>
              <w:t>Economic considerations</w:t>
            </w:r>
            <w:r w:rsidR="0013164F">
              <w:rPr>
                <w:webHidden/>
              </w:rPr>
              <w:tab/>
            </w:r>
            <w:r w:rsidR="0013164F">
              <w:rPr>
                <w:webHidden/>
              </w:rPr>
              <w:fldChar w:fldCharType="begin"/>
            </w:r>
            <w:r w:rsidR="0013164F">
              <w:rPr>
                <w:webHidden/>
              </w:rPr>
              <w:instrText xml:space="preserve"> PAGEREF _Toc386093724 \h </w:instrText>
            </w:r>
            <w:r w:rsidR="0013164F">
              <w:rPr>
                <w:webHidden/>
              </w:rPr>
            </w:r>
            <w:r w:rsidR="0013164F">
              <w:rPr>
                <w:webHidden/>
              </w:rPr>
              <w:fldChar w:fldCharType="separate"/>
            </w:r>
            <w:r>
              <w:rPr>
                <w:webHidden/>
              </w:rPr>
              <w:t>79</w:t>
            </w:r>
            <w:r w:rsidR="0013164F">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725" w:history="1">
            <w:r w:rsidR="0013164F" w:rsidRPr="008458A7">
              <w:rPr>
                <w:rStyle w:val="Hyperlink"/>
              </w:rPr>
              <w:t>Appendix A Health Expert Standing Panel Members and Evaluators</w:t>
            </w:r>
            <w:r w:rsidR="0013164F">
              <w:rPr>
                <w:webHidden/>
              </w:rPr>
              <w:tab/>
            </w:r>
            <w:r w:rsidR="0013164F">
              <w:rPr>
                <w:webHidden/>
              </w:rPr>
              <w:fldChar w:fldCharType="begin"/>
            </w:r>
            <w:r w:rsidR="0013164F">
              <w:rPr>
                <w:webHidden/>
              </w:rPr>
              <w:instrText xml:space="preserve"> PAGEREF _Toc386093725 \h </w:instrText>
            </w:r>
            <w:r w:rsidR="0013164F">
              <w:rPr>
                <w:webHidden/>
              </w:rPr>
            </w:r>
            <w:r w:rsidR="0013164F">
              <w:rPr>
                <w:webHidden/>
              </w:rPr>
              <w:fldChar w:fldCharType="separate"/>
            </w:r>
            <w:r>
              <w:rPr>
                <w:webHidden/>
              </w:rPr>
              <w:t>80</w:t>
            </w:r>
            <w:r w:rsidR="0013164F">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726" w:history="1">
            <w:r w:rsidR="0013164F" w:rsidRPr="008458A7">
              <w:rPr>
                <w:rStyle w:val="Hyperlink"/>
              </w:rPr>
              <w:t>Appendix B Search strategies</w:t>
            </w:r>
            <w:r w:rsidR="0013164F">
              <w:rPr>
                <w:webHidden/>
              </w:rPr>
              <w:tab/>
            </w:r>
            <w:r w:rsidR="0013164F">
              <w:rPr>
                <w:webHidden/>
              </w:rPr>
              <w:fldChar w:fldCharType="begin"/>
            </w:r>
            <w:r w:rsidR="0013164F">
              <w:rPr>
                <w:webHidden/>
              </w:rPr>
              <w:instrText xml:space="preserve"> PAGEREF _Toc386093726 \h </w:instrText>
            </w:r>
            <w:r w:rsidR="0013164F">
              <w:rPr>
                <w:webHidden/>
              </w:rPr>
            </w:r>
            <w:r w:rsidR="0013164F">
              <w:rPr>
                <w:webHidden/>
              </w:rPr>
              <w:fldChar w:fldCharType="separate"/>
            </w:r>
            <w:r>
              <w:rPr>
                <w:webHidden/>
              </w:rPr>
              <w:t>81</w:t>
            </w:r>
            <w:r w:rsidR="0013164F">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727" w:history="1">
            <w:r w:rsidR="0013164F" w:rsidRPr="008458A7">
              <w:rPr>
                <w:rStyle w:val="Hyperlink"/>
              </w:rPr>
              <w:t>Appendix C Studies included in the review</w:t>
            </w:r>
            <w:r w:rsidR="0013164F">
              <w:rPr>
                <w:webHidden/>
              </w:rPr>
              <w:tab/>
            </w:r>
            <w:r w:rsidR="0013164F">
              <w:rPr>
                <w:webHidden/>
              </w:rPr>
              <w:fldChar w:fldCharType="begin"/>
            </w:r>
            <w:r w:rsidR="0013164F">
              <w:rPr>
                <w:webHidden/>
              </w:rPr>
              <w:instrText xml:space="preserve"> PAGEREF _Toc386093727 \h </w:instrText>
            </w:r>
            <w:r w:rsidR="0013164F">
              <w:rPr>
                <w:webHidden/>
              </w:rPr>
            </w:r>
            <w:r w:rsidR="0013164F">
              <w:rPr>
                <w:webHidden/>
              </w:rPr>
              <w:fldChar w:fldCharType="separate"/>
            </w:r>
            <w:r>
              <w:rPr>
                <w:webHidden/>
              </w:rPr>
              <w:t>85</w:t>
            </w:r>
            <w:r w:rsidR="0013164F">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728" w:history="1">
            <w:r w:rsidR="0013164F" w:rsidRPr="008458A7">
              <w:rPr>
                <w:rStyle w:val="Hyperlink"/>
              </w:rPr>
              <w:t>Appendix D Assessment of economic evaluation studies</w:t>
            </w:r>
            <w:r w:rsidR="0013164F">
              <w:rPr>
                <w:webHidden/>
              </w:rPr>
              <w:tab/>
            </w:r>
            <w:r w:rsidR="0013164F">
              <w:rPr>
                <w:webHidden/>
              </w:rPr>
              <w:fldChar w:fldCharType="begin"/>
            </w:r>
            <w:r w:rsidR="0013164F">
              <w:rPr>
                <w:webHidden/>
              </w:rPr>
              <w:instrText xml:space="preserve"> PAGEREF _Toc386093728 \h </w:instrText>
            </w:r>
            <w:r w:rsidR="0013164F">
              <w:rPr>
                <w:webHidden/>
              </w:rPr>
            </w:r>
            <w:r w:rsidR="0013164F">
              <w:rPr>
                <w:webHidden/>
              </w:rPr>
              <w:fldChar w:fldCharType="separate"/>
            </w:r>
            <w:r>
              <w:rPr>
                <w:webHidden/>
              </w:rPr>
              <w:t>94</w:t>
            </w:r>
            <w:r w:rsidR="0013164F">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729" w:history="1">
            <w:r w:rsidR="0013164F" w:rsidRPr="008458A7">
              <w:rPr>
                <w:rStyle w:val="Hyperlink"/>
              </w:rPr>
              <w:t>Appendix E Existing Systematic Reviews and HTA reports</w:t>
            </w:r>
            <w:r w:rsidR="0013164F">
              <w:rPr>
                <w:webHidden/>
              </w:rPr>
              <w:tab/>
            </w:r>
            <w:r w:rsidR="0013164F">
              <w:rPr>
                <w:webHidden/>
              </w:rPr>
              <w:fldChar w:fldCharType="begin"/>
            </w:r>
            <w:r w:rsidR="0013164F">
              <w:rPr>
                <w:webHidden/>
              </w:rPr>
              <w:instrText xml:space="preserve"> PAGEREF _Toc386093729 \h </w:instrText>
            </w:r>
            <w:r w:rsidR="0013164F">
              <w:rPr>
                <w:webHidden/>
              </w:rPr>
            </w:r>
            <w:r w:rsidR="0013164F">
              <w:rPr>
                <w:webHidden/>
              </w:rPr>
              <w:fldChar w:fldCharType="separate"/>
            </w:r>
            <w:r>
              <w:rPr>
                <w:webHidden/>
              </w:rPr>
              <w:t>96</w:t>
            </w:r>
            <w:r w:rsidR="0013164F">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730" w:history="1">
            <w:r w:rsidR="0013164F" w:rsidRPr="008458A7">
              <w:rPr>
                <w:rStyle w:val="Hyperlink"/>
              </w:rPr>
              <w:t>Appendix F Excluded studies</w:t>
            </w:r>
            <w:r w:rsidR="0013164F">
              <w:rPr>
                <w:webHidden/>
              </w:rPr>
              <w:tab/>
            </w:r>
            <w:r w:rsidR="0013164F">
              <w:rPr>
                <w:webHidden/>
              </w:rPr>
              <w:fldChar w:fldCharType="begin"/>
            </w:r>
            <w:r w:rsidR="0013164F">
              <w:rPr>
                <w:webHidden/>
              </w:rPr>
              <w:instrText xml:space="preserve"> PAGEREF _Toc386093730 \h </w:instrText>
            </w:r>
            <w:r w:rsidR="0013164F">
              <w:rPr>
                <w:webHidden/>
              </w:rPr>
            </w:r>
            <w:r w:rsidR="0013164F">
              <w:rPr>
                <w:webHidden/>
              </w:rPr>
              <w:fldChar w:fldCharType="separate"/>
            </w:r>
            <w:r>
              <w:rPr>
                <w:webHidden/>
              </w:rPr>
              <w:t>97</w:t>
            </w:r>
            <w:r w:rsidR="0013164F">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731" w:history="1">
            <w:r w:rsidR="0013164F" w:rsidRPr="008458A7">
              <w:rPr>
                <w:rStyle w:val="Hyperlink"/>
              </w:rPr>
              <w:t>Glossary and abbreviations</w:t>
            </w:r>
            <w:r w:rsidR="0013164F">
              <w:rPr>
                <w:webHidden/>
              </w:rPr>
              <w:tab/>
            </w:r>
            <w:r w:rsidR="0013164F">
              <w:rPr>
                <w:webHidden/>
              </w:rPr>
              <w:fldChar w:fldCharType="begin"/>
            </w:r>
            <w:r w:rsidR="0013164F">
              <w:rPr>
                <w:webHidden/>
              </w:rPr>
              <w:instrText xml:space="preserve"> PAGEREF _Toc386093731 \h </w:instrText>
            </w:r>
            <w:r w:rsidR="0013164F">
              <w:rPr>
                <w:webHidden/>
              </w:rPr>
            </w:r>
            <w:r w:rsidR="0013164F">
              <w:rPr>
                <w:webHidden/>
              </w:rPr>
              <w:fldChar w:fldCharType="separate"/>
            </w:r>
            <w:r>
              <w:rPr>
                <w:webHidden/>
              </w:rPr>
              <w:t>106</w:t>
            </w:r>
            <w:r w:rsidR="0013164F">
              <w:rPr>
                <w:webHidden/>
              </w:rPr>
              <w:fldChar w:fldCharType="end"/>
            </w:r>
          </w:hyperlink>
        </w:p>
        <w:p w:rsidR="0013164F" w:rsidRDefault="0049135A">
          <w:pPr>
            <w:pStyle w:val="TOC2"/>
            <w:rPr>
              <w:rFonts w:asciiTheme="minorHAnsi" w:eastAsiaTheme="minorEastAsia" w:hAnsiTheme="minorHAnsi" w:cstheme="minorBidi"/>
              <w:b w:val="0"/>
              <w:sz w:val="22"/>
              <w:szCs w:val="22"/>
            </w:rPr>
          </w:pPr>
          <w:hyperlink w:anchor="_Toc386093732" w:history="1">
            <w:r w:rsidR="0013164F" w:rsidRPr="008458A7">
              <w:rPr>
                <w:rStyle w:val="Hyperlink"/>
              </w:rPr>
              <w:t>References</w:t>
            </w:r>
            <w:r w:rsidR="0013164F">
              <w:rPr>
                <w:webHidden/>
              </w:rPr>
              <w:tab/>
            </w:r>
            <w:r w:rsidR="0013164F">
              <w:rPr>
                <w:webHidden/>
              </w:rPr>
              <w:fldChar w:fldCharType="begin"/>
            </w:r>
            <w:r w:rsidR="0013164F">
              <w:rPr>
                <w:webHidden/>
              </w:rPr>
              <w:instrText xml:space="preserve"> PAGEREF _Toc386093732 \h </w:instrText>
            </w:r>
            <w:r w:rsidR="0013164F">
              <w:rPr>
                <w:webHidden/>
              </w:rPr>
            </w:r>
            <w:r w:rsidR="0013164F">
              <w:rPr>
                <w:webHidden/>
              </w:rPr>
              <w:fldChar w:fldCharType="separate"/>
            </w:r>
            <w:r>
              <w:rPr>
                <w:webHidden/>
              </w:rPr>
              <w:t>107</w:t>
            </w:r>
            <w:r w:rsidR="0013164F">
              <w:rPr>
                <w:webHidden/>
              </w:rPr>
              <w:fldChar w:fldCharType="end"/>
            </w:r>
          </w:hyperlink>
        </w:p>
        <w:p w:rsidR="0013164F" w:rsidRDefault="0013164F">
          <w:pPr>
            <w:rPr>
              <w:noProof/>
            </w:rPr>
          </w:pPr>
          <w:r>
            <w:rPr>
              <w:b/>
              <w:bCs/>
              <w:noProof/>
            </w:rPr>
            <w:fldChar w:fldCharType="end"/>
          </w:r>
        </w:p>
      </w:sdtContent>
    </w:sdt>
    <w:p w:rsidR="0013164F" w:rsidRDefault="0013164F" w:rsidP="0013164F">
      <w:pPr>
        <w:pStyle w:val="TOC2"/>
        <w:rPr>
          <w:rFonts w:asciiTheme="minorHAnsi" w:eastAsiaTheme="minorEastAsia" w:hAnsiTheme="minorHAnsi" w:cstheme="minorBidi"/>
          <w:b w:val="0"/>
          <w:sz w:val="22"/>
          <w:szCs w:val="22"/>
        </w:rPr>
      </w:pPr>
    </w:p>
    <w:p w:rsidR="0013164F" w:rsidRDefault="0013164F">
      <w:pPr>
        <w:pStyle w:val="TOC2"/>
        <w:rPr>
          <w:rFonts w:asciiTheme="minorHAnsi" w:eastAsiaTheme="minorEastAsia" w:hAnsiTheme="minorHAnsi" w:cstheme="minorBidi"/>
          <w:b w:val="0"/>
          <w:sz w:val="22"/>
          <w:szCs w:val="22"/>
        </w:rPr>
      </w:pPr>
    </w:p>
    <w:p w:rsidR="008F59A8" w:rsidRPr="00C9782D" w:rsidRDefault="00663116" w:rsidP="00A158A3">
      <w:pPr>
        <w:pStyle w:val="Heading2a"/>
      </w:pPr>
      <w:r w:rsidRPr="00C9782D">
        <w:rPr>
          <w:rFonts w:ascii="Garamond" w:hAnsi="Garamond"/>
          <w:noProof/>
          <w:sz w:val="24"/>
        </w:rPr>
        <w:lastRenderedPageBreak/>
        <w:fldChar w:fldCharType="end"/>
      </w:r>
      <w:r w:rsidR="008F59A8" w:rsidRPr="00A158A3">
        <w:t>Tables</w:t>
      </w:r>
    </w:p>
    <w:p w:rsidR="003D3549" w:rsidRDefault="003E5E41">
      <w:pPr>
        <w:pStyle w:val="TableofFigures"/>
        <w:rPr>
          <w:rFonts w:asciiTheme="minorHAnsi" w:eastAsiaTheme="minorEastAsia" w:hAnsiTheme="minorHAnsi" w:cstheme="minorBidi"/>
          <w:sz w:val="22"/>
          <w:szCs w:val="22"/>
        </w:rPr>
      </w:pPr>
      <w:r>
        <w:fldChar w:fldCharType="begin"/>
      </w:r>
      <w:r>
        <w:instrText xml:space="preserve"> TOC \h \z \t "TableName" \c </w:instrText>
      </w:r>
      <w:r>
        <w:fldChar w:fldCharType="separate"/>
      </w:r>
      <w:hyperlink w:anchor="_Toc386112668" w:history="1">
        <w:r w:rsidR="003D3549" w:rsidRPr="00A83D50">
          <w:rPr>
            <w:rStyle w:val="Hyperlink"/>
          </w:rPr>
          <w:t>Table ES1: Key results of economic evaluation (annual DXA scan, 60 year old cohort)</w:t>
        </w:r>
        <w:r w:rsidR="003D3549">
          <w:rPr>
            <w:webHidden/>
          </w:rPr>
          <w:tab/>
        </w:r>
        <w:r w:rsidR="003D3549">
          <w:rPr>
            <w:webHidden/>
          </w:rPr>
          <w:fldChar w:fldCharType="begin"/>
        </w:r>
        <w:r w:rsidR="003D3549">
          <w:rPr>
            <w:webHidden/>
          </w:rPr>
          <w:instrText xml:space="preserve"> PAGEREF _Toc386112668 \h </w:instrText>
        </w:r>
        <w:r w:rsidR="003D3549">
          <w:rPr>
            <w:webHidden/>
          </w:rPr>
        </w:r>
        <w:r w:rsidR="003D3549">
          <w:rPr>
            <w:webHidden/>
          </w:rPr>
          <w:fldChar w:fldCharType="separate"/>
        </w:r>
        <w:r w:rsidR="0049135A">
          <w:rPr>
            <w:webHidden/>
          </w:rPr>
          <w:t>xi</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69" w:history="1">
        <w:r w:rsidR="003D3549" w:rsidRPr="00A83D50">
          <w:rPr>
            <w:rStyle w:val="Hyperlink"/>
          </w:rPr>
          <w:t>Table ES2: Results of the financial estimates over next five years</w:t>
        </w:r>
        <w:r w:rsidR="003D3549">
          <w:rPr>
            <w:webHidden/>
          </w:rPr>
          <w:tab/>
        </w:r>
        <w:r w:rsidR="003D3549">
          <w:rPr>
            <w:webHidden/>
          </w:rPr>
          <w:fldChar w:fldCharType="begin"/>
        </w:r>
        <w:r w:rsidR="003D3549">
          <w:rPr>
            <w:webHidden/>
          </w:rPr>
          <w:instrText xml:space="preserve"> PAGEREF _Toc386112669 \h </w:instrText>
        </w:r>
        <w:r w:rsidR="003D3549">
          <w:rPr>
            <w:webHidden/>
          </w:rPr>
        </w:r>
        <w:r w:rsidR="003D3549">
          <w:rPr>
            <w:webHidden/>
          </w:rPr>
          <w:fldChar w:fldCharType="separate"/>
        </w:r>
        <w:r>
          <w:rPr>
            <w:webHidden/>
          </w:rPr>
          <w:t>xii</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70" w:history="1">
        <w:r w:rsidR="003D3549" w:rsidRPr="00A83D50">
          <w:rPr>
            <w:rStyle w:val="Hyperlink"/>
          </w:rPr>
          <w:t>Table 1: Diagnosis by T-score (femoral neck) and WHO classification of osteoporosis</w:t>
        </w:r>
        <w:r w:rsidR="003D3549">
          <w:rPr>
            <w:webHidden/>
          </w:rPr>
          <w:tab/>
        </w:r>
        <w:r w:rsidR="003D3549">
          <w:rPr>
            <w:webHidden/>
          </w:rPr>
          <w:fldChar w:fldCharType="begin"/>
        </w:r>
        <w:r w:rsidR="003D3549">
          <w:rPr>
            <w:webHidden/>
          </w:rPr>
          <w:instrText xml:space="preserve"> PAGEREF _Toc386112670 \h </w:instrText>
        </w:r>
        <w:r w:rsidR="003D3549">
          <w:rPr>
            <w:webHidden/>
          </w:rPr>
        </w:r>
        <w:r w:rsidR="003D3549">
          <w:rPr>
            <w:webHidden/>
          </w:rPr>
          <w:fldChar w:fldCharType="separate"/>
        </w:r>
        <w:r>
          <w:rPr>
            <w:webHidden/>
          </w:rPr>
          <w:t>16</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71" w:history="1">
        <w:r w:rsidR="003D3549" w:rsidRPr="00A83D50">
          <w:rPr>
            <w:rStyle w:val="Hyperlink"/>
            <w:shd w:val="clear" w:color="auto" w:fill="FFFFFF"/>
          </w:rPr>
          <w:t>Table 2: Regulatory status of DXA scanners in Australia</w:t>
        </w:r>
        <w:r w:rsidR="003D3549">
          <w:rPr>
            <w:webHidden/>
          </w:rPr>
          <w:tab/>
        </w:r>
        <w:r w:rsidR="003D3549">
          <w:rPr>
            <w:webHidden/>
          </w:rPr>
          <w:fldChar w:fldCharType="begin"/>
        </w:r>
        <w:r w:rsidR="003D3549">
          <w:rPr>
            <w:webHidden/>
          </w:rPr>
          <w:instrText xml:space="preserve"> PAGEREF _Toc386112671 \h </w:instrText>
        </w:r>
        <w:r w:rsidR="003D3549">
          <w:rPr>
            <w:webHidden/>
          </w:rPr>
        </w:r>
        <w:r w:rsidR="003D3549">
          <w:rPr>
            <w:webHidden/>
          </w:rPr>
          <w:fldChar w:fldCharType="separate"/>
        </w:r>
        <w:r>
          <w:rPr>
            <w:webHidden/>
          </w:rPr>
          <w:t>21</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72" w:history="1">
        <w:r w:rsidR="003D3549" w:rsidRPr="00A83D50">
          <w:rPr>
            <w:rStyle w:val="Hyperlink"/>
          </w:rPr>
          <w:t>Table 3: PICO criteria for assessment</w:t>
        </w:r>
        <w:r w:rsidR="003D3549">
          <w:rPr>
            <w:webHidden/>
          </w:rPr>
          <w:tab/>
        </w:r>
        <w:r w:rsidR="003D3549">
          <w:rPr>
            <w:webHidden/>
          </w:rPr>
          <w:fldChar w:fldCharType="begin"/>
        </w:r>
        <w:r w:rsidR="003D3549">
          <w:rPr>
            <w:webHidden/>
          </w:rPr>
          <w:instrText xml:space="preserve"> PAGEREF _Toc386112672 \h </w:instrText>
        </w:r>
        <w:r w:rsidR="003D3549">
          <w:rPr>
            <w:webHidden/>
          </w:rPr>
        </w:r>
        <w:r w:rsidR="003D3549">
          <w:rPr>
            <w:webHidden/>
          </w:rPr>
          <w:fldChar w:fldCharType="separate"/>
        </w:r>
        <w:r>
          <w:rPr>
            <w:webHidden/>
          </w:rPr>
          <w:t>27</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73" w:history="1">
        <w:r w:rsidR="003D3549" w:rsidRPr="00A83D50">
          <w:rPr>
            <w:rStyle w:val="Hyperlink"/>
          </w:rPr>
          <w:t>Table 4: Electronic databases searched</w:t>
        </w:r>
        <w:r w:rsidR="003D3549">
          <w:rPr>
            <w:webHidden/>
          </w:rPr>
          <w:tab/>
        </w:r>
        <w:r w:rsidR="003D3549">
          <w:rPr>
            <w:webHidden/>
          </w:rPr>
          <w:fldChar w:fldCharType="begin"/>
        </w:r>
        <w:r w:rsidR="003D3549">
          <w:rPr>
            <w:webHidden/>
          </w:rPr>
          <w:instrText xml:space="preserve"> PAGEREF _Toc386112673 \h </w:instrText>
        </w:r>
        <w:r w:rsidR="003D3549">
          <w:rPr>
            <w:webHidden/>
          </w:rPr>
        </w:r>
        <w:r w:rsidR="003D3549">
          <w:rPr>
            <w:webHidden/>
          </w:rPr>
          <w:fldChar w:fldCharType="separate"/>
        </w:r>
        <w:r>
          <w:rPr>
            <w:webHidden/>
          </w:rPr>
          <w:t>28</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74" w:history="1">
        <w:r w:rsidR="003D3549" w:rsidRPr="00A83D50">
          <w:rPr>
            <w:rStyle w:val="Hyperlink"/>
          </w:rPr>
          <w:t>Table 5: Selection criteria for included studies</w:t>
        </w:r>
        <w:r w:rsidR="003D3549">
          <w:rPr>
            <w:webHidden/>
          </w:rPr>
          <w:tab/>
        </w:r>
        <w:r w:rsidR="003D3549">
          <w:rPr>
            <w:webHidden/>
          </w:rPr>
          <w:fldChar w:fldCharType="begin"/>
        </w:r>
        <w:r w:rsidR="003D3549">
          <w:rPr>
            <w:webHidden/>
          </w:rPr>
          <w:instrText xml:space="preserve"> PAGEREF _Toc386112674 \h </w:instrText>
        </w:r>
        <w:r w:rsidR="003D3549">
          <w:rPr>
            <w:webHidden/>
          </w:rPr>
        </w:r>
        <w:r w:rsidR="003D3549">
          <w:rPr>
            <w:webHidden/>
          </w:rPr>
          <w:fldChar w:fldCharType="separate"/>
        </w:r>
        <w:r>
          <w:rPr>
            <w:webHidden/>
          </w:rPr>
          <w:t>29</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75" w:history="1">
        <w:r w:rsidR="003D3549" w:rsidRPr="00A83D50">
          <w:rPr>
            <w:rStyle w:val="Hyperlink"/>
          </w:rPr>
          <w:t>Table 6: Overall search results</w:t>
        </w:r>
        <w:r w:rsidR="003D3549">
          <w:rPr>
            <w:webHidden/>
          </w:rPr>
          <w:tab/>
        </w:r>
        <w:r w:rsidR="003D3549">
          <w:rPr>
            <w:webHidden/>
          </w:rPr>
          <w:fldChar w:fldCharType="begin"/>
        </w:r>
        <w:r w:rsidR="003D3549">
          <w:rPr>
            <w:webHidden/>
          </w:rPr>
          <w:instrText xml:space="preserve"> PAGEREF _Toc386112675 \h </w:instrText>
        </w:r>
        <w:r w:rsidR="003D3549">
          <w:rPr>
            <w:webHidden/>
          </w:rPr>
        </w:r>
        <w:r w:rsidR="003D3549">
          <w:rPr>
            <w:webHidden/>
          </w:rPr>
          <w:fldChar w:fldCharType="separate"/>
        </w:r>
        <w:r>
          <w:rPr>
            <w:webHidden/>
          </w:rPr>
          <w:t>30</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76" w:history="1">
        <w:r w:rsidR="003D3549" w:rsidRPr="00A83D50">
          <w:rPr>
            <w:rStyle w:val="Hyperlink"/>
          </w:rPr>
          <w:t>Table 7: Evidence dimensions</w:t>
        </w:r>
        <w:r w:rsidR="003D3549">
          <w:rPr>
            <w:webHidden/>
          </w:rPr>
          <w:tab/>
        </w:r>
        <w:r w:rsidR="003D3549">
          <w:rPr>
            <w:webHidden/>
          </w:rPr>
          <w:fldChar w:fldCharType="begin"/>
        </w:r>
        <w:r w:rsidR="003D3549">
          <w:rPr>
            <w:webHidden/>
          </w:rPr>
          <w:instrText xml:space="preserve"> PAGEREF _Toc386112676 \h </w:instrText>
        </w:r>
        <w:r w:rsidR="003D3549">
          <w:rPr>
            <w:webHidden/>
          </w:rPr>
        </w:r>
        <w:r w:rsidR="003D3549">
          <w:rPr>
            <w:webHidden/>
          </w:rPr>
          <w:fldChar w:fldCharType="separate"/>
        </w:r>
        <w:r>
          <w:rPr>
            <w:webHidden/>
          </w:rPr>
          <w:t>31</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77" w:history="1">
        <w:r w:rsidR="003D3549" w:rsidRPr="00A83D50">
          <w:rPr>
            <w:rStyle w:val="Hyperlink"/>
          </w:rPr>
          <w:t>Table 8: Designations of levels of evidence according to type of research question</w:t>
        </w:r>
        <w:r w:rsidR="003D3549">
          <w:rPr>
            <w:webHidden/>
          </w:rPr>
          <w:tab/>
        </w:r>
        <w:r w:rsidR="003D3549">
          <w:rPr>
            <w:webHidden/>
          </w:rPr>
          <w:fldChar w:fldCharType="begin"/>
        </w:r>
        <w:r w:rsidR="003D3549">
          <w:rPr>
            <w:webHidden/>
          </w:rPr>
          <w:instrText xml:space="preserve"> PAGEREF _Toc386112677 \h </w:instrText>
        </w:r>
        <w:r w:rsidR="003D3549">
          <w:rPr>
            <w:webHidden/>
          </w:rPr>
        </w:r>
        <w:r w:rsidR="003D3549">
          <w:rPr>
            <w:webHidden/>
          </w:rPr>
          <w:fldChar w:fldCharType="separate"/>
        </w:r>
        <w:r>
          <w:rPr>
            <w:webHidden/>
          </w:rPr>
          <w:t>32</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78" w:history="1">
        <w:r w:rsidR="003D3549" w:rsidRPr="00A83D50">
          <w:rPr>
            <w:rStyle w:val="Hyperlink"/>
          </w:rPr>
          <w:t>Table 9: Grading system used to rank included studies</w:t>
        </w:r>
        <w:r w:rsidR="003D3549">
          <w:rPr>
            <w:webHidden/>
          </w:rPr>
          <w:tab/>
        </w:r>
        <w:r w:rsidR="003D3549">
          <w:rPr>
            <w:webHidden/>
          </w:rPr>
          <w:fldChar w:fldCharType="begin"/>
        </w:r>
        <w:r w:rsidR="003D3549">
          <w:rPr>
            <w:webHidden/>
          </w:rPr>
          <w:instrText xml:space="preserve"> PAGEREF _Toc386112678 \h </w:instrText>
        </w:r>
        <w:r w:rsidR="003D3549">
          <w:rPr>
            <w:webHidden/>
          </w:rPr>
        </w:r>
        <w:r w:rsidR="003D3549">
          <w:rPr>
            <w:webHidden/>
          </w:rPr>
          <w:fldChar w:fldCharType="separate"/>
        </w:r>
        <w:r>
          <w:rPr>
            <w:webHidden/>
          </w:rPr>
          <w:t>32</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79" w:history="1">
        <w:r w:rsidR="003D3549" w:rsidRPr="00A83D50">
          <w:rPr>
            <w:rStyle w:val="Hyperlink"/>
          </w:rPr>
          <w:t>Table 10: Body of evidence assessment matrix</w:t>
        </w:r>
        <w:r w:rsidR="003D3549">
          <w:rPr>
            <w:webHidden/>
          </w:rPr>
          <w:tab/>
        </w:r>
        <w:r w:rsidR="003D3549">
          <w:rPr>
            <w:webHidden/>
          </w:rPr>
          <w:fldChar w:fldCharType="begin"/>
        </w:r>
        <w:r w:rsidR="003D3549">
          <w:rPr>
            <w:webHidden/>
          </w:rPr>
          <w:instrText xml:space="preserve"> PAGEREF _Toc386112679 \h </w:instrText>
        </w:r>
        <w:r w:rsidR="003D3549">
          <w:rPr>
            <w:webHidden/>
          </w:rPr>
        </w:r>
        <w:r w:rsidR="003D3549">
          <w:rPr>
            <w:webHidden/>
          </w:rPr>
          <w:fldChar w:fldCharType="separate"/>
        </w:r>
        <w:r>
          <w:rPr>
            <w:webHidden/>
          </w:rPr>
          <w:t>34</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80" w:history="1">
        <w:r w:rsidR="003D3549" w:rsidRPr="00A83D50">
          <w:rPr>
            <w:rStyle w:val="Hyperlink"/>
          </w:rPr>
          <w:t>Table 11: Summary of studies included in the assessment</w:t>
        </w:r>
        <w:r w:rsidR="003D3549">
          <w:rPr>
            <w:webHidden/>
          </w:rPr>
          <w:tab/>
        </w:r>
        <w:r w:rsidR="003D3549">
          <w:rPr>
            <w:webHidden/>
          </w:rPr>
          <w:fldChar w:fldCharType="begin"/>
        </w:r>
        <w:r w:rsidR="003D3549">
          <w:rPr>
            <w:webHidden/>
          </w:rPr>
          <w:instrText xml:space="preserve"> PAGEREF _Toc386112680 \h </w:instrText>
        </w:r>
        <w:r w:rsidR="003D3549">
          <w:rPr>
            <w:webHidden/>
          </w:rPr>
        </w:r>
        <w:r w:rsidR="003D3549">
          <w:rPr>
            <w:webHidden/>
          </w:rPr>
          <w:fldChar w:fldCharType="separate"/>
        </w:r>
        <w:r>
          <w:rPr>
            <w:webHidden/>
          </w:rPr>
          <w:t>35</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81" w:history="1">
        <w:r w:rsidR="003D3549" w:rsidRPr="00A83D50">
          <w:rPr>
            <w:rStyle w:val="Hyperlink"/>
          </w:rPr>
          <w:t>Table 12: Key features on studies assessing fracture risk</w:t>
        </w:r>
        <w:r w:rsidR="003D3549">
          <w:rPr>
            <w:webHidden/>
          </w:rPr>
          <w:tab/>
        </w:r>
        <w:r w:rsidR="003D3549">
          <w:rPr>
            <w:webHidden/>
          </w:rPr>
          <w:fldChar w:fldCharType="begin"/>
        </w:r>
        <w:r w:rsidR="003D3549">
          <w:rPr>
            <w:webHidden/>
          </w:rPr>
          <w:instrText xml:space="preserve"> PAGEREF _Toc386112681 \h </w:instrText>
        </w:r>
        <w:r w:rsidR="003D3549">
          <w:rPr>
            <w:webHidden/>
          </w:rPr>
        </w:r>
        <w:r w:rsidR="003D3549">
          <w:rPr>
            <w:webHidden/>
          </w:rPr>
          <w:fldChar w:fldCharType="separate"/>
        </w:r>
        <w:r>
          <w:rPr>
            <w:webHidden/>
          </w:rPr>
          <w:t>36</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82" w:history="1">
        <w:r w:rsidR="003D3549" w:rsidRPr="00A83D50">
          <w:rPr>
            <w:rStyle w:val="Hyperlink"/>
          </w:rPr>
          <w:t>Table 13: Key results and appraisal of studies assessing fracture risk</w:t>
        </w:r>
        <w:r w:rsidR="003D3549">
          <w:rPr>
            <w:webHidden/>
          </w:rPr>
          <w:tab/>
        </w:r>
        <w:r w:rsidR="003D3549">
          <w:rPr>
            <w:webHidden/>
          </w:rPr>
          <w:fldChar w:fldCharType="begin"/>
        </w:r>
        <w:r w:rsidR="003D3549">
          <w:rPr>
            <w:webHidden/>
          </w:rPr>
          <w:instrText xml:space="preserve"> PAGEREF _Toc386112682 \h </w:instrText>
        </w:r>
        <w:r w:rsidR="003D3549">
          <w:rPr>
            <w:webHidden/>
          </w:rPr>
        </w:r>
        <w:r w:rsidR="003D3549">
          <w:rPr>
            <w:webHidden/>
          </w:rPr>
          <w:fldChar w:fldCharType="separate"/>
        </w:r>
        <w:r>
          <w:rPr>
            <w:webHidden/>
          </w:rPr>
          <w:t>37</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83" w:history="1">
        <w:r w:rsidR="003D3549" w:rsidRPr="00A83D50">
          <w:rPr>
            <w:rStyle w:val="Hyperlink"/>
          </w:rPr>
          <w:t>Table 14: Risk factors included in various fracture risk assessment tools</w:t>
        </w:r>
        <w:r w:rsidR="003D3549">
          <w:rPr>
            <w:webHidden/>
          </w:rPr>
          <w:tab/>
        </w:r>
        <w:r w:rsidR="003D3549">
          <w:rPr>
            <w:webHidden/>
          </w:rPr>
          <w:fldChar w:fldCharType="begin"/>
        </w:r>
        <w:r w:rsidR="003D3549">
          <w:rPr>
            <w:webHidden/>
          </w:rPr>
          <w:instrText xml:space="preserve"> PAGEREF _Toc386112683 \h </w:instrText>
        </w:r>
        <w:r w:rsidR="003D3549">
          <w:rPr>
            <w:webHidden/>
          </w:rPr>
        </w:r>
        <w:r w:rsidR="003D3549">
          <w:rPr>
            <w:webHidden/>
          </w:rPr>
          <w:fldChar w:fldCharType="separate"/>
        </w:r>
        <w:r>
          <w:rPr>
            <w:webHidden/>
          </w:rPr>
          <w:t>42</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84" w:history="1">
        <w:r w:rsidR="003D3549" w:rsidRPr="00A83D50">
          <w:rPr>
            <w:rStyle w:val="Hyperlink"/>
          </w:rPr>
          <w:t>Table 15: Key features of studies assessing DXA vs clinical risk fracture tools</w:t>
        </w:r>
        <w:r w:rsidR="003D3549">
          <w:rPr>
            <w:webHidden/>
          </w:rPr>
          <w:tab/>
        </w:r>
        <w:r w:rsidR="003D3549">
          <w:rPr>
            <w:webHidden/>
          </w:rPr>
          <w:fldChar w:fldCharType="begin"/>
        </w:r>
        <w:r w:rsidR="003D3549">
          <w:rPr>
            <w:webHidden/>
          </w:rPr>
          <w:instrText xml:space="preserve"> PAGEREF _Toc386112684 \h </w:instrText>
        </w:r>
        <w:r w:rsidR="003D3549">
          <w:rPr>
            <w:webHidden/>
          </w:rPr>
        </w:r>
        <w:r w:rsidR="003D3549">
          <w:rPr>
            <w:webHidden/>
          </w:rPr>
          <w:fldChar w:fldCharType="separate"/>
        </w:r>
        <w:r>
          <w:rPr>
            <w:webHidden/>
          </w:rPr>
          <w:t>43</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85" w:history="1">
        <w:r w:rsidR="003D3549" w:rsidRPr="00A83D50">
          <w:rPr>
            <w:rStyle w:val="Hyperlink"/>
          </w:rPr>
          <w:t>Table 16: Key results and appraisal of studies assessing DXA vs clinical risk fracture tools</w:t>
        </w:r>
        <w:r w:rsidR="003D3549">
          <w:rPr>
            <w:webHidden/>
          </w:rPr>
          <w:tab/>
        </w:r>
        <w:r w:rsidR="003D3549">
          <w:rPr>
            <w:webHidden/>
          </w:rPr>
          <w:fldChar w:fldCharType="begin"/>
        </w:r>
        <w:r w:rsidR="003D3549">
          <w:rPr>
            <w:webHidden/>
          </w:rPr>
          <w:instrText xml:space="preserve"> PAGEREF _Toc386112685 \h </w:instrText>
        </w:r>
        <w:r w:rsidR="003D3549">
          <w:rPr>
            <w:webHidden/>
          </w:rPr>
        </w:r>
        <w:r w:rsidR="003D3549">
          <w:rPr>
            <w:webHidden/>
          </w:rPr>
          <w:fldChar w:fldCharType="separate"/>
        </w:r>
        <w:r>
          <w:rPr>
            <w:webHidden/>
          </w:rPr>
          <w:t>44</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86" w:history="1">
        <w:r w:rsidR="003D3549" w:rsidRPr="00A83D50">
          <w:rPr>
            <w:rStyle w:val="Hyperlink"/>
          </w:rPr>
          <w:t>Table 17: Performance of BMD measurement for hip fractures</w:t>
        </w:r>
        <w:r w:rsidR="003D3549">
          <w:rPr>
            <w:webHidden/>
          </w:rPr>
          <w:tab/>
        </w:r>
        <w:r w:rsidR="003D3549">
          <w:rPr>
            <w:webHidden/>
          </w:rPr>
          <w:fldChar w:fldCharType="begin"/>
        </w:r>
        <w:r w:rsidR="003D3549">
          <w:rPr>
            <w:webHidden/>
          </w:rPr>
          <w:instrText xml:space="preserve"> PAGEREF _Toc386112686 \h </w:instrText>
        </w:r>
        <w:r w:rsidR="003D3549">
          <w:rPr>
            <w:webHidden/>
          </w:rPr>
        </w:r>
        <w:r w:rsidR="003D3549">
          <w:rPr>
            <w:webHidden/>
          </w:rPr>
          <w:fldChar w:fldCharType="separate"/>
        </w:r>
        <w:r>
          <w:rPr>
            <w:webHidden/>
          </w:rPr>
          <w:t>45</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87" w:history="1">
        <w:r w:rsidR="003D3549" w:rsidRPr="00A83D50">
          <w:rPr>
            <w:rStyle w:val="Hyperlink"/>
          </w:rPr>
          <w:t>Table 18: Key features of studies on treatments for aromatase-inhibitor-associated bone loss</w:t>
        </w:r>
        <w:r w:rsidR="003D3549">
          <w:rPr>
            <w:webHidden/>
          </w:rPr>
          <w:tab/>
        </w:r>
        <w:r w:rsidR="003D3549">
          <w:rPr>
            <w:webHidden/>
          </w:rPr>
          <w:fldChar w:fldCharType="begin"/>
        </w:r>
        <w:r w:rsidR="003D3549">
          <w:rPr>
            <w:webHidden/>
          </w:rPr>
          <w:instrText xml:space="preserve"> PAGEREF _Toc386112687 \h </w:instrText>
        </w:r>
        <w:r w:rsidR="003D3549">
          <w:rPr>
            <w:webHidden/>
          </w:rPr>
        </w:r>
        <w:r w:rsidR="003D3549">
          <w:rPr>
            <w:webHidden/>
          </w:rPr>
          <w:fldChar w:fldCharType="separate"/>
        </w:r>
        <w:r>
          <w:rPr>
            <w:webHidden/>
          </w:rPr>
          <w:t>49</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88" w:history="1">
        <w:r w:rsidR="003D3549" w:rsidRPr="00A83D50">
          <w:rPr>
            <w:rStyle w:val="Hyperlink"/>
          </w:rPr>
          <w:t>Table 19: Summary of key results and quality of studies</w:t>
        </w:r>
        <w:r w:rsidR="003D3549">
          <w:rPr>
            <w:webHidden/>
          </w:rPr>
          <w:tab/>
        </w:r>
        <w:r w:rsidR="003D3549">
          <w:rPr>
            <w:webHidden/>
          </w:rPr>
          <w:fldChar w:fldCharType="begin"/>
        </w:r>
        <w:r w:rsidR="003D3549">
          <w:rPr>
            <w:webHidden/>
          </w:rPr>
          <w:instrText xml:space="preserve"> PAGEREF _Toc386112688 \h </w:instrText>
        </w:r>
        <w:r w:rsidR="003D3549">
          <w:rPr>
            <w:webHidden/>
          </w:rPr>
        </w:r>
        <w:r w:rsidR="003D3549">
          <w:rPr>
            <w:webHidden/>
          </w:rPr>
          <w:fldChar w:fldCharType="separate"/>
        </w:r>
        <w:r>
          <w:rPr>
            <w:webHidden/>
          </w:rPr>
          <w:t>54</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89" w:history="1">
        <w:r w:rsidR="003D3549" w:rsidRPr="00A83D50">
          <w:rPr>
            <w:rStyle w:val="Hyperlink"/>
          </w:rPr>
          <w:t>Table 20: Summary of the most common adverse events for women on BMD management</w:t>
        </w:r>
        <w:r w:rsidR="003D3549">
          <w:rPr>
            <w:webHidden/>
          </w:rPr>
          <w:tab/>
        </w:r>
        <w:r w:rsidR="003D3549">
          <w:rPr>
            <w:webHidden/>
          </w:rPr>
          <w:fldChar w:fldCharType="begin"/>
        </w:r>
        <w:r w:rsidR="003D3549">
          <w:rPr>
            <w:webHidden/>
          </w:rPr>
          <w:instrText xml:space="preserve"> PAGEREF _Toc386112689 \h </w:instrText>
        </w:r>
        <w:r w:rsidR="003D3549">
          <w:rPr>
            <w:webHidden/>
          </w:rPr>
        </w:r>
        <w:r w:rsidR="003D3549">
          <w:rPr>
            <w:webHidden/>
          </w:rPr>
          <w:fldChar w:fldCharType="separate"/>
        </w:r>
        <w:r>
          <w:rPr>
            <w:webHidden/>
          </w:rPr>
          <w:t>56</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90" w:history="1">
        <w:r w:rsidR="003D3549" w:rsidRPr="00A83D50">
          <w:rPr>
            <w:rStyle w:val="Hyperlink"/>
          </w:rPr>
          <w:t>Table 21: Summary of the clinical evidence of the main intervention</w:t>
        </w:r>
        <w:r w:rsidR="003D3549">
          <w:rPr>
            <w:webHidden/>
          </w:rPr>
          <w:tab/>
        </w:r>
        <w:r w:rsidR="003D3549">
          <w:rPr>
            <w:webHidden/>
          </w:rPr>
          <w:fldChar w:fldCharType="begin"/>
        </w:r>
        <w:r w:rsidR="003D3549">
          <w:rPr>
            <w:webHidden/>
          </w:rPr>
          <w:instrText xml:space="preserve"> PAGEREF _Toc386112690 \h </w:instrText>
        </w:r>
        <w:r w:rsidR="003D3549">
          <w:rPr>
            <w:webHidden/>
          </w:rPr>
        </w:r>
        <w:r w:rsidR="003D3549">
          <w:rPr>
            <w:webHidden/>
          </w:rPr>
          <w:fldChar w:fldCharType="separate"/>
        </w:r>
        <w:r>
          <w:rPr>
            <w:webHidden/>
          </w:rPr>
          <w:t>56</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91" w:history="1">
        <w:r w:rsidR="003D3549" w:rsidRPr="00A83D50">
          <w:rPr>
            <w:rStyle w:val="Hyperlink"/>
          </w:rPr>
          <w:t>Table 22: Comparison of cost-effectiveness studies relevant to this assessment</w:t>
        </w:r>
        <w:r w:rsidR="003D3549">
          <w:rPr>
            <w:webHidden/>
          </w:rPr>
          <w:tab/>
        </w:r>
        <w:r w:rsidR="003D3549">
          <w:rPr>
            <w:webHidden/>
          </w:rPr>
          <w:fldChar w:fldCharType="begin"/>
        </w:r>
        <w:r w:rsidR="003D3549">
          <w:rPr>
            <w:webHidden/>
          </w:rPr>
          <w:instrText xml:space="preserve"> PAGEREF _Toc386112691 \h </w:instrText>
        </w:r>
        <w:r w:rsidR="003D3549">
          <w:rPr>
            <w:webHidden/>
          </w:rPr>
        </w:r>
        <w:r w:rsidR="003D3549">
          <w:rPr>
            <w:webHidden/>
          </w:rPr>
          <w:fldChar w:fldCharType="separate"/>
        </w:r>
        <w:r>
          <w:rPr>
            <w:webHidden/>
          </w:rPr>
          <w:t>60</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92" w:history="1">
        <w:r w:rsidR="003D3549" w:rsidRPr="00A83D50">
          <w:rPr>
            <w:rStyle w:val="Hyperlink"/>
          </w:rPr>
          <w:t>Table 23: Structural components of the economic model</w:t>
        </w:r>
        <w:r w:rsidR="003D3549">
          <w:rPr>
            <w:webHidden/>
          </w:rPr>
          <w:tab/>
        </w:r>
        <w:r w:rsidR="003D3549">
          <w:rPr>
            <w:webHidden/>
          </w:rPr>
          <w:fldChar w:fldCharType="begin"/>
        </w:r>
        <w:r w:rsidR="003D3549">
          <w:rPr>
            <w:webHidden/>
          </w:rPr>
          <w:instrText xml:space="preserve"> PAGEREF _Toc386112692 \h </w:instrText>
        </w:r>
        <w:r w:rsidR="003D3549">
          <w:rPr>
            <w:webHidden/>
          </w:rPr>
        </w:r>
        <w:r w:rsidR="003D3549">
          <w:rPr>
            <w:webHidden/>
          </w:rPr>
          <w:fldChar w:fldCharType="separate"/>
        </w:r>
        <w:r>
          <w:rPr>
            <w:webHidden/>
          </w:rPr>
          <w:t>61</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93" w:history="1">
        <w:r w:rsidR="003D3549" w:rsidRPr="00A83D50">
          <w:rPr>
            <w:rStyle w:val="Hyperlink"/>
          </w:rPr>
          <w:t>Table 24: Evidence for protective effect of bone therapy for women taking AIs</w:t>
        </w:r>
        <w:r w:rsidR="003D3549">
          <w:rPr>
            <w:webHidden/>
          </w:rPr>
          <w:tab/>
        </w:r>
        <w:r w:rsidR="003D3549">
          <w:rPr>
            <w:webHidden/>
          </w:rPr>
          <w:fldChar w:fldCharType="begin"/>
        </w:r>
        <w:r w:rsidR="003D3549">
          <w:rPr>
            <w:webHidden/>
          </w:rPr>
          <w:instrText xml:space="preserve"> PAGEREF _Toc386112693 \h </w:instrText>
        </w:r>
        <w:r w:rsidR="003D3549">
          <w:rPr>
            <w:webHidden/>
          </w:rPr>
        </w:r>
        <w:r w:rsidR="003D3549">
          <w:rPr>
            <w:webHidden/>
          </w:rPr>
          <w:fldChar w:fldCharType="separate"/>
        </w:r>
        <w:r>
          <w:rPr>
            <w:webHidden/>
          </w:rPr>
          <w:t>62</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94" w:history="1">
        <w:r w:rsidR="003D3549" w:rsidRPr="00A83D50">
          <w:rPr>
            <w:rStyle w:val="Hyperlink"/>
          </w:rPr>
          <w:t>Table 25: Model parameters, sensitivity values and sources</w:t>
        </w:r>
        <w:r w:rsidR="003D3549">
          <w:rPr>
            <w:webHidden/>
          </w:rPr>
          <w:tab/>
        </w:r>
        <w:r w:rsidR="003D3549">
          <w:rPr>
            <w:webHidden/>
          </w:rPr>
          <w:fldChar w:fldCharType="begin"/>
        </w:r>
        <w:r w:rsidR="003D3549">
          <w:rPr>
            <w:webHidden/>
          </w:rPr>
          <w:instrText xml:space="preserve"> PAGEREF _Toc386112694 \h </w:instrText>
        </w:r>
        <w:r w:rsidR="003D3549">
          <w:rPr>
            <w:webHidden/>
          </w:rPr>
        </w:r>
        <w:r w:rsidR="003D3549">
          <w:rPr>
            <w:webHidden/>
          </w:rPr>
          <w:fldChar w:fldCharType="separate"/>
        </w:r>
        <w:r>
          <w:rPr>
            <w:webHidden/>
          </w:rPr>
          <w:t>64</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95" w:history="1">
        <w:r w:rsidR="003D3549" w:rsidRPr="00A83D50">
          <w:rPr>
            <w:rStyle w:val="Hyperlink"/>
          </w:rPr>
          <w:t>Table 26: Key results of economic evaluation (annual DXA scan, 60 year old cohort, 40 years)</w:t>
        </w:r>
        <w:r w:rsidR="003D3549">
          <w:rPr>
            <w:webHidden/>
          </w:rPr>
          <w:tab/>
        </w:r>
        <w:r w:rsidR="003D3549">
          <w:rPr>
            <w:webHidden/>
          </w:rPr>
          <w:fldChar w:fldCharType="begin"/>
        </w:r>
        <w:r w:rsidR="003D3549">
          <w:rPr>
            <w:webHidden/>
          </w:rPr>
          <w:instrText xml:space="preserve"> PAGEREF _Toc386112695 \h </w:instrText>
        </w:r>
        <w:r w:rsidR="003D3549">
          <w:rPr>
            <w:webHidden/>
          </w:rPr>
        </w:r>
        <w:r w:rsidR="003D3549">
          <w:rPr>
            <w:webHidden/>
          </w:rPr>
          <w:fldChar w:fldCharType="separate"/>
        </w:r>
        <w:r>
          <w:rPr>
            <w:webHidden/>
          </w:rPr>
          <w:t>65</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96" w:history="1">
        <w:r w:rsidR="003D3549" w:rsidRPr="00A83D50">
          <w:rPr>
            <w:rStyle w:val="Hyperlink"/>
          </w:rPr>
          <w:t>Table 27: Results of cost-utility analyses by different cohort starting ages</w:t>
        </w:r>
        <w:r w:rsidR="003D3549">
          <w:rPr>
            <w:webHidden/>
          </w:rPr>
          <w:tab/>
        </w:r>
        <w:r w:rsidR="003D3549">
          <w:rPr>
            <w:webHidden/>
          </w:rPr>
          <w:fldChar w:fldCharType="begin"/>
        </w:r>
        <w:r w:rsidR="003D3549">
          <w:rPr>
            <w:webHidden/>
          </w:rPr>
          <w:instrText xml:space="preserve"> PAGEREF _Toc386112696 \h </w:instrText>
        </w:r>
        <w:r w:rsidR="003D3549">
          <w:rPr>
            <w:webHidden/>
          </w:rPr>
        </w:r>
        <w:r w:rsidR="003D3549">
          <w:rPr>
            <w:webHidden/>
          </w:rPr>
          <w:fldChar w:fldCharType="separate"/>
        </w:r>
        <w:r>
          <w:rPr>
            <w:webHidden/>
          </w:rPr>
          <w:t>67</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97" w:history="1">
        <w:r w:rsidR="003D3549" w:rsidRPr="00A83D50">
          <w:rPr>
            <w:rStyle w:val="Hyperlink"/>
          </w:rPr>
          <w:t>Table 28: Results of the probabilistic sensitivity analyses</w:t>
        </w:r>
        <w:r w:rsidR="003D3549">
          <w:rPr>
            <w:webHidden/>
          </w:rPr>
          <w:tab/>
        </w:r>
        <w:r w:rsidR="003D3549">
          <w:rPr>
            <w:webHidden/>
          </w:rPr>
          <w:fldChar w:fldCharType="begin"/>
        </w:r>
        <w:r w:rsidR="003D3549">
          <w:rPr>
            <w:webHidden/>
          </w:rPr>
          <w:instrText xml:space="preserve"> PAGEREF _Toc386112697 \h </w:instrText>
        </w:r>
        <w:r w:rsidR="003D3549">
          <w:rPr>
            <w:webHidden/>
          </w:rPr>
        </w:r>
        <w:r w:rsidR="003D3549">
          <w:rPr>
            <w:webHidden/>
          </w:rPr>
          <w:fldChar w:fldCharType="separate"/>
        </w:r>
        <w:r>
          <w:rPr>
            <w:webHidden/>
          </w:rPr>
          <w:t>67</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98" w:history="1">
        <w:r w:rsidR="003D3549" w:rsidRPr="00A83D50">
          <w:rPr>
            <w:rStyle w:val="Hyperlink"/>
          </w:rPr>
          <w:t>Table 29: Main parameters used in the financial estimates</w:t>
        </w:r>
        <w:r w:rsidR="003D3549">
          <w:rPr>
            <w:webHidden/>
          </w:rPr>
          <w:tab/>
        </w:r>
        <w:r w:rsidR="003D3549">
          <w:rPr>
            <w:webHidden/>
          </w:rPr>
          <w:fldChar w:fldCharType="begin"/>
        </w:r>
        <w:r w:rsidR="003D3549">
          <w:rPr>
            <w:webHidden/>
          </w:rPr>
          <w:instrText xml:space="preserve"> PAGEREF _Toc386112698 \h </w:instrText>
        </w:r>
        <w:r w:rsidR="003D3549">
          <w:rPr>
            <w:webHidden/>
          </w:rPr>
        </w:r>
        <w:r w:rsidR="003D3549">
          <w:rPr>
            <w:webHidden/>
          </w:rPr>
          <w:fldChar w:fldCharType="separate"/>
        </w:r>
        <w:r>
          <w:rPr>
            <w:webHidden/>
          </w:rPr>
          <w:t>69</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699" w:history="1">
        <w:r w:rsidR="003D3549" w:rsidRPr="00A83D50">
          <w:rPr>
            <w:rStyle w:val="Hyperlink"/>
          </w:rPr>
          <w:t>Table 30: Results of the financial estimates over next five years</w:t>
        </w:r>
        <w:r w:rsidR="003D3549">
          <w:rPr>
            <w:webHidden/>
          </w:rPr>
          <w:tab/>
        </w:r>
        <w:r w:rsidR="003D3549">
          <w:rPr>
            <w:webHidden/>
          </w:rPr>
          <w:fldChar w:fldCharType="begin"/>
        </w:r>
        <w:r w:rsidR="003D3549">
          <w:rPr>
            <w:webHidden/>
          </w:rPr>
          <w:instrText xml:space="preserve"> PAGEREF _Toc386112699 \h </w:instrText>
        </w:r>
        <w:r w:rsidR="003D3549">
          <w:rPr>
            <w:webHidden/>
          </w:rPr>
        </w:r>
        <w:r w:rsidR="003D3549">
          <w:rPr>
            <w:webHidden/>
          </w:rPr>
          <w:fldChar w:fldCharType="separate"/>
        </w:r>
        <w:r>
          <w:rPr>
            <w:webHidden/>
          </w:rPr>
          <w:t>70</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700" w:history="1">
        <w:r w:rsidR="003D3549" w:rsidRPr="00A83D50">
          <w:rPr>
            <w:rStyle w:val="Hyperlink"/>
          </w:rPr>
          <w:t>Table 31: Sensitivity analyses of the financial estimates</w:t>
        </w:r>
        <w:r w:rsidR="003D3549">
          <w:rPr>
            <w:webHidden/>
          </w:rPr>
          <w:tab/>
        </w:r>
        <w:r w:rsidR="003D3549">
          <w:rPr>
            <w:webHidden/>
          </w:rPr>
          <w:fldChar w:fldCharType="begin"/>
        </w:r>
        <w:r w:rsidR="003D3549">
          <w:rPr>
            <w:webHidden/>
          </w:rPr>
          <w:instrText xml:space="preserve"> PAGEREF _Toc386112700 \h </w:instrText>
        </w:r>
        <w:r w:rsidR="003D3549">
          <w:rPr>
            <w:webHidden/>
          </w:rPr>
        </w:r>
        <w:r w:rsidR="003D3549">
          <w:rPr>
            <w:webHidden/>
          </w:rPr>
          <w:fldChar w:fldCharType="separate"/>
        </w:r>
        <w:r>
          <w:rPr>
            <w:webHidden/>
          </w:rPr>
          <w:t>71</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701" w:history="1">
        <w:r w:rsidR="003D3549" w:rsidRPr="00A83D50">
          <w:rPr>
            <w:rStyle w:val="Hyperlink"/>
          </w:rPr>
          <w:t>Table 32: Unit price of common brands of Vitamin D products in Australia</w:t>
        </w:r>
        <w:r w:rsidR="003D3549">
          <w:rPr>
            <w:webHidden/>
          </w:rPr>
          <w:tab/>
        </w:r>
        <w:r w:rsidR="003D3549">
          <w:rPr>
            <w:webHidden/>
          </w:rPr>
          <w:fldChar w:fldCharType="begin"/>
        </w:r>
        <w:r w:rsidR="003D3549">
          <w:rPr>
            <w:webHidden/>
          </w:rPr>
          <w:instrText xml:space="preserve"> PAGEREF _Toc386112701 \h </w:instrText>
        </w:r>
        <w:r w:rsidR="003D3549">
          <w:rPr>
            <w:webHidden/>
          </w:rPr>
        </w:r>
        <w:r w:rsidR="003D3549">
          <w:rPr>
            <w:webHidden/>
          </w:rPr>
          <w:fldChar w:fldCharType="separate"/>
        </w:r>
        <w:r>
          <w:rPr>
            <w:webHidden/>
          </w:rPr>
          <w:t>72</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702" w:history="1">
        <w:r w:rsidR="003D3549" w:rsidRPr="00A83D50">
          <w:rPr>
            <w:rStyle w:val="Hyperlink"/>
          </w:rPr>
          <w:t>Table 33: Completed body of evidence assessment matrix</w:t>
        </w:r>
        <w:r w:rsidR="003D3549">
          <w:rPr>
            <w:webHidden/>
          </w:rPr>
          <w:tab/>
        </w:r>
        <w:r w:rsidR="003D3549">
          <w:rPr>
            <w:webHidden/>
          </w:rPr>
          <w:fldChar w:fldCharType="begin"/>
        </w:r>
        <w:r w:rsidR="003D3549">
          <w:rPr>
            <w:webHidden/>
          </w:rPr>
          <w:instrText xml:space="preserve"> PAGEREF _Toc386112702 \h </w:instrText>
        </w:r>
        <w:r w:rsidR="003D3549">
          <w:rPr>
            <w:webHidden/>
          </w:rPr>
        </w:r>
        <w:r w:rsidR="003D3549">
          <w:rPr>
            <w:webHidden/>
          </w:rPr>
          <w:fldChar w:fldCharType="separate"/>
        </w:r>
        <w:r>
          <w:rPr>
            <w:webHidden/>
          </w:rPr>
          <w:t>75</w:t>
        </w:r>
        <w:r w:rsidR="003D3549">
          <w:rPr>
            <w:webHidden/>
          </w:rPr>
          <w:fldChar w:fldCharType="end"/>
        </w:r>
      </w:hyperlink>
    </w:p>
    <w:p w:rsidR="00700BEE" w:rsidRPr="00A158A3" w:rsidRDefault="003E5E41" w:rsidP="00700BEE">
      <w:pPr>
        <w:pStyle w:val="TableofFigures"/>
        <w:pBdr>
          <w:bottom w:val="single" w:sz="4" w:space="1" w:color="auto"/>
        </w:pBdr>
        <w:ind w:right="-46" w:hanging="1800"/>
        <w:rPr>
          <w:rFonts w:ascii="Tahoma" w:hAnsi="Tahoma"/>
          <w:b/>
          <w:noProof w:val="0"/>
          <w:sz w:val="22"/>
        </w:rPr>
      </w:pPr>
      <w:r>
        <w:fldChar w:fldCharType="end"/>
      </w:r>
      <w:r w:rsidR="00700BEE" w:rsidRPr="00A158A3">
        <w:rPr>
          <w:rFonts w:ascii="Tahoma" w:hAnsi="Tahoma"/>
          <w:b/>
          <w:noProof w:val="0"/>
          <w:sz w:val="22"/>
        </w:rPr>
        <w:t xml:space="preserve"> </w:t>
      </w:r>
    </w:p>
    <w:p w:rsidR="00C9782D" w:rsidRPr="00A158A3" w:rsidRDefault="008F59A8" w:rsidP="00A158A3">
      <w:pPr>
        <w:pStyle w:val="TableofFigures"/>
        <w:pBdr>
          <w:bottom w:val="single" w:sz="4" w:space="1" w:color="auto"/>
        </w:pBdr>
        <w:ind w:right="-46" w:hanging="1800"/>
        <w:rPr>
          <w:rFonts w:ascii="Tahoma" w:hAnsi="Tahoma"/>
          <w:b/>
          <w:noProof w:val="0"/>
          <w:sz w:val="22"/>
        </w:rPr>
      </w:pPr>
      <w:r w:rsidRPr="00A158A3">
        <w:rPr>
          <w:rFonts w:ascii="Tahoma" w:hAnsi="Tahoma"/>
          <w:b/>
          <w:noProof w:val="0"/>
          <w:sz w:val="22"/>
        </w:rPr>
        <w:t>Figures</w:t>
      </w:r>
    </w:p>
    <w:p w:rsidR="00700BEE" w:rsidRDefault="00700BEE" w:rsidP="00C9782D"/>
    <w:p w:rsidR="003D3549" w:rsidRDefault="00700BEE">
      <w:pPr>
        <w:pStyle w:val="TableofFigures"/>
        <w:rPr>
          <w:rFonts w:asciiTheme="minorHAnsi" w:eastAsiaTheme="minorEastAsia" w:hAnsiTheme="minorHAnsi" w:cstheme="minorBidi"/>
          <w:sz w:val="22"/>
          <w:szCs w:val="22"/>
        </w:rPr>
      </w:pPr>
      <w:r>
        <w:fldChar w:fldCharType="begin"/>
      </w:r>
      <w:r>
        <w:instrText xml:space="preserve"> TOC \h \z \t "Figures" \c </w:instrText>
      </w:r>
      <w:r>
        <w:fldChar w:fldCharType="separate"/>
      </w:r>
      <w:hyperlink w:anchor="_Toc386112703" w:history="1">
        <w:r w:rsidR="003D3549" w:rsidRPr="008C74A0">
          <w:rPr>
            <w:rStyle w:val="Hyperlink"/>
          </w:rPr>
          <w:t>Figure ES1: One year % change in BMD (lumbar spine) in healthy women and women with breast cancer</w:t>
        </w:r>
        <w:r w:rsidR="003D3549">
          <w:rPr>
            <w:webHidden/>
          </w:rPr>
          <w:tab/>
        </w:r>
        <w:r w:rsidR="003D3549">
          <w:rPr>
            <w:webHidden/>
          </w:rPr>
          <w:fldChar w:fldCharType="begin"/>
        </w:r>
        <w:r w:rsidR="003D3549">
          <w:rPr>
            <w:webHidden/>
          </w:rPr>
          <w:instrText xml:space="preserve"> PAGEREF _Toc386112703 \h </w:instrText>
        </w:r>
        <w:r w:rsidR="003D3549">
          <w:rPr>
            <w:webHidden/>
          </w:rPr>
        </w:r>
        <w:r w:rsidR="003D3549">
          <w:rPr>
            <w:webHidden/>
          </w:rPr>
          <w:fldChar w:fldCharType="separate"/>
        </w:r>
        <w:r w:rsidR="0049135A">
          <w:rPr>
            <w:webHidden/>
          </w:rPr>
          <w:t>x</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704" w:history="1">
        <w:r w:rsidR="003D3549" w:rsidRPr="008C74A0">
          <w:rPr>
            <w:rStyle w:val="Hyperlink"/>
          </w:rPr>
          <w:t>Figure 1: Bone mineral density of Australian women by age group (n=1467)</w:t>
        </w:r>
        <w:r w:rsidR="003D3549">
          <w:rPr>
            <w:webHidden/>
          </w:rPr>
          <w:tab/>
        </w:r>
        <w:r w:rsidR="003D3549">
          <w:rPr>
            <w:webHidden/>
          </w:rPr>
          <w:fldChar w:fldCharType="begin"/>
        </w:r>
        <w:r w:rsidR="003D3549">
          <w:rPr>
            <w:webHidden/>
          </w:rPr>
          <w:instrText xml:space="preserve"> PAGEREF _Toc386112704 \h </w:instrText>
        </w:r>
        <w:r w:rsidR="003D3549">
          <w:rPr>
            <w:webHidden/>
          </w:rPr>
        </w:r>
        <w:r w:rsidR="003D3549">
          <w:rPr>
            <w:webHidden/>
          </w:rPr>
          <w:fldChar w:fldCharType="separate"/>
        </w:r>
        <w:r>
          <w:rPr>
            <w:webHidden/>
          </w:rPr>
          <w:t>17</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705" w:history="1">
        <w:r w:rsidR="003D3549" w:rsidRPr="008C74A0">
          <w:rPr>
            <w:rStyle w:val="Hyperlink"/>
          </w:rPr>
          <w:t>Figure 2: Time line of studies and listings for AIs, anti-resorptive medications and DXA scans in Australia</w:t>
        </w:r>
        <w:r w:rsidR="003D3549">
          <w:rPr>
            <w:webHidden/>
          </w:rPr>
          <w:tab/>
        </w:r>
        <w:r w:rsidR="003D3549">
          <w:rPr>
            <w:webHidden/>
          </w:rPr>
          <w:fldChar w:fldCharType="begin"/>
        </w:r>
        <w:r w:rsidR="003D3549">
          <w:rPr>
            <w:webHidden/>
          </w:rPr>
          <w:instrText xml:space="preserve"> PAGEREF _Toc386112705 \h </w:instrText>
        </w:r>
        <w:r w:rsidR="003D3549">
          <w:rPr>
            <w:webHidden/>
          </w:rPr>
        </w:r>
        <w:r w:rsidR="003D3549">
          <w:rPr>
            <w:webHidden/>
          </w:rPr>
          <w:fldChar w:fldCharType="separate"/>
        </w:r>
        <w:r>
          <w:rPr>
            <w:webHidden/>
          </w:rPr>
          <w:t>22</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706" w:history="1">
        <w:r w:rsidR="003D3549" w:rsidRPr="008C74A0">
          <w:rPr>
            <w:rStyle w:val="Hyperlink"/>
          </w:rPr>
          <w:t>Figure 3: Changes in use of bisphosphonates and cost of Vitamin D (25OHD) testing (2001 to 2012)</w:t>
        </w:r>
        <w:r w:rsidR="003D3549">
          <w:rPr>
            <w:webHidden/>
          </w:rPr>
          <w:tab/>
        </w:r>
        <w:r w:rsidR="003D3549">
          <w:rPr>
            <w:webHidden/>
          </w:rPr>
          <w:fldChar w:fldCharType="begin"/>
        </w:r>
        <w:r w:rsidR="003D3549">
          <w:rPr>
            <w:webHidden/>
          </w:rPr>
          <w:instrText xml:space="preserve"> PAGEREF _Toc386112706 \h </w:instrText>
        </w:r>
        <w:r w:rsidR="003D3549">
          <w:rPr>
            <w:webHidden/>
          </w:rPr>
        </w:r>
        <w:r w:rsidR="003D3549">
          <w:rPr>
            <w:webHidden/>
          </w:rPr>
          <w:fldChar w:fldCharType="separate"/>
        </w:r>
        <w:r>
          <w:rPr>
            <w:webHidden/>
          </w:rPr>
          <w:t>23</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707" w:history="1">
        <w:r w:rsidR="003D3549" w:rsidRPr="008C74A0">
          <w:rPr>
            <w:rStyle w:val="Hyperlink"/>
          </w:rPr>
          <w:t>Figure 4: Percentage growth in sales of over-the-counter vitamin D supplements (Australia 2006-2011)</w:t>
        </w:r>
        <w:r w:rsidR="003D3549">
          <w:rPr>
            <w:webHidden/>
          </w:rPr>
          <w:tab/>
        </w:r>
        <w:r w:rsidR="003D3549">
          <w:rPr>
            <w:webHidden/>
          </w:rPr>
          <w:fldChar w:fldCharType="begin"/>
        </w:r>
        <w:r w:rsidR="003D3549">
          <w:rPr>
            <w:webHidden/>
          </w:rPr>
          <w:instrText xml:space="preserve"> PAGEREF _Toc386112707 \h </w:instrText>
        </w:r>
        <w:r w:rsidR="003D3549">
          <w:rPr>
            <w:webHidden/>
          </w:rPr>
        </w:r>
        <w:r w:rsidR="003D3549">
          <w:rPr>
            <w:webHidden/>
          </w:rPr>
          <w:fldChar w:fldCharType="separate"/>
        </w:r>
        <w:r>
          <w:rPr>
            <w:webHidden/>
          </w:rPr>
          <w:t>24</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708" w:history="1">
        <w:r w:rsidR="003D3549" w:rsidRPr="008C74A0">
          <w:rPr>
            <w:rStyle w:val="Hyperlink"/>
          </w:rPr>
          <w:t>Figure 5:</w:t>
        </w:r>
        <w:r w:rsidR="003D3549">
          <w:rPr>
            <w:rFonts w:asciiTheme="minorHAnsi" w:eastAsiaTheme="minorEastAsia" w:hAnsiTheme="minorHAnsi" w:cstheme="minorBidi"/>
            <w:sz w:val="22"/>
            <w:szCs w:val="22"/>
          </w:rPr>
          <w:tab/>
        </w:r>
        <w:r w:rsidR="003D3549" w:rsidRPr="008C74A0">
          <w:rPr>
            <w:rStyle w:val="Hyperlink"/>
          </w:rPr>
          <w:t>Clinical decision tree</w:t>
        </w:r>
        <w:r w:rsidR="003D3549">
          <w:rPr>
            <w:webHidden/>
          </w:rPr>
          <w:tab/>
        </w:r>
        <w:r w:rsidR="003D3549">
          <w:rPr>
            <w:webHidden/>
          </w:rPr>
          <w:fldChar w:fldCharType="begin"/>
        </w:r>
        <w:r w:rsidR="003D3549">
          <w:rPr>
            <w:webHidden/>
          </w:rPr>
          <w:instrText xml:space="preserve"> PAGEREF _Toc386112708 \h </w:instrText>
        </w:r>
        <w:r w:rsidR="003D3549">
          <w:rPr>
            <w:webHidden/>
          </w:rPr>
        </w:r>
        <w:r w:rsidR="003D3549">
          <w:rPr>
            <w:webHidden/>
          </w:rPr>
          <w:fldChar w:fldCharType="separate"/>
        </w:r>
        <w:r>
          <w:rPr>
            <w:webHidden/>
          </w:rPr>
          <w:t>25</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709" w:history="1">
        <w:r w:rsidR="003D3549" w:rsidRPr="008C74A0">
          <w:rPr>
            <w:rStyle w:val="Hyperlink"/>
          </w:rPr>
          <w:t>Figure 6: One year % change in BMD (lumbar spine) in various populations</w:t>
        </w:r>
        <w:r w:rsidR="003D3549">
          <w:rPr>
            <w:webHidden/>
          </w:rPr>
          <w:tab/>
        </w:r>
        <w:r w:rsidR="003D3549">
          <w:rPr>
            <w:webHidden/>
          </w:rPr>
          <w:fldChar w:fldCharType="begin"/>
        </w:r>
        <w:r w:rsidR="003D3549">
          <w:rPr>
            <w:webHidden/>
          </w:rPr>
          <w:instrText xml:space="preserve"> PAGEREF _Toc386112709 \h </w:instrText>
        </w:r>
        <w:r w:rsidR="003D3549">
          <w:rPr>
            <w:webHidden/>
          </w:rPr>
        </w:r>
        <w:r w:rsidR="003D3549">
          <w:rPr>
            <w:webHidden/>
          </w:rPr>
          <w:fldChar w:fldCharType="separate"/>
        </w:r>
        <w:r>
          <w:rPr>
            <w:webHidden/>
          </w:rPr>
          <w:t>41</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710" w:history="1">
        <w:r w:rsidR="003D3549" w:rsidRPr="008C74A0">
          <w:rPr>
            <w:rStyle w:val="Hyperlink"/>
          </w:rPr>
          <w:t>Figure 7: % change in BMD lumber spine of studies on treatments for AI-associated bone loss</w:t>
        </w:r>
        <w:r w:rsidR="003D3549">
          <w:rPr>
            <w:webHidden/>
          </w:rPr>
          <w:tab/>
        </w:r>
        <w:r w:rsidR="003D3549">
          <w:rPr>
            <w:webHidden/>
          </w:rPr>
          <w:fldChar w:fldCharType="begin"/>
        </w:r>
        <w:r w:rsidR="003D3549">
          <w:rPr>
            <w:webHidden/>
          </w:rPr>
          <w:instrText xml:space="preserve"> PAGEREF _Toc386112710 \h </w:instrText>
        </w:r>
        <w:r w:rsidR="003D3549">
          <w:rPr>
            <w:webHidden/>
          </w:rPr>
        </w:r>
        <w:r w:rsidR="003D3549">
          <w:rPr>
            <w:webHidden/>
          </w:rPr>
          <w:fldChar w:fldCharType="separate"/>
        </w:r>
        <w:r>
          <w:rPr>
            <w:webHidden/>
          </w:rPr>
          <w:t>52</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711" w:history="1">
        <w:r w:rsidR="003D3549" w:rsidRPr="008C74A0">
          <w:rPr>
            <w:rStyle w:val="Hyperlink"/>
          </w:rPr>
          <w:t>Figure 8: % change in BMD total hip of studies on treatments for AI-associated bone loss</w:t>
        </w:r>
        <w:r w:rsidR="003D3549">
          <w:rPr>
            <w:webHidden/>
          </w:rPr>
          <w:tab/>
        </w:r>
        <w:r w:rsidR="003D3549">
          <w:rPr>
            <w:webHidden/>
          </w:rPr>
          <w:fldChar w:fldCharType="begin"/>
        </w:r>
        <w:r w:rsidR="003D3549">
          <w:rPr>
            <w:webHidden/>
          </w:rPr>
          <w:instrText xml:space="preserve"> PAGEREF _Toc386112711 \h </w:instrText>
        </w:r>
        <w:r w:rsidR="003D3549">
          <w:rPr>
            <w:webHidden/>
          </w:rPr>
        </w:r>
        <w:r w:rsidR="003D3549">
          <w:rPr>
            <w:webHidden/>
          </w:rPr>
          <w:fldChar w:fldCharType="separate"/>
        </w:r>
        <w:r>
          <w:rPr>
            <w:webHidden/>
          </w:rPr>
          <w:t>52</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712" w:history="1">
        <w:r w:rsidR="003D3549" w:rsidRPr="008C74A0">
          <w:rPr>
            <w:rStyle w:val="Hyperlink"/>
          </w:rPr>
          <w:t>Figure 9: Funnel plot of standardized mean difference in %BMD (Lumbar spine)</w:t>
        </w:r>
        <w:r w:rsidR="003D3549">
          <w:rPr>
            <w:webHidden/>
          </w:rPr>
          <w:tab/>
        </w:r>
        <w:r w:rsidR="003D3549">
          <w:rPr>
            <w:webHidden/>
          </w:rPr>
          <w:fldChar w:fldCharType="begin"/>
        </w:r>
        <w:r w:rsidR="003D3549">
          <w:rPr>
            <w:webHidden/>
          </w:rPr>
          <w:instrText xml:space="preserve"> PAGEREF _Toc386112712 \h </w:instrText>
        </w:r>
        <w:r w:rsidR="003D3549">
          <w:rPr>
            <w:webHidden/>
          </w:rPr>
        </w:r>
        <w:r w:rsidR="003D3549">
          <w:rPr>
            <w:webHidden/>
          </w:rPr>
          <w:fldChar w:fldCharType="separate"/>
        </w:r>
        <w:r>
          <w:rPr>
            <w:webHidden/>
          </w:rPr>
          <w:t>53</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713" w:history="1">
        <w:r w:rsidR="003D3549" w:rsidRPr="008C74A0">
          <w:rPr>
            <w:rStyle w:val="Hyperlink"/>
          </w:rPr>
          <w:t>Figure 10: Funnel plot of standardized mean difference in %BMD (Total hip)</w:t>
        </w:r>
        <w:r w:rsidR="003D3549">
          <w:rPr>
            <w:webHidden/>
          </w:rPr>
          <w:tab/>
        </w:r>
        <w:r w:rsidR="003D3549">
          <w:rPr>
            <w:webHidden/>
          </w:rPr>
          <w:fldChar w:fldCharType="begin"/>
        </w:r>
        <w:r w:rsidR="003D3549">
          <w:rPr>
            <w:webHidden/>
          </w:rPr>
          <w:instrText xml:space="preserve"> PAGEREF _Toc386112713 \h </w:instrText>
        </w:r>
        <w:r w:rsidR="003D3549">
          <w:rPr>
            <w:webHidden/>
          </w:rPr>
        </w:r>
        <w:r w:rsidR="003D3549">
          <w:rPr>
            <w:webHidden/>
          </w:rPr>
          <w:fldChar w:fldCharType="separate"/>
        </w:r>
        <w:r>
          <w:rPr>
            <w:webHidden/>
          </w:rPr>
          <w:t>53</w:t>
        </w:r>
        <w:r w:rsidR="003D3549">
          <w:rPr>
            <w:webHidden/>
          </w:rPr>
          <w:fldChar w:fldCharType="end"/>
        </w:r>
      </w:hyperlink>
    </w:p>
    <w:p w:rsidR="003D3549" w:rsidRDefault="0049135A">
      <w:pPr>
        <w:pStyle w:val="TableofFigures"/>
        <w:rPr>
          <w:rFonts w:asciiTheme="minorHAnsi" w:eastAsiaTheme="minorEastAsia" w:hAnsiTheme="minorHAnsi" w:cstheme="minorBidi"/>
          <w:sz w:val="22"/>
          <w:szCs w:val="22"/>
        </w:rPr>
      </w:pPr>
      <w:hyperlink w:anchor="_Toc386112714" w:history="1">
        <w:r w:rsidR="003D3549" w:rsidRPr="008C74A0">
          <w:rPr>
            <w:rStyle w:val="Hyperlink"/>
          </w:rPr>
          <w:t>Figure 11: One-way sensitivity results of ICER for DXA plus ARtx for osteoporosis vs no DXA and lifestyle</w:t>
        </w:r>
        <w:r w:rsidR="003D3549">
          <w:rPr>
            <w:webHidden/>
          </w:rPr>
          <w:tab/>
        </w:r>
        <w:r w:rsidR="003D3549">
          <w:rPr>
            <w:webHidden/>
          </w:rPr>
          <w:fldChar w:fldCharType="begin"/>
        </w:r>
        <w:r w:rsidR="003D3549">
          <w:rPr>
            <w:webHidden/>
          </w:rPr>
          <w:instrText xml:space="preserve"> PAGEREF _Toc386112714 \h </w:instrText>
        </w:r>
        <w:r w:rsidR="003D3549">
          <w:rPr>
            <w:webHidden/>
          </w:rPr>
        </w:r>
        <w:r w:rsidR="003D3549">
          <w:rPr>
            <w:webHidden/>
          </w:rPr>
          <w:fldChar w:fldCharType="separate"/>
        </w:r>
        <w:r>
          <w:rPr>
            <w:webHidden/>
          </w:rPr>
          <w:t>66</w:t>
        </w:r>
        <w:r w:rsidR="003D3549">
          <w:rPr>
            <w:webHidden/>
          </w:rPr>
          <w:fldChar w:fldCharType="end"/>
        </w:r>
      </w:hyperlink>
    </w:p>
    <w:p w:rsidR="00700BEE" w:rsidRDefault="00700BEE" w:rsidP="00C9782D">
      <w:r>
        <w:fldChar w:fldCharType="end"/>
      </w:r>
    </w:p>
    <w:p w:rsidR="00700BEE" w:rsidRDefault="00700BEE" w:rsidP="00700BEE"/>
    <w:p w:rsidR="008F59A8" w:rsidRPr="00700BEE" w:rsidRDefault="008F59A8" w:rsidP="00700BEE">
      <w:pPr>
        <w:sectPr w:rsidR="008F59A8" w:rsidRPr="00700BEE">
          <w:headerReference w:type="even" r:id="rId17"/>
          <w:headerReference w:type="default" r:id="rId18"/>
          <w:footerReference w:type="even" r:id="rId19"/>
          <w:footerReference w:type="default" r:id="rId20"/>
          <w:headerReference w:type="first" r:id="rId21"/>
          <w:type w:val="oddPage"/>
          <w:pgSz w:w="11906" w:h="16838"/>
          <w:pgMar w:top="1440" w:right="1440" w:bottom="1440" w:left="1440" w:header="720" w:footer="720" w:gutter="0"/>
          <w:paperSrc w:first="2" w:other="2"/>
          <w:pgNumType w:fmt="lowerRoman"/>
          <w:cols w:space="720"/>
        </w:sectPr>
      </w:pPr>
    </w:p>
    <w:p w:rsidR="008F59A8" w:rsidRPr="00C9782D" w:rsidRDefault="008F59A8" w:rsidP="00A158A3">
      <w:pPr>
        <w:pStyle w:val="Heading2"/>
      </w:pPr>
      <w:bookmarkStart w:id="12" w:name="_Toc451749498"/>
      <w:bookmarkStart w:id="13" w:name="_Ref169423921"/>
      <w:bookmarkStart w:id="14" w:name="_Ref169423925"/>
      <w:bookmarkStart w:id="15" w:name="_Toc386092520"/>
      <w:bookmarkStart w:id="16" w:name="_Toc386093158"/>
      <w:bookmarkStart w:id="17" w:name="_Toc386093655"/>
      <w:bookmarkStart w:id="18" w:name="_Toc386093679"/>
      <w:r w:rsidRPr="00C9782D">
        <w:lastRenderedPageBreak/>
        <w:t>Executive summary</w:t>
      </w:r>
      <w:bookmarkEnd w:id="12"/>
      <w:bookmarkEnd w:id="13"/>
      <w:bookmarkEnd w:id="14"/>
      <w:bookmarkEnd w:id="15"/>
      <w:bookmarkEnd w:id="16"/>
      <w:bookmarkEnd w:id="17"/>
      <w:bookmarkEnd w:id="18"/>
    </w:p>
    <w:p w:rsidR="008F59A8" w:rsidRDefault="008F59A8" w:rsidP="00C33B0E">
      <w:pPr>
        <w:pStyle w:val="Heading3"/>
      </w:pPr>
      <w:bookmarkStart w:id="19" w:name="_Toc386093680"/>
      <w:r w:rsidRPr="00C33B0E">
        <w:t>The procedure</w:t>
      </w:r>
      <w:bookmarkEnd w:id="19"/>
      <w:r w:rsidRPr="00C33B0E">
        <w:t xml:space="preserve"> </w:t>
      </w:r>
    </w:p>
    <w:p w:rsidR="00EF28F2" w:rsidRPr="00EF28F2" w:rsidRDefault="00EF28F2" w:rsidP="00EF28F2">
      <w:r>
        <w:t xml:space="preserve">Dual-energy X-ray absorptiometry (DXA) is a diagnostic procedure introduced into routine clinical practice as a method to measure bone mineral density (BMD). Clinicians use DXA to diagnose osteopenia and osteoporosis and appropriately treat individuals </w:t>
      </w:r>
      <w:r w:rsidR="005C1AFC">
        <w:t>to</w:t>
      </w:r>
      <w:r>
        <w:t xml:space="preserve"> prevent fractures. The DXA scan is used to generate a T-score, a comparison of a patient’s bone density to that of peak bone density for the patient’s gender and is the number of standard deviations above or below the normal young adult BMD means. T-scores are often taken at the lumbar spine (L2-L4), total hip and femoral neck.</w:t>
      </w:r>
    </w:p>
    <w:p w:rsidR="008F59A8" w:rsidRPr="00C33B0E" w:rsidRDefault="008F59A8" w:rsidP="00C33B0E">
      <w:pPr>
        <w:pStyle w:val="Heading3"/>
      </w:pPr>
      <w:bookmarkStart w:id="20" w:name="_Toc386093681"/>
      <w:r w:rsidRPr="00C33B0E">
        <w:t>Medical Services Advisory Committee – role and approach</w:t>
      </w:r>
      <w:bookmarkEnd w:id="20"/>
      <w:r w:rsidRPr="00C33B0E">
        <w:t xml:space="preserve"> </w:t>
      </w:r>
    </w:p>
    <w:p w:rsidR="00E772E6" w:rsidRPr="00C9782D" w:rsidRDefault="00E772E6" w:rsidP="00DC4F15">
      <w:pPr>
        <w:rPr>
          <w:color w:val="000000"/>
        </w:rPr>
      </w:pPr>
      <w:r w:rsidRPr="00C9782D">
        <w:rPr>
          <w:color w:val="000000"/>
        </w:rPr>
        <w:t>The Medical Services Advisory Committee (MSAC) was established by the Australian Government to strengthen the role of evidence in health financing decisions in Australia. MSAC advises the Minister for Health on the evidence relating to the safety, effectiveness and cost-effectiveness of new and existing medical technologies and procedures, and under what circumstances public funding should be supported.</w:t>
      </w:r>
    </w:p>
    <w:p w:rsidR="00E772E6" w:rsidRPr="00EF28F2" w:rsidRDefault="00E772E6" w:rsidP="00E772E6">
      <w:r w:rsidRPr="00C9782D">
        <w:t xml:space="preserve">A rigorous assessment of evidence is thus the basis of decision making when funding is sought under Medicare. A team from </w:t>
      </w:r>
      <w:r w:rsidR="00EF28F2">
        <w:t>Griffith University</w:t>
      </w:r>
      <w:r w:rsidRPr="00C9782D">
        <w:t xml:space="preserve"> was engaged to conduct a systematic review of the literature and an economic evaluation of </w:t>
      </w:r>
      <w:r w:rsidR="00EF28F2" w:rsidRPr="00333FFA">
        <w:t>DXA</w:t>
      </w:r>
      <w:r w:rsidR="00EF28F2">
        <w:rPr>
          <w:i/>
        </w:rPr>
        <w:t xml:space="preserve"> </w:t>
      </w:r>
      <w:r w:rsidR="00EF28F2" w:rsidRPr="00EF28F2">
        <w:t>and anti-resorptive therapy.</w:t>
      </w:r>
      <w:r w:rsidRPr="00EF28F2">
        <w:t xml:space="preserve"> </w:t>
      </w:r>
    </w:p>
    <w:p w:rsidR="00E772E6" w:rsidRPr="00C9782D" w:rsidRDefault="00EF28F2" w:rsidP="00EF28F2">
      <w:pPr>
        <w:pStyle w:val="fulltext-text"/>
        <w:spacing w:after="240"/>
        <w:ind w:left="720"/>
        <w:jc w:val="both"/>
        <w:rPr>
          <w:rFonts w:ascii="Garamond" w:hAnsi="Garamond" w:cs="Tahoma"/>
          <w:color w:val="0A0905"/>
        </w:rPr>
      </w:pPr>
      <w:r>
        <w:rPr>
          <w:rFonts w:ascii="Garamond" w:hAnsi="Garamond" w:cs="Tahoma"/>
          <w:b/>
          <w:color w:val="0A0905"/>
        </w:rPr>
        <w:t>Main research question</w:t>
      </w:r>
      <w:r w:rsidR="00E772E6" w:rsidRPr="00C9782D">
        <w:rPr>
          <w:rFonts w:ascii="Garamond" w:hAnsi="Garamond" w:cs="Tahoma"/>
          <w:b/>
          <w:color w:val="0A0905"/>
        </w:rPr>
        <w:t>:</w:t>
      </w:r>
      <w:r w:rsidR="00E772E6" w:rsidRPr="00C9782D">
        <w:rPr>
          <w:rFonts w:ascii="Garamond" w:hAnsi="Garamond" w:cs="Tahoma"/>
          <w:color w:val="0A0905"/>
        </w:rPr>
        <w:t xml:space="preserve"> What is the safety, effectiveness, and cost-effectiveness of</w:t>
      </w:r>
      <w:r>
        <w:rPr>
          <w:rFonts w:ascii="Garamond" w:hAnsi="Garamond" w:cs="Tahoma"/>
          <w:color w:val="0A0905"/>
        </w:rPr>
        <w:t xml:space="preserve"> DXA and anti-resorptive therapy in women taking aromatase inhibitor treatment for early breast cancer, compared with no DXA and no anti-resorptive therapy?</w:t>
      </w:r>
    </w:p>
    <w:p w:rsidR="008F59A8" w:rsidRPr="00C9782D" w:rsidRDefault="00E315A4" w:rsidP="00C33B0E">
      <w:pPr>
        <w:pStyle w:val="Heading3"/>
      </w:pPr>
      <w:bookmarkStart w:id="21" w:name="_Toc386093682"/>
      <w:r w:rsidRPr="00C9782D">
        <w:t>A</w:t>
      </w:r>
      <w:r w:rsidR="008F59A8" w:rsidRPr="00C9782D">
        <w:t xml:space="preserve">ssessment of </w:t>
      </w:r>
      <w:r w:rsidR="004A554A">
        <w:t>DXA</w:t>
      </w:r>
      <w:bookmarkEnd w:id="21"/>
    </w:p>
    <w:p w:rsidR="00E45A4B" w:rsidRPr="00C9782D" w:rsidRDefault="00E45A4B" w:rsidP="00534D10">
      <w:pPr>
        <w:numPr>
          <w:ilvl w:val="0"/>
          <w:numId w:val="7"/>
        </w:numPr>
        <w:tabs>
          <w:tab w:val="clear" w:pos="1080"/>
          <w:tab w:val="left" w:pos="567"/>
          <w:tab w:val="num" w:pos="851"/>
          <w:tab w:val="left" w:pos="1140"/>
        </w:tabs>
        <w:spacing w:after="0"/>
        <w:ind w:left="567" w:hanging="425"/>
        <w:rPr>
          <w:rFonts w:ascii="Arial" w:hAnsi="Arial" w:cs="Arial"/>
          <w:b/>
          <w:bCs/>
          <w:szCs w:val="24"/>
        </w:rPr>
      </w:pPr>
      <w:r w:rsidRPr="00C9782D">
        <w:rPr>
          <w:rFonts w:ascii="Arial" w:hAnsi="Arial" w:cs="Arial"/>
          <w:b/>
          <w:szCs w:val="24"/>
        </w:rPr>
        <w:t>Purpose of application</w:t>
      </w:r>
    </w:p>
    <w:p w:rsidR="00B2159B" w:rsidRDefault="00EF28F2" w:rsidP="00B2159B">
      <w:pPr>
        <w:spacing w:after="0"/>
      </w:pPr>
      <w:r>
        <w:t xml:space="preserve">An application </w:t>
      </w:r>
      <w:r w:rsidR="005E1035">
        <w:t>was</w:t>
      </w:r>
      <w:r>
        <w:t xml:space="preserve"> submitted by the Australian and New Zealand Bone Mineral Society</w:t>
      </w:r>
      <w:r w:rsidR="00571D39">
        <w:t xml:space="preserve"> (ANZBMS) </w:t>
      </w:r>
      <w:r>
        <w:t>to list bone densitometry using DXA in June 2011.</w:t>
      </w:r>
      <w:r w:rsidR="00333FFA">
        <w:t xml:space="preserve"> In this MSAC application, a DXA scan is intended to be used </w:t>
      </w:r>
      <w:r w:rsidR="005C1AFC">
        <w:t>to assess</w:t>
      </w:r>
      <w:r w:rsidR="00333FFA">
        <w:t xml:space="preserve"> BMD and subsequent fracture risk specifically in post-menopausal women with early stage breast cancer who are taking or about to start a course of aromatase inhibitors.</w:t>
      </w:r>
      <w:r w:rsidR="00571D39">
        <w:t xml:space="preserve"> Aromatase inhibitor (AI) therapy is the mainstay treatment in </w:t>
      </w:r>
      <w:r w:rsidR="007A119D">
        <w:t>post-menopaus</w:t>
      </w:r>
      <w:r w:rsidR="004458B0">
        <w:t xml:space="preserve">al women with breast cancer. </w:t>
      </w:r>
      <w:r w:rsidR="00571D39">
        <w:t>AIs prevent oestrogen synthesis by inhibiting the aromatase enzyme which is responsible for converting androgens to oestrogen. Oestrogen is an important modulator of bone formation. So although AI therapy has been demonstrated to lengthen progression-free survival, bone loss is one detrimental consequence of this therapy.</w:t>
      </w:r>
    </w:p>
    <w:p w:rsidR="00E45A4B" w:rsidRPr="00C9782D" w:rsidRDefault="00B2159B" w:rsidP="00B2159B">
      <w:pPr>
        <w:spacing w:after="0"/>
        <w:rPr>
          <w:szCs w:val="24"/>
        </w:rPr>
      </w:pPr>
      <w:r w:rsidRPr="00C9782D">
        <w:rPr>
          <w:szCs w:val="24"/>
        </w:rPr>
        <w:t xml:space="preserve"> </w:t>
      </w:r>
    </w:p>
    <w:p w:rsidR="00E45A4B" w:rsidRPr="00C9782D" w:rsidRDefault="00E45A4B" w:rsidP="00F6430A">
      <w:pPr>
        <w:tabs>
          <w:tab w:val="left" w:pos="567"/>
          <w:tab w:val="num" w:pos="851"/>
          <w:tab w:val="left" w:pos="1140"/>
        </w:tabs>
        <w:spacing w:after="0"/>
        <w:ind w:left="567" w:hanging="425"/>
        <w:rPr>
          <w:rFonts w:ascii="Arial" w:hAnsi="Arial" w:cs="Arial"/>
          <w:b/>
          <w:szCs w:val="24"/>
        </w:rPr>
      </w:pPr>
      <w:r w:rsidRPr="00C9782D">
        <w:rPr>
          <w:rFonts w:ascii="Arial" w:hAnsi="Arial" w:cs="Arial"/>
          <w:b/>
          <w:szCs w:val="24"/>
        </w:rPr>
        <w:t>2.</w:t>
      </w:r>
      <w:r w:rsidRPr="00C9782D">
        <w:rPr>
          <w:rFonts w:ascii="Arial" w:hAnsi="Arial" w:cs="Arial"/>
          <w:b/>
          <w:szCs w:val="24"/>
        </w:rPr>
        <w:tab/>
        <w:t>Background</w:t>
      </w:r>
    </w:p>
    <w:p w:rsidR="00E45A4B" w:rsidRPr="00C9782D" w:rsidRDefault="00333FFA" w:rsidP="00333FFA">
      <w:pPr>
        <w:rPr>
          <w:szCs w:val="24"/>
        </w:rPr>
      </w:pPr>
      <w:r>
        <w:t>T</w:t>
      </w:r>
      <w:r w:rsidRPr="00333FFA">
        <w:t xml:space="preserve">he </w:t>
      </w:r>
      <w:r w:rsidR="00571D39">
        <w:t>ANZBMS</w:t>
      </w:r>
      <w:r w:rsidRPr="00333FFA">
        <w:t xml:space="preserve"> </w:t>
      </w:r>
      <w:r>
        <w:t>ha</w:t>
      </w:r>
      <w:r w:rsidR="00571D39">
        <w:t>s</w:t>
      </w:r>
      <w:r>
        <w:t xml:space="preserve"> also submitted a </w:t>
      </w:r>
      <w:r w:rsidRPr="00333FFA">
        <w:t xml:space="preserve">concurrent application </w:t>
      </w:r>
      <w:r>
        <w:t>(MSAC</w:t>
      </w:r>
      <w:r w:rsidRPr="00333FFA">
        <w:t xml:space="preserve"> 1316</w:t>
      </w:r>
      <w:r>
        <w:t>) to</w:t>
      </w:r>
      <w:r w:rsidRPr="00333FFA">
        <w:t xml:space="preserve"> list bone densitometry using DXA </w:t>
      </w:r>
      <w:r>
        <w:t xml:space="preserve">for </w:t>
      </w:r>
      <w:r w:rsidRPr="00333FFA">
        <w:t>all men and women with risk factors for osteoporosis and aged 50-69</w:t>
      </w:r>
      <w:r>
        <w:t xml:space="preserve">. </w:t>
      </w:r>
      <w:r w:rsidR="005C1AFC" w:rsidRPr="007B15AC">
        <w:t>Unconditional access to DXA scanning is currently available to persons aged 70 years and over (MBS item 12323)</w:t>
      </w:r>
      <w:r w:rsidR="004458B0">
        <w:t xml:space="preserve"> and is </w:t>
      </w:r>
      <w:r w:rsidRPr="007B15AC">
        <w:t xml:space="preserve">funded for men and women below the age of 70 </w:t>
      </w:r>
      <w:r w:rsidR="004458B0">
        <w:t>when</w:t>
      </w:r>
      <w:r w:rsidRPr="007B15AC">
        <w:t xml:space="preserve"> they suffer from certain pre-defined conditions. </w:t>
      </w:r>
    </w:p>
    <w:p w:rsidR="00E45A4B" w:rsidRPr="00C9782D" w:rsidRDefault="00E45A4B" w:rsidP="00534D10">
      <w:pPr>
        <w:numPr>
          <w:ilvl w:val="0"/>
          <w:numId w:val="6"/>
        </w:numPr>
        <w:tabs>
          <w:tab w:val="clear" w:pos="1080"/>
          <w:tab w:val="left" w:pos="567"/>
          <w:tab w:val="num" w:pos="851"/>
          <w:tab w:val="left" w:pos="1140"/>
        </w:tabs>
        <w:spacing w:after="0"/>
        <w:ind w:left="567" w:hanging="425"/>
        <w:rPr>
          <w:rFonts w:ascii="Arial" w:hAnsi="Arial" w:cs="Arial"/>
          <w:b/>
          <w:szCs w:val="24"/>
        </w:rPr>
      </w:pPr>
      <w:r w:rsidRPr="00C9782D">
        <w:rPr>
          <w:rFonts w:ascii="Arial" w:hAnsi="Arial" w:cs="Arial"/>
          <w:b/>
          <w:szCs w:val="24"/>
        </w:rPr>
        <w:lastRenderedPageBreak/>
        <w:t>Prerequisites to implementation of any funding advice</w:t>
      </w:r>
    </w:p>
    <w:p w:rsidR="00E45A4B" w:rsidRPr="00C9782D" w:rsidRDefault="00571D39" w:rsidP="006B29E6">
      <w:pPr>
        <w:rPr>
          <w:rFonts w:ascii="Arial" w:hAnsi="Arial" w:cs="Arial"/>
          <w:color w:val="3366FF"/>
          <w:szCs w:val="24"/>
        </w:rPr>
      </w:pPr>
      <w:r w:rsidRPr="00571D39">
        <w:t>DXA scanners are already approved for use in Australia through the TGA.</w:t>
      </w:r>
      <w:r>
        <w:rPr>
          <w:rFonts w:ascii="Arial" w:hAnsi="Arial" w:cs="Arial"/>
          <w:color w:val="3366FF"/>
          <w:szCs w:val="24"/>
        </w:rPr>
        <w:t xml:space="preserve"> </w:t>
      </w:r>
      <w:r>
        <w:rPr>
          <w:shd w:val="clear" w:color="auto" w:fill="FFFFFF"/>
        </w:rPr>
        <w:t xml:space="preserve">Four DXA scanning machines currently used in Australia </w:t>
      </w:r>
      <w:r>
        <w:rPr>
          <w:lang w:val="en-GB" w:eastAsia="ja-JP"/>
        </w:rPr>
        <w:t>are:</w:t>
      </w:r>
      <w:r w:rsidRPr="00685248">
        <w:rPr>
          <w:lang w:val="en-GB" w:eastAsia="ja-JP"/>
        </w:rPr>
        <w:t xml:space="preserve"> Hologic</w:t>
      </w:r>
      <w:r>
        <w:rPr>
          <w:lang w:val="en-GB" w:eastAsia="ja-JP"/>
        </w:rPr>
        <w:t xml:space="preserve"> QDR</w:t>
      </w:r>
      <w:r w:rsidRPr="00685248">
        <w:rPr>
          <w:lang w:val="en-GB" w:eastAsia="ja-JP"/>
        </w:rPr>
        <w:t>,</w:t>
      </w:r>
      <w:r>
        <w:rPr>
          <w:lang w:val="en-GB" w:eastAsia="ja-JP"/>
        </w:rPr>
        <w:t xml:space="preserve"> GE Medical Systems </w:t>
      </w:r>
      <w:r w:rsidRPr="00685248">
        <w:rPr>
          <w:lang w:val="en-GB" w:eastAsia="ja-JP"/>
        </w:rPr>
        <w:t xml:space="preserve">Lunar, Norland and Medilink. </w:t>
      </w:r>
      <w:r w:rsidR="006B29E6">
        <w:rPr>
          <w:lang w:val="en-US"/>
        </w:rPr>
        <w:t>All DXA BMD operators require a Radiation Use licence from their respective State Radiation Health authority before they can operate a bone densitometer as the densitometer is classified as an irradiating device. Nuclear medicine physicians and radiologists can obtain Use licences on successful completion of th</w:t>
      </w:r>
      <w:r w:rsidR="007D24D7">
        <w:rPr>
          <w:lang w:val="en-US"/>
        </w:rPr>
        <w:t xml:space="preserve">eir training as verified by their respective </w:t>
      </w:r>
      <w:r w:rsidR="006B29E6">
        <w:rPr>
          <w:lang w:val="en-US"/>
        </w:rPr>
        <w:t>colleges. Other non-medical operators are required by the State Radiation Health authorities to undergo certification to document that there is sufficient expertise to operate the bone densitometer before a Use licence is issued.</w:t>
      </w:r>
      <w:r w:rsidR="00074586" w:rsidRPr="00074586">
        <w:t xml:space="preserve"> </w:t>
      </w:r>
      <w:r w:rsidR="00074586" w:rsidRPr="00374C0C">
        <w:t xml:space="preserve">The ANZBMS </w:t>
      </w:r>
      <w:r w:rsidR="007D24D7">
        <w:t xml:space="preserve">and some universities </w:t>
      </w:r>
      <w:r w:rsidR="00074586" w:rsidRPr="00374C0C">
        <w:t>run courses which, upon completion, award participants with a Certificate of Completion in Clinical Bone Densitometry. This satisfies the requirements of radiation safety legislation in most Australian states</w:t>
      </w:r>
      <w:r w:rsidR="00074586" w:rsidRPr="00374C0C">
        <w:rPr>
          <w:color w:val="000000"/>
          <w:sz w:val="20"/>
          <w:shd w:val="clear" w:color="auto" w:fill="FFFFFF"/>
        </w:rPr>
        <w:t>.</w:t>
      </w:r>
      <w:r w:rsidR="00074586">
        <w:rPr>
          <w:color w:val="000000"/>
          <w:sz w:val="20"/>
          <w:shd w:val="clear" w:color="auto" w:fill="FFFFFF"/>
        </w:rPr>
        <w:t xml:space="preserve"> </w:t>
      </w:r>
      <w:r w:rsidR="00074586">
        <w:rPr>
          <w:lang w:val="en-US"/>
        </w:rPr>
        <w:t xml:space="preserve">Radiology and nuclear medicine trainees attend the ANZBMS course as part of their training. In terms of site accreditation, at present radiology and nuclear medicine modalities require accreditation </w:t>
      </w:r>
      <w:r w:rsidR="00006A22">
        <w:rPr>
          <w:lang w:val="en-US"/>
        </w:rPr>
        <w:t xml:space="preserve">under the Diagnostic Imaging Accreditation Scheme </w:t>
      </w:r>
      <w:r w:rsidR="00074586">
        <w:rPr>
          <w:lang w:val="en-US"/>
        </w:rPr>
        <w:t xml:space="preserve">whereas BMD measurement does not. This is because </w:t>
      </w:r>
      <w:r w:rsidR="00006A22">
        <w:rPr>
          <w:lang w:val="en-US"/>
        </w:rPr>
        <w:t xml:space="preserve">Medicare eligible items for </w:t>
      </w:r>
      <w:r w:rsidR="00074586">
        <w:rPr>
          <w:lang w:val="en-US"/>
        </w:rPr>
        <w:t xml:space="preserve">BMD measurement do not come in under the </w:t>
      </w:r>
      <w:r w:rsidR="00006A22" w:rsidRPr="00006A22">
        <w:rPr>
          <w:i/>
          <w:lang w:val="en-US"/>
        </w:rPr>
        <w:t xml:space="preserve">Health Insurance </w:t>
      </w:r>
      <w:r w:rsidR="00074586" w:rsidRPr="00006A22">
        <w:rPr>
          <w:i/>
          <w:lang w:val="en-US"/>
        </w:rPr>
        <w:t>Diagnostic Imaging Services Table</w:t>
      </w:r>
      <w:r w:rsidR="00006A22" w:rsidRPr="00006A22">
        <w:rPr>
          <w:i/>
          <w:lang w:val="en-US"/>
        </w:rPr>
        <w:t>) Regulation</w:t>
      </w:r>
      <w:r w:rsidR="00006A22" w:rsidRPr="00006A22">
        <w:rPr>
          <w:lang w:val="en-US"/>
        </w:rPr>
        <w:t>.</w:t>
      </w:r>
      <w:r w:rsidR="00006A22">
        <w:rPr>
          <w:lang w:val="en-US"/>
        </w:rPr>
        <w:t xml:space="preserve"> </w:t>
      </w:r>
      <w:r w:rsidR="00006A22">
        <w:t xml:space="preserve">Rather, it is regulated under the </w:t>
      </w:r>
      <w:r w:rsidR="00006A22">
        <w:rPr>
          <w:i/>
          <w:iCs/>
          <w:sz w:val="23"/>
          <w:szCs w:val="23"/>
        </w:rPr>
        <w:t>Health Insurance (Bone Densitometry) Determination</w:t>
      </w:r>
      <w:r w:rsidR="00006A22">
        <w:rPr>
          <w:iCs/>
          <w:sz w:val="23"/>
          <w:szCs w:val="23"/>
        </w:rPr>
        <w:t xml:space="preserve"> and the BMD Medicare eligible items are found within the </w:t>
      </w:r>
      <w:r w:rsidR="00006A22">
        <w:rPr>
          <w:i/>
          <w:iCs/>
          <w:sz w:val="23"/>
          <w:szCs w:val="23"/>
        </w:rPr>
        <w:t xml:space="preserve">Health Insurance (General Medical Services Table) </w:t>
      </w:r>
      <w:r w:rsidR="00006A22" w:rsidRPr="00006A22">
        <w:rPr>
          <w:i/>
          <w:iCs/>
          <w:sz w:val="23"/>
          <w:szCs w:val="23"/>
        </w:rPr>
        <w:t>R</w:t>
      </w:r>
      <w:r w:rsidR="00006A22">
        <w:rPr>
          <w:i/>
          <w:iCs/>
          <w:sz w:val="23"/>
          <w:szCs w:val="23"/>
        </w:rPr>
        <w:t>egulation.</w:t>
      </w:r>
    </w:p>
    <w:p w:rsidR="00E45A4B" w:rsidRPr="00C9782D" w:rsidRDefault="00E45A4B" w:rsidP="00534D10">
      <w:pPr>
        <w:numPr>
          <w:ilvl w:val="0"/>
          <w:numId w:val="6"/>
        </w:numPr>
        <w:tabs>
          <w:tab w:val="clear" w:pos="1080"/>
          <w:tab w:val="left" w:pos="567"/>
          <w:tab w:val="num" w:pos="851"/>
        </w:tabs>
        <w:spacing w:after="0"/>
        <w:ind w:left="567" w:hanging="425"/>
        <w:rPr>
          <w:rFonts w:ascii="Arial" w:hAnsi="Arial" w:cs="Arial"/>
          <w:b/>
        </w:rPr>
      </w:pPr>
      <w:r w:rsidRPr="00C9782D">
        <w:rPr>
          <w:rFonts w:ascii="Arial" w:hAnsi="Arial" w:cs="Arial"/>
          <w:b/>
        </w:rPr>
        <w:t>Proposal for public funding</w:t>
      </w:r>
    </w:p>
    <w:p w:rsidR="00333FFA" w:rsidRDefault="00333FFA" w:rsidP="00571D39">
      <w:r>
        <w:t xml:space="preserve">The proposed new MBS item is shown below. For patients with </w:t>
      </w:r>
      <w:r w:rsidR="005E1035">
        <w:t xml:space="preserve">BMD </w:t>
      </w:r>
      <w:r>
        <w:t>T-scores ≤-2.5, repeat scans are already available through the existing MBS item 12306. At age 70, patients will be eligible for MBS item 12323.</w:t>
      </w:r>
      <w:r w:rsidR="00571D39">
        <w:t xml:space="preserve"> If a patient has undergone premature menopause as a consequence of breast cancer chemotherapy treatment and is under age 45, she is eligible for MBS item 12312</w:t>
      </w:r>
      <w:r w:rsidR="008370B6">
        <w:t>.</w:t>
      </w:r>
    </w:p>
    <w:tbl>
      <w:tblPr>
        <w:tblW w:w="0" w:type="auto"/>
        <w:tblInd w:w="108" w:type="dxa"/>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333FFA" w:rsidRPr="00075E36" w:rsidTr="002155B7">
        <w:tc>
          <w:tcPr>
            <w:tcW w:w="9134" w:type="dxa"/>
          </w:tcPr>
          <w:p w:rsidR="00333FFA" w:rsidRPr="00075E36" w:rsidRDefault="00333FFA" w:rsidP="002155B7">
            <w:pPr>
              <w:pStyle w:val="TableText"/>
              <w:rPr>
                <w:lang w:eastAsia="ja-JP"/>
              </w:rPr>
            </w:pPr>
            <w:r w:rsidRPr="00075E36">
              <w:rPr>
                <w:lang w:eastAsia="ja-JP"/>
              </w:rPr>
              <w:t>Category 2 – DIAGNOSTIC PROCEDURES AND INVESTIGATIONS, Bone Densitometry</w:t>
            </w:r>
          </w:p>
        </w:tc>
      </w:tr>
      <w:tr w:rsidR="00333FFA" w:rsidRPr="00075E36" w:rsidTr="002155B7">
        <w:tc>
          <w:tcPr>
            <w:tcW w:w="9134" w:type="dxa"/>
          </w:tcPr>
          <w:p w:rsidR="00333FFA" w:rsidRPr="00075E36" w:rsidRDefault="00333FFA" w:rsidP="002155B7">
            <w:pPr>
              <w:pStyle w:val="TableText"/>
              <w:rPr>
                <w:lang w:eastAsia="ja-JP"/>
              </w:rPr>
            </w:pPr>
            <w:r w:rsidRPr="00075E36">
              <w:rPr>
                <w:lang w:eastAsia="ja-JP"/>
              </w:rPr>
              <w:t xml:space="preserve">MBS </w:t>
            </w:r>
            <w:r>
              <w:rPr>
                <w:lang w:eastAsia="ja-JP"/>
              </w:rPr>
              <w:t>XXXXX</w:t>
            </w:r>
          </w:p>
          <w:p w:rsidR="00333FFA" w:rsidRPr="00075E36" w:rsidRDefault="00333FFA" w:rsidP="002155B7">
            <w:pPr>
              <w:pStyle w:val="TableText"/>
              <w:rPr>
                <w:lang w:eastAsia="ja-JP"/>
              </w:rPr>
            </w:pPr>
            <w:r w:rsidRPr="00075E36">
              <w:rPr>
                <w:lang w:eastAsia="ja-JP"/>
              </w:rPr>
              <w:t xml:space="preserve">Bone densitometry (performed by a specialist or consultant physician where the patient is referred </w:t>
            </w:r>
            <w:r>
              <w:rPr>
                <w:lang w:eastAsia="ja-JP"/>
              </w:rPr>
              <w:t>by another medical practitioner</w:t>
            </w:r>
            <w:r w:rsidRPr="00075E36">
              <w:rPr>
                <w:lang w:eastAsia="ja-JP"/>
              </w:rPr>
              <w:t xml:space="preserve">), using </w:t>
            </w:r>
            <w:r w:rsidRPr="00075E36">
              <w:rPr>
                <w:b/>
                <w:lang w:eastAsia="ja-JP"/>
              </w:rPr>
              <w:t>dual energy X-ray absorptiometry</w:t>
            </w:r>
            <w:r w:rsidRPr="00075E36">
              <w:rPr>
                <w:lang w:eastAsia="ja-JP"/>
              </w:rPr>
              <w:t xml:space="preserve">, for the measurement of bone mineral density in </w:t>
            </w:r>
            <w:r w:rsidRPr="00075E36">
              <w:rPr>
                <w:b/>
                <w:lang w:eastAsia="ja-JP"/>
              </w:rPr>
              <w:t>patients with breast cancer who are currently being treated with</w:t>
            </w:r>
            <w:r>
              <w:rPr>
                <w:b/>
                <w:lang w:eastAsia="ja-JP"/>
              </w:rPr>
              <w:t xml:space="preserve"> or are about to commence treatment with</w:t>
            </w:r>
            <w:r w:rsidRPr="00075E36">
              <w:rPr>
                <w:b/>
                <w:lang w:eastAsia="ja-JP"/>
              </w:rPr>
              <w:t xml:space="preserve"> aromatase inhibitors</w:t>
            </w:r>
            <w:r w:rsidRPr="00075E36">
              <w:rPr>
                <w:lang w:eastAsia="ja-JP"/>
              </w:rPr>
              <w:t>.</w:t>
            </w:r>
          </w:p>
          <w:p w:rsidR="00333FFA" w:rsidRDefault="00333FFA" w:rsidP="002155B7">
            <w:pPr>
              <w:pStyle w:val="TableText"/>
              <w:rPr>
                <w:lang w:eastAsia="ja-JP"/>
              </w:rPr>
            </w:pPr>
          </w:p>
          <w:p w:rsidR="00333FFA" w:rsidRPr="00075E36" w:rsidRDefault="00333FFA" w:rsidP="002155B7">
            <w:pPr>
              <w:pStyle w:val="TableText"/>
              <w:rPr>
                <w:lang w:eastAsia="ja-JP"/>
              </w:rPr>
            </w:pPr>
            <w:r w:rsidRPr="00075E36">
              <w:rPr>
                <w:lang w:eastAsia="ja-JP"/>
              </w:rPr>
              <w:t xml:space="preserve">Measurement of 2 or more sites – </w:t>
            </w:r>
            <w:r w:rsidRPr="00075E36">
              <w:rPr>
                <w:b/>
                <w:lang w:eastAsia="ja-JP"/>
              </w:rPr>
              <w:t>1 service only in a period of 12 consecutive months</w:t>
            </w:r>
            <w:r w:rsidRPr="00075E36">
              <w:rPr>
                <w:lang w:eastAsia="ja-JP"/>
              </w:rPr>
              <w:t xml:space="preserve"> - including interpretation and report; not being a service associated with a service to which item 12306, 12309, 12312, 12315, 12318, 12321 or 12323 applies </w:t>
            </w:r>
          </w:p>
          <w:p w:rsidR="00333FFA" w:rsidRPr="00075E36" w:rsidRDefault="00333FFA" w:rsidP="002155B7">
            <w:pPr>
              <w:pStyle w:val="TableText"/>
              <w:rPr>
                <w:color w:val="000000"/>
                <w:lang w:eastAsia="ja-JP"/>
              </w:rPr>
            </w:pPr>
            <w:r w:rsidRPr="00AC2FF6">
              <w:rPr>
                <w:b/>
                <w:lang w:eastAsia="ja-JP"/>
              </w:rPr>
              <w:t>Fee:</w:t>
            </w:r>
            <w:r w:rsidRPr="00075E36">
              <w:rPr>
                <w:lang w:eastAsia="ja-JP"/>
              </w:rPr>
              <w:t xml:space="preserve"> $10</w:t>
            </w:r>
            <w:r>
              <w:rPr>
                <w:lang w:eastAsia="ja-JP"/>
              </w:rPr>
              <w:t>2</w:t>
            </w:r>
            <w:r w:rsidRPr="00075E36">
              <w:rPr>
                <w:lang w:eastAsia="ja-JP"/>
              </w:rPr>
              <w:t>.</w:t>
            </w:r>
            <w:r>
              <w:rPr>
                <w:lang w:eastAsia="ja-JP"/>
              </w:rPr>
              <w:t>4</w:t>
            </w:r>
            <w:r w:rsidRPr="00075E36">
              <w:rPr>
                <w:lang w:eastAsia="ja-JP"/>
              </w:rPr>
              <w:t>0</w:t>
            </w:r>
            <w:r>
              <w:rPr>
                <w:lang w:eastAsia="ja-JP"/>
              </w:rPr>
              <w:t xml:space="preserve"> </w:t>
            </w:r>
            <w:r w:rsidRPr="00AC2FF6">
              <w:rPr>
                <w:b/>
                <w:lang w:eastAsia="ja-JP"/>
              </w:rPr>
              <w:t>Benefit:</w:t>
            </w:r>
            <w:r w:rsidRPr="00075E36">
              <w:rPr>
                <w:lang w:eastAsia="ja-JP"/>
              </w:rPr>
              <w:t xml:space="preserve"> 75% = $7</w:t>
            </w:r>
            <w:r>
              <w:rPr>
                <w:lang w:eastAsia="ja-JP"/>
              </w:rPr>
              <w:t>6</w:t>
            </w:r>
            <w:r w:rsidRPr="00075E36">
              <w:rPr>
                <w:lang w:eastAsia="ja-JP"/>
              </w:rPr>
              <w:t>.</w:t>
            </w:r>
            <w:r>
              <w:rPr>
                <w:lang w:eastAsia="ja-JP"/>
              </w:rPr>
              <w:t>8</w:t>
            </w:r>
            <w:r w:rsidRPr="00075E36">
              <w:rPr>
                <w:lang w:eastAsia="ja-JP"/>
              </w:rPr>
              <w:t>0   85% = $8</w:t>
            </w:r>
            <w:r>
              <w:rPr>
                <w:lang w:eastAsia="ja-JP"/>
              </w:rPr>
              <w:t>7</w:t>
            </w:r>
            <w:r w:rsidRPr="00075E36">
              <w:rPr>
                <w:lang w:eastAsia="ja-JP"/>
              </w:rPr>
              <w:t>.</w:t>
            </w:r>
            <w:r>
              <w:rPr>
                <w:lang w:eastAsia="ja-JP"/>
              </w:rPr>
              <w:t>05</w:t>
            </w:r>
          </w:p>
          <w:p w:rsidR="00333FFA" w:rsidRDefault="00333FFA" w:rsidP="002155B7">
            <w:pPr>
              <w:pStyle w:val="TableText"/>
              <w:rPr>
                <w:lang w:eastAsia="ja-JP"/>
              </w:rPr>
            </w:pPr>
          </w:p>
          <w:p w:rsidR="00333FFA" w:rsidRPr="00320827" w:rsidRDefault="00333FFA" w:rsidP="002155B7">
            <w:pPr>
              <w:pStyle w:val="TableText"/>
              <w:rPr>
                <w:lang w:eastAsia="ja-JP"/>
              </w:rPr>
            </w:pPr>
            <w:r w:rsidRPr="00320827">
              <w:rPr>
                <w:lang w:eastAsia="ja-JP"/>
              </w:rPr>
              <w:t>[Relevant explanatory notes]</w:t>
            </w:r>
          </w:p>
          <w:p w:rsidR="00333FFA" w:rsidRPr="00075E36" w:rsidRDefault="00333FFA" w:rsidP="002155B7">
            <w:pPr>
              <w:pStyle w:val="TableText"/>
              <w:rPr>
                <w:lang w:eastAsia="ja-JP"/>
              </w:rPr>
            </w:pPr>
            <w:r w:rsidRPr="00320827">
              <w:rPr>
                <w:lang w:eastAsia="ja-JP"/>
              </w:rPr>
              <w:t>D1.27, Bone Densitometry – (Items 12306 to 12323)</w:t>
            </w:r>
          </w:p>
        </w:tc>
      </w:tr>
    </w:tbl>
    <w:p w:rsidR="00E45A4B" w:rsidRDefault="00E45A4B" w:rsidP="00006A22"/>
    <w:p w:rsidR="00006A22" w:rsidRDefault="00074586" w:rsidP="00006A22">
      <w:r>
        <w:t>Currently,</w:t>
      </w:r>
      <w:r w:rsidR="00006A22" w:rsidRPr="00006A22">
        <w:t xml:space="preserve"> </w:t>
      </w:r>
      <w:r w:rsidR="00006A22">
        <w:t>all BMD Medicare eligible items within the</w:t>
      </w:r>
      <w:r w:rsidR="00006A22" w:rsidRPr="002630D4">
        <w:rPr>
          <w:i/>
          <w:iCs/>
          <w:sz w:val="23"/>
          <w:szCs w:val="23"/>
        </w:rPr>
        <w:t xml:space="preserve"> </w:t>
      </w:r>
      <w:r w:rsidR="00006A22">
        <w:rPr>
          <w:i/>
          <w:iCs/>
          <w:sz w:val="23"/>
          <w:szCs w:val="23"/>
        </w:rPr>
        <w:t xml:space="preserve">Health Insurance (Bone Densitometry) Determination </w:t>
      </w:r>
      <w:r w:rsidR="00006A22">
        <w:rPr>
          <w:iCs/>
          <w:sz w:val="23"/>
          <w:szCs w:val="23"/>
        </w:rPr>
        <w:t xml:space="preserve">require BMD to be </w:t>
      </w:r>
      <w:r w:rsidR="00006A22" w:rsidRPr="002630D4">
        <w:rPr>
          <w:iCs/>
          <w:sz w:val="23"/>
          <w:szCs w:val="23"/>
        </w:rPr>
        <w:t>performed by a specialist or consultant physician in the p</w:t>
      </w:r>
      <w:r w:rsidR="00006A22">
        <w:rPr>
          <w:iCs/>
          <w:sz w:val="23"/>
          <w:szCs w:val="23"/>
        </w:rPr>
        <w:t xml:space="preserve">ractice of his or her specialty. </w:t>
      </w:r>
      <w:r w:rsidR="007D24D7">
        <w:t xml:space="preserve">This requirement is opposed by </w:t>
      </w:r>
      <w:r>
        <w:t>the ANZBMS, Osteoporosis Australia, RANZCR and others</w:t>
      </w:r>
      <w:r w:rsidR="007D24D7">
        <w:t>. They believe</w:t>
      </w:r>
      <w:r>
        <w:t xml:space="preserve"> that there should not be any issue with an appropriately certified BMD operator performing BMD measurement under the supervision of a specialist physician. The test is relatively simple (relative to ECG, EEG, </w:t>
      </w:r>
      <w:r w:rsidR="007D24D7">
        <w:t xml:space="preserve">more complicated </w:t>
      </w:r>
      <w:r>
        <w:t>audiology testing etc) a</w:t>
      </w:r>
      <w:r w:rsidR="007D24D7">
        <w:t>nd can be deleg</w:t>
      </w:r>
      <w:r>
        <w:t xml:space="preserve">ated without the need for personal onsite attendance of the specialist physician. </w:t>
      </w:r>
      <w:r w:rsidR="007D24D7">
        <w:t>However, t</w:t>
      </w:r>
      <w:r>
        <w:t xml:space="preserve">he specialist physician </w:t>
      </w:r>
      <w:r w:rsidR="007D24D7">
        <w:t>needs to review and interpret the study and report the results.</w:t>
      </w:r>
      <w:r w:rsidR="00006A22" w:rsidRPr="00006A22">
        <w:t xml:space="preserve"> </w:t>
      </w:r>
      <w:r w:rsidR="00006A22">
        <w:t xml:space="preserve">The MSAC policy area agrees that this requirement needs reviewing, however the policy area requests </w:t>
      </w:r>
      <w:r w:rsidR="00006A22">
        <w:lastRenderedPageBreak/>
        <w:t xml:space="preserve">that minimum qualifications of BMD personnel be clarified and with the change, a review on the rebate be undertaken to ensure value for money. </w:t>
      </w:r>
    </w:p>
    <w:p w:rsidR="00E45A4B" w:rsidRPr="00C9782D" w:rsidRDefault="00E45A4B" w:rsidP="00F6430A">
      <w:pPr>
        <w:tabs>
          <w:tab w:val="left" w:pos="567"/>
          <w:tab w:val="num" w:pos="851"/>
          <w:tab w:val="left" w:pos="1140"/>
        </w:tabs>
        <w:spacing w:after="0"/>
        <w:ind w:left="567" w:hanging="425"/>
        <w:rPr>
          <w:rFonts w:ascii="Arial" w:hAnsi="Arial" w:cs="Arial"/>
          <w:b/>
          <w:szCs w:val="24"/>
        </w:rPr>
      </w:pPr>
      <w:r w:rsidRPr="00C9782D">
        <w:rPr>
          <w:rFonts w:ascii="Arial" w:hAnsi="Arial" w:cs="Arial"/>
          <w:b/>
          <w:szCs w:val="24"/>
        </w:rPr>
        <w:t>5.</w:t>
      </w:r>
      <w:r w:rsidRPr="00C9782D">
        <w:rPr>
          <w:rFonts w:ascii="Arial" w:hAnsi="Arial" w:cs="Arial"/>
          <w:b/>
          <w:szCs w:val="24"/>
        </w:rPr>
        <w:tab/>
        <w:t>Consumer Impact Statement</w:t>
      </w:r>
    </w:p>
    <w:p w:rsidR="008370B6" w:rsidRDefault="008370B6" w:rsidP="005E1035">
      <w:pPr>
        <w:spacing w:after="0"/>
      </w:pPr>
      <w:r>
        <w:t xml:space="preserve">On 8 November 2012, the Breast Cancer Network Australia (BCNA) provided feedback on MSAC application 1313. The BCNA welcomes and supports this application in order to assist women with the significant financial burden associated with their diagnosis, treatment and care. They reported survey results that suggest 30% </w:t>
      </w:r>
      <w:r w:rsidRPr="00EC7104">
        <w:t xml:space="preserve">cent of women </w:t>
      </w:r>
      <w:r>
        <w:t xml:space="preserve">taking aromatase inhibitors </w:t>
      </w:r>
      <w:r w:rsidRPr="00EC7104">
        <w:t xml:space="preserve">had a </w:t>
      </w:r>
      <w:r>
        <w:t xml:space="preserve">DXA </w:t>
      </w:r>
      <w:r w:rsidRPr="00EC7104">
        <w:t>test every</w:t>
      </w:r>
      <w:r>
        <w:t xml:space="preserve"> 12</w:t>
      </w:r>
      <w:r w:rsidRPr="00EC7104">
        <w:t xml:space="preserve"> months, and almost 30% every two years. Some women reported having up to six DXA tests in conjunction with their aromatase inhibitor </w:t>
      </w:r>
      <w:r>
        <w:t>treatment, fully paid by the patient.</w:t>
      </w:r>
    </w:p>
    <w:p w:rsidR="008370B6" w:rsidRDefault="008370B6" w:rsidP="008370B6">
      <w:pPr>
        <w:pStyle w:val="Quote"/>
        <w:spacing w:after="0"/>
        <w:ind w:left="0"/>
      </w:pPr>
    </w:p>
    <w:p w:rsidR="00E45A4B" w:rsidRPr="00C9782D" w:rsidRDefault="00E45A4B" w:rsidP="00F6430A">
      <w:pPr>
        <w:tabs>
          <w:tab w:val="left" w:pos="567"/>
          <w:tab w:val="num" w:pos="851"/>
          <w:tab w:val="left" w:pos="1140"/>
        </w:tabs>
        <w:spacing w:after="0"/>
        <w:ind w:left="567" w:hanging="425"/>
        <w:rPr>
          <w:rFonts w:ascii="Arial" w:hAnsi="Arial" w:cs="Arial"/>
          <w:color w:val="3366FF"/>
          <w:szCs w:val="24"/>
        </w:rPr>
      </w:pPr>
      <w:r w:rsidRPr="00C9782D">
        <w:rPr>
          <w:rFonts w:ascii="Arial" w:hAnsi="Arial" w:cs="Arial"/>
          <w:b/>
          <w:szCs w:val="24"/>
        </w:rPr>
        <w:t xml:space="preserve">6. </w:t>
      </w:r>
      <w:r w:rsidRPr="00C9782D">
        <w:rPr>
          <w:rFonts w:ascii="Arial" w:hAnsi="Arial" w:cs="Arial"/>
          <w:b/>
          <w:szCs w:val="24"/>
        </w:rPr>
        <w:tab/>
        <w:t>Proposed intervention’s place in clinical management</w:t>
      </w:r>
    </w:p>
    <w:p w:rsidR="00E45A4B" w:rsidRPr="00C9782D" w:rsidRDefault="008370B6" w:rsidP="00193C01">
      <w:pPr>
        <w:spacing w:after="0"/>
      </w:pPr>
      <w:r>
        <w:t>T</w:t>
      </w:r>
      <w:r w:rsidR="00E45A4B" w:rsidRPr="00C9782D">
        <w:t xml:space="preserve">he proposed intervention </w:t>
      </w:r>
      <w:r>
        <w:t>is to be used</w:t>
      </w:r>
      <w:r w:rsidRPr="008370B6">
        <w:t xml:space="preserve"> </w:t>
      </w:r>
      <w:r w:rsidRPr="00C9782D">
        <w:t>where no current intervention is publicly f</w:t>
      </w:r>
      <w:r>
        <w:t>unded. DXA scans are already commonly used in the proposed patient group.</w:t>
      </w:r>
      <w:r w:rsidR="00E10C12" w:rsidRPr="00E10C12">
        <w:t xml:space="preserve"> </w:t>
      </w:r>
      <w:r w:rsidR="00E10C12">
        <w:t xml:space="preserve">The clinical algorithm states that patients on aromatase inhibitors would be assessed at baseline for osteoporosis. If they have osteoporosis, patients would start anti-resorptives, or otherwise they would be re-tested after </w:t>
      </w:r>
      <w:r w:rsidR="004458B0">
        <w:t>two</w:t>
      </w:r>
      <w:r w:rsidR="00E10C12">
        <w:t xml:space="preserve"> years. If at this time patients have osteoporosis, they would start anti-resorptives or if not, would only receive a third</w:t>
      </w:r>
      <w:r w:rsidR="00CB5F93">
        <w:t xml:space="preserve"> DXA and/or anti-resorptives </w:t>
      </w:r>
      <w:r w:rsidR="00E10C12">
        <w:t>if they develop skeletal metastases or premature menopause.  The</w:t>
      </w:r>
      <w:r w:rsidR="00E45A4B" w:rsidRPr="00C9782D">
        <w:t xml:space="preserve"> clinical evidence addressed the requirements of the agreed </w:t>
      </w:r>
      <w:r w:rsidR="006E0C8D">
        <w:t>Protocol</w:t>
      </w:r>
      <w:r w:rsidR="00E45A4B" w:rsidRPr="00C9782D">
        <w:t>.</w:t>
      </w:r>
    </w:p>
    <w:p w:rsidR="00E45A4B" w:rsidRPr="00C9782D" w:rsidRDefault="00E45A4B" w:rsidP="00F6430A">
      <w:pPr>
        <w:tabs>
          <w:tab w:val="left" w:pos="567"/>
          <w:tab w:val="num" w:pos="851"/>
          <w:tab w:val="left" w:pos="1140"/>
        </w:tabs>
        <w:spacing w:after="0"/>
        <w:ind w:left="567" w:hanging="425"/>
        <w:rPr>
          <w:szCs w:val="24"/>
        </w:rPr>
      </w:pPr>
    </w:p>
    <w:p w:rsidR="00E45A4B" w:rsidRPr="00C9782D" w:rsidRDefault="00E45A4B" w:rsidP="00F6430A">
      <w:pPr>
        <w:tabs>
          <w:tab w:val="left" w:pos="567"/>
          <w:tab w:val="num" w:pos="851"/>
          <w:tab w:val="left" w:pos="1140"/>
        </w:tabs>
        <w:spacing w:after="0"/>
        <w:ind w:left="567" w:hanging="425"/>
        <w:rPr>
          <w:rFonts w:ascii="Arial" w:hAnsi="Arial" w:cs="Arial"/>
          <w:b/>
          <w:i/>
          <w:szCs w:val="24"/>
        </w:rPr>
      </w:pPr>
      <w:r w:rsidRPr="00C9782D">
        <w:rPr>
          <w:rFonts w:ascii="Arial" w:hAnsi="Arial" w:cs="Arial"/>
          <w:b/>
        </w:rPr>
        <w:t>7.</w:t>
      </w:r>
      <w:r w:rsidRPr="00C9782D">
        <w:rPr>
          <w:rFonts w:ascii="Arial" w:hAnsi="Arial" w:cs="Arial"/>
          <w:b/>
        </w:rPr>
        <w:tab/>
        <w:t xml:space="preserve">Other </w:t>
      </w:r>
      <w:r w:rsidRPr="00C9782D">
        <w:rPr>
          <w:rFonts w:ascii="Arial" w:hAnsi="Arial" w:cs="Arial"/>
          <w:b/>
          <w:szCs w:val="24"/>
        </w:rPr>
        <w:t>options</w:t>
      </w:r>
      <w:r w:rsidRPr="00C9782D">
        <w:rPr>
          <w:rFonts w:ascii="Arial" w:hAnsi="Arial" w:cs="Arial"/>
          <w:b/>
        </w:rPr>
        <w:t xml:space="preserve"> for MSAC consideration</w:t>
      </w:r>
    </w:p>
    <w:p w:rsidR="00E45A4B" w:rsidRDefault="00177EF2" w:rsidP="00177EF2">
      <w:pPr>
        <w:spacing w:after="0"/>
      </w:pPr>
      <w:r>
        <w:t>Nil</w:t>
      </w:r>
    </w:p>
    <w:p w:rsidR="00177EF2" w:rsidRPr="00C9782D" w:rsidRDefault="00177EF2" w:rsidP="00F6430A">
      <w:pPr>
        <w:tabs>
          <w:tab w:val="left" w:pos="567"/>
          <w:tab w:val="num" w:pos="851"/>
          <w:tab w:val="left" w:pos="1140"/>
        </w:tabs>
        <w:spacing w:after="0"/>
        <w:ind w:left="567" w:hanging="425"/>
        <w:rPr>
          <w:szCs w:val="24"/>
        </w:rPr>
      </w:pPr>
    </w:p>
    <w:p w:rsidR="00E45A4B" w:rsidRPr="00C9782D" w:rsidRDefault="00E45A4B" w:rsidP="00F6430A">
      <w:pPr>
        <w:tabs>
          <w:tab w:val="left" w:pos="567"/>
          <w:tab w:val="num" w:pos="851"/>
          <w:tab w:val="left" w:pos="1140"/>
        </w:tabs>
        <w:spacing w:after="0"/>
        <w:ind w:left="567" w:hanging="425"/>
        <w:rPr>
          <w:rFonts w:ascii="Arial" w:hAnsi="Arial" w:cs="Arial"/>
          <w:b/>
          <w:szCs w:val="24"/>
        </w:rPr>
      </w:pPr>
      <w:r w:rsidRPr="00C9782D">
        <w:rPr>
          <w:rFonts w:ascii="Arial" w:hAnsi="Arial" w:cs="Arial"/>
          <w:b/>
          <w:szCs w:val="24"/>
        </w:rPr>
        <w:t>8.</w:t>
      </w:r>
      <w:r w:rsidRPr="00C9782D">
        <w:rPr>
          <w:rFonts w:ascii="Arial" w:hAnsi="Arial" w:cs="Arial"/>
          <w:b/>
          <w:szCs w:val="24"/>
        </w:rPr>
        <w:tab/>
        <w:t>Comparator to the proposed intervention</w:t>
      </w:r>
    </w:p>
    <w:p w:rsidR="002B73E5" w:rsidRDefault="00E10C12" w:rsidP="00E32D61">
      <w:pPr>
        <w:spacing w:after="0"/>
        <w:rPr>
          <w:rFonts w:ascii="Arial" w:hAnsi="Arial" w:cs="Arial"/>
          <w:color w:val="3366FF"/>
          <w:szCs w:val="24"/>
        </w:rPr>
      </w:pPr>
      <w:r>
        <w:t xml:space="preserve">In the agreed final </w:t>
      </w:r>
      <w:r w:rsidR="006E0C8D">
        <w:t>Protocol</w:t>
      </w:r>
      <w:r>
        <w:t xml:space="preserve">, the comparator for the intervention DXA scan plus </w:t>
      </w:r>
      <w:r w:rsidR="008752C9">
        <w:t>anti-resorptive</w:t>
      </w:r>
      <w:r>
        <w:t xml:space="preserve"> treatment is fracture risk assessment (without DXA scan) and lifestyle </w:t>
      </w:r>
      <w:r w:rsidR="002B73E5">
        <w:t>advice with or without</w:t>
      </w:r>
      <w:r>
        <w:t xml:space="preserve"> vitamin supplements (without anti-resorptive treatment). Vitamin supplements include calcium and vitamin D</w:t>
      </w:r>
      <w:r w:rsidR="00CB5F93">
        <w:rPr>
          <w:vertAlign w:val="subscript"/>
        </w:rPr>
        <w:t>3</w:t>
      </w:r>
      <w:r w:rsidR="00E45A4B" w:rsidRPr="00C9782D">
        <w:rPr>
          <w:rFonts w:ascii="Arial" w:hAnsi="Arial" w:cs="Arial"/>
          <w:color w:val="3366FF"/>
          <w:szCs w:val="24"/>
        </w:rPr>
        <w:t>.</w:t>
      </w:r>
      <w:r w:rsidR="009F4801">
        <w:rPr>
          <w:rFonts w:ascii="Arial" w:hAnsi="Arial" w:cs="Arial"/>
          <w:color w:val="3366FF"/>
          <w:szCs w:val="24"/>
        </w:rPr>
        <w:t xml:space="preserve"> </w:t>
      </w:r>
      <w:r w:rsidR="002B73E5" w:rsidRPr="002B73E5">
        <w:t xml:space="preserve">The comparator is </w:t>
      </w:r>
      <w:r w:rsidR="002B73E5">
        <w:t xml:space="preserve">somewhat </w:t>
      </w:r>
      <w:r w:rsidR="002B73E5" w:rsidRPr="002B73E5">
        <w:t xml:space="preserve">inconsistent with the clinical decision algorithm because lifestyle advice with or without supplements occurs </w:t>
      </w:r>
      <w:r w:rsidR="002B73E5" w:rsidRPr="002B73E5">
        <w:rPr>
          <w:u w:val="single"/>
        </w:rPr>
        <w:t>in addition to</w:t>
      </w:r>
      <w:r w:rsidR="002B73E5" w:rsidRPr="002B73E5">
        <w:t xml:space="preserve"> a baseline BMD measurement by DXA.</w:t>
      </w:r>
      <w:r w:rsidR="00E86E70">
        <w:t xml:space="preserve"> Calcium/vitamin D</w:t>
      </w:r>
      <w:r w:rsidR="00E86E70">
        <w:rPr>
          <w:vertAlign w:val="subscript"/>
        </w:rPr>
        <w:t>3</w:t>
      </w:r>
      <w:r w:rsidR="00E86E70">
        <w:t xml:space="preserve"> supplements were also permitted in the major clinical trials presented in this report.</w:t>
      </w:r>
    </w:p>
    <w:p w:rsidR="002B73E5" w:rsidRDefault="002B73E5" w:rsidP="00E32D61">
      <w:pPr>
        <w:spacing w:after="0"/>
        <w:rPr>
          <w:rFonts w:ascii="Arial" w:hAnsi="Arial" w:cs="Arial"/>
          <w:color w:val="3366FF"/>
          <w:szCs w:val="24"/>
        </w:rPr>
      </w:pPr>
    </w:p>
    <w:p w:rsidR="00E10C12" w:rsidRPr="009F4801" w:rsidRDefault="00E10C12" w:rsidP="00E32D61">
      <w:pPr>
        <w:spacing w:after="0"/>
      </w:pPr>
      <w:r>
        <w:t xml:space="preserve">Current MBS items for the comparators include vitamin D testing (MBS items 66608, 66609) and physician consultations (MBS items: </w:t>
      </w:r>
      <w:r w:rsidR="00E86E70">
        <w:t>23, etc</w:t>
      </w:r>
      <w:r>
        <w:t xml:space="preserve">). </w:t>
      </w:r>
      <w:r w:rsidR="009F4801">
        <w:t xml:space="preserve">In practice, it may be usual to see fracture risk assessment and lifestyle/vitamin advice given in addition to DXA scan </w:t>
      </w:r>
      <w:r w:rsidR="00E86E70">
        <w:t xml:space="preserve">and anti-resorptive treatment. </w:t>
      </w:r>
      <w:r w:rsidR="009F4801">
        <w:t>Anti-resorptive combination products with calcium and vitamin D</w:t>
      </w:r>
      <w:r w:rsidR="009F4801">
        <w:rPr>
          <w:vertAlign w:val="subscript"/>
        </w:rPr>
        <w:t>3</w:t>
      </w:r>
      <w:r w:rsidR="009F4801">
        <w:t xml:space="preserve"> are currently prescribed on the PBS </w:t>
      </w:r>
      <w:r w:rsidR="00E32D61">
        <w:t>and are increasing in usage.</w:t>
      </w:r>
    </w:p>
    <w:p w:rsidR="00E45A4B" w:rsidRPr="00C9782D" w:rsidRDefault="00E45A4B" w:rsidP="00F6430A">
      <w:pPr>
        <w:tabs>
          <w:tab w:val="left" w:pos="567"/>
          <w:tab w:val="num" w:pos="851"/>
          <w:tab w:val="left" w:pos="1140"/>
        </w:tabs>
        <w:spacing w:after="0"/>
        <w:ind w:left="567" w:hanging="425"/>
        <w:rPr>
          <w:szCs w:val="24"/>
        </w:rPr>
      </w:pPr>
    </w:p>
    <w:p w:rsidR="00E45A4B" w:rsidRPr="00C9782D" w:rsidRDefault="00E45A4B" w:rsidP="00534D10">
      <w:pPr>
        <w:numPr>
          <w:ilvl w:val="0"/>
          <w:numId w:val="8"/>
        </w:numPr>
        <w:tabs>
          <w:tab w:val="clear" w:pos="720"/>
          <w:tab w:val="left" w:pos="567"/>
          <w:tab w:val="num" w:pos="851"/>
          <w:tab w:val="left" w:pos="1140"/>
        </w:tabs>
        <w:spacing w:after="0"/>
        <w:ind w:left="567" w:hanging="425"/>
        <w:rPr>
          <w:rFonts w:ascii="Arial" w:hAnsi="Arial" w:cs="Arial"/>
          <w:b/>
          <w:szCs w:val="24"/>
        </w:rPr>
      </w:pPr>
      <w:r w:rsidRPr="00C9782D">
        <w:rPr>
          <w:rFonts w:ascii="Arial" w:hAnsi="Arial" w:cs="Arial"/>
          <w:b/>
          <w:szCs w:val="24"/>
        </w:rPr>
        <w:t>Comparative safety</w:t>
      </w:r>
    </w:p>
    <w:p w:rsidR="00E32D61" w:rsidRPr="00E32D61" w:rsidRDefault="00E32D61" w:rsidP="00E32D61">
      <w:pPr>
        <w:spacing w:after="0"/>
        <w:rPr>
          <w:b/>
          <w:u w:val="single"/>
        </w:rPr>
      </w:pPr>
      <w:r w:rsidRPr="00E32D61">
        <w:rPr>
          <w:b/>
          <w:u w:val="single"/>
        </w:rPr>
        <w:t>DXA safety</w:t>
      </w:r>
    </w:p>
    <w:p w:rsidR="00193C01" w:rsidRDefault="00E10C12" w:rsidP="00193C01">
      <w:r>
        <w:t xml:space="preserve">There are no studies identified that assessed the safety of DXA scans in this patient group. </w:t>
      </w:r>
      <w:r w:rsidR="00193C01">
        <w:t xml:space="preserve">DXA scans are regarded as non-invasive, safe </w:t>
      </w:r>
      <w:r w:rsidR="00E32D61">
        <w:t xml:space="preserve">and </w:t>
      </w:r>
      <w:r w:rsidR="00193C01">
        <w:t xml:space="preserve">are </w:t>
      </w:r>
      <w:r w:rsidR="00E86E70">
        <w:t xml:space="preserve">widely available in Australia. </w:t>
      </w:r>
      <w:r w:rsidR="00193C01">
        <w:t xml:space="preserve">The main concern for DXA scans is the emission of radiation and the accumulation of radiation from multiple scans over time. The main sources of evidence on DXA safety were </w:t>
      </w:r>
      <w:r w:rsidR="005E1035">
        <w:t xml:space="preserve">a) a review by Njeh CF </w:t>
      </w:r>
      <w:r w:rsidR="005E1035" w:rsidRPr="005E1035">
        <w:rPr>
          <w:i/>
        </w:rPr>
        <w:t>et al.</w:t>
      </w:r>
      <w:r w:rsidR="005E1035">
        <w:t xml:space="preserve"> (1999) </w:t>
      </w:r>
      <w:r w:rsidR="00193C01">
        <w:t xml:space="preserve">and </w:t>
      </w:r>
      <w:r w:rsidR="005E1035">
        <w:t xml:space="preserve">b) </w:t>
      </w:r>
      <w:r w:rsidR="00193C01">
        <w:t xml:space="preserve">an observational study by </w:t>
      </w:r>
      <w:r w:rsidR="00193C01" w:rsidRPr="00904582">
        <w:t xml:space="preserve">Bandirali </w:t>
      </w:r>
      <w:r w:rsidR="00193C01" w:rsidRPr="0061023D">
        <w:rPr>
          <w:i/>
        </w:rPr>
        <w:t>et al.</w:t>
      </w:r>
      <w:r w:rsidR="00193C01" w:rsidRPr="00904582">
        <w:t xml:space="preserve"> (2013)</w:t>
      </w:r>
      <w:r w:rsidR="00193C01">
        <w:rPr>
          <w:shd w:val="clear" w:color="auto" w:fill="FFFFFF"/>
        </w:rPr>
        <w:t>. DXA scans emit negligible a</w:t>
      </w:r>
      <w:r w:rsidR="00715BA8">
        <w:rPr>
          <w:shd w:val="clear" w:color="auto" w:fill="FFFFFF"/>
        </w:rPr>
        <w:t xml:space="preserve">mounts of radiation and below </w:t>
      </w:r>
      <w:r w:rsidR="00193C01">
        <w:rPr>
          <w:shd w:val="clear" w:color="auto" w:fill="FFFFFF"/>
        </w:rPr>
        <w:t>background levels.</w:t>
      </w:r>
    </w:p>
    <w:p w:rsidR="00E32D61" w:rsidRPr="00E32D61" w:rsidRDefault="00E32D61" w:rsidP="00E32D61">
      <w:pPr>
        <w:spacing w:after="0"/>
        <w:rPr>
          <w:b/>
          <w:u w:val="single"/>
        </w:rPr>
      </w:pPr>
      <w:r w:rsidRPr="00E32D61">
        <w:rPr>
          <w:b/>
          <w:u w:val="single"/>
        </w:rPr>
        <w:t>Anti-resorptive treatment safety</w:t>
      </w:r>
    </w:p>
    <w:p w:rsidR="00193C01" w:rsidRDefault="00193C01" w:rsidP="00E32D61">
      <w:pPr>
        <w:spacing w:after="0"/>
      </w:pPr>
      <w:r>
        <w:lastRenderedPageBreak/>
        <w:t>In 14 randomised controlled trials on bone loss treatments for women on aromatase inhibitors, the common adverse events were arthralgia, hot flushes, fatigue, myalgia, bon</w:t>
      </w:r>
      <w:r w:rsidR="00177EF2">
        <w:t>e pain and fever. In general, these were not</w:t>
      </w:r>
      <w:r>
        <w:t xml:space="preserve"> </w:t>
      </w:r>
      <w:r w:rsidR="00E32D61">
        <w:t xml:space="preserve">statistically </w:t>
      </w:r>
      <w:r>
        <w:t>significantly di</w:t>
      </w:r>
      <w:r w:rsidR="006567D9">
        <w:t xml:space="preserve">fferent in the treatment and no (or </w:t>
      </w:r>
      <w:r>
        <w:t>delayed</w:t>
      </w:r>
      <w:r w:rsidR="006567D9">
        <w:t>)</w:t>
      </w:r>
      <w:r>
        <w:t xml:space="preserve"> treatment arms. </w:t>
      </w:r>
    </w:p>
    <w:p w:rsidR="00E45A4B" w:rsidRPr="00C9782D" w:rsidRDefault="00E45A4B" w:rsidP="00F6430A">
      <w:pPr>
        <w:tabs>
          <w:tab w:val="left" w:pos="567"/>
          <w:tab w:val="num" w:pos="851"/>
        </w:tabs>
        <w:spacing w:after="0"/>
        <w:ind w:left="567" w:hanging="425"/>
        <w:rPr>
          <w:szCs w:val="24"/>
        </w:rPr>
      </w:pPr>
    </w:p>
    <w:p w:rsidR="00E45A4B" w:rsidRPr="00C9782D" w:rsidRDefault="00E45A4B" w:rsidP="00534D10">
      <w:pPr>
        <w:numPr>
          <w:ilvl w:val="0"/>
          <w:numId w:val="8"/>
        </w:numPr>
        <w:tabs>
          <w:tab w:val="clear" w:pos="720"/>
          <w:tab w:val="left" w:pos="567"/>
          <w:tab w:val="num" w:pos="851"/>
          <w:tab w:val="left" w:pos="1140"/>
        </w:tabs>
        <w:spacing w:after="0"/>
        <w:ind w:left="567" w:hanging="425"/>
        <w:rPr>
          <w:rFonts w:ascii="Arial" w:hAnsi="Arial" w:cs="Arial"/>
          <w:b/>
        </w:rPr>
      </w:pPr>
      <w:r w:rsidRPr="00C9782D">
        <w:rPr>
          <w:rFonts w:ascii="Arial" w:hAnsi="Arial" w:cs="Arial"/>
          <w:b/>
        </w:rPr>
        <w:t>Comparative effectiveness</w:t>
      </w:r>
    </w:p>
    <w:p w:rsidR="000847B6" w:rsidRPr="000847B6" w:rsidRDefault="000847B6" w:rsidP="000847B6">
      <w:pPr>
        <w:spacing w:after="0"/>
        <w:rPr>
          <w:b/>
          <w:u w:val="single"/>
        </w:rPr>
      </w:pPr>
      <w:r w:rsidRPr="000847B6">
        <w:rPr>
          <w:b/>
          <w:u w:val="single"/>
        </w:rPr>
        <w:t>DXA effectiveness</w:t>
      </w:r>
    </w:p>
    <w:p w:rsidR="000847B6" w:rsidRDefault="00AC44D8" w:rsidP="000847B6">
      <w:pPr>
        <w:spacing w:after="0"/>
      </w:pPr>
      <w:r>
        <w:t xml:space="preserve">The primary sources of evidence </w:t>
      </w:r>
      <w:r w:rsidR="00E86E70">
        <w:t>on</w:t>
      </w:r>
      <w:r w:rsidR="000847B6">
        <w:t xml:space="preserve"> the effective</w:t>
      </w:r>
      <w:r w:rsidR="00E86E70">
        <w:t xml:space="preserve">ness of DXA for BMD measurement were three </w:t>
      </w:r>
      <w:r w:rsidR="000847B6">
        <w:t xml:space="preserve">meta-analyses, </w:t>
      </w:r>
      <w:r w:rsidR="00E86E70">
        <w:t>two</w:t>
      </w:r>
      <w:r w:rsidR="000847B6">
        <w:t xml:space="preserve"> health technology reports, one review and one case control study.</w:t>
      </w:r>
      <w:r>
        <w:t xml:space="preserve"> </w:t>
      </w:r>
      <w:r w:rsidR="000847B6">
        <w:t>The main results indicate that DXA scans predict low BMD well, better than other modalities</w:t>
      </w:r>
      <w:r w:rsidR="00921947">
        <w:t xml:space="preserve"> and better than risk fracture assessment alone. The predictive performance of DXA</w:t>
      </w:r>
      <w:r w:rsidR="00E32D61">
        <w:t xml:space="preserve"> for hip fractures</w:t>
      </w:r>
      <w:r w:rsidR="00921947">
        <w:t xml:space="preserve"> shows that it has high specificity </w:t>
      </w:r>
      <w:r w:rsidR="00E32D61">
        <w:t xml:space="preserve">88% </w:t>
      </w:r>
      <w:r w:rsidR="00921947">
        <w:t>but low sensitivity</w:t>
      </w:r>
      <w:r w:rsidR="00E32D61">
        <w:t xml:space="preserve"> 37% (15 year incidence)(Marshall </w:t>
      </w:r>
      <w:r w:rsidR="00715BA8" w:rsidRPr="00715BA8">
        <w:rPr>
          <w:i/>
        </w:rPr>
        <w:t>et al.</w:t>
      </w:r>
      <w:r w:rsidR="00715BA8">
        <w:t xml:space="preserve"> </w:t>
      </w:r>
      <w:r w:rsidR="00E32D61">
        <w:t>1996). The combined use of clinical risk factor assessment and BMD analysis provides the best prediction of fracture risk (Kanis</w:t>
      </w:r>
      <w:r w:rsidR="00E86E70">
        <w:t xml:space="preserve"> </w:t>
      </w:r>
      <w:r w:rsidR="00E86E70" w:rsidRPr="00E86E70">
        <w:rPr>
          <w:i/>
        </w:rPr>
        <w:t>et al.</w:t>
      </w:r>
      <w:r w:rsidR="00E32D61">
        <w:t xml:space="preserve"> 2007).</w:t>
      </w:r>
    </w:p>
    <w:p w:rsidR="000847B6" w:rsidRDefault="000847B6" w:rsidP="000847B6">
      <w:pPr>
        <w:spacing w:after="0"/>
      </w:pPr>
    </w:p>
    <w:p w:rsidR="000847B6" w:rsidRPr="000847B6" w:rsidRDefault="000847B6" w:rsidP="000847B6">
      <w:pPr>
        <w:spacing w:after="0"/>
        <w:rPr>
          <w:b/>
          <w:u w:val="single"/>
        </w:rPr>
      </w:pPr>
      <w:r w:rsidRPr="000847B6">
        <w:rPr>
          <w:b/>
          <w:u w:val="single"/>
        </w:rPr>
        <w:t>Anti-resorptive treatment effectiveness</w:t>
      </w:r>
    </w:p>
    <w:p w:rsidR="005E7F24" w:rsidRPr="00C9782D" w:rsidRDefault="000847B6" w:rsidP="005E7F24">
      <w:r>
        <w:t xml:space="preserve">The primary sources of evidence were </w:t>
      </w:r>
      <w:r w:rsidR="00AC44D8">
        <w:t>14 studies assessing anti-resorptives or other BMD treatments; 12 randomised controlled trials (phase II, phase III and/or open label), one comparative study and one meta-analysis.</w:t>
      </w:r>
      <w:r w:rsidR="00E32D61">
        <w:t xml:space="preserve"> </w:t>
      </w:r>
      <w:r w:rsidR="00F94AF7">
        <w:t>The evidence consistently showed that a</w:t>
      </w:r>
      <w:r w:rsidR="00E32D61">
        <w:t>nti-resorptive treatment</w:t>
      </w:r>
      <w:r w:rsidR="00F94AF7">
        <w:t xml:space="preserve"> significantly improved BMD in women taking aro</w:t>
      </w:r>
      <w:r w:rsidR="00E86E70">
        <w:t xml:space="preserve">matase inhibitors. </w:t>
      </w:r>
      <w:r w:rsidR="00F94AF7">
        <w:t>Studies with 60 month follow-ups showed linear increases in BMD</w:t>
      </w:r>
      <w:r w:rsidR="00B16286">
        <w:t xml:space="preserve"> in each successive year</w:t>
      </w:r>
      <w:r w:rsidR="005E7F24">
        <w:t xml:space="preserve">. Positive BMD occurred regardless of whether women were treated with prior chemotherapy or prior tamoxifen. Meta-analyses for BMD lumbar spine and total hip confirmed positive mean differences between the intervention and comparator arms but study </w:t>
      </w:r>
      <w:r w:rsidR="00E86E70">
        <w:t xml:space="preserve">heterogeneity was problematic. </w:t>
      </w:r>
      <w:r w:rsidR="005E7F24">
        <w:t xml:space="preserve">Fracture incidence was lower in anti-resorptive treatment arms but these trials were </w:t>
      </w:r>
      <w:r w:rsidR="00E86E70">
        <w:t>not of sufficient power or</w:t>
      </w:r>
      <w:r w:rsidR="005E7F24">
        <w:t xml:space="preserve"> duration to detec</w:t>
      </w:r>
      <w:r w:rsidR="00F8226E">
        <w:t xml:space="preserve">t </w:t>
      </w:r>
      <w:r w:rsidR="005E7F24">
        <w:t>differences in minimal trauma fractures.</w:t>
      </w:r>
      <w:r w:rsidR="005E7F24" w:rsidRPr="005E7F24">
        <w:t xml:space="preserve"> </w:t>
      </w:r>
      <w:r w:rsidR="005E7F24">
        <w:t>C</w:t>
      </w:r>
      <w:r w:rsidR="005E7F24" w:rsidRPr="00C9782D">
        <w:t xml:space="preserve">linical management with the proposed intervention </w:t>
      </w:r>
      <w:r w:rsidR="005E7F24">
        <w:t xml:space="preserve">is </w:t>
      </w:r>
      <w:r w:rsidR="005E7F24" w:rsidRPr="00C9782D">
        <w:t xml:space="preserve">more effective </w:t>
      </w:r>
      <w:r w:rsidR="005E7F24" w:rsidRPr="00C9782D">
        <w:rPr>
          <w:szCs w:val="24"/>
        </w:rPr>
        <w:t>than clinical management without it</w:t>
      </w:r>
      <w:r w:rsidR="005E7F24">
        <w:rPr>
          <w:szCs w:val="24"/>
        </w:rPr>
        <w:t xml:space="preserve">. </w:t>
      </w:r>
    </w:p>
    <w:p w:rsidR="00AC44D8" w:rsidRDefault="005E7F24" w:rsidP="00AC44D8">
      <w:r>
        <w:t xml:space="preserve">A summary of the rate of bone loss in women with breast cancer and healthy women is provided in Figure </w:t>
      </w:r>
      <w:r w:rsidR="00B16286">
        <w:t>ES1</w:t>
      </w:r>
      <w:r>
        <w:t>.</w:t>
      </w:r>
    </w:p>
    <w:p w:rsidR="005E7F24" w:rsidRDefault="005E7F24" w:rsidP="00C262EC">
      <w:pPr>
        <w:pStyle w:val="Figures"/>
      </w:pPr>
      <w:bookmarkStart w:id="22" w:name="_Toc386112703"/>
      <w:r w:rsidRPr="00F660E2">
        <w:t xml:space="preserve">Figure </w:t>
      </w:r>
      <w:r w:rsidR="009F1B5C">
        <w:t>ES</w:t>
      </w:r>
      <w:r w:rsidR="00B16286">
        <w:t>1</w:t>
      </w:r>
      <w:r w:rsidRPr="00F660E2">
        <w:t xml:space="preserve">: </w:t>
      </w:r>
      <w:r>
        <w:t>One year % change in BMD (lumbar spine) in healthy women and women with breast cancer</w:t>
      </w:r>
      <w:bookmarkEnd w:id="22"/>
    </w:p>
    <w:p w:rsidR="009F1B5C" w:rsidRDefault="009F1B5C" w:rsidP="00AC44D8">
      <w:r>
        <w:rPr>
          <w:noProof/>
        </w:rPr>
        <w:drawing>
          <wp:inline distT="0" distB="0" distL="0" distR="0" wp14:anchorId="5B14E63A" wp14:editId="4BD13395">
            <wp:extent cx="5143500" cy="2575171"/>
            <wp:effectExtent l="0" t="0" r="0" b="0"/>
            <wp:docPr id="3" name="Picture 3" title="one year % change in BMD for key populations for executive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82" cy="2575212"/>
                    </a:xfrm>
                    <a:prstGeom prst="rect">
                      <a:avLst/>
                    </a:prstGeom>
                    <a:noFill/>
                    <a:ln>
                      <a:noFill/>
                    </a:ln>
                  </pic:spPr>
                </pic:pic>
              </a:graphicData>
            </a:graphic>
          </wp:inline>
        </w:drawing>
      </w:r>
    </w:p>
    <w:p w:rsidR="009F1B5C" w:rsidRDefault="009F1B5C" w:rsidP="009F1B5C">
      <w:pPr>
        <w:spacing w:after="0"/>
        <w:rPr>
          <w:rFonts w:ascii="Arial Narrow" w:hAnsi="Arial Narrow" w:cs="Arial"/>
          <w:sz w:val="18"/>
          <w:szCs w:val="18"/>
        </w:rPr>
      </w:pPr>
      <w:r>
        <w:rPr>
          <w:rFonts w:ascii="Arial Narrow" w:hAnsi="Arial Narrow" w:cs="Arial"/>
          <w:sz w:val="18"/>
          <w:szCs w:val="18"/>
        </w:rPr>
        <w:t xml:space="preserve">AI = aromatase inhibitor, </w:t>
      </w:r>
      <w:r w:rsidRPr="00F660E2">
        <w:rPr>
          <w:rFonts w:ascii="Arial Narrow" w:hAnsi="Arial Narrow" w:cs="Arial"/>
          <w:sz w:val="18"/>
          <w:szCs w:val="18"/>
        </w:rPr>
        <w:t>BMD = bone mineral loss</w:t>
      </w:r>
    </w:p>
    <w:p w:rsidR="00B2159B" w:rsidRDefault="009F1B5C" w:rsidP="00B2159B">
      <w:pPr>
        <w:spacing w:after="0"/>
        <w:rPr>
          <w:rFonts w:ascii="Arial Narrow" w:hAnsi="Arial Narrow" w:cs="Arial"/>
          <w:sz w:val="18"/>
          <w:szCs w:val="18"/>
        </w:rPr>
      </w:pPr>
      <w:r>
        <w:rPr>
          <w:rFonts w:ascii="Arial Narrow" w:hAnsi="Arial Narrow" w:cs="Arial"/>
          <w:sz w:val="18"/>
          <w:szCs w:val="18"/>
        </w:rPr>
        <w:lastRenderedPageBreak/>
        <w:t xml:space="preserve">Sources: Figure adapted from Fig 2 </w:t>
      </w:r>
      <w:r w:rsidR="003D3549">
        <w:rPr>
          <w:rFonts w:ascii="Arial Narrow" w:hAnsi="Arial Narrow" w:cs="Arial"/>
          <w:sz w:val="18"/>
          <w:szCs w:val="18"/>
        </w:rPr>
        <w:fldChar w:fldCharType="begin"/>
      </w:r>
      <w:r w:rsidR="003D3549">
        <w:rPr>
          <w:rFonts w:ascii="Arial Narrow" w:hAnsi="Arial Narrow" w:cs="Arial"/>
          <w:sz w:val="18"/>
          <w:szCs w:val="18"/>
        </w:rPr>
        <w:instrText xml:space="preserve"> ADDIN EN.CITE &lt;EndNote&gt;&lt;Cite&gt;&lt;Author&gt;Bauer&lt;/Author&gt;&lt;Year&gt;2012&lt;/Year&gt;&lt;RecNum&gt;255&lt;/RecNum&gt;&lt;DisplayText&gt;(Bauer, Bryce et al. 2012)&lt;/DisplayText&gt;&lt;record&gt;&lt;rec-number&gt;255&lt;/rec-number&gt;&lt;foreign-keys&gt;&lt;key app="EN" db-id="v9edw0zeqvve5nedzvjx29f1df2z2tvpvw55" timestamp="1398313189"&gt;255&lt;/key&gt;&lt;/foreign-keys&gt;&lt;ref-type name="Journal Article"&gt;17&lt;/ref-type&gt;&lt;contributors&gt;&lt;authors&gt;&lt;author&gt;Bauer, M.&lt;/author&gt;&lt;author&gt;Bryce, J.&lt;/author&gt;&lt;author&gt;Hadji, P.&lt;/author&gt;&lt;/authors&gt;&lt;/contributors&gt;&lt;titles&gt;&lt;title&gt;Aromatase inhibitor-associated bone loss and its management with bisphosphonates in patients with breast cancer&lt;/title&gt;&lt;secondary-title&gt;Breast Cancer (Dove Med Press).&lt;/secondary-title&gt;&lt;/titles&gt;&lt;periodical&gt;&lt;full-title&gt;Breast Cancer (Dove Med Press).&lt;/full-title&gt;&lt;/periodical&gt;&lt;pages&gt;91-101. eCollection 2012.&lt;/pages&gt;&lt;volume&gt;4&lt;/volume&gt;&lt;dates&gt;&lt;year&gt;2012&lt;/year&gt;&lt;pub-dates&gt;&lt;date&gt;Jun 20&lt;/date&gt;&lt;/pub-dates&gt;&lt;/dates&gt;&lt;orig-pub&gt;aromatase inhibitors&amp;#xD;bisphosphonates&amp;#xD;bone loss&amp;#xD;breast cancer&amp;#xD;estrogen&lt;/orig-pub&gt;&lt;isbn&gt;1179-1314 (Print)&amp;#xD;1179-1314 (Linking)&lt;/isbn&gt;&lt;work-type&gt;Review&lt;/work-type&gt;&lt;urls&gt;&lt;/urls&gt;&lt;/record&gt;&lt;/Cite&gt;&lt;/EndNote&gt;</w:instrText>
      </w:r>
      <w:r w:rsidR="003D3549">
        <w:rPr>
          <w:rFonts w:ascii="Arial Narrow" w:hAnsi="Arial Narrow" w:cs="Arial"/>
          <w:sz w:val="18"/>
          <w:szCs w:val="18"/>
        </w:rPr>
        <w:fldChar w:fldCharType="separate"/>
      </w:r>
      <w:r w:rsidR="003D3549">
        <w:rPr>
          <w:rFonts w:ascii="Arial Narrow" w:hAnsi="Arial Narrow" w:cs="Arial"/>
          <w:noProof/>
          <w:sz w:val="18"/>
          <w:szCs w:val="18"/>
        </w:rPr>
        <w:t>(</w:t>
      </w:r>
      <w:hyperlink w:anchor="_ENREF_5" w:tooltip="Bauer, 2012 #255" w:history="1">
        <w:r w:rsidR="006F79C1">
          <w:rPr>
            <w:rFonts w:ascii="Arial Narrow" w:hAnsi="Arial Narrow" w:cs="Arial"/>
            <w:noProof/>
            <w:sz w:val="18"/>
            <w:szCs w:val="18"/>
          </w:rPr>
          <w:t>Bauer, Bryce et al. 2012</w:t>
        </w:r>
      </w:hyperlink>
      <w:r w:rsidR="003D3549">
        <w:rPr>
          <w:rFonts w:ascii="Arial Narrow" w:hAnsi="Arial Narrow" w:cs="Arial"/>
          <w:noProof/>
          <w:sz w:val="18"/>
          <w:szCs w:val="18"/>
        </w:rPr>
        <w:t>)</w:t>
      </w:r>
      <w:r w:rsidR="003D3549">
        <w:rPr>
          <w:rFonts w:ascii="Arial Narrow" w:hAnsi="Arial Narrow" w:cs="Arial"/>
          <w:sz w:val="18"/>
          <w:szCs w:val="18"/>
        </w:rPr>
        <w:fldChar w:fldCharType="end"/>
      </w:r>
      <w:r>
        <w:rPr>
          <w:rFonts w:ascii="Arial Narrow" w:hAnsi="Arial Narrow" w:cs="Arial"/>
          <w:sz w:val="18"/>
          <w:szCs w:val="18"/>
        </w:rPr>
        <w:t xml:space="preserve">. </w:t>
      </w:r>
      <w:r w:rsidR="003D3549">
        <w:rPr>
          <w:rFonts w:ascii="Arial Narrow" w:hAnsi="Arial Narrow" w:cs="Arial"/>
          <w:sz w:val="18"/>
          <w:szCs w:val="18"/>
        </w:rPr>
        <w:fldChar w:fldCharType="begin">
          <w:fldData xml:space="preserve">PEVuZE5vdGU+PENpdGU+PEF1dGhvcj5PJmFwb3M7RmxhaGVydHk8L0F1dGhvcj48WWVhcj4yMDAw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</w:fldData>
        </w:fldChar>
      </w:r>
      <w:r w:rsidR="003D3549">
        <w:rPr>
          <w:rFonts w:ascii="Arial Narrow" w:hAnsi="Arial Narrow" w:cs="Arial"/>
          <w:sz w:val="18"/>
          <w:szCs w:val="18"/>
        </w:rPr>
        <w:instrText xml:space="preserve"> ADDIN EN.CITE </w:instrText>
      </w:r>
      <w:r w:rsidR="003D3549">
        <w:rPr>
          <w:rFonts w:ascii="Arial Narrow" w:hAnsi="Arial Narrow" w:cs="Arial"/>
          <w:sz w:val="18"/>
          <w:szCs w:val="18"/>
        </w:rPr>
        <w:fldChar w:fldCharType="begin">
          <w:fldData xml:space="preserve">PEVuZE5vdGU+PENpdGU+PEF1dGhvcj5PJmFwb3M7RmxhaGVydHk8L0F1dGhvcj48WWVhcj4yMDAw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</w:fldData>
        </w:fldChar>
      </w:r>
      <w:r w:rsidR="003D3549">
        <w:rPr>
          <w:rFonts w:ascii="Arial Narrow" w:hAnsi="Arial Narrow" w:cs="Arial"/>
          <w:sz w:val="18"/>
          <w:szCs w:val="18"/>
        </w:rPr>
        <w:instrText xml:space="preserve"> ADDIN EN.CITE.DATA </w:instrText>
      </w:r>
      <w:r w:rsidR="003D3549">
        <w:rPr>
          <w:rFonts w:ascii="Arial Narrow" w:hAnsi="Arial Narrow" w:cs="Arial"/>
          <w:sz w:val="18"/>
          <w:szCs w:val="18"/>
        </w:rPr>
      </w:r>
      <w:r w:rsidR="003D3549">
        <w:rPr>
          <w:rFonts w:ascii="Arial Narrow" w:hAnsi="Arial Narrow" w:cs="Arial"/>
          <w:sz w:val="18"/>
          <w:szCs w:val="18"/>
        </w:rPr>
        <w:fldChar w:fldCharType="end"/>
      </w:r>
      <w:r w:rsidR="003D3549">
        <w:rPr>
          <w:rFonts w:ascii="Arial Narrow" w:hAnsi="Arial Narrow" w:cs="Arial"/>
          <w:sz w:val="18"/>
          <w:szCs w:val="18"/>
        </w:rPr>
      </w:r>
      <w:r w:rsidR="003D3549">
        <w:rPr>
          <w:rFonts w:ascii="Arial Narrow" w:hAnsi="Arial Narrow" w:cs="Arial"/>
          <w:sz w:val="18"/>
          <w:szCs w:val="18"/>
        </w:rPr>
        <w:fldChar w:fldCharType="separate"/>
      </w:r>
      <w:r w:rsidR="003D3549">
        <w:rPr>
          <w:rFonts w:ascii="Arial Narrow" w:hAnsi="Arial Narrow" w:cs="Arial"/>
          <w:noProof/>
          <w:sz w:val="18"/>
          <w:szCs w:val="18"/>
        </w:rPr>
        <w:t>(</w:t>
      </w:r>
      <w:hyperlink w:anchor="_ENREF_49" w:tooltip="O'Flaherty, 2000 #256" w:history="1">
        <w:r w:rsidR="006F79C1">
          <w:rPr>
            <w:rFonts w:ascii="Arial Narrow" w:hAnsi="Arial Narrow" w:cs="Arial"/>
            <w:noProof/>
            <w:sz w:val="18"/>
            <w:szCs w:val="18"/>
          </w:rPr>
          <w:t>O'Flaherty 2000</w:t>
        </w:r>
      </w:hyperlink>
      <w:r w:rsidR="003D3549">
        <w:rPr>
          <w:rFonts w:ascii="Arial Narrow" w:hAnsi="Arial Narrow" w:cs="Arial"/>
          <w:noProof/>
          <w:sz w:val="18"/>
          <w:szCs w:val="18"/>
        </w:rPr>
        <w:t xml:space="preserve">, </w:t>
      </w:r>
      <w:hyperlink w:anchor="_ENREF_14" w:tooltip="Eastell, 2008 #36" w:history="1">
        <w:r w:rsidR="006F79C1">
          <w:rPr>
            <w:rFonts w:ascii="Arial Narrow" w:hAnsi="Arial Narrow" w:cs="Arial"/>
            <w:noProof/>
            <w:sz w:val="18"/>
            <w:szCs w:val="18"/>
          </w:rPr>
          <w:t>Eastell, Adams et al. 2008</w:t>
        </w:r>
      </w:hyperlink>
      <w:r w:rsidR="003D3549">
        <w:rPr>
          <w:rFonts w:ascii="Arial Narrow" w:hAnsi="Arial Narrow" w:cs="Arial"/>
          <w:noProof/>
          <w:sz w:val="18"/>
          <w:szCs w:val="18"/>
        </w:rPr>
        <w:t xml:space="preserve">, </w:t>
      </w:r>
      <w:hyperlink w:anchor="_ENREF_17" w:tooltip="Finkelstein, 2008 #257" w:history="1">
        <w:r w:rsidR="006F79C1">
          <w:rPr>
            <w:rFonts w:ascii="Arial Narrow" w:hAnsi="Arial Narrow" w:cs="Arial"/>
            <w:noProof/>
            <w:sz w:val="18"/>
            <w:szCs w:val="18"/>
          </w:rPr>
          <w:t>Finkelstein, Brockwell et al. 2008</w:t>
        </w:r>
      </w:hyperlink>
      <w:r w:rsidR="003D3549">
        <w:rPr>
          <w:rFonts w:ascii="Arial Narrow" w:hAnsi="Arial Narrow" w:cs="Arial"/>
          <w:noProof/>
          <w:sz w:val="18"/>
          <w:szCs w:val="18"/>
        </w:rPr>
        <w:t xml:space="preserve">, </w:t>
      </w:r>
      <w:hyperlink w:anchor="_ENREF_36" w:tooltip="Llombart, 2012 #72" w:history="1">
        <w:r w:rsidR="006F79C1">
          <w:rPr>
            <w:rFonts w:ascii="Arial Narrow" w:hAnsi="Arial Narrow" w:cs="Arial"/>
            <w:noProof/>
            <w:sz w:val="18"/>
            <w:szCs w:val="18"/>
          </w:rPr>
          <w:t>Llombart, Frassoldati et al. 2012</w:t>
        </w:r>
      </w:hyperlink>
      <w:r w:rsidR="003D3549">
        <w:rPr>
          <w:rFonts w:ascii="Arial Narrow" w:hAnsi="Arial Narrow" w:cs="Arial"/>
          <w:noProof/>
          <w:sz w:val="18"/>
          <w:szCs w:val="18"/>
        </w:rPr>
        <w:t>)</w:t>
      </w:r>
      <w:r w:rsidR="003D3549">
        <w:rPr>
          <w:rFonts w:ascii="Arial Narrow" w:hAnsi="Arial Narrow" w:cs="Arial"/>
          <w:sz w:val="18"/>
          <w:szCs w:val="18"/>
        </w:rPr>
        <w:fldChar w:fldCharType="end"/>
      </w:r>
      <w:r w:rsidR="003D3549">
        <w:rPr>
          <w:rFonts w:ascii="Arial Narrow" w:hAnsi="Arial Narrow" w:cs="Arial"/>
          <w:sz w:val="18"/>
          <w:szCs w:val="18"/>
        </w:rPr>
        <w:t xml:space="preserve">. </w:t>
      </w:r>
      <w:r w:rsidRPr="00555B5C">
        <w:rPr>
          <w:rFonts w:ascii="Arial Narrow" w:hAnsi="Arial Narrow" w:cs="Arial"/>
          <w:sz w:val="18"/>
          <w:szCs w:val="18"/>
        </w:rPr>
        <w:t>Weighted average of Powles 1998, Saarto 1997, Delmas 1997, Shapiro 2001, Vehmanen 2001</w:t>
      </w:r>
      <w:r>
        <w:rPr>
          <w:rFonts w:ascii="Arial Narrow" w:hAnsi="Arial Narrow" w:cs="Arial"/>
          <w:sz w:val="18"/>
          <w:szCs w:val="18"/>
        </w:rPr>
        <w:t>, Hines 2009.</w:t>
      </w:r>
    </w:p>
    <w:p w:rsidR="004458B0" w:rsidRPr="00C9782D" w:rsidRDefault="00B2159B" w:rsidP="00B2159B">
      <w:pPr>
        <w:spacing w:after="0"/>
        <w:rPr>
          <w:szCs w:val="24"/>
        </w:rPr>
      </w:pPr>
      <w:r w:rsidRPr="00C9782D">
        <w:rPr>
          <w:szCs w:val="24"/>
        </w:rPr>
        <w:t xml:space="preserve"> </w:t>
      </w:r>
    </w:p>
    <w:p w:rsidR="00E45A4B" w:rsidRPr="00C9782D" w:rsidRDefault="00E45A4B" w:rsidP="00F6430A">
      <w:pPr>
        <w:tabs>
          <w:tab w:val="left" w:pos="567"/>
          <w:tab w:val="num" w:pos="851"/>
        </w:tabs>
        <w:spacing w:after="0"/>
        <w:ind w:left="567" w:hanging="425"/>
        <w:rPr>
          <w:rFonts w:ascii="Arial" w:hAnsi="Arial" w:cs="Arial"/>
          <w:b/>
          <w:szCs w:val="24"/>
        </w:rPr>
      </w:pPr>
      <w:r w:rsidRPr="00C9782D">
        <w:rPr>
          <w:rFonts w:ascii="Arial" w:hAnsi="Arial" w:cs="Arial"/>
          <w:b/>
          <w:szCs w:val="24"/>
        </w:rPr>
        <w:t>11.</w:t>
      </w:r>
      <w:r w:rsidRPr="00C9782D">
        <w:rPr>
          <w:rFonts w:ascii="Arial" w:hAnsi="Arial" w:cs="Arial"/>
          <w:b/>
          <w:szCs w:val="24"/>
        </w:rPr>
        <w:tab/>
        <w:t>Economic evaluation</w:t>
      </w:r>
    </w:p>
    <w:p w:rsidR="009F1B5C" w:rsidRDefault="009F1B5C" w:rsidP="004458B0">
      <w:pPr>
        <w:spacing w:after="0"/>
      </w:pPr>
      <w:r>
        <w:t>A cost-utility analysis was undertaken with four comparison arms:</w:t>
      </w:r>
    </w:p>
    <w:p w:rsidR="009F1B5C" w:rsidRDefault="009F1B5C" w:rsidP="00534D10">
      <w:pPr>
        <w:pStyle w:val="ListParagraph"/>
        <w:numPr>
          <w:ilvl w:val="0"/>
          <w:numId w:val="44"/>
        </w:numPr>
        <w:rPr>
          <w:lang w:eastAsia="ja-JP"/>
        </w:rPr>
      </w:pPr>
      <w:r>
        <w:rPr>
          <w:lang w:eastAsia="ja-JP"/>
        </w:rPr>
        <w:t>DXA and anti-resorptive therapy (women with osteoporosis</w:t>
      </w:r>
      <w:r w:rsidR="007345DB">
        <w:rPr>
          <w:lang w:eastAsia="ja-JP"/>
        </w:rPr>
        <w:t xml:space="preserve">, </w:t>
      </w:r>
      <w:r w:rsidR="007345DB">
        <w:t xml:space="preserve">T-score </w:t>
      </w:r>
      <w:r w:rsidR="00444680">
        <w:t>≤</w:t>
      </w:r>
      <w:r w:rsidR="007345DB">
        <w:t>-2.5</w:t>
      </w:r>
      <w:r>
        <w:rPr>
          <w:lang w:eastAsia="ja-JP"/>
        </w:rPr>
        <w:t>)</w:t>
      </w:r>
    </w:p>
    <w:p w:rsidR="009F1B5C" w:rsidRDefault="009F1B5C" w:rsidP="00534D10">
      <w:pPr>
        <w:pStyle w:val="ListParagraph"/>
        <w:numPr>
          <w:ilvl w:val="0"/>
          <w:numId w:val="44"/>
        </w:numPr>
        <w:rPr>
          <w:lang w:eastAsia="ja-JP"/>
        </w:rPr>
      </w:pPr>
      <w:r>
        <w:rPr>
          <w:lang w:eastAsia="ja-JP"/>
        </w:rPr>
        <w:t xml:space="preserve">DXA and anti-resorptive therapy (women with osteopenia </w:t>
      </w:r>
      <w:r w:rsidR="007345DB">
        <w:rPr>
          <w:lang w:eastAsia="ja-JP"/>
        </w:rPr>
        <w:t>or</w:t>
      </w:r>
      <w:r>
        <w:rPr>
          <w:lang w:eastAsia="ja-JP"/>
        </w:rPr>
        <w:t xml:space="preserve"> osteoporosis</w:t>
      </w:r>
      <w:r w:rsidR="007345DB" w:rsidRPr="007345DB">
        <w:t xml:space="preserve"> </w:t>
      </w:r>
      <w:r w:rsidR="007345DB">
        <w:t xml:space="preserve">T-score </w:t>
      </w:r>
      <w:r w:rsidR="00444680">
        <w:t>≤</w:t>
      </w:r>
      <w:r w:rsidR="007345DB">
        <w:t>-1.0</w:t>
      </w:r>
      <w:r>
        <w:rPr>
          <w:lang w:eastAsia="ja-JP"/>
        </w:rPr>
        <w:t>)</w:t>
      </w:r>
    </w:p>
    <w:p w:rsidR="009F1B5C" w:rsidRDefault="009F1B5C" w:rsidP="00534D10">
      <w:pPr>
        <w:pStyle w:val="ListParagraph"/>
        <w:numPr>
          <w:ilvl w:val="0"/>
          <w:numId w:val="44"/>
        </w:numPr>
        <w:rPr>
          <w:lang w:eastAsia="ja-JP"/>
        </w:rPr>
      </w:pPr>
      <w:r>
        <w:rPr>
          <w:lang w:eastAsia="ja-JP"/>
        </w:rPr>
        <w:t>DXA and anti-resorptive therapy (all women in this population)</w:t>
      </w:r>
    </w:p>
    <w:p w:rsidR="009F1B5C" w:rsidRDefault="009F1B5C" w:rsidP="00534D10">
      <w:pPr>
        <w:pStyle w:val="ListParagraph"/>
        <w:numPr>
          <w:ilvl w:val="0"/>
          <w:numId w:val="44"/>
        </w:numPr>
      </w:pPr>
      <w:r>
        <w:rPr>
          <w:lang w:eastAsia="ja-JP"/>
        </w:rPr>
        <w:t>No DXA and lifestyle advice only (all women in this population)</w:t>
      </w:r>
    </w:p>
    <w:p w:rsidR="009F1B5C" w:rsidRDefault="009F1B5C" w:rsidP="009F1B5C">
      <w:pPr>
        <w:spacing w:after="0"/>
      </w:pPr>
    </w:p>
    <w:p w:rsidR="009F1B5C" w:rsidRDefault="009F1B5C" w:rsidP="009F1B5C">
      <w:pPr>
        <w:spacing w:after="0"/>
      </w:pPr>
      <w:r>
        <w:t>A Markov cohort model was constructed with annual cycles. The starting age of the cohort of women was 60 years and the model duration was lifetime. The main inputs were</w:t>
      </w:r>
      <w:r w:rsidR="007345DB">
        <w:t>: age-related fracture risk;</w:t>
      </w:r>
      <w:r>
        <w:t xml:space="preserve"> relative risk of fracture in women taking AIs</w:t>
      </w:r>
      <w:r w:rsidR="007345DB">
        <w:t>;</w:t>
      </w:r>
      <w:r>
        <w:t xml:space="preserve"> incidence of osteoporosis, osteopenia and normal BMD in post-menopausal women</w:t>
      </w:r>
      <w:r w:rsidR="007345DB">
        <w:t>;</w:t>
      </w:r>
      <w:r>
        <w:t xml:space="preserve"> risk of fracture when taking anti-resorptives</w:t>
      </w:r>
      <w:r w:rsidR="00EB0255">
        <w:t xml:space="preserve">, </w:t>
      </w:r>
      <w:r w:rsidR="007345DB">
        <w:t>utilities in women with breast cancer</w:t>
      </w:r>
      <w:r>
        <w:t xml:space="preserve"> and costs for annual DXA scans, anti-resorptive treatment (</w:t>
      </w:r>
      <w:r w:rsidR="007345DB">
        <w:t xml:space="preserve">risedronate in base case), fractures (hip, vertebrae and </w:t>
      </w:r>
      <w:r w:rsidR="00EB0255">
        <w:t>‘</w:t>
      </w:r>
      <w:r w:rsidR="007345DB">
        <w:t>other</w:t>
      </w:r>
      <w:r w:rsidR="00EB0255">
        <w:t>’</w:t>
      </w:r>
      <w:r w:rsidR="007345DB">
        <w:t>) and vitamin D testing.</w:t>
      </w:r>
      <w:r w:rsidR="00B16286">
        <w:t xml:space="preserve"> The key results are provided in Table ES</w:t>
      </w:r>
      <w:r w:rsidR="00C262EC">
        <w:t>1</w:t>
      </w:r>
      <w:r w:rsidR="00B16286">
        <w:t>.</w:t>
      </w:r>
    </w:p>
    <w:p w:rsidR="00DC4F15" w:rsidRDefault="00DC4F15" w:rsidP="009F1B5C">
      <w:pPr>
        <w:pStyle w:val="TableName"/>
      </w:pPr>
    </w:p>
    <w:p w:rsidR="009F1B5C" w:rsidRDefault="009F1B5C" w:rsidP="009F1B5C">
      <w:pPr>
        <w:pStyle w:val="TableName"/>
      </w:pPr>
      <w:bookmarkStart w:id="23" w:name="_Toc386112668"/>
      <w:r>
        <w:t>Table ES</w:t>
      </w:r>
      <w:r w:rsidR="00C262EC">
        <w:t>1</w:t>
      </w:r>
      <w:r>
        <w:t>: Key results of economic evaluation (annual DXA scan, 60 year old cohort)</w:t>
      </w:r>
      <w:bookmarkEnd w:id="23"/>
    </w:p>
    <w:tbl>
      <w:tblPr>
        <w:tblStyle w:val="TableGrid"/>
        <w:tblW w:w="9748" w:type="dxa"/>
        <w:tblInd w:w="-34" w:type="dxa"/>
        <w:tblLook w:val="04A0" w:firstRow="1" w:lastRow="0" w:firstColumn="1" w:lastColumn="0" w:noHBand="0" w:noVBand="1"/>
        <w:tblCaption w:val="Key results of economic evaluation"/>
      </w:tblPr>
      <w:tblGrid>
        <w:gridCol w:w="2977"/>
        <w:gridCol w:w="851"/>
        <w:gridCol w:w="850"/>
        <w:gridCol w:w="851"/>
        <w:gridCol w:w="709"/>
        <w:gridCol w:w="911"/>
        <w:gridCol w:w="1215"/>
        <w:gridCol w:w="1384"/>
      </w:tblGrid>
      <w:tr w:rsidR="009F1B5C" w:rsidRPr="00A7106A" w:rsidTr="00DC4F15">
        <w:trPr>
          <w:tblHeader/>
        </w:trPr>
        <w:tc>
          <w:tcPr>
            <w:tcW w:w="2977" w:type="dxa"/>
          </w:tcPr>
          <w:p w:rsidR="009F1B5C" w:rsidRPr="00A7106A" w:rsidRDefault="009F1B5C" w:rsidP="00633794">
            <w:pPr>
              <w:pStyle w:val="TableText"/>
              <w:rPr>
                <w:b/>
              </w:rPr>
            </w:pPr>
            <w:r w:rsidRPr="00A7106A">
              <w:rPr>
                <w:b/>
              </w:rPr>
              <w:t>Intervention</w:t>
            </w:r>
          </w:p>
        </w:tc>
        <w:tc>
          <w:tcPr>
            <w:tcW w:w="851" w:type="dxa"/>
          </w:tcPr>
          <w:p w:rsidR="009F1B5C" w:rsidRPr="00A7106A" w:rsidRDefault="009F1B5C" w:rsidP="00633794">
            <w:pPr>
              <w:pStyle w:val="TableText"/>
              <w:jc w:val="center"/>
              <w:rPr>
                <w:b/>
              </w:rPr>
            </w:pPr>
            <w:r w:rsidRPr="00A7106A">
              <w:rPr>
                <w:b/>
              </w:rPr>
              <w:t>Mean Costs</w:t>
            </w:r>
          </w:p>
        </w:tc>
        <w:tc>
          <w:tcPr>
            <w:tcW w:w="850" w:type="dxa"/>
          </w:tcPr>
          <w:p w:rsidR="009F1B5C" w:rsidRPr="00A7106A" w:rsidRDefault="009F1B5C" w:rsidP="00633794">
            <w:pPr>
              <w:pStyle w:val="TableText"/>
              <w:jc w:val="center"/>
              <w:rPr>
                <w:b/>
              </w:rPr>
            </w:pPr>
            <w:r w:rsidRPr="00A7106A">
              <w:rPr>
                <w:b/>
              </w:rPr>
              <w:t>Mean QALYs</w:t>
            </w:r>
          </w:p>
        </w:tc>
        <w:tc>
          <w:tcPr>
            <w:tcW w:w="851" w:type="dxa"/>
          </w:tcPr>
          <w:p w:rsidR="009F1B5C" w:rsidRPr="00A7106A" w:rsidRDefault="009F1B5C" w:rsidP="00633794">
            <w:pPr>
              <w:pStyle w:val="TableText"/>
              <w:jc w:val="center"/>
              <w:rPr>
                <w:b/>
              </w:rPr>
            </w:pPr>
            <w:r w:rsidRPr="00A7106A">
              <w:rPr>
                <w:b/>
              </w:rPr>
              <w:t>Inc Costs</w:t>
            </w:r>
          </w:p>
        </w:tc>
        <w:tc>
          <w:tcPr>
            <w:tcW w:w="709" w:type="dxa"/>
          </w:tcPr>
          <w:p w:rsidR="009F1B5C" w:rsidRPr="00A7106A" w:rsidRDefault="009F1B5C" w:rsidP="00633794">
            <w:pPr>
              <w:pStyle w:val="TableText"/>
              <w:jc w:val="center"/>
              <w:rPr>
                <w:b/>
              </w:rPr>
            </w:pPr>
            <w:r w:rsidRPr="00A7106A">
              <w:rPr>
                <w:b/>
              </w:rPr>
              <w:t>Inc QALYs</w:t>
            </w:r>
          </w:p>
        </w:tc>
        <w:tc>
          <w:tcPr>
            <w:tcW w:w="911" w:type="dxa"/>
          </w:tcPr>
          <w:p w:rsidR="009F1B5C" w:rsidRPr="00A7106A" w:rsidRDefault="009F1B5C" w:rsidP="00633794">
            <w:pPr>
              <w:pStyle w:val="TableText"/>
              <w:jc w:val="center"/>
              <w:rPr>
                <w:b/>
              </w:rPr>
            </w:pPr>
            <w:r w:rsidRPr="00A7106A">
              <w:rPr>
                <w:b/>
              </w:rPr>
              <w:t>ICER QALYs</w:t>
            </w:r>
          </w:p>
        </w:tc>
        <w:tc>
          <w:tcPr>
            <w:tcW w:w="1215" w:type="dxa"/>
          </w:tcPr>
          <w:p w:rsidR="009F1B5C" w:rsidRPr="00A7106A" w:rsidRDefault="009F1B5C" w:rsidP="00633794">
            <w:pPr>
              <w:pStyle w:val="TableText"/>
              <w:jc w:val="center"/>
              <w:rPr>
                <w:b/>
              </w:rPr>
            </w:pPr>
            <w:r>
              <w:rPr>
                <w:b/>
              </w:rPr>
              <w:t>Fractures</w:t>
            </w:r>
            <w:r w:rsidRPr="00A7106A">
              <w:rPr>
                <w:b/>
              </w:rPr>
              <w:t xml:space="preserve"> per 1000</w:t>
            </w:r>
            <w:r>
              <w:rPr>
                <w:b/>
              </w:rPr>
              <w:t xml:space="preserve"> women</w:t>
            </w:r>
          </w:p>
        </w:tc>
        <w:tc>
          <w:tcPr>
            <w:tcW w:w="1384" w:type="dxa"/>
          </w:tcPr>
          <w:p w:rsidR="009F1B5C" w:rsidRPr="00A7106A" w:rsidRDefault="009F1B5C" w:rsidP="00633794">
            <w:pPr>
              <w:pStyle w:val="TableText"/>
              <w:jc w:val="center"/>
              <w:rPr>
                <w:b/>
              </w:rPr>
            </w:pPr>
            <w:r>
              <w:rPr>
                <w:b/>
              </w:rPr>
              <w:t>ICER Fracture avoided</w:t>
            </w:r>
          </w:p>
        </w:tc>
      </w:tr>
      <w:tr w:rsidR="009F1B5C" w:rsidRPr="00A7106A" w:rsidTr="00DC4F15">
        <w:tc>
          <w:tcPr>
            <w:tcW w:w="2977" w:type="dxa"/>
          </w:tcPr>
          <w:p w:rsidR="009F1B5C" w:rsidRPr="00A7106A" w:rsidRDefault="009F1B5C" w:rsidP="00DC4F15">
            <w:pPr>
              <w:pStyle w:val="TableText"/>
            </w:pPr>
            <w:r w:rsidRPr="00A7106A">
              <w:t xml:space="preserve">No DXA and lifestyle advice only </w:t>
            </w:r>
          </w:p>
        </w:tc>
        <w:tc>
          <w:tcPr>
            <w:tcW w:w="851" w:type="dxa"/>
            <w:vAlign w:val="center"/>
          </w:tcPr>
          <w:p w:rsidR="009F1B5C" w:rsidRPr="00A7106A" w:rsidRDefault="009F1B5C" w:rsidP="00633794">
            <w:pPr>
              <w:pStyle w:val="TableText"/>
              <w:jc w:val="center"/>
            </w:pPr>
            <w:r>
              <w:t>$</w:t>
            </w:r>
            <w:r w:rsidRPr="00A7106A">
              <w:t>4056</w:t>
            </w:r>
          </w:p>
        </w:tc>
        <w:tc>
          <w:tcPr>
            <w:tcW w:w="850" w:type="dxa"/>
            <w:vAlign w:val="center"/>
          </w:tcPr>
          <w:p w:rsidR="009F1B5C" w:rsidRPr="00A7106A" w:rsidRDefault="009F1B5C" w:rsidP="00633794">
            <w:pPr>
              <w:pStyle w:val="TableText"/>
              <w:jc w:val="center"/>
            </w:pPr>
            <w:r w:rsidRPr="00A7106A">
              <w:t>11.657</w:t>
            </w:r>
          </w:p>
        </w:tc>
        <w:tc>
          <w:tcPr>
            <w:tcW w:w="851" w:type="dxa"/>
            <w:vAlign w:val="center"/>
          </w:tcPr>
          <w:p w:rsidR="009F1B5C" w:rsidRPr="00A7106A" w:rsidRDefault="009F1B5C" w:rsidP="00633794">
            <w:pPr>
              <w:pStyle w:val="TableText"/>
              <w:jc w:val="center"/>
            </w:pPr>
            <w:r w:rsidRPr="00A7106A">
              <w:t>ref</w:t>
            </w:r>
          </w:p>
        </w:tc>
        <w:tc>
          <w:tcPr>
            <w:tcW w:w="709" w:type="dxa"/>
            <w:vAlign w:val="center"/>
          </w:tcPr>
          <w:p w:rsidR="009F1B5C" w:rsidRPr="00A7106A" w:rsidRDefault="009F1B5C" w:rsidP="00633794">
            <w:pPr>
              <w:pStyle w:val="TableText"/>
              <w:jc w:val="center"/>
            </w:pPr>
            <w:r w:rsidRPr="00A7106A">
              <w:t>ref</w:t>
            </w:r>
          </w:p>
        </w:tc>
        <w:tc>
          <w:tcPr>
            <w:tcW w:w="911" w:type="dxa"/>
            <w:vAlign w:val="center"/>
          </w:tcPr>
          <w:p w:rsidR="009F1B5C" w:rsidRPr="00A7106A" w:rsidRDefault="009F1B5C" w:rsidP="00633794">
            <w:pPr>
              <w:pStyle w:val="TableText"/>
              <w:jc w:val="center"/>
              <w:rPr>
                <w:b/>
              </w:rPr>
            </w:pPr>
            <w:r w:rsidRPr="00A7106A">
              <w:rPr>
                <w:b/>
              </w:rPr>
              <w:t>ref</w:t>
            </w:r>
          </w:p>
        </w:tc>
        <w:tc>
          <w:tcPr>
            <w:tcW w:w="1215" w:type="dxa"/>
            <w:vAlign w:val="center"/>
          </w:tcPr>
          <w:p w:rsidR="009F1B5C" w:rsidRPr="00A7106A" w:rsidRDefault="009F1B5C" w:rsidP="00633794">
            <w:pPr>
              <w:pStyle w:val="TableText"/>
              <w:jc w:val="center"/>
            </w:pPr>
            <w:r w:rsidRPr="00A7106A">
              <w:t>113</w:t>
            </w:r>
          </w:p>
        </w:tc>
        <w:tc>
          <w:tcPr>
            <w:tcW w:w="1384" w:type="dxa"/>
            <w:vAlign w:val="center"/>
          </w:tcPr>
          <w:p w:rsidR="009F1B5C" w:rsidRPr="00A7106A" w:rsidRDefault="009F1B5C" w:rsidP="00633794">
            <w:pPr>
              <w:pStyle w:val="TableText"/>
              <w:jc w:val="center"/>
              <w:rPr>
                <w:b/>
              </w:rPr>
            </w:pPr>
            <w:r w:rsidRPr="00A7106A">
              <w:rPr>
                <w:b/>
              </w:rPr>
              <w:t>ref</w:t>
            </w:r>
          </w:p>
        </w:tc>
      </w:tr>
      <w:tr w:rsidR="009F1B5C" w:rsidRPr="00A7106A" w:rsidTr="00DC4F15">
        <w:tc>
          <w:tcPr>
            <w:tcW w:w="2977" w:type="dxa"/>
          </w:tcPr>
          <w:p w:rsidR="009F1B5C" w:rsidRPr="00A7106A" w:rsidRDefault="009F1B5C" w:rsidP="00633794">
            <w:pPr>
              <w:pStyle w:val="TableText"/>
            </w:pPr>
            <w:r w:rsidRPr="00A7106A">
              <w:t>DXA + ARtx (osteoporosis)</w:t>
            </w:r>
          </w:p>
        </w:tc>
        <w:tc>
          <w:tcPr>
            <w:tcW w:w="851" w:type="dxa"/>
            <w:vAlign w:val="center"/>
          </w:tcPr>
          <w:p w:rsidR="009F1B5C" w:rsidRPr="00A7106A" w:rsidRDefault="009F1B5C" w:rsidP="00633794">
            <w:pPr>
              <w:pStyle w:val="TableText"/>
              <w:jc w:val="center"/>
            </w:pPr>
            <w:r>
              <w:t>$</w:t>
            </w:r>
            <w:r w:rsidRPr="00A7106A">
              <w:t>5331</w:t>
            </w:r>
          </w:p>
        </w:tc>
        <w:tc>
          <w:tcPr>
            <w:tcW w:w="850" w:type="dxa"/>
            <w:vAlign w:val="center"/>
          </w:tcPr>
          <w:p w:rsidR="009F1B5C" w:rsidRPr="00A7106A" w:rsidRDefault="009F1B5C" w:rsidP="00633794">
            <w:pPr>
              <w:pStyle w:val="TableText"/>
              <w:jc w:val="center"/>
            </w:pPr>
            <w:r w:rsidRPr="00A7106A">
              <w:t>11.956</w:t>
            </w:r>
          </w:p>
        </w:tc>
        <w:tc>
          <w:tcPr>
            <w:tcW w:w="851" w:type="dxa"/>
            <w:vAlign w:val="center"/>
          </w:tcPr>
          <w:p w:rsidR="009F1B5C" w:rsidRPr="00A7106A" w:rsidRDefault="009F1B5C" w:rsidP="00633794">
            <w:pPr>
              <w:pStyle w:val="TableText"/>
              <w:jc w:val="center"/>
            </w:pPr>
            <w:r>
              <w:t>$</w:t>
            </w:r>
            <w:r w:rsidRPr="00A7106A">
              <w:t>1275</w:t>
            </w:r>
          </w:p>
        </w:tc>
        <w:tc>
          <w:tcPr>
            <w:tcW w:w="709" w:type="dxa"/>
            <w:vAlign w:val="center"/>
          </w:tcPr>
          <w:p w:rsidR="009F1B5C" w:rsidRPr="00A7106A" w:rsidRDefault="009F1B5C" w:rsidP="00633794">
            <w:pPr>
              <w:pStyle w:val="TableText"/>
              <w:jc w:val="center"/>
            </w:pPr>
            <w:r w:rsidRPr="00A7106A">
              <w:t>0.299</w:t>
            </w:r>
          </w:p>
        </w:tc>
        <w:tc>
          <w:tcPr>
            <w:tcW w:w="911" w:type="dxa"/>
            <w:vAlign w:val="center"/>
          </w:tcPr>
          <w:p w:rsidR="009F1B5C" w:rsidRPr="00A7106A" w:rsidRDefault="009F1B5C" w:rsidP="00633794">
            <w:pPr>
              <w:pStyle w:val="TableText"/>
              <w:jc w:val="center"/>
              <w:rPr>
                <w:b/>
              </w:rPr>
            </w:pPr>
            <w:r w:rsidRPr="00A7106A">
              <w:rPr>
                <w:b/>
              </w:rPr>
              <w:t>$4</w:t>
            </w:r>
            <w:r>
              <w:rPr>
                <w:b/>
              </w:rPr>
              <w:t>,</w:t>
            </w:r>
            <w:r w:rsidRPr="00A7106A">
              <w:rPr>
                <w:b/>
              </w:rPr>
              <w:t>264</w:t>
            </w:r>
          </w:p>
        </w:tc>
        <w:tc>
          <w:tcPr>
            <w:tcW w:w="1215" w:type="dxa"/>
            <w:vAlign w:val="center"/>
          </w:tcPr>
          <w:p w:rsidR="009F1B5C" w:rsidRPr="00A7106A" w:rsidRDefault="009F1B5C" w:rsidP="00633794">
            <w:pPr>
              <w:pStyle w:val="TableText"/>
              <w:jc w:val="center"/>
            </w:pPr>
            <w:r w:rsidRPr="00A7106A">
              <w:t>100</w:t>
            </w:r>
          </w:p>
        </w:tc>
        <w:tc>
          <w:tcPr>
            <w:tcW w:w="1384" w:type="dxa"/>
            <w:vAlign w:val="center"/>
          </w:tcPr>
          <w:p w:rsidR="009F1B5C" w:rsidRPr="00A7106A" w:rsidRDefault="009F1B5C" w:rsidP="00633794">
            <w:pPr>
              <w:pStyle w:val="TableText"/>
              <w:jc w:val="center"/>
              <w:rPr>
                <w:b/>
              </w:rPr>
            </w:pPr>
            <w:r w:rsidRPr="00A7106A">
              <w:rPr>
                <w:b/>
              </w:rPr>
              <w:t>$98,077</w:t>
            </w:r>
          </w:p>
        </w:tc>
      </w:tr>
      <w:tr w:rsidR="009F1B5C" w:rsidRPr="00A7106A" w:rsidTr="00DC4F15">
        <w:tc>
          <w:tcPr>
            <w:tcW w:w="2977" w:type="dxa"/>
          </w:tcPr>
          <w:p w:rsidR="009F1B5C" w:rsidRPr="00A7106A" w:rsidRDefault="009F1B5C" w:rsidP="00633794">
            <w:pPr>
              <w:pStyle w:val="TableText"/>
            </w:pPr>
            <w:r w:rsidRPr="00A7106A">
              <w:t>DXA + ARtx (osteoporosis + osteopenia)</w:t>
            </w:r>
          </w:p>
        </w:tc>
        <w:tc>
          <w:tcPr>
            <w:tcW w:w="851" w:type="dxa"/>
            <w:vAlign w:val="center"/>
          </w:tcPr>
          <w:p w:rsidR="009F1B5C" w:rsidRPr="00A7106A" w:rsidRDefault="009F1B5C" w:rsidP="00633794">
            <w:pPr>
              <w:pStyle w:val="TableText"/>
              <w:jc w:val="center"/>
            </w:pPr>
            <w:r>
              <w:t>$</w:t>
            </w:r>
            <w:r w:rsidRPr="00A7106A">
              <w:t>10249</w:t>
            </w:r>
          </w:p>
        </w:tc>
        <w:tc>
          <w:tcPr>
            <w:tcW w:w="850" w:type="dxa"/>
            <w:vAlign w:val="center"/>
          </w:tcPr>
          <w:p w:rsidR="009F1B5C" w:rsidRPr="00A7106A" w:rsidRDefault="009F1B5C" w:rsidP="00633794">
            <w:pPr>
              <w:pStyle w:val="TableText"/>
              <w:jc w:val="center"/>
            </w:pPr>
            <w:r w:rsidRPr="00A7106A">
              <w:t>11.959</w:t>
            </w:r>
          </w:p>
        </w:tc>
        <w:tc>
          <w:tcPr>
            <w:tcW w:w="851" w:type="dxa"/>
            <w:vAlign w:val="center"/>
          </w:tcPr>
          <w:p w:rsidR="009F1B5C" w:rsidRPr="00A7106A" w:rsidRDefault="009F1B5C" w:rsidP="00633794">
            <w:pPr>
              <w:pStyle w:val="TableText"/>
              <w:jc w:val="center"/>
            </w:pPr>
            <w:r>
              <w:t>$</w:t>
            </w:r>
            <w:r w:rsidRPr="00A7106A">
              <w:t>6193</w:t>
            </w:r>
          </w:p>
        </w:tc>
        <w:tc>
          <w:tcPr>
            <w:tcW w:w="709" w:type="dxa"/>
            <w:vAlign w:val="center"/>
          </w:tcPr>
          <w:p w:rsidR="009F1B5C" w:rsidRPr="00A7106A" w:rsidRDefault="009F1B5C" w:rsidP="00633794">
            <w:pPr>
              <w:pStyle w:val="TableText"/>
              <w:jc w:val="center"/>
            </w:pPr>
            <w:r w:rsidRPr="00A7106A">
              <w:t>0.302</w:t>
            </w:r>
          </w:p>
        </w:tc>
        <w:tc>
          <w:tcPr>
            <w:tcW w:w="911" w:type="dxa"/>
            <w:vAlign w:val="center"/>
          </w:tcPr>
          <w:p w:rsidR="009F1B5C" w:rsidRPr="00A7106A" w:rsidRDefault="009F1B5C" w:rsidP="00633794">
            <w:pPr>
              <w:pStyle w:val="TableText"/>
              <w:jc w:val="center"/>
              <w:rPr>
                <w:b/>
              </w:rPr>
            </w:pPr>
            <w:r w:rsidRPr="00A7106A">
              <w:rPr>
                <w:b/>
              </w:rPr>
              <w:t>$20</w:t>
            </w:r>
            <w:r>
              <w:rPr>
                <w:b/>
              </w:rPr>
              <w:t>,</w:t>
            </w:r>
            <w:r w:rsidRPr="00A7106A">
              <w:rPr>
                <w:b/>
              </w:rPr>
              <w:t>507</w:t>
            </w:r>
          </w:p>
        </w:tc>
        <w:tc>
          <w:tcPr>
            <w:tcW w:w="1215" w:type="dxa"/>
            <w:vAlign w:val="center"/>
          </w:tcPr>
          <w:p w:rsidR="009F1B5C" w:rsidRPr="00A7106A" w:rsidRDefault="009F1B5C" w:rsidP="00633794">
            <w:pPr>
              <w:pStyle w:val="TableText"/>
              <w:jc w:val="center"/>
            </w:pPr>
            <w:r w:rsidRPr="00A7106A">
              <w:t>80</w:t>
            </w:r>
          </w:p>
        </w:tc>
        <w:tc>
          <w:tcPr>
            <w:tcW w:w="1384" w:type="dxa"/>
            <w:vAlign w:val="center"/>
          </w:tcPr>
          <w:p w:rsidR="009F1B5C" w:rsidRPr="00A7106A" w:rsidRDefault="009F1B5C" w:rsidP="00633794">
            <w:pPr>
              <w:pStyle w:val="TableText"/>
              <w:jc w:val="center"/>
              <w:rPr>
                <w:b/>
              </w:rPr>
            </w:pPr>
            <w:r w:rsidRPr="00A7106A">
              <w:rPr>
                <w:b/>
              </w:rPr>
              <w:t>$187,667</w:t>
            </w:r>
          </w:p>
        </w:tc>
      </w:tr>
      <w:tr w:rsidR="009F1B5C" w:rsidRPr="00A7106A" w:rsidTr="00DC4F15">
        <w:tc>
          <w:tcPr>
            <w:tcW w:w="2977" w:type="dxa"/>
          </w:tcPr>
          <w:p w:rsidR="009F1B5C" w:rsidRPr="00A7106A" w:rsidRDefault="009F1B5C" w:rsidP="00633794">
            <w:pPr>
              <w:pStyle w:val="TableText"/>
            </w:pPr>
            <w:r w:rsidRPr="00A7106A">
              <w:t>DXA + ARtx (all women)</w:t>
            </w:r>
          </w:p>
        </w:tc>
        <w:tc>
          <w:tcPr>
            <w:tcW w:w="851" w:type="dxa"/>
            <w:vAlign w:val="center"/>
          </w:tcPr>
          <w:p w:rsidR="009F1B5C" w:rsidRPr="00A7106A" w:rsidRDefault="009F1B5C" w:rsidP="00633794">
            <w:pPr>
              <w:pStyle w:val="TableText"/>
              <w:jc w:val="center"/>
            </w:pPr>
            <w:r>
              <w:t>$</w:t>
            </w:r>
            <w:r w:rsidRPr="00A7106A">
              <w:t>13131</w:t>
            </w:r>
          </w:p>
        </w:tc>
        <w:tc>
          <w:tcPr>
            <w:tcW w:w="850" w:type="dxa"/>
            <w:vAlign w:val="center"/>
          </w:tcPr>
          <w:p w:rsidR="009F1B5C" w:rsidRPr="00A7106A" w:rsidRDefault="009F1B5C" w:rsidP="00633794">
            <w:pPr>
              <w:pStyle w:val="TableText"/>
              <w:jc w:val="center"/>
            </w:pPr>
            <w:r w:rsidRPr="00A7106A">
              <w:t>11.960</w:t>
            </w:r>
          </w:p>
        </w:tc>
        <w:tc>
          <w:tcPr>
            <w:tcW w:w="851" w:type="dxa"/>
            <w:vAlign w:val="center"/>
          </w:tcPr>
          <w:p w:rsidR="009F1B5C" w:rsidRPr="00A7106A" w:rsidRDefault="009F1B5C" w:rsidP="00633794">
            <w:pPr>
              <w:pStyle w:val="TableText"/>
              <w:jc w:val="center"/>
            </w:pPr>
            <w:r>
              <w:t>$</w:t>
            </w:r>
            <w:r w:rsidRPr="00A7106A">
              <w:t>9075</w:t>
            </w:r>
          </w:p>
        </w:tc>
        <w:tc>
          <w:tcPr>
            <w:tcW w:w="709" w:type="dxa"/>
            <w:vAlign w:val="center"/>
          </w:tcPr>
          <w:p w:rsidR="009F1B5C" w:rsidRPr="00A7106A" w:rsidRDefault="009F1B5C" w:rsidP="00633794">
            <w:pPr>
              <w:pStyle w:val="TableText"/>
              <w:jc w:val="center"/>
            </w:pPr>
            <w:r w:rsidRPr="00A7106A">
              <w:t>0.303</w:t>
            </w:r>
          </w:p>
        </w:tc>
        <w:tc>
          <w:tcPr>
            <w:tcW w:w="911" w:type="dxa"/>
            <w:vAlign w:val="center"/>
          </w:tcPr>
          <w:p w:rsidR="009F1B5C" w:rsidRPr="00A7106A" w:rsidRDefault="009F1B5C" w:rsidP="00633794">
            <w:pPr>
              <w:pStyle w:val="TableText"/>
              <w:jc w:val="center"/>
              <w:rPr>
                <w:b/>
              </w:rPr>
            </w:pPr>
            <w:r w:rsidRPr="00A7106A">
              <w:rPr>
                <w:b/>
              </w:rPr>
              <w:t>$29</w:t>
            </w:r>
            <w:r>
              <w:rPr>
                <w:b/>
              </w:rPr>
              <w:t>,</w:t>
            </w:r>
            <w:r w:rsidRPr="00A7106A">
              <w:rPr>
                <w:b/>
              </w:rPr>
              <w:t>950</w:t>
            </w:r>
          </w:p>
        </w:tc>
        <w:tc>
          <w:tcPr>
            <w:tcW w:w="1215" w:type="dxa"/>
            <w:vAlign w:val="center"/>
          </w:tcPr>
          <w:p w:rsidR="009F1B5C" w:rsidRPr="00A7106A" w:rsidRDefault="009F1B5C" w:rsidP="00633794">
            <w:pPr>
              <w:pStyle w:val="TableText"/>
              <w:jc w:val="center"/>
            </w:pPr>
            <w:r w:rsidRPr="00A7106A">
              <w:t>73</w:t>
            </w:r>
          </w:p>
        </w:tc>
        <w:tc>
          <w:tcPr>
            <w:tcW w:w="1384" w:type="dxa"/>
            <w:vAlign w:val="center"/>
          </w:tcPr>
          <w:p w:rsidR="009F1B5C" w:rsidRPr="00A7106A" w:rsidRDefault="009F1B5C" w:rsidP="00633794">
            <w:pPr>
              <w:pStyle w:val="TableText"/>
              <w:jc w:val="center"/>
              <w:rPr>
                <w:b/>
              </w:rPr>
            </w:pPr>
            <w:r w:rsidRPr="00A7106A">
              <w:rPr>
                <w:b/>
              </w:rPr>
              <w:t>$226,875</w:t>
            </w:r>
          </w:p>
        </w:tc>
      </w:tr>
    </w:tbl>
    <w:p w:rsidR="009F1B5C" w:rsidRDefault="009F1B5C" w:rsidP="009F1B5C">
      <w:r>
        <w:rPr>
          <w:rFonts w:ascii="Arial Narrow" w:hAnsi="Arial Narrow"/>
          <w:sz w:val="18"/>
          <w:szCs w:val="18"/>
        </w:rPr>
        <w:t xml:space="preserve">ARtx = Anti-resorptive therapy, </w:t>
      </w:r>
      <w:r w:rsidRPr="006D19D1">
        <w:rPr>
          <w:rFonts w:ascii="Arial Narrow" w:hAnsi="Arial Narrow"/>
          <w:sz w:val="18"/>
          <w:szCs w:val="18"/>
        </w:rPr>
        <w:t>DXA = dual absorptiometry X-ray</w:t>
      </w:r>
      <w:r w:rsidR="00DC4F15">
        <w:rPr>
          <w:rFonts w:ascii="Arial Narrow" w:hAnsi="Arial Narrow"/>
          <w:sz w:val="18"/>
          <w:szCs w:val="18"/>
        </w:rPr>
        <w:t>, ICER = incremental cost-</w:t>
      </w:r>
      <w:r>
        <w:rPr>
          <w:rFonts w:ascii="Arial Narrow" w:hAnsi="Arial Narrow"/>
          <w:sz w:val="18"/>
          <w:szCs w:val="18"/>
        </w:rPr>
        <w:t>effectiveness ratio, QALYs = quality adjusted life years</w:t>
      </w:r>
      <w:r>
        <w:t xml:space="preserve"> </w:t>
      </w:r>
    </w:p>
    <w:p w:rsidR="009F1B5C" w:rsidRDefault="007345DB" w:rsidP="005C40D7">
      <w:pPr>
        <w:spacing w:after="0"/>
      </w:pPr>
      <w:r>
        <w:t xml:space="preserve">As shown above, the ICERs are cost-effective when QALYs are used as the outcome but very high when incremental cost per fracture avoided is considered.  One-way and probabilistic sensitivity analyses indicate the model is stable to variations in parameters including discount rates, </w:t>
      </w:r>
      <w:r w:rsidR="00EB0255">
        <w:t xml:space="preserve">frequency of DXA scans, </w:t>
      </w:r>
      <w:r>
        <w:t xml:space="preserve">cost of bone therapy, probability of osteoporosis, background utility </w:t>
      </w:r>
      <w:r w:rsidR="00BF7F95">
        <w:t>for women with breast cancer.</w:t>
      </w:r>
    </w:p>
    <w:p w:rsidR="009F1B5C" w:rsidRPr="00C9782D" w:rsidRDefault="009F1B5C" w:rsidP="00F6430A">
      <w:pPr>
        <w:tabs>
          <w:tab w:val="left" w:pos="567"/>
          <w:tab w:val="num" w:pos="851"/>
        </w:tabs>
        <w:spacing w:after="0"/>
        <w:ind w:left="567" w:hanging="425"/>
        <w:rPr>
          <w:szCs w:val="24"/>
        </w:rPr>
      </w:pPr>
    </w:p>
    <w:p w:rsidR="00E45A4B" w:rsidRPr="00BF7F95" w:rsidRDefault="00E45A4B" w:rsidP="00534D10">
      <w:pPr>
        <w:pStyle w:val="ListParagraph"/>
        <w:numPr>
          <w:ilvl w:val="0"/>
          <w:numId w:val="8"/>
        </w:numPr>
        <w:tabs>
          <w:tab w:val="left" w:pos="567"/>
          <w:tab w:val="num" w:pos="851"/>
          <w:tab w:val="left" w:pos="1140"/>
        </w:tabs>
        <w:rPr>
          <w:rFonts w:ascii="Arial" w:hAnsi="Arial" w:cs="Arial"/>
          <w:b/>
        </w:rPr>
      </w:pPr>
      <w:r w:rsidRPr="00BF7F95">
        <w:rPr>
          <w:rFonts w:ascii="Arial" w:hAnsi="Arial" w:cs="Arial"/>
          <w:b/>
        </w:rPr>
        <w:t>Financial/budgetary impacts</w:t>
      </w:r>
    </w:p>
    <w:p w:rsidR="00BF7F95" w:rsidRDefault="00BF7F95" w:rsidP="00BF7F95">
      <w:r>
        <w:t xml:space="preserve">The financial impact has been calculated for the next five years taking into account the number of new cases of (early stage) breast cancer each year (aged 50-69), repeat scans, </w:t>
      </w:r>
      <w:r w:rsidR="005E1035">
        <w:t xml:space="preserve">and </w:t>
      </w:r>
      <w:r>
        <w:t>ongoing treatment for bone density while on AI therapy (Table ES</w:t>
      </w:r>
      <w:r w:rsidR="00C262EC">
        <w:t>2</w:t>
      </w:r>
      <w:r>
        <w:t xml:space="preserve">). </w:t>
      </w:r>
    </w:p>
    <w:p w:rsidR="00BF7F95" w:rsidRDefault="00BF7F95" w:rsidP="00BF7F95">
      <w:pPr>
        <w:pStyle w:val="TableName"/>
        <w:ind w:hanging="306"/>
      </w:pPr>
      <w:bookmarkStart w:id="24" w:name="_Toc386112669"/>
      <w:r>
        <w:lastRenderedPageBreak/>
        <w:t>Table ES</w:t>
      </w:r>
      <w:r w:rsidR="00C262EC">
        <w:t>2</w:t>
      </w:r>
      <w:r>
        <w:t>: Results of the financial estimates over next five years</w:t>
      </w:r>
      <w:bookmarkEnd w:id="24"/>
    </w:p>
    <w:tbl>
      <w:tblPr>
        <w:tblW w:w="88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sults of the financial estimates for executive summary"/>
      </w:tblPr>
      <w:tblGrid>
        <w:gridCol w:w="3496"/>
        <w:gridCol w:w="1078"/>
        <w:gridCol w:w="993"/>
        <w:gridCol w:w="1078"/>
        <w:gridCol w:w="1078"/>
        <w:gridCol w:w="1078"/>
      </w:tblGrid>
      <w:tr w:rsidR="005E1035" w:rsidRPr="00C67A8A" w:rsidTr="00076C3C">
        <w:trPr>
          <w:trHeight w:val="375"/>
          <w:tblHeader/>
        </w:trPr>
        <w:tc>
          <w:tcPr>
            <w:tcW w:w="3496" w:type="dxa"/>
            <w:shd w:val="clear" w:color="auto" w:fill="auto"/>
            <w:noWrap/>
            <w:vAlign w:val="bottom"/>
            <w:hideMark/>
          </w:tcPr>
          <w:p w:rsidR="00BF7F95" w:rsidRPr="00C67A8A" w:rsidRDefault="00BF7F95" w:rsidP="00633794">
            <w:pPr>
              <w:pStyle w:val="TableText"/>
            </w:pPr>
          </w:p>
        </w:tc>
        <w:tc>
          <w:tcPr>
            <w:tcW w:w="1078" w:type="dxa"/>
            <w:shd w:val="clear" w:color="auto" w:fill="auto"/>
            <w:noWrap/>
            <w:vAlign w:val="bottom"/>
            <w:hideMark/>
          </w:tcPr>
          <w:p w:rsidR="00BF7F95" w:rsidRPr="00C67A8A" w:rsidRDefault="00BF7F95" w:rsidP="00633794">
            <w:pPr>
              <w:pStyle w:val="TableText"/>
              <w:jc w:val="right"/>
              <w:rPr>
                <w:b/>
                <w:bCs/>
              </w:rPr>
            </w:pPr>
            <w:r w:rsidRPr="00C67A8A">
              <w:rPr>
                <w:b/>
                <w:bCs/>
              </w:rPr>
              <w:t>2015</w:t>
            </w:r>
          </w:p>
        </w:tc>
        <w:tc>
          <w:tcPr>
            <w:tcW w:w="993" w:type="dxa"/>
            <w:shd w:val="clear" w:color="auto" w:fill="auto"/>
            <w:noWrap/>
            <w:vAlign w:val="bottom"/>
            <w:hideMark/>
          </w:tcPr>
          <w:p w:rsidR="00BF7F95" w:rsidRPr="00C67A8A" w:rsidRDefault="00BF7F95" w:rsidP="00633794">
            <w:pPr>
              <w:pStyle w:val="TableText"/>
              <w:jc w:val="right"/>
              <w:rPr>
                <w:b/>
                <w:bCs/>
              </w:rPr>
            </w:pPr>
            <w:r w:rsidRPr="00C67A8A">
              <w:rPr>
                <w:b/>
                <w:bCs/>
              </w:rPr>
              <w:t>2016</w:t>
            </w:r>
          </w:p>
        </w:tc>
        <w:tc>
          <w:tcPr>
            <w:tcW w:w="1078" w:type="dxa"/>
            <w:shd w:val="clear" w:color="auto" w:fill="auto"/>
            <w:noWrap/>
            <w:vAlign w:val="bottom"/>
            <w:hideMark/>
          </w:tcPr>
          <w:p w:rsidR="00BF7F95" w:rsidRPr="00C67A8A" w:rsidRDefault="00BF7F95" w:rsidP="00633794">
            <w:pPr>
              <w:pStyle w:val="TableText"/>
              <w:jc w:val="right"/>
              <w:rPr>
                <w:b/>
                <w:bCs/>
              </w:rPr>
            </w:pPr>
            <w:r w:rsidRPr="00C67A8A">
              <w:rPr>
                <w:b/>
                <w:bCs/>
              </w:rPr>
              <w:t>2017</w:t>
            </w:r>
          </w:p>
        </w:tc>
        <w:tc>
          <w:tcPr>
            <w:tcW w:w="1078" w:type="dxa"/>
            <w:shd w:val="clear" w:color="auto" w:fill="auto"/>
            <w:noWrap/>
            <w:vAlign w:val="bottom"/>
            <w:hideMark/>
          </w:tcPr>
          <w:p w:rsidR="00BF7F95" w:rsidRPr="00C67A8A" w:rsidRDefault="00BF7F95" w:rsidP="00633794">
            <w:pPr>
              <w:pStyle w:val="TableText"/>
              <w:jc w:val="right"/>
              <w:rPr>
                <w:b/>
                <w:bCs/>
              </w:rPr>
            </w:pPr>
            <w:r w:rsidRPr="00C67A8A">
              <w:rPr>
                <w:b/>
                <w:bCs/>
              </w:rPr>
              <w:t>2018</w:t>
            </w:r>
          </w:p>
        </w:tc>
        <w:tc>
          <w:tcPr>
            <w:tcW w:w="1078" w:type="dxa"/>
            <w:shd w:val="clear" w:color="auto" w:fill="auto"/>
            <w:noWrap/>
            <w:vAlign w:val="bottom"/>
            <w:hideMark/>
          </w:tcPr>
          <w:p w:rsidR="00BF7F95" w:rsidRPr="00C67A8A" w:rsidRDefault="00BF7F95" w:rsidP="00633794">
            <w:pPr>
              <w:pStyle w:val="TableText"/>
              <w:jc w:val="right"/>
              <w:rPr>
                <w:b/>
                <w:bCs/>
              </w:rPr>
            </w:pPr>
            <w:r w:rsidRPr="00C67A8A">
              <w:rPr>
                <w:b/>
                <w:bCs/>
              </w:rPr>
              <w:t>2019</w:t>
            </w:r>
          </w:p>
        </w:tc>
      </w:tr>
      <w:tr w:rsidR="005E1035" w:rsidRPr="00C67A8A" w:rsidTr="00076C3C">
        <w:trPr>
          <w:trHeight w:val="300"/>
          <w:tblHeader/>
        </w:trPr>
        <w:tc>
          <w:tcPr>
            <w:tcW w:w="3496" w:type="dxa"/>
            <w:shd w:val="clear" w:color="auto" w:fill="auto"/>
            <w:noWrap/>
            <w:vAlign w:val="bottom"/>
            <w:hideMark/>
          </w:tcPr>
          <w:p w:rsidR="00BF7F95" w:rsidRPr="00C67A8A" w:rsidRDefault="00BF7F95" w:rsidP="00633794">
            <w:pPr>
              <w:pStyle w:val="TableText"/>
            </w:pPr>
            <w:r w:rsidRPr="00C67A8A">
              <w:t>Total number of women each year</w:t>
            </w:r>
          </w:p>
        </w:tc>
        <w:tc>
          <w:tcPr>
            <w:tcW w:w="1078" w:type="dxa"/>
            <w:shd w:val="clear" w:color="auto" w:fill="auto"/>
            <w:noWrap/>
            <w:vAlign w:val="bottom"/>
            <w:hideMark/>
          </w:tcPr>
          <w:p w:rsidR="00BF7F95" w:rsidRPr="00C67A8A" w:rsidRDefault="00BF7F95" w:rsidP="00633794">
            <w:pPr>
              <w:pStyle w:val="TableText"/>
              <w:jc w:val="right"/>
            </w:pPr>
            <w:r w:rsidRPr="00C67A8A">
              <w:t>5911</w:t>
            </w:r>
          </w:p>
        </w:tc>
        <w:tc>
          <w:tcPr>
            <w:tcW w:w="993" w:type="dxa"/>
            <w:shd w:val="clear" w:color="auto" w:fill="auto"/>
            <w:noWrap/>
            <w:vAlign w:val="bottom"/>
            <w:hideMark/>
          </w:tcPr>
          <w:p w:rsidR="00BF7F95" w:rsidRPr="00C67A8A" w:rsidRDefault="00BF7F95" w:rsidP="00633794">
            <w:pPr>
              <w:pStyle w:val="TableText"/>
              <w:jc w:val="right"/>
            </w:pPr>
            <w:r w:rsidRPr="00C67A8A">
              <w:t>11956</w:t>
            </w:r>
          </w:p>
        </w:tc>
        <w:tc>
          <w:tcPr>
            <w:tcW w:w="1078" w:type="dxa"/>
            <w:shd w:val="clear" w:color="auto" w:fill="auto"/>
            <w:noWrap/>
            <w:vAlign w:val="bottom"/>
            <w:hideMark/>
          </w:tcPr>
          <w:p w:rsidR="00BF7F95" w:rsidRPr="00C67A8A" w:rsidRDefault="00BF7F95" w:rsidP="00633794">
            <w:pPr>
              <w:pStyle w:val="TableText"/>
              <w:jc w:val="right"/>
            </w:pPr>
            <w:r w:rsidRPr="00C67A8A">
              <w:t>18138</w:t>
            </w:r>
          </w:p>
        </w:tc>
        <w:tc>
          <w:tcPr>
            <w:tcW w:w="1078" w:type="dxa"/>
            <w:shd w:val="clear" w:color="auto" w:fill="auto"/>
            <w:noWrap/>
            <w:vAlign w:val="bottom"/>
            <w:hideMark/>
          </w:tcPr>
          <w:p w:rsidR="00BF7F95" w:rsidRPr="00C67A8A" w:rsidRDefault="00BF7F95" w:rsidP="00633794">
            <w:pPr>
              <w:pStyle w:val="TableText"/>
              <w:jc w:val="right"/>
            </w:pPr>
            <w:r w:rsidRPr="00C67A8A">
              <w:t>24454</w:t>
            </w:r>
          </w:p>
        </w:tc>
        <w:tc>
          <w:tcPr>
            <w:tcW w:w="1078" w:type="dxa"/>
            <w:shd w:val="clear" w:color="auto" w:fill="auto"/>
            <w:noWrap/>
            <w:vAlign w:val="bottom"/>
            <w:hideMark/>
          </w:tcPr>
          <w:p w:rsidR="00BF7F95" w:rsidRPr="00C67A8A" w:rsidRDefault="00BF7F95" w:rsidP="00633794">
            <w:pPr>
              <w:pStyle w:val="TableText"/>
              <w:jc w:val="right"/>
            </w:pPr>
            <w:r w:rsidRPr="00C67A8A">
              <w:t>30906</w:t>
            </w:r>
          </w:p>
        </w:tc>
      </w:tr>
      <w:tr w:rsidR="005E1035" w:rsidRPr="00C67A8A" w:rsidTr="00076C3C">
        <w:trPr>
          <w:trHeight w:val="300"/>
          <w:tblHeader/>
        </w:trPr>
        <w:tc>
          <w:tcPr>
            <w:tcW w:w="3496" w:type="dxa"/>
            <w:shd w:val="clear" w:color="auto" w:fill="auto"/>
            <w:noWrap/>
            <w:vAlign w:val="bottom"/>
            <w:hideMark/>
          </w:tcPr>
          <w:p w:rsidR="00BF7F95" w:rsidRPr="00C67A8A" w:rsidRDefault="00BF7F95" w:rsidP="005F4CEF">
            <w:pPr>
              <w:pStyle w:val="TableText"/>
            </w:pPr>
            <w:r w:rsidRPr="00C67A8A">
              <w:t>N</w:t>
            </w:r>
            <w:r w:rsidR="005F4CEF">
              <w:t xml:space="preserve">o. </w:t>
            </w:r>
            <w:r>
              <w:t xml:space="preserve">DXA </w:t>
            </w:r>
            <w:r w:rsidRPr="00C67A8A">
              <w:t>scans if annual</w:t>
            </w:r>
          </w:p>
        </w:tc>
        <w:tc>
          <w:tcPr>
            <w:tcW w:w="1078" w:type="dxa"/>
            <w:shd w:val="clear" w:color="auto" w:fill="auto"/>
            <w:noWrap/>
            <w:vAlign w:val="bottom"/>
            <w:hideMark/>
          </w:tcPr>
          <w:p w:rsidR="00BF7F95" w:rsidRPr="00C67A8A" w:rsidRDefault="00BF7F95" w:rsidP="00633794">
            <w:pPr>
              <w:pStyle w:val="TableText"/>
              <w:jc w:val="right"/>
            </w:pPr>
            <w:r w:rsidRPr="00C67A8A">
              <w:t>5911</w:t>
            </w:r>
          </w:p>
        </w:tc>
        <w:tc>
          <w:tcPr>
            <w:tcW w:w="993" w:type="dxa"/>
            <w:shd w:val="clear" w:color="auto" w:fill="auto"/>
            <w:noWrap/>
            <w:vAlign w:val="bottom"/>
            <w:hideMark/>
          </w:tcPr>
          <w:p w:rsidR="00BF7F95" w:rsidRPr="00C67A8A" w:rsidRDefault="00BF7F95" w:rsidP="00633794">
            <w:pPr>
              <w:pStyle w:val="TableText"/>
              <w:jc w:val="right"/>
            </w:pPr>
            <w:r w:rsidRPr="00C67A8A">
              <w:t>11956</w:t>
            </w:r>
          </w:p>
        </w:tc>
        <w:tc>
          <w:tcPr>
            <w:tcW w:w="1078" w:type="dxa"/>
            <w:shd w:val="clear" w:color="auto" w:fill="auto"/>
            <w:noWrap/>
            <w:vAlign w:val="bottom"/>
            <w:hideMark/>
          </w:tcPr>
          <w:p w:rsidR="00BF7F95" w:rsidRPr="00C67A8A" w:rsidRDefault="00BF7F95" w:rsidP="00633794">
            <w:pPr>
              <w:pStyle w:val="TableText"/>
              <w:jc w:val="right"/>
            </w:pPr>
            <w:r w:rsidRPr="00C67A8A">
              <w:t>18138</w:t>
            </w:r>
          </w:p>
        </w:tc>
        <w:tc>
          <w:tcPr>
            <w:tcW w:w="1078" w:type="dxa"/>
            <w:shd w:val="clear" w:color="auto" w:fill="auto"/>
            <w:noWrap/>
            <w:vAlign w:val="bottom"/>
            <w:hideMark/>
          </w:tcPr>
          <w:p w:rsidR="00BF7F95" w:rsidRPr="00C67A8A" w:rsidRDefault="00BF7F95" w:rsidP="00633794">
            <w:pPr>
              <w:pStyle w:val="TableText"/>
              <w:jc w:val="right"/>
            </w:pPr>
            <w:r w:rsidRPr="00C67A8A">
              <w:t>24454</w:t>
            </w:r>
          </w:p>
        </w:tc>
        <w:tc>
          <w:tcPr>
            <w:tcW w:w="1078" w:type="dxa"/>
            <w:shd w:val="clear" w:color="auto" w:fill="auto"/>
            <w:noWrap/>
            <w:vAlign w:val="bottom"/>
            <w:hideMark/>
          </w:tcPr>
          <w:p w:rsidR="00BF7F95" w:rsidRPr="00C67A8A" w:rsidRDefault="00BF7F95" w:rsidP="00633794">
            <w:pPr>
              <w:pStyle w:val="TableText"/>
              <w:jc w:val="right"/>
            </w:pPr>
            <w:r w:rsidRPr="00C67A8A">
              <w:t>30906</w:t>
            </w:r>
          </w:p>
        </w:tc>
      </w:tr>
      <w:tr w:rsidR="005E1035" w:rsidRPr="00C67A8A" w:rsidTr="00076C3C">
        <w:trPr>
          <w:trHeight w:val="300"/>
          <w:tblHeader/>
        </w:trPr>
        <w:tc>
          <w:tcPr>
            <w:tcW w:w="3496" w:type="dxa"/>
            <w:shd w:val="clear" w:color="auto" w:fill="auto"/>
            <w:noWrap/>
            <w:vAlign w:val="bottom"/>
            <w:hideMark/>
          </w:tcPr>
          <w:p w:rsidR="00BF7F95" w:rsidRPr="00C67A8A" w:rsidRDefault="00BF7F95" w:rsidP="005F4CEF">
            <w:pPr>
              <w:pStyle w:val="TableText"/>
            </w:pPr>
            <w:r>
              <w:t>N</w:t>
            </w:r>
            <w:r w:rsidR="005F4CEF">
              <w:t>o.</w:t>
            </w:r>
            <w:r w:rsidRPr="00C67A8A">
              <w:t xml:space="preserve">women with osteoporosis </w:t>
            </w:r>
            <w:r w:rsidR="005F4CEF">
              <w:t>on</w:t>
            </w:r>
            <w:r>
              <w:t xml:space="preserve"> anti-resorptives</w:t>
            </w:r>
          </w:p>
        </w:tc>
        <w:tc>
          <w:tcPr>
            <w:tcW w:w="1078" w:type="dxa"/>
            <w:shd w:val="clear" w:color="auto" w:fill="auto"/>
            <w:noWrap/>
            <w:vAlign w:val="bottom"/>
            <w:hideMark/>
          </w:tcPr>
          <w:p w:rsidR="00BF7F95" w:rsidRPr="00C67A8A" w:rsidRDefault="00BF7F95" w:rsidP="00633794">
            <w:pPr>
              <w:pStyle w:val="TableText"/>
              <w:jc w:val="right"/>
            </w:pPr>
            <w:r w:rsidRPr="00C67A8A">
              <w:t>866</w:t>
            </w:r>
          </w:p>
        </w:tc>
        <w:tc>
          <w:tcPr>
            <w:tcW w:w="993" w:type="dxa"/>
            <w:shd w:val="clear" w:color="auto" w:fill="auto"/>
            <w:noWrap/>
            <w:vAlign w:val="bottom"/>
            <w:hideMark/>
          </w:tcPr>
          <w:p w:rsidR="00BF7F95" w:rsidRPr="00C67A8A" w:rsidRDefault="00BF7F95" w:rsidP="00633794">
            <w:pPr>
              <w:pStyle w:val="TableText"/>
              <w:jc w:val="right"/>
            </w:pPr>
            <w:r w:rsidRPr="00C67A8A">
              <w:t>1752</w:t>
            </w:r>
          </w:p>
        </w:tc>
        <w:tc>
          <w:tcPr>
            <w:tcW w:w="1078" w:type="dxa"/>
            <w:shd w:val="clear" w:color="auto" w:fill="auto"/>
            <w:noWrap/>
            <w:vAlign w:val="bottom"/>
            <w:hideMark/>
          </w:tcPr>
          <w:p w:rsidR="00BF7F95" w:rsidRPr="00C67A8A" w:rsidRDefault="00BF7F95" w:rsidP="00633794">
            <w:pPr>
              <w:pStyle w:val="TableText"/>
              <w:jc w:val="right"/>
            </w:pPr>
            <w:r w:rsidRPr="00C67A8A">
              <w:t>2657</w:t>
            </w:r>
          </w:p>
        </w:tc>
        <w:tc>
          <w:tcPr>
            <w:tcW w:w="1078" w:type="dxa"/>
            <w:shd w:val="clear" w:color="auto" w:fill="auto"/>
            <w:noWrap/>
            <w:vAlign w:val="bottom"/>
            <w:hideMark/>
          </w:tcPr>
          <w:p w:rsidR="00BF7F95" w:rsidRPr="00C67A8A" w:rsidRDefault="00BF7F95" w:rsidP="00633794">
            <w:pPr>
              <w:pStyle w:val="TableText"/>
              <w:jc w:val="right"/>
            </w:pPr>
            <w:r w:rsidRPr="00C67A8A">
              <w:t>3583</w:t>
            </w:r>
          </w:p>
        </w:tc>
        <w:tc>
          <w:tcPr>
            <w:tcW w:w="1078" w:type="dxa"/>
            <w:shd w:val="clear" w:color="auto" w:fill="auto"/>
            <w:noWrap/>
            <w:vAlign w:val="bottom"/>
            <w:hideMark/>
          </w:tcPr>
          <w:p w:rsidR="00BF7F95" w:rsidRPr="00C67A8A" w:rsidRDefault="00BF7F95" w:rsidP="00633794">
            <w:pPr>
              <w:pStyle w:val="TableText"/>
              <w:jc w:val="right"/>
            </w:pPr>
            <w:r w:rsidRPr="00C67A8A">
              <w:t>4528</w:t>
            </w:r>
          </w:p>
        </w:tc>
      </w:tr>
      <w:tr w:rsidR="005E1035" w:rsidRPr="00C67A8A" w:rsidTr="00076C3C">
        <w:trPr>
          <w:trHeight w:val="300"/>
          <w:tblHeader/>
        </w:trPr>
        <w:tc>
          <w:tcPr>
            <w:tcW w:w="3496" w:type="dxa"/>
            <w:shd w:val="clear" w:color="auto" w:fill="auto"/>
            <w:noWrap/>
            <w:vAlign w:val="bottom"/>
            <w:hideMark/>
          </w:tcPr>
          <w:p w:rsidR="005E1035" w:rsidRPr="00C67A8A" w:rsidRDefault="00200CF4" w:rsidP="00633794">
            <w:pPr>
              <w:pStyle w:val="TableText"/>
            </w:pPr>
            <w:r>
              <w:t xml:space="preserve">Estimated cost of </w:t>
            </w:r>
            <w:r w:rsidR="005E1035" w:rsidRPr="00C67A8A">
              <w:t>DXA scans x uptake</w:t>
            </w:r>
          </w:p>
        </w:tc>
        <w:tc>
          <w:tcPr>
            <w:tcW w:w="1078" w:type="dxa"/>
            <w:shd w:val="clear" w:color="auto" w:fill="auto"/>
            <w:noWrap/>
            <w:vAlign w:val="bottom"/>
            <w:hideMark/>
          </w:tcPr>
          <w:p w:rsidR="005E1035" w:rsidRPr="00C67A8A" w:rsidRDefault="005E1035" w:rsidP="00633794">
            <w:pPr>
              <w:pStyle w:val="TableText"/>
              <w:jc w:val="right"/>
            </w:pPr>
            <w:r>
              <w:t>$</w:t>
            </w:r>
            <w:r w:rsidRPr="00C67A8A">
              <w:t xml:space="preserve">514,510 </w:t>
            </w:r>
          </w:p>
        </w:tc>
        <w:tc>
          <w:tcPr>
            <w:tcW w:w="993" w:type="dxa"/>
            <w:shd w:val="clear" w:color="auto" w:fill="auto"/>
            <w:noWrap/>
            <w:vAlign w:val="bottom"/>
            <w:hideMark/>
          </w:tcPr>
          <w:p w:rsidR="005E1035" w:rsidRPr="00C67A8A" w:rsidRDefault="005E1035" w:rsidP="005F2476">
            <w:pPr>
              <w:pStyle w:val="TableText"/>
              <w:jc w:val="right"/>
            </w:pPr>
            <w:r>
              <w:t>$</w:t>
            </w:r>
            <w:r w:rsidRPr="00C67A8A">
              <w:t>1,040,</w:t>
            </w:r>
            <w:r w:rsidR="005F2476">
              <w:t>770</w:t>
            </w:r>
            <w:r w:rsidRPr="00C67A8A">
              <w:t xml:space="preserve"> </w:t>
            </w:r>
          </w:p>
        </w:tc>
        <w:tc>
          <w:tcPr>
            <w:tcW w:w="1078" w:type="dxa"/>
            <w:shd w:val="clear" w:color="auto" w:fill="auto"/>
            <w:noWrap/>
            <w:vAlign w:val="bottom"/>
            <w:hideMark/>
          </w:tcPr>
          <w:p w:rsidR="005E1035" w:rsidRPr="00C67A8A" w:rsidRDefault="005E1035" w:rsidP="005F2476">
            <w:pPr>
              <w:pStyle w:val="TableText"/>
              <w:jc w:val="right"/>
            </w:pPr>
            <w:r>
              <w:t>$</w:t>
            </w:r>
            <w:r w:rsidRPr="00C67A8A">
              <w:t>1,578,</w:t>
            </w:r>
            <w:r w:rsidR="005F2476">
              <w:t>913</w:t>
            </w:r>
            <w:r w:rsidRPr="00C67A8A">
              <w:t xml:space="preserve"> </w:t>
            </w:r>
          </w:p>
        </w:tc>
        <w:tc>
          <w:tcPr>
            <w:tcW w:w="1078" w:type="dxa"/>
            <w:shd w:val="clear" w:color="auto" w:fill="auto"/>
            <w:noWrap/>
            <w:vAlign w:val="bottom"/>
            <w:hideMark/>
          </w:tcPr>
          <w:p w:rsidR="005E1035" w:rsidRPr="00C67A8A" w:rsidRDefault="005E1035" w:rsidP="005F2476">
            <w:pPr>
              <w:pStyle w:val="TableText"/>
              <w:jc w:val="right"/>
            </w:pPr>
            <w:r>
              <w:t>$</w:t>
            </w:r>
            <w:r w:rsidRPr="00C67A8A">
              <w:t>2,128,7</w:t>
            </w:r>
            <w:r w:rsidR="005F2476">
              <w:t>21</w:t>
            </w:r>
            <w:r w:rsidRPr="00C67A8A">
              <w:t xml:space="preserve"> </w:t>
            </w:r>
          </w:p>
        </w:tc>
        <w:tc>
          <w:tcPr>
            <w:tcW w:w="1078" w:type="dxa"/>
            <w:shd w:val="clear" w:color="auto" w:fill="auto"/>
            <w:noWrap/>
            <w:vAlign w:val="bottom"/>
            <w:hideMark/>
          </w:tcPr>
          <w:p w:rsidR="005E1035" w:rsidRPr="00C67A8A" w:rsidRDefault="005E1035" w:rsidP="005F2476">
            <w:pPr>
              <w:pStyle w:val="TableText"/>
              <w:jc w:val="right"/>
            </w:pPr>
            <w:r>
              <w:t>$</w:t>
            </w:r>
            <w:r w:rsidRPr="00C67A8A">
              <w:t>2,690,</w:t>
            </w:r>
            <w:r w:rsidR="005F2476">
              <w:t>367</w:t>
            </w:r>
            <w:r w:rsidRPr="00C67A8A">
              <w:t xml:space="preserve"> </w:t>
            </w:r>
          </w:p>
        </w:tc>
      </w:tr>
      <w:tr w:rsidR="005E1035" w:rsidRPr="00C67A8A" w:rsidTr="00076C3C">
        <w:trPr>
          <w:trHeight w:val="300"/>
          <w:tblHeader/>
        </w:trPr>
        <w:tc>
          <w:tcPr>
            <w:tcW w:w="3496" w:type="dxa"/>
            <w:shd w:val="clear" w:color="auto" w:fill="auto"/>
            <w:noWrap/>
            <w:vAlign w:val="bottom"/>
            <w:hideMark/>
          </w:tcPr>
          <w:p w:rsidR="00BF7F95" w:rsidRPr="00BF7F95" w:rsidRDefault="00BF7F95" w:rsidP="00633794">
            <w:pPr>
              <w:pStyle w:val="TableText"/>
              <w:rPr>
                <w:bCs/>
              </w:rPr>
            </w:pPr>
            <w:r w:rsidRPr="00076C3C">
              <w:rPr>
                <w:b/>
                <w:bCs/>
              </w:rPr>
              <w:t>TOTAL MBS COSTS</w:t>
            </w:r>
            <w:r w:rsidRPr="00BF7F95">
              <w:rPr>
                <w:bCs/>
              </w:rPr>
              <w:t xml:space="preserve"> (DXA, vit D tests, GP visits)</w:t>
            </w:r>
          </w:p>
        </w:tc>
        <w:tc>
          <w:tcPr>
            <w:tcW w:w="1078" w:type="dxa"/>
            <w:shd w:val="clear" w:color="auto" w:fill="auto"/>
            <w:noWrap/>
            <w:vAlign w:val="bottom"/>
            <w:hideMark/>
          </w:tcPr>
          <w:p w:rsidR="00BF7F95" w:rsidRPr="00076C3C" w:rsidRDefault="00BF7F95" w:rsidP="00633794">
            <w:pPr>
              <w:pStyle w:val="TableText"/>
              <w:jc w:val="right"/>
              <w:rPr>
                <w:b/>
                <w:bCs/>
              </w:rPr>
            </w:pPr>
            <w:r w:rsidRPr="00076C3C">
              <w:rPr>
                <w:b/>
                <w:bCs/>
              </w:rPr>
              <w:t xml:space="preserve">$865,074 </w:t>
            </w:r>
          </w:p>
        </w:tc>
        <w:tc>
          <w:tcPr>
            <w:tcW w:w="993" w:type="dxa"/>
            <w:shd w:val="clear" w:color="auto" w:fill="auto"/>
            <w:noWrap/>
            <w:vAlign w:val="bottom"/>
            <w:hideMark/>
          </w:tcPr>
          <w:p w:rsidR="00BF7F95" w:rsidRPr="00076C3C" w:rsidRDefault="00BF7F95" w:rsidP="005F2476">
            <w:pPr>
              <w:pStyle w:val="TableText"/>
              <w:jc w:val="right"/>
              <w:rPr>
                <w:b/>
                <w:bCs/>
              </w:rPr>
            </w:pPr>
            <w:r w:rsidRPr="00076C3C">
              <w:rPr>
                <w:b/>
                <w:bCs/>
              </w:rPr>
              <w:t>$1,749,9</w:t>
            </w:r>
            <w:r w:rsidR="005F2476" w:rsidRPr="00076C3C">
              <w:rPr>
                <w:b/>
                <w:bCs/>
              </w:rPr>
              <w:t>27</w:t>
            </w:r>
            <w:r w:rsidRPr="00076C3C">
              <w:rPr>
                <w:b/>
                <w:bCs/>
              </w:rPr>
              <w:t xml:space="preserve"> </w:t>
            </w:r>
          </w:p>
        </w:tc>
        <w:tc>
          <w:tcPr>
            <w:tcW w:w="1078" w:type="dxa"/>
            <w:shd w:val="clear" w:color="auto" w:fill="auto"/>
            <w:noWrap/>
            <w:vAlign w:val="bottom"/>
            <w:hideMark/>
          </w:tcPr>
          <w:p w:rsidR="00BF7F95" w:rsidRPr="00076C3C" w:rsidRDefault="00BF7F95" w:rsidP="005F2476">
            <w:pPr>
              <w:pStyle w:val="TableText"/>
              <w:jc w:val="right"/>
              <w:rPr>
                <w:b/>
                <w:bCs/>
              </w:rPr>
            </w:pPr>
            <w:r w:rsidRPr="00076C3C">
              <w:rPr>
                <w:b/>
                <w:bCs/>
              </w:rPr>
              <w:t>$2,654,6</w:t>
            </w:r>
            <w:r w:rsidR="005F2476" w:rsidRPr="00076C3C">
              <w:rPr>
                <w:b/>
                <w:bCs/>
              </w:rPr>
              <w:t>94</w:t>
            </w:r>
            <w:r w:rsidRPr="00076C3C">
              <w:rPr>
                <w:b/>
                <w:bCs/>
              </w:rPr>
              <w:t xml:space="preserve"> </w:t>
            </w:r>
          </w:p>
        </w:tc>
        <w:tc>
          <w:tcPr>
            <w:tcW w:w="1078" w:type="dxa"/>
            <w:shd w:val="clear" w:color="auto" w:fill="auto"/>
            <w:noWrap/>
            <w:vAlign w:val="bottom"/>
            <w:hideMark/>
          </w:tcPr>
          <w:p w:rsidR="00BF7F95" w:rsidRPr="00076C3C" w:rsidRDefault="00BF7F95" w:rsidP="005F2476">
            <w:pPr>
              <w:pStyle w:val="TableText"/>
              <w:jc w:val="right"/>
              <w:rPr>
                <w:b/>
                <w:bCs/>
              </w:rPr>
            </w:pPr>
            <w:r w:rsidRPr="00076C3C">
              <w:rPr>
                <w:b/>
                <w:bCs/>
              </w:rPr>
              <w:t>$3,579,1</w:t>
            </w:r>
            <w:r w:rsidR="005F2476" w:rsidRPr="00076C3C">
              <w:rPr>
                <w:b/>
                <w:bCs/>
              </w:rPr>
              <w:t>56</w:t>
            </w:r>
            <w:r w:rsidRPr="00076C3C">
              <w:rPr>
                <w:b/>
                <w:bCs/>
              </w:rPr>
              <w:t xml:space="preserve"> </w:t>
            </w:r>
          </w:p>
        </w:tc>
        <w:tc>
          <w:tcPr>
            <w:tcW w:w="1078" w:type="dxa"/>
            <w:shd w:val="clear" w:color="auto" w:fill="auto"/>
            <w:noWrap/>
            <w:vAlign w:val="bottom"/>
            <w:hideMark/>
          </w:tcPr>
          <w:p w:rsidR="00BF7F95" w:rsidRPr="00076C3C" w:rsidRDefault="00BF7F95" w:rsidP="005F2476">
            <w:pPr>
              <w:pStyle w:val="TableText"/>
              <w:jc w:val="right"/>
              <w:rPr>
                <w:b/>
                <w:bCs/>
              </w:rPr>
            </w:pPr>
            <w:r w:rsidRPr="00076C3C">
              <w:rPr>
                <w:b/>
                <w:bCs/>
              </w:rPr>
              <w:t>$4,523,</w:t>
            </w:r>
            <w:r w:rsidR="005F2476" w:rsidRPr="00076C3C">
              <w:rPr>
                <w:b/>
                <w:bCs/>
              </w:rPr>
              <w:t>487</w:t>
            </w:r>
            <w:r w:rsidRPr="00076C3C">
              <w:rPr>
                <w:b/>
                <w:bCs/>
              </w:rPr>
              <w:t xml:space="preserve"> </w:t>
            </w:r>
          </w:p>
        </w:tc>
      </w:tr>
      <w:tr w:rsidR="005E1035" w:rsidRPr="00C67A8A" w:rsidTr="00076C3C">
        <w:trPr>
          <w:trHeight w:val="300"/>
          <w:tblHeader/>
        </w:trPr>
        <w:tc>
          <w:tcPr>
            <w:tcW w:w="3496" w:type="dxa"/>
            <w:shd w:val="clear" w:color="auto" w:fill="auto"/>
            <w:noWrap/>
            <w:vAlign w:val="bottom"/>
            <w:hideMark/>
          </w:tcPr>
          <w:p w:rsidR="00BF7F95" w:rsidRPr="00BF7F95" w:rsidRDefault="00BF7F95" w:rsidP="00BF7F95">
            <w:pPr>
              <w:pStyle w:val="TableText"/>
              <w:rPr>
                <w:bCs/>
              </w:rPr>
            </w:pPr>
            <w:r w:rsidRPr="00BF7F95">
              <w:rPr>
                <w:bCs/>
              </w:rPr>
              <w:t xml:space="preserve">TOTAL PBS COSTS </w:t>
            </w:r>
            <w:r>
              <w:rPr>
                <w:bCs/>
              </w:rPr>
              <w:t>(</w:t>
            </w:r>
            <w:r w:rsidRPr="00BF7F95">
              <w:rPr>
                <w:bCs/>
              </w:rPr>
              <w:t>anti-resorptives</w:t>
            </w:r>
            <w:r>
              <w:rPr>
                <w:bCs/>
              </w:rPr>
              <w:t>)</w:t>
            </w:r>
          </w:p>
        </w:tc>
        <w:tc>
          <w:tcPr>
            <w:tcW w:w="1078" w:type="dxa"/>
            <w:shd w:val="clear" w:color="auto" w:fill="auto"/>
            <w:noWrap/>
            <w:vAlign w:val="bottom"/>
            <w:hideMark/>
          </w:tcPr>
          <w:p w:rsidR="00BF7F95" w:rsidRPr="00BF7F95" w:rsidRDefault="00BF7F95" w:rsidP="00633794">
            <w:pPr>
              <w:pStyle w:val="TableText"/>
              <w:jc w:val="right"/>
              <w:rPr>
                <w:bCs/>
              </w:rPr>
            </w:pPr>
            <w:r w:rsidRPr="00BF7F95">
              <w:rPr>
                <w:bCs/>
              </w:rPr>
              <w:t xml:space="preserve">$473,815 </w:t>
            </w:r>
          </w:p>
        </w:tc>
        <w:tc>
          <w:tcPr>
            <w:tcW w:w="993" w:type="dxa"/>
            <w:shd w:val="clear" w:color="auto" w:fill="auto"/>
            <w:noWrap/>
            <w:vAlign w:val="bottom"/>
            <w:hideMark/>
          </w:tcPr>
          <w:p w:rsidR="00BF7F95" w:rsidRPr="00BF7F95" w:rsidRDefault="00BF7F95" w:rsidP="00633794">
            <w:pPr>
              <w:pStyle w:val="TableText"/>
              <w:jc w:val="right"/>
              <w:rPr>
                <w:bCs/>
              </w:rPr>
            </w:pPr>
            <w:r w:rsidRPr="00BF7F95">
              <w:rPr>
                <w:bCs/>
              </w:rPr>
              <w:t xml:space="preserve">$910,560 </w:t>
            </w:r>
          </w:p>
        </w:tc>
        <w:tc>
          <w:tcPr>
            <w:tcW w:w="1078" w:type="dxa"/>
            <w:shd w:val="clear" w:color="auto" w:fill="auto"/>
            <w:noWrap/>
            <w:vAlign w:val="bottom"/>
            <w:hideMark/>
          </w:tcPr>
          <w:p w:rsidR="00BF7F95" w:rsidRPr="00BF7F95" w:rsidRDefault="00BF7F95" w:rsidP="00633794">
            <w:pPr>
              <w:pStyle w:val="TableText"/>
              <w:jc w:val="right"/>
              <w:rPr>
                <w:bCs/>
              </w:rPr>
            </w:pPr>
            <w:r w:rsidRPr="00BF7F95">
              <w:rPr>
                <w:bCs/>
              </w:rPr>
              <w:t xml:space="preserve">$1,308,605 </w:t>
            </w:r>
          </w:p>
        </w:tc>
        <w:tc>
          <w:tcPr>
            <w:tcW w:w="1078" w:type="dxa"/>
            <w:shd w:val="clear" w:color="auto" w:fill="auto"/>
            <w:noWrap/>
            <w:vAlign w:val="bottom"/>
            <w:hideMark/>
          </w:tcPr>
          <w:p w:rsidR="00BF7F95" w:rsidRPr="00BF7F95" w:rsidRDefault="00BF7F95" w:rsidP="00633794">
            <w:pPr>
              <w:pStyle w:val="TableText"/>
              <w:jc w:val="right"/>
              <w:rPr>
                <w:bCs/>
              </w:rPr>
            </w:pPr>
            <w:r w:rsidRPr="00BF7F95">
              <w:rPr>
                <w:bCs/>
              </w:rPr>
              <w:t xml:space="preserve">$1,666,324 </w:t>
            </w:r>
          </w:p>
        </w:tc>
        <w:tc>
          <w:tcPr>
            <w:tcW w:w="1078" w:type="dxa"/>
            <w:shd w:val="clear" w:color="auto" w:fill="auto"/>
            <w:noWrap/>
            <w:vAlign w:val="bottom"/>
            <w:hideMark/>
          </w:tcPr>
          <w:p w:rsidR="00BF7F95" w:rsidRPr="00BF7F95" w:rsidRDefault="00BF7F95" w:rsidP="00633794">
            <w:pPr>
              <w:pStyle w:val="TableText"/>
              <w:jc w:val="right"/>
              <w:rPr>
                <w:bCs/>
              </w:rPr>
            </w:pPr>
            <w:r w:rsidRPr="00BF7F95">
              <w:rPr>
                <w:bCs/>
              </w:rPr>
              <w:t xml:space="preserve">$1,982,089 </w:t>
            </w:r>
          </w:p>
        </w:tc>
      </w:tr>
      <w:tr w:rsidR="005E1035" w:rsidRPr="00C67A8A" w:rsidTr="00076C3C">
        <w:trPr>
          <w:trHeight w:val="300"/>
          <w:tblHeader/>
        </w:trPr>
        <w:tc>
          <w:tcPr>
            <w:tcW w:w="3496" w:type="dxa"/>
            <w:shd w:val="clear" w:color="auto" w:fill="auto"/>
            <w:noWrap/>
            <w:vAlign w:val="bottom"/>
            <w:hideMark/>
          </w:tcPr>
          <w:p w:rsidR="00BF7F95" w:rsidRPr="00BF7F95" w:rsidRDefault="00BF7F95" w:rsidP="00633794">
            <w:pPr>
              <w:pStyle w:val="TableText"/>
              <w:rPr>
                <w:bCs/>
              </w:rPr>
            </w:pPr>
            <w:r w:rsidRPr="00BF7F95">
              <w:rPr>
                <w:bCs/>
              </w:rPr>
              <w:t xml:space="preserve">TOTAL STATE GOVT COST SAVINGS </w:t>
            </w:r>
            <w:r>
              <w:rPr>
                <w:bCs/>
              </w:rPr>
              <w:t>(</w:t>
            </w:r>
            <w:r w:rsidRPr="00BF7F95">
              <w:rPr>
                <w:bCs/>
              </w:rPr>
              <w:t>fracture prevention</w:t>
            </w:r>
            <w:r>
              <w:rPr>
                <w:bCs/>
              </w:rPr>
              <w:t>)</w:t>
            </w:r>
          </w:p>
        </w:tc>
        <w:tc>
          <w:tcPr>
            <w:tcW w:w="1078" w:type="dxa"/>
            <w:shd w:val="clear" w:color="auto" w:fill="auto"/>
            <w:noWrap/>
            <w:vAlign w:val="bottom"/>
            <w:hideMark/>
          </w:tcPr>
          <w:p w:rsidR="00BF7F95" w:rsidRPr="00BF7F95" w:rsidRDefault="00BF7F95" w:rsidP="00633794">
            <w:pPr>
              <w:pStyle w:val="TableText"/>
              <w:jc w:val="right"/>
              <w:rPr>
                <w:bCs/>
              </w:rPr>
            </w:pPr>
            <w:r w:rsidRPr="00BF7F95">
              <w:rPr>
                <w:bCs/>
              </w:rPr>
              <w:t xml:space="preserve">-$38,453 </w:t>
            </w:r>
          </w:p>
        </w:tc>
        <w:tc>
          <w:tcPr>
            <w:tcW w:w="993" w:type="dxa"/>
            <w:shd w:val="clear" w:color="auto" w:fill="auto"/>
            <w:noWrap/>
            <w:vAlign w:val="bottom"/>
            <w:hideMark/>
          </w:tcPr>
          <w:p w:rsidR="00BF7F95" w:rsidRPr="00BF7F95" w:rsidRDefault="00BF7F95" w:rsidP="00633794">
            <w:pPr>
              <w:pStyle w:val="TableText"/>
              <w:jc w:val="right"/>
              <w:rPr>
                <w:bCs/>
              </w:rPr>
            </w:pPr>
            <w:r w:rsidRPr="00BF7F95">
              <w:rPr>
                <w:bCs/>
              </w:rPr>
              <w:t xml:space="preserve">-$77,787 </w:t>
            </w:r>
          </w:p>
        </w:tc>
        <w:tc>
          <w:tcPr>
            <w:tcW w:w="1078" w:type="dxa"/>
            <w:shd w:val="clear" w:color="auto" w:fill="auto"/>
            <w:noWrap/>
            <w:vAlign w:val="bottom"/>
            <w:hideMark/>
          </w:tcPr>
          <w:p w:rsidR="00BF7F95" w:rsidRPr="00BF7F95" w:rsidRDefault="00BF7F95" w:rsidP="00633794">
            <w:pPr>
              <w:pStyle w:val="TableText"/>
              <w:jc w:val="right"/>
              <w:rPr>
                <w:bCs/>
              </w:rPr>
            </w:pPr>
            <w:r w:rsidRPr="00BF7F95">
              <w:rPr>
                <w:bCs/>
              </w:rPr>
              <w:t xml:space="preserve">-$118,002 </w:t>
            </w:r>
          </w:p>
        </w:tc>
        <w:tc>
          <w:tcPr>
            <w:tcW w:w="1078" w:type="dxa"/>
            <w:shd w:val="clear" w:color="auto" w:fill="auto"/>
            <w:noWrap/>
            <w:vAlign w:val="bottom"/>
            <w:hideMark/>
          </w:tcPr>
          <w:p w:rsidR="00BF7F95" w:rsidRPr="00BF7F95" w:rsidRDefault="00BF7F95" w:rsidP="00633794">
            <w:pPr>
              <w:pStyle w:val="TableText"/>
              <w:jc w:val="right"/>
              <w:rPr>
                <w:bCs/>
              </w:rPr>
            </w:pPr>
            <w:r w:rsidRPr="00BF7F95">
              <w:rPr>
                <w:bCs/>
              </w:rPr>
              <w:t xml:space="preserve">-$159,098 </w:t>
            </w:r>
          </w:p>
        </w:tc>
        <w:tc>
          <w:tcPr>
            <w:tcW w:w="1078" w:type="dxa"/>
            <w:shd w:val="clear" w:color="auto" w:fill="auto"/>
            <w:noWrap/>
            <w:vAlign w:val="bottom"/>
            <w:hideMark/>
          </w:tcPr>
          <w:p w:rsidR="00BF7F95" w:rsidRPr="00BF7F95" w:rsidRDefault="00BF7F95" w:rsidP="00633794">
            <w:pPr>
              <w:pStyle w:val="TableText"/>
              <w:jc w:val="right"/>
              <w:rPr>
                <w:bCs/>
              </w:rPr>
            </w:pPr>
            <w:r w:rsidRPr="00BF7F95">
              <w:rPr>
                <w:bCs/>
              </w:rPr>
              <w:t xml:space="preserve">-$201,074 </w:t>
            </w:r>
          </w:p>
        </w:tc>
      </w:tr>
      <w:tr w:rsidR="005E1035" w:rsidRPr="00C67A8A" w:rsidTr="00076C3C">
        <w:trPr>
          <w:trHeight w:val="300"/>
          <w:tblHeader/>
        </w:trPr>
        <w:tc>
          <w:tcPr>
            <w:tcW w:w="3496" w:type="dxa"/>
            <w:shd w:val="clear" w:color="auto" w:fill="auto"/>
            <w:noWrap/>
            <w:vAlign w:val="bottom"/>
            <w:hideMark/>
          </w:tcPr>
          <w:p w:rsidR="00BF7F95" w:rsidRPr="00C67A8A" w:rsidRDefault="00BF7F95" w:rsidP="00633794">
            <w:pPr>
              <w:pStyle w:val="TableText"/>
              <w:rPr>
                <w:b/>
                <w:bCs/>
              </w:rPr>
            </w:pPr>
            <w:r w:rsidRPr="00C67A8A">
              <w:rPr>
                <w:b/>
                <w:bCs/>
              </w:rPr>
              <w:t xml:space="preserve">TOTAL </w:t>
            </w:r>
            <w:r w:rsidR="00076C3C">
              <w:rPr>
                <w:b/>
                <w:bCs/>
              </w:rPr>
              <w:t xml:space="preserve">GOVERNMENT </w:t>
            </w:r>
            <w:r w:rsidRPr="00C67A8A">
              <w:rPr>
                <w:b/>
                <w:bCs/>
              </w:rPr>
              <w:t>COSTS</w:t>
            </w:r>
          </w:p>
        </w:tc>
        <w:tc>
          <w:tcPr>
            <w:tcW w:w="1078" w:type="dxa"/>
            <w:shd w:val="clear" w:color="auto" w:fill="auto"/>
            <w:noWrap/>
            <w:vAlign w:val="bottom"/>
            <w:hideMark/>
          </w:tcPr>
          <w:p w:rsidR="00BF7F95" w:rsidRPr="00C67A8A" w:rsidRDefault="00BF7F95" w:rsidP="00633794">
            <w:pPr>
              <w:pStyle w:val="TableText"/>
              <w:jc w:val="right"/>
              <w:rPr>
                <w:b/>
                <w:bCs/>
              </w:rPr>
            </w:pPr>
            <w:r>
              <w:rPr>
                <w:b/>
                <w:bCs/>
              </w:rPr>
              <w:t>$</w:t>
            </w:r>
            <w:r w:rsidRPr="00C67A8A">
              <w:rPr>
                <w:b/>
                <w:bCs/>
              </w:rPr>
              <w:t xml:space="preserve">1,300,436 </w:t>
            </w:r>
          </w:p>
        </w:tc>
        <w:tc>
          <w:tcPr>
            <w:tcW w:w="993" w:type="dxa"/>
            <w:shd w:val="clear" w:color="auto" w:fill="auto"/>
            <w:noWrap/>
            <w:vAlign w:val="bottom"/>
            <w:hideMark/>
          </w:tcPr>
          <w:p w:rsidR="00BF7F95" w:rsidRPr="00C67A8A" w:rsidRDefault="00BF7F95" w:rsidP="005F2476">
            <w:pPr>
              <w:pStyle w:val="TableText"/>
              <w:jc w:val="right"/>
              <w:rPr>
                <w:b/>
                <w:bCs/>
              </w:rPr>
            </w:pPr>
            <w:r>
              <w:rPr>
                <w:b/>
                <w:bCs/>
              </w:rPr>
              <w:t>$</w:t>
            </w:r>
            <w:r w:rsidRPr="00C67A8A">
              <w:rPr>
                <w:b/>
                <w:bCs/>
              </w:rPr>
              <w:t>2,582,</w:t>
            </w:r>
            <w:r w:rsidR="005F2476">
              <w:rPr>
                <w:b/>
                <w:bCs/>
              </w:rPr>
              <w:t>699</w:t>
            </w:r>
            <w:r w:rsidRPr="00C67A8A">
              <w:rPr>
                <w:b/>
                <w:bCs/>
              </w:rPr>
              <w:t xml:space="preserve"> </w:t>
            </w:r>
          </w:p>
        </w:tc>
        <w:tc>
          <w:tcPr>
            <w:tcW w:w="1078" w:type="dxa"/>
            <w:shd w:val="clear" w:color="auto" w:fill="auto"/>
            <w:noWrap/>
            <w:vAlign w:val="bottom"/>
            <w:hideMark/>
          </w:tcPr>
          <w:p w:rsidR="00BF7F95" w:rsidRPr="00C67A8A" w:rsidRDefault="00BF7F95" w:rsidP="005F2476">
            <w:pPr>
              <w:pStyle w:val="TableText"/>
              <w:jc w:val="right"/>
              <w:rPr>
                <w:b/>
                <w:bCs/>
              </w:rPr>
            </w:pPr>
            <w:r>
              <w:rPr>
                <w:b/>
                <w:bCs/>
              </w:rPr>
              <w:t>$</w:t>
            </w:r>
            <w:r w:rsidRPr="00C67A8A">
              <w:rPr>
                <w:b/>
                <w:bCs/>
              </w:rPr>
              <w:t>3,845,2</w:t>
            </w:r>
            <w:r w:rsidR="005F2476">
              <w:rPr>
                <w:b/>
                <w:bCs/>
              </w:rPr>
              <w:t>97</w:t>
            </w:r>
            <w:r w:rsidRPr="00C67A8A">
              <w:rPr>
                <w:b/>
                <w:bCs/>
              </w:rPr>
              <w:t xml:space="preserve"> </w:t>
            </w:r>
          </w:p>
        </w:tc>
        <w:tc>
          <w:tcPr>
            <w:tcW w:w="1078" w:type="dxa"/>
            <w:shd w:val="clear" w:color="auto" w:fill="auto"/>
            <w:noWrap/>
            <w:vAlign w:val="bottom"/>
            <w:hideMark/>
          </w:tcPr>
          <w:p w:rsidR="00BF7F95" w:rsidRPr="00C67A8A" w:rsidRDefault="00BF7F95" w:rsidP="005F2476">
            <w:pPr>
              <w:pStyle w:val="TableText"/>
              <w:jc w:val="right"/>
              <w:rPr>
                <w:b/>
                <w:bCs/>
              </w:rPr>
            </w:pPr>
            <w:r>
              <w:rPr>
                <w:b/>
                <w:bCs/>
              </w:rPr>
              <w:t>$</w:t>
            </w:r>
            <w:r w:rsidRPr="00C67A8A">
              <w:rPr>
                <w:b/>
                <w:bCs/>
              </w:rPr>
              <w:t>5,086,</w:t>
            </w:r>
            <w:r w:rsidR="005F2476">
              <w:rPr>
                <w:b/>
                <w:bCs/>
              </w:rPr>
              <w:t>383</w:t>
            </w:r>
            <w:r w:rsidRPr="00C67A8A">
              <w:rPr>
                <w:b/>
                <w:bCs/>
              </w:rPr>
              <w:t xml:space="preserve"> </w:t>
            </w:r>
          </w:p>
        </w:tc>
        <w:tc>
          <w:tcPr>
            <w:tcW w:w="1078" w:type="dxa"/>
            <w:shd w:val="clear" w:color="auto" w:fill="auto"/>
            <w:noWrap/>
            <w:vAlign w:val="bottom"/>
            <w:hideMark/>
          </w:tcPr>
          <w:p w:rsidR="00BF7F95" w:rsidRPr="00C67A8A" w:rsidRDefault="00BF7F95" w:rsidP="005F2476">
            <w:pPr>
              <w:pStyle w:val="TableText"/>
              <w:jc w:val="right"/>
              <w:rPr>
                <w:b/>
                <w:bCs/>
              </w:rPr>
            </w:pPr>
            <w:r>
              <w:rPr>
                <w:b/>
                <w:bCs/>
              </w:rPr>
              <w:t>$</w:t>
            </w:r>
            <w:r w:rsidRPr="00C67A8A">
              <w:rPr>
                <w:b/>
                <w:bCs/>
              </w:rPr>
              <w:t>6,304,5</w:t>
            </w:r>
            <w:r w:rsidR="005F2476">
              <w:rPr>
                <w:b/>
                <w:bCs/>
              </w:rPr>
              <w:t>02</w:t>
            </w:r>
            <w:r w:rsidRPr="00C67A8A">
              <w:rPr>
                <w:b/>
                <w:bCs/>
              </w:rPr>
              <w:t xml:space="preserve"> </w:t>
            </w:r>
          </w:p>
        </w:tc>
      </w:tr>
    </w:tbl>
    <w:p w:rsidR="00BF7F95" w:rsidRDefault="00BF7F95" w:rsidP="00BF7F95">
      <w:pPr>
        <w:pStyle w:val="TableText"/>
        <w:ind w:left="1134"/>
      </w:pPr>
      <w:r>
        <w:t xml:space="preserve">DXA = dual x-ray absorptiometry, </w:t>
      </w:r>
      <w:r w:rsidR="00C262EC">
        <w:t>MBS = Medical Benefits Schedule</w:t>
      </w:r>
      <w:r>
        <w:t xml:space="preserve">, PBS= Pharmaceutical Benefits Schedule. </w:t>
      </w:r>
    </w:p>
    <w:p w:rsidR="00E45A4B" w:rsidRDefault="00E45A4B" w:rsidP="005E1035">
      <w:pPr>
        <w:tabs>
          <w:tab w:val="left" w:pos="567"/>
          <w:tab w:val="num" w:pos="851"/>
        </w:tabs>
        <w:spacing w:after="0"/>
        <w:ind w:left="0"/>
        <w:rPr>
          <w:szCs w:val="24"/>
        </w:rPr>
      </w:pPr>
    </w:p>
    <w:p w:rsidR="00B16286" w:rsidRPr="00C9782D" w:rsidRDefault="00B16286" w:rsidP="00B16286">
      <w:r w:rsidRPr="00C9782D">
        <w:t xml:space="preserve">The expected uptake of </w:t>
      </w:r>
      <w:r>
        <w:t xml:space="preserve">DXA scans </w:t>
      </w:r>
      <w:r w:rsidRPr="00C9782D">
        <w:t xml:space="preserve">is estimated at </w:t>
      </w:r>
      <w:r>
        <w:t>5911</w:t>
      </w:r>
      <w:r w:rsidRPr="00C9782D">
        <w:t xml:space="preserve"> </w:t>
      </w:r>
      <w:r w:rsidRPr="00B16286">
        <w:t>procedures</w:t>
      </w:r>
      <w:r w:rsidRPr="00C9782D">
        <w:t xml:space="preserve"> for </w:t>
      </w:r>
      <w:r>
        <w:t>5911</w:t>
      </w:r>
      <w:r w:rsidRPr="00C9782D">
        <w:t xml:space="preserve"> patients </w:t>
      </w:r>
      <w:r>
        <w:t>in Year 1 rising to 30,906 DXA scans for 30,906 patients in Year 5</w:t>
      </w:r>
      <w:r w:rsidRPr="00C9782D">
        <w:t>.</w:t>
      </w:r>
    </w:p>
    <w:p w:rsidR="00B16286" w:rsidRPr="00C9782D" w:rsidRDefault="00B16286" w:rsidP="00B16286">
      <w:r w:rsidRPr="00C9782D">
        <w:t xml:space="preserve">The total cost to the Medical Benefits Scheme for the </w:t>
      </w:r>
      <w:r w:rsidRPr="003E48C6">
        <w:t>DXA plus anti-resorptives for osteoporotic women</w:t>
      </w:r>
      <w:r w:rsidRPr="00C9782D">
        <w:t xml:space="preserve"> is estimated to be $</w:t>
      </w:r>
      <w:r>
        <w:t>13.372</w:t>
      </w:r>
      <w:r w:rsidRPr="00C9782D">
        <w:t xml:space="preserve"> million </w:t>
      </w:r>
      <w:r>
        <w:t>over the next five years</w:t>
      </w:r>
      <w:r w:rsidRPr="00C9782D">
        <w:t>.</w:t>
      </w:r>
      <w:r>
        <w:t xml:space="preserve"> If DXA scans were offered every 2 years instead of annually, the total MBS cost reduces to $10.203 million over 5 years.</w:t>
      </w:r>
    </w:p>
    <w:p w:rsidR="00B16286" w:rsidRPr="00C9782D" w:rsidRDefault="00B16286" w:rsidP="00B16286">
      <w:r w:rsidRPr="00C9782D">
        <w:t xml:space="preserve">Total cost to the Australian healthcare system including MBS for </w:t>
      </w:r>
      <w:r w:rsidRPr="003E48C6">
        <w:t>DXA plus anti-resorptives for osteoporotic women</w:t>
      </w:r>
      <w:r w:rsidRPr="00C9782D">
        <w:t xml:space="preserve"> is estimated to be $</w:t>
      </w:r>
      <w:r>
        <w:t>19.119</w:t>
      </w:r>
      <w:r w:rsidRPr="00C9782D">
        <w:t xml:space="preserve"> million </w:t>
      </w:r>
      <w:r>
        <w:t>over the next five years</w:t>
      </w:r>
      <w:r w:rsidRPr="00C9782D">
        <w:t>.</w:t>
      </w:r>
    </w:p>
    <w:p w:rsidR="00F8226E" w:rsidRDefault="00243A26" w:rsidP="005C40D7">
      <w:pPr>
        <w:spacing w:after="0"/>
        <w:rPr>
          <w:szCs w:val="24"/>
        </w:rPr>
      </w:pPr>
      <w:r>
        <w:t>If DXA scans in this population are funded, p</w:t>
      </w:r>
      <w:r w:rsidR="00F8226E">
        <w:t xml:space="preserve">atients will face a small co-payment of </w:t>
      </w:r>
      <w:r>
        <w:t>$15.36 for each DXA scan received during treatment. Currently women are spending $300-$500 on DXA scans in addition to their overall out-of-pocket expenses for breast cancer treatment</w:t>
      </w:r>
      <w:r w:rsidR="0005703F">
        <w:t>.</w:t>
      </w:r>
      <w:r w:rsidR="000E6802">
        <w:t xml:space="preserve"> </w:t>
      </w:r>
      <w:r>
        <w:t>If women are prescribed vitamin supplement</w:t>
      </w:r>
      <w:r w:rsidR="00076C3C">
        <w:t>s</w:t>
      </w:r>
      <w:r>
        <w:t>, the estimated costs of taking vitamin D</w:t>
      </w:r>
      <w:r w:rsidR="0005703F">
        <w:rPr>
          <w:vertAlign w:val="subscript"/>
        </w:rPr>
        <w:t>3</w:t>
      </w:r>
      <w:r>
        <w:t xml:space="preserve"> and calcium tablets in women on ‘lifestyle advice’ is $57.63, b</w:t>
      </w:r>
      <w:r w:rsidR="00F8226E">
        <w:t>ased on an average cost per tablet of 1000IU of vitamin D</w:t>
      </w:r>
      <w:r w:rsidR="00F8226E" w:rsidRPr="0088225C">
        <w:rPr>
          <w:vertAlign w:val="subscript"/>
        </w:rPr>
        <w:t>3</w:t>
      </w:r>
      <w:r w:rsidR="00F8226E">
        <w:t xml:space="preserve"> t</w:t>
      </w:r>
      <w:r>
        <w:t>aken once per day for 12 months</w:t>
      </w:r>
      <w:r w:rsidR="00F8226E">
        <w:t>.</w:t>
      </w:r>
    </w:p>
    <w:p w:rsidR="00F8226E" w:rsidRPr="00C9782D" w:rsidRDefault="00F8226E" w:rsidP="005E1035">
      <w:pPr>
        <w:tabs>
          <w:tab w:val="left" w:pos="567"/>
          <w:tab w:val="num" w:pos="851"/>
        </w:tabs>
        <w:spacing w:after="0"/>
        <w:ind w:left="0"/>
        <w:rPr>
          <w:szCs w:val="24"/>
        </w:rPr>
      </w:pPr>
    </w:p>
    <w:p w:rsidR="00F6430A" w:rsidRPr="00C9782D" w:rsidRDefault="00E45A4B" w:rsidP="00F6430A">
      <w:pPr>
        <w:tabs>
          <w:tab w:val="left" w:pos="567"/>
          <w:tab w:val="num" w:pos="851"/>
          <w:tab w:val="left" w:pos="1140"/>
        </w:tabs>
        <w:spacing w:after="0"/>
        <w:ind w:left="567" w:hanging="425"/>
        <w:rPr>
          <w:rFonts w:ascii="Arial" w:hAnsi="Arial" w:cs="Arial"/>
          <w:b/>
          <w:szCs w:val="24"/>
        </w:rPr>
      </w:pPr>
      <w:r w:rsidRPr="00C9782D">
        <w:rPr>
          <w:rFonts w:ascii="Arial" w:hAnsi="Arial" w:cs="Arial"/>
          <w:b/>
          <w:szCs w:val="24"/>
        </w:rPr>
        <w:t>1</w:t>
      </w:r>
      <w:r w:rsidR="00F6430A">
        <w:rPr>
          <w:rFonts w:ascii="Arial" w:hAnsi="Arial" w:cs="Arial"/>
          <w:b/>
          <w:szCs w:val="24"/>
        </w:rPr>
        <w:t>3</w:t>
      </w:r>
      <w:r w:rsidRPr="00C9782D">
        <w:rPr>
          <w:rFonts w:ascii="Arial" w:hAnsi="Arial" w:cs="Arial"/>
          <w:b/>
          <w:szCs w:val="24"/>
        </w:rPr>
        <w:t>.</w:t>
      </w:r>
      <w:r w:rsidRPr="00C9782D">
        <w:rPr>
          <w:rFonts w:ascii="Arial" w:hAnsi="Arial" w:cs="Arial"/>
          <w:b/>
          <w:szCs w:val="24"/>
        </w:rPr>
        <w:tab/>
        <w:t>Other significant factors</w:t>
      </w:r>
    </w:p>
    <w:p w:rsidR="008B6EFB" w:rsidRDefault="008B6EFB" w:rsidP="008B6EFB">
      <w:r>
        <w:t xml:space="preserve">Osteoporotic medications and particularly oral bisphosphonates have been linked with poor adherence and compliance </w:t>
      </w:r>
      <w:r w:rsidR="00B16286">
        <w:t xml:space="preserve">outside of trial settings </w:t>
      </w:r>
      <w:r w:rsidR="00803152">
        <w:fldChar w:fldCharType="begin"/>
      </w:r>
      <w:r w:rsidR="00803152">
        <w:instrText xml:space="preserve"> ADDIN EN.CITE &lt;EndNote&gt;&lt;Cite&gt;&lt;Author&gt;Silverman&lt;/Author&gt;&lt;Year&gt;2011&lt;/Year&gt;&lt;RecNum&gt;115&lt;/RecNum&gt;&lt;DisplayText&gt;(Silverman, Schousboe et al. 2011)&lt;/DisplayText&gt;&lt;record&gt;&lt;rec-number&gt;115&lt;/rec-number&gt;&lt;foreign-keys&gt;&lt;key app="EN" db-id="v9edw0zeqvve5nedzvjx29f1df2z2tvpvw55" timestamp="1398301511"&gt;115&lt;/key&gt;&lt;/foreign-keys&gt;&lt;ref-type name="Journal Article"&gt;17&lt;/ref-type&gt;&lt;contributors&gt;&lt;authors&gt;&lt;author&gt;Silverman, S. L.&lt;/author&gt;&lt;author&gt;Schousboe, J. T.&lt;/author&gt;&lt;author&gt;Gold, D. T.&lt;/author&gt;&lt;/authors&gt;&lt;/contributors&gt;&lt;titles&gt;&lt;title&gt;Oral bisphosphonate compliance and persistence: a matter of choice?&lt;/title&gt;&lt;secondary-title&gt;Osteoporos Int.&lt;/secondary-title&gt;&lt;/titles&gt;&lt;periodical&gt;&lt;full-title&gt;Osteoporos Int.&lt;/full-title&gt;&lt;/periodical&gt;&lt;pages&gt;21-6. doi: 10.1007/s00198-010-1274-6. Epub 2010 May 11.&lt;/pages&gt;&lt;volume&gt;22&lt;/volume&gt;&lt;number&gt;1&lt;/number&gt;&lt;keywords&gt;&lt;keyword&gt;0 (Bone Density Conservation Agents)&lt;/keyword&gt;&lt;keyword&gt;0 (Diphosphonates)&lt;/keyword&gt;&lt;keyword&gt;Attitude to Health&lt;/keyword&gt;&lt;keyword&gt;Bone Density Conservation Agents/*administration &amp;amp; dosage/therapeutic use&lt;/keyword&gt;&lt;keyword&gt;Diphosphonates/*administration &amp;amp; dosage/therapeutic use&lt;/keyword&gt;&lt;keyword&gt;Drug Administration Schedule&lt;/keyword&gt;&lt;keyword&gt;Humans&lt;/keyword&gt;&lt;keyword&gt;Medication Adherence/*psychology&lt;/keyword&gt;&lt;keyword&gt;Osteoporosis/*drug therapy&lt;/keyword&gt;&lt;keyword&gt;Osteoporotic Fractures/prevention &amp;amp; control&lt;/keyword&gt;&lt;/keywords&gt;&lt;dates&gt;&lt;year&gt;2011&lt;/year&gt;&lt;pub-dates&gt;&lt;date&gt;Jan&lt;/date&gt;&lt;/pub-dates&gt;&lt;/dates&gt;&lt;isbn&gt;1433-2965 (Electronic)&amp;#xD;0937-941X (Linking)&lt;/isbn&gt;&lt;work-type&gt;Review&lt;/work-type&gt;&lt;urls&gt;&lt;/urls&gt;&lt;/record&gt;&lt;/Cite&gt;&lt;/EndNote&gt;</w:instrText>
      </w:r>
      <w:r w:rsidR="00803152">
        <w:fldChar w:fldCharType="separate"/>
      </w:r>
      <w:r w:rsidR="00803152">
        <w:rPr>
          <w:noProof/>
        </w:rPr>
        <w:t>(</w:t>
      </w:r>
      <w:hyperlink w:anchor="_ENREF_58" w:tooltip="Silverman, 2011 #115" w:history="1">
        <w:r w:rsidR="006F79C1">
          <w:rPr>
            <w:noProof/>
          </w:rPr>
          <w:t>Silverman, Schousboe et al. 2011</w:t>
        </w:r>
      </w:hyperlink>
      <w:r w:rsidR="00803152">
        <w:rPr>
          <w:noProof/>
        </w:rPr>
        <w:t>)</w:t>
      </w:r>
      <w:r w:rsidR="00803152">
        <w:fldChar w:fldCharType="end"/>
      </w:r>
      <w:r w:rsidR="00803152">
        <w:t>.</w:t>
      </w:r>
      <w:r>
        <w:t xml:space="preserve"> The reasons for this are unclear but these observations are common to other chronic diseases where medications are taken in asymptomatic patients. Stomach complaints and other adverse events have been attributed to this noncompliance but other possible explanations include; the perceived lack of risk of fracture and benefit of taking the medication, scepticism of the effectiveness of the medication, forgetfulness, </w:t>
      </w:r>
      <w:r w:rsidR="00EB0255">
        <w:t xml:space="preserve">cost barriers or the </w:t>
      </w:r>
      <w:r>
        <w:t xml:space="preserve">belief that vitamin </w:t>
      </w:r>
      <w:r w:rsidR="00EB0255">
        <w:t>supplements</w:t>
      </w:r>
      <w:r>
        <w:t xml:space="preserve"> may be better </w:t>
      </w:r>
      <w:r w:rsidR="00803152">
        <w:fldChar w:fldCharType="begin"/>
      </w:r>
      <w:r w:rsidR="00803152">
        <w:instrText xml:space="preserve"> ADDIN EN.CITE &lt;EndNote&gt;&lt;Cite&gt;&lt;Author&gt;Silverman&lt;/Author&gt;&lt;Year&gt;2011&lt;/Year&gt;&lt;RecNum&gt;115&lt;/RecNum&gt;&lt;DisplayText&gt;(Silverman, Schousboe et al. 2011)&lt;/DisplayText&gt;&lt;record&gt;&lt;rec-number&gt;115&lt;/rec-number&gt;&lt;foreign-keys&gt;&lt;key app="EN" db-id="v9edw0zeqvve5nedzvjx29f1df2z2tvpvw55" timestamp="1398301511"&gt;115&lt;/key&gt;&lt;/foreign-keys&gt;&lt;ref-type name="Journal Article"&gt;17&lt;/ref-type&gt;&lt;contributors&gt;&lt;authors&gt;&lt;author&gt;Silverman, S. L.&lt;/author&gt;&lt;author&gt;Schousboe, J. T.&lt;/author&gt;&lt;author&gt;Gold, D. T.&lt;/author&gt;&lt;/authors&gt;&lt;/contributors&gt;&lt;titles&gt;&lt;title&gt;Oral bisphosphonate compliance and persistence: a matter of choice?&lt;/title&gt;&lt;secondary-title&gt;Osteoporos Int.&lt;/secondary-title&gt;&lt;/titles&gt;&lt;periodical&gt;&lt;full-title&gt;Osteoporos Int.&lt;/full-title&gt;&lt;/periodical&gt;&lt;pages&gt;21-6. doi: 10.1007/s00198-010-1274-6. Epub 2010 May 11.&lt;/pages&gt;&lt;volume&gt;22&lt;/volume&gt;&lt;number&gt;1&lt;/number&gt;&lt;keywords&gt;&lt;keyword&gt;0 (Bone Density Conservation Agents)&lt;/keyword&gt;&lt;keyword&gt;0 (Diphosphonates)&lt;/keyword&gt;&lt;keyword&gt;Attitude to Health&lt;/keyword&gt;&lt;keyword&gt;Bone Density Conservation Agents/*administration &amp;amp; dosage/therapeutic use&lt;/keyword&gt;&lt;keyword&gt;Diphosphonates/*administration &amp;amp; dosage/therapeutic use&lt;/keyword&gt;&lt;keyword&gt;Drug Administration Schedule&lt;/keyword&gt;&lt;keyword&gt;Humans&lt;/keyword&gt;&lt;keyword&gt;Medication Adherence/*psychology&lt;/keyword&gt;&lt;keyword&gt;Osteoporosis/*drug therapy&lt;/keyword&gt;&lt;keyword&gt;Osteoporotic Fractures/prevention &amp;amp; control&lt;/keyword&gt;&lt;/keywords&gt;&lt;dates&gt;&lt;year&gt;2011&lt;/year&gt;&lt;pub-dates&gt;&lt;date&gt;Jan&lt;/date&gt;&lt;/pub-dates&gt;&lt;/dates&gt;&lt;isbn&gt;1433-2965 (Electronic)&amp;#xD;0937-941X (Linking)&lt;/isbn&gt;&lt;work-type&gt;Review&lt;/work-type&gt;&lt;urls&gt;&lt;/urls&gt;&lt;/record&gt;&lt;/Cite&gt;&lt;/EndNote&gt;</w:instrText>
      </w:r>
      <w:r w:rsidR="00803152">
        <w:fldChar w:fldCharType="separate"/>
      </w:r>
      <w:r w:rsidR="00803152">
        <w:rPr>
          <w:noProof/>
        </w:rPr>
        <w:t>(</w:t>
      </w:r>
      <w:hyperlink w:anchor="_ENREF_58" w:tooltip="Silverman, 2011 #115" w:history="1">
        <w:r w:rsidR="006F79C1">
          <w:rPr>
            <w:noProof/>
          </w:rPr>
          <w:t>Silverman, Schousboe et al. 2011</w:t>
        </w:r>
      </w:hyperlink>
      <w:r w:rsidR="00803152">
        <w:rPr>
          <w:noProof/>
        </w:rPr>
        <w:t>)</w:t>
      </w:r>
      <w:r w:rsidR="00803152">
        <w:fldChar w:fldCharType="end"/>
      </w:r>
      <w:r>
        <w:t xml:space="preserve">.  Further Australian research on the extent and nature of non-compliance is important if the potential health benefits of the intervention (DXA and bone treatment) are to be fully realised.  </w:t>
      </w:r>
    </w:p>
    <w:p w:rsidR="005F4CEF" w:rsidRPr="00DC4F15" w:rsidRDefault="005F4CEF" w:rsidP="005F4CEF">
      <w:pPr>
        <w:rPr>
          <w:vertAlign w:val="subscript"/>
        </w:rPr>
      </w:pPr>
      <w:r>
        <w:t>An additional study on vitamin D supplements provides supplementary evidence for this application. A 2014 systematic review on the effects of vitamin D supplements on bone mineral density showed an overall small benefit at the femoral neck (weighted mean difference 0.8% 95%CI 0.2-1.4%) with moderate trial heterogeneity (I</w:t>
      </w:r>
      <w:r>
        <w:rPr>
          <w:vertAlign w:val="superscript"/>
        </w:rPr>
        <w:t>2</w:t>
      </w:r>
      <w:r>
        <w:t xml:space="preserve">=67% p&lt;0.01) </w:t>
      </w:r>
      <w:r>
        <w:fldChar w:fldCharType="begin"/>
      </w:r>
      <w:r>
        <w:instrText xml:space="preserve"> ADDIN EN.CITE &lt;EndNote&gt;&lt;Cite&gt;&lt;Author&gt;Reid&lt;/Author&gt;&lt;Year&gt;2014&lt;/Year&gt;&lt;RecNum&gt;258&lt;/RecNum&gt;&lt;DisplayText&gt;(Reid, Bolland et al. 2014)&lt;/DisplayText&gt;&lt;record&gt;&lt;rec-number&gt;258&lt;/rec-number&gt;&lt;foreign-keys&gt;&lt;key app="EN" db-id="v9edw0zeqvve5nedzvjx29f1df2z2tvpvw55" timestamp="1398313915"&gt;258&lt;/key&gt;&lt;/foreign-keys&gt;&lt;ref-type name="Journal Article"&gt;17&lt;/ref-type&gt;&lt;contributors&gt;&lt;authors&gt;&lt;author&gt;Reid, I. R.&lt;/author&gt;&lt;author&gt;Bolland, M. J.&lt;/author&gt;&lt;author&gt;Grey, A.&lt;/author&gt;&lt;/authors&gt;&lt;/contributors&gt;&lt;titles&gt;&lt;title&gt;Effects of vitamin D supplements on bone mineral density: a systematic review and meta-analysis&lt;/title&gt;&lt;secondary-title&gt;Lancet.&lt;/secondary-title&gt;&lt;/titles&gt;&lt;periodical&gt;&lt;full-title&gt;Lancet.&lt;/full-title&gt;&lt;/periodical&gt;&lt;pages&gt;146-55. doi: 10.1016/S0140-6736(13)61647-5. Epub 2013 Oct 11.&lt;/pages&gt;&lt;volume&gt;383&lt;/volume&gt;&lt;number&gt;9912&lt;/number&gt;&lt;keywords&gt;&lt;keyword&gt;0 (Ergocalciferols)&lt;/keyword&gt;&lt;keyword&gt;1406-16-2 (Vitamin D)&lt;/keyword&gt;&lt;keyword&gt;1C6V77QF41 (Cholecalciferol)&lt;/keyword&gt;&lt;keyword&gt;Aged&lt;/keyword&gt;&lt;keyword&gt;Bone Density/*drug effects&lt;/keyword&gt;&lt;keyword&gt;Cholecalciferol/pharmacology&lt;/keyword&gt;&lt;keyword&gt;Dietary Supplements&lt;/keyword&gt;&lt;keyword&gt;Ergocalciferols/pharmacology&lt;/keyword&gt;&lt;keyword&gt;Female&lt;/keyword&gt;&lt;keyword&gt;Humans&lt;/keyword&gt;&lt;keyword&gt;Male&lt;/keyword&gt;&lt;keyword&gt;Osteoporosis/prevention &amp;amp; control&lt;/keyword&gt;&lt;keyword&gt;Vitamin D/*pharmacology&lt;/keyword&gt;&lt;/keywords&gt;&lt;dates&gt;&lt;year&gt;2014&lt;/year&gt;&lt;pub-dates&gt;&lt;date&gt;Jan 11&lt;/date&gt;&lt;/pub-dates&gt;&lt;/dates&gt;&lt;isbn&gt;1474-547X (Electronic)&amp;#xD;0140-6736 (Linking)&lt;/isbn&gt;&lt;work-type&gt;Meta-Analysis&amp;#xD;Research Support, Non-U.S. Gov&amp;apos;t&amp;#xD;Review&lt;/work-type&gt;&lt;urls&gt;&lt;/urls&gt;&lt;/record&gt;&lt;/Cite&gt;&lt;/EndNote&gt;</w:instrText>
      </w:r>
      <w:r>
        <w:fldChar w:fldCharType="separate"/>
      </w:r>
      <w:r>
        <w:rPr>
          <w:noProof/>
        </w:rPr>
        <w:t>(</w:t>
      </w:r>
      <w:hyperlink w:anchor="_ENREF_53" w:tooltip="Reid, 2014 #258" w:history="1">
        <w:r>
          <w:rPr>
            <w:noProof/>
          </w:rPr>
          <w:t>Reid, Bolland et al. 2014</w:t>
        </w:r>
      </w:hyperlink>
      <w:r>
        <w:rPr>
          <w:noProof/>
        </w:rPr>
        <w:t>)</w:t>
      </w:r>
      <w:r>
        <w:fldChar w:fldCharType="end"/>
      </w:r>
      <w:r>
        <w:t xml:space="preserve">. The authors have concluded that widespread use of vitamin D for osteoporosis prevention in adults without specific risk factors for vitamin D </w:t>
      </w:r>
      <w:r>
        <w:lastRenderedPageBreak/>
        <w:t>deficiency is inappropriate. Further they suggest that the effects of combination calcium and vitamin D on fracture risk are similar to those for calcium alone, suggesting the negligible effect of vitamin D.  The implication of this systematic review is that vitamin D supplements may be inferior to bone resorptive agents.  Following on from this, vitamin D testing will be unnecessary particularly if bone medications become routinely prescribed and combined with calcium and vitamin D</w:t>
      </w:r>
      <w:r>
        <w:rPr>
          <w:vertAlign w:val="subscript"/>
        </w:rPr>
        <w:t>3.</w:t>
      </w:r>
    </w:p>
    <w:p w:rsidR="00F6430A" w:rsidRPr="00C9782D" w:rsidRDefault="00F6430A" w:rsidP="00F6430A">
      <w:pPr>
        <w:tabs>
          <w:tab w:val="left" w:pos="567"/>
          <w:tab w:val="num" w:pos="851"/>
          <w:tab w:val="left" w:pos="1140"/>
        </w:tabs>
        <w:spacing w:after="0"/>
        <w:ind w:left="567" w:hanging="425"/>
        <w:rPr>
          <w:rFonts w:ascii="Arial" w:hAnsi="Arial" w:cs="Arial"/>
          <w:b/>
          <w:szCs w:val="24"/>
        </w:rPr>
      </w:pPr>
      <w:r w:rsidRPr="00C9782D">
        <w:rPr>
          <w:rFonts w:ascii="Arial" w:hAnsi="Arial" w:cs="Arial"/>
          <w:b/>
          <w:szCs w:val="24"/>
        </w:rPr>
        <w:t>14.</w:t>
      </w:r>
      <w:r w:rsidRPr="00C9782D">
        <w:rPr>
          <w:rFonts w:ascii="Arial" w:hAnsi="Arial" w:cs="Arial"/>
          <w:b/>
          <w:szCs w:val="24"/>
        </w:rPr>
        <w:tab/>
      </w:r>
      <w:r>
        <w:rPr>
          <w:rFonts w:ascii="Arial" w:hAnsi="Arial" w:cs="Arial"/>
          <w:b/>
          <w:szCs w:val="24"/>
        </w:rPr>
        <w:t>Conclusions</w:t>
      </w:r>
    </w:p>
    <w:p w:rsidR="00F8226E" w:rsidRDefault="00F8226E" w:rsidP="00F8226E">
      <w:r>
        <w:t xml:space="preserve">There is good evidence that women with breast cancer on aromatase inhibitors have a higher risk of </w:t>
      </w:r>
      <w:r w:rsidR="00B16286">
        <w:t xml:space="preserve">BMD loss and </w:t>
      </w:r>
      <w:r>
        <w:t>bone fractures compared to women not taking aromatase inhibitors. However the following points should be noted:</w:t>
      </w:r>
    </w:p>
    <w:p w:rsidR="00F8226E" w:rsidRDefault="00F8226E" w:rsidP="00534D10">
      <w:pPr>
        <w:pStyle w:val="ListParagraph"/>
        <w:numPr>
          <w:ilvl w:val="0"/>
          <w:numId w:val="5"/>
        </w:numPr>
      </w:pPr>
      <w:r>
        <w:t xml:space="preserve">The absolute fracture risk is low, fractures are a rare event with the number needed to </w:t>
      </w:r>
      <w:r w:rsidR="008B6EFB">
        <w:t>harm</w:t>
      </w:r>
      <w:r>
        <w:t xml:space="preserve"> (with aromatase inhibitors) = 46.</w:t>
      </w:r>
    </w:p>
    <w:p w:rsidR="00F8226E" w:rsidRDefault="00F8226E" w:rsidP="00534D10">
      <w:pPr>
        <w:pStyle w:val="ListParagraph"/>
        <w:numPr>
          <w:ilvl w:val="0"/>
          <w:numId w:val="5"/>
        </w:numPr>
      </w:pPr>
      <w:r>
        <w:t xml:space="preserve">The higher fracture risk for aromatase inhibitor users remains regardless of </w:t>
      </w:r>
    </w:p>
    <w:p w:rsidR="00F8226E" w:rsidRDefault="00F8226E" w:rsidP="00534D10">
      <w:pPr>
        <w:pStyle w:val="ListParagraph"/>
        <w:numPr>
          <w:ilvl w:val="1"/>
          <w:numId w:val="5"/>
        </w:numPr>
      </w:pPr>
      <w:r>
        <w:t xml:space="preserve">prior tamoxifen or </w:t>
      </w:r>
    </w:p>
    <w:p w:rsidR="00F8226E" w:rsidRDefault="00F8226E" w:rsidP="00534D10">
      <w:pPr>
        <w:pStyle w:val="ListParagraph"/>
        <w:numPr>
          <w:ilvl w:val="1"/>
          <w:numId w:val="5"/>
        </w:numPr>
      </w:pPr>
      <w:r>
        <w:t>the sequencing of aromatase inhibitor and tamoxifen or</w:t>
      </w:r>
    </w:p>
    <w:p w:rsidR="00F8226E" w:rsidRDefault="00F8226E" w:rsidP="00534D10">
      <w:pPr>
        <w:pStyle w:val="ListParagraph"/>
        <w:numPr>
          <w:ilvl w:val="1"/>
          <w:numId w:val="5"/>
        </w:numPr>
      </w:pPr>
      <w:r>
        <w:t>aromatase inhibitor compliance rates or</w:t>
      </w:r>
    </w:p>
    <w:p w:rsidR="00F8226E" w:rsidRDefault="00F8226E" w:rsidP="00534D10">
      <w:pPr>
        <w:pStyle w:val="ListParagraph"/>
        <w:numPr>
          <w:ilvl w:val="1"/>
          <w:numId w:val="5"/>
        </w:numPr>
      </w:pPr>
      <w:r>
        <w:t>type of aromatase inhibitor.</w:t>
      </w:r>
    </w:p>
    <w:p w:rsidR="00F8226E" w:rsidRDefault="00F8226E" w:rsidP="00534D10">
      <w:pPr>
        <w:pStyle w:val="ListParagraph"/>
        <w:numPr>
          <w:ilvl w:val="0"/>
          <w:numId w:val="5"/>
        </w:numPr>
      </w:pPr>
      <w:r>
        <w:t xml:space="preserve">The decline in bone density </w:t>
      </w:r>
      <w:r w:rsidR="005C40D7">
        <w:t>subsides</w:t>
      </w:r>
      <w:r>
        <w:t xml:space="preserve"> when aromatase therapy stops but bone density may not return to baseline pre-therapy levels</w:t>
      </w:r>
    </w:p>
    <w:p w:rsidR="00F8226E" w:rsidRDefault="00F8226E" w:rsidP="00534D10">
      <w:pPr>
        <w:pStyle w:val="ListParagraph"/>
        <w:numPr>
          <w:ilvl w:val="0"/>
          <w:numId w:val="5"/>
        </w:numPr>
      </w:pPr>
      <w:r>
        <w:t xml:space="preserve">The risk of bone loss caused by aromatase inhibitor therapy is independent and additional to bone loss from ovarian failure secondary to chemotherapy which </w:t>
      </w:r>
      <w:r w:rsidR="008B6EFB">
        <w:t xml:space="preserve">can </w:t>
      </w:r>
      <w:r>
        <w:t>subsequently ca</w:t>
      </w:r>
      <w:r w:rsidR="008B6EFB">
        <w:t>u</w:t>
      </w:r>
      <w:r>
        <w:t>se premature menopause.</w:t>
      </w:r>
    </w:p>
    <w:p w:rsidR="00F8226E" w:rsidRPr="008A03F1" w:rsidRDefault="00F8226E" w:rsidP="00F8226E">
      <w:pPr>
        <w:tabs>
          <w:tab w:val="left" w:pos="567"/>
          <w:tab w:val="num" w:pos="851"/>
          <w:tab w:val="num" w:pos="1080"/>
          <w:tab w:val="left" w:pos="1140"/>
        </w:tabs>
        <w:spacing w:after="0"/>
        <w:ind w:left="567"/>
        <w:rPr>
          <w:rFonts w:ascii="Arial" w:hAnsi="Arial" w:cs="Arial"/>
          <w:color w:val="3366FF"/>
          <w:szCs w:val="24"/>
        </w:rPr>
      </w:pPr>
    </w:p>
    <w:p w:rsidR="00D64E91" w:rsidRDefault="00D64E91" w:rsidP="002B73E5">
      <w:pPr>
        <w:rPr>
          <w:rFonts w:ascii="Arial" w:hAnsi="Arial" w:cs="Arial"/>
          <w:color w:val="3366FF"/>
          <w:szCs w:val="24"/>
        </w:rPr>
      </w:pPr>
      <w:r>
        <w:t xml:space="preserve">Issues that </w:t>
      </w:r>
      <w:r w:rsidR="002B73E5">
        <w:t xml:space="preserve">remain as </w:t>
      </w:r>
      <w:r>
        <w:t>source</w:t>
      </w:r>
      <w:r w:rsidR="002B73E5">
        <w:t>s</w:t>
      </w:r>
      <w:r>
        <w:t xml:space="preserve"> </w:t>
      </w:r>
      <w:r w:rsidRPr="002B73E5">
        <w:t xml:space="preserve">of uncertainty </w:t>
      </w:r>
      <w:r w:rsidR="002B73E5" w:rsidRPr="002B73E5">
        <w:t>relate</w:t>
      </w:r>
      <w:r w:rsidR="002B73E5">
        <w:t xml:space="preserve"> to clinical practice in Australia and</w:t>
      </w:r>
      <w:r w:rsidR="005C40D7">
        <w:t xml:space="preserve"> </w:t>
      </w:r>
      <w:r w:rsidR="002B73E5">
        <w:t>the expected role of clinicians in performing risk assessments, the non-uniform reporting requirements of BMD analyses in practice</w:t>
      </w:r>
      <w:r>
        <w:t xml:space="preserve"> </w:t>
      </w:r>
      <w:r w:rsidR="002B73E5">
        <w:t>and the frequency of DXA scans needed.</w:t>
      </w:r>
    </w:p>
    <w:p w:rsidR="008A03F1" w:rsidRPr="008A03F1" w:rsidRDefault="00D64E91" w:rsidP="00D64E91">
      <w:r>
        <w:t>Women with breast cancer can face significant out-of-pocket expenses in Australia (see Discussion). Funding DXA scans will have a favourable impact on alleviating the sometimes substantial costs of breast cancer treatment, symptoms and work disruption for this</w:t>
      </w:r>
      <w:r w:rsidR="008A03F1" w:rsidRPr="008A03F1">
        <w:t xml:space="preserve"> patient group</w:t>
      </w:r>
      <w:r>
        <w:t>.</w:t>
      </w:r>
    </w:p>
    <w:p w:rsidR="008F59A8" w:rsidRPr="00C9782D" w:rsidRDefault="008F59A8"/>
    <w:p w:rsidR="008F59A8" w:rsidRPr="00C9782D" w:rsidRDefault="008F59A8">
      <w:pPr>
        <w:sectPr w:rsidR="008F59A8" w:rsidRPr="00C9782D" w:rsidSect="00F6430A">
          <w:headerReference w:type="even" r:id="rId23"/>
          <w:headerReference w:type="default" r:id="rId24"/>
          <w:headerReference w:type="first" r:id="rId25"/>
          <w:type w:val="oddPage"/>
          <w:pgSz w:w="11906" w:h="16838"/>
          <w:pgMar w:top="1440" w:right="1440" w:bottom="1276" w:left="1440" w:header="720" w:footer="720" w:gutter="0"/>
          <w:paperSrc w:first="2" w:other="2"/>
          <w:pgNumType w:fmt="lowerRoman"/>
          <w:cols w:space="720"/>
        </w:sectPr>
      </w:pPr>
    </w:p>
    <w:p w:rsidR="008F59A8" w:rsidRPr="00C9782D" w:rsidRDefault="008F59A8" w:rsidP="00A158A3">
      <w:pPr>
        <w:pStyle w:val="Heading2"/>
      </w:pPr>
      <w:bookmarkStart w:id="25" w:name="_Toc451749499"/>
      <w:bookmarkStart w:id="26" w:name="_Toc386092521"/>
      <w:bookmarkStart w:id="27" w:name="_Toc386093159"/>
      <w:bookmarkStart w:id="28" w:name="_Toc386093656"/>
      <w:bookmarkStart w:id="29" w:name="_Toc386093683"/>
      <w:r w:rsidRPr="00C9782D">
        <w:lastRenderedPageBreak/>
        <w:t>Introduction</w:t>
      </w:r>
      <w:bookmarkEnd w:id="25"/>
      <w:bookmarkEnd w:id="26"/>
      <w:bookmarkEnd w:id="27"/>
      <w:bookmarkEnd w:id="28"/>
      <w:bookmarkEnd w:id="29"/>
    </w:p>
    <w:p w:rsidR="001C3A68" w:rsidRPr="00C9782D" w:rsidRDefault="001C3A68" w:rsidP="001C3A68">
      <w:r w:rsidRPr="00C9782D">
        <w:t xml:space="preserve">The Medical Services Advisory Committee (MSAC) has reviewed the use of </w:t>
      </w:r>
      <w:r w:rsidR="00B7360E">
        <w:t>dual energy x-ray absorptiometry (DXA)</w:t>
      </w:r>
      <w:r w:rsidRPr="00C9782D">
        <w:t xml:space="preserve">, which is a </w:t>
      </w:r>
      <w:r w:rsidR="00B7360E">
        <w:t>diagnostic and monitoring test</w:t>
      </w:r>
      <w:r w:rsidRPr="00C9782D">
        <w:t xml:space="preserve"> for </w:t>
      </w:r>
      <w:r w:rsidR="00B7360E">
        <w:t xml:space="preserve">bone mineral density. In this instance, the test is </w:t>
      </w:r>
      <w:r w:rsidR="00765439">
        <w:t xml:space="preserve">to assess bone mineral density </w:t>
      </w:r>
      <w:r w:rsidR="00B7360E">
        <w:t xml:space="preserve">for patients with breast cancer receiving </w:t>
      </w:r>
      <w:r w:rsidR="00765439">
        <w:t xml:space="preserve">or scheduled for </w:t>
      </w:r>
      <w:r w:rsidR="00B7360E">
        <w:t>aromatase inhibitors</w:t>
      </w:r>
      <w:r w:rsidR="00A90D09">
        <w:t xml:space="preserve"> and</w:t>
      </w:r>
      <w:r w:rsidR="00E2063F">
        <w:t>, where appropriate,</w:t>
      </w:r>
      <w:r w:rsidR="00A90D09">
        <w:t xml:space="preserve"> treat with anti-resorptive medications</w:t>
      </w:r>
      <w:r w:rsidRPr="00C9782D">
        <w:t>. MSAC evaluates new and existing health technologies and procedures for which funding is sought under the Medicare Benefits Scheme in terms of their safety, effectiveness and cost-effectiveness, while taking into account other issues such as access and equity. MSAC adopts an evidence-based approach to its assessments, based on reviews of the scientific literature and other information sources, including clinical expertise.</w:t>
      </w:r>
    </w:p>
    <w:p w:rsidR="001C3A68" w:rsidRPr="00C9782D" w:rsidRDefault="001C3A68" w:rsidP="00030FB4">
      <w:r w:rsidRPr="00C9782D">
        <w:t>MSAC is a multidisciplinary expert body, comprising members drawn from such disciplines as diagnostic imaging, pathology, surgery, internal medicine and general practice, clinical epidemiology, health economics, consumer health and health administration.</w:t>
      </w:r>
    </w:p>
    <w:p w:rsidR="001747F4" w:rsidRDefault="001C3A68" w:rsidP="001C3A68">
      <w:r w:rsidRPr="00C9782D">
        <w:t xml:space="preserve">This report summarises the assessment of current evidence for </w:t>
      </w:r>
      <w:r w:rsidR="00B7360E">
        <w:t>DXA and anti-resorptive agents for low bone mineral density in patients with breast cancer receiving aromatase inhibitors.</w:t>
      </w:r>
      <w:r w:rsidR="001747F4">
        <w:t xml:space="preserve"> </w:t>
      </w:r>
    </w:p>
    <w:p w:rsidR="001C3A68" w:rsidRPr="00C9782D" w:rsidRDefault="001747F4" w:rsidP="001C3A68">
      <w:r>
        <w:t xml:space="preserve">This application has been submitted by the Australian and New Zealand Bone Mineral Society. A parallel application is submitted MSAC 1316 for </w:t>
      </w:r>
      <w:r w:rsidR="007115B0">
        <w:t>men and women aged 50-69 years with risk factors for osteoporosis.</w:t>
      </w:r>
    </w:p>
    <w:p w:rsidR="008F59A8" w:rsidRPr="00C9782D" w:rsidRDefault="008F59A8" w:rsidP="00A158A3">
      <w:pPr>
        <w:pStyle w:val="Heading2"/>
      </w:pPr>
      <w:bookmarkStart w:id="30" w:name="_Toc451749500"/>
      <w:bookmarkStart w:id="31" w:name="_Toc386092522"/>
      <w:bookmarkStart w:id="32" w:name="_Toc386093160"/>
      <w:bookmarkStart w:id="33" w:name="_Toc386093657"/>
      <w:bookmarkStart w:id="34" w:name="_Toc386093684"/>
      <w:r w:rsidRPr="00C9782D">
        <w:lastRenderedPageBreak/>
        <w:t>Background</w:t>
      </w:r>
      <w:bookmarkEnd w:id="30"/>
      <w:bookmarkEnd w:id="31"/>
      <w:bookmarkEnd w:id="32"/>
      <w:bookmarkEnd w:id="33"/>
      <w:bookmarkEnd w:id="34"/>
    </w:p>
    <w:p w:rsidR="00C16224" w:rsidRDefault="00C16224" w:rsidP="00C16224">
      <w:r>
        <w:t xml:space="preserve">Women who are post-menopausal and have breast cancer are often treated with aromatase inhibitors (e.g., </w:t>
      </w:r>
      <w:r w:rsidR="00200CF4">
        <w:t>anastrozole</w:t>
      </w:r>
      <w:r w:rsidR="00E50472">
        <w:t xml:space="preserve">, </w:t>
      </w:r>
      <w:r>
        <w:t>letrozole, exemestane). These</w:t>
      </w:r>
      <w:r w:rsidR="008E57FA">
        <w:t xml:space="preserve"> endocrine</w:t>
      </w:r>
      <w:r>
        <w:t xml:space="preserve"> medications are designed to inhibit oestrogen which effectively prevents cancer cell growth. </w:t>
      </w:r>
      <w:r w:rsidR="007115B0">
        <w:t>Aromatase inhibitor treatment</w:t>
      </w:r>
      <w:r w:rsidR="003F6ADF">
        <w:t xml:space="preserve"> </w:t>
      </w:r>
      <w:r w:rsidR="007115B0">
        <w:t>is</w:t>
      </w:r>
      <w:r w:rsidR="003F6ADF">
        <w:t xml:space="preserve"> now standard of care and </w:t>
      </w:r>
      <w:r w:rsidR="007115B0">
        <w:t>is</w:t>
      </w:r>
      <w:r w:rsidR="003F6ADF">
        <w:t xml:space="preserve"> regarded as equal to or superior over tamoxifen</w:t>
      </w:r>
      <w:r>
        <w:t>. However, a well-known and classic adverse event of th</w:t>
      </w:r>
      <w:r w:rsidR="003F6ADF">
        <w:t>ese</w:t>
      </w:r>
      <w:r>
        <w:t xml:space="preserve"> </w:t>
      </w:r>
      <w:r w:rsidR="003F6ADF">
        <w:t xml:space="preserve">hormone </w:t>
      </w:r>
      <w:r>
        <w:t>medication</w:t>
      </w:r>
      <w:r w:rsidR="003F6ADF">
        <w:t>s</w:t>
      </w:r>
      <w:r>
        <w:t xml:space="preserve"> is de-mineralisation of bones </w:t>
      </w:r>
      <w:r w:rsidR="00E50472">
        <w:t xml:space="preserve">which </w:t>
      </w:r>
      <w:r w:rsidR="007115B0">
        <w:t xml:space="preserve">may </w:t>
      </w:r>
      <w:r w:rsidR="003F6ADF">
        <w:t>lead to increased risk of</w:t>
      </w:r>
      <w:r>
        <w:t xml:space="preserve"> bone fractures</w:t>
      </w:r>
      <w:r w:rsidR="00803152">
        <w:t xml:space="preserve"> </w:t>
      </w:r>
      <w:r w:rsidR="00803152">
        <w:fldChar w:fldCharType="begin"/>
      </w:r>
      <w:r w:rsidR="00803152">
        <w:instrText xml:space="preserve"> ADDIN EN.CITE &lt;EndNote&gt;&lt;Cite&gt;&lt;Author&gt;Bauer&lt;/Author&gt;&lt;Year&gt;2012&lt;/Year&gt;&lt;RecNum&gt;255&lt;/RecNum&gt;&lt;DisplayText&gt;(Bauer, Bryce et al. 2012)&lt;/DisplayText&gt;&lt;record&gt;&lt;rec-number&gt;255&lt;/rec-number&gt;&lt;foreign-keys&gt;&lt;key app="EN" db-id="v9edw0zeqvve5nedzvjx29f1df2z2tvpvw55" timestamp="1398313189"&gt;255&lt;/key&gt;&lt;/foreign-keys&gt;&lt;ref-type name="Journal Article"&gt;17&lt;/ref-type&gt;&lt;contributors&gt;&lt;authors&gt;&lt;author&gt;Bauer, M.&lt;/author&gt;&lt;author&gt;Bryce, J.&lt;/author&gt;&lt;author&gt;Hadji, P.&lt;/author&gt;&lt;/authors&gt;&lt;/contributors&gt;&lt;titles&gt;&lt;title&gt;Aromatase inhibitor-associated bone loss and its management with bisphosphonates in patients with breast cancer&lt;/title&gt;&lt;secondary-title&gt;Breast Cancer (Dove Med Press).&lt;/secondary-title&gt;&lt;/titles&gt;&lt;periodical&gt;&lt;full-title&gt;Breast Cancer (Dove Med Press).&lt;/full-title&gt;&lt;/periodical&gt;&lt;pages&gt;91-101. eCollection 2012.&lt;/pages&gt;&lt;volume&gt;4&lt;/volume&gt;&lt;dates&gt;&lt;year&gt;2012&lt;/year&gt;&lt;pub-dates&gt;&lt;date&gt;Jun 20&lt;/date&gt;&lt;/pub-dates&gt;&lt;/dates&gt;&lt;orig-pub&gt;aromatase inhibitors&amp;#xD;bisphosphonates&amp;#xD;bone loss&amp;#xD;breast cancer&amp;#xD;estrogen&lt;/orig-pub&gt;&lt;isbn&gt;1179-1314 (Print)&amp;#xD;1179-1314 (Linking)&lt;/isbn&gt;&lt;work-type&gt;Review&lt;/work-type&gt;&lt;urls&gt;&lt;/urls&gt;&lt;/record&gt;&lt;/Cite&gt;&lt;/EndNote&gt;</w:instrText>
      </w:r>
      <w:r w:rsidR="00803152">
        <w:fldChar w:fldCharType="separate"/>
      </w:r>
      <w:r w:rsidR="00803152">
        <w:rPr>
          <w:noProof/>
        </w:rPr>
        <w:t>(</w:t>
      </w:r>
      <w:hyperlink w:anchor="_ENREF_5" w:tooltip="Bauer, 2012 #255" w:history="1">
        <w:r w:rsidR="006F79C1">
          <w:rPr>
            <w:noProof/>
          </w:rPr>
          <w:t>Bauer, Bryce et al. 2012</w:t>
        </w:r>
      </w:hyperlink>
      <w:r w:rsidR="00803152">
        <w:rPr>
          <w:noProof/>
        </w:rPr>
        <w:t>)</w:t>
      </w:r>
      <w:r w:rsidR="00803152">
        <w:fldChar w:fldCharType="end"/>
      </w:r>
      <w:r>
        <w:t xml:space="preserve">. Consequently, women taking aromatase inhibitors are at risk of developing bone </w:t>
      </w:r>
      <w:r w:rsidR="00F660E2">
        <w:t>thinning</w:t>
      </w:r>
      <w:r>
        <w:t>, fractures</w:t>
      </w:r>
      <w:r w:rsidRPr="00C16224">
        <w:t xml:space="preserve"> </w:t>
      </w:r>
      <w:r>
        <w:t xml:space="preserve">and osteoporosis. The following sub-sections </w:t>
      </w:r>
      <w:r w:rsidR="007115B0">
        <w:t>provide</w:t>
      </w:r>
      <w:r>
        <w:t xml:space="preserve"> background information on</w:t>
      </w:r>
      <w:r w:rsidR="00F660E2">
        <w:t>:</w:t>
      </w:r>
      <w:r>
        <w:t xml:space="preserve"> breast cancer, bone mineral density, the role of DXA and anti-resorptive treatments </w:t>
      </w:r>
      <w:r w:rsidR="0037663F">
        <w:t>for</w:t>
      </w:r>
      <w:r>
        <w:t xml:space="preserve"> poor bone density. </w:t>
      </w:r>
    </w:p>
    <w:p w:rsidR="00B53A81" w:rsidRDefault="00B53A81" w:rsidP="00A90D09">
      <w:pPr>
        <w:pStyle w:val="Heading3"/>
      </w:pPr>
      <w:bookmarkStart w:id="35" w:name="_Toc386093685"/>
      <w:r>
        <w:t>Breast cancer</w:t>
      </w:r>
      <w:bookmarkEnd w:id="35"/>
    </w:p>
    <w:p w:rsidR="007115B0" w:rsidRDefault="00B53A81" w:rsidP="00B53A81">
      <w:r>
        <w:t>Breast cancer is the most common cancer affecting women in Australia (excluding non-melanoma skin cancer)</w:t>
      </w:r>
      <w:r w:rsidR="000C3E4A">
        <w:t xml:space="preserve"> representing 28% of all female cancers</w:t>
      </w:r>
      <w:r w:rsidR="00803152">
        <w:t xml:space="preserve"> </w:t>
      </w:r>
      <w:r w:rsidR="00803152">
        <w:fldChar w:fldCharType="begin"/>
      </w:r>
      <w:r w:rsidR="00803152">
        <w:instrText xml:space="preserve"> ADDIN EN.CITE &lt;EndNote&gt;&lt;Cite&gt;&lt;Author&gt;Australian Institute of Health and Welfare &amp;amp; Cancer Australia&lt;/Author&gt;&lt;Year&gt;2012&lt;/Year&gt;&lt;RecNum&gt;9&lt;/RecNum&gt;&lt;DisplayText&gt;(Australian Institute of Health and Welfare &amp;amp; Cancer Australia 2012)&lt;/DisplayText&gt;&lt;record&gt;&lt;rec-number&gt;9&lt;/rec-number&gt;&lt;foreign-keys&gt;&lt;key app="EN" db-id="v9edw0zeqvve5nedzvjx29f1df2z2tvpvw55" timestamp="1396841365"&gt;9&lt;/key&gt;&lt;/foreign-keys&gt;&lt;ref-type name="Report"&gt;27&lt;/ref-type&gt;&lt;contributors&gt;&lt;authors&gt;&lt;author&gt;Australian Institute of Health and Welfare &amp;amp; Cancer Australia,&lt;/author&gt;&lt;/authors&gt;&lt;tertiary-authors&gt;&lt;author&gt;Commonwealth Government&lt;/author&gt;&lt;/tertiary-authors&gt;&lt;/contributors&gt;&lt;titles&gt;&lt;title&gt;Breast cancer in Australia: an &amp;#xD;overview.  &lt;/title&gt;&lt;/titles&gt;&lt;num-vols&gt;Cancer series no. 71. Cat. no. CAN 67.&lt;/num-vols&gt;&lt;dates&gt;&lt;year&gt;2012&lt;/year&gt;&lt;/dates&gt;&lt;publisher&gt;Australian Institute of Health and Welfare&lt;/publisher&gt;&lt;urls&gt;&lt;/urls&gt;&lt;/record&gt;&lt;/Cite&gt;&lt;/EndNote&gt;</w:instrText>
      </w:r>
      <w:r w:rsidR="00803152">
        <w:fldChar w:fldCharType="separate"/>
      </w:r>
      <w:r w:rsidR="00803152">
        <w:rPr>
          <w:noProof/>
        </w:rPr>
        <w:t>(</w:t>
      </w:r>
      <w:hyperlink w:anchor="_ENREF_3" w:tooltip="Australian Institute of Health and Welfare &amp; Cancer Australia, 2012 #9" w:history="1">
        <w:r w:rsidR="006F79C1">
          <w:rPr>
            <w:noProof/>
          </w:rPr>
          <w:t>Australian Institute of Health and Welfare &amp; Cancer Australia 2012</w:t>
        </w:r>
      </w:hyperlink>
      <w:r w:rsidR="00803152">
        <w:rPr>
          <w:noProof/>
        </w:rPr>
        <w:t>)</w:t>
      </w:r>
      <w:r w:rsidR="00803152">
        <w:fldChar w:fldCharType="end"/>
      </w:r>
      <w:r>
        <w:t xml:space="preserve">. One in eight women </w:t>
      </w:r>
      <w:r w:rsidR="000C3E4A">
        <w:t>is</w:t>
      </w:r>
      <w:r>
        <w:t xml:space="preserve"> expected to develop the disease at some stage during their lives. </w:t>
      </w:r>
      <w:r w:rsidR="000C3E4A">
        <w:t>In 2008, 13,567 new invasive breast cancers were diagnosed</w:t>
      </w:r>
      <w:r w:rsidR="007115B0">
        <w:t>. The mean age of Australian women diagnosed with breast cancer</w:t>
      </w:r>
      <w:r w:rsidR="000C3E4A">
        <w:t xml:space="preserve"> </w:t>
      </w:r>
      <w:r w:rsidR="007115B0">
        <w:t xml:space="preserve">is 60 years. Of all women with breast cancer, </w:t>
      </w:r>
      <w:r w:rsidR="000C3E4A">
        <w:t xml:space="preserve">69% of occur in women aged 40-69 years. </w:t>
      </w:r>
      <w:r>
        <w:t>Compared to lung, colorectal or ovarian</w:t>
      </w:r>
      <w:r w:rsidR="007115B0">
        <w:t xml:space="preserve"> cancers</w:t>
      </w:r>
      <w:r>
        <w:t>, survival rates are better and approximately 8</w:t>
      </w:r>
      <w:r w:rsidR="000C3E4A">
        <w:t>9</w:t>
      </w:r>
      <w:r>
        <w:t xml:space="preserve">% of women diagnosed with breast cancer survive for at least five years.  As survival rates continue to improve, research is focussing on understanding and improving health-related quality of life, particularly for new treatments.  </w:t>
      </w:r>
      <w:r w:rsidR="00930960">
        <w:t>Breast cancer also affect</w:t>
      </w:r>
      <w:r w:rsidR="000C3E4A">
        <w:t>s men but this is very uncommon; the number of new cases was 1</w:t>
      </w:r>
      <w:r w:rsidR="00EA2B85">
        <w:t>27</w:t>
      </w:r>
      <w:r w:rsidR="000C3E4A">
        <w:t xml:space="preserve"> in 20</w:t>
      </w:r>
      <w:r w:rsidR="00EA2B85">
        <w:t>10</w:t>
      </w:r>
      <w:r w:rsidR="00930960">
        <w:t xml:space="preserve">. </w:t>
      </w:r>
    </w:p>
    <w:p w:rsidR="00B53A81" w:rsidRDefault="00B53A81" w:rsidP="00B53A81">
      <w:r>
        <w:t>The economic impact of breast cancer on the health system is significant ($</w:t>
      </w:r>
      <w:r w:rsidR="000C3E4A">
        <w:t>331</w:t>
      </w:r>
      <w:r>
        <w:t xml:space="preserve"> million per year)</w:t>
      </w:r>
      <w:r w:rsidR="00C61828">
        <w:t xml:space="preserve"> and this represents 1.4% of all female disease expenditure (2004-05)</w:t>
      </w:r>
      <w:r w:rsidR="00803152">
        <w:fldChar w:fldCharType="begin"/>
      </w:r>
      <w:r w:rsidR="00803152">
        <w:instrText xml:space="preserve"> ADDIN EN.CITE &lt;EndNote&gt;&lt;Cite&gt;&lt;Author&gt;Australian Institute of Health and Welfare &amp;amp; Cancer Australia&lt;/Author&gt;&lt;Year&gt;2012&lt;/Year&gt;&lt;RecNum&gt;9&lt;/RecNum&gt;&lt;DisplayText&gt;(Australian Institute of Health and Welfare &amp;amp; Cancer Australia 2012)&lt;/DisplayText&gt;&lt;record&gt;&lt;rec-number&gt;9&lt;/rec-number&gt;&lt;foreign-keys&gt;&lt;key app="EN" db-id="v9edw0zeqvve5nedzvjx29f1df2z2tvpvw55" timestamp="1396841365"&gt;9&lt;/key&gt;&lt;/foreign-keys&gt;&lt;ref-type name="Report"&gt;27&lt;/ref-type&gt;&lt;contributors&gt;&lt;authors&gt;&lt;author&gt;Australian Institute of Health and Welfare &amp;amp; Cancer Australia,&lt;/author&gt;&lt;/authors&gt;&lt;tertiary-authors&gt;&lt;author&gt;Commonwealth Government&lt;/author&gt;&lt;/tertiary-authors&gt;&lt;/contributors&gt;&lt;titles&gt;&lt;title&gt;Breast cancer in Australia: an &amp;#xD;overview.  &lt;/title&gt;&lt;/titles&gt;&lt;num-vols&gt;Cancer series no. 71. Cat. no. CAN 67.&lt;/num-vols&gt;&lt;dates&gt;&lt;year&gt;2012&lt;/year&gt;&lt;/dates&gt;&lt;publisher&gt;Australian Institute of Health and Welfare&lt;/publisher&gt;&lt;urls&gt;&lt;/urls&gt;&lt;/record&gt;&lt;/Cite&gt;&lt;/EndNote&gt;</w:instrText>
      </w:r>
      <w:r w:rsidR="00803152">
        <w:fldChar w:fldCharType="separate"/>
      </w:r>
      <w:r w:rsidR="00803152">
        <w:rPr>
          <w:noProof/>
        </w:rPr>
        <w:t>(</w:t>
      </w:r>
      <w:hyperlink w:anchor="_ENREF_3" w:tooltip="Australian Institute of Health and Welfare &amp; Cancer Australia, 2012 #9" w:history="1">
        <w:r w:rsidR="006F79C1">
          <w:rPr>
            <w:noProof/>
          </w:rPr>
          <w:t>Australian Institute of Health and Welfare &amp; Cancer Australia 2012</w:t>
        </w:r>
      </w:hyperlink>
      <w:r w:rsidR="00803152">
        <w:rPr>
          <w:noProof/>
        </w:rPr>
        <w:t>)</w:t>
      </w:r>
      <w:r w:rsidR="00803152">
        <w:fldChar w:fldCharType="end"/>
      </w:r>
      <w:r w:rsidR="00C61828">
        <w:t>. The</w:t>
      </w:r>
      <w:r>
        <w:t xml:space="preserve"> demand for hospital services has increased </w:t>
      </w:r>
      <w:r w:rsidR="00C61828">
        <w:t>by 32</w:t>
      </w:r>
      <w:r>
        <w:t xml:space="preserve">% </w:t>
      </w:r>
      <w:r w:rsidR="00930960">
        <w:t>between 20</w:t>
      </w:r>
      <w:r w:rsidR="00C61828">
        <w:t>01/01</w:t>
      </w:r>
      <w:r w:rsidR="00930960">
        <w:t xml:space="preserve"> –</w:t>
      </w:r>
      <w:r w:rsidR="00C61828">
        <w:t xml:space="preserve"> 2004/05</w:t>
      </w:r>
      <w:r>
        <w:t>.</w:t>
      </w:r>
      <w:r w:rsidR="000C3E4A">
        <w:t xml:space="preserve"> There were a total of 113,132 hospitalisations for breast cancer as either the principal or additional diagnosis in 2008</w:t>
      </w:r>
      <w:r w:rsidR="00803152">
        <w:t xml:space="preserve"> </w:t>
      </w:r>
      <w:r w:rsidR="00803152">
        <w:fldChar w:fldCharType="begin"/>
      </w:r>
      <w:r w:rsidR="00803152">
        <w:instrText xml:space="preserve"> ADDIN EN.CITE &lt;EndNote&gt;&lt;Cite&gt;&lt;Author&gt;Australian Institute of Health and Welfare &amp;amp; Cancer Australia&lt;/Author&gt;&lt;Year&gt;2012&lt;/Year&gt;&lt;RecNum&gt;9&lt;/RecNum&gt;&lt;DisplayText&gt;(Australian Institute of Health and Welfare &amp;amp; Cancer Australia 2012)&lt;/DisplayText&gt;&lt;record&gt;&lt;rec-number&gt;9&lt;/rec-number&gt;&lt;foreign-keys&gt;&lt;key app="EN" db-id="v9edw0zeqvve5nedzvjx29f1df2z2tvpvw55" timestamp="1396841365"&gt;9&lt;/key&gt;&lt;/foreign-keys&gt;&lt;ref-type name="Report"&gt;27&lt;/ref-type&gt;&lt;contributors&gt;&lt;authors&gt;&lt;author&gt;Australian Institute of Health and Welfare &amp;amp; Cancer Australia,&lt;/author&gt;&lt;/authors&gt;&lt;tertiary-authors&gt;&lt;author&gt;Commonwealth Government&lt;/author&gt;&lt;/tertiary-authors&gt;&lt;/contributors&gt;&lt;titles&gt;&lt;title&gt;Breast cancer in Australia: an &amp;#xD;overview.  &lt;/title&gt;&lt;/titles&gt;&lt;num-vols&gt;Cancer series no. 71. Cat. no. CAN 67.&lt;/num-vols&gt;&lt;dates&gt;&lt;year&gt;2012&lt;/year&gt;&lt;/dates&gt;&lt;publisher&gt;Australian Institute of Health and Welfare&lt;/publisher&gt;&lt;urls&gt;&lt;/urls&gt;&lt;/record&gt;&lt;/Cite&gt;&lt;/EndNote&gt;</w:instrText>
      </w:r>
      <w:r w:rsidR="00803152">
        <w:fldChar w:fldCharType="separate"/>
      </w:r>
      <w:r w:rsidR="00803152">
        <w:rPr>
          <w:noProof/>
        </w:rPr>
        <w:t>(</w:t>
      </w:r>
      <w:hyperlink w:anchor="_ENREF_3" w:tooltip="Australian Institute of Health and Welfare &amp; Cancer Australia, 2012 #9" w:history="1">
        <w:r w:rsidR="006F79C1">
          <w:rPr>
            <w:noProof/>
          </w:rPr>
          <w:t>Australian Institute of Health and Welfare &amp; Cancer Australia 2012</w:t>
        </w:r>
      </w:hyperlink>
      <w:r w:rsidR="00803152">
        <w:rPr>
          <w:noProof/>
        </w:rPr>
        <w:t>)</w:t>
      </w:r>
      <w:r w:rsidR="00803152">
        <w:fldChar w:fldCharType="end"/>
      </w:r>
      <w:r w:rsidR="000C3E4A">
        <w:t>.</w:t>
      </w:r>
    </w:p>
    <w:p w:rsidR="00C16224" w:rsidRDefault="00A902CF" w:rsidP="00B53A81">
      <w:r>
        <w:t>Aromatase inhibitor (AI) therapy is</w:t>
      </w:r>
      <w:r w:rsidR="00C16224">
        <w:t xml:space="preserve"> the mainstay treatment in </w:t>
      </w:r>
      <w:r w:rsidR="007A119D">
        <w:t>post-menopaus</w:t>
      </w:r>
      <w:r w:rsidR="00C16224">
        <w:t xml:space="preserve">al women </w:t>
      </w:r>
      <w:r w:rsidR="002155B7">
        <w:t xml:space="preserve">with </w:t>
      </w:r>
      <w:r w:rsidR="00EA2B85">
        <w:t>o</w:t>
      </w:r>
      <w:r w:rsidR="002155B7">
        <w:t>estrogen or progesterone receptor-positive breast cancer, both in adjuvant (early) and metastatic (advanced) settings</w:t>
      </w:r>
      <w:r w:rsidR="00C16224">
        <w:t>.</w:t>
      </w:r>
      <w:r w:rsidR="00EA2B85">
        <w:t xml:space="preserve"> </w:t>
      </w:r>
      <w:r w:rsidR="00B17EC6">
        <w:t xml:space="preserve">AIs prevent </w:t>
      </w:r>
      <w:r w:rsidR="00C70C89">
        <w:t>oestrogen</w:t>
      </w:r>
      <w:r w:rsidR="00B17EC6">
        <w:t xml:space="preserve"> sy</w:t>
      </w:r>
      <w:r w:rsidR="00104FF5">
        <w:t>nthesis by inhibiting the aroma</w:t>
      </w:r>
      <w:r w:rsidR="00B17EC6">
        <w:t xml:space="preserve">tase enzyme which is responsible for converting androgens to </w:t>
      </w:r>
      <w:r w:rsidR="00C70C89">
        <w:t>oestrogen</w:t>
      </w:r>
      <w:r w:rsidR="00B17EC6">
        <w:t xml:space="preserve">. </w:t>
      </w:r>
      <w:r w:rsidR="00C70C89">
        <w:t>Oestrogen</w:t>
      </w:r>
      <w:r w:rsidR="00B17EC6">
        <w:t xml:space="preserve"> is an important modulator of bone formation. </w:t>
      </w:r>
      <w:r>
        <w:t xml:space="preserve">Although </w:t>
      </w:r>
      <w:r w:rsidR="00B17EC6">
        <w:t>AI therapy</w:t>
      </w:r>
      <w:r>
        <w:t xml:space="preserve"> has been demonstrated to </w:t>
      </w:r>
      <w:r w:rsidR="00B17EC6">
        <w:t xml:space="preserve">lengthen </w:t>
      </w:r>
      <w:r w:rsidR="007115B0">
        <w:t>progression-free survival</w:t>
      </w:r>
      <w:r>
        <w:t>, bone loss is one detrimenta</w:t>
      </w:r>
      <w:r w:rsidR="00EA2B85">
        <w:t xml:space="preserve">l consequence of this therapy. </w:t>
      </w:r>
      <w:r>
        <w:t>This side-effect is predictable because AI</w:t>
      </w:r>
      <w:r w:rsidR="004B0767">
        <w:t>s</w:t>
      </w:r>
      <w:r>
        <w:t xml:space="preserve"> works to deplete oestrogen that combats the cancer but simultaneously has a negative regulatory effect on bone resorption and potentially cause bone loss</w:t>
      </w:r>
      <w:r w:rsidR="00803152">
        <w:t xml:space="preserve"> </w:t>
      </w:r>
      <w:r w:rsidR="00803152">
        <w:fldChar w:fldCharType="begin"/>
      </w:r>
      <w:r w:rsidR="00803152">
        <w:instrText xml:space="preserve"> ADDIN EN.CITE &lt;EndNote&gt;&lt;Cite&gt;&lt;Author&gt;Bauer&lt;/Author&gt;&lt;Year&gt;2012&lt;/Year&gt;&lt;RecNum&gt;255&lt;/RecNum&gt;&lt;DisplayText&gt;(Bauer, Bryce et al. 2012)&lt;/DisplayText&gt;&lt;record&gt;&lt;rec-number&gt;255&lt;/rec-number&gt;&lt;foreign-keys&gt;&lt;key app="EN" db-id="v9edw0zeqvve5nedzvjx29f1df2z2tvpvw55" timestamp="1398313189"&gt;255&lt;/key&gt;&lt;/foreign-keys&gt;&lt;ref-type name="Journal Article"&gt;17&lt;/ref-type&gt;&lt;contributors&gt;&lt;authors&gt;&lt;author&gt;Bauer, M.&lt;/author&gt;&lt;author&gt;Bryce, J.&lt;/author&gt;&lt;author&gt;Hadji, P.&lt;/author&gt;&lt;/authors&gt;&lt;/contributors&gt;&lt;titles&gt;&lt;title&gt;Aromatase inhibitor-associated bone loss and its management with bisphosphonates in patients with breast cancer&lt;/title&gt;&lt;secondary-title&gt;Breast Cancer (Dove Med Press).&lt;/secondary-title&gt;&lt;/titles&gt;&lt;periodical&gt;&lt;full-title&gt;Breast Cancer (Dove Med Press).&lt;/full-title&gt;&lt;/periodical&gt;&lt;pages&gt;91-101. eCollection 2012.&lt;/pages&gt;&lt;volume&gt;4&lt;/volume&gt;&lt;dates&gt;&lt;year&gt;2012&lt;/year&gt;&lt;pub-dates&gt;&lt;date&gt;Jun 20&lt;/date&gt;&lt;/pub-dates&gt;&lt;/dates&gt;&lt;orig-pub&gt;aromatase inhibitors&amp;#xD;bisphosphonates&amp;#xD;bone loss&amp;#xD;breast cancer&amp;#xD;estrogen&lt;/orig-pub&gt;&lt;isbn&gt;1179-1314 (Print)&amp;#xD;1179-1314 (Linking)&lt;/isbn&gt;&lt;work-type&gt;Review&lt;/work-type&gt;&lt;urls&gt;&lt;/urls&gt;&lt;/record&gt;&lt;/Cite&gt;&lt;/EndNote&gt;</w:instrText>
      </w:r>
      <w:r w:rsidR="00803152">
        <w:fldChar w:fldCharType="separate"/>
      </w:r>
      <w:r w:rsidR="00803152">
        <w:rPr>
          <w:noProof/>
        </w:rPr>
        <w:t>(</w:t>
      </w:r>
      <w:hyperlink w:anchor="_ENREF_5" w:tooltip="Bauer, 2012 #255" w:history="1">
        <w:r w:rsidR="006F79C1">
          <w:rPr>
            <w:noProof/>
          </w:rPr>
          <w:t>Bauer, Bryce et al. 2012</w:t>
        </w:r>
      </w:hyperlink>
      <w:r w:rsidR="00803152">
        <w:rPr>
          <w:noProof/>
        </w:rPr>
        <w:t>)</w:t>
      </w:r>
      <w:r w:rsidR="00803152">
        <w:fldChar w:fldCharType="end"/>
      </w:r>
      <w:r>
        <w:t>.</w:t>
      </w:r>
      <w:r w:rsidR="00B17EC6">
        <w:t xml:space="preserve"> </w:t>
      </w:r>
    </w:p>
    <w:p w:rsidR="00A902CF" w:rsidRDefault="00A902CF" w:rsidP="00B53A81">
      <w:r>
        <w:t xml:space="preserve">Post-menopausal women with breast cancer, before they receive AI therapy, are already at increased risk of </w:t>
      </w:r>
      <w:r w:rsidR="00F660E2">
        <w:t>bone loss</w:t>
      </w:r>
      <w:r>
        <w:t xml:space="preserve"> due to: age-related failure of ovarian function, subsequent decline in </w:t>
      </w:r>
      <w:r w:rsidR="008E57FA">
        <w:t>oestrogen and</w:t>
      </w:r>
      <w:r>
        <w:t xml:space="preserve"> possible disease-related bone loss. Treatment-related bone loss may </w:t>
      </w:r>
      <w:r w:rsidR="00F660E2">
        <w:t xml:space="preserve">also </w:t>
      </w:r>
      <w:r w:rsidR="008E57FA">
        <w:t>be a</w:t>
      </w:r>
      <w:r w:rsidR="00F660E2">
        <w:t>ccelerated</w:t>
      </w:r>
      <w:r w:rsidR="008E57FA">
        <w:t xml:space="preserve"> due to various hormone and chemotherapy treatments</w:t>
      </w:r>
      <w:r w:rsidR="00803152">
        <w:t xml:space="preserve"> </w:t>
      </w:r>
      <w:r w:rsidR="00803152">
        <w:fldChar w:fldCharType="begin"/>
      </w:r>
      <w:r w:rsidR="00803152">
        <w:instrText xml:space="preserve"> ADDIN EN.CITE &lt;EndNote&gt;&lt;Cite&gt;&lt;Author&gt;Bauer&lt;/Author&gt;&lt;Year&gt;2012&lt;/Year&gt;&lt;RecNum&gt;255&lt;/RecNum&gt;&lt;DisplayText&gt;(Bauer, Bryce et al. 2012)&lt;/DisplayText&gt;&lt;record&gt;&lt;rec-number&gt;255&lt;/rec-number&gt;&lt;foreign-keys&gt;&lt;key app="EN" db-id="v9edw0zeqvve5nedzvjx29f1df2z2tvpvw55" timestamp="1398313189"&gt;255&lt;/key&gt;&lt;/foreign-keys&gt;&lt;ref-type name="Journal Article"&gt;17&lt;/ref-type&gt;&lt;contributors&gt;&lt;authors&gt;&lt;author&gt;Bauer, M.&lt;/author&gt;&lt;author&gt;Bryce, J.&lt;/author&gt;&lt;author&gt;Hadji, P.&lt;/author&gt;&lt;/authors&gt;&lt;/contributors&gt;&lt;titles&gt;&lt;title&gt;Aromatase inhibitor-associated bone loss and its management with bisphosphonates in patients with breast cancer&lt;/title&gt;&lt;secondary-title&gt;Breast Cancer (Dove Med Press).&lt;/secondary-title&gt;&lt;/titles&gt;&lt;periodical&gt;&lt;full-title&gt;Breast Cancer (Dove Med Press).&lt;/full-title&gt;&lt;/periodical&gt;&lt;pages&gt;91-101. eCollection 2012.&lt;/pages&gt;&lt;volume&gt;4&lt;/volume&gt;&lt;dates&gt;&lt;year&gt;2012&lt;/year&gt;&lt;pub-dates&gt;&lt;date&gt;Jun 20&lt;/date&gt;&lt;/pub-dates&gt;&lt;/dates&gt;&lt;orig-pub&gt;aromatase inhibitors&amp;#xD;bisphosphonates&amp;#xD;bone loss&amp;#xD;breast cancer&amp;#xD;estrogen&lt;/orig-pub&gt;&lt;isbn&gt;1179-1314 (Print)&amp;#xD;1179-1314 (Linking)&lt;/isbn&gt;&lt;work-type&gt;Review&lt;/work-type&gt;&lt;urls&gt;&lt;/urls&gt;&lt;/record&gt;&lt;/Cite&gt;&lt;/EndNote&gt;</w:instrText>
      </w:r>
      <w:r w:rsidR="00803152">
        <w:fldChar w:fldCharType="separate"/>
      </w:r>
      <w:r w:rsidR="00803152">
        <w:rPr>
          <w:noProof/>
        </w:rPr>
        <w:t>(</w:t>
      </w:r>
      <w:hyperlink w:anchor="_ENREF_5" w:tooltip="Bauer, 2012 #255" w:history="1">
        <w:r w:rsidR="006F79C1">
          <w:rPr>
            <w:noProof/>
          </w:rPr>
          <w:t>Bauer, Bryce et al. 2012</w:t>
        </w:r>
      </w:hyperlink>
      <w:r w:rsidR="00803152">
        <w:rPr>
          <w:noProof/>
        </w:rPr>
        <w:t>)</w:t>
      </w:r>
      <w:r w:rsidR="00803152">
        <w:fldChar w:fldCharType="end"/>
      </w:r>
      <w:r w:rsidR="008E57FA">
        <w:t>.  AI therapy is therefore an added risk factor of bone loss in women with breast cancer.</w:t>
      </w:r>
    </w:p>
    <w:p w:rsidR="00264D99" w:rsidRDefault="00B17EC6" w:rsidP="00B53A81">
      <w:r>
        <w:lastRenderedPageBreak/>
        <w:t xml:space="preserve">Cancer Australia published </w:t>
      </w:r>
      <w:r w:rsidR="00C70C89">
        <w:t xml:space="preserve">evidence-based </w:t>
      </w:r>
      <w:r>
        <w:t xml:space="preserve">Clinical Practice Guidelines on </w:t>
      </w:r>
      <w:r w:rsidR="00C70C89">
        <w:t>‘Recommendations for use of bisphosphonate in</w:t>
      </w:r>
      <w:r>
        <w:t xml:space="preserve"> early breast cancer</w:t>
      </w:r>
      <w:r w:rsidR="00104FF5">
        <w:t>’ in</w:t>
      </w:r>
      <w:r w:rsidR="00C70C89">
        <w:t xml:space="preserve"> November 2011</w:t>
      </w:r>
      <w:r>
        <w:t xml:space="preserve">. The </w:t>
      </w:r>
      <w:r w:rsidR="00C70C89">
        <w:t xml:space="preserve">full </w:t>
      </w:r>
      <w:r>
        <w:t xml:space="preserve">recommendations are listed </w:t>
      </w:r>
      <w:r w:rsidR="000F6088">
        <w:t xml:space="preserve">at: </w:t>
      </w:r>
      <w:hyperlink r:id="rId26" w:tooltip="This link goes to the guidelines for bisphosphonate use" w:history="1">
        <w:r w:rsidR="000F6088" w:rsidRPr="00A416C3">
          <w:rPr>
            <w:rStyle w:val="Hyperlink"/>
          </w:rPr>
          <w:t>http://canceraustralia.gov.au/publications-resources/cancer-australia-publications/recommendations-use-bisphosphonates-early-breast</w:t>
        </w:r>
      </w:hyperlink>
      <w:r w:rsidR="000F6088">
        <w:t xml:space="preserve"> </w:t>
      </w:r>
      <w:r>
        <w:t>.  In brief, these guidelines recommend</w:t>
      </w:r>
      <w:r w:rsidR="00C70C89">
        <w:t>:</w:t>
      </w:r>
    </w:p>
    <w:p w:rsidR="00C70C89" w:rsidRPr="00C70C89" w:rsidRDefault="00C70C89" w:rsidP="00534D10">
      <w:pPr>
        <w:pStyle w:val="ListParagraph"/>
        <w:numPr>
          <w:ilvl w:val="0"/>
          <w:numId w:val="29"/>
        </w:numPr>
        <w:rPr>
          <w:rFonts w:ascii="Garamond" w:hAnsi="Garamond"/>
        </w:rPr>
      </w:pPr>
      <w:r w:rsidRPr="00C70C89">
        <w:rPr>
          <w:rFonts w:ascii="Garamond" w:hAnsi="Garamond"/>
        </w:rPr>
        <w:t xml:space="preserve">Short-term use of bisphosphonates (up to 4 years) should be considered to reduce loss of BMD in lumbar spine, hip and femoral neck associated with treatment for early breast cancer (chemotherapy, endocrine therapy). </w:t>
      </w:r>
    </w:p>
    <w:p w:rsidR="00C70C89" w:rsidRDefault="00C70C89" w:rsidP="00534D10">
      <w:pPr>
        <w:pStyle w:val="ListParagraph"/>
        <w:numPr>
          <w:ilvl w:val="0"/>
          <w:numId w:val="29"/>
        </w:numPr>
      </w:pPr>
      <w:r w:rsidRPr="00C70C89">
        <w:rPr>
          <w:rFonts w:ascii="Garamond" w:hAnsi="Garamond"/>
        </w:rPr>
        <w:t>In post-menopausal women with osteopenia, upfront intravenous zoledronic acid (4</w:t>
      </w:r>
      <w:r w:rsidR="00104FF5">
        <w:rPr>
          <w:rFonts w:ascii="Garamond" w:hAnsi="Garamond"/>
        </w:rPr>
        <w:t xml:space="preserve"> </w:t>
      </w:r>
      <w:r w:rsidRPr="00C70C89">
        <w:rPr>
          <w:rFonts w:ascii="Garamond" w:hAnsi="Garamond"/>
        </w:rPr>
        <w:t>mg every 6 months) should be considered over delayed treatment to prevent bone mineral density loss associated with aromatase inhibitor treatment for breast cancer</w:t>
      </w:r>
      <w:r>
        <w:t>.</w:t>
      </w:r>
    </w:p>
    <w:p w:rsidR="00C70C89" w:rsidRDefault="00C70C89" w:rsidP="00C70C89">
      <w:pPr>
        <w:spacing w:after="0"/>
      </w:pPr>
    </w:p>
    <w:p w:rsidR="00ED5D8A" w:rsidRDefault="00ED5D8A" w:rsidP="00C70C89">
      <w:pPr>
        <w:pStyle w:val="Heading3"/>
      </w:pPr>
      <w:bookmarkStart w:id="36" w:name="_Toc386093686"/>
      <w:r>
        <w:t xml:space="preserve">Bone </w:t>
      </w:r>
      <w:r w:rsidR="003D4983">
        <w:t>mineral density</w:t>
      </w:r>
      <w:bookmarkEnd w:id="36"/>
    </w:p>
    <w:p w:rsidR="00264D99" w:rsidRDefault="000F6088" w:rsidP="00ED5D8A">
      <w:r>
        <w:t>Bone mineral density (BMD) technologies are used in osteoporosis diagnosis and management. They are also used to provide an indicator of risk for future fractures and monitoring bone disease.</w:t>
      </w:r>
      <w:r w:rsidR="004B0767">
        <w:t xml:space="preserve"> </w:t>
      </w:r>
      <w:r w:rsidR="0040594C">
        <w:t xml:space="preserve">An individual’s </w:t>
      </w:r>
      <w:r>
        <w:t>BMD</w:t>
      </w:r>
      <w:r w:rsidR="000B115E">
        <w:t xml:space="preserve"> </w:t>
      </w:r>
      <w:r w:rsidR="00B94AB7">
        <w:t xml:space="preserve">relies on the balance between the processes of bone formation and bone resorption. </w:t>
      </w:r>
      <w:r w:rsidR="00946D4D">
        <w:t>BMD reflects bone strength, mass, spatial distribution (i</w:t>
      </w:r>
      <w:r w:rsidR="0037663F">
        <w:t>.</w:t>
      </w:r>
      <w:r w:rsidR="00946D4D">
        <w:t>e.</w:t>
      </w:r>
      <w:r w:rsidR="0037663F">
        <w:t>,</w:t>
      </w:r>
      <w:r w:rsidR="00946D4D">
        <w:t xml:space="preserve"> shape and microarchitecture) and other </w:t>
      </w:r>
      <w:r w:rsidR="0037663F">
        <w:t xml:space="preserve">bone </w:t>
      </w:r>
      <w:r w:rsidR="00946D4D">
        <w:t xml:space="preserve">properties such as density, matrix mineralisation, collagen trains and micro damage. </w:t>
      </w:r>
    </w:p>
    <w:p w:rsidR="00264D99" w:rsidRDefault="00264D99" w:rsidP="00264D99">
      <w:r>
        <w:t xml:space="preserve">The DXA scan is used to generate a T-score, a comparison of a patient’s bone density to that of peak bone density for the patient’s gender and is the number of standard deviations above or below the normal young adult BMD means. T-scores are often taken at the lumbar spine (L2-L4), total hip and femoral neck. </w:t>
      </w:r>
      <w:r w:rsidR="00B17EC6">
        <w:t>T-scores of 1.0, 2.0 and 2.5 relate to the normal distribution of bone mass and are the standard deviations to the normal range.</w:t>
      </w:r>
      <w:r w:rsidR="004B0767">
        <w:t xml:space="preserve"> Z-scores are number of standard deviations that a BMD score deviates from the mean BMD in persons of the same age and gender.</w:t>
      </w:r>
    </w:p>
    <w:p w:rsidR="000C3E4A" w:rsidRDefault="000F6088" w:rsidP="00ED5D8A">
      <w:r>
        <w:t xml:space="preserve">There is widespread acceptance of the World Health Organisation (WHO) definition of osteoporosis </w:t>
      </w:r>
      <w:r w:rsidR="004B0767">
        <w:t xml:space="preserve">as determined by </w:t>
      </w:r>
      <w:r>
        <w:t xml:space="preserve">a person’s BMD T-score at the femoral neck (Table </w:t>
      </w:r>
      <w:r w:rsidR="004B0767">
        <w:t>1</w:t>
      </w:r>
      <w:r>
        <w:t xml:space="preserve">). </w:t>
      </w:r>
      <w:r w:rsidR="001A29E4">
        <w:t>Osteopenia is a precursor to osteoporosis.</w:t>
      </w:r>
      <w:r>
        <w:t xml:space="preserve"> </w:t>
      </w:r>
    </w:p>
    <w:p w:rsidR="00A8045E" w:rsidRPr="00A8045E" w:rsidRDefault="00A8045E" w:rsidP="00C262EC">
      <w:pPr>
        <w:pStyle w:val="TableName"/>
      </w:pPr>
      <w:bookmarkStart w:id="37" w:name="_Toc386112670"/>
      <w:r w:rsidRPr="00A8045E">
        <w:t>Table</w:t>
      </w:r>
      <w:r w:rsidR="004B0767">
        <w:t xml:space="preserve"> 1</w:t>
      </w:r>
      <w:r w:rsidR="003E5E41">
        <w:t>:</w:t>
      </w:r>
      <w:r w:rsidRPr="00A8045E">
        <w:t xml:space="preserve"> Diagnosis by T-score </w:t>
      </w:r>
      <w:r w:rsidR="001E584F">
        <w:t xml:space="preserve">(femoral neck) </w:t>
      </w:r>
      <w:r w:rsidRPr="00A8045E">
        <w:t>and WHO classification of osteoporosis</w:t>
      </w:r>
      <w:bookmarkEnd w:id="37"/>
    </w:p>
    <w:tbl>
      <w:tblPr>
        <w:tblStyle w:val="TableGrid"/>
        <w:tblW w:w="0" w:type="auto"/>
        <w:tblInd w:w="720" w:type="dxa"/>
        <w:tblLook w:val="04A0" w:firstRow="1" w:lastRow="0" w:firstColumn="1" w:lastColumn="0" w:noHBand="0" w:noVBand="1"/>
        <w:tblCaption w:val="Diagnosis of osteoporosis by WHO T-score"/>
      </w:tblPr>
      <w:tblGrid>
        <w:gridCol w:w="4248"/>
        <w:gridCol w:w="4277"/>
      </w:tblGrid>
      <w:tr w:rsidR="00946D4D" w:rsidRPr="00A8045E" w:rsidTr="006567D9">
        <w:trPr>
          <w:tblHeader/>
        </w:trPr>
        <w:tc>
          <w:tcPr>
            <w:tcW w:w="4622" w:type="dxa"/>
          </w:tcPr>
          <w:p w:rsidR="00946D4D" w:rsidRPr="00A8045E" w:rsidRDefault="00946D4D" w:rsidP="00A8045E">
            <w:pPr>
              <w:pStyle w:val="TableText"/>
              <w:rPr>
                <w:b/>
              </w:rPr>
            </w:pPr>
            <w:r w:rsidRPr="00A8045E">
              <w:rPr>
                <w:b/>
              </w:rPr>
              <w:t>T-score</w:t>
            </w:r>
          </w:p>
        </w:tc>
        <w:tc>
          <w:tcPr>
            <w:tcW w:w="4623" w:type="dxa"/>
          </w:tcPr>
          <w:p w:rsidR="00946D4D" w:rsidRPr="00A8045E" w:rsidRDefault="00946D4D" w:rsidP="00A8045E">
            <w:pPr>
              <w:pStyle w:val="TableText"/>
              <w:rPr>
                <w:b/>
              </w:rPr>
            </w:pPr>
            <w:r w:rsidRPr="00A8045E">
              <w:rPr>
                <w:b/>
              </w:rPr>
              <w:t>Diagnosis</w:t>
            </w:r>
          </w:p>
        </w:tc>
      </w:tr>
      <w:tr w:rsidR="00946D4D" w:rsidTr="00946D4D">
        <w:tc>
          <w:tcPr>
            <w:tcW w:w="4622" w:type="dxa"/>
          </w:tcPr>
          <w:p w:rsidR="00946D4D" w:rsidRDefault="00A8045E" w:rsidP="00A8045E">
            <w:pPr>
              <w:pStyle w:val="TableText"/>
            </w:pPr>
            <w:r>
              <w:t>Equal or greater than -1.0</w:t>
            </w:r>
          </w:p>
        </w:tc>
        <w:tc>
          <w:tcPr>
            <w:tcW w:w="4623" w:type="dxa"/>
          </w:tcPr>
          <w:p w:rsidR="00946D4D" w:rsidRDefault="00A8045E" w:rsidP="00A8045E">
            <w:pPr>
              <w:pStyle w:val="TableText"/>
            </w:pPr>
            <w:r>
              <w:t>Normal bone density</w:t>
            </w:r>
          </w:p>
        </w:tc>
      </w:tr>
      <w:tr w:rsidR="00946D4D" w:rsidTr="00946D4D">
        <w:tc>
          <w:tcPr>
            <w:tcW w:w="4622" w:type="dxa"/>
          </w:tcPr>
          <w:p w:rsidR="00946D4D" w:rsidRDefault="00A8045E" w:rsidP="00A8045E">
            <w:pPr>
              <w:pStyle w:val="TableText"/>
            </w:pPr>
            <w:r>
              <w:t>Between -1.0 to -2.5</w:t>
            </w:r>
          </w:p>
        </w:tc>
        <w:tc>
          <w:tcPr>
            <w:tcW w:w="4623" w:type="dxa"/>
          </w:tcPr>
          <w:p w:rsidR="00946D4D" w:rsidRDefault="00A8045E" w:rsidP="00A8045E">
            <w:pPr>
              <w:pStyle w:val="TableText"/>
            </w:pPr>
            <w:r>
              <w:t>Low bone mass ‘osteopenia’</w:t>
            </w:r>
          </w:p>
        </w:tc>
      </w:tr>
      <w:tr w:rsidR="00946D4D" w:rsidTr="00946D4D">
        <w:tc>
          <w:tcPr>
            <w:tcW w:w="4622" w:type="dxa"/>
          </w:tcPr>
          <w:p w:rsidR="00946D4D" w:rsidRDefault="00A8045E" w:rsidP="00A8045E">
            <w:pPr>
              <w:pStyle w:val="TableText"/>
            </w:pPr>
            <w:r>
              <w:t>Equal or less than -2.5</w:t>
            </w:r>
          </w:p>
        </w:tc>
        <w:tc>
          <w:tcPr>
            <w:tcW w:w="4623" w:type="dxa"/>
          </w:tcPr>
          <w:p w:rsidR="00946D4D" w:rsidRDefault="00A8045E" w:rsidP="00A8045E">
            <w:pPr>
              <w:pStyle w:val="TableText"/>
            </w:pPr>
            <w:r>
              <w:t>Osteoporosis</w:t>
            </w:r>
          </w:p>
        </w:tc>
      </w:tr>
      <w:tr w:rsidR="001E584F" w:rsidTr="00946D4D">
        <w:tc>
          <w:tcPr>
            <w:tcW w:w="4622" w:type="dxa"/>
          </w:tcPr>
          <w:p w:rsidR="001E584F" w:rsidRDefault="001E584F" w:rsidP="00A8045E">
            <w:pPr>
              <w:pStyle w:val="TableText"/>
            </w:pPr>
            <w:r>
              <w:t>Equal or less than -2.5 and minimal trauma fracture</w:t>
            </w:r>
          </w:p>
        </w:tc>
        <w:tc>
          <w:tcPr>
            <w:tcW w:w="4623" w:type="dxa"/>
          </w:tcPr>
          <w:p w:rsidR="001E584F" w:rsidRDefault="001E584F" w:rsidP="00A8045E">
            <w:pPr>
              <w:pStyle w:val="TableText"/>
            </w:pPr>
            <w:r>
              <w:t>Established osteoporosis</w:t>
            </w:r>
          </w:p>
        </w:tc>
      </w:tr>
    </w:tbl>
    <w:p w:rsidR="00946D4D" w:rsidRDefault="00A8045E" w:rsidP="00A8045E">
      <w:pPr>
        <w:pStyle w:val="TableText"/>
        <w:ind w:left="567"/>
      </w:pPr>
      <w:r>
        <w:t>Source: WHO 2007</w:t>
      </w:r>
    </w:p>
    <w:p w:rsidR="00A8045E" w:rsidRDefault="00A8045E" w:rsidP="00A90D09">
      <w:pPr>
        <w:spacing w:after="0"/>
      </w:pPr>
    </w:p>
    <w:p w:rsidR="005677C0" w:rsidRDefault="000F6088" w:rsidP="004B0767">
      <w:pPr>
        <w:spacing w:after="0"/>
      </w:pPr>
      <w:r>
        <w:t>Major r</w:t>
      </w:r>
      <w:r w:rsidR="005677C0">
        <w:t xml:space="preserve">isk factors for osteoporosis </w:t>
      </w:r>
      <w:r w:rsidR="008E57FA">
        <w:t xml:space="preserve">in post-menopausal women </w:t>
      </w:r>
      <w:r w:rsidR="005677C0">
        <w:t>include:</w:t>
      </w:r>
    </w:p>
    <w:p w:rsidR="00B17EC6" w:rsidRDefault="00B17EC6" w:rsidP="00534D10">
      <w:pPr>
        <w:pStyle w:val="ListParagraph"/>
        <w:numPr>
          <w:ilvl w:val="0"/>
          <w:numId w:val="35"/>
        </w:numPr>
      </w:pPr>
      <w:r>
        <w:t>Low BMD T-score</w:t>
      </w:r>
    </w:p>
    <w:p w:rsidR="00F660E2" w:rsidRPr="00E50472" w:rsidRDefault="00F660E2" w:rsidP="00534D10">
      <w:pPr>
        <w:pStyle w:val="ListParagraph"/>
        <w:numPr>
          <w:ilvl w:val="0"/>
          <w:numId w:val="35"/>
        </w:numPr>
      </w:pPr>
      <w:r w:rsidRPr="00E50472">
        <w:t>Age &gt;65 years</w:t>
      </w:r>
    </w:p>
    <w:p w:rsidR="005677C0" w:rsidRPr="00E50472" w:rsidRDefault="005677C0" w:rsidP="00534D10">
      <w:pPr>
        <w:pStyle w:val="ListParagraph"/>
        <w:numPr>
          <w:ilvl w:val="0"/>
          <w:numId w:val="35"/>
        </w:numPr>
      </w:pPr>
      <w:r w:rsidRPr="00E50472">
        <w:t>Low body weight</w:t>
      </w:r>
      <w:r w:rsidR="008E57FA" w:rsidRPr="00E50472">
        <w:t xml:space="preserve"> (</w:t>
      </w:r>
      <w:r w:rsidR="0040594C">
        <w:t>body mass index (</w:t>
      </w:r>
      <w:r w:rsidR="008E57FA" w:rsidRPr="00E50472">
        <w:t>BMI</w:t>
      </w:r>
      <w:r w:rsidR="0040594C">
        <w:t>)</w:t>
      </w:r>
      <w:r w:rsidR="008E57FA" w:rsidRPr="00E50472">
        <w:t xml:space="preserve"> &lt;20 kg/m</w:t>
      </w:r>
      <w:r w:rsidR="008E57FA" w:rsidRPr="000F6088">
        <w:rPr>
          <w:vertAlign w:val="superscript"/>
        </w:rPr>
        <w:t>2</w:t>
      </w:r>
      <w:r w:rsidR="008E57FA" w:rsidRPr="00E50472">
        <w:t>)</w:t>
      </w:r>
    </w:p>
    <w:p w:rsidR="00F660E2" w:rsidRPr="00E50472" w:rsidRDefault="00F660E2" w:rsidP="00534D10">
      <w:pPr>
        <w:pStyle w:val="ListParagraph"/>
        <w:numPr>
          <w:ilvl w:val="0"/>
          <w:numId w:val="35"/>
        </w:numPr>
      </w:pPr>
      <w:r w:rsidRPr="00E50472">
        <w:t xml:space="preserve">Family history of </w:t>
      </w:r>
      <w:r w:rsidR="00490D85">
        <w:t>osteoporotic</w:t>
      </w:r>
      <w:r w:rsidRPr="00E50472">
        <w:t xml:space="preserve"> fracture</w:t>
      </w:r>
    </w:p>
    <w:p w:rsidR="00975DA6" w:rsidRPr="00E50472" w:rsidRDefault="008E57FA" w:rsidP="00534D10">
      <w:pPr>
        <w:pStyle w:val="ListParagraph"/>
        <w:numPr>
          <w:ilvl w:val="0"/>
          <w:numId w:val="35"/>
        </w:numPr>
      </w:pPr>
      <w:r w:rsidRPr="00E50472">
        <w:t xml:space="preserve">Previous </w:t>
      </w:r>
      <w:r w:rsidR="00F660E2" w:rsidRPr="00E50472">
        <w:t xml:space="preserve">fragility </w:t>
      </w:r>
      <w:r w:rsidR="00975DA6" w:rsidRPr="00E50472">
        <w:t>fracture</w:t>
      </w:r>
      <w:r w:rsidRPr="00E50472">
        <w:t xml:space="preserve"> after age 50</w:t>
      </w:r>
    </w:p>
    <w:p w:rsidR="008E57FA" w:rsidRPr="00E50472" w:rsidRDefault="008E57FA" w:rsidP="00534D10">
      <w:pPr>
        <w:pStyle w:val="ListParagraph"/>
        <w:numPr>
          <w:ilvl w:val="0"/>
          <w:numId w:val="35"/>
        </w:numPr>
      </w:pPr>
      <w:r w:rsidRPr="00E50472">
        <w:t>Oral corticosteroid use &gt; 6 months duration</w:t>
      </w:r>
    </w:p>
    <w:p w:rsidR="00975DA6" w:rsidRDefault="00264D99" w:rsidP="00E50472">
      <w:pPr>
        <w:spacing w:after="0"/>
      </w:pPr>
      <w:r>
        <w:lastRenderedPageBreak/>
        <w:t>Taking into consideration all risk factors, evaluating both BMD T-score and clinical risk factors is believed to provide the best assessment of an increased risk of fracture in women with breast cancer</w:t>
      </w:r>
      <w:r w:rsidR="00803152">
        <w:t xml:space="preserve"> </w:t>
      </w:r>
      <w:r w:rsidR="00803152">
        <w:fldChar w:fldCharType="begin"/>
      </w:r>
      <w:r w:rsidR="00803152">
        <w:instrText xml:space="preserve"> ADDIN EN.CITE &lt;EndNote&gt;&lt;Cite&gt;&lt;Author&gt;Bauer&lt;/Author&gt;&lt;Year&gt;2012&lt;/Year&gt;&lt;RecNum&gt;255&lt;/RecNum&gt;&lt;DisplayText&gt;(Bauer, Bryce et al. 2012)&lt;/DisplayText&gt;&lt;record&gt;&lt;rec-number&gt;255&lt;/rec-number&gt;&lt;foreign-keys&gt;&lt;key app="EN" db-id="v9edw0zeqvve5nedzvjx29f1df2z2tvpvw55" timestamp="1398313189"&gt;255&lt;/key&gt;&lt;/foreign-keys&gt;&lt;ref-type name="Journal Article"&gt;17&lt;/ref-type&gt;&lt;contributors&gt;&lt;authors&gt;&lt;author&gt;Bauer, M.&lt;/author&gt;&lt;author&gt;Bryce, J.&lt;/author&gt;&lt;author&gt;Hadji, P.&lt;/author&gt;&lt;/authors&gt;&lt;/contributors&gt;&lt;titles&gt;&lt;title&gt;Aromatase inhibitor-associated bone loss and its management with bisphosphonates in patients with breast cancer&lt;/title&gt;&lt;secondary-title&gt;Breast Cancer (Dove Med Press).&lt;/secondary-title&gt;&lt;/titles&gt;&lt;periodical&gt;&lt;full-title&gt;Breast Cancer (Dove Med Press).&lt;/full-title&gt;&lt;/periodical&gt;&lt;pages&gt;91-101. eCollection 2012.&lt;/pages&gt;&lt;volume&gt;4&lt;/volume&gt;&lt;dates&gt;&lt;year&gt;2012&lt;/year&gt;&lt;pub-dates&gt;&lt;date&gt;Jun 20&lt;/date&gt;&lt;/pub-dates&gt;&lt;/dates&gt;&lt;orig-pub&gt;aromatase inhibitors&amp;#xD;bisphosphonates&amp;#xD;bone loss&amp;#xD;breast cancer&amp;#xD;estrogen&lt;/orig-pub&gt;&lt;isbn&gt;1179-1314 (Print)&amp;#xD;1179-1314 (Linking)&lt;/isbn&gt;&lt;work-type&gt;Review&lt;/work-type&gt;&lt;urls&gt;&lt;/urls&gt;&lt;/record&gt;&lt;/Cite&gt;&lt;/EndNote&gt;</w:instrText>
      </w:r>
      <w:r w:rsidR="00803152">
        <w:fldChar w:fldCharType="separate"/>
      </w:r>
      <w:r w:rsidR="00803152">
        <w:rPr>
          <w:noProof/>
        </w:rPr>
        <w:t>(</w:t>
      </w:r>
      <w:hyperlink w:anchor="_ENREF_5" w:tooltip="Bauer, 2012 #255" w:history="1">
        <w:r w:rsidR="006F79C1">
          <w:rPr>
            <w:noProof/>
          </w:rPr>
          <w:t>Bauer, Bryce et al. 2012</w:t>
        </w:r>
      </w:hyperlink>
      <w:r w:rsidR="00803152">
        <w:rPr>
          <w:noProof/>
        </w:rPr>
        <w:t>)</w:t>
      </w:r>
      <w:r w:rsidR="00803152">
        <w:fldChar w:fldCharType="end"/>
      </w:r>
      <w:r>
        <w:t>.</w:t>
      </w:r>
    </w:p>
    <w:p w:rsidR="00C70C89" w:rsidRDefault="00C70C89" w:rsidP="00C70C89">
      <w:pPr>
        <w:spacing w:after="0"/>
        <w:ind w:left="0"/>
      </w:pPr>
    </w:p>
    <w:p w:rsidR="0033662F" w:rsidRDefault="0033662F" w:rsidP="00C70C89">
      <w:r>
        <w:t>In Australia, the background</w:t>
      </w:r>
      <w:r w:rsidR="00A90D09">
        <w:t xml:space="preserve"> population</w:t>
      </w:r>
      <w:r>
        <w:t xml:space="preserve"> levels of BMD a</w:t>
      </w:r>
      <w:r w:rsidR="0040594C">
        <w:t>re provided for women in Figure</w:t>
      </w:r>
      <w:r>
        <w:t xml:space="preserve"> </w:t>
      </w:r>
      <w:r w:rsidR="004B0767">
        <w:t>1</w:t>
      </w:r>
      <w:r>
        <w:t>. Th</w:t>
      </w:r>
      <w:r w:rsidR="0040594C">
        <w:t>ese data come</w:t>
      </w:r>
      <w:r>
        <w:t xml:space="preserve"> from the Geelong Osteoporosis Study</w:t>
      </w:r>
      <w:r w:rsidR="00803152">
        <w:t xml:space="preserve"> </w:t>
      </w:r>
      <w:r w:rsidR="00803152">
        <w:fldChar w:fldCharType="begin"/>
      </w:r>
      <w:r w:rsidR="00803152">
        <w:instrText xml:space="preserve"> ADDIN EN.CITE &lt;EndNote&gt;&lt;Cite&gt;&lt;Author&gt;Henry&lt;/Author&gt;&lt;Year&gt;2011&lt;/Year&gt;&lt;RecNum&gt;60&lt;/RecNum&gt;&lt;DisplayText&gt;(Henry, Pasco et al. 2011)&lt;/DisplayText&gt;&lt;record&gt;&lt;rec-number&gt;60&lt;/rec-number&gt;&lt;foreign-keys&gt;&lt;key app="EN" db-id="v9edw0zeqvve5nedzvjx29f1df2z2tvpvw55" timestamp="1396841366"&gt;60&lt;/key&gt;&lt;/foreign-keys&gt;&lt;ref-type name="Journal Article"&gt;17&lt;/ref-type&gt;&lt;contributors&gt;&lt;authors&gt;&lt;author&gt;Henry, M. J.&lt;/author&gt;&lt;author&gt;Pasco, J. A.&lt;/author&gt;&lt;author&gt;Nicholson, G. C.&lt;/author&gt;&lt;author&gt;Kotowicz, M. A.&lt;/author&gt;&lt;/authors&gt;&lt;/contributors&gt;&lt;titles&gt;&lt;title&gt;Prevalence of osteoporosis in Australian men and women: Geelong Osteoporosis Study&lt;/title&gt;&lt;secondary-title&gt;Med J Aust.&lt;/secondary-title&gt;&lt;/titles&gt;&lt;periodical&gt;&lt;full-title&gt;Med J Aust.&lt;/full-title&gt;&lt;/periodical&gt;&lt;pages&gt;321-2.&lt;/pages&gt;&lt;volume&gt;195&lt;/volume&gt;&lt;number&gt;6&lt;/number&gt;&lt;keywords&gt;&lt;keyword&gt;*Absorptiometry, Photon&lt;/keyword&gt;&lt;keyword&gt;Adult&lt;/keyword&gt;&lt;keyword&gt;Aged&lt;/keyword&gt;&lt;keyword&gt;Aged, 80 and over&lt;/keyword&gt;&lt;keyword&gt;Australia/epidemiology&lt;/keyword&gt;&lt;keyword&gt;*Bone Density&lt;/keyword&gt;&lt;keyword&gt;Female&lt;/keyword&gt;&lt;keyword&gt;Femur Neck&lt;/keyword&gt;&lt;keyword&gt;Humans&lt;/keyword&gt;&lt;keyword&gt;Male&lt;/keyword&gt;&lt;keyword&gt;Middle Aged&lt;/keyword&gt;&lt;keyword&gt;Osteoporosis/*epidemiology/*radiography&lt;/keyword&gt;&lt;keyword&gt;Prevalence&lt;/keyword&gt;&lt;keyword&gt;Risk Factors&lt;/keyword&gt;&lt;keyword&gt;Sampling Studies&lt;/keyword&gt;&lt;keyword&gt;Spine&lt;/keyword&gt;&lt;/keywords&gt;&lt;dates&gt;&lt;year&gt;2011&lt;/year&gt;&lt;pub-dates&gt;&lt;date&gt;Sep 19&lt;/date&gt;&lt;/pub-dates&gt;&lt;/dates&gt;&lt;isbn&gt;1326-5377 (Electronic)&amp;#xD;0025-729X (Linking)&lt;/isbn&gt;&lt;work-type&gt;Letter&amp;#xD;Research Support, Non-U.S. Gov&amp;apos;t&lt;/work-type&gt;&lt;urls&gt;&lt;/urls&gt;&lt;/record&gt;&lt;/Cite&gt;&lt;/EndNote&gt;</w:instrText>
      </w:r>
      <w:r w:rsidR="00803152">
        <w:fldChar w:fldCharType="separate"/>
      </w:r>
      <w:r w:rsidR="00803152">
        <w:rPr>
          <w:noProof/>
        </w:rPr>
        <w:t>(</w:t>
      </w:r>
      <w:hyperlink w:anchor="_ENREF_25" w:tooltip="Henry, 2011 #60" w:history="1">
        <w:r w:rsidR="006F79C1">
          <w:rPr>
            <w:noProof/>
          </w:rPr>
          <w:t>Henry, Pasco et al. 2011</w:t>
        </w:r>
      </w:hyperlink>
      <w:r w:rsidR="00803152">
        <w:rPr>
          <w:noProof/>
        </w:rPr>
        <w:t>)</w:t>
      </w:r>
      <w:r w:rsidR="00803152">
        <w:fldChar w:fldCharType="end"/>
      </w:r>
      <w:r w:rsidR="00A90D09">
        <w:t xml:space="preserve"> and</w:t>
      </w:r>
      <w:r w:rsidR="00E50472">
        <w:t xml:space="preserve"> are </w:t>
      </w:r>
      <w:r w:rsidR="00A90D09">
        <w:t xml:space="preserve">reported to be </w:t>
      </w:r>
      <w:r w:rsidR="00784C36">
        <w:t xml:space="preserve">closely </w:t>
      </w:r>
      <w:r w:rsidR="00A90D09">
        <w:t>representative of all Australian</w:t>
      </w:r>
      <w:r w:rsidR="00784C36">
        <w:t xml:space="preserve"> women</w:t>
      </w:r>
      <w:r>
        <w:t>.</w:t>
      </w:r>
    </w:p>
    <w:p w:rsidR="0033662F" w:rsidRPr="0033662F" w:rsidRDefault="00F17C3B" w:rsidP="003E5E41">
      <w:pPr>
        <w:pStyle w:val="Figures"/>
      </w:pPr>
      <w:bookmarkStart w:id="38" w:name="_Toc386112704"/>
      <w:r>
        <w:t xml:space="preserve">Figure </w:t>
      </w:r>
      <w:r w:rsidR="004B0767">
        <w:t>1</w:t>
      </w:r>
      <w:r w:rsidR="0033662F" w:rsidRPr="0033662F">
        <w:t xml:space="preserve">: </w:t>
      </w:r>
      <w:r w:rsidR="00784C36">
        <w:t>Bone mineral density</w:t>
      </w:r>
      <w:r w:rsidR="0033662F" w:rsidRPr="0033662F">
        <w:t xml:space="preserve"> </w:t>
      </w:r>
      <w:r w:rsidR="00784C36">
        <w:t>of</w:t>
      </w:r>
      <w:r w:rsidR="0033662F">
        <w:t xml:space="preserve"> Australia</w:t>
      </w:r>
      <w:r w:rsidR="00784C36">
        <w:t>n women</w:t>
      </w:r>
      <w:r>
        <w:t xml:space="preserve"> by age group</w:t>
      </w:r>
      <w:r w:rsidR="0033662F">
        <w:t xml:space="preserve"> (n=1467</w:t>
      </w:r>
      <w:r w:rsidR="0033662F" w:rsidRPr="0033662F">
        <w:t>)</w:t>
      </w:r>
      <w:bookmarkEnd w:id="38"/>
      <w:r w:rsidR="00A90D09">
        <w:t xml:space="preserve"> </w:t>
      </w:r>
    </w:p>
    <w:p w:rsidR="0033662F" w:rsidRDefault="00107352" w:rsidP="00B53A81">
      <w:r>
        <w:rPr>
          <w:noProof/>
        </w:rPr>
        <w:drawing>
          <wp:inline distT="0" distB="0" distL="0" distR="0" wp14:anchorId="33B4C647" wp14:editId="392761E4">
            <wp:extent cx="4899694" cy="2660650"/>
            <wp:effectExtent l="0" t="0" r="0" b="6350"/>
            <wp:docPr id="2" name="Picture 2" title="BMD in Australian women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05418" cy="2663758"/>
                    </a:xfrm>
                    <a:prstGeom prst="rect">
                      <a:avLst/>
                    </a:prstGeom>
                    <a:noFill/>
                    <a:ln>
                      <a:noFill/>
                    </a:ln>
                  </pic:spPr>
                </pic:pic>
              </a:graphicData>
            </a:graphic>
          </wp:inline>
        </w:drawing>
      </w:r>
    </w:p>
    <w:p w:rsidR="00784C36" w:rsidRDefault="00784C36" w:rsidP="00784C36">
      <w:pPr>
        <w:pStyle w:val="TableText"/>
        <w:spacing w:before="0"/>
        <w:ind w:left="720"/>
      </w:pPr>
      <w:r>
        <w:t>Source: Graph constructed using data reported in Henry 2011</w:t>
      </w:r>
      <w:r w:rsidR="003E5E41">
        <w:t xml:space="preserve">, </w:t>
      </w:r>
      <w:r w:rsidR="003E5E41" w:rsidRPr="003E5E41">
        <w:t>(% of osteoporosis at top of bars)</w:t>
      </w:r>
    </w:p>
    <w:p w:rsidR="00784C36" w:rsidRDefault="00784C36" w:rsidP="00B53A81"/>
    <w:p w:rsidR="0040594C" w:rsidRDefault="00BD3B2F" w:rsidP="0040594C">
      <w:pPr>
        <w:spacing w:after="0"/>
      </w:pPr>
      <w:r>
        <w:t>Fractures in the context of osteoporosis are called fragility fractures or ‘minimal trauma fractures’. These are defined as a trauma as a result of a fall from standing height or less.</w:t>
      </w:r>
      <w:r w:rsidR="0037663F">
        <w:t xml:space="preserve"> </w:t>
      </w:r>
      <w:r>
        <w:t xml:space="preserve">Predictors of minimal trauma fracture </w:t>
      </w:r>
      <w:r w:rsidR="003A4AEE">
        <w:t>include</w:t>
      </w:r>
      <w:r w:rsidR="0040594C">
        <w:t>:</w:t>
      </w:r>
      <w:r w:rsidR="003A4AEE">
        <w:t xml:space="preserve"> </w:t>
      </w:r>
    </w:p>
    <w:p w:rsidR="0040594C" w:rsidRPr="0040594C" w:rsidRDefault="0040594C" w:rsidP="00534D10">
      <w:pPr>
        <w:pStyle w:val="ListParagraph"/>
        <w:numPr>
          <w:ilvl w:val="0"/>
          <w:numId w:val="36"/>
        </w:numPr>
      </w:pPr>
      <w:r>
        <w:t>advancing age;</w:t>
      </w:r>
      <w:r w:rsidR="003A4AEE" w:rsidRPr="0040594C">
        <w:t xml:space="preserve"> </w:t>
      </w:r>
    </w:p>
    <w:p w:rsidR="0040594C" w:rsidRPr="0040594C" w:rsidRDefault="0040594C" w:rsidP="00534D10">
      <w:pPr>
        <w:pStyle w:val="ListParagraph"/>
        <w:numPr>
          <w:ilvl w:val="0"/>
          <w:numId w:val="36"/>
        </w:numPr>
      </w:pPr>
      <w:r>
        <w:t>muscle weakness;</w:t>
      </w:r>
      <w:r w:rsidR="003A4AEE" w:rsidRPr="0040594C">
        <w:t xml:space="preserve"> </w:t>
      </w:r>
    </w:p>
    <w:p w:rsidR="0040594C" w:rsidRPr="0040594C" w:rsidRDefault="0040594C" w:rsidP="00534D10">
      <w:pPr>
        <w:pStyle w:val="ListParagraph"/>
        <w:numPr>
          <w:ilvl w:val="0"/>
          <w:numId w:val="36"/>
        </w:numPr>
      </w:pPr>
      <w:r>
        <w:t>low BMD;</w:t>
      </w:r>
      <w:r w:rsidR="003A4AEE" w:rsidRPr="0040594C">
        <w:t xml:space="preserve"> </w:t>
      </w:r>
    </w:p>
    <w:p w:rsidR="0040594C" w:rsidRPr="0040594C" w:rsidRDefault="003A4AEE" w:rsidP="00534D10">
      <w:pPr>
        <w:pStyle w:val="ListParagraph"/>
        <w:numPr>
          <w:ilvl w:val="0"/>
          <w:numId w:val="36"/>
        </w:numPr>
      </w:pPr>
      <w:r w:rsidRPr="0040594C">
        <w:t xml:space="preserve">history </w:t>
      </w:r>
      <w:r w:rsidR="0037663F" w:rsidRPr="0040594C">
        <w:t>o</w:t>
      </w:r>
      <w:r w:rsidR="0040594C">
        <w:t>f smoking;</w:t>
      </w:r>
      <w:r w:rsidRPr="0040594C">
        <w:t xml:space="preserve"> </w:t>
      </w:r>
    </w:p>
    <w:p w:rsidR="0040594C" w:rsidRPr="0040594C" w:rsidRDefault="003A4AEE" w:rsidP="00534D10">
      <w:pPr>
        <w:pStyle w:val="ListParagraph"/>
        <w:numPr>
          <w:ilvl w:val="0"/>
          <w:numId w:val="36"/>
        </w:numPr>
      </w:pPr>
      <w:r w:rsidRPr="0040594C">
        <w:t>increased bo</w:t>
      </w:r>
      <w:r w:rsidR="0037663F" w:rsidRPr="0040594C">
        <w:t>dy sway</w:t>
      </w:r>
      <w:r w:rsidR="0040594C">
        <w:t>; and</w:t>
      </w:r>
      <w:r w:rsidR="0037663F" w:rsidRPr="0040594C">
        <w:t xml:space="preserve"> </w:t>
      </w:r>
    </w:p>
    <w:p w:rsidR="0040594C" w:rsidRPr="0040594C" w:rsidRDefault="0040594C" w:rsidP="00534D10">
      <w:pPr>
        <w:pStyle w:val="ListParagraph"/>
        <w:numPr>
          <w:ilvl w:val="0"/>
          <w:numId w:val="36"/>
        </w:numPr>
      </w:pPr>
      <w:r>
        <w:t>reduced</w:t>
      </w:r>
      <w:r w:rsidR="0037663F" w:rsidRPr="0040594C">
        <w:t xml:space="preserve"> physical activ</w:t>
      </w:r>
      <w:r w:rsidR="003A4AEE" w:rsidRPr="0040594C">
        <w:t xml:space="preserve">ity. </w:t>
      </w:r>
    </w:p>
    <w:p w:rsidR="0040594C" w:rsidRDefault="0040594C" w:rsidP="00C70C89">
      <w:pPr>
        <w:spacing w:after="0"/>
      </w:pPr>
    </w:p>
    <w:p w:rsidR="0033662F" w:rsidRDefault="003A4AEE" w:rsidP="00B53A81">
      <w:r>
        <w:t xml:space="preserve">Common sites of minimal trauma fracture are the hip, pelvis, wrist, forearm and spine. Some mild </w:t>
      </w:r>
      <w:r w:rsidR="0040594C">
        <w:t xml:space="preserve">vertebrae </w:t>
      </w:r>
      <w:r>
        <w:t>fractures may not come to medical attention, patients may feel a dull ache in their spine for example and the following day the pain has gone.</w:t>
      </w:r>
    </w:p>
    <w:p w:rsidR="00B2159B" w:rsidRDefault="00264D99" w:rsidP="00B53A81">
      <w:r>
        <w:t>The management of fractures is expensive and hip fractures are the most expensive of all fracture types</w:t>
      </w:r>
      <w:r w:rsidR="00803152">
        <w:t xml:space="preserve"> </w:t>
      </w:r>
      <w:r w:rsidR="00803152">
        <w:fldChar w:fldCharType="begin"/>
      </w:r>
      <w:r w:rsidR="00803152">
        <w:instrText xml:space="preserve"> ADDIN EN.CITE &lt;EndNote&gt;&lt;Cite&gt;&lt;Author&gt;Borgstrom&lt;/Author&gt;&lt;Year&gt;2008&lt;/Year&gt;&lt;RecNum&gt;259&lt;/RecNum&gt;&lt;DisplayText&gt;(Borgstrom and Kanis 2008)&lt;/DisplayText&gt;&lt;record&gt;&lt;rec-number&gt;259&lt;/rec-number&gt;&lt;foreign-keys&gt;&lt;key app="EN" db-id="v9edw0zeqvve5nedzvjx29f1df2z2tvpvw55" timestamp="1398314253"&gt;259&lt;/key&gt;&lt;/foreign-keys&gt;&lt;ref-type name="Journal Article"&gt;17&lt;/ref-type&gt;&lt;contributors&gt;&lt;authors&gt;&lt;author&gt;Borgstrom, F.&lt;/author&gt;&lt;author&gt;Kanis, J. A.&lt;/author&gt;&lt;/authors&gt;&lt;/contributors&gt;&lt;titles&gt;&lt;title&gt;Health economics of osteoporosis&lt;/title&gt;&lt;secondary-title&gt;Best Pract Res Clin Endocrinol Metab.&lt;/secondary-title&gt;&lt;/titles&gt;&lt;periodical&gt;&lt;full-title&gt;Best Pract Res Clin Endocrinol Metab.&lt;/full-title&gt;&lt;/periodical&gt;&lt;pages&gt;885-900. doi: 10.1016/j.beem.2008.07.005.&lt;/pages&gt;&lt;volume&gt;22&lt;/volume&gt;&lt;number&gt;5&lt;/number&gt;&lt;keywords&gt;&lt;keyword&gt;Cost-Benefit Analysis&lt;/keyword&gt;&lt;keyword&gt;Fractures, Bone/*economics&lt;/keyword&gt;&lt;keyword&gt;Humans&lt;/keyword&gt;&lt;keyword&gt;*Models, Economic&lt;/keyword&gt;&lt;keyword&gt;Osteoporosis/*economics&lt;/keyword&gt;&lt;/keywords&gt;&lt;dates&gt;&lt;year&gt;2008&lt;/year&gt;&lt;pub-dates&gt;&lt;date&gt;Oct&lt;/date&gt;&lt;/pub-dates&gt;&lt;/dates&gt;&lt;isbn&gt;1878-1594 (Electronic)&amp;#xD;1521-690X (Linking)&lt;/isbn&gt;&lt;work-type&gt;Review&lt;/work-type&gt;&lt;urls&gt;&lt;/urls&gt;&lt;/record&gt;&lt;/Cite&gt;&lt;/EndNote&gt;</w:instrText>
      </w:r>
      <w:r w:rsidR="00803152">
        <w:fldChar w:fldCharType="separate"/>
      </w:r>
      <w:r w:rsidR="00803152">
        <w:rPr>
          <w:noProof/>
        </w:rPr>
        <w:t>(</w:t>
      </w:r>
      <w:hyperlink w:anchor="_ENREF_8" w:tooltip="Borgstrom, 2008 #259" w:history="1">
        <w:r w:rsidR="006F79C1">
          <w:rPr>
            <w:noProof/>
          </w:rPr>
          <w:t>Borgstrom and Kanis 2008</w:t>
        </w:r>
      </w:hyperlink>
      <w:r w:rsidR="00803152">
        <w:rPr>
          <w:noProof/>
        </w:rPr>
        <w:t>)</w:t>
      </w:r>
      <w:r w:rsidR="00803152">
        <w:fldChar w:fldCharType="end"/>
      </w:r>
      <w:r>
        <w:t xml:space="preserve">.  Fracture statistics </w:t>
      </w:r>
      <w:r w:rsidR="00490D85">
        <w:t xml:space="preserve">often </w:t>
      </w:r>
      <w:r>
        <w:t>do not distinguish between minimal trauma fractures and other fractures.</w:t>
      </w:r>
    </w:p>
    <w:p w:rsidR="00C70C89" w:rsidRDefault="00B2159B" w:rsidP="00B2159B">
      <w:pPr>
        <w:spacing w:after="0"/>
        <w:ind w:left="0"/>
      </w:pPr>
      <w:r>
        <w:br w:type="page"/>
      </w:r>
    </w:p>
    <w:p w:rsidR="004F3970" w:rsidRPr="00C9782D" w:rsidRDefault="00C25652" w:rsidP="006D234B">
      <w:pPr>
        <w:pStyle w:val="Heading3"/>
      </w:pPr>
      <w:bookmarkStart w:id="39" w:name="_Toc386093687"/>
      <w:r>
        <w:lastRenderedPageBreak/>
        <w:t>Dual-energy X-ray absorptiometry</w:t>
      </w:r>
      <w:r w:rsidR="00F9729B">
        <w:t xml:space="preserve"> (DXA)</w:t>
      </w:r>
      <w:bookmarkEnd w:id="39"/>
      <w:r>
        <w:t xml:space="preserve"> </w:t>
      </w:r>
    </w:p>
    <w:p w:rsidR="004B0767" w:rsidRDefault="00F9729B" w:rsidP="004B0767">
      <w:r>
        <w:t xml:space="preserve">Dual-energy X-ray absorptiometry (DXA) </w:t>
      </w:r>
      <w:r w:rsidR="00784C36">
        <w:t>scanners were introduced in</w:t>
      </w:r>
      <w:r w:rsidR="00F1728B">
        <w:t xml:space="preserve">to routine clinical practice during the late 1980s. Their </w:t>
      </w:r>
      <w:r w:rsidR="004B0767">
        <w:t xml:space="preserve">main </w:t>
      </w:r>
      <w:r w:rsidR="00F1728B">
        <w:t xml:space="preserve">purpose </w:t>
      </w:r>
      <w:r w:rsidR="004A7875">
        <w:t>is</w:t>
      </w:r>
      <w:r w:rsidR="00F1728B">
        <w:t xml:space="preserve"> to measure BMD. Nowadays DXA scans of the central skeleton are the preferred method for testing</w:t>
      </w:r>
      <w:r>
        <w:t xml:space="preserve"> </w:t>
      </w:r>
      <w:r w:rsidR="00F1728B">
        <w:t>BMD</w:t>
      </w:r>
      <w:r w:rsidR="002155B7">
        <w:t xml:space="preserve"> compared to the peripheral DXA which measures BMD in the wrist, fingers, leg or heel</w:t>
      </w:r>
      <w:r w:rsidR="00F1728B">
        <w:t xml:space="preserve">. </w:t>
      </w:r>
      <w:r w:rsidR="00490D85">
        <w:t>C</w:t>
      </w:r>
      <w:r w:rsidR="00F1728B">
        <w:t xml:space="preserve">linicians are able to diagnose </w:t>
      </w:r>
      <w:r w:rsidR="004A7875">
        <w:t xml:space="preserve">osteopenia and osteoporosis </w:t>
      </w:r>
      <w:r w:rsidR="00F1728B">
        <w:t xml:space="preserve">and appropriately treat individuals </w:t>
      </w:r>
      <w:r w:rsidR="004A7875">
        <w:t xml:space="preserve">and prevent fractures. </w:t>
      </w:r>
      <w:r w:rsidR="004B0767">
        <w:t xml:space="preserve">DXA allows bone density to be determined in the lower spine, the femur, total body and forearm (as well as other sites on special machines). </w:t>
      </w:r>
    </w:p>
    <w:p w:rsidR="0038576A" w:rsidRDefault="004A7875" w:rsidP="00A12E71">
      <w:r>
        <w:t xml:space="preserve">DXA scans of the lumbar spine </w:t>
      </w:r>
      <w:r w:rsidR="00784C36">
        <w:t xml:space="preserve">(L2-L4) </w:t>
      </w:r>
      <w:r>
        <w:t>and hip have three major roles:</w:t>
      </w:r>
    </w:p>
    <w:p w:rsidR="004A7875" w:rsidRPr="00E50472" w:rsidRDefault="004A7875" w:rsidP="00534D10">
      <w:pPr>
        <w:pStyle w:val="ListParagraph"/>
        <w:numPr>
          <w:ilvl w:val="1"/>
          <w:numId w:val="4"/>
        </w:numPr>
        <w:rPr>
          <w:rFonts w:ascii="Garamond" w:hAnsi="Garamond"/>
        </w:rPr>
      </w:pPr>
      <w:r w:rsidRPr="00E50472">
        <w:rPr>
          <w:rFonts w:ascii="Garamond" w:hAnsi="Garamond"/>
        </w:rPr>
        <w:t>To diagnose osteoporosis</w:t>
      </w:r>
    </w:p>
    <w:p w:rsidR="004A7875" w:rsidRPr="00E50472" w:rsidRDefault="004A7875" w:rsidP="00534D10">
      <w:pPr>
        <w:pStyle w:val="ListParagraph"/>
        <w:numPr>
          <w:ilvl w:val="1"/>
          <w:numId w:val="4"/>
        </w:numPr>
        <w:rPr>
          <w:rFonts w:ascii="Garamond" w:hAnsi="Garamond"/>
        </w:rPr>
      </w:pPr>
      <w:r w:rsidRPr="00E50472">
        <w:rPr>
          <w:rFonts w:ascii="Garamond" w:hAnsi="Garamond"/>
        </w:rPr>
        <w:t>To assess patient’s risk of fracture</w:t>
      </w:r>
    </w:p>
    <w:p w:rsidR="004A7875" w:rsidRPr="00E50472" w:rsidRDefault="004A7875" w:rsidP="00534D10">
      <w:pPr>
        <w:pStyle w:val="ListParagraph"/>
        <w:numPr>
          <w:ilvl w:val="1"/>
          <w:numId w:val="4"/>
        </w:numPr>
        <w:rPr>
          <w:rFonts w:ascii="Garamond" w:hAnsi="Garamond"/>
        </w:rPr>
      </w:pPr>
      <w:r w:rsidRPr="00E50472">
        <w:rPr>
          <w:rFonts w:ascii="Garamond" w:hAnsi="Garamond"/>
        </w:rPr>
        <w:t>To monitor response to treatment</w:t>
      </w:r>
    </w:p>
    <w:p w:rsidR="00930960" w:rsidRDefault="00930960" w:rsidP="00E50472">
      <w:pPr>
        <w:spacing w:after="0"/>
      </w:pPr>
    </w:p>
    <w:p w:rsidR="004B0767" w:rsidRDefault="00930960" w:rsidP="00930960">
      <w:r>
        <w:t xml:space="preserve">The </w:t>
      </w:r>
      <w:r w:rsidR="00490D85">
        <w:t>WHO</w:t>
      </w:r>
      <w:r>
        <w:t xml:space="preserve"> provides reference ranges of BMD </w:t>
      </w:r>
      <w:r w:rsidR="004B0767">
        <w:t>T- and Z-</w:t>
      </w:r>
      <w:r>
        <w:t xml:space="preserve">scores and these are used to make standardized diagnoses of BMD levels, osteopenia and osteoporosis. </w:t>
      </w:r>
      <w:r w:rsidR="00264D99">
        <w:t xml:space="preserve">BMD reference ranges have been calibrated for the Australian population. </w:t>
      </w:r>
    </w:p>
    <w:p w:rsidR="00930960" w:rsidRDefault="00930960" w:rsidP="00930960">
      <w:r>
        <w:t xml:space="preserve">A </w:t>
      </w:r>
      <w:r w:rsidR="00264D99">
        <w:t>lumbar</w:t>
      </w:r>
      <w:r>
        <w:t xml:space="preserve"> spine DXA scan requires the patient to lie on a bed on their back, with a pillow under their head and cushion under their knees. For a femur scan, the cushion under their knees is removed and the foot is strapped into a positioning brace.</w:t>
      </w:r>
      <w:r w:rsidRPr="00930960">
        <w:t xml:space="preserve"> </w:t>
      </w:r>
      <w:r>
        <w:t>For the scan, any</w:t>
      </w:r>
      <w:r>
        <w:rPr>
          <w:rStyle w:val="apple-converted-space"/>
          <w:rFonts w:ascii="Arial" w:hAnsi="Arial" w:cs="Arial"/>
          <w:color w:val="3300CC"/>
        </w:rPr>
        <w:t> </w:t>
      </w:r>
      <w:r w:rsidRPr="00930960">
        <w:rPr>
          <w:bCs/>
          <w:iCs/>
        </w:rPr>
        <w:t>metal</w:t>
      </w:r>
      <w:r w:rsidRPr="00930960">
        <w:rPr>
          <w:rStyle w:val="apple-converted-space"/>
          <w:rFonts w:ascii="Arial" w:hAnsi="Arial" w:cs="Arial"/>
          <w:color w:val="3300CC"/>
        </w:rPr>
        <w:t> </w:t>
      </w:r>
      <w:r>
        <w:t>or dense objects around the hips, spine or waist need to be removed. The duration of a DXA scan appointment can take up to 20 minutes.</w:t>
      </w:r>
    </w:p>
    <w:p w:rsidR="00B2159B" w:rsidRDefault="00ED5D8A" w:rsidP="00B2159B">
      <w:r w:rsidRPr="00374C0C">
        <w:t xml:space="preserve">Bone densitometry is performed in radiology and </w:t>
      </w:r>
      <w:r w:rsidR="006D234B" w:rsidRPr="00374C0C">
        <w:t>endocrinology departments</w:t>
      </w:r>
      <w:r w:rsidRPr="00374C0C">
        <w:t xml:space="preserve"> as well as in </w:t>
      </w:r>
      <w:r w:rsidR="00784C36" w:rsidRPr="00374C0C">
        <w:t>n</w:t>
      </w:r>
      <w:r w:rsidRPr="00374C0C">
        <w:t xml:space="preserve">uclear </w:t>
      </w:r>
      <w:r w:rsidR="00784C36" w:rsidRPr="00374C0C">
        <w:t>m</w:t>
      </w:r>
      <w:r w:rsidRPr="00374C0C">
        <w:t>edicine</w:t>
      </w:r>
      <w:r w:rsidR="00784C36" w:rsidRPr="00374C0C">
        <w:t xml:space="preserve"> departments</w:t>
      </w:r>
      <w:r w:rsidRPr="00374C0C">
        <w:t>.</w:t>
      </w:r>
      <w:r>
        <w:t xml:space="preserve"> </w:t>
      </w:r>
      <w:r w:rsidR="00374C0C">
        <w:t xml:space="preserve">A radiologist, nuclear medicine physician or other accredited specialist is required to perform the test and analyse the results. </w:t>
      </w:r>
      <w:r>
        <w:t>As different bone densitometer manufacturers have differ</w:t>
      </w:r>
      <w:r w:rsidR="00784C36">
        <w:t>ent</w:t>
      </w:r>
      <w:r>
        <w:t xml:space="preserve"> calibration on their machines, it is important that any subsequent scans be done on the same machine (or at least the same brand) for results to be comparable.</w:t>
      </w:r>
    </w:p>
    <w:p w:rsidR="00F1728B" w:rsidRDefault="00F1728B" w:rsidP="00B2159B">
      <w:pPr>
        <w:pStyle w:val="Heading3"/>
      </w:pPr>
      <w:bookmarkStart w:id="40" w:name="_Toc386093688"/>
      <w:r>
        <w:t xml:space="preserve">Anti-resorptive </w:t>
      </w:r>
      <w:r w:rsidR="006D234B">
        <w:t>therapies</w:t>
      </w:r>
      <w:bookmarkEnd w:id="40"/>
    </w:p>
    <w:p w:rsidR="00F1728B" w:rsidRDefault="00F17C3B" w:rsidP="00A12E71">
      <w:r>
        <w:t>For women with</w:t>
      </w:r>
      <w:r w:rsidR="003F6ADF">
        <w:t xml:space="preserve"> low BMD</w:t>
      </w:r>
      <w:r>
        <w:t xml:space="preserve"> as indicated by the T-score</w:t>
      </w:r>
      <w:r w:rsidR="003F6ADF">
        <w:t xml:space="preserve">, anti-resorptive therapies may assist in the maintenance or increase of bone mass.  The </w:t>
      </w:r>
      <w:r>
        <w:t>anti-resorptive medications</w:t>
      </w:r>
      <w:r w:rsidR="003F6ADF">
        <w:t xml:space="preserve"> </w:t>
      </w:r>
      <w:r w:rsidR="0039390F">
        <w:t>considered</w:t>
      </w:r>
      <w:r w:rsidR="003F6ADF">
        <w:t xml:space="preserve"> </w:t>
      </w:r>
      <w:r w:rsidR="0039390F">
        <w:t>in</w:t>
      </w:r>
      <w:r w:rsidR="003F6ADF">
        <w:t xml:space="preserve"> this assessment include:</w:t>
      </w:r>
    </w:p>
    <w:p w:rsidR="00C70C89" w:rsidRDefault="00C70C89" w:rsidP="00F17C3B">
      <w:pPr>
        <w:spacing w:after="0"/>
      </w:pPr>
      <w:r>
        <w:rPr>
          <w:b/>
        </w:rPr>
        <w:t>Oral b</w:t>
      </w:r>
      <w:r w:rsidR="00325FDE" w:rsidRPr="00325FDE">
        <w:rPr>
          <w:b/>
        </w:rPr>
        <w:t>isphosphonates</w:t>
      </w:r>
      <w:r w:rsidR="00325FDE" w:rsidRPr="003F6ADF">
        <w:t xml:space="preserve"> </w:t>
      </w:r>
      <w:r w:rsidR="00325FDE">
        <w:t>(</w:t>
      </w:r>
      <w:r w:rsidR="00325FDE" w:rsidRPr="003F6ADF">
        <w:t>alendronate, risedronate, ibandronate</w:t>
      </w:r>
      <w:r w:rsidR="00325FDE">
        <w:t xml:space="preserve">): </w:t>
      </w:r>
      <w:r w:rsidR="004B0767">
        <w:t xml:space="preserve">these treatments </w:t>
      </w:r>
      <w:r w:rsidR="00325FDE" w:rsidRPr="00325FDE">
        <w:t xml:space="preserve">prevent bone loss by </w:t>
      </w:r>
      <w:r w:rsidR="002155B7">
        <w:t>inhibiting osteoclast-mediated bone resorption</w:t>
      </w:r>
      <w:r w:rsidR="00325FDE" w:rsidRPr="00325FDE">
        <w:t>. </w:t>
      </w:r>
      <w:r>
        <w:t>Oral b</w:t>
      </w:r>
      <w:r w:rsidR="00325FDE" w:rsidRPr="00325FDE">
        <w:t xml:space="preserve">isphosphonates may be taken by tablet daily, weekly, or monthly, but are only available in Australia on the Pharmaceutical Benefits Scheme (PBS) for use to treat established osteoporosis with fracture or in women over 70 years with osteoporosis. The most common side effect of treatment with bisphosphonates in tablet form is gastrointestinal </w:t>
      </w:r>
      <w:r w:rsidR="00F17C3B">
        <w:t>complaints</w:t>
      </w:r>
      <w:r w:rsidR="0071107E">
        <w:t xml:space="preserve"> making compliance a problem</w:t>
      </w:r>
      <w:r w:rsidR="00325FDE" w:rsidRPr="00325FDE">
        <w:t>.</w:t>
      </w:r>
    </w:p>
    <w:p w:rsidR="00C70C89" w:rsidRDefault="00C70C89" w:rsidP="00F17C3B">
      <w:pPr>
        <w:spacing w:after="0"/>
      </w:pPr>
    </w:p>
    <w:p w:rsidR="0071107E" w:rsidRDefault="00C70C89" w:rsidP="00F17C3B">
      <w:pPr>
        <w:spacing w:after="0"/>
      </w:pPr>
      <w:r w:rsidRPr="00B83CA7">
        <w:rPr>
          <w:b/>
        </w:rPr>
        <w:t>Intravenous bisphosphonates</w:t>
      </w:r>
      <w:r>
        <w:t xml:space="preserve"> (zoledronic acid): </w:t>
      </w:r>
      <w:r w:rsidR="00B83CA7">
        <w:t>Zoledronic acid is also known as zoledronate or zolendronate.</w:t>
      </w:r>
      <w:r w:rsidR="004B0767">
        <w:t xml:space="preserve"> It is taken intravenously once every six months</w:t>
      </w:r>
      <w:r w:rsidR="0071107E">
        <w:t xml:space="preserve"> for the prevention of skeletal-related events in patients with advanced malignancies involving bone (dose: 4 mg for 3 to 4 weeks)</w:t>
      </w:r>
      <w:r w:rsidR="004B0767">
        <w:t>.</w:t>
      </w:r>
      <w:r w:rsidR="0071107E">
        <w:t xml:space="preserve"> For the treatment of </w:t>
      </w:r>
      <w:r w:rsidR="007A119D">
        <w:t>post-menopaus</w:t>
      </w:r>
      <w:r w:rsidR="0071107E">
        <w:t xml:space="preserve">al osteoporosis </w:t>
      </w:r>
      <w:r w:rsidR="0071107E">
        <w:lastRenderedPageBreak/>
        <w:t>the recommended dose is 5mg of zoledronic acid monohydrate administered once a year.</w:t>
      </w:r>
      <w:r w:rsidR="00325FDE" w:rsidRPr="00325FDE">
        <w:br/>
      </w:r>
      <w:r w:rsidR="00325FDE">
        <w:rPr>
          <w:sz w:val="18"/>
          <w:szCs w:val="18"/>
        </w:rPr>
        <w:br/>
      </w:r>
      <w:r w:rsidR="00325FDE" w:rsidRPr="00325FDE">
        <w:rPr>
          <w:b/>
        </w:rPr>
        <w:t>Selective oestrogen receptor modulators</w:t>
      </w:r>
      <w:r w:rsidR="00325FDE">
        <w:rPr>
          <w:b/>
        </w:rPr>
        <w:t xml:space="preserve"> (SERMs)</w:t>
      </w:r>
      <w:r w:rsidR="00325FDE">
        <w:t xml:space="preserve">: </w:t>
      </w:r>
      <w:r w:rsidR="00325FDE" w:rsidRPr="00325FDE">
        <w:t>work by blocking the oestrogen effect at some receptor sites while prompting an oestrogen effect at others. In bone, they work like oestrogen and lead to an increase in bone mass (density), mainly in the spine (less in the hips).</w:t>
      </w:r>
      <w:r w:rsidR="00325FDE">
        <w:t xml:space="preserve"> </w:t>
      </w:r>
      <w:r w:rsidR="00325FDE" w:rsidRPr="00325FDE">
        <w:t>Potential side effects of SERMs include hot flushes and a slightly increas</w:t>
      </w:r>
      <w:r w:rsidR="00325FDE">
        <w:t>ed risk of deep vein thrombosis</w:t>
      </w:r>
      <w:r w:rsidR="00325FDE" w:rsidRPr="00325FDE">
        <w:t>.</w:t>
      </w:r>
      <w:r w:rsidR="0071107E">
        <w:t xml:space="preserve"> It is a less potent anti-resorptive agent than bisphosphonates and denosumab.</w:t>
      </w:r>
    </w:p>
    <w:p w:rsidR="0071107E" w:rsidRDefault="00325FDE" w:rsidP="0071107E">
      <w:r>
        <w:br/>
      </w:r>
      <w:r w:rsidRPr="00F17C3B">
        <w:rPr>
          <w:b/>
        </w:rPr>
        <w:t>Strontium ranelate</w:t>
      </w:r>
      <w:r w:rsidR="00F17C3B" w:rsidRPr="00F17C3B">
        <w:rPr>
          <w:b/>
        </w:rPr>
        <w:t>:</w:t>
      </w:r>
      <w:r w:rsidR="00F17C3B">
        <w:t xml:space="preserve"> </w:t>
      </w:r>
      <w:r w:rsidRPr="00F17C3B">
        <w:t>Strontium is a trace element that is naturally found within soft tissues, blood, teeth and bone. How it combats osteoporosis is unclear, but it seems to reduce bone loss and may enhance bone formation.</w:t>
      </w:r>
      <w:r w:rsidRPr="00F17C3B">
        <w:rPr>
          <w:rStyle w:val="apple-converted-space"/>
          <w:rFonts w:ascii="Helvetica" w:hAnsi="Helvetica"/>
          <w:color w:val="11191C"/>
          <w:sz w:val="18"/>
          <w:szCs w:val="18"/>
        </w:rPr>
        <w:t> </w:t>
      </w:r>
      <w:r w:rsidRPr="00F17C3B">
        <w:t xml:space="preserve">Studies of strontium ranelate treatment for </w:t>
      </w:r>
      <w:r w:rsidR="007A119D">
        <w:t>post-menopaus</w:t>
      </w:r>
      <w:r w:rsidRPr="00F17C3B">
        <w:t xml:space="preserve">al women have shown a reduction in vertebral (spinal), hip and other fractures. It is available through the PBS for the treatment of </w:t>
      </w:r>
      <w:r w:rsidR="007A119D">
        <w:t>post-menopaus</w:t>
      </w:r>
      <w:r w:rsidRPr="00F17C3B">
        <w:t>al osteoporosis.</w:t>
      </w:r>
      <w:r w:rsidRPr="00F17C3B">
        <w:rPr>
          <w:rStyle w:val="apple-converted-space"/>
          <w:rFonts w:ascii="Helvetica" w:hAnsi="Helvetica"/>
          <w:color w:val="11191C"/>
          <w:sz w:val="18"/>
          <w:szCs w:val="18"/>
        </w:rPr>
        <w:t> </w:t>
      </w:r>
      <w:r w:rsidRPr="00F17C3B">
        <w:t xml:space="preserve">Strontium ranelate is taken in the form of granules in water and should be taken at bedtime at least two hours after eating. </w:t>
      </w:r>
      <w:r w:rsidR="0071107E" w:rsidRPr="009E1C7A">
        <w:t xml:space="preserve">TGA has advised </w:t>
      </w:r>
      <w:r w:rsidR="0071107E">
        <w:t>s</w:t>
      </w:r>
      <w:r w:rsidR="0071107E" w:rsidRPr="009E1C7A">
        <w:t>trontium ranelate should be restricted to a last-line therapy for osteoporosis and strictly avoided in patients with heart disease</w:t>
      </w:r>
      <w:r w:rsidR="0071107E">
        <w:t>.</w:t>
      </w:r>
    </w:p>
    <w:p w:rsidR="00F17C3B" w:rsidRDefault="00325FDE" w:rsidP="00F17C3B">
      <w:pPr>
        <w:spacing w:after="0"/>
      </w:pPr>
      <w:r w:rsidRPr="00F17C3B">
        <w:rPr>
          <w:b/>
        </w:rPr>
        <w:t>Denosumab</w:t>
      </w:r>
      <w:r w:rsidR="00F17C3B">
        <w:t xml:space="preserve">: </w:t>
      </w:r>
      <w:r w:rsidRPr="00F17C3B">
        <w:t>is a human monoclonal antibody designed to target</w:t>
      </w:r>
      <w:r w:rsidRPr="00F17C3B">
        <w:rPr>
          <w:rStyle w:val="apple-converted-space"/>
          <w:rFonts w:ascii="Helvetica" w:hAnsi="Helvetica"/>
          <w:color w:val="11191C"/>
          <w:sz w:val="18"/>
          <w:szCs w:val="18"/>
        </w:rPr>
        <w:t> </w:t>
      </w:r>
      <w:r w:rsidR="00F17C3B">
        <w:t>RANKL</w:t>
      </w:r>
      <w:r w:rsidRPr="00F17C3B">
        <w:t xml:space="preserve">(a receptor activator of nuclear factor kappa-B ligand), which is a protein that acts as the primary signal to promote bone removal. This medication is available through the PBS in Australia for the treatment of </w:t>
      </w:r>
      <w:r w:rsidR="007A119D">
        <w:t>post-menopaus</w:t>
      </w:r>
      <w:r w:rsidRPr="00F17C3B">
        <w:t>al osteoporosis.</w:t>
      </w:r>
      <w:r w:rsidRPr="00F17C3B">
        <w:rPr>
          <w:rStyle w:val="apple-converted-space"/>
          <w:rFonts w:ascii="Helvetica" w:hAnsi="Helvetica"/>
          <w:color w:val="11191C"/>
          <w:sz w:val="18"/>
          <w:szCs w:val="18"/>
        </w:rPr>
        <w:t> </w:t>
      </w:r>
      <w:r w:rsidRPr="00F17C3B">
        <w:t xml:space="preserve">Denosumab is </w:t>
      </w:r>
      <w:r w:rsidR="00F17C3B">
        <w:t>administered</w:t>
      </w:r>
      <w:r w:rsidRPr="00F17C3B">
        <w:t xml:space="preserve"> as a </w:t>
      </w:r>
      <w:r w:rsidR="00F17C3B">
        <w:t xml:space="preserve">subcutaneous </w:t>
      </w:r>
      <w:r w:rsidRPr="00F17C3B">
        <w:t xml:space="preserve">injection </w:t>
      </w:r>
      <w:r w:rsidR="0071107E">
        <w:t xml:space="preserve">60 mg </w:t>
      </w:r>
      <w:r w:rsidR="00F17C3B">
        <w:t>once every 6 months</w:t>
      </w:r>
      <w:r w:rsidRPr="00F17C3B">
        <w:t xml:space="preserve">. </w:t>
      </w:r>
      <w:r w:rsidR="00F17C3B">
        <w:t>The main</w:t>
      </w:r>
      <w:r w:rsidRPr="00F17C3B">
        <w:t xml:space="preserve"> side effects </w:t>
      </w:r>
      <w:r w:rsidR="00F17C3B">
        <w:t>include</w:t>
      </w:r>
      <w:r w:rsidRPr="00F17C3B">
        <w:t xml:space="preserve"> infections, rashes and joint pain.</w:t>
      </w:r>
      <w:r w:rsidRPr="00F17C3B">
        <w:br/>
      </w:r>
      <w:r>
        <w:br/>
      </w:r>
      <w:r w:rsidR="00F17C3B" w:rsidRPr="00F17C3B">
        <w:rPr>
          <w:b/>
        </w:rPr>
        <w:t>Vitamin D and calcium supplements:</w:t>
      </w:r>
      <w:r w:rsidR="00F17C3B">
        <w:t xml:space="preserve"> </w:t>
      </w:r>
      <w:r w:rsidR="001E584F">
        <w:t>If diet is inadequate, a</w:t>
      </w:r>
      <w:r w:rsidR="00F17C3B" w:rsidRPr="00F17C3B">
        <w:t xml:space="preserve"> woman experiencing menopause may be </w:t>
      </w:r>
      <w:r w:rsidR="001E584F">
        <w:t>prescribed</w:t>
      </w:r>
      <w:r w:rsidR="00784C36">
        <w:t xml:space="preserve"> </w:t>
      </w:r>
      <w:r w:rsidR="00F17C3B" w:rsidRPr="00F17C3B">
        <w:t>vitamin D and calcium supplements</w:t>
      </w:r>
      <w:r w:rsidR="0039390F">
        <w:t xml:space="preserve"> to improve bone mass and strength</w:t>
      </w:r>
      <w:r w:rsidR="00F17C3B" w:rsidRPr="00F17C3B">
        <w:t xml:space="preserve">. Daily sunlight exposure can also boost vitamin D production </w:t>
      </w:r>
      <w:r w:rsidR="00784C36">
        <w:t xml:space="preserve">through ultraviolet radiation B rays </w:t>
      </w:r>
      <w:r w:rsidR="00F17C3B" w:rsidRPr="00F17C3B">
        <w:t>and contribute to bone health.</w:t>
      </w:r>
      <w:r w:rsidR="004B0767">
        <w:t xml:space="preserve"> Vitamin D tablets </w:t>
      </w:r>
      <w:r w:rsidR="007A119D">
        <w:t xml:space="preserve">are widely available in Australia </w:t>
      </w:r>
      <w:r w:rsidR="004B0767">
        <w:t>as over-the-counter supplements in chemists and supermarkets.</w:t>
      </w:r>
    </w:p>
    <w:p w:rsidR="0039390F" w:rsidRDefault="0039390F" w:rsidP="00F17C3B">
      <w:pPr>
        <w:spacing w:after="0"/>
      </w:pPr>
    </w:p>
    <w:p w:rsidR="00F17C3B" w:rsidRDefault="0039390F" w:rsidP="00F17C3B">
      <w:pPr>
        <w:spacing w:after="0"/>
      </w:pPr>
      <w:r w:rsidRPr="0039390F">
        <w:rPr>
          <w:b/>
        </w:rPr>
        <w:t>Exercise advice:</w:t>
      </w:r>
      <w:r>
        <w:t xml:space="preserve"> Weight bearing exercise increases bone strength and mass and therefore it is important for older persons to maintain adequate levels of physical activity for ideal bone health.  In relation to increasing BMD, there is still uncertainty as to which are the best types of exercise</w:t>
      </w:r>
      <w:r w:rsidRPr="0039390F">
        <w:t xml:space="preserve"> </w:t>
      </w:r>
      <w:r>
        <w:t xml:space="preserve">or </w:t>
      </w:r>
      <w:r w:rsidRPr="004B0767">
        <w:t xml:space="preserve">intensities </w:t>
      </w:r>
      <w:r w:rsidR="004B0767" w:rsidRPr="004B0767">
        <w:t>for</w:t>
      </w:r>
      <w:r w:rsidR="004B0767">
        <w:t xml:space="preserve"> optimal bone health </w:t>
      </w:r>
      <w:r w:rsidR="00F41778">
        <w:fldChar w:fldCharType="begin"/>
      </w:r>
      <w:r w:rsidR="00F41778">
        <w:instrText xml:space="preserve"> ADDIN EN.CITE &lt;EndNote&gt;&lt;Cite&gt;&lt;Author&gt;Martyn-St James&lt;/Author&gt;&lt;Year&gt;2009&lt;/Year&gt;&lt;RecNum&gt;117&lt;/RecNum&gt;&lt;DisplayText&gt;(Martyn-St James and Carroll 2009)&lt;/DisplayText&gt;&lt;record&gt;&lt;rec-number&gt;117&lt;/rec-number&gt;&lt;foreign-keys&gt;&lt;key app="EN" db-id="v9edw0zeqvve5nedzvjx29f1df2z2tvpvw55" timestamp="1398301955"&gt;117&lt;/key&gt;&lt;/foreign-keys&gt;&lt;ref-type name="Journal Article"&gt;17&lt;/ref-type&gt;&lt;contributors&gt;&lt;authors&gt;&lt;author&gt;Martyn-St James, M.&lt;/author&gt;&lt;author&gt;Carroll, S.&lt;/author&gt;&lt;/authors&gt;&lt;/contributors&gt;&lt;titles&gt;&lt;title&gt;A meta-analysis of impact exercise on postmenopausal bone loss: the case for mixed loading exercise programmes&lt;/title&gt;&lt;secondary-title&gt;Br J Sports Med.&lt;/secondary-title&gt;&lt;/titles&gt;&lt;periodical&gt;&lt;full-title&gt;Br J Sports Med.&lt;/full-title&gt;&lt;/periodical&gt;&lt;pages&gt;898-908. doi: 10.1136/bjsm.2008.052704. Epub 2008 Nov 3.&lt;/pages&gt;&lt;volume&gt;43&lt;/volume&gt;&lt;number&gt;12&lt;/number&gt;&lt;keywords&gt;&lt;keyword&gt;Absorptiometry, Photon&lt;/keyword&gt;&lt;keyword&gt;Bone Density/*physiology&lt;/keyword&gt;&lt;keyword&gt;Clinical Trials as Topic&lt;/keyword&gt;&lt;keyword&gt;Exercise Therapy/*methods&lt;/keyword&gt;&lt;keyword&gt;Female&lt;/keyword&gt;&lt;keyword&gt;Hormone Replacement Therapy&lt;/keyword&gt;&lt;keyword&gt;Humans&lt;/keyword&gt;&lt;keyword&gt;Osteoporosis, Postmenopausal/physiopathology/*therapy&lt;/keyword&gt;&lt;keyword&gt;Patient Compliance&lt;/keyword&gt;&lt;keyword&gt;Selection Bias&lt;/keyword&gt;&lt;/keywords&gt;&lt;dates&gt;&lt;year&gt;2009&lt;/year&gt;&lt;pub-dates&gt;&lt;date&gt;Dec&lt;/date&gt;&lt;/pub-dates&gt;&lt;/dates&gt;&lt;isbn&gt;1473-0480 (Electronic)&amp;#xD;0306-3674 (Linking)&lt;/isbn&gt;&lt;work-type&gt;Meta-Analysis&amp;#xD;Review&lt;/work-type&gt;&lt;urls&gt;&lt;/urls&gt;&lt;/record&gt;&lt;/Cite&gt;&lt;/EndNote&gt;</w:instrText>
      </w:r>
      <w:r w:rsidR="00F41778">
        <w:fldChar w:fldCharType="separate"/>
      </w:r>
      <w:r w:rsidR="00F41778">
        <w:rPr>
          <w:noProof/>
        </w:rPr>
        <w:t>(</w:t>
      </w:r>
      <w:hyperlink w:anchor="_ENREF_41" w:tooltip="Martyn-St James, 2009 #117" w:history="1">
        <w:r w:rsidR="006F79C1">
          <w:rPr>
            <w:noProof/>
          </w:rPr>
          <w:t>Martyn-St James and Carroll 2009</w:t>
        </w:r>
      </w:hyperlink>
      <w:r w:rsidR="00F41778">
        <w:rPr>
          <w:noProof/>
        </w:rPr>
        <w:t>)</w:t>
      </w:r>
      <w:r w:rsidR="00F41778">
        <w:fldChar w:fldCharType="end"/>
      </w:r>
      <w:r w:rsidR="00F41778">
        <w:t>.</w:t>
      </w:r>
    </w:p>
    <w:p w:rsidR="00F41778" w:rsidRPr="00F17C3B" w:rsidRDefault="00F41778" w:rsidP="00F17C3B">
      <w:pPr>
        <w:spacing w:after="0"/>
      </w:pPr>
    </w:p>
    <w:p w:rsidR="009F02F7" w:rsidRPr="00C9782D" w:rsidRDefault="004F3970" w:rsidP="0033662F">
      <w:pPr>
        <w:pStyle w:val="Heading3"/>
      </w:pPr>
      <w:bookmarkStart w:id="41" w:name="_Toc386093689"/>
      <w:r w:rsidRPr="00C9782D">
        <w:t>Intended purpose</w:t>
      </w:r>
      <w:bookmarkEnd w:id="41"/>
      <w:r w:rsidR="006B7C8A" w:rsidRPr="00C9782D">
        <w:t xml:space="preserve"> </w:t>
      </w:r>
    </w:p>
    <w:p w:rsidR="00E2063F" w:rsidRDefault="00E2063F" w:rsidP="00E2063F">
      <w:r>
        <w:t>The purpose of this report is to assess the value of DXA scans in women taking aromatase inhibitors at risk of developing bone thinning, fractures</w:t>
      </w:r>
      <w:r w:rsidRPr="00C16224">
        <w:t xml:space="preserve"> </w:t>
      </w:r>
      <w:r>
        <w:t>and osteoporosis. Standard management of early stage</w:t>
      </w:r>
      <w:r w:rsidR="001E584F">
        <w:t xml:space="preserve"> hormone receptor positive</w:t>
      </w:r>
      <w:r>
        <w:t xml:space="preserve"> breast cancer is using adjuvant aromatase inhibitors to enhance progression-free survival. The report will assess the role of DXA scans in this population and </w:t>
      </w:r>
      <w:r w:rsidR="004B0767">
        <w:t>to</w:t>
      </w:r>
      <w:r>
        <w:t xml:space="preserve"> evaluate the subsequent treatment options of medications </w:t>
      </w:r>
      <w:r w:rsidR="001E584F">
        <w:t>that have anti-</w:t>
      </w:r>
      <w:r w:rsidR="0040594C">
        <w:t>resorptive</w:t>
      </w:r>
      <w:r>
        <w:t xml:space="preserve"> bone</w:t>
      </w:r>
      <w:r w:rsidR="0040594C">
        <w:t xml:space="preserve"> properties</w:t>
      </w:r>
      <w:r>
        <w:t>.</w:t>
      </w:r>
    </w:p>
    <w:p w:rsidR="00374C0C" w:rsidRDefault="00374C0C" w:rsidP="00C33B0E">
      <w:pPr>
        <w:pStyle w:val="Heading3"/>
      </w:pPr>
      <w:bookmarkStart w:id="42" w:name="_Toc386093690"/>
    </w:p>
    <w:p w:rsidR="00374C0C" w:rsidRDefault="00374C0C" w:rsidP="00C33B0E">
      <w:pPr>
        <w:pStyle w:val="Heading3"/>
      </w:pPr>
    </w:p>
    <w:p w:rsidR="0038576A" w:rsidRPr="00C9782D" w:rsidRDefault="00B02575" w:rsidP="00C33B0E">
      <w:pPr>
        <w:pStyle w:val="Heading3"/>
      </w:pPr>
      <w:r w:rsidRPr="00C9782D">
        <w:lastRenderedPageBreak/>
        <w:t xml:space="preserve">Clinical </w:t>
      </w:r>
      <w:r w:rsidR="003E3DCA" w:rsidRPr="00C9782D">
        <w:t>n</w:t>
      </w:r>
      <w:r w:rsidRPr="00C9782D">
        <w:t>eed</w:t>
      </w:r>
      <w:bookmarkEnd w:id="42"/>
      <w:r w:rsidRPr="00C9782D">
        <w:t xml:space="preserve"> </w:t>
      </w:r>
    </w:p>
    <w:p w:rsidR="00697D1A" w:rsidRDefault="001A29E4" w:rsidP="00B83CA7">
      <w:pPr>
        <w:spacing w:after="0"/>
      </w:pPr>
      <w:r>
        <w:t xml:space="preserve">Currently, the patient population </w:t>
      </w:r>
      <w:r w:rsidR="0039390F">
        <w:t>is</w:t>
      </w:r>
      <w:r>
        <w:t xml:space="preserve"> not eligible for</w:t>
      </w:r>
      <w:r w:rsidR="003F6ADF">
        <w:t xml:space="preserve"> MBS reimbursement of </w:t>
      </w:r>
      <w:r>
        <w:t xml:space="preserve">a DXA scan, initial or otherwise unless they are over the age of 70, have </w:t>
      </w:r>
      <w:r w:rsidR="00E50472">
        <w:t>bone conditions</w:t>
      </w:r>
      <w:r>
        <w:t xml:space="preserve"> pertaining to the current MBS items or they have experienced a minimal trauma fracture.</w:t>
      </w:r>
    </w:p>
    <w:p w:rsidR="00B83CA7" w:rsidRDefault="00B83CA7" w:rsidP="00B83CA7">
      <w:pPr>
        <w:spacing w:after="0"/>
      </w:pPr>
    </w:p>
    <w:p w:rsidR="002D330C" w:rsidRDefault="002D330C" w:rsidP="00697D1A">
      <w:r>
        <w:t>As previously stated, b</w:t>
      </w:r>
      <w:r w:rsidR="003F6ADF">
        <w:t>reast cancer is a common and serious disease in the Australian community. It exerts a large toll on social, medical and economic resources</w:t>
      </w:r>
      <w:r>
        <w:t xml:space="preserve">.  Standard hormone therapy with aromatase inhibitors is associated with reductions in BMD. The magnitude of BMD loss will be addressed later in the report in relation to all </w:t>
      </w:r>
      <w:r w:rsidR="007A119D">
        <w:t>post-menopaus</w:t>
      </w:r>
      <w:r>
        <w:t>al women.</w:t>
      </w:r>
    </w:p>
    <w:p w:rsidR="00975DA6" w:rsidRPr="00C9782D" w:rsidRDefault="002D330C" w:rsidP="00697D1A">
      <w:r>
        <w:t>DXA scans are used to assess BMD and guide clinical decisions about anti</w:t>
      </w:r>
      <w:r w:rsidR="0090405D">
        <w:t>-</w:t>
      </w:r>
      <w:r>
        <w:t xml:space="preserve">resorptive treatments. </w:t>
      </w:r>
      <w:r w:rsidR="0039390F">
        <w:t xml:space="preserve">DXA scans are widely used in Australia and regarded as the gold standard in BMD measurement. </w:t>
      </w:r>
      <w:r>
        <w:t xml:space="preserve">The clinical need and the issues around whether DXA scans are essential in these </w:t>
      </w:r>
      <w:r w:rsidR="00EB4A62">
        <w:t xml:space="preserve">clinical </w:t>
      </w:r>
      <w:r>
        <w:t>decisions will be discussed later in the report.</w:t>
      </w:r>
    </w:p>
    <w:p w:rsidR="006F2CFC" w:rsidRDefault="004F3970" w:rsidP="00C33B0E">
      <w:pPr>
        <w:pStyle w:val="Heading3"/>
      </w:pPr>
      <w:bookmarkStart w:id="43" w:name="_Toc386093691"/>
      <w:r w:rsidRPr="00C9782D">
        <w:t xml:space="preserve">Existing </w:t>
      </w:r>
      <w:r w:rsidR="006B7C8A" w:rsidRPr="00C9782D">
        <w:t>test</w:t>
      </w:r>
      <w:r w:rsidR="005A125C" w:rsidRPr="00C9782D">
        <w:t>s</w:t>
      </w:r>
      <w:bookmarkEnd w:id="43"/>
    </w:p>
    <w:p w:rsidR="006F2CFC" w:rsidRDefault="006F2CFC" w:rsidP="00A158A3">
      <w:pPr>
        <w:pStyle w:val="Heading2"/>
        <w:sectPr w:rsidR="006F2CFC" w:rsidSect="006F2CFC">
          <w:footerReference w:type="default" r:id="rId28"/>
          <w:type w:val="continuous"/>
          <w:pgSz w:w="11909" w:h="16834" w:code="9"/>
          <w:pgMar w:top="1440" w:right="1440" w:bottom="1440" w:left="1440" w:header="709" w:footer="709" w:gutter="0"/>
          <w:cols w:space="720"/>
        </w:sectPr>
      </w:pPr>
    </w:p>
    <w:p w:rsidR="001A29E4" w:rsidRDefault="00C25652" w:rsidP="00765439">
      <w:r>
        <w:lastRenderedPageBreak/>
        <w:t>Q</w:t>
      </w:r>
      <w:r w:rsidR="001A29E4">
        <w:t>uantitative computed tomography (Q</w:t>
      </w:r>
      <w:r>
        <w:t>CT</w:t>
      </w:r>
      <w:r w:rsidR="00765439">
        <w:t>)</w:t>
      </w:r>
      <w:r w:rsidR="00F41778">
        <w:t xml:space="preserve"> </w:t>
      </w:r>
      <w:r w:rsidR="00765439">
        <w:t xml:space="preserve">and quantitative ultrasound </w:t>
      </w:r>
      <w:r w:rsidR="001A29E4">
        <w:t>can be used in measuring BMD.</w:t>
      </w:r>
      <w:r w:rsidR="00765439">
        <w:t xml:space="preserve"> Bone mineral tests other than DXA are not considered appropriate for this evaluation (</w:t>
      </w:r>
      <w:r w:rsidR="006E0C8D">
        <w:t>Protocol</w:t>
      </w:r>
      <w:r w:rsidR="00765439">
        <w:t xml:space="preserve"> 1313) because:</w:t>
      </w:r>
    </w:p>
    <w:p w:rsidR="00765439" w:rsidRPr="00765439" w:rsidRDefault="00765439" w:rsidP="00534D10">
      <w:pPr>
        <w:pStyle w:val="ListParagraph"/>
        <w:numPr>
          <w:ilvl w:val="0"/>
          <w:numId w:val="37"/>
        </w:numPr>
      </w:pPr>
      <w:r w:rsidRPr="00765439">
        <w:t>QCT results are less reproducible than DXA</w:t>
      </w:r>
      <w:r>
        <w:t>;</w:t>
      </w:r>
    </w:p>
    <w:p w:rsidR="00765439" w:rsidRPr="00765439" w:rsidRDefault="00765439" w:rsidP="00534D10">
      <w:pPr>
        <w:pStyle w:val="ListParagraph"/>
        <w:numPr>
          <w:ilvl w:val="0"/>
          <w:numId w:val="37"/>
        </w:numPr>
      </w:pPr>
      <w:r w:rsidRPr="00765439">
        <w:t>There is less robust evidence currently available to support the use of QCT</w:t>
      </w:r>
      <w:r>
        <w:t>;</w:t>
      </w:r>
    </w:p>
    <w:p w:rsidR="00765439" w:rsidRPr="00765439" w:rsidRDefault="00765439" w:rsidP="00534D10">
      <w:pPr>
        <w:pStyle w:val="ListParagraph"/>
        <w:numPr>
          <w:ilvl w:val="0"/>
          <w:numId w:val="37"/>
        </w:numPr>
      </w:pPr>
      <w:r w:rsidRPr="00765439">
        <w:t>Although QCT radiation doses are reducing over time, currently the use of QCT involves a higher dose of radiation than DXA so exposes patients to a greater degree of harm</w:t>
      </w:r>
      <w:r>
        <w:t>;</w:t>
      </w:r>
    </w:p>
    <w:p w:rsidR="00765439" w:rsidRPr="00765439" w:rsidRDefault="00765439" w:rsidP="00534D10">
      <w:pPr>
        <w:pStyle w:val="ListParagraph"/>
        <w:numPr>
          <w:ilvl w:val="0"/>
          <w:numId w:val="37"/>
        </w:numPr>
      </w:pPr>
      <w:r w:rsidRPr="00765439">
        <w:t>There are no standardised Australian normative data for QCT</w:t>
      </w:r>
      <w:r>
        <w:t>; and</w:t>
      </w:r>
    </w:p>
    <w:p w:rsidR="00765439" w:rsidRPr="00765439" w:rsidRDefault="00765439" w:rsidP="00534D10">
      <w:pPr>
        <w:pStyle w:val="ListParagraph"/>
        <w:numPr>
          <w:ilvl w:val="0"/>
          <w:numId w:val="37"/>
        </w:numPr>
      </w:pPr>
      <w:r w:rsidRPr="00765439">
        <w:t>QCT assessment of the spine may overestimate osteoporosis compared to DXA using the WHO standard definitions.</w:t>
      </w:r>
    </w:p>
    <w:p w:rsidR="00765439" w:rsidRDefault="00765439" w:rsidP="00765439">
      <w:pPr>
        <w:spacing w:after="0"/>
      </w:pPr>
    </w:p>
    <w:p w:rsidR="0039390F" w:rsidRDefault="00765439" w:rsidP="007A119D">
      <w:r>
        <w:t>PASC recognise</w:t>
      </w:r>
      <w:r w:rsidR="007A119D">
        <w:t>s</w:t>
      </w:r>
      <w:r>
        <w:t xml:space="preserve"> that QCT may be considered an alternative to DXA in the future.</w:t>
      </w:r>
      <w:r w:rsidR="00490D85">
        <w:t xml:space="preserve"> </w:t>
      </w:r>
      <w:r w:rsidR="0039390F">
        <w:t>Peripheral DXA scan</w:t>
      </w:r>
      <w:r w:rsidR="007A119D">
        <w:t>ning</w:t>
      </w:r>
      <w:r w:rsidR="0039390F">
        <w:t xml:space="preserve"> also exist</w:t>
      </w:r>
      <w:r w:rsidR="007A119D">
        <w:t>s</w:t>
      </w:r>
      <w:r w:rsidR="0039390F">
        <w:t xml:space="preserve"> but are not considered in this assessment.</w:t>
      </w:r>
    </w:p>
    <w:p w:rsidR="00EB4A62" w:rsidRDefault="001A29E4" w:rsidP="00C25652">
      <w:r>
        <w:t>Fracture risk tools are often used to estimate 10-year fracture risk. The FRAX</w:t>
      </w:r>
      <w:r w:rsidR="00B83CA7">
        <w:rPr>
          <w:vertAlign w:val="superscript"/>
        </w:rPr>
        <w:t>™</w:t>
      </w:r>
      <w:r>
        <w:t xml:space="preserve"> </w:t>
      </w:r>
      <w:r w:rsidR="00765439">
        <w:t xml:space="preserve">online </w:t>
      </w:r>
      <w:r>
        <w:t xml:space="preserve">tool </w:t>
      </w:r>
      <w:r w:rsidR="00765439">
        <w:t xml:space="preserve">was </w:t>
      </w:r>
      <w:r>
        <w:t>developed by the University of Sheffield</w:t>
      </w:r>
      <w:r w:rsidR="00EB4A62">
        <w:t xml:space="preserve"> (UK)</w:t>
      </w:r>
      <w:r>
        <w:t xml:space="preserve"> on behalf of the </w:t>
      </w:r>
      <w:r w:rsidR="007A119D">
        <w:t>WHO</w:t>
      </w:r>
      <w:r>
        <w:t xml:space="preserve">. </w:t>
      </w:r>
      <w:r w:rsidR="00765439" w:rsidRPr="00032C4F">
        <w:t xml:space="preserve">The assessment is likely to be less accurate for </w:t>
      </w:r>
      <w:r w:rsidR="007A119D">
        <w:t>pre-menopaus</w:t>
      </w:r>
      <w:r w:rsidR="00765439" w:rsidRPr="00032C4F">
        <w:t xml:space="preserve">al women, young men (&lt;50 years) and is not validated for children. A variation of FRAX supported with Australian data is available at: </w:t>
      </w:r>
      <w:hyperlink r:id="rId29" w:tooltip="This is a link to the WHO data page" w:history="1">
        <w:r w:rsidR="00765439" w:rsidRPr="003E0E84">
          <w:t>http://www.shef.ac.uk/FRAX/tool.jsp?country=31</w:t>
        </w:r>
      </w:hyperlink>
      <w:r w:rsidR="00765439" w:rsidRPr="00032C4F">
        <w:t>.</w:t>
      </w:r>
      <w:r w:rsidR="00FF3963">
        <w:t xml:space="preserve"> </w:t>
      </w:r>
      <w:r w:rsidR="00490D85">
        <w:t xml:space="preserve"> The tool calculates the 10-year absolute risk of hip or major osteoporotic fracture. It was derived from models of population-based cohorts in Europe, North America, Asia and Australia. FRAX</w:t>
      </w:r>
      <w:r w:rsidR="001C59A3">
        <w:rPr>
          <w:vertAlign w:val="superscript"/>
        </w:rPr>
        <w:t>™</w:t>
      </w:r>
      <w:r w:rsidR="001C59A3">
        <w:t xml:space="preserve"> </w:t>
      </w:r>
      <w:r w:rsidR="00490D85">
        <w:t>integrates clinical risk factors to estimate risk. Although optional, the addition of BMD improves the predictive value of hip fracture risk.</w:t>
      </w:r>
    </w:p>
    <w:p w:rsidR="00975DA6" w:rsidRDefault="00FF3963" w:rsidP="00C25652">
      <w:r>
        <w:t xml:space="preserve">Fracture risk </w:t>
      </w:r>
      <w:r w:rsidR="00EB4A62">
        <w:t xml:space="preserve">tools </w:t>
      </w:r>
      <w:r>
        <w:t xml:space="preserve">will be covered in </w:t>
      </w:r>
      <w:r w:rsidR="00EB4A62">
        <w:t xml:space="preserve">greater </w:t>
      </w:r>
      <w:r>
        <w:t>detail later in this report.</w:t>
      </w:r>
    </w:p>
    <w:p w:rsidR="004F3970" w:rsidRPr="00C9782D" w:rsidRDefault="004F3970" w:rsidP="00C33B0E">
      <w:pPr>
        <w:pStyle w:val="Heading3"/>
      </w:pPr>
      <w:bookmarkStart w:id="44" w:name="_Toc386093692"/>
      <w:r w:rsidRPr="00C9782D">
        <w:t>Marketing status</w:t>
      </w:r>
      <w:r w:rsidR="006B7C8A" w:rsidRPr="00C9782D">
        <w:t xml:space="preserve"> of device</w:t>
      </w:r>
      <w:bookmarkEnd w:id="44"/>
      <w:r w:rsidR="006B7C8A" w:rsidRPr="00C9782D">
        <w:t xml:space="preserve"> </w:t>
      </w:r>
    </w:p>
    <w:p w:rsidR="00006A22" w:rsidRPr="00F47C07" w:rsidRDefault="00374C0C" w:rsidP="00006A22">
      <w:r>
        <w:t xml:space="preserve">A radiologist, nuclear medicine physician or other accredited specialist is required to perform the test and analyse the results under all current MBS bone mineral density </w:t>
      </w:r>
      <w:r>
        <w:lastRenderedPageBreak/>
        <w:t xml:space="preserve">items and the proposed MBS item for this application. </w:t>
      </w:r>
      <w:r w:rsidR="007D24D7">
        <w:rPr>
          <w:lang w:val="en-US"/>
        </w:rPr>
        <w:t>All DXA BMD operators require a Radiation Use licence from their respective State Radiation Health authority before they can operate a bone densitometer as the densitometer is classified as an irradiating device. Nuclear medicine physicians and radiologists can obtain Use licences on successful completion of their training as verified by their respective colleges. Trainees of these colleges have a trainee Use Licence. Other non-medical operators are required by the State Radiation Health authorities to undergo certification to document that there is sufficient expertise to operate the bone densitometer before a Use licence is issued.</w:t>
      </w:r>
      <w:r w:rsidR="007D24D7" w:rsidRPr="00074586">
        <w:t xml:space="preserve"> </w:t>
      </w:r>
      <w:r w:rsidR="007D24D7" w:rsidRPr="00374C0C">
        <w:t xml:space="preserve">The ANZBMS </w:t>
      </w:r>
      <w:r w:rsidR="007D24D7">
        <w:t xml:space="preserve">and some universities </w:t>
      </w:r>
      <w:r w:rsidR="007D24D7" w:rsidRPr="00374C0C">
        <w:t>run courses which, upon completion, award participants with a Certificate of Completion in Clinical Bone Densitometry. This satisfies the requirements of radiation safety legislation in most Australian states</w:t>
      </w:r>
      <w:r w:rsidR="007D24D7" w:rsidRPr="00374C0C">
        <w:rPr>
          <w:color w:val="000000"/>
          <w:sz w:val="20"/>
          <w:shd w:val="clear" w:color="auto" w:fill="FFFFFF"/>
        </w:rPr>
        <w:t>.</w:t>
      </w:r>
      <w:r w:rsidR="007D24D7">
        <w:rPr>
          <w:color w:val="000000"/>
          <w:sz w:val="20"/>
          <w:shd w:val="clear" w:color="auto" w:fill="FFFFFF"/>
        </w:rPr>
        <w:t xml:space="preserve"> </w:t>
      </w:r>
      <w:r w:rsidR="007D24D7">
        <w:rPr>
          <w:lang w:val="en-US"/>
        </w:rPr>
        <w:t>Radiology and nuclear medicine trainees do attend the ANZBMS course as part of their training. In terms of site accreditation, at present radiology and nuclear medicine modalities require accreditation whereas BMD measurement does not. This is because BMD measurement does not come under the</w:t>
      </w:r>
      <w:r w:rsidR="00006A22">
        <w:rPr>
          <w:lang w:val="en-US"/>
        </w:rPr>
        <w:t xml:space="preserve"> </w:t>
      </w:r>
      <w:r w:rsidR="00006A22" w:rsidRPr="00052A71">
        <w:rPr>
          <w:i/>
        </w:rPr>
        <w:t>Health Insurance (Diagnostic Imaging Services Table) Regulation</w:t>
      </w:r>
      <w:r w:rsidR="007D24D7">
        <w:rPr>
          <w:lang w:val="en-US"/>
        </w:rPr>
        <w:t xml:space="preserve">.  </w:t>
      </w:r>
      <w:r w:rsidR="00006A22">
        <w:t xml:space="preserve">Rather, it is regulated under the </w:t>
      </w:r>
      <w:r w:rsidR="00006A22">
        <w:rPr>
          <w:i/>
          <w:iCs/>
          <w:sz w:val="23"/>
          <w:szCs w:val="23"/>
        </w:rPr>
        <w:t>Health Insurance (Bone Densitometry) Determination</w:t>
      </w:r>
      <w:r w:rsidR="00006A22">
        <w:rPr>
          <w:iCs/>
          <w:sz w:val="23"/>
          <w:szCs w:val="23"/>
        </w:rPr>
        <w:t xml:space="preserve"> and the BMD Medicare eligible items are found within the </w:t>
      </w:r>
      <w:r w:rsidR="00006A22">
        <w:rPr>
          <w:i/>
          <w:iCs/>
          <w:sz w:val="23"/>
          <w:szCs w:val="23"/>
        </w:rPr>
        <w:t>Health Insurance (General Medical Services Table) Regulation.</w:t>
      </w:r>
    </w:p>
    <w:p w:rsidR="00587BF8" w:rsidRDefault="00587BF8" w:rsidP="00B94AB7">
      <w:pPr>
        <w:rPr>
          <w:lang w:val="en-GB" w:eastAsia="ja-JP"/>
        </w:rPr>
      </w:pPr>
      <w:r>
        <w:rPr>
          <w:shd w:val="clear" w:color="auto" w:fill="FFFFFF"/>
        </w:rPr>
        <w:t xml:space="preserve">The following table provides the regulatory status of four DXA scanning machines used in Australia </w:t>
      </w:r>
      <w:r w:rsidRPr="00685248">
        <w:rPr>
          <w:lang w:val="en-GB" w:eastAsia="ja-JP"/>
        </w:rPr>
        <w:t>– Hologic</w:t>
      </w:r>
      <w:r w:rsidR="00F17C3B">
        <w:rPr>
          <w:lang w:val="en-GB" w:eastAsia="ja-JP"/>
        </w:rPr>
        <w:t xml:space="preserve"> QDR</w:t>
      </w:r>
      <w:r w:rsidRPr="00685248">
        <w:rPr>
          <w:lang w:val="en-GB" w:eastAsia="ja-JP"/>
        </w:rPr>
        <w:t>,</w:t>
      </w:r>
      <w:r>
        <w:rPr>
          <w:lang w:val="en-GB" w:eastAsia="ja-JP"/>
        </w:rPr>
        <w:t xml:space="preserve"> GE Medical Systems </w:t>
      </w:r>
      <w:r w:rsidRPr="00685248">
        <w:rPr>
          <w:lang w:val="en-GB" w:eastAsia="ja-JP"/>
        </w:rPr>
        <w:t xml:space="preserve">Lunar, Norland and Medilink. All devices are listed in the ARTG as </w:t>
      </w:r>
      <w:r w:rsidRPr="00490D85">
        <w:rPr>
          <w:lang w:val="en-GB" w:eastAsia="ja-JP"/>
        </w:rPr>
        <w:t>category IIb devices (medium-high level of risk).</w:t>
      </w:r>
    </w:p>
    <w:p w:rsidR="00006A22" w:rsidRDefault="00006A22" w:rsidP="00B94AB7">
      <w:pPr>
        <w:rPr>
          <w:lang w:val="en-GB" w:eastAsia="ja-JP"/>
        </w:rPr>
      </w:pPr>
    </w:p>
    <w:p w:rsidR="00587BF8" w:rsidRPr="00587BF8" w:rsidRDefault="00587BF8" w:rsidP="003E5E41">
      <w:pPr>
        <w:pStyle w:val="TableName"/>
        <w:rPr>
          <w:shd w:val="clear" w:color="auto" w:fill="FFFFFF"/>
        </w:rPr>
      </w:pPr>
      <w:bookmarkStart w:id="45" w:name="_Toc386112671"/>
      <w:r w:rsidRPr="00587BF8">
        <w:rPr>
          <w:shd w:val="clear" w:color="auto" w:fill="FFFFFF"/>
        </w:rPr>
        <w:t xml:space="preserve">Table </w:t>
      </w:r>
      <w:r w:rsidR="00F03479">
        <w:rPr>
          <w:shd w:val="clear" w:color="auto" w:fill="FFFFFF"/>
        </w:rPr>
        <w:t>2</w:t>
      </w:r>
      <w:r w:rsidR="00107352">
        <w:rPr>
          <w:shd w:val="clear" w:color="auto" w:fill="FFFFFF"/>
        </w:rPr>
        <w:t>:</w:t>
      </w:r>
      <w:r w:rsidRPr="00587BF8">
        <w:rPr>
          <w:shd w:val="clear" w:color="auto" w:fill="FFFFFF"/>
        </w:rPr>
        <w:t xml:space="preserve"> Regulatory status of DXA scanners in Australia</w:t>
      </w:r>
      <w:bookmarkEnd w:id="45"/>
    </w:p>
    <w:tbl>
      <w:tblPr>
        <w:tblStyle w:val="1"/>
        <w:tblW w:w="0" w:type="auto"/>
        <w:tblInd w:w="392" w:type="dxa"/>
        <w:tblLook w:val="00A0" w:firstRow="1" w:lastRow="0" w:firstColumn="1" w:lastColumn="0" w:noHBand="0" w:noVBand="0"/>
        <w:tblCaption w:val="Table 2 Regulatory status of the intervention"/>
      </w:tblPr>
      <w:tblGrid>
        <w:gridCol w:w="1108"/>
        <w:gridCol w:w="1302"/>
        <w:gridCol w:w="1275"/>
        <w:gridCol w:w="2127"/>
        <w:gridCol w:w="3038"/>
      </w:tblGrid>
      <w:tr w:rsidR="00587BF8" w:rsidRPr="00587BF8" w:rsidTr="00587BF8">
        <w:trPr>
          <w:cnfStyle w:val="100000000000" w:firstRow="1" w:lastRow="0" w:firstColumn="0" w:lastColumn="0" w:oddVBand="0" w:evenVBand="0" w:oddHBand="0" w:evenHBand="0" w:firstRowFirstColumn="0" w:firstRowLastColumn="0" w:lastRowFirstColumn="0" w:lastRowLastColumn="0"/>
          <w:trHeight w:val="386"/>
          <w:tblHeader/>
        </w:trPr>
        <w:tc>
          <w:tcPr>
            <w:tcW w:w="1108" w:type="dxa"/>
            <w:tcBorders>
              <w:top w:val="single" w:sz="4" w:space="0" w:color="auto"/>
            </w:tcBorders>
          </w:tcPr>
          <w:p w:rsidR="00587BF8" w:rsidRPr="00587BF8" w:rsidRDefault="00587BF8" w:rsidP="00587BF8">
            <w:pPr>
              <w:pStyle w:val="TableText"/>
              <w:spacing w:after="0"/>
              <w:rPr>
                <w:b/>
              </w:rPr>
            </w:pPr>
            <w:r w:rsidRPr="00587BF8">
              <w:rPr>
                <w:b/>
              </w:rPr>
              <w:t>ARTG number</w:t>
            </w:r>
          </w:p>
        </w:tc>
        <w:tc>
          <w:tcPr>
            <w:tcW w:w="1302" w:type="dxa"/>
            <w:tcBorders>
              <w:top w:val="single" w:sz="4" w:space="0" w:color="auto"/>
            </w:tcBorders>
          </w:tcPr>
          <w:p w:rsidR="00587BF8" w:rsidRPr="00587BF8" w:rsidRDefault="00587BF8" w:rsidP="00587BF8">
            <w:pPr>
              <w:pStyle w:val="TableText"/>
              <w:spacing w:after="0"/>
              <w:rPr>
                <w:b/>
              </w:rPr>
            </w:pPr>
            <w:r w:rsidRPr="00587BF8">
              <w:rPr>
                <w:b/>
              </w:rPr>
              <w:t>Approval date</w:t>
            </w:r>
          </w:p>
        </w:tc>
        <w:tc>
          <w:tcPr>
            <w:tcW w:w="1275" w:type="dxa"/>
            <w:tcBorders>
              <w:top w:val="single" w:sz="4" w:space="0" w:color="auto"/>
            </w:tcBorders>
          </w:tcPr>
          <w:p w:rsidR="00587BF8" w:rsidRPr="00587BF8" w:rsidRDefault="00587BF8" w:rsidP="00587BF8">
            <w:pPr>
              <w:pStyle w:val="TableText"/>
              <w:spacing w:after="0"/>
              <w:rPr>
                <w:b/>
              </w:rPr>
            </w:pPr>
            <w:r w:rsidRPr="00587BF8">
              <w:rPr>
                <w:b/>
              </w:rPr>
              <w:t>Manufacturer</w:t>
            </w:r>
          </w:p>
        </w:tc>
        <w:tc>
          <w:tcPr>
            <w:tcW w:w="2127" w:type="dxa"/>
            <w:tcBorders>
              <w:top w:val="single" w:sz="4" w:space="0" w:color="auto"/>
            </w:tcBorders>
          </w:tcPr>
          <w:p w:rsidR="00587BF8" w:rsidRPr="00587BF8" w:rsidRDefault="00587BF8" w:rsidP="00587BF8">
            <w:pPr>
              <w:pStyle w:val="TableText"/>
              <w:spacing w:after="0"/>
              <w:rPr>
                <w:b/>
              </w:rPr>
            </w:pPr>
            <w:r w:rsidRPr="00587BF8">
              <w:rPr>
                <w:b/>
              </w:rPr>
              <w:t>Product</w:t>
            </w:r>
          </w:p>
        </w:tc>
        <w:tc>
          <w:tcPr>
            <w:tcW w:w="3038" w:type="dxa"/>
            <w:tcBorders>
              <w:top w:val="single" w:sz="4" w:space="0" w:color="auto"/>
            </w:tcBorders>
          </w:tcPr>
          <w:p w:rsidR="00587BF8" w:rsidRPr="00587BF8" w:rsidRDefault="00587BF8" w:rsidP="00587BF8">
            <w:pPr>
              <w:pStyle w:val="TableText"/>
              <w:spacing w:after="0"/>
              <w:rPr>
                <w:b/>
              </w:rPr>
            </w:pPr>
            <w:r w:rsidRPr="00587BF8">
              <w:rPr>
                <w:b/>
              </w:rPr>
              <w:t>Approved indication</w:t>
            </w:r>
          </w:p>
        </w:tc>
      </w:tr>
      <w:tr w:rsidR="00587BF8" w:rsidRPr="00075E36" w:rsidTr="00587BF8">
        <w:tc>
          <w:tcPr>
            <w:tcW w:w="1108" w:type="dxa"/>
          </w:tcPr>
          <w:p w:rsidR="00587BF8" w:rsidRPr="00BE56F3" w:rsidRDefault="00587BF8" w:rsidP="00587BF8">
            <w:pPr>
              <w:pStyle w:val="TableText"/>
              <w:rPr>
                <w:lang w:val="en-GB" w:eastAsia="ja-JP"/>
              </w:rPr>
            </w:pPr>
            <w:r w:rsidRPr="00BE56F3">
              <w:rPr>
                <w:lang w:val="en-GB" w:eastAsia="ja-JP"/>
              </w:rPr>
              <w:t>97975</w:t>
            </w:r>
          </w:p>
        </w:tc>
        <w:tc>
          <w:tcPr>
            <w:tcW w:w="1302" w:type="dxa"/>
          </w:tcPr>
          <w:p w:rsidR="00587BF8" w:rsidRPr="00BE56F3" w:rsidRDefault="00587BF8" w:rsidP="00587BF8">
            <w:pPr>
              <w:pStyle w:val="TableText"/>
              <w:rPr>
                <w:lang w:val="en-GB" w:eastAsia="ja-JP"/>
              </w:rPr>
            </w:pPr>
            <w:r w:rsidRPr="00BE56F3">
              <w:rPr>
                <w:lang w:val="en-GB" w:eastAsia="ja-JP"/>
              </w:rPr>
              <w:t>10/11/2003</w:t>
            </w:r>
          </w:p>
        </w:tc>
        <w:tc>
          <w:tcPr>
            <w:tcW w:w="1275" w:type="dxa"/>
          </w:tcPr>
          <w:p w:rsidR="00587BF8" w:rsidRPr="00BE56F3" w:rsidRDefault="00587BF8" w:rsidP="00587BF8">
            <w:pPr>
              <w:pStyle w:val="TableText"/>
              <w:rPr>
                <w:lang w:val="en-GB" w:eastAsia="ja-JP"/>
              </w:rPr>
            </w:pPr>
            <w:r w:rsidRPr="00BE56F3">
              <w:rPr>
                <w:lang w:val="en-GB" w:eastAsia="ja-JP"/>
              </w:rPr>
              <w:t xml:space="preserve">GE Medical Systems </w:t>
            </w:r>
            <w:r>
              <w:rPr>
                <w:lang w:val="en-GB" w:eastAsia="ja-JP"/>
              </w:rPr>
              <w:t>(Lunar)</w:t>
            </w:r>
          </w:p>
        </w:tc>
        <w:tc>
          <w:tcPr>
            <w:tcW w:w="2127" w:type="dxa"/>
          </w:tcPr>
          <w:p w:rsidR="00587BF8" w:rsidRPr="00BE56F3" w:rsidRDefault="00587BF8" w:rsidP="00587BF8">
            <w:pPr>
              <w:pStyle w:val="TableText"/>
              <w:rPr>
                <w:lang w:val="en-GB" w:eastAsia="ja-JP"/>
              </w:rPr>
            </w:pPr>
            <w:r w:rsidRPr="00BE56F3">
              <w:t>GE Medical Systems Australia Pty Ltd - X-ray system, diagnostic, bone absorptiometer, dual-energy</w:t>
            </w:r>
          </w:p>
        </w:tc>
        <w:tc>
          <w:tcPr>
            <w:tcW w:w="3038" w:type="dxa"/>
          </w:tcPr>
          <w:p w:rsidR="00587BF8" w:rsidRPr="00BE56F3" w:rsidRDefault="00587BF8" w:rsidP="00587BF8">
            <w:pPr>
              <w:pStyle w:val="TableText"/>
              <w:rPr>
                <w:lang w:val="en-GB" w:eastAsia="ja-JP"/>
              </w:rPr>
            </w:pPr>
            <w:r w:rsidRPr="00BE56F3">
              <w:rPr>
                <w:lang w:val="en-GB" w:eastAsia="ja-JP"/>
              </w:rPr>
              <w:t>x-ray imaging for bone densitometry</w:t>
            </w:r>
          </w:p>
        </w:tc>
      </w:tr>
      <w:tr w:rsidR="00587BF8" w:rsidRPr="00075E36" w:rsidTr="00587BF8">
        <w:tc>
          <w:tcPr>
            <w:tcW w:w="1108" w:type="dxa"/>
          </w:tcPr>
          <w:p w:rsidR="00587BF8" w:rsidRPr="00BE56F3" w:rsidRDefault="00587BF8" w:rsidP="00587BF8">
            <w:pPr>
              <w:pStyle w:val="TableText"/>
              <w:rPr>
                <w:lang w:val="en-GB" w:eastAsia="ja-JP"/>
              </w:rPr>
            </w:pPr>
            <w:r w:rsidRPr="00BE56F3">
              <w:rPr>
                <w:lang w:val="en-GB" w:eastAsia="ja-JP"/>
              </w:rPr>
              <w:t>117461</w:t>
            </w:r>
          </w:p>
        </w:tc>
        <w:tc>
          <w:tcPr>
            <w:tcW w:w="1302" w:type="dxa"/>
          </w:tcPr>
          <w:p w:rsidR="00587BF8" w:rsidRPr="00BE56F3" w:rsidRDefault="00587BF8" w:rsidP="00587BF8">
            <w:pPr>
              <w:pStyle w:val="TableText"/>
              <w:rPr>
                <w:lang w:val="en-GB" w:eastAsia="ja-JP"/>
              </w:rPr>
            </w:pPr>
            <w:r w:rsidRPr="00BE56F3">
              <w:rPr>
                <w:lang w:val="en-GB" w:eastAsia="ja-JP"/>
              </w:rPr>
              <w:t>16/03/2005</w:t>
            </w:r>
          </w:p>
        </w:tc>
        <w:tc>
          <w:tcPr>
            <w:tcW w:w="1275" w:type="dxa"/>
          </w:tcPr>
          <w:p w:rsidR="00587BF8" w:rsidRPr="00BE56F3" w:rsidRDefault="00587BF8" w:rsidP="00587BF8">
            <w:pPr>
              <w:pStyle w:val="TableText"/>
              <w:rPr>
                <w:lang w:val="en-GB" w:eastAsia="ja-JP"/>
              </w:rPr>
            </w:pPr>
            <w:r w:rsidRPr="00BE56F3">
              <w:rPr>
                <w:lang w:val="en-GB" w:eastAsia="ja-JP"/>
              </w:rPr>
              <w:t>Norland Corp</w:t>
            </w:r>
          </w:p>
        </w:tc>
        <w:tc>
          <w:tcPr>
            <w:tcW w:w="2127" w:type="dxa"/>
          </w:tcPr>
          <w:p w:rsidR="00587BF8" w:rsidRPr="00BE56F3" w:rsidRDefault="00587BF8" w:rsidP="00587BF8">
            <w:pPr>
              <w:pStyle w:val="TableText"/>
              <w:rPr>
                <w:lang w:val="en-GB" w:eastAsia="ja-JP"/>
              </w:rPr>
            </w:pPr>
            <w:r w:rsidRPr="00BE56F3">
              <w:t>Inderlec Medical Systems Pty Ltd - X-ray system, diagnostic, bone absorptiometer, dual-energy</w:t>
            </w:r>
          </w:p>
        </w:tc>
        <w:tc>
          <w:tcPr>
            <w:tcW w:w="3038" w:type="dxa"/>
          </w:tcPr>
          <w:p w:rsidR="00587BF8" w:rsidRPr="00BE56F3" w:rsidRDefault="00587BF8" w:rsidP="00587BF8">
            <w:pPr>
              <w:pStyle w:val="TableText"/>
              <w:rPr>
                <w:lang w:val="en-GB" w:eastAsia="ja-JP"/>
              </w:rPr>
            </w:pPr>
            <w:r w:rsidRPr="00BE56F3">
              <w:rPr>
                <w:lang w:val="en-GB" w:eastAsia="ja-JP"/>
              </w:rPr>
              <w:t xml:space="preserve">For the estimation of bone density and other structural parameters using x-ray absorptiometry for the </w:t>
            </w:r>
            <w:r>
              <w:rPr>
                <w:lang w:val="en-GB" w:eastAsia="ja-JP"/>
              </w:rPr>
              <w:t>purpose of aiding in the diagno</w:t>
            </w:r>
            <w:r w:rsidRPr="00BE56F3">
              <w:rPr>
                <w:lang w:val="en-GB" w:eastAsia="ja-JP"/>
              </w:rPr>
              <w:t>sis of osteoporosis including bone regeneration and loss.</w:t>
            </w:r>
          </w:p>
        </w:tc>
      </w:tr>
      <w:tr w:rsidR="00587BF8" w:rsidRPr="00075E36" w:rsidTr="00587BF8">
        <w:tc>
          <w:tcPr>
            <w:tcW w:w="1108" w:type="dxa"/>
            <w:tcBorders>
              <w:bottom w:val="nil"/>
            </w:tcBorders>
          </w:tcPr>
          <w:p w:rsidR="00587BF8" w:rsidRPr="00BE56F3" w:rsidRDefault="00587BF8" w:rsidP="00587BF8">
            <w:pPr>
              <w:pStyle w:val="TableText"/>
              <w:rPr>
                <w:lang w:val="en-GB" w:eastAsia="ja-JP"/>
              </w:rPr>
            </w:pPr>
            <w:r w:rsidRPr="00BE56F3">
              <w:rPr>
                <w:lang w:val="en-GB" w:eastAsia="ja-JP"/>
              </w:rPr>
              <w:t>119491</w:t>
            </w:r>
          </w:p>
        </w:tc>
        <w:tc>
          <w:tcPr>
            <w:tcW w:w="1302" w:type="dxa"/>
            <w:tcBorders>
              <w:bottom w:val="nil"/>
            </w:tcBorders>
          </w:tcPr>
          <w:p w:rsidR="00587BF8" w:rsidRPr="00BE56F3" w:rsidRDefault="00587BF8" w:rsidP="00587BF8">
            <w:pPr>
              <w:pStyle w:val="TableText"/>
              <w:rPr>
                <w:lang w:val="en-GB" w:eastAsia="ja-JP"/>
              </w:rPr>
            </w:pPr>
            <w:r w:rsidRPr="00BE56F3">
              <w:rPr>
                <w:lang w:val="en-GB" w:eastAsia="ja-JP"/>
              </w:rPr>
              <w:t>25/05/2005</w:t>
            </w:r>
          </w:p>
        </w:tc>
        <w:tc>
          <w:tcPr>
            <w:tcW w:w="1275" w:type="dxa"/>
            <w:tcBorders>
              <w:bottom w:val="nil"/>
            </w:tcBorders>
          </w:tcPr>
          <w:p w:rsidR="00587BF8" w:rsidRPr="00BE56F3" w:rsidRDefault="00587BF8" w:rsidP="00587BF8">
            <w:pPr>
              <w:pStyle w:val="TableText"/>
              <w:rPr>
                <w:lang w:val="en-GB" w:eastAsia="ja-JP"/>
              </w:rPr>
            </w:pPr>
            <w:r w:rsidRPr="00BE56F3">
              <w:rPr>
                <w:lang w:val="en-GB" w:eastAsia="ja-JP"/>
              </w:rPr>
              <w:t>Medlink</w:t>
            </w:r>
          </w:p>
        </w:tc>
        <w:tc>
          <w:tcPr>
            <w:tcW w:w="2127" w:type="dxa"/>
            <w:tcBorders>
              <w:bottom w:val="nil"/>
            </w:tcBorders>
          </w:tcPr>
          <w:p w:rsidR="00587BF8" w:rsidRPr="00BE56F3" w:rsidRDefault="00A95715" w:rsidP="00587BF8">
            <w:pPr>
              <w:pStyle w:val="TableText"/>
              <w:rPr>
                <w:lang w:val="en-GB" w:eastAsia="ja-JP"/>
              </w:rPr>
            </w:pPr>
            <w:r>
              <w:t>InMed</w:t>
            </w:r>
            <w:r w:rsidR="00587BF8" w:rsidRPr="00BE56F3">
              <w:t xml:space="preserve"> Pty Ltd - X-ray system, diagnostic, bone absorptiometer, dual-energy</w:t>
            </w:r>
          </w:p>
        </w:tc>
        <w:tc>
          <w:tcPr>
            <w:tcW w:w="3038" w:type="dxa"/>
            <w:tcBorders>
              <w:bottom w:val="nil"/>
            </w:tcBorders>
          </w:tcPr>
          <w:p w:rsidR="00587BF8" w:rsidRPr="00BE56F3" w:rsidRDefault="00587BF8" w:rsidP="00587BF8">
            <w:pPr>
              <w:pStyle w:val="TableText"/>
              <w:rPr>
                <w:lang w:val="en-GB" w:eastAsia="ja-JP"/>
              </w:rPr>
            </w:pPr>
            <w:r w:rsidRPr="00BE56F3">
              <w:rPr>
                <w:lang w:val="en-GB" w:eastAsia="ja-JP"/>
              </w:rPr>
              <w:t>For the estimation of bone density and other structural parameters of bones using x-ray absorptiometry for the purpose of aiding in the diagnosis of osteoporosis including bone regeneration and loss.</w:t>
            </w:r>
          </w:p>
        </w:tc>
      </w:tr>
      <w:tr w:rsidR="00587BF8" w:rsidRPr="00075E36" w:rsidTr="00587BF8">
        <w:tc>
          <w:tcPr>
            <w:tcW w:w="1108" w:type="dxa"/>
            <w:tcBorders>
              <w:top w:val="nil"/>
              <w:bottom w:val="single" w:sz="4" w:space="0" w:color="auto"/>
            </w:tcBorders>
          </w:tcPr>
          <w:p w:rsidR="00587BF8" w:rsidRPr="00BE56F3" w:rsidRDefault="00587BF8" w:rsidP="00587BF8">
            <w:pPr>
              <w:pStyle w:val="TableText"/>
              <w:rPr>
                <w:lang w:val="en-GB" w:eastAsia="ja-JP"/>
              </w:rPr>
            </w:pPr>
            <w:r w:rsidRPr="00BE56F3">
              <w:rPr>
                <w:lang w:val="en-GB" w:eastAsia="ja-JP"/>
              </w:rPr>
              <w:t>158772</w:t>
            </w:r>
          </w:p>
        </w:tc>
        <w:tc>
          <w:tcPr>
            <w:tcW w:w="1302" w:type="dxa"/>
            <w:tcBorders>
              <w:top w:val="nil"/>
              <w:bottom w:val="single" w:sz="4" w:space="0" w:color="auto"/>
            </w:tcBorders>
          </w:tcPr>
          <w:p w:rsidR="00587BF8" w:rsidRPr="00BE56F3" w:rsidRDefault="00587BF8" w:rsidP="00587BF8">
            <w:pPr>
              <w:pStyle w:val="TableText"/>
              <w:rPr>
                <w:lang w:val="en-GB" w:eastAsia="ja-JP"/>
              </w:rPr>
            </w:pPr>
            <w:r w:rsidRPr="00BE56F3">
              <w:rPr>
                <w:lang w:val="en-GB" w:eastAsia="ja-JP"/>
              </w:rPr>
              <w:t>23/01/2009</w:t>
            </w:r>
          </w:p>
        </w:tc>
        <w:tc>
          <w:tcPr>
            <w:tcW w:w="1275" w:type="dxa"/>
            <w:tcBorders>
              <w:top w:val="nil"/>
              <w:bottom w:val="single" w:sz="4" w:space="0" w:color="auto"/>
            </w:tcBorders>
          </w:tcPr>
          <w:p w:rsidR="00587BF8" w:rsidRPr="00BE56F3" w:rsidRDefault="00587BF8" w:rsidP="00587BF8">
            <w:pPr>
              <w:pStyle w:val="TableText"/>
              <w:rPr>
                <w:lang w:val="en-GB" w:eastAsia="ja-JP"/>
              </w:rPr>
            </w:pPr>
            <w:r w:rsidRPr="00BE56F3">
              <w:rPr>
                <w:lang w:val="en-GB" w:eastAsia="ja-JP"/>
              </w:rPr>
              <w:t>Hologic Inc</w:t>
            </w:r>
          </w:p>
        </w:tc>
        <w:tc>
          <w:tcPr>
            <w:tcW w:w="2127" w:type="dxa"/>
            <w:tcBorders>
              <w:top w:val="nil"/>
              <w:bottom w:val="single" w:sz="4" w:space="0" w:color="auto"/>
            </w:tcBorders>
          </w:tcPr>
          <w:p w:rsidR="00587BF8" w:rsidRPr="00BE56F3" w:rsidRDefault="00587BF8" w:rsidP="00587BF8">
            <w:pPr>
              <w:pStyle w:val="TableText"/>
              <w:rPr>
                <w:lang w:val="en-GB" w:eastAsia="ja-JP"/>
              </w:rPr>
            </w:pPr>
            <w:r w:rsidRPr="00BE56F3">
              <w:t>Cytyc Australia Pty Ltd - X-ray system, diagnostic, bone absorptiometer, dual-energy</w:t>
            </w:r>
          </w:p>
        </w:tc>
        <w:tc>
          <w:tcPr>
            <w:tcW w:w="3038" w:type="dxa"/>
            <w:tcBorders>
              <w:top w:val="nil"/>
              <w:bottom w:val="single" w:sz="4" w:space="0" w:color="auto"/>
            </w:tcBorders>
          </w:tcPr>
          <w:p w:rsidR="00587BF8" w:rsidRPr="00BE56F3" w:rsidRDefault="00587BF8" w:rsidP="00587BF8">
            <w:pPr>
              <w:pStyle w:val="TableText"/>
              <w:rPr>
                <w:lang w:val="en-GB" w:eastAsia="ja-JP"/>
              </w:rPr>
            </w:pPr>
            <w:r w:rsidRPr="00BE56F3">
              <w:rPr>
                <w:lang w:val="en-GB" w:eastAsia="ja-JP"/>
              </w:rPr>
              <w:t>Intended to be used to estimate bone density. The data can then be used to calculate bone mineral density.</w:t>
            </w:r>
          </w:p>
        </w:tc>
      </w:tr>
    </w:tbl>
    <w:p w:rsidR="00587BF8" w:rsidRPr="00C9782D" w:rsidRDefault="00587BF8" w:rsidP="00B94AB7">
      <w:r>
        <w:rPr>
          <w:rFonts w:ascii="Arial Narrow" w:hAnsi="Arial Narrow"/>
          <w:sz w:val="16"/>
          <w:szCs w:val="16"/>
          <w:lang w:eastAsia="ja-JP"/>
        </w:rPr>
        <w:t xml:space="preserve">Source: </w:t>
      </w:r>
      <w:r w:rsidRPr="00FA270C">
        <w:rPr>
          <w:rFonts w:ascii="Arial Narrow" w:hAnsi="Arial Narrow"/>
          <w:sz w:val="16"/>
          <w:szCs w:val="16"/>
          <w:lang w:eastAsia="ja-JP"/>
        </w:rPr>
        <w:t xml:space="preserve"> </w:t>
      </w:r>
      <w:hyperlink r:id="rId30" w:tooltip="This is a link to the TGA" w:history="1">
        <w:r w:rsidRPr="00FA270C">
          <w:rPr>
            <w:rStyle w:val="Hyperlink"/>
            <w:rFonts w:ascii="Arial Narrow" w:hAnsi="Arial Narrow" w:cs="Tahoma"/>
            <w:sz w:val="16"/>
            <w:szCs w:val="16"/>
            <w:lang w:eastAsia="ja-JP"/>
          </w:rPr>
          <w:t>https://www.ebs.tga.gov.au/</w:t>
        </w:r>
      </w:hyperlink>
      <w:r w:rsidRPr="00FA270C">
        <w:rPr>
          <w:rFonts w:ascii="Arial Narrow" w:hAnsi="Arial Narrow"/>
          <w:sz w:val="16"/>
          <w:szCs w:val="16"/>
          <w:lang w:eastAsia="ja-JP"/>
        </w:rPr>
        <w:t>,</w:t>
      </w:r>
    </w:p>
    <w:p w:rsidR="0039390F" w:rsidRDefault="0039390F" w:rsidP="003E5E41">
      <w:pPr>
        <w:pStyle w:val="Heading3"/>
        <w:spacing w:after="0"/>
      </w:pPr>
    </w:p>
    <w:p w:rsidR="001D62D5" w:rsidRDefault="001D62D5" w:rsidP="00C33B0E">
      <w:pPr>
        <w:pStyle w:val="Heading3"/>
      </w:pPr>
      <w:bookmarkStart w:id="46" w:name="_Toc386093693"/>
    </w:p>
    <w:p w:rsidR="00C25652" w:rsidRDefault="004F3970" w:rsidP="00C33B0E">
      <w:pPr>
        <w:pStyle w:val="Heading3"/>
      </w:pPr>
      <w:r w:rsidRPr="00C9782D">
        <w:t>Current reimbursement arrangements</w:t>
      </w:r>
      <w:bookmarkEnd w:id="46"/>
    </w:p>
    <w:p w:rsidR="00FF3963" w:rsidRPr="007B15AC" w:rsidRDefault="00FF3963" w:rsidP="00FF3963">
      <w:r w:rsidRPr="007B15AC">
        <w:t xml:space="preserve">DXA scanning is not currently funded for men and women below the age of 70 unless they suffer from certain pre-defined conditions. Unconditional access to DXA scanning </w:t>
      </w:r>
      <w:r w:rsidRPr="007B15AC">
        <w:lastRenderedPageBreak/>
        <w:t xml:space="preserve">is currently available to persons aged 70 years and over (MBS item 12323). </w:t>
      </w:r>
      <w:r>
        <w:t>The</w:t>
      </w:r>
      <w:r w:rsidRPr="007B15AC">
        <w:t xml:space="preserve"> </w:t>
      </w:r>
      <w:r>
        <w:t>specific</w:t>
      </w:r>
      <w:r w:rsidRPr="007B15AC">
        <w:t xml:space="preserve"> patient populations covered for DXA under the MBS </w:t>
      </w:r>
      <w:r>
        <w:t>include:</w:t>
      </w:r>
    </w:p>
    <w:p w:rsidR="00FF3963" w:rsidRPr="00FF3963" w:rsidRDefault="00FF3963" w:rsidP="00534D10">
      <w:pPr>
        <w:pStyle w:val="ListParagraph"/>
        <w:numPr>
          <w:ilvl w:val="0"/>
          <w:numId w:val="38"/>
        </w:numPr>
      </w:pPr>
      <w:r w:rsidRPr="00FF3963">
        <w:t>Presumed low BMD following one or more fractures after minimal trauma;</w:t>
      </w:r>
    </w:p>
    <w:p w:rsidR="00FF3963" w:rsidRPr="00FF3963" w:rsidRDefault="00FF3963" w:rsidP="00534D10">
      <w:pPr>
        <w:pStyle w:val="ListParagraph"/>
        <w:numPr>
          <w:ilvl w:val="0"/>
          <w:numId w:val="38"/>
        </w:numPr>
      </w:pPr>
      <w:r w:rsidRPr="00FF3963">
        <w:t>Who have undergone prolonged glucocorticoid therapy and conditions associated with excess glucocorticoid secretion;</w:t>
      </w:r>
    </w:p>
    <w:p w:rsidR="00FF3963" w:rsidRPr="00FF3963" w:rsidRDefault="00FF3963" w:rsidP="00534D10">
      <w:pPr>
        <w:pStyle w:val="ListParagraph"/>
        <w:numPr>
          <w:ilvl w:val="0"/>
          <w:numId w:val="38"/>
        </w:numPr>
      </w:pPr>
      <w:r w:rsidRPr="00FF3963">
        <w:t>Male (all) and female (lasting &gt; 6 months before the age of 45) hypogonadism</w:t>
      </w:r>
      <w:r w:rsidR="00B83CA7">
        <w:t xml:space="preserve"> (i.e. </w:t>
      </w:r>
      <w:r w:rsidR="00F03479">
        <w:t xml:space="preserve">premature menopause </w:t>
      </w:r>
      <w:r w:rsidR="00B83CA7">
        <w:t>in women)</w:t>
      </w:r>
    </w:p>
    <w:p w:rsidR="00FF3963" w:rsidRPr="00FF3963" w:rsidRDefault="00FF3963" w:rsidP="00534D10">
      <w:pPr>
        <w:pStyle w:val="ListParagraph"/>
        <w:numPr>
          <w:ilvl w:val="0"/>
          <w:numId w:val="38"/>
        </w:numPr>
      </w:pPr>
      <w:r w:rsidRPr="00FF3963">
        <w:t>Primary hyperparathyroidism</w:t>
      </w:r>
    </w:p>
    <w:p w:rsidR="00FF3963" w:rsidRPr="00FF3963" w:rsidRDefault="00FF3963" w:rsidP="00534D10">
      <w:pPr>
        <w:pStyle w:val="ListParagraph"/>
        <w:numPr>
          <w:ilvl w:val="0"/>
          <w:numId w:val="38"/>
        </w:numPr>
      </w:pPr>
      <w:r w:rsidRPr="00FF3963">
        <w:t>Chronic liver and/or renal disease</w:t>
      </w:r>
    </w:p>
    <w:p w:rsidR="00FF3963" w:rsidRPr="00FF3963" w:rsidRDefault="00FF3963" w:rsidP="00534D10">
      <w:pPr>
        <w:pStyle w:val="ListParagraph"/>
        <w:numPr>
          <w:ilvl w:val="0"/>
          <w:numId w:val="38"/>
        </w:numPr>
      </w:pPr>
      <w:r w:rsidRPr="00FF3963">
        <w:t>Proven malabsorptive disorders;</w:t>
      </w:r>
    </w:p>
    <w:p w:rsidR="00FF3963" w:rsidRPr="00FF3963" w:rsidRDefault="00FF3963" w:rsidP="00534D10">
      <w:pPr>
        <w:pStyle w:val="ListParagraph"/>
        <w:numPr>
          <w:ilvl w:val="0"/>
          <w:numId w:val="38"/>
        </w:numPr>
      </w:pPr>
      <w:r w:rsidRPr="00FF3963">
        <w:t>Rheumatoid arthritis; or</w:t>
      </w:r>
    </w:p>
    <w:p w:rsidR="00FF3963" w:rsidRPr="00FF3963" w:rsidRDefault="00FF3963" w:rsidP="00534D10">
      <w:pPr>
        <w:pStyle w:val="ListParagraph"/>
        <w:numPr>
          <w:ilvl w:val="0"/>
          <w:numId w:val="38"/>
        </w:numPr>
      </w:pPr>
      <w:r w:rsidRPr="00FF3963">
        <w:t>Conditions associated with thyroxine excess</w:t>
      </w:r>
      <w:r>
        <w:t>.</w:t>
      </w:r>
    </w:p>
    <w:p w:rsidR="00F03479" w:rsidRDefault="00F03479" w:rsidP="00FF3963"/>
    <w:p w:rsidR="00FF3963" w:rsidRPr="007B15AC" w:rsidRDefault="00FF3963" w:rsidP="00FF3963">
      <w:r w:rsidRPr="007B15AC">
        <w:t>Several MBS</w:t>
      </w:r>
      <w:r>
        <w:t xml:space="preserve"> items cover </w:t>
      </w:r>
      <w:r w:rsidRPr="007B15AC">
        <w:t>indications for repeat scans every 12 or 24 months depending on the indication. According to current Australian guidelines</w:t>
      </w:r>
      <w:r>
        <w:t xml:space="preserve"> (RACGP 2010)</w:t>
      </w:r>
      <w:r w:rsidRPr="007B15AC">
        <w:t xml:space="preserve">, for patients with low risk factors and </w:t>
      </w:r>
      <w:r>
        <w:t>‘normal’ T-scores, repeat scans are not required</w:t>
      </w:r>
      <w:r w:rsidRPr="007B15AC">
        <w:t xml:space="preserve"> unless </w:t>
      </w:r>
      <w:r>
        <w:t xml:space="preserve">the patient has a </w:t>
      </w:r>
      <w:r w:rsidRPr="007B15AC">
        <w:t>minimal trauma fracture or increased risk conditions. People diagnosed with osteoporosis (</w:t>
      </w:r>
      <w:r>
        <w:t xml:space="preserve">T-score </w:t>
      </w:r>
      <w:r w:rsidRPr="007B15AC">
        <w:t xml:space="preserve">≤-2.5) </w:t>
      </w:r>
      <w:r>
        <w:t>are</w:t>
      </w:r>
      <w:r w:rsidRPr="007B15AC">
        <w:t xml:space="preserve"> eligible for repeat testing a</w:t>
      </w:r>
      <w:r w:rsidR="00587BF8">
        <w:t>s required under MBS item 12306. P</w:t>
      </w:r>
      <w:r w:rsidRPr="007B15AC">
        <w:t xml:space="preserve">atients with confirmed </w:t>
      </w:r>
      <w:r w:rsidR="00587BF8">
        <w:t>osteoporosis</w:t>
      </w:r>
      <w:r w:rsidRPr="007B15AC">
        <w:t xml:space="preserve"> and receiv</w:t>
      </w:r>
      <w:r w:rsidR="00587BF8">
        <w:t>ing anti-osteoporotic treatment do not require</w:t>
      </w:r>
      <w:r w:rsidRPr="007B15AC">
        <w:t xml:space="preserve"> repeat DXA scans unless there is a change in, or cessation of, anti-osteoporotic therapy (</w:t>
      </w:r>
      <w:r>
        <w:t>RACGP</w:t>
      </w:r>
      <w:r w:rsidRPr="007B15AC">
        <w:t xml:space="preserve"> 2010</w:t>
      </w:r>
      <w:r>
        <w:t>b</w:t>
      </w:r>
      <w:r w:rsidRPr="007B15AC">
        <w:t>).</w:t>
      </w:r>
    </w:p>
    <w:p w:rsidR="00BD3B2F" w:rsidRDefault="002F17F4" w:rsidP="002F17F4">
      <w:r>
        <w:t xml:space="preserve">The current MBS reimbursement arrangements for DXA </w:t>
      </w:r>
      <w:r w:rsidR="00490D85">
        <w:t>were</w:t>
      </w:r>
      <w:r>
        <w:t xml:space="preserve"> summarised in </w:t>
      </w:r>
      <w:r w:rsidR="00490D85">
        <w:t xml:space="preserve">the </w:t>
      </w:r>
      <w:r w:rsidR="006E0C8D">
        <w:t>Protocol</w:t>
      </w:r>
      <w:r w:rsidR="00490D85">
        <w:t>.</w:t>
      </w:r>
      <w:r>
        <w:t xml:space="preserve"> </w:t>
      </w:r>
      <w:r w:rsidR="005677C0">
        <w:t>In general, anti-resorptive treatments are covered by the Pharmaceutical Benefits Scheme (PBS) for men and women after fragility fracture as well as for those at high risk, without prior fracture, on the basis of age (</w:t>
      </w:r>
      <w:r w:rsidR="005677C0">
        <w:rPr>
          <w:rFonts w:ascii="Symbol" w:hAnsi="Symbol" w:cs="Symbol"/>
        </w:rPr>
        <w:t></w:t>
      </w:r>
      <w:r w:rsidR="005677C0">
        <w:rPr>
          <w:rFonts w:ascii="Symbol" w:hAnsi="Symbol" w:cs="Symbol"/>
        </w:rPr>
        <w:t></w:t>
      </w:r>
      <w:r w:rsidR="005677C0">
        <w:t xml:space="preserve">70 years) and low BMD </w:t>
      </w:r>
      <w:r>
        <w:t xml:space="preserve">(T score </w:t>
      </w:r>
      <w:r w:rsidR="005677C0">
        <w:rPr>
          <w:rFonts w:ascii="Symbol" w:hAnsi="Symbol" w:cs="Symbol"/>
        </w:rPr>
        <w:t></w:t>
      </w:r>
      <w:r w:rsidR="005677C0">
        <w:rPr>
          <w:rFonts w:ascii="Symbol" w:hAnsi="Symbol" w:cs="Symbol"/>
        </w:rPr>
        <w:t></w:t>
      </w:r>
      <w:r w:rsidR="005677C0">
        <w:rPr>
          <w:rFonts w:ascii="Symbol" w:hAnsi="Symbol" w:cs="Symbol"/>
        </w:rPr>
        <w:t></w:t>
      </w:r>
      <w:r w:rsidR="005677C0">
        <w:rPr>
          <w:rFonts w:ascii="Symbol" w:hAnsi="Symbol" w:cs="Symbol"/>
        </w:rPr>
        <w:t></w:t>
      </w:r>
      <w:r w:rsidR="005677C0">
        <w:t xml:space="preserve">2.5 or </w:t>
      </w:r>
      <w:r w:rsidR="005677C0">
        <w:rPr>
          <w:rFonts w:ascii="Symbol" w:hAnsi="Symbol" w:cs="Symbol"/>
        </w:rPr>
        <w:t></w:t>
      </w:r>
      <w:r w:rsidR="005677C0">
        <w:rPr>
          <w:rFonts w:ascii="Symbol" w:hAnsi="Symbol" w:cs="Symbol"/>
        </w:rPr>
        <w:t></w:t>
      </w:r>
      <w:r w:rsidR="005677C0">
        <w:rPr>
          <w:rFonts w:ascii="Symbol" w:hAnsi="Symbol" w:cs="Symbol"/>
        </w:rPr>
        <w:t></w:t>
      </w:r>
      <w:r w:rsidR="005677C0">
        <w:rPr>
          <w:rFonts w:ascii="Symbol" w:hAnsi="Symbol" w:cs="Symbol"/>
        </w:rPr>
        <w:t></w:t>
      </w:r>
      <w:r>
        <w:t xml:space="preserve">3.0). </w:t>
      </w:r>
    </w:p>
    <w:p w:rsidR="00F03479" w:rsidRDefault="00F03479" w:rsidP="003A018A">
      <w:pPr>
        <w:spacing w:after="0"/>
      </w:pPr>
      <w:r>
        <w:t xml:space="preserve">Figure 2 provides a time line showing the relative introduction dates of AIs, anti-resorptive medications and </w:t>
      </w:r>
      <w:r w:rsidR="003A018A">
        <w:t>DXA scans in Australia.</w:t>
      </w:r>
      <w:r>
        <w:t xml:space="preserve"> </w:t>
      </w:r>
    </w:p>
    <w:p w:rsidR="003A018A" w:rsidRDefault="003A018A" w:rsidP="002F17F4"/>
    <w:p w:rsidR="003A018A" w:rsidRDefault="003A018A" w:rsidP="003E5E41">
      <w:pPr>
        <w:pStyle w:val="Figures"/>
      </w:pPr>
      <w:bookmarkStart w:id="47" w:name="_Toc386112705"/>
      <w:r w:rsidRPr="00A71509">
        <w:t>Figure 2: Time line of studies and</w:t>
      </w:r>
      <w:r>
        <w:t xml:space="preserve"> listings for AIs, anti-resorptive medications and DXA scans in Australia</w:t>
      </w:r>
      <w:bookmarkEnd w:id="47"/>
    </w:p>
    <w:p w:rsidR="003A018A" w:rsidRDefault="003A018A" w:rsidP="003A018A">
      <w:pPr>
        <w:pStyle w:val="TableName"/>
      </w:pPr>
    </w:p>
    <w:p w:rsidR="003A018A" w:rsidRDefault="00107352" w:rsidP="002F17F4">
      <w:r>
        <w:rPr>
          <w:noProof/>
        </w:rPr>
        <w:drawing>
          <wp:inline distT="0" distB="0" distL="0" distR="0" wp14:anchorId="36E34856" wp14:editId="485AE348">
            <wp:extent cx="5341496" cy="1498600"/>
            <wp:effectExtent l="0" t="0" r="0" b="6350"/>
            <wp:docPr id="5" name="Picture 5" title="Fig 2 Time line of studies and PBS listings of relevant medic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49942" cy="1500970"/>
                    </a:xfrm>
                    <a:prstGeom prst="rect">
                      <a:avLst/>
                    </a:prstGeom>
                    <a:noFill/>
                    <a:ln>
                      <a:noFill/>
                    </a:ln>
                  </pic:spPr>
                </pic:pic>
              </a:graphicData>
            </a:graphic>
          </wp:inline>
        </w:drawing>
      </w:r>
    </w:p>
    <w:p w:rsidR="003A018A" w:rsidRDefault="003A018A" w:rsidP="003A4AEE">
      <w:r>
        <w:t>Key studies on the performance of DXA scans for BMD measurement occur</w:t>
      </w:r>
      <w:r w:rsidR="001C59A3">
        <w:t>red in the late 1980s and 1990s (and difficult to access).</w:t>
      </w:r>
      <w:r>
        <w:t xml:space="preserve"> This is well before they were introduced into c</w:t>
      </w:r>
      <w:r w:rsidR="0071107E">
        <w:t>linical practice in Australia. Oral b</w:t>
      </w:r>
      <w:r>
        <w:t>isphosphonates were introduced earlier than zoledronic acid however most of the evidence is available on the use of zoledronic acid for prevention of fractures in AI-induced bone loss in women with breast cancer.</w:t>
      </w:r>
    </w:p>
    <w:p w:rsidR="000A428E" w:rsidRDefault="003A4AEE" w:rsidP="003A4AEE">
      <w:r>
        <w:lastRenderedPageBreak/>
        <w:t xml:space="preserve">Illustrated in Figure </w:t>
      </w:r>
      <w:r w:rsidR="003A018A">
        <w:t>3</w:t>
      </w:r>
      <w:r>
        <w:t xml:space="preserve"> are the trends over the last</w:t>
      </w:r>
      <w:r w:rsidR="0090405D">
        <w:t xml:space="preserve"> decade in Australia of PBS-</w:t>
      </w:r>
      <w:r>
        <w:t xml:space="preserve">listed </w:t>
      </w:r>
      <w:r w:rsidR="0005425C">
        <w:t xml:space="preserve">oral bisphosphonate </w:t>
      </w:r>
      <w:r>
        <w:t>medications. The</w:t>
      </w:r>
      <w:r w:rsidR="0005425C">
        <w:t xml:space="preserve"> graph</w:t>
      </w:r>
      <w:r>
        <w:t xml:space="preserve"> also show</w:t>
      </w:r>
      <w:r w:rsidR="0005425C">
        <w:t>s</w:t>
      </w:r>
      <w:r>
        <w:t xml:space="preserve"> the costs of vitamin D testing indicated by MBS items 66608 and 66609</w:t>
      </w:r>
      <w:r w:rsidR="00F41778">
        <w:t xml:space="preserve"> </w:t>
      </w:r>
      <w:r w:rsidR="00F41778">
        <w:fldChar w:fldCharType="begin"/>
      </w:r>
      <w:r w:rsidR="00F41778">
        <w:instrText xml:space="preserve"> ADDIN EN.CITE &lt;EndNote&gt;&lt;Cite&gt;&lt;Author&gt;Rowell&lt;/Author&gt;&lt;Year&gt;2013&lt;/Year&gt;&lt;RecNum&gt;260&lt;/RecNum&gt;&lt;DisplayText&gt;(Rowell and Gordon 2013)&lt;/DisplayText&gt;&lt;record&gt;&lt;rec-number&gt;260&lt;/rec-number&gt;&lt;foreign-keys&gt;&lt;key app="EN" db-id="v9edw0zeqvve5nedzvjx29f1df2z2tvpvw55" timestamp="1398314440"&gt;260&lt;/key&gt;&lt;/foreign-keys&gt;&lt;ref-type name="Journal Article"&gt;17&lt;/ref-type&gt;&lt;contributors&gt;&lt;authors&gt;&lt;author&gt;Rowell, D.&lt;/author&gt;&lt;author&gt;Gordon, L.&lt;/author&gt;&lt;/authors&gt;&lt;/contributors&gt;&lt;titles&gt;&lt;title&gt;Testing for vitamin D and other trends in the clinical management of osteoporosis&lt;/title&gt;&lt;secondary-title&gt;Arch Osteoporos&lt;/secondary-title&gt;&lt;/titles&gt;&lt;periodical&gt;&lt;full-title&gt;Archives of Osteoporosis&lt;/full-title&gt;&lt;abbr-1&gt;Arch Osteoporos&lt;/abbr-1&gt;&lt;/periodical&gt;&lt;pages&gt;161. doi: 10.1007/s11657-013-0161-0. Epub 2013 Nov 21.&lt;/pages&gt;&lt;volume&gt;8&lt;/volume&gt;&lt;number&gt;1-2&lt;/number&gt;&lt;keywords&gt;&lt;keyword&gt;0 (Bone Density Conservation Agents)&lt;/keyword&gt;&lt;keyword&gt;0 (Diphosphonates)&lt;/keyword&gt;&lt;keyword&gt;0 (Nonprescription Drugs)&lt;/keyword&gt;&lt;keyword&gt;1406-16-2 (Vitamin D)&lt;/keyword&gt;&lt;keyword&gt;64719-49-9 (25-hydroxyvitamin D)&lt;/keyword&gt;&lt;keyword&gt;Australia&lt;/keyword&gt;&lt;keyword&gt;Bone Density Conservation Agents/*therapeutic use&lt;/keyword&gt;&lt;keyword&gt;Costs and Cost Analysis&lt;/keyword&gt;&lt;keyword&gt;Diphosphonates/economics/therapeutic use&lt;/keyword&gt;&lt;keyword&gt;Drug Costs&lt;/keyword&gt;&lt;keyword&gt;Humans&lt;/keyword&gt;&lt;keyword&gt;Longitudinal Studies&lt;/keyword&gt;&lt;keyword&gt;Nonprescription Drugs/economics/therapeutic use&lt;/keyword&gt;&lt;keyword&gt;Osteoporosis/*drug therapy/economics&lt;/keyword&gt;&lt;keyword&gt;Vitamin D/analogs &amp;amp; derivatives/blood/economics/therapeutic use&lt;/keyword&gt;&lt;keyword&gt;Vitamin D Deficiency/complications/*diagnosis&lt;/keyword&gt;&lt;/keywords&gt;&lt;dates&gt;&lt;year&gt;2013&lt;/year&gt;&lt;/dates&gt;&lt;isbn&gt;1862-3514 (Electronic)&lt;/isbn&gt;&lt;work-type&gt;Research Support, Non-U.S. Gov&amp;apos;t&lt;/work-type&gt;&lt;urls&gt;&lt;/urls&gt;&lt;/record&gt;&lt;/Cite&gt;&lt;/EndNote&gt;</w:instrText>
      </w:r>
      <w:r w:rsidR="00F41778">
        <w:fldChar w:fldCharType="separate"/>
      </w:r>
      <w:r w:rsidR="00F41778">
        <w:rPr>
          <w:noProof/>
        </w:rPr>
        <w:t>(</w:t>
      </w:r>
      <w:hyperlink w:anchor="_ENREF_55" w:tooltip="Rowell, 2013 #260" w:history="1">
        <w:r w:rsidR="006F79C1">
          <w:rPr>
            <w:noProof/>
          </w:rPr>
          <w:t>Rowell and Gordon 2013</w:t>
        </w:r>
      </w:hyperlink>
      <w:r w:rsidR="00F41778">
        <w:rPr>
          <w:noProof/>
        </w:rPr>
        <w:t>)</w:t>
      </w:r>
      <w:r w:rsidR="00F41778">
        <w:fldChar w:fldCharType="end"/>
      </w:r>
      <w:r>
        <w:t>.</w:t>
      </w:r>
      <w:r w:rsidR="000A428E">
        <w:t xml:space="preserve"> </w:t>
      </w:r>
    </w:p>
    <w:p w:rsidR="003A4AEE" w:rsidRDefault="000A428E" w:rsidP="003A4AEE">
      <w:r>
        <w:t xml:space="preserve">MSAC is currently reviewing vitamin D testing in Australia </w:t>
      </w:r>
      <w:r w:rsidR="0005425C">
        <w:t>which has experienced large</w:t>
      </w:r>
      <w:r w:rsidR="00B83CA7">
        <w:t xml:space="preserve"> growth in </w:t>
      </w:r>
      <w:r w:rsidR="0005425C">
        <w:t xml:space="preserve">the number of </w:t>
      </w:r>
      <w:r w:rsidR="00B83CA7">
        <w:t>tests since 2006</w:t>
      </w:r>
      <w:r>
        <w:t xml:space="preserve"> </w:t>
      </w:r>
      <w:hyperlink r:id="rId32" w:tooltip="This link goes to the MSAC review page for vitamin D tests" w:history="1">
        <w:r w:rsidR="0005425C" w:rsidRPr="00A416C3">
          <w:rPr>
            <w:rStyle w:val="Hyperlink"/>
          </w:rPr>
          <w:t>http://www.msac.gov.au/internet/msac/publishing.nsf/Content/reviews-lp.  Over $100</w:t>
        </w:r>
      </w:hyperlink>
      <w:r w:rsidR="0005425C">
        <w:t xml:space="preserve"> million per year is currently spent on vitamin D testing in Australia. </w:t>
      </w:r>
      <w:r w:rsidR="00B83CA7">
        <w:t xml:space="preserve">The MBS Vitamin D testing review </w:t>
      </w:r>
      <w:r w:rsidR="0005425C">
        <w:t>was</w:t>
      </w:r>
      <w:r w:rsidR="00B83CA7">
        <w:t xml:space="preserve"> discussed at the 61</w:t>
      </w:r>
      <w:r w:rsidR="00B83CA7" w:rsidRPr="00B83CA7">
        <w:rPr>
          <w:vertAlign w:val="superscript"/>
        </w:rPr>
        <w:t>st</w:t>
      </w:r>
      <w:r w:rsidR="00B83CA7">
        <w:t xml:space="preserve"> MSAC Meeting on 3-4 April 2014.</w:t>
      </w:r>
    </w:p>
    <w:p w:rsidR="0090405D" w:rsidRDefault="0090405D" w:rsidP="0090405D">
      <w:r>
        <w:t xml:space="preserve">In general, Figure </w:t>
      </w:r>
      <w:r w:rsidR="003A018A">
        <w:t>3</w:t>
      </w:r>
      <w:r>
        <w:t xml:space="preserve"> shows that single agents have declined over time while combination products (</w:t>
      </w:r>
      <w:r w:rsidR="00B83CA7">
        <w:t>bisphosphonates</w:t>
      </w:r>
      <w:r>
        <w:t xml:space="preserve"> with calcium and vitamin D</w:t>
      </w:r>
      <w:r w:rsidR="001C59A3">
        <w:rPr>
          <w:vertAlign w:val="subscript"/>
        </w:rPr>
        <w:t>3</w:t>
      </w:r>
      <w:r>
        <w:t xml:space="preserve">) have increased. Vitamin D testing has increased exponentially and is particularly high in </w:t>
      </w:r>
      <w:r w:rsidR="0005425C">
        <w:t>New South Wales</w:t>
      </w:r>
      <w:r>
        <w:t>, Victoria and South Australia (</w:t>
      </w:r>
      <w:r w:rsidR="0005425C">
        <w:t xml:space="preserve">Source: </w:t>
      </w:r>
      <w:r>
        <w:t>MBS item reports by State</w:t>
      </w:r>
      <w:r w:rsidR="00B83CA7">
        <w:t>, MBS items 66608, 66609</w:t>
      </w:r>
      <w:r>
        <w:t>).</w:t>
      </w:r>
      <w:r w:rsidR="001C59A3">
        <w:t xml:space="preserve"> In total MBS costs for vitamin D testing now exceeds $100 million each year.</w:t>
      </w:r>
    </w:p>
    <w:p w:rsidR="0005425C" w:rsidRDefault="0005425C" w:rsidP="0090405D"/>
    <w:p w:rsidR="003A4AEE" w:rsidRPr="003A4AEE" w:rsidRDefault="003A4AEE" w:rsidP="003E5E41">
      <w:pPr>
        <w:pStyle w:val="Figures"/>
      </w:pPr>
      <w:bookmarkStart w:id="48" w:name="_Toc386112706"/>
      <w:r w:rsidRPr="003A4AEE">
        <w:t xml:space="preserve">Figure </w:t>
      </w:r>
      <w:r w:rsidR="003A018A">
        <w:t>3</w:t>
      </w:r>
      <w:r w:rsidR="0036541D">
        <w:t>:</w:t>
      </w:r>
      <w:r w:rsidRPr="003A4AEE">
        <w:t xml:space="preserve"> Changes in use </w:t>
      </w:r>
      <w:r w:rsidR="0090405D">
        <w:t xml:space="preserve">of bisphosphonates </w:t>
      </w:r>
      <w:r w:rsidRPr="003A4AEE">
        <w:t xml:space="preserve">and cost of </w:t>
      </w:r>
      <w:r w:rsidR="002F17F4">
        <w:t>Vitamin D (</w:t>
      </w:r>
      <w:r w:rsidRPr="003A4AEE">
        <w:t>25OHD</w:t>
      </w:r>
      <w:r w:rsidR="002F17F4">
        <w:t>)</w:t>
      </w:r>
      <w:r w:rsidRPr="003A4AEE">
        <w:t xml:space="preserve"> testing (2001 to 201</w:t>
      </w:r>
      <w:r w:rsidR="00282C01">
        <w:t>2)</w:t>
      </w:r>
      <w:bookmarkEnd w:id="48"/>
    </w:p>
    <w:p w:rsidR="003A4AEE" w:rsidRDefault="0088274C" w:rsidP="005A0F77">
      <w:pPr>
        <w:autoSpaceDE w:val="0"/>
        <w:autoSpaceDN w:val="0"/>
        <w:adjustRightInd w:val="0"/>
        <w:spacing w:after="0"/>
        <w:ind w:left="567"/>
        <w:rPr>
          <w:rFonts w:ascii="AdvTT3713a231" w:hAnsi="AdvTT3713a231" w:cs="AdvTT3713a231"/>
          <w:color w:val="131413"/>
          <w:sz w:val="17"/>
          <w:szCs w:val="17"/>
        </w:rPr>
      </w:pPr>
      <w:r>
        <w:rPr>
          <w:rFonts w:ascii="AdvTT3713a231" w:hAnsi="AdvTT3713a231" w:cs="AdvTT3713a231"/>
          <w:noProof/>
          <w:color w:val="131413"/>
          <w:sz w:val="17"/>
          <w:szCs w:val="17"/>
        </w:rPr>
        <w:drawing>
          <wp:inline distT="0" distB="0" distL="0" distR="0" wp14:anchorId="61CE2B67" wp14:editId="3D63FDFD">
            <wp:extent cx="5669280" cy="3526155"/>
            <wp:effectExtent l="0" t="0" r="7620" b="0"/>
            <wp:docPr id="6" name="Picture 6" title="Fig 3 changes in use of bisphosphonates and vit D 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69280" cy="3526155"/>
                    </a:xfrm>
                    <a:prstGeom prst="rect">
                      <a:avLst/>
                    </a:prstGeom>
                    <a:noFill/>
                    <a:ln>
                      <a:noFill/>
                    </a:ln>
                  </pic:spPr>
                </pic:pic>
              </a:graphicData>
            </a:graphic>
          </wp:inline>
        </w:drawing>
      </w:r>
    </w:p>
    <w:p w:rsidR="003A4AEE" w:rsidRDefault="003A4AEE" w:rsidP="003A4AEE">
      <w:pPr>
        <w:autoSpaceDE w:val="0"/>
        <w:autoSpaceDN w:val="0"/>
        <w:adjustRightInd w:val="0"/>
        <w:spacing w:after="0"/>
        <w:ind w:left="0"/>
        <w:rPr>
          <w:rFonts w:ascii="AdvTT3713a231" w:hAnsi="AdvTT3713a231" w:cs="AdvTT3713a231"/>
          <w:color w:val="131413"/>
          <w:sz w:val="17"/>
          <w:szCs w:val="17"/>
        </w:rPr>
      </w:pPr>
    </w:p>
    <w:p w:rsidR="005A0F77" w:rsidRDefault="0037663F" w:rsidP="005A0F77">
      <w:pPr>
        <w:autoSpaceDE w:val="0"/>
        <w:autoSpaceDN w:val="0"/>
        <w:adjustRightInd w:val="0"/>
        <w:spacing w:after="0"/>
        <w:ind w:left="567"/>
        <w:rPr>
          <w:rFonts w:ascii="AdvTT3713a231" w:hAnsi="AdvTT3713a231" w:cs="AdvTT3713a231"/>
          <w:color w:val="131413"/>
          <w:sz w:val="17"/>
          <w:szCs w:val="17"/>
        </w:rPr>
      </w:pPr>
      <w:r>
        <w:rPr>
          <w:rFonts w:ascii="AdvTT3713a231" w:hAnsi="AdvTT3713a231" w:cs="AdvTT3713a231"/>
          <w:color w:val="131413"/>
          <w:sz w:val="17"/>
          <w:szCs w:val="17"/>
        </w:rPr>
        <w:t>PBS item codes included in Figure x</w:t>
      </w:r>
      <w:r w:rsidR="00282C01">
        <w:rPr>
          <w:rFonts w:ascii="AdvTT3713a231" w:hAnsi="AdvTT3713a231" w:cs="AdvTT3713a231"/>
          <w:color w:val="131413"/>
          <w:sz w:val="17"/>
          <w:szCs w:val="17"/>
        </w:rPr>
        <w:t xml:space="preserve">: </w:t>
      </w:r>
      <w:r w:rsidR="003A4AEE">
        <w:rPr>
          <w:rFonts w:ascii="AdvTT3713a231" w:hAnsi="AdvTT3713a231" w:cs="AdvTT3713a231"/>
          <w:color w:val="131413"/>
          <w:sz w:val="17"/>
          <w:szCs w:val="17"/>
        </w:rPr>
        <w:t>Risedronate Na (4443W, 4444X,</w:t>
      </w:r>
      <w:r w:rsidR="00282C01">
        <w:rPr>
          <w:rFonts w:ascii="AdvTT3713a231" w:hAnsi="AdvTT3713a231" w:cs="AdvTT3713a231"/>
          <w:color w:val="131413"/>
          <w:sz w:val="17"/>
          <w:szCs w:val="17"/>
        </w:rPr>
        <w:t xml:space="preserve"> </w:t>
      </w:r>
      <w:r w:rsidR="003A4AEE">
        <w:rPr>
          <w:rFonts w:ascii="AdvTT3713a231" w:hAnsi="AdvTT3713a231" w:cs="AdvTT3713a231"/>
          <w:color w:val="131413"/>
          <w:sz w:val="17"/>
          <w:szCs w:val="17"/>
        </w:rPr>
        <w:t>8481J, 8621R, 8972F, 9391G);  Risedronate Na, CaCO</w:t>
      </w:r>
      <w:r w:rsidR="003A4AEE">
        <w:rPr>
          <w:rFonts w:ascii="AdvTT3713a231" w:hAnsi="AdvTT3713a231" w:cs="AdvTT3713a231"/>
          <w:color w:val="131413"/>
          <w:sz w:val="11"/>
          <w:szCs w:val="11"/>
        </w:rPr>
        <w:t xml:space="preserve">3 </w:t>
      </w:r>
      <w:r w:rsidR="003A4AEE">
        <w:rPr>
          <w:rFonts w:ascii="AdvTT3713a231" w:hAnsi="AdvTT3713a231" w:cs="AdvTT3713a231"/>
          <w:color w:val="131413"/>
          <w:sz w:val="17"/>
          <w:szCs w:val="17"/>
        </w:rPr>
        <w:t>and Colecalciferol (4380M, 8974H); Risedronate Na and CaCO</w:t>
      </w:r>
      <w:r w:rsidR="003A4AEE">
        <w:rPr>
          <w:rFonts w:ascii="AdvTT3713a231" w:hAnsi="AdvTT3713a231" w:cs="AdvTT3713a231"/>
          <w:color w:val="131413"/>
          <w:sz w:val="11"/>
          <w:szCs w:val="11"/>
        </w:rPr>
        <w:t>3</w:t>
      </w:r>
      <w:r w:rsidR="00282C01">
        <w:rPr>
          <w:rFonts w:ascii="AdvTT3713a231" w:hAnsi="AdvTT3713a231" w:cs="AdvTT3713a231"/>
          <w:color w:val="131413"/>
          <w:sz w:val="11"/>
          <w:szCs w:val="11"/>
        </w:rPr>
        <w:t xml:space="preserve"> </w:t>
      </w:r>
      <w:r w:rsidR="003A4AEE">
        <w:rPr>
          <w:rFonts w:ascii="AdvTT3713a231" w:hAnsi="AdvTT3713a231" w:cs="AdvTT3713a231"/>
          <w:color w:val="131413"/>
          <w:sz w:val="17"/>
          <w:szCs w:val="17"/>
        </w:rPr>
        <w:t>(8899J, 8973G); Alendronate Na and Colecalciferol (9012H, 9183H); Alendronate Na, Colecalciferol and CaCO</w:t>
      </w:r>
      <w:r w:rsidR="003A4AEE">
        <w:rPr>
          <w:rFonts w:ascii="AdvTT3713a231" w:hAnsi="AdvTT3713a231" w:cs="AdvTT3713a231"/>
          <w:color w:val="131413"/>
          <w:sz w:val="11"/>
          <w:szCs w:val="11"/>
        </w:rPr>
        <w:t xml:space="preserve">3 </w:t>
      </w:r>
      <w:r w:rsidR="003A4AEE">
        <w:rPr>
          <w:rFonts w:ascii="AdvTT3713a231" w:hAnsi="AdvTT3713a231" w:cs="AdvTT3713a231"/>
          <w:color w:val="131413"/>
          <w:sz w:val="17"/>
          <w:szCs w:val="17"/>
        </w:rPr>
        <w:t xml:space="preserve">(39351E) </w:t>
      </w:r>
    </w:p>
    <w:p w:rsidR="003A4AEE" w:rsidRPr="005A0F77" w:rsidRDefault="002F17F4" w:rsidP="005A0F77">
      <w:pPr>
        <w:autoSpaceDE w:val="0"/>
        <w:autoSpaceDN w:val="0"/>
        <w:adjustRightInd w:val="0"/>
        <w:spacing w:after="0"/>
        <w:ind w:left="567"/>
        <w:rPr>
          <w:rFonts w:ascii="Arial Narrow" w:hAnsi="Arial Narrow"/>
          <w:sz w:val="20"/>
        </w:rPr>
      </w:pPr>
      <w:r w:rsidRPr="005A0F77">
        <w:rPr>
          <w:rFonts w:ascii="Arial Narrow" w:hAnsi="Arial Narrow"/>
          <w:sz w:val="20"/>
        </w:rPr>
        <w:t xml:space="preserve">Source: </w:t>
      </w:r>
      <w:r w:rsidR="00F41778" w:rsidRPr="005A0F77">
        <w:rPr>
          <w:rFonts w:ascii="Arial Narrow" w:hAnsi="Arial Narrow"/>
          <w:sz w:val="20"/>
        </w:rPr>
        <w:fldChar w:fldCharType="begin"/>
      </w:r>
      <w:r w:rsidR="00F41778" w:rsidRPr="005A0F77">
        <w:rPr>
          <w:rFonts w:ascii="Arial Narrow" w:hAnsi="Arial Narrow"/>
          <w:sz w:val="20"/>
        </w:rPr>
        <w:instrText xml:space="preserve"> ADDIN EN.CITE &lt;EndNote&gt;&lt;Cite&gt;&lt;Author&gt;Rowell&lt;/Author&gt;&lt;Year&gt;2013&lt;/Year&gt;&lt;RecNum&gt;260&lt;/RecNum&gt;&lt;DisplayText&gt;(Rowell and Gordon 2013)&lt;/DisplayText&gt;&lt;record&gt;&lt;rec-number&gt;260&lt;/rec-number&gt;&lt;foreign-keys&gt;&lt;key app="EN" db-id="v9edw0zeqvve5nedzvjx29f1df2z2tvpvw55" timestamp="1398314440"&gt;260&lt;/key&gt;&lt;/foreign-keys&gt;&lt;ref-type name="Journal Article"&gt;17&lt;/ref-type&gt;&lt;contributors&gt;&lt;authors&gt;&lt;author&gt;Rowell, D.&lt;/author&gt;&lt;author&gt;Gordon, L.&lt;/author&gt;&lt;/authors&gt;&lt;/contributors&gt;&lt;titles&gt;&lt;title&gt;Testing for vitamin D and other trends in the clinical management of osteoporosis&lt;/title&gt;&lt;secondary-title&gt;Arch Osteoporos&lt;/secondary-title&gt;&lt;/titles&gt;&lt;periodical&gt;&lt;full-title&gt;Archives of Osteoporosis&lt;/full-title&gt;&lt;abbr-1&gt;Arch Osteoporos&lt;/abbr-1&gt;&lt;/periodical&gt;&lt;pages&gt;161. doi: 10.1007/s11657-013-0161-0. Epub 2013 Nov 21.&lt;/pages&gt;&lt;volume&gt;8&lt;/volume&gt;&lt;number&gt;1-2&lt;/number&gt;&lt;keywords&gt;&lt;keyword&gt;0 (Bone Density Conservation Agents)&lt;/keyword&gt;&lt;keyword&gt;0 (Diphosphonates)&lt;/keyword&gt;&lt;keyword&gt;0 (Nonprescription Drugs)&lt;/keyword&gt;&lt;keyword&gt;1406-16-2 (Vitamin D)&lt;/keyword&gt;&lt;keyword&gt;64719-49-9 (25-hydroxyvitamin D)&lt;/keyword&gt;&lt;keyword&gt;Australia&lt;/keyword&gt;&lt;keyword&gt;Bone Density Conservation Agents/*therapeutic use&lt;/keyword&gt;&lt;keyword&gt;Costs and Cost Analysis&lt;/keyword&gt;&lt;keyword&gt;Diphosphonates/economics/therapeutic use&lt;/keyword&gt;&lt;keyword&gt;Drug Costs&lt;/keyword&gt;&lt;keyword&gt;Humans&lt;/keyword&gt;&lt;keyword&gt;Longitudinal Studies&lt;/keyword&gt;&lt;keyword&gt;Nonprescription Drugs/economics/therapeutic use&lt;/keyword&gt;&lt;keyword&gt;Osteoporosis/*drug therapy/economics&lt;/keyword&gt;&lt;keyword&gt;Vitamin D/analogs &amp;amp; derivatives/blood/economics/therapeutic use&lt;/keyword&gt;&lt;keyword&gt;Vitamin D Deficiency/complications/*diagnosis&lt;/keyword&gt;&lt;/keywords&gt;&lt;dates&gt;&lt;year&gt;2013&lt;/year&gt;&lt;/dates&gt;&lt;isbn&gt;1862-3514 (Electronic)&lt;/isbn&gt;&lt;work-type&gt;Research Support, Non-U.S. Gov&amp;apos;t&lt;/work-type&gt;&lt;urls&gt;&lt;/urls&gt;&lt;/record&gt;&lt;/Cite&gt;&lt;/EndNote&gt;</w:instrText>
      </w:r>
      <w:r w:rsidR="00F41778" w:rsidRPr="005A0F77">
        <w:rPr>
          <w:rFonts w:ascii="Arial Narrow" w:hAnsi="Arial Narrow"/>
          <w:sz w:val="20"/>
        </w:rPr>
        <w:fldChar w:fldCharType="separate"/>
      </w:r>
      <w:r w:rsidR="00F41778" w:rsidRPr="005A0F77">
        <w:rPr>
          <w:rFonts w:ascii="Arial Narrow" w:hAnsi="Arial Narrow"/>
          <w:noProof/>
          <w:sz w:val="20"/>
        </w:rPr>
        <w:t>(</w:t>
      </w:r>
      <w:hyperlink w:anchor="_ENREF_55" w:tooltip="Rowell, 2013 #260" w:history="1">
        <w:r w:rsidR="006F79C1" w:rsidRPr="005A0F77">
          <w:rPr>
            <w:rFonts w:ascii="Arial Narrow" w:hAnsi="Arial Narrow"/>
            <w:noProof/>
            <w:sz w:val="20"/>
          </w:rPr>
          <w:t>Rowell and Gordon 2013</w:t>
        </w:r>
      </w:hyperlink>
      <w:r w:rsidR="00F41778" w:rsidRPr="005A0F77">
        <w:rPr>
          <w:rFonts w:ascii="Arial Narrow" w:hAnsi="Arial Narrow"/>
          <w:noProof/>
          <w:sz w:val="20"/>
        </w:rPr>
        <w:t>)</w:t>
      </w:r>
      <w:r w:rsidR="00F41778" w:rsidRPr="005A0F77">
        <w:rPr>
          <w:rFonts w:ascii="Arial Narrow" w:hAnsi="Arial Narrow"/>
          <w:sz w:val="20"/>
        </w:rPr>
        <w:fldChar w:fldCharType="end"/>
      </w:r>
    </w:p>
    <w:p w:rsidR="003A018A" w:rsidRDefault="003A018A" w:rsidP="002F17F4">
      <w:pPr>
        <w:pStyle w:val="TableText"/>
      </w:pPr>
    </w:p>
    <w:p w:rsidR="003A018A" w:rsidRDefault="003A018A" w:rsidP="0036541D">
      <w:r>
        <w:t xml:space="preserve">In line with these growth figures in bisphosphonates for bone mineralisation, Australia has also seen a marked increase </w:t>
      </w:r>
      <w:r w:rsidR="001C59A3">
        <w:t>over</w:t>
      </w:r>
      <w:r>
        <w:t xml:space="preserve"> </w:t>
      </w:r>
      <w:r w:rsidR="001C59A3">
        <w:t>5-year</w:t>
      </w:r>
      <w:r w:rsidR="00C42E26">
        <w:t>s</w:t>
      </w:r>
      <w:r w:rsidR="001C59A3">
        <w:t xml:space="preserve"> </w:t>
      </w:r>
      <w:r w:rsidR="00C42E26">
        <w:t xml:space="preserve">in the </w:t>
      </w:r>
      <w:r>
        <w:t xml:space="preserve">growth in vitamin D </w:t>
      </w:r>
      <w:r w:rsidR="001C59A3">
        <w:t xml:space="preserve">supplement </w:t>
      </w:r>
      <w:r>
        <w:t>sales</w:t>
      </w:r>
      <w:r w:rsidR="0036541D">
        <w:t xml:space="preserve"> (Figure 4).</w:t>
      </w:r>
    </w:p>
    <w:p w:rsidR="0036541D" w:rsidRDefault="0036541D" w:rsidP="003E5E41">
      <w:pPr>
        <w:pStyle w:val="Figures"/>
      </w:pPr>
      <w:bookmarkStart w:id="49" w:name="_Toc386112707"/>
      <w:r>
        <w:lastRenderedPageBreak/>
        <w:t>Figure 4: Percentage growth in sales of over-the-counter vitamin D supplements (Australia 2006-2011)</w:t>
      </w:r>
      <w:bookmarkEnd w:id="49"/>
    </w:p>
    <w:p w:rsidR="0036541D" w:rsidRDefault="0036541D" w:rsidP="0036541D">
      <w:pPr>
        <w:pStyle w:val="TableText"/>
      </w:pPr>
    </w:p>
    <w:p w:rsidR="0036541D" w:rsidRDefault="0088274C" w:rsidP="0088274C">
      <w:pPr>
        <w:pStyle w:val="TableText"/>
        <w:ind w:left="567"/>
      </w:pPr>
      <w:r>
        <w:rPr>
          <w:noProof/>
        </w:rPr>
        <w:drawing>
          <wp:inline distT="0" distB="0" distL="0" distR="0" wp14:anchorId="40139825" wp14:editId="4AC096FC">
            <wp:extent cx="5035326" cy="2527300"/>
            <wp:effectExtent l="0" t="0" r="0" b="6350"/>
            <wp:docPr id="12" name="Picture 12" title="Fig 4 Vitamin D sales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38848" cy="2529068"/>
                    </a:xfrm>
                    <a:prstGeom prst="rect">
                      <a:avLst/>
                    </a:prstGeom>
                    <a:noFill/>
                    <a:ln>
                      <a:noFill/>
                    </a:ln>
                  </pic:spPr>
                </pic:pic>
              </a:graphicData>
            </a:graphic>
          </wp:inline>
        </w:drawing>
      </w:r>
    </w:p>
    <w:p w:rsidR="0036541D" w:rsidRPr="0036541D" w:rsidRDefault="0036541D" w:rsidP="0088274C">
      <w:pPr>
        <w:pStyle w:val="TableText"/>
        <w:ind w:left="567"/>
      </w:pPr>
      <w:r w:rsidRPr="0036541D">
        <w:t>Source: Euromonitor International – official statistics, trade associations, trade press, company research, store checks, trade interviews, trade sources.</w:t>
      </w:r>
    </w:p>
    <w:p w:rsidR="0036541D" w:rsidRDefault="0036541D" w:rsidP="0036541D">
      <w:pPr>
        <w:ind w:left="0"/>
      </w:pPr>
    </w:p>
    <w:p w:rsidR="008F59A8" w:rsidRPr="00C9782D" w:rsidRDefault="008F59A8" w:rsidP="0036541D">
      <w:pPr>
        <w:pStyle w:val="Heading2"/>
        <w:ind w:left="0" w:firstLine="0"/>
      </w:pPr>
      <w:bookmarkStart w:id="50" w:name="_Toc386092523"/>
      <w:bookmarkStart w:id="51" w:name="_Toc386093161"/>
      <w:bookmarkStart w:id="52" w:name="_Toc386093658"/>
      <w:bookmarkStart w:id="53" w:name="_Toc386093694"/>
      <w:r w:rsidRPr="00C9782D">
        <w:lastRenderedPageBreak/>
        <w:t>Approach to assessment</w:t>
      </w:r>
      <w:bookmarkEnd w:id="50"/>
      <w:bookmarkEnd w:id="51"/>
      <w:bookmarkEnd w:id="52"/>
      <w:bookmarkEnd w:id="53"/>
      <w:r w:rsidRPr="00C9782D">
        <w:t xml:space="preserve"> </w:t>
      </w:r>
    </w:p>
    <w:p w:rsidR="002E3709" w:rsidRDefault="002E3709" w:rsidP="00C33B0E">
      <w:pPr>
        <w:pStyle w:val="Heading3"/>
      </w:pPr>
      <w:bookmarkStart w:id="54" w:name="_Toc386093695"/>
      <w:r w:rsidRPr="00C9782D">
        <w:t>Objective</w:t>
      </w:r>
      <w:bookmarkEnd w:id="54"/>
    </w:p>
    <w:p w:rsidR="007053EF" w:rsidRPr="007053EF" w:rsidRDefault="007053EF" w:rsidP="007053EF">
      <w:r>
        <w:t xml:space="preserve">The objective of this assessment is to undertake a structured evaluation of the clinical need, safety, effectiveness and cost-effectiveness of DXA scans, with treatment with anti-resorptive agents, for patients taking aromatase inhibitors for early </w:t>
      </w:r>
      <w:r w:rsidR="006B0770">
        <w:t xml:space="preserve">stage </w:t>
      </w:r>
      <w:r>
        <w:t>breast cancer.</w:t>
      </w:r>
    </w:p>
    <w:p w:rsidR="00697D1A" w:rsidRPr="00C9782D" w:rsidRDefault="00697D1A" w:rsidP="00C33B0E">
      <w:pPr>
        <w:pStyle w:val="Heading3"/>
      </w:pPr>
      <w:bookmarkStart w:id="55" w:name="_Toc386093696"/>
      <w:r w:rsidRPr="00C9782D">
        <w:t>Clinical decision pathway</w:t>
      </w:r>
      <w:bookmarkEnd w:id="55"/>
    </w:p>
    <w:p w:rsidR="00697D1A" w:rsidRDefault="00697D1A" w:rsidP="003E5E41">
      <w:pPr>
        <w:pStyle w:val="Figures"/>
      </w:pPr>
      <w:bookmarkStart w:id="56" w:name="_Toc386112708"/>
      <w:r w:rsidRPr="00C9782D">
        <w:t xml:space="preserve">Figure </w:t>
      </w:r>
      <w:r w:rsidR="0005703F">
        <w:t>5</w:t>
      </w:r>
      <w:r w:rsidR="0036541D">
        <w:t>:</w:t>
      </w:r>
      <w:r w:rsidRPr="00C9782D">
        <w:tab/>
        <w:t>Clinical decision tree</w:t>
      </w:r>
      <w:bookmarkEnd w:id="56"/>
      <w:r w:rsidRPr="00C9782D">
        <w:t xml:space="preserve"> </w:t>
      </w:r>
    </w:p>
    <w:p w:rsidR="002F17F4" w:rsidRPr="00C9782D" w:rsidRDefault="002F17F4" w:rsidP="00697D1A">
      <w:pPr>
        <w:pStyle w:val="TableName"/>
      </w:pPr>
    </w:p>
    <w:p w:rsidR="000B0364" w:rsidRPr="00C9782D" w:rsidRDefault="00A71509" w:rsidP="00A12E71">
      <w:pPr>
        <w:rPr>
          <w:bCs/>
        </w:rPr>
      </w:pPr>
      <w:r>
        <w:rPr>
          <w:bCs/>
          <w:noProof/>
        </w:rPr>
        <w:drawing>
          <wp:inline distT="0" distB="0" distL="0" distR="0" wp14:anchorId="596D2FB1" wp14:editId="4CCB7397">
            <wp:extent cx="4977442" cy="6507027"/>
            <wp:effectExtent l="0" t="0" r="0" b="8255"/>
            <wp:docPr id="9" name="Picture 9" title="Fig 5 clinical 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77442" cy="6507027"/>
                    </a:xfrm>
                    <a:prstGeom prst="rect">
                      <a:avLst/>
                    </a:prstGeom>
                    <a:noFill/>
                    <a:ln>
                      <a:noFill/>
                    </a:ln>
                  </pic:spPr>
                </pic:pic>
              </a:graphicData>
            </a:graphic>
          </wp:inline>
        </w:drawing>
      </w:r>
    </w:p>
    <w:p w:rsidR="002F17F4" w:rsidRDefault="002F17F4" w:rsidP="002F17F4">
      <w:r>
        <w:lastRenderedPageBreak/>
        <w:t xml:space="preserve">Figure </w:t>
      </w:r>
      <w:r w:rsidR="0005703F">
        <w:t>5</w:t>
      </w:r>
      <w:r>
        <w:t xml:space="preserve"> provides the proposed clinical management algorithm relevant for this assessment.  The diagram was a</w:t>
      </w:r>
      <w:r w:rsidRPr="000371CA">
        <w:t>dapted from information provided by the applicant and Reid DM</w:t>
      </w:r>
      <w:r>
        <w:t xml:space="preserve"> </w:t>
      </w:r>
      <w:r w:rsidRPr="003F6ADF">
        <w:rPr>
          <w:i/>
        </w:rPr>
        <w:t>et al.</w:t>
      </w:r>
      <w:r>
        <w:t xml:space="preserve"> 2008</w:t>
      </w:r>
      <w:r w:rsidR="003F6ADF">
        <w:t>.</w:t>
      </w:r>
    </w:p>
    <w:p w:rsidR="006B0770" w:rsidRDefault="00E07DEA" w:rsidP="002F17F4">
      <w:r>
        <w:t xml:space="preserve">The clinical algorithm </w:t>
      </w:r>
      <w:r w:rsidR="006B0770">
        <w:t>states</w:t>
      </w:r>
      <w:r>
        <w:t xml:space="preserve"> that patients on aromatase inhibitors would be assessed at baseline for osteoporosis. If they have osteoporosis, patients would start anti-resorptives, </w:t>
      </w:r>
      <w:r w:rsidR="0090405D">
        <w:t xml:space="preserve">or otherwise </w:t>
      </w:r>
      <w:r>
        <w:t xml:space="preserve">they would be re-tested after 2 years. If at this time </w:t>
      </w:r>
      <w:r w:rsidR="006B0770">
        <w:t>patients</w:t>
      </w:r>
      <w:r>
        <w:t xml:space="preserve"> have osteoporosis, they would start anti-resorptives or if not, would only receive a </w:t>
      </w:r>
      <w:r w:rsidR="006B0770">
        <w:t>third</w:t>
      </w:r>
      <w:r>
        <w:t xml:space="preserve"> DXA and/or anti-resorptives if they develop skeletal metastases or premature menopause.  </w:t>
      </w:r>
    </w:p>
    <w:p w:rsidR="00E07DEA" w:rsidRDefault="00E07DEA" w:rsidP="002F17F4">
      <w:r>
        <w:t xml:space="preserve">Overall, the proposed algorithm targets </w:t>
      </w:r>
      <w:r w:rsidR="006B0770">
        <w:t>patients</w:t>
      </w:r>
      <w:r>
        <w:t xml:space="preserve"> at the highest risk of bone loss or fractures and only after routine clinical assessments, lifestyle advice and vitamin D/calcium supplements.</w:t>
      </w:r>
    </w:p>
    <w:p w:rsidR="00697D1A" w:rsidRPr="00C9782D" w:rsidRDefault="00697D1A" w:rsidP="00C33B0E">
      <w:pPr>
        <w:pStyle w:val="Heading3"/>
      </w:pPr>
      <w:bookmarkStart w:id="57" w:name="_Toc386093697"/>
      <w:r w:rsidRPr="00C9782D">
        <w:t>Comparator</w:t>
      </w:r>
      <w:bookmarkEnd w:id="57"/>
    </w:p>
    <w:p w:rsidR="006B0770" w:rsidRPr="00C9782D" w:rsidRDefault="006B0770" w:rsidP="0036541D">
      <w:pPr>
        <w:rPr>
          <w:bCs/>
        </w:rPr>
      </w:pPr>
      <w:r>
        <w:rPr>
          <w:bCs/>
        </w:rPr>
        <w:t xml:space="preserve">For the intervention </w:t>
      </w:r>
      <w:r w:rsidRPr="0036541D">
        <w:rPr>
          <w:bCs/>
          <w:i/>
        </w:rPr>
        <w:t>DXA scan plus anti-resorptive treatment</w:t>
      </w:r>
      <w:r w:rsidR="0036541D">
        <w:rPr>
          <w:bCs/>
        </w:rPr>
        <w:t xml:space="preserve">, the comparator is </w:t>
      </w:r>
      <w:r w:rsidRPr="0036541D">
        <w:rPr>
          <w:bCs/>
          <w:i/>
        </w:rPr>
        <w:t>fracture risk assessment (without DXA scan) and lifestyle and vitamin supplements (without anti-resorptive treatment)</w:t>
      </w:r>
      <w:r>
        <w:rPr>
          <w:bCs/>
        </w:rPr>
        <w:t>. Vitamin supplements include calcium and vitamin D</w:t>
      </w:r>
      <w:r w:rsidR="0005703F">
        <w:rPr>
          <w:bCs/>
          <w:vertAlign w:val="subscript"/>
        </w:rPr>
        <w:t>3</w:t>
      </w:r>
      <w:r>
        <w:rPr>
          <w:bCs/>
        </w:rPr>
        <w:t>.</w:t>
      </w:r>
    </w:p>
    <w:p w:rsidR="002E3709" w:rsidRPr="00C9782D" w:rsidRDefault="002E3709" w:rsidP="00A158A3">
      <w:pPr>
        <w:pStyle w:val="Heading3"/>
      </w:pPr>
      <w:bookmarkStart w:id="58" w:name="_Toc386093698"/>
      <w:r w:rsidRPr="00C9782D">
        <w:t>Research questions</w:t>
      </w:r>
      <w:bookmarkEnd w:id="58"/>
    </w:p>
    <w:p w:rsidR="00867260" w:rsidRDefault="0036541D" w:rsidP="007053EF">
      <w:r>
        <w:t>The</w:t>
      </w:r>
      <w:r w:rsidR="007053EF">
        <w:t xml:space="preserve"> following </w:t>
      </w:r>
      <w:r w:rsidR="00D67FDD">
        <w:t xml:space="preserve">clinical </w:t>
      </w:r>
      <w:r w:rsidR="007053EF">
        <w:t>research questions will be addressed</w:t>
      </w:r>
      <w:r w:rsidR="00867260">
        <w:t>:</w:t>
      </w:r>
    </w:p>
    <w:p w:rsidR="00A81AF5" w:rsidRDefault="00B163FC" w:rsidP="00534D10">
      <w:pPr>
        <w:pStyle w:val="ListParagraph"/>
        <w:numPr>
          <w:ilvl w:val="0"/>
          <w:numId w:val="23"/>
        </w:numPr>
        <w:ind w:left="1080"/>
        <w:jc w:val="both"/>
        <w:rPr>
          <w:rFonts w:ascii="Garamond" w:hAnsi="Garamond"/>
        </w:rPr>
      </w:pPr>
      <w:r w:rsidRPr="00D67FDD">
        <w:rPr>
          <w:rFonts w:ascii="Garamond" w:hAnsi="Garamond"/>
        </w:rPr>
        <w:t>Is the proposed population of women being treated with aromatase inhibitors, at greater risk of minimal trauma fracture than the baseline population</w:t>
      </w:r>
      <w:r w:rsidR="00D67FDD">
        <w:rPr>
          <w:rFonts w:ascii="Garamond" w:hAnsi="Garamond"/>
        </w:rPr>
        <w:t xml:space="preserve"> (i.e., post menopausal women)</w:t>
      </w:r>
      <w:r w:rsidRPr="00D67FDD">
        <w:rPr>
          <w:rFonts w:ascii="Garamond" w:hAnsi="Garamond"/>
        </w:rPr>
        <w:t>?</w:t>
      </w:r>
    </w:p>
    <w:p w:rsidR="00A81AF5" w:rsidRPr="00A81AF5" w:rsidRDefault="00A81AF5" w:rsidP="00A81AF5">
      <w:pPr>
        <w:pStyle w:val="ListParagraph"/>
        <w:ind w:left="1080"/>
        <w:jc w:val="both"/>
        <w:rPr>
          <w:rFonts w:ascii="Garamond" w:hAnsi="Garamond"/>
        </w:rPr>
      </w:pPr>
    </w:p>
    <w:p w:rsidR="0036541D" w:rsidRDefault="00B163FC" w:rsidP="00534D10">
      <w:pPr>
        <w:pStyle w:val="ListParagraph"/>
        <w:numPr>
          <w:ilvl w:val="0"/>
          <w:numId w:val="23"/>
        </w:numPr>
        <w:ind w:left="1080"/>
        <w:jc w:val="both"/>
        <w:rPr>
          <w:rFonts w:ascii="Garamond" w:hAnsi="Garamond"/>
        </w:rPr>
      </w:pPr>
      <w:r w:rsidRPr="00D67FDD">
        <w:rPr>
          <w:rFonts w:ascii="Garamond" w:hAnsi="Garamond"/>
        </w:rPr>
        <w:t xml:space="preserve">What is the </w:t>
      </w:r>
      <w:r w:rsidRPr="00510D45">
        <w:rPr>
          <w:rFonts w:ascii="Garamond" w:hAnsi="Garamond"/>
          <w:u w:val="single"/>
        </w:rPr>
        <w:t>safety</w:t>
      </w:r>
      <w:r w:rsidRPr="00D67FDD">
        <w:rPr>
          <w:rFonts w:ascii="Garamond" w:hAnsi="Garamond"/>
        </w:rPr>
        <w:t xml:space="preserve"> of DXA and management of bone mineral density compared with no DXA and no bone loss management in women taking AIs?</w:t>
      </w:r>
    </w:p>
    <w:p w:rsidR="00A81AF5" w:rsidRPr="0036541D" w:rsidRDefault="00A81AF5" w:rsidP="00A81AF5">
      <w:pPr>
        <w:pStyle w:val="ListParagraph"/>
        <w:ind w:left="1080"/>
        <w:jc w:val="both"/>
        <w:rPr>
          <w:rFonts w:ascii="Garamond" w:hAnsi="Garamond"/>
        </w:rPr>
      </w:pPr>
    </w:p>
    <w:p w:rsidR="00A81AF5" w:rsidRDefault="00B163FC" w:rsidP="00534D10">
      <w:pPr>
        <w:pStyle w:val="ListParagraph"/>
        <w:numPr>
          <w:ilvl w:val="0"/>
          <w:numId w:val="23"/>
        </w:numPr>
        <w:ind w:left="1080"/>
        <w:jc w:val="both"/>
        <w:rPr>
          <w:rFonts w:ascii="Garamond" w:hAnsi="Garamond"/>
        </w:rPr>
      </w:pPr>
      <w:r w:rsidRPr="00D67FDD">
        <w:rPr>
          <w:rFonts w:ascii="Garamond" w:hAnsi="Garamond"/>
        </w:rPr>
        <w:t xml:space="preserve">What is the </w:t>
      </w:r>
      <w:r w:rsidRPr="00510D45">
        <w:rPr>
          <w:rFonts w:ascii="Garamond" w:hAnsi="Garamond"/>
          <w:u w:val="single"/>
        </w:rPr>
        <w:t>effectiveness</w:t>
      </w:r>
      <w:r w:rsidRPr="00D67FDD">
        <w:rPr>
          <w:rFonts w:ascii="Garamond" w:hAnsi="Garamond"/>
        </w:rPr>
        <w:t xml:space="preserve"> of DXA and management of bone mineral density compared with no DXA and no bone loss management in women taking AIs? What are the long term effects of treatment on the incidence of minimal trauma fracture?</w:t>
      </w:r>
    </w:p>
    <w:p w:rsidR="00D67FDD" w:rsidRPr="00D67FDD" w:rsidRDefault="00B163FC" w:rsidP="00A81AF5">
      <w:pPr>
        <w:pStyle w:val="ListParagraph"/>
        <w:ind w:left="1080"/>
        <w:jc w:val="both"/>
        <w:rPr>
          <w:rFonts w:ascii="Garamond" w:hAnsi="Garamond"/>
        </w:rPr>
      </w:pPr>
      <w:r w:rsidRPr="00D67FDD">
        <w:rPr>
          <w:rFonts w:ascii="Garamond" w:hAnsi="Garamond"/>
        </w:rPr>
        <w:t xml:space="preserve"> </w:t>
      </w:r>
    </w:p>
    <w:p w:rsidR="0036541D" w:rsidRDefault="00B163FC" w:rsidP="00534D10">
      <w:pPr>
        <w:pStyle w:val="ListParagraph"/>
        <w:numPr>
          <w:ilvl w:val="0"/>
          <w:numId w:val="23"/>
        </w:numPr>
        <w:ind w:left="1080"/>
        <w:jc w:val="both"/>
        <w:rPr>
          <w:rFonts w:ascii="Garamond" w:hAnsi="Garamond"/>
        </w:rPr>
      </w:pPr>
      <w:r w:rsidRPr="00D67FDD">
        <w:rPr>
          <w:rFonts w:ascii="Garamond" w:hAnsi="Garamond"/>
        </w:rPr>
        <w:t xml:space="preserve">What is the </w:t>
      </w:r>
      <w:r w:rsidR="0005703F">
        <w:rPr>
          <w:rFonts w:ascii="Garamond" w:hAnsi="Garamond"/>
          <w:u w:val="single"/>
        </w:rPr>
        <w:t>cost-</w:t>
      </w:r>
      <w:r w:rsidRPr="00510D45">
        <w:rPr>
          <w:rFonts w:ascii="Garamond" w:hAnsi="Garamond"/>
          <w:u w:val="single"/>
        </w:rPr>
        <w:t>effectiveness</w:t>
      </w:r>
      <w:r w:rsidRPr="00D67FDD">
        <w:rPr>
          <w:rFonts w:ascii="Garamond" w:hAnsi="Garamond"/>
        </w:rPr>
        <w:t xml:space="preserve"> of DXA and management of bone mineral density compared with no DXA and no bone loss management in women taking AIs? </w:t>
      </w:r>
    </w:p>
    <w:p w:rsidR="0036541D" w:rsidRDefault="0036541D" w:rsidP="0036541D">
      <w:pPr>
        <w:pStyle w:val="ListParagraph"/>
        <w:ind w:left="1080"/>
        <w:jc w:val="both"/>
        <w:rPr>
          <w:rFonts w:ascii="Garamond" w:hAnsi="Garamond"/>
        </w:rPr>
      </w:pPr>
    </w:p>
    <w:p w:rsidR="00B163FC" w:rsidRPr="00D67FDD" w:rsidRDefault="0036541D" w:rsidP="0036541D">
      <w:pPr>
        <w:pStyle w:val="ListParagraph"/>
        <w:ind w:left="1080"/>
        <w:jc w:val="both"/>
        <w:rPr>
          <w:rFonts w:ascii="Garamond" w:hAnsi="Garamond"/>
        </w:rPr>
      </w:pPr>
      <w:r>
        <w:rPr>
          <w:rFonts w:ascii="Garamond" w:hAnsi="Garamond"/>
        </w:rPr>
        <w:t>Questions 2-4 were</w:t>
      </w:r>
      <w:r w:rsidR="00B163FC" w:rsidRPr="00D67FDD">
        <w:rPr>
          <w:rFonts w:ascii="Garamond" w:hAnsi="Garamond"/>
        </w:rPr>
        <w:t xml:space="preserve"> applied to each of the specified populations:</w:t>
      </w:r>
    </w:p>
    <w:p w:rsidR="00B163FC" w:rsidRPr="00D67FDD" w:rsidRDefault="00B163FC" w:rsidP="00534D10">
      <w:pPr>
        <w:pStyle w:val="ListParagraph"/>
        <w:numPr>
          <w:ilvl w:val="1"/>
          <w:numId w:val="23"/>
        </w:numPr>
        <w:ind w:left="1800"/>
        <w:jc w:val="both"/>
        <w:rPr>
          <w:rFonts w:ascii="Garamond" w:hAnsi="Garamond"/>
        </w:rPr>
      </w:pPr>
      <w:r w:rsidRPr="00D67FDD">
        <w:rPr>
          <w:rFonts w:ascii="Garamond" w:hAnsi="Garamond"/>
        </w:rPr>
        <w:t>Post-menopausal women with breast cancer taking aromatase inhibitors</w:t>
      </w:r>
    </w:p>
    <w:p w:rsidR="00B163FC" w:rsidRPr="00D67FDD" w:rsidRDefault="00B163FC" w:rsidP="00534D10">
      <w:pPr>
        <w:pStyle w:val="ListParagraph"/>
        <w:numPr>
          <w:ilvl w:val="1"/>
          <w:numId w:val="23"/>
        </w:numPr>
        <w:ind w:left="1800"/>
        <w:jc w:val="both"/>
        <w:rPr>
          <w:rFonts w:ascii="Garamond" w:hAnsi="Garamond"/>
        </w:rPr>
      </w:pPr>
      <w:r w:rsidRPr="00D67FDD">
        <w:rPr>
          <w:rFonts w:ascii="Garamond" w:hAnsi="Garamond"/>
        </w:rPr>
        <w:t>Women taking aromatase inhibitors who have previously been treated with tamoxifen.</w:t>
      </w:r>
    </w:p>
    <w:p w:rsidR="00B163FC" w:rsidRDefault="00B163FC" w:rsidP="00534D10">
      <w:pPr>
        <w:pStyle w:val="ListParagraph"/>
        <w:numPr>
          <w:ilvl w:val="1"/>
          <w:numId w:val="23"/>
        </w:numPr>
        <w:ind w:left="1800"/>
        <w:jc w:val="both"/>
        <w:rPr>
          <w:rFonts w:ascii="Garamond" w:hAnsi="Garamond"/>
        </w:rPr>
      </w:pPr>
      <w:r w:rsidRPr="00D67FDD">
        <w:rPr>
          <w:rFonts w:ascii="Garamond" w:hAnsi="Garamond"/>
        </w:rPr>
        <w:t xml:space="preserve">Sensitivity analyses should be undertaken to provide information on the range of variables identified </w:t>
      </w:r>
      <w:r w:rsidR="00A81AF5">
        <w:rPr>
          <w:rFonts w:ascii="Garamond" w:hAnsi="Garamond"/>
        </w:rPr>
        <w:t>in the</w:t>
      </w:r>
      <w:r w:rsidRPr="00D67FDD">
        <w:rPr>
          <w:rFonts w:ascii="Garamond" w:hAnsi="Garamond"/>
        </w:rPr>
        <w:t xml:space="preserve"> </w:t>
      </w:r>
      <w:r w:rsidR="006E0C8D">
        <w:rPr>
          <w:rFonts w:ascii="Garamond" w:hAnsi="Garamond"/>
        </w:rPr>
        <w:t>Protocol</w:t>
      </w:r>
      <w:r w:rsidRPr="00D67FDD">
        <w:rPr>
          <w:rFonts w:ascii="Garamond" w:hAnsi="Garamond"/>
        </w:rPr>
        <w:t>.</w:t>
      </w:r>
    </w:p>
    <w:p w:rsidR="00D67FDD" w:rsidRPr="00D67FDD" w:rsidRDefault="00D67FDD" w:rsidP="00D67FDD">
      <w:pPr>
        <w:pStyle w:val="ListParagraph"/>
        <w:ind w:left="1800"/>
        <w:jc w:val="both"/>
        <w:rPr>
          <w:rFonts w:ascii="Garamond" w:hAnsi="Garamond"/>
        </w:rPr>
      </w:pPr>
    </w:p>
    <w:p w:rsidR="00B163FC" w:rsidRDefault="00B163FC" w:rsidP="00D67FDD">
      <w:pPr>
        <w:pStyle w:val="ListParagraph"/>
        <w:ind w:left="1080"/>
        <w:jc w:val="both"/>
        <w:rPr>
          <w:rFonts w:ascii="Garamond" w:hAnsi="Garamond"/>
        </w:rPr>
      </w:pPr>
      <w:r w:rsidRPr="00D67FDD">
        <w:rPr>
          <w:rFonts w:ascii="Garamond" w:hAnsi="Garamond"/>
        </w:rPr>
        <w:t>Secondary clinical research questions include:</w:t>
      </w:r>
    </w:p>
    <w:p w:rsidR="00D67FDD" w:rsidRPr="00D67FDD" w:rsidRDefault="00D67FDD" w:rsidP="00D67FDD">
      <w:pPr>
        <w:pStyle w:val="ListParagraph"/>
        <w:ind w:left="1080"/>
        <w:jc w:val="both"/>
        <w:rPr>
          <w:rFonts w:ascii="Garamond" w:hAnsi="Garamond"/>
        </w:rPr>
      </w:pPr>
    </w:p>
    <w:p w:rsidR="00B163FC" w:rsidRDefault="00B163FC" w:rsidP="00534D10">
      <w:pPr>
        <w:pStyle w:val="ListParagraph"/>
        <w:numPr>
          <w:ilvl w:val="0"/>
          <w:numId w:val="23"/>
        </w:numPr>
        <w:ind w:left="1080"/>
        <w:jc w:val="both"/>
        <w:rPr>
          <w:rFonts w:ascii="Garamond" w:hAnsi="Garamond"/>
        </w:rPr>
      </w:pPr>
      <w:r w:rsidRPr="00D67FDD">
        <w:rPr>
          <w:rFonts w:ascii="Garamond" w:hAnsi="Garamond"/>
        </w:rPr>
        <w:t>What is the appropriate threshold T-score to trigger anti-resorptive treatment in women taking aromatase inhibitors?</w:t>
      </w:r>
    </w:p>
    <w:p w:rsidR="00D67FDD" w:rsidRPr="00D67FDD" w:rsidRDefault="00D67FDD" w:rsidP="00D67FDD">
      <w:pPr>
        <w:pStyle w:val="ListParagraph"/>
        <w:ind w:left="1080"/>
        <w:jc w:val="both"/>
        <w:rPr>
          <w:rFonts w:ascii="Garamond" w:hAnsi="Garamond"/>
        </w:rPr>
      </w:pPr>
    </w:p>
    <w:p w:rsidR="00D67FDD" w:rsidRPr="00D67FDD" w:rsidRDefault="00B163FC" w:rsidP="00534D10">
      <w:pPr>
        <w:pStyle w:val="ListParagraph"/>
        <w:numPr>
          <w:ilvl w:val="0"/>
          <w:numId w:val="23"/>
        </w:numPr>
        <w:ind w:left="1080"/>
        <w:jc w:val="both"/>
        <w:rPr>
          <w:rFonts w:ascii="Garamond" w:hAnsi="Garamond"/>
        </w:rPr>
      </w:pPr>
      <w:r w:rsidRPr="00D67FDD">
        <w:rPr>
          <w:rFonts w:ascii="Garamond" w:hAnsi="Garamond"/>
        </w:rPr>
        <w:lastRenderedPageBreak/>
        <w:t>For patients reaching the threshold T-score and subsequently being treated with anti-resorptive therapy, with what frequency should women receive a repeat DXA scan?</w:t>
      </w:r>
    </w:p>
    <w:p w:rsidR="00D67FDD" w:rsidRDefault="00D67FDD" w:rsidP="00D67FDD">
      <w:pPr>
        <w:pStyle w:val="ListParagraph"/>
        <w:ind w:left="1080"/>
        <w:jc w:val="both"/>
        <w:rPr>
          <w:rFonts w:ascii="Garamond" w:hAnsi="Garamond"/>
        </w:rPr>
      </w:pPr>
    </w:p>
    <w:p w:rsidR="00B163FC" w:rsidRPr="00D67FDD" w:rsidRDefault="00B163FC" w:rsidP="00534D10">
      <w:pPr>
        <w:pStyle w:val="ListParagraph"/>
        <w:numPr>
          <w:ilvl w:val="0"/>
          <w:numId w:val="23"/>
        </w:numPr>
        <w:ind w:left="1080"/>
        <w:jc w:val="both"/>
        <w:rPr>
          <w:rFonts w:ascii="Garamond" w:hAnsi="Garamond"/>
        </w:rPr>
      </w:pPr>
      <w:r w:rsidRPr="00D67FDD">
        <w:rPr>
          <w:rFonts w:ascii="Garamond" w:hAnsi="Garamond"/>
        </w:rPr>
        <w:t xml:space="preserve">For patients not reaching the threshold T-score for therapy at their initial test, with what frequency should women undergo repeat testing? </w:t>
      </w:r>
    </w:p>
    <w:p w:rsidR="00510D45" w:rsidRDefault="00510D45" w:rsidP="00510D45">
      <w:pPr>
        <w:spacing w:after="0"/>
      </w:pPr>
    </w:p>
    <w:p w:rsidR="006B0770" w:rsidRDefault="00A81AF5" w:rsidP="007053EF">
      <w:r>
        <w:t>Four</w:t>
      </w:r>
      <w:r w:rsidR="00BE4E67">
        <w:t xml:space="preserve"> literature searches were undertaken on the following general areas in </w:t>
      </w:r>
      <w:r w:rsidR="00CB45E7">
        <w:t>an effort</w:t>
      </w:r>
      <w:r w:rsidR="00BE4E67">
        <w:t xml:space="preserve"> to capture </w:t>
      </w:r>
      <w:r w:rsidR="00CB45E7">
        <w:t xml:space="preserve">the </w:t>
      </w:r>
      <w:r w:rsidR="00BE4E67">
        <w:t xml:space="preserve">evidence </w:t>
      </w:r>
      <w:r w:rsidR="00CB45E7">
        <w:t>to answer all questions. The searches comprised:</w:t>
      </w:r>
    </w:p>
    <w:p w:rsidR="00BE4E67" w:rsidRDefault="00BE4E67" w:rsidP="00510D45">
      <w:pPr>
        <w:ind w:left="1134"/>
      </w:pPr>
      <w:r w:rsidRPr="00DE47EE">
        <w:rPr>
          <w:b/>
        </w:rPr>
        <w:t>Search 1:</w:t>
      </w:r>
      <w:r>
        <w:t xml:space="preserve"> Risk of minimal trauma fracture in women with breast cancer taking </w:t>
      </w:r>
      <w:r w:rsidR="00DE47EE">
        <w:t>aromatase inhibitors</w:t>
      </w:r>
      <w:r w:rsidR="00D67FDD">
        <w:t>;</w:t>
      </w:r>
    </w:p>
    <w:p w:rsidR="00BE4E67" w:rsidRDefault="00BE4E67" w:rsidP="00510D45">
      <w:pPr>
        <w:ind w:left="1134"/>
      </w:pPr>
      <w:r w:rsidRPr="00DE47EE">
        <w:rPr>
          <w:b/>
        </w:rPr>
        <w:t>Search 2:</w:t>
      </w:r>
      <w:r>
        <w:t xml:space="preserve"> Effectiveness and safety of DXA scans</w:t>
      </w:r>
      <w:r w:rsidR="00D67FDD">
        <w:t>;</w:t>
      </w:r>
    </w:p>
    <w:p w:rsidR="00BE4E67" w:rsidRDefault="00BE4E67" w:rsidP="00510D45">
      <w:pPr>
        <w:ind w:left="1134"/>
      </w:pPr>
      <w:r w:rsidRPr="00DE47EE">
        <w:rPr>
          <w:b/>
        </w:rPr>
        <w:t>Search 3:</w:t>
      </w:r>
      <w:r>
        <w:t xml:space="preserve"> </w:t>
      </w:r>
      <w:r w:rsidR="00DE47EE">
        <w:t>Anti-resorptive therapies (pharmacotherapies and non-pharmacotherapies) for women with breast cancer taking aromatase inhibitors</w:t>
      </w:r>
      <w:r w:rsidR="00D67FDD">
        <w:t>;</w:t>
      </w:r>
    </w:p>
    <w:p w:rsidR="00D67FDD" w:rsidRDefault="00D67FDD" w:rsidP="00510D45">
      <w:pPr>
        <w:ind w:left="1134"/>
      </w:pPr>
      <w:r>
        <w:rPr>
          <w:b/>
        </w:rPr>
        <w:t>Search 4:</w:t>
      </w:r>
      <w:r>
        <w:t xml:space="preserve"> Cost effectiveness of DXA and bone mineral density</w:t>
      </w:r>
      <w:r w:rsidR="00262142">
        <w:t xml:space="preserve"> interventions for women with breast cancer taking aromatase inhibitors.</w:t>
      </w:r>
    </w:p>
    <w:p w:rsidR="00510D45" w:rsidRDefault="00706759" w:rsidP="00A81AF5">
      <w:pPr>
        <w:spacing w:after="0"/>
      </w:pPr>
      <w:r>
        <w:t xml:space="preserve">As noted by PASC, BMD loss was </w:t>
      </w:r>
      <w:r w:rsidR="00C42E26">
        <w:t xml:space="preserve">considered </w:t>
      </w:r>
      <w:r>
        <w:t xml:space="preserve">a reasonable surrogate for minimal trauma fracture </w:t>
      </w:r>
      <w:r w:rsidR="00C42E26">
        <w:t>in the</w:t>
      </w:r>
      <w:r>
        <w:t xml:space="preserve"> </w:t>
      </w:r>
      <w:r w:rsidR="00C42E26">
        <w:t>literature search</w:t>
      </w:r>
      <w:r>
        <w:t xml:space="preserve">. </w:t>
      </w:r>
      <w:r w:rsidR="00B52772">
        <w:t xml:space="preserve">Table </w:t>
      </w:r>
      <w:r w:rsidR="00A81AF5">
        <w:t>3</w:t>
      </w:r>
      <w:r w:rsidR="00B52772">
        <w:t xml:space="preserve"> provides details of the PICO criteria for the assessment. </w:t>
      </w:r>
    </w:p>
    <w:p w:rsidR="00171DAA" w:rsidRDefault="00171DAA" w:rsidP="00510D45"/>
    <w:p w:rsidR="0031303D" w:rsidRPr="003E5E41" w:rsidRDefault="00B52772" w:rsidP="003E5E41">
      <w:pPr>
        <w:pStyle w:val="TableName"/>
      </w:pPr>
      <w:bookmarkStart w:id="59" w:name="_Toc386112672"/>
      <w:r w:rsidRPr="003E5E41">
        <w:t xml:space="preserve">Table </w:t>
      </w:r>
      <w:r w:rsidR="00A81AF5" w:rsidRPr="003E5E41">
        <w:t>3:</w:t>
      </w:r>
      <w:r w:rsidRPr="003E5E41">
        <w:t xml:space="preserve"> PICO criteria for assessment</w:t>
      </w:r>
      <w:bookmarkEnd w:id="59"/>
    </w:p>
    <w:tbl>
      <w:tblPr>
        <w:tblStyle w:val="TableGrid"/>
        <w:tblW w:w="5000" w:type="pct"/>
        <w:tblInd w:w="567" w:type="dxa"/>
        <w:tblLook w:val="04A0" w:firstRow="1" w:lastRow="0" w:firstColumn="1" w:lastColumn="0" w:noHBand="0" w:noVBand="1"/>
        <w:tblCaption w:val="Table 3 PICO criteria for assessment"/>
      </w:tblPr>
      <w:tblGrid>
        <w:gridCol w:w="1813"/>
        <w:gridCol w:w="2835"/>
        <w:gridCol w:w="1842"/>
        <w:gridCol w:w="2755"/>
      </w:tblGrid>
      <w:tr w:rsidR="00B52772" w:rsidRPr="00B52772" w:rsidTr="003E5E41">
        <w:trPr>
          <w:tblHeader/>
        </w:trPr>
        <w:tc>
          <w:tcPr>
            <w:tcW w:w="981" w:type="pct"/>
          </w:tcPr>
          <w:p w:rsidR="00B52772" w:rsidRPr="00B52772" w:rsidRDefault="00B52772" w:rsidP="00B52772">
            <w:pPr>
              <w:pStyle w:val="TableText"/>
              <w:rPr>
                <w:b/>
              </w:rPr>
            </w:pPr>
            <w:r w:rsidRPr="00B52772">
              <w:rPr>
                <w:b/>
              </w:rPr>
              <w:t>Patients</w:t>
            </w:r>
          </w:p>
        </w:tc>
        <w:tc>
          <w:tcPr>
            <w:tcW w:w="1533" w:type="pct"/>
          </w:tcPr>
          <w:p w:rsidR="00B52772" w:rsidRPr="00B52772" w:rsidRDefault="00B52772" w:rsidP="00B52772">
            <w:pPr>
              <w:pStyle w:val="TableText"/>
              <w:rPr>
                <w:b/>
              </w:rPr>
            </w:pPr>
            <w:r w:rsidRPr="00B52772">
              <w:rPr>
                <w:b/>
              </w:rPr>
              <w:t xml:space="preserve">Intervention  </w:t>
            </w:r>
          </w:p>
        </w:tc>
        <w:tc>
          <w:tcPr>
            <w:tcW w:w="996" w:type="pct"/>
          </w:tcPr>
          <w:p w:rsidR="00B52772" w:rsidRPr="00B52772" w:rsidRDefault="00B52772" w:rsidP="00B52772">
            <w:pPr>
              <w:pStyle w:val="TableText"/>
              <w:rPr>
                <w:b/>
              </w:rPr>
            </w:pPr>
            <w:r w:rsidRPr="00B52772">
              <w:rPr>
                <w:b/>
              </w:rPr>
              <w:t>Comparator</w:t>
            </w:r>
          </w:p>
        </w:tc>
        <w:tc>
          <w:tcPr>
            <w:tcW w:w="1490" w:type="pct"/>
          </w:tcPr>
          <w:p w:rsidR="00B52772" w:rsidRPr="00B52772" w:rsidRDefault="00B52772" w:rsidP="00B52772">
            <w:pPr>
              <w:pStyle w:val="TableText"/>
              <w:rPr>
                <w:b/>
              </w:rPr>
            </w:pPr>
            <w:r w:rsidRPr="00B52772">
              <w:rPr>
                <w:b/>
              </w:rPr>
              <w:t>Outcomes to be assessed</w:t>
            </w:r>
          </w:p>
        </w:tc>
      </w:tr>
      <w:tr w:rsidR="0088274C" w:rsidRPr="00D67E86" w:rsidTr="00AC44D8">
        <w:trPr>
          <w:trHeight w:val="3825"/>
        </w:trPr>
        <w:tc>
          <w:tcPr>
            <w:tcW w:w="981" w:type="pct"/>
          </w:tcPr>
          <w:p w:rsidR="0088274C" w:rsidRPr="00D67E86" w:rsidRDefault="0088274C" w:rsidP="00B52772">
            <w:pPr>
              <w:pStyle w:val="TableText"/>
            </w:pPr>
            <w:r w:rsidRPr="00D67E86">
              <w:t>Post-menopausal women with breast cancer taking aromatase inhibitors.</w:t>
            </w:r>
          </w:p>
          <w:p w:rsidR="0088274C" w:rsidRDefault="0088274C" w:rsidP="00B52772">
            <w:pPr>
              <w:pStyle w:val="TableText"/>
            </w:pPr>
          </w:p>
          <w:p w:rsidR="00B2159B" w:rsidRDefault="0088274C" w:rsidP="00B52772">
            <w:pPr>
              <w:pStyle w:val="TableText"/>
            </w:pPr>
            <w:r w:rsidRPr="00D67E86">
              <w:t>Women taking aromatase inhibitors who have previously been treated with tamoxifen.</w:t>
            </w:r>
            <w:r w:rsidR="00B2159B">
              <w:br/>
            </w:r>
          </w:p>
          <w:p w:rsidR="0088274C" w:rsidRPr="00D67E86" w:rsidRDefault="00B2159B" w:rsidP="00B52772">
            <w:pPr>
              <w:pStyle w:val="TableText"/>
            </w:pPr>
            <w:r w:rsidRPr="00D67E86">
              <w:t xml:space="preserve"> </w:t>
            </w:r>
            <w:r w:rsidR="0088274C" w:rsidRPr="00D67E86">
              <w:t>Exclude:</w:t>
            </w:r>
          </w:p>
          <w:p w:rsidR="0088274C" w:rsidRPr="00D67E86" w:rsidRDefault="0088274C" w:rsidP="00B52772">
            <w:pPr>
              <w:pStyle w:val="TableText"/>
            </w:pPr>
            <w:r w:rsidRPr="00D67E86">
              <w:t xml:space="preserve">Women at age 70 and over, with a previous minimal trauma fracture, or currently eligible for MBS items for DXA scanning </w:t>
            </w:r>
          </w:p>
        </w:tc>
        <w:tc>
          <w:tcPr>
            <w:tcW w:w="1533" w:type="pct"/>
          </w:tcPr>
          <w:p w:rsidR="0088274C" w:rsidRDefault="0088274C" w:rsidP="00B52772">
            <w:pPr>
              <w:pStyle w:val="TableText"/>
            </w:pPr>
            <w:r w:rsidRPr="00D67E86">
              <w:t xml:space="preserve">DXA scan and treatment with a prescription drug at a T-score of ≤ -2.5 </w:t>
            </w:r>
          </w:p>
          <w:p w:rsidR="0088274C" w:rsidRPr="00D67E86" w:rsidRDefault="0088274C" w:rsidP="00B52772">
            <w:pPr>
              <w:pStyle w:val="TableText"/>
            </w:pPr>
          </w:p>
          <w:p w:rsidR="0088274C" w:rsidRPr="00D67E86" w:rsidRDefault="0088274C" w:rsidP="00B52772">
            <w:pPr>
              <w:pStyle w:val="TableText"/>
            </w:pPr>
            <w:r w:rsidRPr="00D67E86">
              <w:t xml:space="preserve">Follow-up options: </w:t>
            </w:r>
          </w:p>
          <w:p w:rsidR="0088274C" w:rsidRPr="00D67E86" w:rsidRDefault="0088274C" w:rsidP="00B52772">
            <w:pPr>
              <w:pStyle w:val="TableText"/>
            </w:pPr>
            <w:r w:rsidRPr="00D67E86">
              <w:t>Sensitivity analyses should investigate options of repeat scanning as advised by the evidence.</w:t>
            </w:r>
          </w:p>
          <w:p w:rsidR="0088274C" w:rsidRPr="00D67E86" w:rsidRDefault="0088274C" w:rsidP="00B52772">
            <w:pPr>
              <w:pStyle w:val="TableText"/>
            </w:pPr>
            <w:r w:rsidRPr="00D67E86">
              <w:t>Threshold to therapy options for sensitivity  analysis:</w:t>
            </w:r>
          </w:p>
          <w:p w:rsidR="0088274C" w:rsidRPr="00D67E86" w:rsidRDefault="0088274C" w:rsidP="00B52772">
            <w:pPr>
              <w:pStyle w:val="TableText"/>
            </w:pPr>
            <w:r w:rsidRPr="00D67E86">
              <w:t xml:space="preserve">T-scores of -1.0, -1.5, -2.0. </w:t>
            </w:r>
          </w:p>
          <w:p w:rsidR="0088274C" w:rsidRPr="00D67E86" w:rsidRDefault="0088274C" w:rsidP="00B52772">
            <w:pPr>
              <w:pStyle w:val="TableText"/>
            </w:pPr>
            <w:r w:rsidRPr="00D67E86">
              <w:t>Sensitivity analyses should investigate other o</w:t>
            </w:r>
            <w:r>
              <w:t xml:space="preserve">ptions of threshold to therapy </w:t>
            </w:r>
            <w:r w:rsidRPr="00D67E86">
              <w:t>as advised by the evidence</w:t>
            </w:r>
          </w:p>
          <w:p w:rsidR="0088274C" w:rsidRPr="00D67E86" w:rsidRDefault="0088274C" w:rsidP="00B52772">
            <w:pPr>
              <w:pStyle w:val="TableText"/>
            </w:pPr>
            <w:r w:rsidRPr="00D67E86">
              <w:t>QCT</w:t>
            </w:r>
            <w:r>
              <w:t xml:space="preserve"> &amp; QUS</w:t>
            </w:r>
            <w:r w:rsidRPr="00D67E86">
              <w:t xml:space="preserve"> </w:t>
            </w:r>
            <w:r>
              <w:t>are</w:t>
            </w:r>
            <w:r w:rsidRPr="00D67E86">
              <w:t xml:space="preserve"> excluded</w:t>
            </w:r>
          </w:p>
          <w:p w:rsidR="0088274C" w:rsidRPr="00D67E86" w:rsidRDefault="0088274C" w:rsidP="00B52772">
            <w:pPr>
              <w:pStyle w:val="TableText"/>
            </w:pPr>
            <w:r w:rsidRPr="00D67E86">
              <w:t>Different thresholds of access to therapy should be investigated</w:t>
            </w:r>
          </w:p>
        </w:tc>
        <w:tc>
          <w:tcPr>
            <w:tcW w:w="996" w:type="pct"/>
          </w:tcPr>
          <w:p w:rsidR="0088274C" w:rsidRPr="00D67E86" w:rsidRDefault="0088274C" w:rsidP="00B52772">
            <w:pPr>
              <w:pStyle w:val="TableText"/>
            </w:pPr>
            <w:r w:rsidRPr="00D67E86">
              <w:t xml:space="preserve">Clinical assessment including the use of existing fracture risk assessment tools (including vitamin D test) with lifestyle and dietary advice </w:t>
            </w:r>
          </w:p>
          <w:p w:rsidR="0088274C" w:rsidRPr="00D67E86" w:rsidRDefault="0088274C" w:rsidP="00B52772">
            <w:pPr>
              <w:pStyle w:val="TableText"/>
            </w:pPr>
          </w:p>
          <w:p w:rsidR="0088274C" w:rsidRPr="00D67E86" w:rsidRDefault="0088274C" w:rsidP="00B52772">
            <w:pPr>
              <w:pStyle w:val="TableText"/>
            </w:pPr>
            <w:r w:rsidRPr="00D67E86">
              <w:t>DXA and QCT</w:t>
            </w:r>
            <w:r>
              <w:t xml:space="preserve"> or QUS</w:t>
            </w:r>
            <w:r w:rsidRPr="00D67E86">
              <w:t xml:space="preserve"> are excluded</w:t>
            </w:r>
          </w:p>
        </w:tc>
        <w:tc>
          <w:tcPr>
            <w:tcW w:w="1490" w:type="pct"/>
          </w:tcPr>
          <w:p w:rsidR="0088274C" w:rsidRPr="00D67E86" w:rsidRDefault="0088274C" w:rsidP="00B52772">
            <w:pPr>
              <w:pStyle w:val="TableText"/>
            </w:pPr>
            <w:r w:rsidRPr="00D67E86">
              <w:t xml:space="preserve">Primary outcomes: </w:t>
            </w:r>
          </w:p>
          <w:p w:rsidR="0088274C" w:rsidRPr="00D67E86" w:rsidRDefault="0088274C" w:rsidP="00B52772">
            <w:pPr>
              <w:pStyle w:val="TableText"/>
            </w:pPr>
            <w:r w:rsidRPr="00D67E86">
              <w:t>Incidence of minimal trauma fracture</w:t>
            </w:r>
          </w:p>
          <w:p w:rsidR="0088274C" w:rsidRPr="00D67E86" w:rsidRDefault="0088274C" w:rsidP="00B52772">
            <w:pPr>
              <w:pStyle w:val="TableText"/>
            </w:pPr>
            <w:r w:rsidRPr="00D67E86">
              <w:t xml:space="preserve">Incidence of all fractures </w:t>
            </w:r>
          </w:p>
          <w:p w:rsidR="0088274C" w:rsidRPr="00D67E86" w:rsidRDefault="0088274C" w:rsidP="00B52772">
            <w:pPr>
              <w:pStyle w:val="TableText"/>
            </w:pPr>
            <w:r w:rsidRPr="00D67E86">
              <w:t>Patient related quality of life</w:t>
            </w:r>
          </w:p>
          <w:p w:rsidR="0088274C" w:rsidRPr="00D67E86" w:rsidRDefault="0088274C" w:rsidP="00B52772">
            <w:pPr>
              <w:pStyle w:val="TableText"/>
            </w:pPr>
          </w:p>
          <w:p w:rsidR="0088274C" w:rsidRPr="00D67E86" w:rsidRDefault="0088274C" w:rsidP="00B52772">
            <w:pPr>
              <w:pStyle w:val="TableText"/>
            </w:pPr>
            <w:r w:rsidRPr="00D67E86">
              <w:t>Secondary effectiveness:</w:t>
            </w:r>
          </w:p>
          <w:p w:rsidR="0088274C" w:rsidRPr="00D67E86" w:rsidRDefault="0088274C" w:rsidP="00B52772">
            <w:pPr>
              <w:pStyle w:val="TableText"/>
            </w:pPr>
            <w:r w:rsidRPr="00D67E86">
              <w:t xml:space="preserve">Change in morbidity/mortality </w:t>
            </w:r>
          </w:p>
          <w:p w:rsidR="0088274C" w:rsidRPr="00D67E86" w:rsidRDefault="0088274C" w:rsidP="00B52772">
            <w:pPr>
              <w:pStyle w:val="TableText"/>
            </w:pPr>
            <w:r w:rsidRPr="00D67E86">
              <w:t xml:space="preserve">Bone mineral density (as measured by T-score, or by Z- score in </w:t>
            </w:r>
            <w:r w:rsidR="007A119D">
              <w:t>pre-menopaus</w:t>
            </w:r>
            <w:r w:rsidRPr="00D67E86">
              <w:t xml:space="preserve">al women) </w:t>
            </w:r>
          </w:p>
          <w:p w:rsidR="0088274C" w:rsidRPr="00D67E86" w:rsidRDefault="0088274C" w:rsidP="00B52772">
            <w:pPr>
              <w:pStyle w:val="TableText"/>
            </w:pPr>
          </w:p>
          <w:p w:rsidR="0088274C" w:rsidRPr="00D67E86" w:rsidRDefault="0088274C" w:rsidP="00B52772">
            <w:pPr>
              <w:pStyle w:val="TableText"/>
            </w:pPr>
            <w:r w:rsidRPr="00D67E86">
              <w:t xml:space="preserve">Safety outcomes and adverse events: </w:t>
            </w:r>
          </w:p>
          <w:p w:rsidR="0088274C" w:rsidRPr="00D67E86" w:rsidRDefault="0088274C" w:rsidP="00B52772">
            <w:pPr>
              <w:pStyle w:val="TableText"/>
            </w:pPr>
            <w:r w:rsidRPr="00D67E86">
              <w:t xml:space="preserve">Any adverse event related to scanning or treatments </w:t>
            </w:r>
          </w:p>
          <w:p w:rsidR="0088274C" w:rsidRPr="00D67E86" w:rsidRDefault="0088274C" w:rsidP="00B52772">
            <w:pPr>
              <w:pStyle w:val="TableText"/>
            </w:pPr>
            <w:r w:rsidRPr="00D67E86">
              <w:t xml:space="preserve">Any adverse event arising from exposure to ionising radiation. </w:t>
            </w:r>
          </w:p>
        </w:tc>
      </w:tr>
    </w:tbl>
    <w:p w:rsidR="00B52772" w:rsidRPr="00C9782D" w:rsidRDefault="00B52772" w:rsidP="0031303D"/>
    <w:p w:rsidR="008F59A8" w:rsidRPr="00C9782D" w:rsidRDefault="008F59A8" w:rsidP="00C33B0E">
      <w:pPr>
        <w:pStyle w:val="Heading3"/>
      </w:pPr>
      <w:bookmarkStart w:id="60" w:name="_Toc386093699"/>
      <w:r w:rsidRPr="00C9782D">
        <w:t>Review of literature</w:t>
      </w:r>
      <w:bookmarkEnd w:id="60"/>
      <w:r w:rsidRPr="00C9782D">
        <w:t xml:space="preserve"> </w:t>
      </w:r>
    </w:p>
    <w:p w:rsidR="005F3012" w:rsidRPr="007927D7" w:rsidRDefault="005F3012" w:rsidP="00C33B0E">
      <w:pPr>
        <w:pStyle w:val="Heading4"/>
      </w:pPr>
      <w:r w:rsidRPr="007927D7">
        <w:t>Literature sources and search strategies</w:t>
      </w:r>
    </w:p>
    <w:p w:rsidR="001C3A68" w:rsidRDefault="001C3A68" w:rsidP="001C3A68">
      <w:r w:rsidRPr="00C9782D">
        <w:t>The medical literature was searched to identify relevant studies an</w:t>
      </w:r>
      <w:r w:rsidR="00B52772">
        <w:t xml:space="preserve">d reviews for the period up </w:t>
      </w:r>
      <w:r w:rsidR="00514D47">
        <w:t>20</w:t>
      </w:r>
      <w:r w:rsidR="00514D47" w:rsidRPr="00514D47">
        <w:rPr>
          <w:vertAlign w:val="superscript"/>
        </w:rPr>
        <w:t>th</w:t>
      </w:r>
      <w:r w:rsidR="00514D47">
        <w:t xml:space="preserve"> </w:t>
      </w:r>
      <w:r w:rsidR="00B52772">
        <w:t>February 2014</w:t>
      </w:r>
      <w:r w:rsidRPr="00C9782D">
        <w:t xml:space="preserve">. Searches were conducted via </w:t>
      </w:r>
      <w:r w:rsidR="00B52772">
        <w:t xml:space="preserve">Medline via Ovid Medline, Clinical Registers and HTA websites (Table </w:t>
      </w:r>
      <w:r w:rsidR="00A81AF5">
        <w:t>4</w:t>
      </w:r>
      <w:r w:rsidR="00B52772">
        <w:t>).</w:t>
      </w:r>
    </w:p>
    <w:p w:rsidR="00B52772" w:rsidRPr="00B52772" w:rsidRDefault="00B52772" w:rsidP="003E5E41">
      <w:pPr>
        <w:pStyle w:val="TableName"/>
      </w:pPr>
      <w:bookmarkStart w:id="61" w:name="_Toc386112673"/>
      <w:r w:rsidRPr="00B52772">
        <w:lastRenderedPageBreak/>
        <w:t xml:space="preserve">Table </w:t>
      </w:r>
      <w:r w:rsidR="00A81AF5">
        <w:t>4:</w:t>
      </w:r>
      <w:r w:rsidRPr="00B52772">
        <w:t xml:space="preserve"> Electronic databases searched</w:t>
      </w:r>
      <w:bookmarkEnd w:id="61"/>
    </w:p>
    <w:tbl>
      <w:tblPr>
        <w:tblW w:w="44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4 Electronic databases searched"/>
      </w:tblPr>
      <w:tblGrid>
        <w:gridCol w:w="6378"/>
        <w:gridCol w:w="1841"/>
      </w:tblGrid>
      <w:tr w:rsidR="0088274C" w:rsidRPr="00C9782D" w:rsidTr="00192A3B">
        <w:trPr>
          <w:tblHeader/>
        </w:trPr>
        <w:tc>
          <w:tcPr>
            <w:tcW w:w="3880" w:type="pct"/>
          </w:tcPr>
          <w:p w:rsidR="0088274C" w:rsidRPr="00C9782D" w:rsidRDefault="0088274C" w:rsidP="00F402B7">
            <w:pPr>
              <w:pStyle w:val="TableHeading"/>
            </w:pPr>
            <w:r w:rsidRPr="00C9782D">
              <w:t>Database</w:t>
            </w:r>
          </w:p>
        </w:tc>
        <w:tc>
          <w:tcPr>
            <w:tcW w:w="1120" w:type="pct"/>
          </w:tcPr>
          <w:p w:rsidR="0088274C" w:rsidRPr="00C9782D" w:rsidRDefault="0088274C" w:rsidP="00F402B7">
            <w:pPr>
              <w:pStyle w:val="TableHeading"/>
            </w:pPr>
            <w:r>
              <w:t>Date searched</w:t>
            </w:r>
          </w:p>
        </w:tc>
      </w:tr>
      <w:tr w:rsidR="0088274C" w:rsidRPr="00C9782D" w:rsidTr="00192A3B">
        <w:trPr>
          <w:tblHeader/>
        </w:trPr>
        <w:tc>
          <w:tcPr>
            <w:tcW w:w="3880" w:type="pct"/>
          </w:tcPr>
          <w:p w:rsidR="0088274C" w:rsidRPr="00C9782D" w:rsidRDefault="0088274C" w:rsidP="00F402B7">
            <w:pPr>
              <w:pStyle w:val="TableText"/>
            </w:pPr>
            <w:r>
              <w:t>MEDLINE via OVID MEDLINE</w:t>
            </w:r>
          </w:p>
        </w:tc>
        <w:tc>
          <w:tcPr>
            <w:tcW w:w="1120" w:type="pct"/>
          </w:tcPr>
          <w:p w:rsidR="0088274C" w:rsidRDefault="0088274C" w:rsidP="00F402B7">
            <w:pPr>
              <w:pStyle w:val="TableText"/>
            </w:pPr>
            <w:r>
              <w:t>18</w:t>
            </w:r>
            <w:r w:rsidRPr="0088274C">
              <w:rPr>
                <w:vertAlign w:val="superscript"/>
              </w:rPr>
              <w:t>th</w:t>
            </w:r>
            <w:r>
              <w:t>-20</w:t>
            </w:r>
            <w:r w:rsidRPr="0088274C">
              <w:rPr>
                <w:vertAlign w:val="superscript"/>
              </w:rPr>
              <w:t>th</w:t>
            </w:r>
            <w:r>
              <w:t xml:space="preserve"> February 2014</w:t>
            </w:r>
          </w:p>
        </w:tc>
      </w:tr>
      <w:tr w:rsidR="0088274C" w:rsidRPr="00C9782D" w:rsidTr="00192A3B">
        <w:trPr>
          <w:tblHeader/>
        </w:trPr>
        <w:tc>
          <w:tcPr>
            <w:tcW w:w="3880" w:type="pct"/>
          </w:tcPr>
          <w:p w:rsidR="0088274C" w:rsidRDefault="0088274C" w:rsidP="00F402B7">
            <w:pPr>
              <w:pStyle w:val="TableText"/>
            </w:pPr>
            <w:r>
              <w:t>The Cochrane Library</w:t>
            </w:r>
          </w:p>
          <w:p w:rsidR="0088274C" w:rsidRDefault="0088274C" w:rsidP="00534D10">
            <w:pPr>
              <w:pStyle w:val="TableText"/>
              <w:numPr>
                <w:ilvl w:val="0"/>
                <w:numId w:val="11"/>
              </w:numPr>
            </w:pPr>
            <w:r>
              <w:t>NHS-EED</w:t>
            </w:r>
          </w:p>
          <w:p w:rsidR="0088274C" w:rsidRDefault="0088274C" w:rsidP="00534D10">
            <w:pPr>
              <w:pStyle w:val="TableText"/>
              <w:numPr>
                <w:ilvl w:val="0"/>
                <w:numId w:val="11"/>
              </w:numPr>
            </w:pPr>
            <w:r>
              <w:t>Cochrane Reviews</w:t>
            </w:r>
          </w:p>
          <w:p w:rsidR="0088274C" w:rsidRDefault="0088274C" w:rsidP="00534D10">
            <w:pPr>
              <w:pStyle w:val="TableText"/>
              <w:numPr>
                <w:ilvl w:val="0"/>
                <w:numId w:val="11"/>
              </w:numPr>
            </w:pPr>
            <w:r>
              <w:t>DARE</w:t>
            </w:r>
          </w:p>
          <w:p w:rsidR="0088274C" w:rsidRPr="00C9782D" w:rsidRDefault="0088274C" w:rsidP="00534D10">
            <w:pPr>
              <w:pStyle w:val="TableText"/>
              <w:numPr>
                <w:ilvl w:val="0"/>
                <w:numId w:val="11"/>
              </w:numPr>
            </w:pPr>
            <w:r>
              <w:t>HTA</w:t>
            </w:r>
          </w:p>
        </w:tc>
        <w:tc>
          <w:tcPr>
            <w:tcW w:w="1120" w:type="pct"/>
          </w:tcPr>
          <w:p w:rsidR="0088274C" w:rsidRDefault="0088274C" w:rsidP="00F402B7">
            <w:pPr>
              <w:pStyle w:val="TableText"/>
            </w:pPr>
            <w:r>
              <w:t>18</w:t>
            </w:r>
            <w:r w:rsidRPr="0088274C">
              <w:rPr>
                <w:vertAlign w:val="superscript"/>
              </w:rPr>
              <w:t>th</w:t>
            </w:r>
            <w:r>
              <w:t>-20</w:t>
            </w:r>
            <w:r w:rsidRPr="0088274C">
              <w:rPr>
                <w:vertAlign w:val="superscript"/>
              </w:rPr>
              <w:t>th</w:t>
            </w:r>
            <w:r>
              <w:t xml:space="preserve"> February 2014</w:t>
            </w:r>
          </w:p>
        </w:tc>
      </w:tr>
      <w:tr w:rsidR="0088274C" w:rsidRPr="00C9782D" w:rsidTr="00192A3B">
        <w:trPr>
          <w:tblHeader/>
        </w:trPr>
        <w:tc>
          <w:tcPr>
            <w:tcW w:w="3880" w:type="pct"/>
            <w:shd w:val="clear" w:color="auto" w:fill="auto"/>
          </w:tcPr>
          <w:p w:rsidR="0088274C" w:rsidRPr="00A81AF5" w:rsidRDefault="0088274C" w:rsidP="00F402B7">
            <w:pPr>
              <w:pStyle w:val="TableText"/>
            </w:pPr>
            <w:r w:rsidRPr="00A81AF5">
              <w:t>Clinical Registers</w:t>
            </w:r>
          </w:p>
          <w:p w:rsidR="0088274C" w:rsidRPr="00A81AF5" w:rsidRDefault="0088274C" w:rsidP="00534D10">
            <w:pPr>
              <w:pStyle w:val="TableText"/>
              <w:numPr>
                <w:ilvl w:val="0"/>
                <w:numId w:val="12"/>
              </w:numPr>
            </w:pPr>
            <w:r w:rsidRPr="00A81AF5">
              <w:t xml:space="preserve">Current Controlled Trials </w:t>
            </w:r>
            <w:hyperlink r:id="rId36" w:tooltip="This link goes to controlled trials register" w:history="1">
              <w:r w:rsidRPr="00A81AF5">
                <w:rPr>
                  <w:rStyle w:val="Hyperlink"/>
                </w:rPr>
                <w:t>www.controlled-trials.com</w:t>
              </w:r>
            </w:hyperlink>
          </w:p>
          <w:p w:rsidR="0088274C" w:rsidRPr="00A81AF5" w:rsidRDefault="0088274C" w:rsidP="00534D10">
            <w:pPr>
              <w:pStyle w:val="TableText"/>
              <w:numPr>
                <w:ilvl w:val="0"/>
                <w:numId w:val="12"/>
              </w:numPr>
            </w:pPr>
            <w:r w:rsidRPr="00A81AF5">
              <w:t xml:space="preserve">ControlledTrials.gov </w:t>
            </w:r>
            <w:hyperlink r:id="rId37" w:tooltip="This link goes to the clinical trials register" w:history="1">
              <w:r w:rsidRPr="00A81AF5">
                <w:rPr>
                  <w:rStyle w:val="Hyperlink"/>
                </w:rPr>
                <w:t>www.clinicaltrials.gov</w:t>
              </w:r>
            </w:hyperlink>
          </w:p>
          <w:p w:rsidR="0088274C" w:rsidRPr="00A81AF5" w:rsidRDefault="0088274C" w:rsidP="00534D10">
            <w:pPr>
              <w:pStyle w:val="TableText"/>
              <w:numPr>
                <w:ilvl w:val="0"/>
                <w:numId w:val="12"/>
              </w:numPr>
            </w:pPr>
            <w:r w:rsidRPr="00A81AF5">
              <w:t xml:space="preserve">Australian New Zealand Clinical Trials Registry </w:t>
            </w:r>
            <w:hyperlink r:id="rId38" w:tooltip="This link goes to the Aust and NZ Clinical Trials Register" w:history="1">
              <w:r w:rsidRPr="00A81AF5">
                <w:rPr>
                  <w:rStyle w:val="Hyperlink"/>
                </w:rPr>
                <w:t>www.anzctr.org.au</w:t>
              </w:r>
            </w:hyperlink>
          </w:p>
          <w:p w:rsidR="0088274C" w:rsidRPr="00A81AF5" w:rsidRDefault="0088274C" w:rsidP="00534D10">
            <w:pPr>
              <w:pStyle w:val="TableText"/>
              <w:numPr>
                <w:ilvl w:val="0"/>
                <w:numId w:val="12"/>
              </w:numPr>
            </w:pPr>
            <w:r w:rsidRPr="00A81AF5">
              <w:t xml:space="preserve">WHO International Clinical Trials Registry Platform </w:t>
            </w:r>
            <w:hyperlink r:id="rId39" w:tooltip="This link goes to the WHO international register" w:history="1">
              <w:r w:rsidRPr="00A81AF5">
                <w:rPr>
                  <w:rStyle w:val="Hyperlink"/>
                </w:rPr>
                <w:t>http://apps.who.int/trialsearch</w:t>
              </w:r>
            </w:hyperlink>
          </w:p>
        </w:tc>
        <w:tc>
          <w:tcPr>
            <w:tcW w:w="1120" w:type="pct"/>
          </w:tcPr>
          <w:p w:rsidR="0088274C" w:rsidRPr="00A81AF5" w:rsidRDefault="00B808EA" w:rsidP="00B808EA">
            <w:pPr>
              <w:pStyle w:val="TableText"/>
            </w:pPr>
            <w:r>
              <w:t>25</w:t>
            </w:r>
            <w:r w:rsidRPr="00B808EA">
              <w:rPr>
                <w:vertAlign w:val="superscript"/>
              </w:rPr>
              <w:t>th</w:t>
            </w:r>
            <w:r>
              <w:t xml:space="preserve"> </w:t>
            </w:r>
            <w:r w:rsidR="0088274C">
              <w:t>February 2014</w:t>
            </w:r>
          </w:p>
        </w:tc>
      </w:tr>
      <w:tr w:rsidR="0088274C" w:rsidRPr="00C9782D" w:rsidTr="00192A3B">
        <w:trPr>
          <w:tblHeader/>
        </w:trPr>
        <w:tc>
          <w:tcPr>
            <w:tcW w:w="3880" w:type="pct"/>
          </w:tcPr>
          <w:p w:rsidR="0088274C" w:rsidRDefault="0088274C" w:rsidP="00F402B7">
            <w:pPr>
              <w:pStyle w:val="TableText"/>
            </w:pPr>
            <w:r>
              <w:t>HTA websites</w:t>
            </w:r>
          </w:p>
          <w:p w:rsidR="0088274C" w:rsidRDefault="0088274C" w:rsidP="00534D10">
            <w:pPr>
              <w:pStyle w:val="TableText"/>
              <w:numPr>
                <w:ilvl w:val="0"/>
                <w:numId w:val="13"/>
              </w:numPr>
            </w:pPr>
            <w:r>
              <w:t>International Network of Agencies for Health Technology Assessment (INAHTA)</w:t>
            </w:r>
          </w:p>
          <w:p w:rsidR="0088274C" w:rsidRDefault="0049135A" w:rsidP="00F402B7">
            <w:pPr>
              <w:pStyle w:val="TableText"/>
              <w:ind w:left="720"/>
            </w:pPr>
            <w:hyperlink r:id="rId40" w:tooltip="This link goes to INAHTA" w:history="1">
              <w:r w:rsidR="0088274C" w:rsidRPr="00D56A48">
                <w:rPr>
                  <w:rStyle w:val="Hyperlink"/>
                </w:rPr>
                <w:t>http://www.inahta.org/</w:t>
              </w:r>
            </w:hyperlink>
            <w:r w:rsidR="0088274C">
              <w:t xml:space="preserve"> </w:t>
            </w:r>
          </w:p>
          <w:p w:rsidR="0088274C" w:rsidRDefault="0088274C" w:rsidP="00534D10">
            <w:pPr>
              <w:pStyle w:val="TableText"/>
              <w:numPr>
                <w:ilvl w:val="0"/>
                <w:numId w:val="13"/>
              </w:numPr>
            </w:pPr>
            <w:r>
              <w:t xml:space="preserve">NHS Centre for Reviews and Dissemination databases </w:t>
            </w:r>
            <w:hyperlink r:id="rId41" w:tooltip="This link goes to NHS Centre for Reviews and Dissemination databases " w:history="1">
              <w:r w:rsidRPr="00A81AF5">
                <w:rPr>
                  <w:rStyle w:val="Hyperlink"/>
                </w:rPr>
                <w:t>http://www.crd.york.ac.uk/CRDWeb/</w:t>
              </w:r>
            </w:hyperlink>
            <w:r>
              <w:t xml:space="preserve"> </w:t>
            </w:r>
          </w:p>
        </w:tc>
        <w:tc>
          <w:tcPr>
            <w:tcW w:w="1120" w:type="pct"/>
          </w:tcPr>
          <w:p w:rsidR="0088274C" w:rsidRDefault="00B808EA" w:rsidP="00B808EA">
            <w:pPr>
              <w:pStyle w:val="TableText"/>
            </w:pPr>
            <w:r>
              <w:t>25</w:t>
            </w:r>
            <w:r w:rsidRPr="00B808EA">
              <w:rPr>
                <w:vertAlign w:val="superscript"/>
              </w:rPr>
              <w:t>th</w:t>
            </w:r>
            <w:r>
              <w:t xml:space="preserve"> </w:t>
            </w:r>
            <w:r w:rsidR="0088274C">
              <w:t>February 2014</w:t>
            </w:r>
          </w:p>
        </w:tc>
      </w:tr>
    </w:tbl>
    <w:p w:rsidR="00B52772" w:rsidRDefault="00B52772" w:rsidP="001C3A68"/>
    <w:p w:rsidR="001C3A68" w:rsidRDefault="00B52772" w:rsidP="001C3A68">
      <w:r>
        <w:t xml:space="preserve">The search terms used were extensive and are different according to the </w:t>
      </w:r>
      <w:r w:rsidR="00262142">
        <w:t>four</w:t>
      </w:r>
      <w:r w:rsidR="00DE47EE">
        <w:t xml:space="preserve"> searches</w:t>
      </w:r>
      <w:r w:rsidR="001C3A68" w:rsidRPr="00C9782D">
        <w:t>.</w:t>
      </w:r>
      <w:r>
        <w:t xml:space="preserve"> Full details are provided in Appendix</w:t>
      </w:r>
      <w:r w:rsidR="00A81AF5">
        <w:t xml:space="preserve"> A</w:t>
      </w:r>
      <w:r>
        <w:t>.</w:t>
      </w:r>
    </w:p>
    <w:p w:rsidR="00B52772" w:rsidRPr="00C9782D" w:rsidRDefault="00B52772" w:rsidP="001C3A68">
      <w:r>
        <w:t xml:space="preserve">Reference lists of the selected studies were also </w:t>
      </w:r>
      <w:r w:rsidR="00DE47EE">
        <w:t>manually searched</w:t>
      </w:r>
      <w:r>
        <w:t xml:space="preserve"> for any studies that may have been overl</w:t>
      </w:r>
      <w:r w:rsidR="00C42E26">
        <w:t xml:space="preserve">ooked in the initial searches. </w:t>
      </w:r>
      <w:r>
        <w:t xml:space="preserve">Title and abstracts were screened by two evaluators for potential relevance and omitted where appropriate.  Of those remaining, full text articles were retrieved and examined in more depth.  Further omissions were made </w:t>
      </w:r>
      <w:r w:rsidR="00706759">
        <w:t xml:space="preserve">at this second screening </w:t>
      </w:r>
      <w:r>
        <w:t xml:space="preserve">with reasons documented </w:t>
      </w:r>
      <w:r w:rsidR="00706759">
        <w:t xml:space="preserve">(see Appendix </w:t>
      </w:r>
      <w:r w:rsidR="00A81AF5">
        <w:t>B</w:t>
      </w:r>
      <w:r w:rsidR="00706759">
        <w:t xml:space="preserve">). Table </w:t>
      </w:r>
      <w:r w:rsidR="00A81AF5">
        <w:t>5</w:t>
      </w:r>
      <w:r w:rsidR="00706759">
        <w:t xml:space="preserve"> provides the </w:t>
      </w:r>
      <w:r>
        <w:t>inclusion and exclusion criteria</w:t>
      </w:r>
      <w:r w:rsidR="00706759">
        <w:t xml:space="preserve"> for the assessment and in particular they address </w:t>
      </w:r>
      <w:r w:rsidR="00DE47EE">
        <w:t>Search 3, covering the core question in this assessment</w:t>
      </w:r>
      <w:r w:rsidR="00706759">
        <w:t xml:space="preserve">. </w:t>
      </w:r>
      <w:r>
        <w:t xml:space="preserve"> </w:t>
      </w:r>
    </w:p>
    <w:p w:rsidR="00A158A3" w:rsidRDefault="00A158A3" w:rsidP="00B52772">
      <w:pPr>
        <w:pStyle w:val="Heading4"/>
        <w:ind w:left="0"/>
        <w:sectPr w:rsidR="00A158A3" w:rsidSect="006F2CFC">
          <w:type w:val="continuous"/>
          <w:pgSz w:w="11909" w:h="16834" w:code="9"/>
          <w:pgMar w:top="1440" w:right="1440" w:bottom="1440" w:left="1440" w:header="709" w:footer="709" w:gutter="0"/>
          <w:cols w:space="720"/>
        </w:sectPr>
      </w:pPr>
    </w:p>
    <w:p w:rsidR="00F25DCB" w:rsidRPr="00C9782D" w:rsidRDefault="00330EB8" w:rsidP="00C33B0E">
      <w:pPr>
        <w:pStyle w:val="Heading4"/>
      </w:pPr>
      <w:r w:rsidRPr="00C9782D">
        <w:lastRenderedPageBreak/>
        <w:t>Selection</w:t>
      </w:r>
      <w:r w:rsidR="00F25DCB" w:rsidRPr="00C9782D">
        <w:t xml:space="preserve"> criteria</w:t>
      </w:r>
    </w:p>
    <w:p w:rsidR="002F44D3" w:rsidRPr="00B808EA" w:rsidRDefault="000B115E" w:rsidP="00B808EA">
      <w:pPr>
        <w:pStyle w:val="TableName"/>
      </w:pPr>
      <w:bookmarkStart w:id="62" w:name="_Toc386112674"/>
      <w:r w:rsidRPr="00B808EA">
        <w:t>Table</w:t>
      </w:r>
      <w:r w:rsidR="00A81AF5" w:rsidRPr="00B808EA">
        <w:t xml:space="preserve"> 5:</w:t>
      </w:r>
      <w:r w:rsidRPr="00B808EA">
        <w:t xml:space="preserve"> </w:t>
      </w:r>
      <w:r w:rsidR="002F44D3" w:rsidRPr="00B808EA">
        <w:t>Selection criteria for included studies</w:t>
      </w:r>
      <w:bookmarkEnd w:id="62"/>
      <w:r w:rsidR="002F44D3" w:rsidRPr="00B808EA">
        <w:t xml:space="preserve"> </w:t>
      </w:r>
    </w:p>
    <w:tbl>
      <w:tblPr>
        <w:tblW w:w="500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5 Selection criteria for included studies"/>
      </w:tblPr>
      <w:tblGrid>
        <w:gridCol w:w="1516"/>
        <w:gridCol w:w="3881"/>
        <w:gridCol w:w="3848"/>
      </w:tblGrid>
      <w:tr w:rsidR="000B115E" w:rsidRPr="00130E5B" w:rsidTr="00F402B7">
        <w:trPr>
          <w:tblHeader/>
        </w:trPr>
        <w:tc>
          <w:tcPr>
            <w:tcW w:w="820" w:type="pct"/>
          </w:tcPr>
          <w:p w:rsidR="000B115E" w:rsidRPr="00130E5B" w:rsidRDefault="000B115E" w:rsidP="00A90D09">
            <w:pPr>
              <w:pStyle w:val="TableText"/>
              <w:rPr>
                <w:b/>
                <w:lang w:val="en-US"/>
              </w:rPr>
            </w:pPr>
            <w:r w:rsidRPr="00130E5B">
              <w:rPr>
                <w:b/>
              </w:rPr>
              <w:t xml:space="preserve">Selection criteria </w:t>
            </w:r>
          </w:p>
        </w:tc>
        <w:tc>
          <w:tcPr>
            <w:tcW w:w="2099" w:type="pct"/>
          </w:tcPr>
          <w:p w:rsidR="000B115E" w:rsidRPr="00130E5B" w:rsidRDefault="000B115E" w:rsidP="00A90D09">
            <w:pPr>
              <w:pStyle w:val="TableText"/>
              <w:rPr>
                <w:b/>
                <w:lang w:val="en-US"/>
              </w:rPr>
            </w:pPr>
            <w:r w:rsidRPr="00130E5B">
              <w:rPr>
                <w:b/>
                <w:lang w:val="en-US"/>
              </w:rPr>
              <w:t>Included</w:t>
            </w:r>
          </w:p>
        </w:tc>
        <w:tc>
          <w:tcPr>
            <w:tcW w:w="2081" w:type="pct"/>
          </w:tcPr>
          <w:p w:rsidR="000B115E" w:rsidRPr="00130E5B" w:rsidRDefault="000B115E" w:rsidP="00A90D09">
            <w:pPr>
              <w:pStyle w:val="TableText"/>
              <w:rPr>
                <w:b/>
                <w:lang w:val="en-US"/>
              </w:rPr>
            </w:pPr>
            <w:r w:rsidRPr="00130E5B">
              <w:rPr>
                <w:b/>
                <w:lang w:val="en-US"/>
              </w:rPr>
              <w:t>Excluded</w:t>
            </w:r>
          </w:p>
        </w:tc>
      </w:tr>
      <w:tr w:rsidR="000B115E" w:rsidRPr="004D57B3" w:rsidTr="00F402B7">
        <w:trPr>
          <w:tblHeader/>
        </w:trPr>
        <w:tc>
          <w:tcPr>
            <w:tcW w:w="820" w:type="pct"/>
          </w:tcPr>
          <w:p w:rsidR="000B115E" w:rsidRPr="004D57B3" w:rsidRDefault="000B115E" w:rsidP="00A90D09">
            <w:pPr>
              <w:pStyle w:val="TableText"/>
            </w:pPr>
            <w:r w:rsidRPr="004D57B3">
              <w:t>Publication type</w:t>
            </w:r>
          </w:p>
        </w:tc>
        <w:tc>
          <w:tcPr>
            <w:tcW w:w="2099" w:type="pct"/>
          </w:tcPr>
          <w:p w:rsidR="000B115E" w:rsidRDefault="000B115E" w:rsidP="00A90D09">
            <w:pPr>
              <w:pStyle w:val="TableText"/>
            </w:pPr>
            <w:r>
              <w:t>Comparative c</w:t>
            </w:r>
            <w:r w:rsidRPr="004D57B3">
              <w:t xml:space="preserve">linical studies </w:t>
            </w:r>
            <w:r>
              <w:t>and systematic reviews of comparative studies</w:t>
            </w:r>
            <w:r w:rsidRPr="004D57B3">
              <w:t xml:space="preserve">. </w:t>
            </w:r>
          </w:p>
          <w:p w:rsidR="00262142" w:rsidRPr="004D57B3" w:rsidRDefault="00262142" w:rsidP="00A90D09">
            <w:pPr>
              <w:pStyle w:val="TableText"/>
            </w:pPr>
            <w:r>
              <w:t>Economic evaluation studies.</w:t>
            </w:r>
          </w:p>
          <w:p w:rsidR="000B115E" w:rsidRDefault="000B115E" w:rsidP="00A90D09">
            <w:pPr>
              <w:pStyle w:val="TableText"/>
              <w:rPr>
                <w:lang w:val="en-US"/>
              </w:rPr>
            </w:pPr>
          </w:p>
          <w:p w:rsidR="000B115E" w:rsidRPr="004D57B3" w:rsidRDefault="000B115E" w:rsidP="00A90D09">
            <w:pPr>
              <w:pStyle w:val="TableText"/>
              <w:rPr>
                <w:rFonts w:cs="Arial"/>
                <w:lang w:val="en-US"/>
              </w:rPr>
            </w:pPr>
          </w:p>
          <w:p w:rsidR="000B115E" w:rsidRPr="004D57B3" w:rsidRDefault="000B115E" w:rsidP="00A90D09">
            <w:pPr>
              <w:pStyle w:val="TableText"/>
              <w:rPr>
                <w:rFonts w:cs="Arial"/>
                <w:lang w:val="en-US"/>
              </w:rPr>
            </w:pPr>
          </w:p>
        </w:tc>
        <w:tc>
          <w:tcPr>
            <w:tcW w:w="2081" w:type="pct"/>
          </w:tcPr>
          <w:p w:rsidR="000B115E" w:rsidRDefault="000B115E" w:rsidP="00534D10">
            <w:pPr>
              <w:pStyle w:val="TableText"/>
              <w:numPr>
                <w:ilvl w:val="0"/>
                <w:numId w:val="15"/>
              </w:numPr>
              <w:rPr>
                <w:lang w:val="en-US"/>
              </w:rPr>
            </w:pPr>
            <w:r w:rsidRPr="004D57B3">
              <w:t>Non-systematic reviews, letters, editorials, animal, in-vitro, laboratory studies, conference abstracts</w:t>
            </w:r>
            <w:r>
              <w:t>, pilot studies</w:t>
            </w:r>
            <w:r w:rsidRPr="004D57B3">
              <w:t xml:space="preserve"> and technical reports excluded.</w:t>
            </w:r>
            <w:r w:rsidRPr="004D57B3">
              <w:rPr>
                <w:lang w:val="en-US"/>
              </w:rPr>
              <w:t xml:space="preserve"> </w:t>
            </w:r>
          </w:p>
          <w:p w:rsidR="000B115E" w:rsidRPr="00A94B63" w:rsidRDefault="000B115E" w:rsidP="00534D10">
            <w:pPr>
              <w:pStyle w:val="TableText"/>
              <w:numPr>
                <w:ilvl w:val="0"/>
                <w:numId w:val="15"/>
              </w:numPr>
              <w:rPr>
                <w:lang w:val="en-US"/>
              </w:rPr>
            </w:pPr>
            <w:r>
              <w:rPr>
                <w:lang w:val="en-US"/>
              </w:rPr>
              <w:t>Clinical studies or s</w:t>
            </w:r>
            <w:r w:rsidRPr="004D57B3">
              <w:rPr>
                <w:lang w:val="en-US"/>
              </w:rPr>
              <w:t xml:space="preserve">ystematic reviews that have been </w:t>
            </w:r>
            <w:r w:rsidRPr="004D57B3">
              <w:t>superseded</w:t>
            </w:r>
            <w:r w:rsidR="00706759">
              <w:t xml:space="preserve"> by later follow-ups</w:t>
            </w:r>
            <w:r>
              <w:rPr>
                <w:lang w:val="en-US"/>
              </w:rPr>
              <w:t>. Clinical studies that are within a systematic review selected for this review.</w:t>
            </w:r>
          </w:p>
        </w:tc>
      </w:tr>
      <w:tr w:rsidR="000B115E" w:rsidRPr="004D57B3" w:rsidTr="00F402B7">
        <w:trPr>
          <w:tblHeader/>
        </w:trPr>
        <w:tc>
          <w:tcPr>
            <w:tcW w:w="820" w:type="pct"/>
          </w:tcPr>
          <w:p w:rsidR="000B115E" w:rsidRPr="004D57B3" w:rsidRDefault="000B115E" w:rsidP="00A90D09">
            <w:pPr>
              <w:pStyle w:val="TableText"/>
            </w:pPr>
            <w:r w:rsidRPr="004D57B3">
              <w:t xml:space="preserve">Patients </w:t>
            </w:r>
          </w:p>
        </w:tc>
        <w:tc>
          <w:tcPr>
            <w:tcW w:w="2099" w:type="pct"/>
          </w:tcPr>
          <w:p w:rsidR="000B115E" w:rsidRPr="004D57B3" w:rsidRDefault="000B115E" w:rsidP="00A90D09">
            <w:pPr>
              <w:pStyle w:val="TableText"/>
              <w:spacing w:after="0"/>
              <w:rPr>
                <w:rFonts w:cs="Arial"/>
                <w:lang w:val="en-US"/>
              </w:rPr>
            </w:pPr>
            <w:r>
              <w:rPr>
                <w:rFonts w:cs="Arial"/>
                <w:lang w:val="en-US"/>
              </w:rPr>
              <w:t>Studies with p</w:t>
            </w:r>
            <w:r w:rsidRPr="004D57B3">
              <w:rPr>
                <w:rFonts w:cs="Arial"/>
                <w:lang w:val="en-US"/>
              </w:rPr>
              <w:t xml:space="preserve">atients with </w:t>
            </w:r>
            <w:r w:rsidR="00706759" w:rsidRPr="00706759">
              <w:rPr>
                <w:rFonts w:cs="Arial"/>
                <w:u w:val="single"/>
                <w:lang w:val="en-US"/>
              </w:rPr>
              <w:t xml:space="preserve">early stage </w:t>
            </w:r>
            <w:r w:rsidRPr="00706759">
              <w:rPr>
                <w:rFonts w:cs="Arial"/>
                <w:u w:val="single"/>
                <w:lang w:val="en-US"/>
              </w:rPr>
              <w:t>breast</w:t>
            </w:r>
            <w:r>
              <w:rPr>
                <w:rFonts w:cs="Arial"/>
                <w:u w:val="single"/>
                <w:lang w:val="en-US"/>
              </w:rPr>
              <w:t xml:space="preserve"> cancer</w:t>
            </w:r>
            <w:r w:rsidRPr="004D57B3">
              <w:rPr>
                <w:rFonts w:cs="Arial"/>
                <w:lang w:val="en-US"/>
              </w:rPr>
              <w:t>:</w:t>
            </w:r>
          </w:p>
          <w:p w:rsidR="000B115E" w:rsidRPr="004D57B3" w:rsidRDefault="000B115E" w:rsidP="00534D10">
            <w:pPr>
              <w:pStyle w:val="TableText"/>
              <w:numPr>
                <w:ilvl w:val="0"/>
                <w:numId w:val="9"/>
              </w:numPr>
              <w:spacing w:before="0" w:after="0"/>
              <w:rPr>
                <w:rFonts w:cs="Arial"/>
                <w:lang w:val="en-US"/>
              </w:rPr>
            </w:pPr>
            <w:r>
              <w:rPr>
                <w:rFonts w:cs="Arial"/>
                <w:lang w:val="en-US"/>
              </w:rPr>
              <w:t>including patients who are post-menopausal</w:t>
            </w:r>
          </w:p>
          <w:p w:rsidR="000B115E" w:rsidRDefault="000B115E" w:rsidP="00534D10">
            <w:pPr>
              <w:pStyle w:val="TableText"/>
              <w:numPr>
                <w:ilvl w:val="0"/>
                <w:numId w:val="9"/>
              </w:numPr>
              <w:spacing w:before="0"/>
              <w:rPr>
                <w:rFonts w:cs="Arial"/>
                <w:lang w:val="en-US"/>
              </w:rPr>
            </w:pPr>
            <w:r>
              <w:rPr>
                <w:rFonts w:cs="Arial"/>
                <w:lang w:val="en-US"/>
              </w:rPr>
              <w:t>including patients previously treated with tamoxifen</w:t>
            </w:r>
          </w:p>
          <w:p w:rsidR="000B115E" w:rsidRDefault="00DE47EE" w:rsidP="00A90D09">
            <w:pPr>
              <w:pStyle w:val="TableText"/>
              <w:rPr>
                <w:rFonts w:cs="Arial"/>
                <w:lang w:val="en-US"/>
              </w:rPr>
            </w:pPr>
            <w:r w:rsidRPr="00DE47EE">
              <w:rPr>
                <w:rFonts w:cs="Arial"/>
                <w:b/>
                <w:lang w:val="en-US"/>
              </w:rPr>
              <w:t>and</w:t>
            </w:r>
            <w:r w:rsidR="000B115E">
              <w:rPr>
                <w:rFonts w:cs="Arial"/>
                <w:lang w:val="en-US"/>
              </w:rPr>
              <w:t xml:space="preserve"> on (or considered for) aromatase inhibitors</w:t>
            </w:r>
          </w:p>
          <w:p w:rsidR="000B115E" w:rsidRDefault="000B115E" w:rsidP="00A90D09">
            <w:pPr>
              <w:pStyle w:val="TableText"/>
              <w:rPr>
                <w:rFonts w:cs="Arial"/>
                <w:lang w:val="en-US"/>
              </w:rPr>
            </w:pPr>
          </w:p>
          <w:p w:rsidR="000B115E" w:rsidRPr="00797D2C" w:rsidRDefault="000B115E" w:rsidP="00A90D09">
            <w:pPr>
              <w:pStyle w:val="TableText"/>
              <w:rPr>
                <w:rFonts w:cs="Arial"/>
                <w:lang w:val="en-US"/>
              </w:rPr>
            </w:pPr>
          </w:p>
        </w:tc>
        <w:tc>
          <w:tcPr>
            <w:tcW w:w="2081" w:type="pct"/>
          </w:tcPr>
          <w:p w:rsidR="000B115E" w:rsidRDefault="000B115E" w:rsidP="00534D10">
            <w:pPr>
              <w:pStyle w:val="TableText"/>
              <w:numPr>
                <w:ilvl w:val="0"/>
                <w:numId w:val="16"/>
              </w:numPr>
              <w:rPr>
                <w:rFonts w:cs="Arial"/>
                <w:lang w:val="en-US"/>
              </w:rPr>
            </w:pPr>
            <w:r>
              <w:rPr>
                <w:rFonts w:cs="Arial"/>
                <w:lang w:val="en-US"/>
              </w:rPr>
              <w:t>Patients with mean age 70 years or over</w:t>
            </w:r>
          </w:p>
          <w:p w:rsidR="000B115E" w:rsidRDefault="000B115E" w:rsidP="00534D10">
            <w:pPr>
              <w:pStyle w:val="TableText"/>
              <w:numPr>
                <w:ilvl w:val="0"/>
                <w:numId w:val="16"/>
              </w:numPr>
              <w:rPr>
                <w:rFonts w:cs="Arial"/>
                <w:lang w:val="en-US"/>
              </w:rPr>
            </w:pPr>
            <w:r>
              <w:rPr>
                <w:rFonts w:cs="Arial"/>
                <w:lang w:val="en-US"/>
              </w:rPr>
              <w:t>Patients with a previous minimal trauma fracture</w:t>
            </w:r>
          </w:p>
          <w:p w:rsidR="000B115E" w:rsidRDefault="000B115E" w:rsidP="00534D10">
            <w:pPr>
              <w:pStyle w:val="TableText"/>
              <w:numPr>
                <w:ilvl w:val="0"/>
                <w:numId w:val="16"/>
              </w:numPr>
              <w:rPr>
                <w:rFonts w:cs="Arial"/>
                <w:lang w:val="en-US"/>
              </w:rPr>
            </w:pPr>
            <w:r>
              <w:rPr>
                <w:rFonts w:cs="Arial"/>
                <w:lang w:val="en-US"/>
              </w:rPr>
              <w:t xml:space="preserve">Patients that </w:t>
            </w:r>
            <w:r w:rsidR="00E11AE0">
              <w:rPr>
                <w:rFonts w:cs="Arial"/>
                <w:lang w:val="en-US"/>
              </w:rPr>
              <w:t>are</w:t>
            </w:r>
            <w:r>
              <w:rPr>
                <w:rFonts w:cs="Arial"/>
                <w:lang w:val="en-US"/>
              </w:rPr>
              <w:t xml:space="preserve"> eligible for </w:t>
            </w:r>
            <w:r w:rsidR="00E11AE0">
              <w:rPr>
                <w:rFonts w:cs="Arial"/>
                <w:lang w:val="en-US"/>
              </w:rPr>
              <w:t xml:space="preserve">current </w:t>
            </w:r>
            <w:r>
              <w:rPr>
                <w:rFonts w:cs="Arial"/>
                <w:lang w:val="en-US"/>
              </w:rPr>
              <w:t>MBS items for DXA scanning (e.g., women who have undergone premature menopause, bone metastases and breast cancer).</w:t>
            </w:r>
          </w:p>
          <w:p w:rsidR="000B115E" w:rsidRDefault="007A119D" w:rsidP="00534D10">
            <w:pPr>
              <w:pStyle w:val="TableText"/>
              <w:numPr>
                <w:ilvl w:val="0"/>
                <w:numId w:val="16"/>
              </w:numPr>
              <w:rPr>
                <w:rFonts w:cs="Arial"/>
                <w:lang w:val="en-US"/>
              </w:rPr>
            </w:pPr>
            <w:r>
              <w:rPr>
                <w:rFonts w:cs="Arial"/>
                <w:lang w:val="en-US"/>
              </w:rPr>
              <w:t>Pre-menopaus</w:t>
            </w:r>
            <w:r w:rsidR="000B115E">
              <w:rPr>
                <w:rFonts w:cs="Arial"/>
                <w:lang w:val="en-US"/>
              </w:rPr>
              <w:t xml:space="preserve">al women with breast cancer not previously treated with Tamoxifen. </w:t>
            </w:r>
          </w:p>
          <w:p w:rsidR="00E11AE0" w:rsidRPr="00797D2C" w:rsidRDefault="00E11AE0" w:rsidP="00534D10">
            <w:pPr>
              <w:pStyle w:val="TableText"/>
              <w:numPr>
                <w:ilvl w:val="0"/>
                <w:numId w:val="16"/>
              </w:numPr>
              <w:rPr>
                <w:rFonts w:cs="Arial"/>
                <w:lang w:val="en-US"/>
              </w:rPr>
            </w:pPr>
            <w:r>
              <w:rPr>
                <w:rFonts w:cs="Arial"/>
                <w:lang w:val="en-US"/>
              </w:rPr>
              <w:t>Women with metastatic breast cancer</w:t>
            </w:r>
          </w:p>
        </w:tc>
      </w:tr>
      <w:tr w:rsidR="000B115E" w:rsidRPr="004D57B3" w:rsidTr="00F402B7">
        <w:trPr>
          <w:tblHeader/>
        </w:trPr>
        <w:tc>
          <w:tcPr>
            <w:tcW w:w="820" w:type="pct"/>
          </w:tcPr>
          <w:p w:rsidR="000B115E" w:rsidRPr="004D57B3" w:rsidRDefault="000B115E" w:rsidP="00A90D09">
            <w:pPr>
              <w:pStyle w:val="TableText"/>
            </w:pPr>
            <w:r w:rsidRPr="004D57B3">
              <w:t>Intervention/test</w:t>
            </w:r>
          </w:p>
        </w:tc>
        <w:tc>
          <w:tcPr>
            <w:tcW w:w="2099" w:type="pct"/>
          </w:tcPr>
          <w:p w:rsidR="000B115E" w:rsidRDefault="000B115E" w:rsidP="00A90D09">
            <w:pPr>
              <w:pStyle w:val="TableText"/>
              <w:rPr>
                <w:szCs w:val="18"/>
              </w:rPr>
            </w:pPr>
            <w:r>
              <w:rPr>
                <w:szCs w:val="18"/>
              </w:rPr>
              <w:t xml:space="preserve">DXA scan </w:t>
            </w:r>
            <w:r w:rsidR="00DE47EE" w:rsidRPr="00DE47EE">
              <w:rPr>
                <w:b/>
                <w:szCs w:val="18"/>
              </w:rPr>
              <w:t>and</w:t>
            </w:r>
            <w:r>
              <w:rPr>
                <w:szCs w:val="18"/>
              </w:rPr>
              <w:t xml:space="preserve"> BMD management (anti-resorptive therapy) for T-score ≤ -2.5.</w:t>
            </w:r>
          </w:p>
          <w:p w:rsidR="000B115E" w:rsidRDefault="000B115E" w:rsidP="00A90D09">
            <w:pPr>
              <w:pStyle w:val="TableText"/>
              <w:rPr>
                <w:szCs w:val="18"/>
              </w:rPr>
            </w:pPr>
            <w:r>
              <w:rPr>
                <w:szCs w:val="18"/>
              </w:rPr>
              <w:t>Anti-resorptive therapies could include those not currently listed on the PBS</w:t>
            </w:r>
          </w:p>
          <w:p w:rsidR="000B115E" w:rsidRPr="004D57B3" w:rsidRDefault="000B115E" w:rsidP="00A90D09">
            <w:pPr>
              <w:pStyle w:val="TableText"/>
              <w:rPr>
                <w:szCs w:val="18"/>
              </w:rPr>
            </w:pPr>
            <w:r>
              <w:rPr>
                <w:szCs w:val="18"/>
              </w:rPr>
              <w:t>Studies that assessed optimal frequency of DXA scanning.</w:t>
            </w:r>
          </w:p>
        </w:tc>
        <w:tc>
          <w:tcPr>
            <w:tcW w:w="2081" w:type="pct"/>
          </w:tcPr>
          <w:p w:rsidR="000B115E" w:rsidRDefault="000B115E" w:rsidP="00A90D09">
            <w:pPr>
              <w:pStyle w:val="TableText"/>
              <w:rPr>
                <w:szCs w:val="18"/>
              </w:rPr>
            </w:pPr>
            <w:r>
              <w:rPr>
                <w:szCs w:val="18"/>
              </w:rPr>
              <w:t>Studies that did not include DXA as one test to determine anti-resorptive therapy.</w:t>
            </w:r>
          </w:p>
          <w:p w:rsidR="000B115E" w:rsidRDefault="000B115E" w:rsidP="00A90D09">
            <w:pPr>
              <w:pStyle w:val="TableText"/>
              <w:rPr>
                <w:szCs w:val="18"/>
              </w:rPr>
            </w:pPr>
          </w:p>
        </w:tc>
      </w:tr>
      <w:tr w:rsidR="000B115E" w:rsidRPr="004D57B3" w:rsidTr="00F402B7">
        <w:trPr>
          <w:tblHeader/>
        </w:trPr>
        <w:tc>
          <w:tcPr>
            <w:tcW w:w="820" w:type="pct"/>
          </w:tcPr>
          <w:p w:rsidR="000B115E" w:rsidRPr="004D57B3" w:rsidRDefault="000B115E" w:rsidP="00A90D09">
            <w:pPr>
              <w:pStyle w:val="TableText"/>
            </w:pPr>
            <w:r w:rsidRPr="004D57B3">
              <w:t>Comparator</w:t>
            </w:r>
            <w:r>
              <w:t>s</w:t>
            </w:r>
            <w:r w:rsidRPr="004D57B3">
              <w:t xml:space="preserve"> </w:t>
            </w:r>
          </w:p>
        </w:tc>
        <w:tc>
          <w:tcPr>
            <w:tcW w:w="2099" w:type="pct"/>
          </w:tcPr>
          <w:p w:rsidR="000B115E" w:rsidRDefault="000B115E" w:rsidP="00A90D09">
            <w:pPr>
              <w:pStyle w:val="TableText"/>
              <w:rPr>
                <w:szCs w:val="18"/>
              </w:rPr>
            </w:pPr>
            <w:r>
              <w:rPr>
                <w:szCs w:val="18"/>
              </w:rPr>
              <w:t>Comparators had to be either:</w:t>
            </w:r>
          </w:p>
          <w:p w:rsidR="000B115E" w:rsidRDefault="000B115E" w:rsidP="00A90D09">
            <w:pPr>
              <w:pStyle w:val="TableText"/>
              <w:rPr>
                <w:szCs w:val="18"/>
              </w:rPr>
            </w:pPr>
            <w:r>
              <w:rPr>
                <w:szCs w:val="18"/>
              </w:rPr>
              <w:t xml:space="preserve">Other clinical assessment </w:t>
            </w:r>
            <w:r w:rsidR="001E6AD7">
              <w:rPr>
                <w:szCs w:val="18"/>
              </w:rPr>
              <w:t>of</w:t>
            </w:r>
            <w:r>
              <w:rPr>
                <w:szCs w:val="18"/>
              </w:rPr>
              <w:t xml:space="preserve"> fracture risk – could include clinical fracture risk tools, vitamin D tests </w:t>
            </w:r>
          </w:p>
          <w:p w:rsidR="000B115E" w:rsidRDefault="000B115E" w:rsidP="00A90D09">
            <w:pPr>
              <w:pStyle w:val="TableText"/>
              <w:rPr>
                <w:szCs w:val="18"/>
              </w:rPr>
            </w:pPr>
            <w:r>
              <w:rPr>
                <w:szCs w:val="18"/>
              </w:rPr>
              <w:t>with</w:t>
            </w:r>
          </w:p>
          <w:p w:rsidR="000B115E" w:rsidRPr="004D57B3" w:rsidRDefault="000B115E" w:rsidP="00A90D09">
            <w:pPr>
              <w:pStyle w:val="TableText"/>
              <w:rPr>
                <w:szCs w:val="18"/>
              </w:rPr>
            </w:pPr>
            <w:r>
              <w:rPr>
                <w:szCs w:val="18"/>
              </w:rPr>
              <w:t xml:space="preserve">Lifestyle and dietary advice </w:t>
            </w:r>
          </w:p>
        </w:tc>
        <w:tc>
          <w:tcPr>
            <w:tcW w:w="2081" w:type="pct"/>
          </w:tcPr>
          <w:p w:rsidR="000B115E" w:rsidRDefault="000B115E" w:rsidP="00A90D09">
            <w:pPr>
              <w:pStyle w:val="TableText"/>
              <w:rPr>
                <w:szCs w:val="18"/>
              </w:rPr>
            </w:pPr>
            <w:r>
              <w:rPr>
                <w:szCs w:val="18"/>
              </w:rPr>
              <w:t xml:space="preserve">Studies comparing DXA with </w:t>
            </w:r>
            <w:r w:rsidR="00706759">
              <w:rPr>
                <w:szCs w:val="18"/>
              </w:rPr>
              <w:t>quantitative computer tomography or ultrasound</w:t>
            </w:r>
          </w:p>
          <w:p w:rsidR="000B115E" w:rsidRDefault="000B115E" w:rsidP="00A90D09">
            <w:pPr>
              <w:pStyle w:val="TableText"/>
              <w:rPr>
                <w:szCs w:val="18"/>
              </w:rPr>
            </w:pPr>
          </w:p>
          <w:p w:rsidR="000B115E" w:rsidRPr="004D57B3" w:rsidRDefault="000B115E" w:rsidP="00A90D09">
            <w:pPr>
              <w:pStyle w:val="TableText"/>
              <w:rPr>
                <w:szCs w:val="18"/>
              </w:rPr>
            </w:pPr>
          </w:p>
        </w:tc>
      </w:tr>
      <w:tr w:rsidR="000B115E" w:rsidRPr="004D57B3" w:rsidTr="00F402B7">
        <w:trPr>
          <w:tblHeader/>
        </w:trPr>
        <w:tc>
          <w:tcPr>
            <w:tcW w:w="820" w:type="pct"/>
          </w:tcPr>
          <w:p w:rsidR="000B115E" w:rsidRPr="004D57B3" w:rsidRDefault="000B115E" w:rsidP="00A90D09">
            <w:pPr>
              <w:pStyle w:val="TableText"/>
            </w:pPr>
            <w:r w:rsidRPr="004D57B3">
              <w:t>Outcome</w:t>
            </w:r>
          </w:p>
        </w:tc>
        <w:tc>
          <w:tcPr>
            <w:tcW w:w="2099" w:type="pct"/>
          </w:tcPr>
          <w:p w:rsidR="000B115E" w:rsidRDefault="000B115E" w:rsidP="00A90D09">
            <w:pPr>
              <w:pStyle w:val="TableText"/>
            </w:pPr>
            <w:r w:rsidRPr="004D57B3">
              <w:t xml:space="preserve">Studies </w:t>
            </w:r>
            <w:r>
              <w:t>included if</w:t>
            </w:r>
            <w:r w:rsidRPr="004D57B3">
              <w:t xml:space="preserve"> at least one of the following outcomes</w:t>
            </w:r>
            <w:r>
              <w:t xml:space="preserve"> were reported</w:t>
            </w:r>
            <w:r w:rsidRPr="004D57B3">
              <w:t>:</w:t>
            </w:r>
          </w:p>
          <w:p w:rsidR="000B115E" w:rsidRDefault="000B115E" w:rsidP="00534D10">
            <w:pPr>
              <w:pStyle w:val="TableText"/>
              <w:numPr>
                <w:ilvl w:val="0"/>
                <w:numId w:val="10"/>
              </w:numPr>
            </w:pPr>
            <w:r>
              <w:t>Incidence of minimal trauma fracture</w:t>
            </w:r>
          </w:p>
          <w:p w:rsidR="000B115E" w:rsidRDefault="000B115E" w:rsidP="00534D10">
            <w:pPr>
              <w:pStyle w:val="TableText"/>
              <w:numPr>
                <w:ilvl w:val="0"/>
                <w:numId w:val="10"/>
              </w:numPr>
            </w:pPr>
            <w:r>
              <w:t>Incidence of all fractures</w:t>
            </w:r>
          </w:p>
          <w:p w:rsidR="000B115E" w:rsidRDefault="000B115E" w:rsidP="00534D10">
            <w:pPr>
              <w:pStyle w:val="TableText"/>
              <w:numPr>
                <w:ilvl w:val="0"/>
                <w:numId w:val="10"/>
              </w:numPr>
            </w:pPr>
            <w:r>
              <w:t>Health related quality of life</w:t>
            </w:r>
          </w:p>
          <w:p w:rsidR="000B115E" w:rsidRDefault="000B115E" w:rsidP="00534D10">
            <w:pPr>
              <w:pStyle w:val="TableText"/>
              <w:numPr>
                <w:ilvl w:val="0"/>
                <w:numId w:val="10"/>
              </w:numPr>
              <w:rPr>
                <w:szCs w:val="18"/>
              </w:rPr>
            </w:pPr>
            <w:r>
              <w:rPr>
                <w:szCs w:val="18"/>
              </w:rPr>
              <w:t>Change in morbidity/mortality</w:t>
            </w:r>
          </w:p>
          <w:p w:rsidR="000B115E" w:rsidRDefault="000B115E" w:rsidP="00534D10">
            <w:pPr>
              <w:pStyle w:val="TableText"/>
              <w:numPr>
                <w:ilvl w:val="0"/>
                <w:numId w:val="10"/>
              </w:numPr>
              <w:rPr>
                <w:szCs w:val="18"/>
              </w:rPr>
            </w:pPr>
            <w:r>
              <w:rPr>
                <w:szCs w:val="18"/>
              </w:rPr>
              <w:t>BMD T-score or Z-score</w:t>
            </w:r>
          </w:p>
          <w:p w:rsidR="000B115E" w:rsidRDefault="000B115E" w:rsidP="00534D10">
            <w:pPr>
              <w:pStyle w:val="TableText"/>
              <w:numPr>
                <w:ilvl w:val="0"/>
                <w:numId w:val="10"/>
              </w:numPr>
              <w:rPr>
                <w:szCs w:val="18"/>
              </w:rPr>
            </w:pPr>
            <w:r>
              <w:rPr>
                <w:szCs w:val="18"/>
              </w:rPr>
              <w:t>Adverse event relating to DXA scanning</w:t>
            </w:r>
          </w:p>
          <w:p w:rsidR="000B115E" w:rsidRDefault="000B115E" w:rsidP="00534D10">
            <w:pPr>
              <w:pStyle w:val="TableText"/>
              <w:numPr>
                <w:ilvl w:val="0"/>
                <w:numId w:val="10"/>
              </w:numPr>
              <w:rPr>
                <w:szCs w:val="18"/>
              </w:rPr>
            </w:pPr>
            <w:r>
              <w:rPr>
                <w:szCs w:val="18"/>
              </w:rPr>
              <w:t>Adverse events relating to anti-resorptive therapy</w:t>
            </w:r>
          </w:p>
          <w:p w:rsidR="000B115E" w:rsidRPr="004D57B3" w:rsidRDefault="000B115E" w:rsidP="00534D10">
            <w:pPr>
              <w:pStyle w:val="TableText"/>
              <w:numPr>
                <w:ilvl w:val="0"/>
                <w:numId w:val="10"/>
              </w:numPr>
              <w:rPr>
                <w:szCs w:val="18"/>
              </w:rPr>
            </w:pPr>
            <w:r>
              <w:rPr>
                <w:szCs w:val="18"/>
              </w:rPr>
              <w:t>Adverse event arising from exposure to ionising radiation (DXA scan)</w:t>
            </w:r>
          </w:p>
        </w:tc>
        <w:tc>
          <w:tcPr>
            <w:tcW w:w="2081" w:type="pct"/>
          </w:tcPr>
          <w:p w:rsidR="000B115E" w:rsidRPr="004D57B3" w:rsidRDefault="009350FD" w:rsidP="007261B3">
            <w:pPr>
              <w:pStyle w:val="TableText"/>
            </w:pPr>
            <w:r>
              <w:t>-</w:t>
            </w:r>
          </w:p>
        </w:tc>
      </w:tr>
      <w:tr w:rsidR="000B115E" w:rsidRPr="004D57B3" w:rsidTr="00F402B7">
        <w:trPr>
          <w:tblHeader/>
        </w:trPr>
        <w:tc>
          <w:tcPr>
            <w:tcW w:w="820" w:type="pct"/>
          </w:tcPr>
          <w:p w:rsidR="000B115E" w:rsidRPr="004D57B3" w:rsidRDefault="000B115E" w:rsidP="00A90D09">
            <w:pPr>
              <w:pStyle w:val="TableText"/>
              <w:rPr>
                <w:lang w:val="en-US"/>
              </w:rPr>
            </w:pPr>
            <w:r w:rsidRPr="004D57B3">
              <w:rPr>
                <w:lang w:val="en-US"/>
              </w:rPr>
              <w:t>Language</w:t>
            </w:r>
          </w:p>
        </w:tc>
        <w:tc>
          <w:tcPr>
            <w:tcW w:w="2099" w:type="pct"/>
          </w:tcPr>
          <w:p w:rsidR="000B115E" w:rsidRPr="004D57B3" w:rsidRDefault="000B115E" w:rsidP="00A90D09">
            <w:pPr>
              <w:pStyle w:val="TableText"/>
            </w:pPr>
            <w:r>
              <w:t>English language articles</w:t>
            </w:r>
          </w:p>
        </w:tc>
        <w:tc>
          <w:tcPr>
            <w:tcW w:w="2081" w:type="pct"/>
          </w:tcPr>
          <w:p w:rsidR="000B115E" w:rsidRPr="004D57B3" w:rsidRDefault="000B115E" w:rsidP="00A90D09">
            <w:pPr>
              <w:pStyle w:val="TableText"/>
            </w:pPr>
            <w:r w:rsidRPr="004D57B3">
              <w:t xml:space="preserve">Non-English language articles </w:t>
            </w:r>
          </w:p>
        </w:tc>
      </w:tr>
    </w:tbl>
    <w:p w:rsidR="000B115E" w:rsidRPr="00C9782D" w:rsidRDefault="00F402B7" w:rsidP="00F402B7">
      <w:pPr>
        <w:pStyle w:val="TableText"/>
        <w:ind w:left="567"/>
      </w:pPr>
      <w:r>
        <w:t xml:space="preserve">BMD = bone mineral density, </w:t>
      </w:r>
      <w:r w:rsidR="00706759">
        <w:t>DXA = dual energy X-ray absorptiometry</w:t>
      </w:r>
      <w:r w:rsidR="00C42E26">
        <w:t>, PBS = Pharmaceutical Benefits Schedule</w:t>
      </w:r>
      <w:r w:rsidR="00706759">
        <w:t xml:space="preserve"> </w:t>
      </w:r>
    </w:p>
    <w:p w:rsidR="007A4DD5" w:rsidRPr="00C9782D" w:rsidRDefault="007A4DD5" w:rsidP="002F44D3"/>
    <w:p w:rsidR="00495B32" w:rsidRPr="00C9782D" w:rsidRDefault="00495B32" w:rsidP="00C33B0E">
      <w:pPr>
        <w:pStyle w:val="Heading4"/>
      </w:pPr>
      <w:r w:rsidRPr="00C9782D">
        <w:t>Search results</w:t>
      </w:r>
    </w:p>
    <w:p w:rsidR="00514D47" w:rsidRDefault="00514D47" w:rsidP="00514D47">
      <w:bookmarkStart w:id="63" w:name="_Toc188861182"/>
      <w:r w:rsidRPr="00514D47">
        <w:t xml:space="preserve">The results of the </w:t>
      </w:r>
      <w:r w:rsidR="00262142">
        <w:t>four</w:t>
      </w:r>
      <w:r w:rsidR="00BA4261">
        <w:t xml:space="preserve"> </w:t>
      </w:r>
      <w:r w:rsidRPr="00514D47">
        <w:t xml:space="preserve">searches are provided in Table </w:t>
      </w:r>
      <w:r w:rsidR="00A81AF5">
        <w:t>6</w:t>
      </w:r>
      <w:r w:rsidRPr="00514D47">
        <w:t>.</w:t>
      </w:r>
    </w:p>
    <w:p w:rsidR="00514D47" w:rsidRDefault="00514D47" w:rsidP="00514D47"/>
    <w:p w:rsidR="007A4DD5" w:rsidRPr="00B808EA" w:rsidRDefault="00514D47" w:rsidP="00B808EA">
      <w:pPr>
        <w:pStyle w:val="TableName"/>
        <w:ind w:hanging="447"/>
      </w:pPr>
      <w:bookmarkStart w:id="64" w:name="_Toc386112675"/>
      <w:r w:rsidRPr="00B808EA">
        <w:lastRenderedPageBreak/>
        <w:t xml:space="preserve">Table </w:t>
      </w:r>
      <w:r w:rsidR="00A81AF5" w:rsidRPr="00B808EA">
        <w:t>6</w:t>
      </w:r>
      <w:r w:rsidRPr="00B808EA">
        <w:t>: Overall search results</w:t>
      </w:r>
      <w:bookmarkEnd w:id="63"/>
      <w:bookmarkEnd w:id="64"/>
    </w:p>
    <w:tbl>
      <w:tblPr>
        <w:tblStyle w:val="TableGrid"/>
        <w:tblW w:w="8135" w:type="dxa"/>
        <w:tblInd w:w="1134" w:type="dxa"/>
        <w:tblLook w:val="04A0" w:firstRow="1" w:lastRow="0" w:firstColumn="1" w:lastColumn="0" w:noHBand="0" w:noVBand="1"/>
        <w:tblCaption w:val="Table 6 Overall search results"/>
      </w:tblPr>
      <w:tblGrid>
        <w:gridCol w:w="1787"/>
        <w:gridCol w:w="1508"/>
        <w:gridCol w:w="1649"/>
        <w:gridCol w:w="1607"/>
        <w:gridCol w:w="1584"/>
      </w:tblGrid>
      <w:tr w:rsidR="00262142" w:rsidTr="00364571">
        <w:trPr>
          <w:trHeight w:val="540"/>
          <w:tblHeader/>
        </w:trPr>
        <w:tc>
          <w:tcPr>
            <w:tcW w:w="1787" w:type="dxa"/>
          </w:tcPr>
          <w:p w:rsidR="00262142" w:rsidRDefault="00262142" w:rsidP="00514D47">
            <w:pPr>
              <w:pStyle w:val="TableText"/>
              <w:spacing w:after="0"/>
            </w:pPr>
          </w:p>
          <w:p w:rsidR="00262142" w:rsidRPr="00BA4261" w:rsidRDefault="00262142" w:rsidP="00514D47">
            <w:pPr>
              <w:pStyle w:val="TableText"/>
              <w:spacing w:after="0"/>
              <w:rPr>
                <w:b/>
              </w:rPr>
            </w:pPr>
            <w:r w:rsidRPr="00BA4261">
              <w:rPr>
                <w:b/>
              </w:rPr>
              <w:t>Database</w:t>
            </w:r>
          </w:p>
        </w:tc>
        <w:tc>
          <w:tcPr>
            <w:tcW w:w="1508" w:type="dxa"/>
          </w:tcPr>
          <w:p w:rsidR="00262142" w:rsidRDefault="00262142" w:rsidP="00514D47">
            <w:pPr>
              <w:pStyle w:val="TableText"/>
              <w:spacing w:after="0"/>
              <w:rPr>
                <w:b/>
              </w:rPr>
            </w:pPr>
            <w:r>
              <w:rPr>
                <w:b/>
              </w:rPr>
              <w:t>Search</w:t>
            </w:r>
            <w:r w:rsidRPr="00E10441">
              <w:rPr>
                <w:b/>
              </w:rPr>
              <w:t xml:space="preserve"> 1</w:t>
            </w:r>
            <w:r>
              <w:rPr>
                <w:b/>
              </w:rPr>
              <w:t xml:space="preserve"> </w:t>
            </w:r>
          </w:p>
          <w:p w:rsidR="00262142" w:rsidRPr="00E10441" w:rsidRDefault="00262142" w:rsidP="00514D47">
            <w:pPr>
              <w:pStyle w:val="TableText"/>
              <w:spacing w:after="0"/>
              <w:rPr>
                <w:b/>
              </w:rPr>
            </w:pPr>
            <w:r>
              <w:rPr>
                <w:b/>
              </w:rPr>
              <w:t>– fracture risk</w:t>
            </w:r>
          </w:p>
        </w:tc>
        <w:tc>
          <w:tcPr>
            <w:tcW w:w="1649" w:type="dxa"/>
          </w:tcPr>
          <w:p w:rsidR="00262142" w:rsidRDefault="00262142" w:rsidP="00514D47">
            <w:pPr>
              <w:pStyle w:val="TableText"/>
              <w:spacing w:after="0"/>
              <w:rPr>
                <w:b/>
              </w:rPr>
            </w:pPr>
            <w:r>
              <w:rPr>
                <w:b/>
              </w:rPr>
              <w:t>Search</w:t>
            </w:r>
            <w:r w:rsidRPr="00E10441">
              <w:rPr>
                <w:b/>
              </w:rPr>
              <w:t xml:space="preserve"> 2</w:t>
            </w:r>
            <w:r>
              <w:rPr>
                <w:b/>
              </w:rPr>
              <w:t xml:space="preserve"> </w:t>
            </w:r>
          </w:p>
          <w:p w:rsidR="00262142" w:rsidRPr="00E10441" w:rsidRDefault="00262142" w:rsidP="00514D47">
            <w:pPr>
              <w:pStyle w:val="TableText"/>
              <w:spacing w:after="0"/>
              <w:rPr>
                <w:b/>
              </w:rPr>
            </w:pPr>
            <w:r>
              <w:rPr>
                <w:b/>
              </w:rPr>
              <w:t xml:space="preserve">– role of DXA </w:t>
            </w:r>
          </w:p>
        </w:tc>
        <w:tc>
          <w:tcPr>
            <w:tcW w:w="1607" w:type="dxa"/>
          </w:tcPr>
          <w:p w:rsidR="00262142" w:rsidRDefault="00262142" w:rsidP="00514D47">
            <w:pPr>
              <w:pStyle w:val="TableText"/>
              <w:spacing w:after="0"/>
              <w:rPr>
                <w:b/>
              </w:rPr>
            </w:pPr>
            <w:r>
              <w:rPr>
                <w:b/>
              </w:rPr>
              <w:t>Search</w:t>
            </w:r>
            <w:r w:rsidRPr="00E10441">
              <w:rPr>
                <w:b/>
              </w:rPr>
              <w:t xml:space="preserve"> 3</w:t>
            </w:r>
            <w:r>
              <w:rPr>
                <w:b/>
              </w:rPr>
              <w:t xml:space="preserve"> </w:t>
            </w:r>
          </w:p>
          <w:p w:rsidR="00262142" w:rsidRPr="00E10441" w:rsidRDefault="00262142" w:rsidP="00514D47">
            <w:pPr>
              <w:pStyle w:val="TableText"/>
              <w:spacing w:after="0"/>
              <w:rPr>
                <w:b/>
              </w:rPr>
            </w:pPr>
            <w:r>
              <w:rPr>
                <w:b/>
              </w:rPr>
              <w:t>– anti-resorptives</w:t>
            </w:r>
          </w:p>
        </w:tc>
        <w:tc>
          <w:tcPr>
            <w:tcW w:w="1584" w:type="dxa"/>
          </w:tcPr>
          <w:p w:rsidR="00262142" w:rsidRDefault="00262142" w:rsidP="00514D47">
            <w:pPr>
              <w:pStyle w:val="TableText"/>
              <w:spacing w:after="0"/>
              <w:rPr>
                <w:b/>
              </w:rPr>
            </w:pPr>
            <w:r>
              <w:rPr>
                <w:b/>
              </w:rPr>
              <w:t xml:space="preserve">Search 4 </w:t>
            </w:r>
          </w:p>
          <w:p w:rsidR="00262142" w:rsidRDefault="00262142" w:rsidP="00762F84">
            <w:pPr>
              <w:pStyle w:val="TableText"/>
              <w:spacing w:after="0"/>
              <w:rPr>
                <w:b/>
              </w:rPr>
            </w:pPr>
            <w:r>
              <w:rPr>
                <w:b/>
              </w:rPr>
              <w:t>– cost-effects</w:t>
            </w:r>
          </w:p>
        </w:tc>
      </w:tr>
      <w:tr w:rsidR="00262142" w:rsidTr="00364571">
        <w:trPr>
          <w:trHeight w:val="278"/>
        </w:trPr>
        <w:tc>
          <w:tcPr>
            <w:tcW w:w="1787" w:type="dxa"/>
          </w:tcPr>
          <w:p w:rsidR="00262142" w:rsidRDefault="00262142" w:rsidP="00514D47">
            <w:pPr>
              <w:pStyle w:val="TableText"/>
              <w:spacing w:after="0"/>
            </w:pPr>
            <w:r>
              <w:t>MEDLINE (Ovid SP)</w:t>
            </w:r>
          </w:p>
        </w:tc>
        <w:tc>
          <w:tcPr>
            <w:tcW w:w="1508" w:type="dxa"/>
          </w:tcPr>
          <w:p w:rsidR="00262142" w:rsidRDefault="00262142" w:rsidP="00514D47">
            <w:pPr>
              <w:pStyle w:val="TableText"/>
              <w:spacing w:after="0"/>
            </w:pPr>
            <w:r>
              <w:t>88</w:t>
            </w:r>
          </w:p>
        </w:tc>
        <w:tc>
          <w:tcPr>
            <w:tcW w:w="1649" w:type="dxa"/>
          </w:tcPr>
          <w:p w:rsidR="00262142" w:rsidRDefault="00262142" w:rsidP="00514D47">
            <w:pPr>
              <w:pStyle w:val="TableText"/>
              <w:spacing w:after="0"/>
            </w:pPr>
            <w:r>
              <w:t>115</w:t>
            </w:r>
          </w:p>
        </w:tc>
        <w:tc>
          <w:tcPr>
            <w:tcW w:w="1607" w:type="dxa"/>
          </w:tcPr>
          <w:p w:rsidR="00262142" w:rsidRDefault="00262142" w:rsidP="00514D47">
            <w:pPr>
              <w:pStyle w:val="TableText"/>
              <w:spacing w:after="0"/>
            </w:pPr>
            <w:r>
              <w:t>599</w:t>
            </w:r>
          </w:p>
        </w:tc>
        <w:tc>
          <w:tcPr>
            <w:tcW w:w="1584" w:type="dxa"/>
          </w:tcPr>
          <w:p w:rsidR="00262142" w:rsidRDefault="00510D45" w:rsidP="00514D47">
            <w:pPr>
              <w:pStyle w:val="TableText"/>
              <w:spacing w:after="0"/>
            </w:pPr>
            <w:r>
              <w:t>25</w:t>
            </w:r>
          </w:p>
        </w:tc>
      </w:tr>
      <w:tr w:rsidR="00262142" w:rsidTr="00364571">
        <w:trPr>
          <w:trHeight w:val="281"/>
        </w:trPr>
        <w:tc>
          <w:tcPr>
            <w:tcW w:w="1787" w:type="dxa"/>
          </w:tcPr>
          <w:p w:rsidR="00262142" w:rsidRDefault="00262142" w:rsidP="00514D47">
            <w:pPr>
              <w:pStyle w:val="TableText"/>
              <w:spacing w:after="0"/>
            </w:pPr>
            <w:r>
              <w:t xml:space="preserve">The Cochrane Library </w:t>
            </w:r>
          </w:p>
        </w:tc>
        <w:tc>
          <w:tcPr>
            <w:tcW w:w="1508" w:type="dxa"/>
          </w:tcPr>
          <w:p w:rsidR="00262142" w:rsidRDefault="00262142" w:rsidP="00514D47">
            <w:pPr>
              <w:pStyle w:val="TableText"/>
              <w:spacing w:after="0"/>
            </w:pPr>
            <w:r>
              <w:t>116</w:t>
            </w:r>
          </w:p>
        </w:tc>
        <w:tc>
          <w:tcPr>
            <w:tcW w:w="1649" w:type="dxa"/>
          </w:tcPr>
          <w:p w:rsidR="00262142" w:rsidRDefault="00262142" w:rsidP="00514D47">
            <w:pPr>
              <w:pStyle w:val="TableText"/>
              <w:spacing w:after="0"/>
            </w:pPr>
            <w:r>
              <w:t>241</w:t>
            </w:r>
          </w:p>
        </w:tc>
        <w:tc>
          <w:tcPr>
            <w:tcW w:w="1607" w:type="dxa"/>
          </w:tcPr>
          <w:p w:rsidR="00262142" w:rsidRDefault="00262142" w:rsidP="00514D47">
            <w:pPr>
              <w:pStyle w:val="TableText"/>
              <w:spacing w:after="0"/>
            </w:pPr>
            <w:r>
              <w:t>111</w:t>
            </w:r>
          </w:p>
        </w:tc>
        <w:tc>
          <w:tcPr>
            <w:tcW w:w="1584" w:type="dxa"/>
          </w:tcPr>
          <w:p w:rsidR="00262142" w:rsidRDefault="00510D45" w:rsidP="00514D47">
            <w:pPr>
              <w:pStyle w:val="TableText"/>
              <w:spacing w:after="0"/>
            </w:pPr>
            <w:r>
              <w:t>13</w:t>
            </w:r>
          </w:p>
        </w:tc>
      </w:tr>
      <w:tr w:rsidR="00262142" w:rsidTr="00364571">
        <w:trPr>
          <w:trHeight w:val="271"/>
        </w:trPr>
        <w:tc>
          <w:tcPr>
            <w:tcW w:w="1787" w:type="dxa"/>
            <w:tcBorders>
              <w:bottom w:val="single" w:sz="18" w:space="0" w:color="auto"/>
            </w:tcBorders>
          </w:tcPr>
          <w:p w:rsidR="00262142" w:rsidRDefault="00262142" w:rsidP="00514D47">
            <w:pPr>
              <w:pStyle w:val="TableText"/>
              <w:spacing w:after="0"/>
            </w:pPr>
            <w:r w:rsidRPr="00784E93">
              <w:t>Centre for Reviews and Dissemination</w:t>
            </w:r>
          </w:p>
        </w:tc>
        <w:tc>
          <w:tcPr>
            <w:tcW w:w="1508" w:type="dxa"/>
            <w:tcBorders>
              <w:bottom w:val="single" w:sz="18" w:space="0" w:color="auto"/>
            </w:tcBorders>
          </w:tcPr>
          <w:p w:rsidR="00262142" w:rsidRDefault="00262142" w:rsidP="00514D47">
            <w:pPr>
              <w:pStyle w:val="TableText"/>
              <w:spacing w:after="0"/>
            </w:pPr>
            <w:r>
              <w:t>3</w:t>
            </w:r>
          </w:p>
        </w:tc>
        <w:tc>
          <w:tcPr>
            <w:tcW w:w="1649" w:type="dxa"/>
            <w:tcBorders>
              <w:bottom w:val="single" w:sz="18" w:space="0" w:color="auto"/>
            </w:tcBorders>
          </w:tcPr>
          <w:p w:rsidR="00262142" w:rsidRDefault="00262142" w:rsidP="00514D47">
            <w:pPr>
              <w:pStyle w:val="TableText"/>
              <w:spacing w:after="0"/>
            </w:pPr>
            <w:r>
              <w:t>13</w:t>
            </w:r>
          </w:p>
        </w:tc>
        <w:tc>
          <w:tcPr>
            <w:tcW w:w="1607" w:type="dxa"/>
            <w:tcBorders>
              <w:bottom w:val="single" w:sz="18" w:space="0" w:color="auto"/>
            </w:tcBorders>
          </w:tcPr>
          <w:p w:rsidR="00262142" w:rsidRDefault="00262142" w:rsidP="00514D47">
            <w:pPr>
              <w:pStyle w:val="TableText"/>
              <w:spacing w:after="0"/>
            </w:pPr>
            <w:r>
              <w:t>12</w:t>
            </w:r>
          </w:p>
        </w:tc>
        <w:tc>
          <w:tcPr>
            <w:tcW w:w="1584" w:type="dxa"/>
            <w:tcBorders>
              <w:bottom w:val="single" w:sz="18" w:space="0" w:color="auto"/>
            </w:tcBorders>
          </w:tcPr>
          <w:p w:rsidR="00262142" w:rsidRDefault="00510D45" w:rsidP="00514D47">
            <w:pPr>
              <w:pStyle w:val="TableText"/>
              <w:spacing w:after="0"/>
            </w:pPr>
            <w:r>
              <w:t>5</w:t>
            </w:r>
          </w:p>
        </w:tc>
      </w:tr>
      <w:tr w:rsidR="00262142" w:rsidTr="00364571">
        <w:trPr>
          <w:trHeight w:val="240"/>
        </w:trPr>
        <w:tc>
          <w:tcPr>
            <w:tcW w:w="1787" w:type="dxa"/>
            <w:tcBorders>
              <w:top w:val="single" w:sz="18" w:space="0" w:color="auto"/>
              <w:left w:val="single" w:sz="2" w:space="0" w:color="auto"/>
              <w:bottom w:val="single" w:sz="2" w:space="0" w:color="auto"/>
              <w:right w:val="single" w:sz="2" w:space="0" w:color="auto"/>
            </w:tcBorders>
          </w:tcPr>
          <w:p w:rsidR="00262142" w:rsidRDefault="00262142" w:rsidP="00364571">
            <w:pPr>
              <w:pStyle w:val="TableText"/>
              <w:spacing w:after="0"/>
            </w:pPr>
            <w:r>
              <w:t xml:space="preserve">Sub Total </w:t>
            </w:r>
          </w:p>
        </w:tc>
        <w:tc>
          <w:tcPr>
            <w:tcW w:w="1508" w:type="dxa"/>
            <w:tcBorders>
              <w:top w:val="single" w:sz="18" w:space="0" w:color="auto"/>
              <w:left w:val="single" w:sz="2" w:space="0" w:color="auto"/>
              <w:bottom w:val="single" w:sz="2" w:space="0" w:color="auto"/>
              <w:right w:val="single" w:sz="2" w:space="0" w:color="auto"/>
            </w:tcBorders>
          </w:tcPr>
          <w:p w:rsidR="00262142" w:rsidRDefault="00262142" w:rsidP="00514D47">
            <w:pPr>
              <w:pStyle w:val="TableText"/>
              <w:spacing w:after="0"/>
            </w:pPr>
            <w:r>
              <w:t>207</w:t>
            </w:r>
          </w:p>
        </w:tc>
        <w:tc>
          <w:tcPr>
            <w:tcW w:w="1649" w:type="dxa"/>
            <w:tcBorders>
              <w:top w:val="single" w:sz="18" w:space="0" w:color="auto"/>
              <w:left w:val="single" w:sz="2" w:space="0" w:color="auto"/>
              <w:bottom w:val="single" w:sz="2" w:space="0" w:color="auto"/>
              <w:right w:val="single" w:sz="2" w:space="0" w:color="auto"/>
            </w:tcBorders>
          </w:tcPr>
          <w:p w:rsidR="00262142" w:rsidRDefault="00262142" w:rsidP="00514D47">
            <w:pPr>
              <w:pStyle w:val="TableText"/>
              <w:spacing w:after="0"/>
            </w:pPr>
            <w:r>
              <w:t>369</w:t>
            </w:r>
          </w:p>
        </w:tc>
        <w:tc>
          <w:tcPr>
            <w:tcW w:w="1607" w:type="dxa"/>
            <w:tcBorders>
              <w:top w:val="single" w:sz="18" w:space="0" w:color="auto"/>
              <w:left w:val="single" w:sz="2" w:space="0" w:color="auto"/>
              <w:bottom w:val="single" w:sz="2" w:space="0" w:color="auto"/>
              <w:right w:val="single" w:sz="2" w:space="0" w:color="auto"/>
            </w:tcBorders>
          </w:tcPr>
          <w:p w:rsidR="00262142" w:rsidRDefault="00262142" w:rsidP="00514D47">
            <w:pPr>
              <w:pStyle w:val="TableText"/>
              <w:spacing w:after="0"/>
            </w:pPr>
            <w:r>
              <w:t>722</w:t>
            </w:r>
          </w:p>
        </w:tc>
        <w:tc>
          <w:tcPr>
            <w:tcW w:w="1584" w:type="dxa"/>
            <w:tcBorders>
              <w:top w:val="single" w:sz="18" w:space="0" w:color="auto"/>
              <w:left w:val="single" w:sz="2" w:space="0" w:color="auto"/>
              <w:bottom w:val="single" w:sz="2" w:space="0" w:color="auto"/>
              <w:right w:val="single" w:sz="2" w:space="0" w:color="auto"/>
            </w:tcBorders>
          </w:tcPr>
          <w:p w:rsidR="00262142" w:rsidRDefault="00510D45" w:rsidP="00514D47">
            <w:pPr>
              <w:pStyle w:val="TableText"/>
              <w:spacing w:after="0"/>
            </w:pPr>
            <w:r>
              <w:t>43</w:t>
            </w:r>
          </w:p>
        </w:tc>
      </w:tr>
      <w:tr w:rsidR="00262142" w:rsidTr="00364571">
        <w:trPr>
          <w:trHeight w:val="270"/>
        </w:trPr>
        <w:tc>
          <w:tcPr>
            <w:tcW w:w="1787" w:type="dxa"/>
            <w:tcBorders>
              <w:top w:val="single" w:sz="2" w:space="0" w:color="auto"/>
            </w:tcBorders>
          </w:tcPr>
          <w:p w:rsidR="00262142" w:rsidRDefault="00262142" w:rsidP="00364571">
            <w:pPr>
              <w:pStyle w:val="TableText"/>
              <w:spacing w:after="0"/>
            </w:pPr>
            <w:r>
              <w:t>Duplicates Removed</w:t>
            </w:r>
          </w:p>
        </w:tc>
        <w:tc>
          <w:tcPr>
            <w:tcW w:w="1508" w:type="dxa"/>
            <w:tcBorders>
              <w:top w:val="single" w:sz="2" w:space="0" w:color="auto"/>
            </w:tcBorders>
          </w:tcPr>
          <w:p w:rsidR="00262142" w:rsidRDefault="00262142" w:rsidP="00514D47">
            <w:pPr>
              <w:pStyle w:val="TableText"/>
              <w:spacing w:after="0"/>
            </w:pPr>
            <w:r>
              <w:t>55</w:t>
            </w:r>
          </w:p>
        </w:tc>
        <w:tc>
          <w:tcPr>
            <w:tcW w:w="1649" w:type="dxa"/>
            <w:tcBorders>
              <w:top w:val="single" w:sz="2" w:space="0" w:color="auto"/>
            </w:tcBorders>
          </w:tcPr>
          <w:p w:rsidR="00262142" w:rsidRDefault="00262142" w:rsidP="00514D47">
            <w:pPr>
              <w:pStyle w:val="TableText"/>
              <w:spacing w:after="0"/>
            </w:pPr>
            <w:r>
              <w:t>35</w:t>
            </w:r>
          </w:p>
        </w:tc>
        <w:tc>
          <w:tcPr>
            <w:tcW w:w="1607" w:type="dxa"/>
            <w:tcBorders>
              <w:top w:val="single" w:sz="2" w:space="0" w:color="auto"/>
            </w:tcBorders>
          </w:tcPr>
          <w:p w:rsidR="00262142" w:rsidRDefault="00262142" w:rsidP="00514D47">
            <w:pPr>
              <w:pStyle w:val="TableText"/>
              <w:spacing w:after="0"/>
            </w:pPr>
            <w:r>
              <w:t>80</w:t>
            </w:r>
          </w:p>
        </w:tc>
        <w:tc>
          <w:tcPr>
            <w:tcW w:w="1584" w:type="dxa"/>
            <w:tcBorders>
              <w:top w:val="single" w:sz="2" w:space="0" w:color="auto"/>
            </w:tcBorders>
          </w:tcPr>
          <w:p w:rsidR="00262142" w:rsidRDefault="00510D45" w:rsidP="00514D47">
            <w:pPr>
              <w:pStyle w:val="TableText"/>
              <w:spacing w:after="0"/>
            </w:pPr>
            <w:r>
              <w:t>7</w:t>
            </w:r>
          </w:p>
        </w:tc>
      </w:tr>
      <w:tr w:rsidR="00262142" w:rsidTr="00364571">
        <w:trPr>
          <w:trHeight w:val="282"/>
        </w:trPr>
        <w:tc>
          <w:tcPr>
            <w:tcW w:w="1787" w:type="dxa"/>
            <w:tcBorders>
              <w:bottom w:val="single" w:sz="18" w:space="0" w:color="auto"/>
            </w:tcBorders>
          </w:tcPr>
          <w:p w:rsidR="00262142" w:rsidRDefault="00262142" w:rsidP="00514D47">
            <w:pPr>
              <w:pStyle w:val="TableText"/>
              <w:spacing w:after="0"/>
            </w:pPr>
            <w:r>
              <w:t>Total</w:t>
            </w:r>
          </w:p>
        </w:tc>
        <w:tc>
          <w:tcPr>
            <w:tcW w:w="1508" w:type="dxa"/>
            <w:tcBorders>
              <w:bottom w:val="single" w:sz="18" w:space="0" w:color="auto"/>
            </w:tcBorders>
          </w:tcPr>
          <w:p w:rsidR="00262142" w:rsidRDefault="00262142" w:rsidP="00514D47">
            <w:pPr>
              <w:pStyle w:val="TableText"/>
              <w:spacing w:after="0"/>
            </w:pPr>
            <w:r>
              <w:t>152</w:t>
            </w:r>
          </w:p>
        </w:tc>
        <w:tc>
          <w:tcPr>
            <w:tcW w:w="1649" w:type="dxa"/>
            <w:tcBorders>
              <w:bottom w:val="single" w:sz="18" w:space="0" w:color="auto"/>
            </w:tcBorders>
          </w:tcPr>
          <w:p w:rsidR="00262142" w:rsidRDefault="00262142" w:rsidP="00514D47">
            <w:pPr>
              <w:pStyle w:val="TableText"/>
              <w:spacing w:after="0"/>
            </w:pPr>
            <w:r>
              <w:t>334</w:t>
            </w:r>
          </w:p>
        </w:tc>
        <w:tc>
          <w:tcPr>
            <w:tcW w:w="1607" w:type="dxa"/>
            <w:tcBorders>
              <w:bottom w:val="single" w:sz="18" w:space="0" w:color="auto"/>
            </w:tcBorders>
          </w:tcPr>
          <w:p w:rsidR="00262142" w:rsidRDefault="00262142" w:rsidP="00514D47">
            <w:pPr>
              <w:pStyle w:val="TableText"/>
              <w:spacing w:after="0"/>
            </w:pPr>
            <w:r>
              <w:t>642</w:t>
            </w:r>
          </w:p>
        </w:tc>
        <w:tc>
          <w:tcPr>
            <w:tcW w:w="1584" w:type="dxa"/>
            <w:tcBorders>
              <w:bottom w:val="single" w:sz="18" w:space="0" w:color="auto"/>
            </w:tcBorders>
          </w:tcPr>
          <w:p w:rsidR="00262142" w:rsidRDefault="00510D45" w:rsidP="00514D47">
            <w:pPr>
              <w:pStyle w:val="TableText"/>
              <w:spacing w:after="0"/>
            </w:pPr>
            <w:r>
              <w:t>36</w:t>
            </w:r>
          </w:p>
        </w:tc>
      </w:tr>
      <w:tr w:rsidR="00262142" w:rsidTr="00364571">
        <w:trPr>
          <w:trHeight w:val="540"/>
        </w:trPr>
        <w:tc>
          <w:tcPr>
            <w:tcW w:w="1787" w:type="dxa"/>
            <w:tcBorders>
              <w:top w:val="single" w:sz="18" w:space="0" w:color="auto"/>
              <w:left w:val="single" w:sz="2" w:space="0" w:color="auto"/>
              <w:bottom w:val="single" w:sz="2" w:space="0" w:color="auto"/>
              <w:right w:val="single" w:sz="2" w:space="0" w:color="auto"/>
            </w:tcBorders>
          </w:tcPr>
          <w:p w:rsidR="00262142" w:rsidRDefault="00262142" w:rsidP="00514D47">
            <w:pPr>
              <w:pStyle w:val="TableText"/>
            </w:pPr>
            <w:r>
              <w:t>1</w:t>
            </w:r>
            <w:r w:rsidRPr="00514D47">
              <w:rPr>
                <w:vertAlign w:val="superscript"/>
              </w:rPr>
              <w:t>st</w:t>
            </w:r>
            <w:r>
              <w:t xml:space="preserve"> Screen: </w:t>
            </w:r>
          </w:p>
          <w:p w:rsidR="00262142" w:rsidRDefault="00262142" w:rsidP="00514D47">
            <w:pPr>
              <w:pStyle w:val="TableText"/>
            </w:pPr>
            <w:r>
              <w:t>Excluded studies from title search:</w:t>
            </w:r>
          </w:p>
        </w:tc>
        <w:tc>
          <w:tcPr>
            <w:tcW w:w="1508" w:type="dxa"/>
            <w:tcBorders>
              <w:top w:val="single" w:sz="18" w:space="0" w:color="auto"/>
              <w:left w:val="single" w:sz="2" w:space="0" w:color="auto"/>
              <w:bottom w:val="single" w:sz="2" w:space="0" w:color="auto"/>
              <w:right w:val="single" w:sz="2" w:space="0" w:color="auto"/>
            </w:tcBorders>
          </w:tcPr>
          <w:p w:rsidR="00262142" w:rsidRDefault="00262142" w:rsidP="00514D47">
            <w:pPr>
              <w:pStyle w:val="TableText"/>
            </w:pPr>
            <w:r>
              <w:t>19 in meta-analysis</w:t>
            </w:r>
          </w:p>
          <w:p w:rsidR="00262142" w:rsidRDefault="00262142" w:rsidP="00514D47">
            <w:pPr>
              <w:pStyle w:val="TableText"/>
            </w:pPr>
            <w:r>
              <w:t>1 animal study</w:t>
            </w:r>
          </w:p>
          <w:p w:rsidR="00262142" w:rsidRDefault="00262142" w:rsidP="00514D47">
            <w:pPr>
              <w:pStyle w:val="TableText"/>
            </w:pPr>
            <w:r>
              <w:t>39 BMD intvns</w:t>
            </w:r>
          </w:p>
          <w:p w:rsidR="00262142" w:rsidRDefault="00262142" w:rsidP="00514D47">
            <w:pPr>
              <w:pStyle w:val="TableText"/>
            </w:pPr>
            <w:r>
              <w:t>6 duplicates</w:t>
            </w:r>
          </w:p>
          <w:p w:rsidR="00262142" w:rsidRDefault="00262142" w:rsidP="00514D47">
            <w:pPr>
              <w:pStyle w:val="TableText"/>
            </w:pPr>
            <w:r>
              <w:t>9 short follow-ups</w:t>
            </w:r>
          </w:p>
          <w:p w:rsidR="00D10B7A" w:rsidRDefault="00D10B7A" w:rsidP="00D10B7A">
            <w:pPr>
              <w:pStyle w:val="TableText"/>
            </w:pPr>
            <w:r>
              <w:t>1 metastatic brca</w:t>
            </w:r>
          </w:p>
          <w:p w:rsidR="00D10B7A" w:rsidRDefault="00D10B7A" w:rsidP="00D10B7A">
            <w:pPr>
              <w:pStyle w:val="TableText"/>
            </w:pPr>
            <w:r>
              <w:t>9 not AIs</w:t>
            </w:r>
          </w:p>
          <w:p w:rsidR="00D10B7A" w:rsidRDefault="00364571" w:rsidP="00D10B7A">
            <w:pPr>
              <w:pStyle w:val="TableText"/>
            </w:pPr>
            <w:r>
              <w:t>7 not breast cancer</w:t>
            </w:r>
          </w:p>
          <w:p w:rsidR="00D10B7A" w:rsidRDefault="00D10B7A" w:rsidP="00D10B7A">
            <w:pPr>
              <w:pStyle w:val="TableText"/>
            </w:pPr>
            <w:r>
              <w:t>14 wrong outcomes</w:t>
            </w:r>
          </w:p>
          <w:p w:rsidR="00262142" w:rsidRDefault="00D10B7A" w:rsidP="00762F84">
            <w:pPr>
              <w:pStyle w:val="TableText"/>
            </w:pPr>
            <w:r>
              <w:t>36 wrong pub</w:t>
            </w:r>
          </w:p>
        </w:tc>
        <w:tc>
          <w:tcPr>
            <w:tcW w:w="1649" w:type="dxa"/>
            <w:tcBorders>
              <w:top w:val="single" w:sz="18" w:space="0" w:color="auto"/>
              <w:left w:val="single" w:sz="2" w:space="0" w:color="auto"/>
              <w:bottom w:val="single" w:sz="2" w:space="0" w:color="auto"/>
              <w:right w:val="single" w:sz="2" w:space="0" w:color="auto"/>
            </w:tcBorders>
          </w:tcPr>
          <w:p w:rsidR="00262142" w:rsidRDefault="00262142" w:rsidP="00514D47">
            <w:pPr>
              <w:pStyle w:val="TableText"/>
            </w:pPr>
            <w:r>
              <w:t>237 irrelevant</w:t>
            </w:r>
          </w:p>
          <w:p w:rsidR="00262142" w:rsidRDefault="00262142" w:rsidP="00514D47">
            <w:pPr>
              <w:pStyle w:val="TableText"/>
            </w:pPr>
            <w:r>
              <w:t>5 wrong pub</w:t>
            </w:r>
            <w:r w:rsidR="00364571">
              <w:t>lication</w:t>
            </w:r>
          </w:p>
          <w:p w:rsidR="00262142" w:rsidRDefault="00262142" w:rsidP="00514D47">
            <w:pPr>
              <w:pStyle w:val="TableText"/>
            </w:pPr>
            <w:r>
              <w:t>14 wrong patients</w:t>
            </w:r>
          </w:p>
          <w:p w:rsidR="00262142" w:rsidRDefault="00262142" w:rsidP="00514D47">
            <w:pPr>
              <w:pStyle w:val="TableText"/>
            </w:pPr>
            <w:r>
              <w:t>17 wrong comparator</w:t>
            </w:r>
          </w:p>
          <w:p w:rsidR="00262142" w:rsidRDefault="00262142" w:rsidP="00514D47">
            <w:pPr>
              <w:pStyle w:val="TableText"/>
            </w:pPr>
          </w:p>
          <w:p w:rsidR="00262142" w:rsidRDefault="00262142" w:rsidP="00514D47">
            <w:pPr>
              <w:pStyle w:val="TableText"/>
            </w:pPr>
          </w:p>
        </w:tc>
        <w:tc>
          <w:tcPr>
            <w:tcW w:w="1607" w:type="dxa"/>
            <w:tcBorders>
              <w:top w:val="single" w:sz="18" w:space="0" w:color="auto"/>
              <w:left w:val="single" w:sz="2" w:space="0" w:color="auto"/>
              <w:bottom w:val="single" w:sz="2" w:space="0" w:color="auto"/>
              <w:right w:val="single" w:sz="2" w:space="0" w:color="auto"/>
            </w:tcBorders>
          </w:tcPr>
          <w:p w:rsidR="00262142" w:rsidRDefault="004A7164" w:rsidP="00514D47">
            <w:pPr>
              <w:pStyle w:val="TableText"/>
            </w:pPr>
            <w:r>
              <w:t>486 wrong intvn</w:t>
            </w:r>
          </w:p>
          <w:p w:rsidR="004A7164" w:rsidRDefault="00364571" w:rsidP="00514D47">
            <w:pPr>
              <w:pStyle w:val="TableText"/>
            </w:pPr>
            <w:r>
              <w:t>1 non-E</w:t>
            </w:r>
            <w:r w:rsidR="004A7164">
              <w:t>nglish</w:t>
            </w:r>
          </w:p>
          <w:p w:rsidR="004A7164" w:rsidRDefault="004A7164" w:rsidP="00514D47">
            <w:pPr>
              <w:pStyle w:val="TableText"/>
            </w:pPr>
            <w:r>
              <w:t xml:space="preserve">13 wrong </w:t>
            </w:r>
            <w:r w:rsidR="00152689">
              <w:t>patients</w:t>
            </w:r>
          </w:p>
          <w:p w:rsidR="004A7164" w:rsidRDefault="004A7164" w:rsidP="00514D47">
            <w:pPr>
              <w:pStyle w:val="TableText"/>
            </w:pPr>
            <w:r>
              <w:t xml:space="preserve">20 wrong </w:t>
            </w:r>
            <w:r w:rsidR="00364571">
              <w:t>comparator</w:t>
            </w:r>
          </w:p>
          <w:p w:rsidR="004A7164" w:rsidRDefault="004A7164" w:rsidP="00514D47">
            <w:pPr>
              <w:pStyle w:val="TableText"/>
            </w:pPr>
            <w:r>
              <w:t xml:space="preserve">54 wrong </w:t>
            </w:r>
            <w:r w:rsidR="00AA1440">
              <w:t>publication</w:t>
            </w:r>
          </w:p>
          <w:p w:rsidR="004A7164" w:rsidRDefault="00CC7FA7" w:rsidP="00514D47">
            <w:pPr>
              <w:pStyle w:val="TableText"/>
            </w:pPr>
            <w:r>
              <w:t>16 irrelevant</w:t>
            </w:r>
          </w:p>
        </w:tc>
        <w:tc>
          <w:tcPr>
            <w:tcW w:w="1584" w:type="dxa"/>
            <w:tcBorders>
              <w:top w:val="single" w:sz="18" w:space="0" w:color="auto"/>
              <w:left w:val="single" w:sz="2" w:space="0" w:color="auto"/>
              <w:bottom w:val="single" w:sz="2" w:space="0" w:color="auto"/>
              <w:right w:val="single" w:sz="2" w:space="0" w:color="auto"/>
            </w:tcBorders>
          </w:tcPr>
          <w:p w:rsidR="00262142" w:rsidRDefault="00510D45" w:rsidP="00514D47">
            <w:pPr>
              <w:pStyle w:val="TableText"/>
            </w:pPr>
            <w:r>
              <w:t>29 wrong intvn</w:t>
            </w:r>
          </w:p>
          <w:p w:rsidR="00510D45" w:rsidRDefault="00510D45" w:rsidP="00514D47">
            <w:pPr>
              <w:pStyle w:val="TableText"/>
            </w:pPr>
            <w:r>
              <w:t>4 wrong patients</w:t>
            </w:r>
          </w:p>
        </w:tc>
      </w:tr>
      <w:tr w:rsidR="00262142" w:rsidTr="00364571">
        <w:trPr>
          <w:trHeight w:val="285"/>
        </w:trPr>
        <w:tc>
          <w:tcPr>
            <w:tcW w:w="1787" w:type="dxa"/>
            <w:tcBorders>
              <w:top w:val="single" w:sz="2" w:space="0" w:color="auto"/>
              <w:bottom w:val="single" w:sz="2" w:space="0" w:color="auto"/>
            </w:tcBorders>
          </w:tcPr>
          <w:p w:rsidR="00262142" w:rsidRDefault="00262142" w:rsidP="00514D47">
            <w:pPr>
              <w:pStyle w:val="TableText"/>
            </w:pPr>
            <w:r>
              <w:t>Papers retrieved</w:t>
            </w:r>
          </w:p>
        </w:tc>
        <w:tc>
          <w:tcPr>
            <w:tcW w:w="1508" w:type="dxa"/>
            <w:tcBorders>
              <w:top w:val="single" w:sz="2" w:space="0" w:color="auto"/>
              <w:bottom w:val="single" w:sz="2" w:space="0" w:color="auto"/>
            </w:tcBorders>
          </w:tcPr>
          <w:p w:rsidR="00262142" w:rsidRDefault="00D10B7A" w:rsidP="00514D47">
            <w:pPr>
              <w:pStyle w:val="TableText"/>
            </w:pPr>
            <w:r>
              <w:t>11</w:t>
            </w:r>
          </w:p>
        </w:tc>
        <w:tc>
          <w:tcPr>
            <w:tcW w:w="1649" w:type="dxa"/>
            <w:tcBorders>
              <w:top w:val="single" w:sz="2" w:space="0" w:color="auto"/>
              <w:bottom w:val="single" w:sz="2" w:space="0" w:color="auto"/>
            </w:tcBorders>
          </w:tcPr>
          <w:p w:rsidR="00262142" w:rsidRDefault="00762F84" w:rsidP="00514D47">
            <w:pPr>
              <w:pStyle w:val="TableText"/>
            </w:pPr>
            <w:r>
              <w:t>64</w:t>
            </w:r>
          </w:p>
        </w:tc>
        <w:tc>
          <w:tcPr>
            <w:tcW w:w="1607" w:type="dxa"/>
            <w:tcBorders>
              <w:top w:val="single" w:sz="2" w:space="0" w:color="auto"/>
              <w:bottom w:val="single" w:sz="2" w:space="0" w:color="auto"/>
            </w:tcBorders>
          </w:tcPr>
          <w:p w:rsidR="00262142" w:rsidRDefault="00CC7FA7" w:rsidP="00514D47">
            <w:pPr>
              <w:pStyle w:val="TableText"/>
            </w:pPr>
            <w:r>
              <w:t>48</w:t>
            </w:r>
          </w:p>
        </w:tc>
        <w:tc>
          <w:tcPr>
            <w:tcW w:w="1584" w:type="dxa"/>
            <w:tcBorders>
              <w:top w:val="single" w:sz="2" w:space="0" w:color="auto"/>
              <w:bottom w:val="single" w:sz="2" w:space="0" w:color="auto"/>
            </w:tcBorders>
          </w:tcPr>
          <w:p w:rsidR="00262142" w:rsidRDefault="00262142" w:rsidP="00514D47">
            <w:pPr>
              <w:pStyle w:val="TableText"/>
            </w:pPr>
            <w:r>
              <w:t>3</w:t>
            </w:r>
          </w:p>
        </w:tc>
      </w:tr>
      <w:tr w:rsidR="00262142" w:rsidTr="00364571">
        <w:trPr>
          <w:trHeight w:val="540"/>
        </w:trPr>
        <w:tc>
          <w:tcPr>
            <w:tcW w:w="1787" w:type="dxa"/>
            <w:tcBorders>
              <w:top w:val="single" w:sz="2" w:space="0" w:color="auto"/>
              <w:bottom w:val="single" w:sz="2" w:space="0" w:color="auto"/>
            </w:tcBorders>
          </w:tcPr>
          <w:p w:rsidR="00262142" w:rsidRDefault="00262142" w:rsidP="00514D47">
            <w:pPr>
              <w:pStyle w:val="TableText"/>
            </w:pPr>
            <w:r>
              <w:t>2</w:t>
            </w:r>
            <w:r w:rsidRPr="00514D47">
              <w:rPr>
                <w:vertAlign w:val="superscript"/>
              </w:rPr>
              <w:t>nd</w:t>
            </w:r>
            <w:r>
              <w:t xml:space="preserve"> Screen: </w:t>
            </w:r>
          </w:p>
          <w:p w:rsidR="00262142" w:rsidRDefault="00262142" w:rsidP="00514D47">
            <w:pPr>
              <w:pStyle w:val="TableText"/>
            </w:pPr>
            <w:r>
              <w:t>Excluded studies from full papers</w:t>
            </w:r>
          </w:p>
        </w:tc>
        <w:tc>
          <w:tcPr>
            <w:tcW w:w="1508" w:type="dxa"/>
            <w:tcBorders>
              <w:top w:val="single" w:sz="2" w:space="0" w:color="auto"/>
              <w:bottom w:val="single" w:sz="2" w:space="0" w:color="auto"/>
            </w:tcBorders>
          </w:tcPr>
          <w:p w:rsidR="00D10B7A" w:rsidRDefault="00D10B7A" w:rsidP="00514D47">
            <w:pPr>
              <w:pStyle w:val="TableText"/>
            </w:pPr>
            <w:r>
              <w:t xml:space="preserve">1 </w:t>
            </w:r>
            <w:r w:rsidR="00364571">
              <w:t>superseded</w:t>
            </w:r>
          </w:p>
          <w:p w:rsidR="00262142" w:rsidRDefault="00262142" w:rsidP="00514D47">
            <w:pPr>
              <w:pStyle w:val="TableText"/>
            </w:pPr>
            <w:r>
              <w:t>1 could not get</w:t>
            </w:r>
          </w:p>
          <w:p w:rsidR="00D10B7A" w:rsidRDefault="00D10B7A" w:rsidP="00514D47">
            <w:pPr>
              <w:pStyle w:val="TableText"/>
            </w:pPr>
            <w:r>
              <w:t>1 wrong outcome</w:t>
            </w:r>
          </w:p>
        </w:tc>
        <w:tc>
          <w:tcPr>
            <w:tcW w:w="1649" w:type="dxa"/>
            <w:tcBorders>
              <w:top w:val="single" w:sz="2" w:space="0" w:color="auto"/>
              <w:bottom w:val="single" w:sz="2" w:space="0" w:color="auto"/>
            </w:tcBorders>
          </w:tcPr>
          <w:p w:rsidR="00262142" w:rsidRDefault="00262142" w:rsidP="00514D47">
            <w:pPr>
              <w:pStyle w:val="TableText"/>
            </w:pPr>
            <w:r>
              <w:t>1 duplicate</w:t>
            </w:r>
          </w:p>
          <w:p w:rsidR="00262142" w:rsidRDefault="00762F84" w:rsidP="00514D47">
            <w:pPr>
              <w:pStyle w:val="TableText"/>
            </w:pPr>
            <w:r>
              <w:t>2</w:t>
            </w:r>
            <w:r w:rsidR="00262142">
              <w:t xml:space="preserve"> could not get</w:t>
            </w:r>
          </w:p>
          <w:p w:rsidR="00262142" w:rsidRDefault="00262142" w:rsidP="00514D47">
            <w:pPr>
              <w:pStyle w:val="TableText"/>
            </w:pPr>
            <w:r>
              <w:t>4 non-English</w:t>
            </w:r>
          </w:p>
          <w:p w:rsidR="00262142" w:rsidRDefault="00762F84" w:rsidP="00514D47">
            <w:pPr>
              <w:pStyle w:val="TableText"/>
            </w:pPr>
            <w:r>
              <w:t>3</w:t>
            </w:r>
            <w:r w:rsidR="00262142">
              <w:t xml:space="preserve"> not DXA</w:t>
            </w:r>
          </w:p>
          <w:p w:rsidR="00262142" w:rsidRDefault="00762F84" w:rsidP="00514D47">
            <w:pPr>
              <w:pStyle w:val="TableText"/>
            </w:pPr>
            <w:r>
              <w:t>26 wrong topic</w:t>
            </w:r>
          </w:p>
          <w:p w:rsidR="00262142" w:rsidRDefault="00262142" w:rsidP="00514D47">
            <w:pPr>
              <w:pStyle w:val="TableText"/>
            </w:pPr>
            <w:r>
              <w:t>1 superseded</w:t>
            </w:r>
          </w:p>
          <w:p w:rsidR="00262142" w:rsidRDefault="00262142" w:rsidP="00514D47">
            <w:pPr>
              <w:pStyle w:val="TableText"/>
            </w:pPr>
            <w:r>
              <w:t>1 wrong comparator</w:t>
            </w:r>
          </w:p>
          <w:p w:rsidR="00D231AD" w:rsidRDefault="00262142" w:rsidP="00762F84">
            <w:pPr>
              <w:pStyle w:val="TableText"/>
            </w:pPr>
            <w:r>
              <w:t>1</w:t>
            </w:r>
            <w:r w:rsidR="00762F84">
              <w:t>9 wrong pub</w:t>
            </w:r>
          </w:p>
        </w:tc>
        <w:tc>
          <w:tcPr>
            <w:tcW w:w="1607" w:type="dxa"/>
            <w:tcBorders>
              <w:top w:val="single" w:sz="2" w:space="0" w:color="auto"/>
              <w:bottom w:val="single" w:sz="2" w:space="0" w:color="auto"/>
            </w:tcBorders>
          </w:tcPr>
          <w:p w:rsidR="00262142" w:rsidRDefault="00CC7FA7" w:rsidP="00514D47">
            <w:pPr>
              <w:pStyle w:val="TableText"/>
            </w:pPr>
            <w:r>
              <w:t>4 irrelevant</w:t>
            </w:r>
          </w:p>
          <w:p w:rsidR="00CC7FA7" w:rsidRDefault="00CC7FA7" w:rsidP="00514D47">
            <w:pPr>
              <w:pStyle w:val="TableText"/>
            </w:pPr>
            <w:r>
              <w:t>1 could not get</w:t>
            </w:r>
          </w:p>
          <w:p w:rsidR="00CC7FA7" w:rsidRDefault="00CC7FA7" w:rsidP="00514D47">
            <w:pPr>
              <w:pStyle w:val="TableText"/>
            </w:pPr>
            <w:r>
              <w:t xml:space="preserve">3 </w:t>
            </w:r>
            <w:r w:rsidR="00152689">
              <w:t>duplicates</w:t>
            </w:r>
            <w:r>
              <w:t xml:space="preserve"> </w:t>
            </w:r>
          </w:p>
          <w:p w:rsidR="00CC7FA7" w:rsidRDefault="00CC7FA7" w:rsidP="00514D47">
            <w:pPr>
              <w:pStyle w:val="TableText"/>
            </w:pPr>
            <w:r>
              <w:t>4 systematic reviews</w:t>
            </w:r>
          </w:p>
          <w:p w:rsidR="00CC7FA7" w:rsidRDefault="00CC7FA7" w:rsidP="00514D47">
            <w:pPr>
              <w:pStyle w:val="TableText"/>
            </w:pPr>
            <w:r>
              <w:t>12 trial stages</w:t>
            </w:r>
          </w:p>
          <w:p w:rsidR="00CC7FA7" w:rsidRDefault="00CC7FA7" w:rsidP="00152689">
            <w:pPr>
              <w:pStyle w:val="TableText"/>
            </w:pPr>
            <w:r>
              <w:t>1</w:t>
            </w:r>
            <w:r w:rsidR="00152689">
              <w:t>1 superseded</w:t>
            </w:r>
          </w:p>
        </w:tc>
        <w:tc>
          <w:tcPr>
            <w:tcW w:w="1584" w:type="dxa"/>
            <w:tcBorders>
              <w:top w:val="single" w:sz="2" w:space="0" w:color="auto"/>
              <w:bottom w:val="single" w:sz="2" w:space="0" w:color="auto"/>
            </w:tcBorders>
          </w:tcPr>
          <w:p w:rsidR="00262142" w:rsidRDefault="004A7164" w:rsidP="00514D47">
            <w:pPr>
              <w:pStyle w:val="TableText"/>
            </w:pPr>
            <w:r>
              <w:t>1 wrong patients</w:t>
            </w:r>
          </w:p>
        </w:tc>
      </w:tr>
      <w:tr w:rsidR="00262142" w:rsidRPr="00762F84" w:rsidTr="00364571">
        <w:trPr>
          <w:trHeight w:val="285"/>
        </w:trPr>
        <w:tc>
          <w:tcPr>
            <w:tcW w:w="1787" w:type="dxa"/>
            <w:tcBorders>
              <w:top w:val="single" w:sz="2" w:space="0" w:color="auto"/>
              <w:bottom w:val="single" w:sz="2" w:space="0" w:color="auto"/>
            </w:tcBorders>
          </w:tcPr>
          <w:p w:rsidR="00262142" w:rsidRPr="00762F84" w:rsidRDefault="00262142" w:rsidP="00762F84">
            <w:pPr>
              <w:pStyle w:val="TableText"/>
            </w:pPr>
            <w:r w:rsidRPr="00762F84">
              <w:t>Included studies</w:t>
            </w:r>
          </w:p>
        </w:tc>
        <w:tc>
          <w:tcPr>
            <w:tcW w:w="1508" w:type="dxa"/>
            <w:tcBorders>
              <w:top w:val="single" w:sz="2" w:space="0" w:color="auto"/>
              <w:bottom w:val="single" w:sz="2" w:space="0" w:color="auto"/>
            </w:tcBorders>
          </w:tcPr>
          <w:p w:rsidR="00262142" w:rsidRPr="00762F84" w:rsidRDefault="00152689" w:rsidP="00762F84">
            <w:pPr>
              <w:pStyle w:val="TableText"/>
            </w:pPr>
            <w:r w:rsidRPr="00762F84">
              <w:t>8</w:t>
            </w:r>
          </w:p>
        </w:tc>
        <w:tc>
          <w:tcPr>
            <w:tcW w:w="1649" w:type="dxa"/>
            <w:tcBorders>
              <w:top w:val="single" w:sz="2" w:space="0" w:color="auto"/>
              <w:bottom w:val="single" w:sz="2" w:space="0" w:color="auto"/>
            </w:tcBorders>
          </w:tcPr>
          <w:p w:rsidR="00262142" w:rsidRPr="00762F84" w:rsidRDefault="00762F84" w:rsidP="00762F84">
            <w:pPr>
              <w:pStyle w:val="TableText"/>
            </w:pPr>
            <w:r w:rsidRPr="00762F84">
              <w:t>7</w:t>
            </w:r>
          </w:p>
        </w:tc>
        <w:tc>
          <w:tcPr>
            <w:tcW w:w="1607" w:type="dxa"/>
            <w:tcBorders>
              <w:top w:val="single" w:sz="2" w:space="0" w:color="auto"/>
              <w:bottom w:val="single" w:sz="2" w:space="0" w:color="auto"/>
            </w:tcBorders>
          </w:tcPr>
          <w:p w:rsidR="00262142" w:rsidRPr="00762F84" w:rsidRDefault="00262142" w:rsidP="00762F84">
            <w:pPr>
              <w:pStyle w:val="TableText"/>
            </w:pPr>
            <w:r w:rsidRPr="00762F84">
              <w:t>13</w:t>
            </w:r>
          </w:p>
        </w:tc>
        <w:tc>
          <w:tcPr>
            <w:tcW w:w="1584" w:type="dxa"/>
            <w:tcBorders>
              <w:top w:val="single" w:sz="2" w:space="0" w:color="auto"/>
              <w:bottom w:val="single" w:sz="2" w:space="0" w:color="auto"/>
            </w:tcBorders>
          </w:tcPr>
          <w:p w:rsidR="00262142" w:rsidRPr="00762F84" w:rsidRDefault="004A7164" w:rsidP="00762F84">
            <w:pPr>
              <w:pStyle w:val="TableText"/>
            </w:pPr>
            <w:r w:rsidRPr="00762F84">
              <w:t>2</w:t>
            </w:r>
          </w:p>
        </w:tc>
      </w:tr>
      <w:tr w:rsidR="004A7164" w:rsidRPr="00762F84" w:rsidTr="00364571">
        <w:trPr>
          <w:trHeight w:val="285"/>
        </w:trPr>
        <w:tc>
          <w:tcPr>
            <w:tcW w:w="1787" w:type="dxa"/>
            <w:tcBorders>
              <w:top w:val="single" w:sz="2" w:space="0" w:color="auto"/>
              <w:bottom w:val="single" w:sz="2" w:space="0" w:color="auto"/>
            </w:tcBorders>
          </w:tcPr>
          <w:p w:rsidR="004A7164" w:rsidRPr="00762F84" w:rsidRDefault="004A7164" w:rsidP="00762F84">
            <w:pPr>
              <w:pStyle w:val="TableText"/>
            </w:pPr>
            <w:r w:rsidRPr="00762F84">
              <w:t>Studies added</w:t>
            </w:r>
          </w:p>
        </w:tc>
        <w:tc>
          <w:tcPr>
            <w:tcW w:w="1508" w:type="dxa"/>
            <w:tcBorders>
              <w:top w:val="single" w:sz="2" w:space="0" w:color="auto"/>
              <w:bottom w:val="single" w:sz="2" w:space="0" w:color="auto"/>
            </w:tcBorders>
          </w:tcPr>
          <w:p w:rsidR="004A7164" w:rsidRPr="00762F84" w:rsidRDefault="004A7164" w:rsidP="00762F84">
            <w:pPr>
              <w:pStyle w:val="TableText"/>
            </w:pPr>
            <w:r w:rsidRPr="00762F84">
              <w:t>0</w:t>
            </w:r>
          </w:p>
        </w:tc>
        <w:tc>
          <w:tcPr>
            <w:tcW w:w="1649" w:type="dxa"/>
            <w:tcBorders>
              <w:top w:val="single" w:sz="2" w:space="0" w:color="auto"/>
              <w:bottom w:val="single" w:sz="2" w:space="0" w:color="auto"/>
            </w:tcBorders>
          </w:tcPr>
          <w:p w:rsidR="004A7164" w:rsidRPr="00762F84" w:rsidRDefault="00152689" w:rsidP="00762F84">
            <w:pPr>
              <w:pStyle w:val="TableText"/>
            </w:pPr>
            <w:r w:rsidRPr="00762F84">
              <w:t>0</w:t>
            </w:r>
          </w:p>
        </w:tc>
        <w:tc>
          <w:tcPr>
            <w:tcW w:w="1607" w:type="dxa"/>
            <w:tcBorders>
              <w:top w:val="single" w:sz="2" w:space="0" w:color="auto"/>
              <w:bottom w:val="single" w:sz="2" w:space="0" w:color="auto"/>
            </w:tcBorders>
          </w:tcPr>
          <w:p w:rsidR="004A7164" w:rsidRPr="00762F84" w:rsidRDefault="00152689" w:rsidP="00762F84">
            <w:pPr>
              <w:pStyle w:val="TableText"/>
            </w:pPr>
            <w:r w:rsidRPr="00762F84">
              <w:t>1</w:t>
            </w:r>
          </w:p>
        </w:tc>
        <w:tc>
          <w:tcPr>
            <w:tcW w:w="1584" w:type="dxa"/>
            <w:tcBorders>
              <w:top w:val="single" w:sz="2" w:space="0" w:color="auto"/>
              <w:bottom w:val="single" w:sz="2" w:space="0" w:color="auto"/>
            </w:tcBorders>
          </w:tcPr>
          <w:p w:rsidR="004A7164" w:rsidRPr="00762F84" w:rsidRDefault="004A7164" w:rsidP="00762F84">
            <w:pPr>
              <w:pStyle w:val="TableText"/>
            </w:pPr>
            <w:r w:rsidRPr="00762F84">
              <w:t>1</w:t>
            </w:r>
          </w:p>
        </w:tc>
      </w:tr>
      <w:tr w:rsidR="004A7164" w:rsidRPr="00762F84" w:rsidTr="00364571">
        <w:trPr>
          <w:trHeight w:val="285"/>
        </w:trPr>
        <w:tc>
          <w:tcPr>
            <w:tcW w:w="1787" w:type="dxa"/>
            <w:tcBorders>
              <w:top w:val="single" w:sz="2" w:space="0" w:color="auto"/>
            </w:tcBorders>
          </w:tcPr>
          <w:p w:rsidR="004A7164" w:rsidRPr="00762F84" w:rsidRDefault="004A7164" w:rsidP="00762F84">
            <w:pPr>
              <w:pStyle w:val="TableText"/>
            </w:pPr>
            <w:r w:rsidRPr="00762F84">
              <w:t>Total studies</w:t>
            </w:r>
          </w:p>
        </w:tc>
        <w:tc>
          <w:tcPr>
            <w:tcW w:w="1508" w:type="dxa"/>
            <w:tcBorders>
              <w:top w:val="single" w:sz="2" w:space="0" w:color="auto"/>
            </w:tcBorders>
          </w:tcPr>
          <w:p w:rsidR="004A7164" w:rsidRPr="00762F84" w:rsidRDefault="00152689" w:rsidP="00762F84">
            <w:pPr>
              <w:pStyle w:val="TableText"/>
            </w:pPr>
            <w:r w:rsidRPr="00762F84">
              <w:t>8</w:t>
            </w:r>
          </w:p>
        </w:tc>
        <w:tc>
          <w:tcPr>
            <w:tcW w:w="1649" w:type="dxa"/>
            <w:tcBorders>
              <w:top w:val="single" w:sz="2" w:space="0" w:color="auto"/>
            </w:tcBorders>
          </w:tcPr>
          <w:p w:rsidR="004A7164" w:rsidRPr="00762F84" w:rsidRDefault="00762F84" w:rsidP="00762F84">
            <w:pPr>
              <w:pStyle w:val="TableText"/>
            </w:pPr>
            <w:r w:rsidRPr="00762F84">
              <w:t>7</w:t>
            </w:r>
          </w:p>
        </w:tc>
        <w:tc>
          <w:tcPr>
            <w:tcW w:w="1607" w:type="dxa"/>
            <w:tcBorders>
              <w:top w:val="single" w:sz="2" w:space="0" w:color="auto"/>
            </w:tcBorders>
          </w:tcPr>
          <w:p w:rsidR="004A7164" w:rsidRPr="00762F84" w:rsidRDefault="00152689" w:rsidP="00762F84">
            <w:pPr>
              <w:pStyle w:val="TableText"/>
            </w:pPr>
            <w:r w:rsidRPr="00762F84">
              <w:t>14</w:t>
            </w:r>
          </w:p>
        </w:tc>
        <w:tc>
          <w:tcPr>
            <w:tcW w:w="1584" w:type="dxa"/>
            <w:tcBorders>
              <w:top w:val="single" w:sz="2" w:space="0" w:color="auto"/>
            </w:tcBorders>
          </w:tcPr>
          <w:p w:rsidR="004A7164" w:rsidRPr="00762F84" w:rsidRDefault="004A7164" w:rsidP="00762F84">
            <w:pPr>
              <w:pStyle w:val="TableText"/>
            </w:pPr>
            <w:r w:rsidRPr="00762F84">
              <w:t>3</w:t>
            </w:r>
          </w:p>
        </w:tc>
      </w:tr>
    </w:tbl>
    <w:p w:rsidR="00514D47" w:rsidRDefault="00364571" w:rsidP="00364571">
      <w:pPr>
        <w:pStyle w:val="TableText"/>
        <w:ind w:left="1134"/>
        <w:rPr>
          <w:lang w:val="nb-NO"/>
        </w:rPr>
      </w:pPr>
      <w:r>
        <w:t>AI = aromatase inhibitor, BMD = bone mineral density, DXA = dual energy X-ray absorptiometry,</w:t>
      </w:r>
    </w:p>
    <w:p w:rsidR="00364571" w:rsidRDefault="00364571" w:rsidP="00514D47">
      <w:pPr>
        <w:rPr>
          <w:lang w:val="nb-NO"/>
        </w:rPr>
      </w:pPr>
    </w:p>
    <w:p w:rsidR="00152689" w:rsidRPr="00C9782D" w:rsidRDefault="00152689" w:rsidP="00514D47">
      <w:pPr>
        <w:rPr>
          <w:lang w:val="nb-NO"/>
        </w:rPr>
      </w:pPr>
      <w:r>
        <w:rPr>
          <w:lang w:val="nb-NO"/>
        </w:rPr>
        <w:t>The total number of studies found on the clinical registers and HTA websites was 76. After duplicates were removed</w:t>
      </w:r>
      <w:r w:rsidR="00F41778">
        <w:rPr>
          <w:lang w:val="nb-NO"/>
        </w:rPr>
        <w:t xml:space="preserve"> (4)</w:t>
      </w:r>
      <w:r>
        <w:rPr>
          <w:lang w:val="nb-NO"/>
        </w:rPr>
        <w:t xml:space="preserve">, there were no </w:t>
      </w:r>
      <w:r w:rsidR="00F41778">
        <w:rPr>
          <w:lang w:val="nb-NO"/>
        </w:rPr>
        <w:t xml:space="preserve">relevant </w:t>
      </w:r>
      <w:r>
        <w:rPr>
          <w:lang w:val="nb-NO"/>
        </w:rPr>
        <w:t xml:space="preserve">studies </w:t>
      </w:r>
      <w:r w:rsidR="00F41778">
        <w:rPr>
          <w:lang w:val="nb-NO"/>
        </w:rPr>
        <w:t>to add</w:t>
      </w:r>
      <w:r>
        <w:rPr>
          <w:lang w:val="nb-NO"/>
        </w:rPr>
        <w:t xml:space="preserve"> to the above search results.</w:t>
      </w:r>
    </w:p>
    <w:p w:rsidR="005046EE" w:rsidRDefault="005046EE" w:rsidP="00C33B0E">
      <w:pPr>
        <w:pStyle w:val="Heading4"/>
      </w:pPr>
      <w:r w:rsidRPr="00C9782D">
        <w:t>Data extraction and analysis</w:t>
      </w:r>
    </w:p>
    <w:p w:rsidR="000411B4" w:rsidRPr="000411B4" w:rsidRDefault="000411B4" w:rsidP="000411B4">
      <w:r>
        <w:t>For the included studies, data were extracted from full text articles on year of publication, study type, country of research, study design, follow-up period, aromatase inhibitor, bone-loss treatment, comparative groups and key results. Summary tables were completed with appraisal of the evidence and are provided in Appendi</w:t>
      </w:r>
      <w:r w:rsidR="00262142">
        <w:t>x</w:t>
      </w:r>
      <w:r w:rsidR="00A81AF5">
        <w:t xml:space="preserve"> C</w:t>
      </w:r>
      <w:r>
        <w:t>.</w:t>
      </w:r>
    </w:p>
    <w:p w:rsidR="00ED77ED" w:rsidRPr="00C9782D" w:rsidRDefault="00ED77ED" w:rsidP="00C33B0E">
      <w:pPr>
        <w:pStyle w:val="Heading3"/>
      </w:pPr>
      <w:bookmarkStart w:id="65" w:name="_Toc386093700"/>
      <w:r w:rsidRPr="00C9782D">
        <w:t>Appraisal of the evidence</w:t>
      </w:r>
      <w:bookmarkEnd w:id="65"/>
    </w:p>
    <w:p w:rsidR="00ED77ED" w:rsidRPr="00C9782D" w:rsidRDefault="00ED77ED" w:rsidP="00ED77ED">
      <w:pPr>
        <w:rPr>
          <w:lang w:val="en-US"/>
        </w:rPr>
      </w:pPr>
      <w:r w:rsidRPr="00C9782D">
        <w:rPr>
          <w:lang w:val="en-US"/>
        </w:rPr>
        <w:t>Appraisal of the evidence was conducted at 3 stages:</w:t>
      </w:r>
    </w:p>
    <w:p w:rsidR="00ED77ED" w:rsidRPr="00C9782D" w:rsidRDefault="00ED77ED" w:rsidP="000411B4">
      <w:pPr>
        <w:spacing w:after="0"/>
        <w:ind w:left="1498" w:hanging="789"/>
        <w:rPr>
          <w:lang w:val="en-US"/>
        </w:rPr>
      </w:pPr>
      <w:r w:rsidRPr="00C9782D">
        <w:rPr>
          <w:lang w:val="en-US"/>
        </w:rPr>
        <w:t>Stage 1: Appraisal of the applicability and quality of individual studies included in the review.</w:t>
      </w:r>
    </w:p>
    <w:p w:rsidR="00ED77ED" w:rsidRPr="00C9782D" w:rsidRDefault="00ED77ED" w:rsidP="000411B4">
      <w:pPr>
        <w:spacing w:after="0"/>
        <w:ind w:left="1498" w:hanging="789"/>
        <w:rPr>
          <w:lang w:val="en-US"/>
        </w:rPr>
      </w:pPr>
      <w:r w:rsidRPr="00C9782D">
        <w:rPr>
          <w:lang w:val="en-US"/>
        </w:rPr>
        <w:lastRenderedPageBreak/>
        <w:t xml:space="preserve">Stage 2: Appraisal of the precision, size and clinical importance of the primary outcomes used to determine the safety and effectiveness of the </w:t>
      </w:r>
      <w:r w:rsidR="00697D1A" w:rsidRPr="00C9782D">
        <w:rPr>
          <w:lang w:val="en-US"/>
        </w:rPr>
        <w:t>intervention</w:t>
      </w:r>
      <w:r w:rsidRPr="00C9782D">
        <w:rPr>
          <w:lang w:val="en-US"/>
        </w:rPr>
        <w:t xml:space="preserve">.  </w:t>
      </w:r>
    </w:p>
    <w:p w:rsidR="00ED77ED" w:rsidRDefault="00ED77ED" w:rsidP="000411B4">
      <w:pPr>
        <w:spacing w:after="0"/>
        <w:ind w:left="1498" w:hanging="789"/>
      </w:pPr>
      <w:r w:rsidRPr="00C9782D">
        <w:t>Stage 3: Integration of this evidence for conclusions about the net clinical benefit of the in</w:t>
      </w:r>
      <w:r w:rsidR="00697D1A" w:rsidRPr="00C9782D">
        <w:t>tervention</w:t>
      </w:r>
      <w:r w:rsidRPr="00C9782D">
        <w:t xml:space="preserve"> in the context of Australian clinical practice. </w:t>
      </w:r>
    </w:p>
    <w:p w:rsidR="00A81AF5" w:rsidRDefault="00A81AF5" w:rsidP="000411B4">
      <w:pPr>
        <w:spacing w:after="0"/>
        <w:ind w:left="1498" w:hanging="789"/>
      </w:pPr>
    </w:p>
    <w:p w:rsidR="00F25DCB" w:rsidRPr="00C9782D" w:rsidRDefault="00F25DCB" w:rsidP="00C33B0E">
      <w:pPr>
        <w:pStyle w:val="Heading4"/>
      </w:pPr>
      <w:r w:rsidRPr="00C9782D">
        <w:t>Validity assessment of individual studies</w:t>
      </w:r>
    </w:p>
    <w:p w:rsidR="00BA4863" w:rsidRPr="00C9782D" w:rsidRDefault="00BA4863" w:rsidP="00BA4863">
      <w:r w:rsidRPr="00C9782D">
        <w:t xml:space="preserve">The evidence presented in the selected studies was assessed and classified using the dimensions of evidence defined by the National Health and Medical Research Council </w:t>
      </w:r>
      <w:r w:rsidR="00364571">
        <w:t xml:space="preserve">(NHMRC) </w:t>
      </w:r>
      <w:r w:rsidRPr="00C9782D">
        <w:t xml:space="preserve">(NHMRC, 2000).  These dimensions </w:t>
      </w:r>
      <w:r w:rsidR="00A81AF5">
        <w:t>(Table 7)</w:t>
      </w:r>
      <w:r w:rsidRPr="00C9782D">
        <w:t xml:space="preserve"> consider important aspects of the evidence supporting a particular intervention and include three main domains: strength of the evidence, size of the effect and relevance of the evidence. The first domain is derived directly from the literature identified as informing a particular intervention. The last two require expert clinical input as part of its determination.</w:t>
      </w:r>
    </w:p>
    <w:p w:rsidR="00BA4863" w:rsidRPr="00C9782D" w:rsidRDefault="00A81AF5" w:rsidP="00BA4863">
      <w:pPr>
        <w:pStyle w:val="TableName"/>
      </w:pPr>
      <w:bookmarkStart w:id="66" w:name="_Toc386112676"/>
      <w:r>
        <w:t xml:space="preserve">Table 7: </w:t>
      </w:r>
      <w:r w:rsidR="00BA4863" w:rsidRPr="00C9782D">
        <w:t>Evidence dimensions</w:t>
      </w:r>
      <w:bookmarkEnd w:id="66"/>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7 Evidence dimensions"/>
      </w:tblPr>
      <w:tblGrid>
        <w:gridCol w:w="2265"/>
        <w:gridCol w:w="6163"/>
      </w:tblGrid>
      <w:tr w:rsidR="00BA4863" w:rsidRPr="00C9782D" w:rsidTr="009350FD">
        <w:trPr>
          <w:tblHeader/>
        </w:trPr>
        <w:tc>
          <w:tcPr>
            <w:tcW w:w="1344" w:type="pct"/>
          </w:tcPr>
          <w:p w:rsidR="00BA4863" w:rsidRPr="00C9782D" w:rsidRDefault="00BA4863" w:rsidP="00952C44">
            <w:pPr>
              <w:pStyle w:val="TableHeading"/>
            </w:pPr>
            <w:r w:rsidRPr="00C9782D">
              <w:t>Type of evidence</w:t>
            </w:r>
          </w:p>
        </w:tc>
        <w:tc>
          <w:tcPr>
            <w:tcW w:w="3656" w:type="pct"/>
          </w:tcPr>
          <w:p w:rsidR="00BA4863" w:rsidRPr="00C9782D" w:rsidRDefault="00BA4863" w:rsidP="00952C44">
            <w:pPr>
              <w:pStyle w:val="TableHeading"/>
            </w:pPr>
            <w:r w:rsidRPr="00C9782D">
              <w:t>Definition</w:t>
            </w:r>
          </w:p>
        </w:tc>
      </w:tr>
      <w:tr w:rsidR="00BA4863" w:rsidRPr="00C9782D" w:rsidTr="006549AB">
        <w:tc>
          <w:tcPr>
            <w:tcW w:w="1344" w:type="pct"/>
          </w:tcPr>
          <w:p w:rsidR="00BA4863" w:rsidRPr="00C9782D" w:rsidRDefault="00BA4863" w:rsidP="00952C44">
            <w:pPr>
              <w:pStyle w:val="TableText"/>
            </w:pPr>
            <w:r w:rsidRPr="00C9782D">
              <w:t>Strength of the evidence</w:t>
            </w:r>
          </w:p>
          <w:p w:rsidR="00BA4863" w:rsidRPr="00C9782D" w:rsidRDefault="00BA4863" w:rsidP="00952C44">
            <w:pPr>
              <w:pStyle w:val="TableText"/>
            </w:pPr>
            <w:r w:rsidRPr="00C9782D">
              <w:tab/>
              <w:t>Level</w:t>
            </w:r>
            <w:r w:rsidRPr="00C9782D">
              <w:br/>
            </w:r>
          </w:p>
          <w:p w:rsidR="00BA4863" w:rsidRPr="00C9782D" w:rsidRDefault="00BA4863" w:rsidP="00952C44">
            <w:pPr>
              <w:pStyle w:val="TableText"/>
            </w:pPr>
            <w:r w:rsidRPr="00C9782D">
              <w:tab/>
              <w:t>Quality</w:t>
            </w:r>
          </w:p>
          <w:p w:rsidR="00BA4863" w:rsidRPr="00C9782D" w:rsidRDefault="00BA4863" w:rsidP="00952C44">
            <w:pPr>
              <w:pStyle w:val="TableText"/>
            </w:pPr>
            <w:r w:rsidRPr="00C9782D">
              <w:tab/>
              <w:t>Statistical precision</w:t>
            </w:r>
          </w:p>
        </w:tc>
        <w:tc>
          <w:tcPr>
            <w:tcW w:w="3656" w:type="pct"/>
          </w:tcPr>
          <w:p w:rsidR="00BA4863" w:rsidRPr="00C9782D" w:rsidRDefault="00BA4863" w:rsidP="00952C44">
            <w:pPr>
              <w:pStyle w:val="TableText"/>
            </w:pPr>
          </w:p>
          <w:p w:rsidR="00BA4863" w:rsidRPr="00C9782D" w:rsidRDefault="00BA4863" w:rsidP="00952C44">
            <w:pPr>
              <w:pStyle w:val="TableText"/>
            </w:pPr>
            <w:r w:rsidRPr="00C9782D">
              <w:t>The study design used, as an indicator of the degree to which bias has been eliminated by design.*</w:t>
            </w:r>
          </w:p>
          <w:p w:rsidR="00BA4863" w:rsidRPr="00C9782D" w:rsidRDefault="00BA4863" w:rsidP="00952C44">
            <w:pPr>
              <w:pStyle w:val="TableText"/>
            </w:pPr>
            <w:r w:rsidRPr="00C9782D">
              <w:t>The methods used by investigators to minimise bias within a study design.</w:t>
            </w:r>
          </w:p>
          <w:p w:rsidR="00BA4863" w:rsidRPr="00C9782D" w:rsidRDefault="00BA4863" w:rsidP="00952C44">
            <w:pPr>
              <w:pStyle w:val="TableText"/>
            </w:pPr>
            <w:r w:rsidRPr="00C9782D">
              <w:t xml:space="preserve">The </w:t>
            </w:r>
            <w:r w:rsidRPr="00C9782D">
              <w:rPr>
                <w:i/>
              </w:rPr>
              <w:t>p</w:t>
            </w:r>
            <w:r w:rsidRPr="00C9782D">
              <w:t>-value or, alternatively, the precision of the estimate of the effect. It reflects the degree of certainty about the existence of a true effect.</w:t>
            </w:r>
          </w:p>
        </w:tc>
      </w:tr>
      <w:tr w:rsidR="00BA4863" w:rsidRPr="00C9782D" w:rsidTr="006549AB">
        <w:tc>
          <w:tcPr>
            <w:tcW w:w="1344" w:type="pct"/>
          </w:tcPr>
          <w:p w:rsidR="00BA4863" w:rsidRPr="00C9782D" w:rsidRDefault="00BA4863" w:rsidP="00952C44">
            <w:pPr>
              <w:pStyle w:val="TableText"/>
            </w:pPr>
            <w:r w:rsidRPr="00C9782D">
              <w:t>Size of effect</w:t>
            </w:r>
          </w:p>
        </w:tc>
        <w:tc>
          <w:tcPr>
            <w:tcW w:w="3656" w:type="pct"/>
          </w:tcPr>
          <w:p w:rsidR="00BA4863" w:rsidRPr="00C9782D" w:rsidRDefault="00BA4863" w:rsidP="00952C44">
            <w:pPr>
              <w:pStyle w:val="TableText"/>
            </w:pPr>
            <w:r w:rsidRPr="00C9782D">
              <w:t>The distance of the study estimate from the “null” value and the inclusion of only clinically important effects in the confidence interval.</w:t>
            </w:r>
          </w:p>
        </w:tc>
      </w:tr>
      <w:tr w:rsidR="00BA4863" w:rsidRPr="00C9782D" w:rsidTr="006549AB">
        <w:tc>
          <w:tcPr>
            <w:tcW w:w="1344" w:type="pct"/>
          </w:tcPr>
          <w:p w:rsidR="00BA4863" w:rsidRPr="00C9782D" w:rsidRDefault="00BA4863" w:rsidP="00952C44">
            <w:pPr>
              <w:pStyle w:val="TableText"/>
            </w:pPr>
            <w:r w:rsidRPr="00C9782D">
              <w:t>Relevance of evidence</w:t>
            </w:r>
          </w:p>
        </w:tc>
        <w:tc>
          <w:tcPr>
            <w:tcW w:w="3656" w:type="pct"/>
          </w:tcPr>
          <w:p w:rsidR="00BA4863" w:rsidRPr="00C9782D" w:rsidRDefault="00BA4863" w:rsidP="00952C44">
            <w:pPr>
              <w:pStyle w:val="TableText"/>
            </w:pPr>
            <w:r w:rsidRPr="00C9782D">
              <w:t>The usefulness of the evidence in clinical practice, particularly the appropriateness of the outcome measures used.</w:t>
            </w:r>
          </w:p>
        </w:tc>
      </w:tr>
    </w:tbl>
    <w:p w:rsidR="00BA4863" w:rsidRPr="00C9782D" w:rsidRDefault="00641F14" w:rsidP="00641F14">
      <w:pPr>
        <w:pStyle w:val="TableNotes"/>
      </w:pPr>
      <w:r w:rsidRPr="00C9782D">
        <w:t xml:space="preserve">* See </w:t>
      </w:r>
      <w:r w:rsidR="00A81AF5">
        <w:t>Table 8</w:t>
      </w:r>
    </w:p>
    <w:p w:rsidR="00B479B0" w:rsidRPr="00C9782D" w:rsidRDefault="00B479B0" w:rsidP="00C33B0E">
      <w:pPr>
        <w:pStyle w:val="Heading4"/>
      </w:pPr>
      <w:bookmarkStart w:id="67" w:name="_Toc124833662"/>
      <w:r w:rsidRPr="00C9782D">
        <w:t>Strength of the evidence</w:t>
      </w:r>
    </w:p>
    <w:bookmarkEnd w:id="67"/>
    <w:p w:rsidR="00B479B0" w:rsidRPr="00C9782D" w:rsidRDefault="003756EE" w:rsidP="00E52A5B">
      <w:r w:rsidRPr="00C9782D">
        <w:t xml:space="preserve">The three sub-domains (level, quality and statistical precision) are collectively a measure of the strength of the evidence. </w:t>
      </w:r>
    </w:p>
    <w:p w:rsidR="005D1071" w:rsidRDefault="00B479B0" w:rsidP="005D1071">
      <w:pPr>
        <w:pStyle w:val="Heading5"/>
      </w:pPr>
      <w:r w:rsidRPr="00C9782D">
        <w:t>Level</w:t>
      </w:r>
      <w:r w:rsidR="005D1071">
        <w:t xml:space="preserve"> </w:t>
      </w:r>
    </w:p>
    <w:p w:rsidR="002003A2" w:rsidRPr="00C9782D" w:rsidRDefault="003756EE" w:rsidP="005D1071">
      <w:r w:rsidRPr="00C9782D">
        <w:t>The “level of evidence” reflects the effectiveness of a study design to answer a particular research question. Effectiveness is based on the probability that the design of the study has reduced or eliminated the impact of bias on the results.</w:t>
      </w:r>
      <w:r w:rsidR="00E52A5B" w:rsidRPr="00C9782D">
        <w:t xml:space="preserve"> The NHMRC evidence hierarchy provides a ranking of various study designs (‘levels of evidence’) by the type of research question being </w:t>
      </w:r>
      <w:r w:rsidR="00542570" w:rsidRPr="00C9782D">
        <w:t>addressed</w:t>
      </w:r>
      <w:r w:rsidR="00E204BF" w:rsidRPr="00C9782D">
        <w:t xml:space="preserve"> (s</w:t>
      </w:r>
      <w:r w:rsidR="00006A22">
        <w:t>ee Table 8</w:t>
      </w:r>
      <w:r w:rsidR="00E204BF" w:rsidRPr="00C9782D">
        <w:t>)</w:t>
      </w:r>
      <w:r w:rsidR="00E52A5B" w:rsidRPr="00C9782D">
        <w:t>.</w:t>
      </w:r>
    </w:p>
    <w:p w:rsidR="00720159" w:rsidRPr="00B808EA" w:rsidRDefault="00720159" w:rsidP="00B808EA">
      <w:pPr>
        <w:pStyle w:val="TableName"/>
      </w:pPr>
      <w:bookmarkStart w:id="68" w:name="_Ref206478826"/>
      <w:bookmarkStart w:id="69" w:name="_Toc386112677"/>
      <w:r w:rsidRPr="00B808EA">
        <w:lastRenderedPageBreak/>
        <w:t xml:space="preserve">Table </w:t>
      </w:r>
      <w:bookmarkEnd w:id="68"/>
      <w:r w:rsidR="00A81AF5" w:rsidRPr="00B808EA">
        <w:t>8:</w:t>
      </w:r>
      <w:r w:rsidR="00CF00E4">
        <w:t xml:space="preserve"> </w:t>
      </w:r>
      <w:r w:rsidRPr="00B808EA">
        <w:t>Designations of levels of evidence according to type of research question</w:t>
      </w:r>
      <w:bookmarkEnd w:id="69"/>
      <w:r w:rsidRPr="00B808EA">
        <w:t xml:space="preserve"> </w:t>
      </w:r>
    </w:p>
    <w:tbl>
      <w:tblPr>
        <w:tblW w:w="4558" w:type="pct"/>
        <w:tblInd w:w="817" w:type="dxa"/>
        <w:tblLook w:val="01E0" w:firstRow="1" w:lastRow="1" w:firstColumn="1" w:lastColumn="1" w:noHBand="0" w:noVBand="0"/>
        <w:tblCaption w:val="Table 8 Levels of evidence"/>
      </w:tblPr>
      <w:tblGrid>
        <w:gridCol w:w="852"/>
        <w:gridCol w:w="4109"/>
        <w:gridCol w:w="3467"/>
      </w:tblGrid>
      <w:tr w:rsidR="0040218C" w:rsidRPr="00C9782D" w:rsidTr="00192A3B">
        <w:trPr>
          <w:tblHeader/>
        </w:trPr>
        <w:tc>
          <w:tcPr>
            <w:tcW w:w="505"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Heading"/>
            </w:pPr>
            <w:bookmarkStart w:id="70" w:name="_Toc188861188"/>
            <w:r w:rsidRPr="00C9782D">
              <w:t>Level</w:t>
            </w:r>
          </w:p>
        </w:tc>
        <w:tc>
          <w:tcPr>
            <w:tcW w:w="2438"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Heading"/>
            </w:pPr>
            <w:r w:rsidRPr="00C9782D">
              <w:t xml:space="preserve">Intervention </w:t>
            </w:r>
          </w:p>
        </w:tc>
        <w:tc>
          <w:tcPr>
            <w:tcW w:w="2057"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Heading"/>
            </w:pPr>
            <w:r w:rsidRPr="00C9782D">
              <w:t>Screening Intervention</w:t>
            </w:r>
          </w:p>
        </w:tc>
      </w:tr>
      <w:tr w:rsidR="0040218C" w:rsidRPr="00C9782D" w:rsidTr="00192A3B">
        <w:trPr>
          <w:tblHeader/>
        </w:trPr>
        <w:tc>
          <w:tcPr>
            <w:tcW w:w="505" w:type="pct"/>
            <w:tcBorders>
              <w:top w:val="single" w:sz="4" w:space="0" w:color="auto"/>
              <w:left w:val="single" w:sz="4" w:space="0" w:color="auto"/>
              <w:bottom w:val="single" w:sz="4" w:space="0" w:color="auto"/>
              <w:right w:val="single" w:sz="4" w:space="0" w:color="auto"/>
            </w:tcBorders>
          </w:tcPr>
          <w:p w:rsidR="0040218C" w:rsidRPr="00C9782D" w:rsidRDefault="0040218C" w:rsidP="00B808EA">
            <w:pPr>
              <w:pStyle w:val="TableHeading"/>
            </w:pPr>
            <w:r w:rsidRPr="00C9782D">
              <w:t xml:space="preserve">I </w:t>
            </w:r>
          </w:p>
        </w:tc>
        <w:tc>
          <w:tcPr>
            <w:tcW w:w="2438"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Text"/>
            </w:pPr>
            <w:r w:rsidRPr="00C9782D">
              <w:t>A systematic review of level II studies</w:t>
            </w:r>
          </w:p>
        </w:tc>
        <w:tc>
          <w:tcPr>
            <w:tcW w:w="2057"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Text"/>
            </w:pPr>
            <w:r w:rsidRPr="00C9782D">
              <w:t>A systematic review of level II studies</w:t>
            </w:r>
          </w:p>
        </w:tc>
      </w:tr>
      <w:tr w:rsidR="0040218C" w:rsidRPr="00C9782D" w:rsidTr="00192A3B">
        <w:trPr>
          <w:tblHeader/>
        </w:trPr>
        <w:tc>
          <w:tcPr>
            <w:tcW w:w="505"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Heading"/>
            </w:pPr>
            <w:r w:rsidRPr="00C9782D">
              <w:t>II</w:t>
            </w:r>
          </w:p>
        </w:tc>
        <w:tc>
          <w:tcPr>
            <w:tcW w:w="2438"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Text"/>
            </w:pPr>
            <w:r w:rsidRPr="00C9782D">
              <w:t>A randomised controlled trial</w:t>
            </w:r>
          </w:p>
        </w:tc>
        <w:tc>
          <w:tcPr>
            <w:tcW w:w="2057"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Text"/>
            </w:pPr>
            <w:r w:rsidRPr="00C9782D">
              <w:t>A randomised controlled trial</w:t>
            </w:r>
          </w:p>
        </w:tc>
      </w:tr>
      <w:tr w:rsidR="0040218C" w:rsidRPr="00C9782D" w:rsidTr="00192A3B">
        <w:trPr>
          <w:tblHeader/>
        </w:trPr>
        <w:tc>
          <w:tcPr>
            <w:tcW w:w="505"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Heading"/>
            </w:pPr>
            <w:r w:rsidRPr="00C9782D">
              <w:t>III-1</w:t>
            </w:r>
          </w:p>
        </w:tc>
        <w:tc>
          <w:tcPr>
            <w:tcW w:w="2438"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Text"/>
            </w:pPr>
            <w:r w:rsidRPr="00C9782D">
              <w:t>A pseudo randomised controlled trial</w:t>
            </w:r>
          </w:p>
          <w:p w:rsidR="0040218C" w:rsidRPr="00C9782D" w:rsidRDefault="0040218C" w:rsidP="000029F2">
            <w:pPr>
              <w:pStyle w:val="TableText"/>
            </w:pPr>
            <w:r w:rsidRPr="00C9782D">
              <w:t>(i.e. alternate allocation or some other method)</w:t>
            </w:r>
          </w:p>
        </w:tc>
        <w:tc>
          <w:tcPr>
            <w:tcW w:w="2057"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Text"/>
            </w:pPr>
            <w:r w:rsidRPr="00C9782D">
              <w:t>A pseudo randomised controlled trial</w:t>
            </w:r>
          </w:p>
          <w:p w:rsidR="0040218C" w:rsidRPr="00C9782D" w:rsidRDefault="0040218C" w:rsidP="000029F2">
            <w:pPr>
              <w:pStyle w:val="TableText"/>
            </w:pPr>
            <w:r w:rsidRPr="00C9782D">
              <w:t>(i.e. alternate allocation or some other method)</w:t>
            </w:r>
          </w:p>
        </w:tc>
      </w:tr>
      <w:tr w:rsidR="0040218C" w:rsidRPr="00C9782D" w:rsidTr="00192A3B">
        <w:trPr>
          <w:tblHeader/>
        </w:trPr>
        <w:tc>
          <w:tcPr>
            <w:tcW w:w="505"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Heading"/>
            </w:pPr>
            <w:r w:rsidRPr="00C9782D">
              <w:t>III-2</w:t>
            </w:r>
          </w:p>
        </w:tc>
        <w:tc>
          <w:tcPr>
            <w:tcW w:w="2438"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Text"/>
            </w:pPr>
            <w:r w:rsidRPr="00C9782D">
              <w:t>A comparative study with concurrent controls:</w:t>
            </w:r>
          </w:p>
          <w:p w:rsidR="0040218C" w:rsidRPr="00C9782D" w:rsidRDefault="0040218C" w:rsidP="000029F2">
            <w:pPr>
              <w:pStyle w:val="TableText"/>
            </w:pPr>
            <w:r w:rsidRPr="00C9782D">
              <w:t>▪ Non-randomised, experimental trial</w:t>
            </w:r>
          </w:p>
          <w:p w:rsidR="0040218C" w:rsidRPr="00C9782D" w:rsidRDefault="0040218C" w:rsidP="000029F2">
            <w:pPr>
              <w:pStyle w:val="TableText"/>
            </w:pPr>
            <w:r w:rsidRPr="00C9782D">
              <w:t>▪ Cohort study</w:t>
            </w:r>
          </w:p>
          <w:p w:rsidR="0040218C" w:rsidRPr="00C9782D" w:rsidRDefault="0040218C" w:rsidP="000029F2">
            <w:pPr>
              <w:pStyle w:val="TableText"/>
            </w:pPr>
            <w:r w:rsidRPr="00C9782D">
              <w:t>▪ Case-control study</w:t>
            </w:r>
          </w:p>
          <w:p w:rsidR="0040218C" w:rsidRPr="00C9782D" w:rsidRDefault="0040218C" w:rsidP="000029F2">
            <w:pPr>
              <w:pStyle w:val="TableText"/>
            </w:pPr>
            <w:r w:rsidRPr="00C9782D">
              <w:t>▪ Interrupted time series with a control group</w:t>
            </w:r>
          </w:p>
        </w:tc>
        <w:tc>
          <w:tcPr>
            <w:tcW w:w="2057"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Text"/>
            </w:pPr>
            <w:r w:rsidRPr="00C9782D">
              <w:t>A comparative study with concurrent controls:</w:t>
            </w:r>
          </w:p>
          <w:p w:rsidR="0040218C" w:rsidRPr="00C9782D" w:rsidRDefault="0040218C" w:rsidP="000029F2">
            <w:pPr>
              <w:pStyle w:val="TableText"/>
            </w:pPr>
            <w:r w:rsidRPr="00C9782D">
              <w:t>▪ Non-randomised, experimental trial</w:t>
            </w:r>
          </w:p>
          <w:p w:rsidR="0040218C" w:rsidRPr="00C9782D" w:rsidRDefault="0040218C" w:rsidP="000029F2">
            <w:pPr>
              <w:pStyle w:val="TableText"/>
            </w:pPr>
            <w:r w:rsidRPr="00C9782D">
              <w:t>▪ Cohort study</w:t>
            </w:r>
          </w:p>
          <w:p w:rsidR="0040218C" w:rsidRPr="00C9782D" w:rsidRDefault="0040218C" w:rsidP="000029F2">
            <w:pPr>
              <w:pStyle w:val="TableText"/>
            </w:pPr>
            <w:r w:rsidRPr="00C9782D">
              <w:t>▪ Case-control study</w:t>
            </w:r>
          </w:p>
        </w:tc>
      </w:tr>
      <w:tr w:rsidR="0040218C" w:rsidRPr="00C9782D" w:rsidTr="00192A3B">
        <w:trPr>
          <w:tblHeader/>
        </w:trPr>
        <w:tc>
          <w:tcPr>
            <w:tcW w:w="505"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Heading"/>
            </w:pPr>
            <w:r w:rsidRPr="00C9782D">
              <w:t>III-3</w:t>
            </w:r>
          </w:p>
        </w:tc>
        <w:tc>
          <w:tcPr>
            <w:tcW w:w="2438"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Text"/>
            </w:pPr>
            <w:r w:rsidRPr="00C9782D">
              <w:t>A comparative study without concurrent controls:</w:t>
            </w:r>
          </w:p>
          <w:p w:rsidR="0040218C" w:rsidRPr="00C9782D" w:rsidRDefault="0040218C" w:rsidP="000029F2">
            <w:pPr>
              <w:pStyle w:val="TableText"/>
            </w:pPr>
            <w:r w:rsidRPr="00C9782D">
              <w:t>▪ Historical control study</w:t>
            </w:r>
          </w:p>
          <w:p w:rsidR="0040218C" w:rsidRPr="00C9782D" w:rsidRDefault="0040218C" w:rsidP="000029F2">
            <w:pPr>
              <w:pStyle w:val="TableText"/>
            </w:pPr>
            <w:r w:rsidRPr="00C9782D">
              <w:t>▪ Two or more single arm study</w:t>
            </w:r>
          </w:p>
          <w:p w:rsidR="0040218C" w:rsidRPr="00C9782D" w:rsidRDefault="0040218C" w:rsidP="000029F2">
            <w:pPr>
              <w:pStyle w:val="TableText"/>
            </w:pPr>
            <w:r w:rsidRPr="00C9782D">
              <w:t>▪ Interrupted time series without a parallel control group</w:t>
            </w:r>
          </w:p>
        </w:tc>
        <w:tc>
          <w:tcPr>
            <w:tcW w:w="2057"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Text"/>
            </w:pPr>
            <w:r w:rsidRPr="00C9782D">
              <w:t>A comparative study without concurrent controls:</w:t>
            </w:r>
          </w:p>
          <w:p w:rsidR="0040218C" w:rsidRPr="00C9782D" w:rsidRDefault="0040218C" w:rsidP="000029F2">
            <w:pPr>
              <w:pStyle w:val="TableText"/>
            </w:pPr>
            <w:r w:rsidRPr="00C9782D">
              <w:t>▪ Historical control study</w:t>
            </w:r>
          </w:p>
          <w:p w:rsidR="0040218C" w:rsidRPr="00C9782D" w:rsidRDefault="0040218C" w:rsidP="000029F2">
            <w:pPr>
              <w:pStyle w:val="TableText"/>
            </w:pPr>
            <w:r w:rsidRPr="00C9782D">
              <w:t>▪ Two or more single arm study</w:t>
            </w:r>
          </w:p>
        </w:tc>
      </w:tr>
      <w:tr w:rsidR="0040218C" w:rsidRPr="00C9782D" w:rsidTr="00192A3B">
        <w:trPr>
          <w:tblHeader/>
        </w:trPr>
        <w:tc>
          <w:tcPr>
            <w:tcW w:w="505"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Heading"/>
            </w:pPr>
            <w:r w:rsidRPr="00C9782D">
              <w:t>IV</w:t>
            </w:r>
          </w:p>
        </w:tc>
        <w:tc>
          <w:tcPr>
            <w:tcW w:w="2438"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Text"/>
            </w:pPr>
            <w:r w:rsidRPr="00C9782D">
              <w:t>Case series w</w:t>
            </w:r>
            <w:r w:rsidR="005D1071">
              <w:t>ith either post-test or pre-</w:t>
            </w:r>
            <w:r w:rsidRPr="00C9782D">
              <w:t>/post-test outcomes</w:t>
            </w:r>
          </w:p>
        </w:tc>
        <w:tc>
          <w:tcPr>
            <w:tcW w:w="2057" w:type="pct"/>
            <w:tcBorders>
              <w:top w:val="single" w:sz="4" w:space="0" w:color="auto"/>
              <w:left w:val="single" w:sz="4" w:space="0" w:color="auto"/>
              <w:bottom w:val="single" w:sz="4" w:space="0" w:color="auto"/>
              <w:right w:val="single" w:sz="4" w:space="0" w:color="auto"/>
            </w:tcBorders>
          </w:tcPr>
          <w:p w:rsidR="0040218C" w:rsidRPr="00C9782D" w:rsidRDefault="0040218C" w:rsidP="000029F2">
            <w:pPr>
              <w:pStyle w:val="TableText"/>
            </w:pPr>
            <w:r w:rsidRPr="00C9782D">
              <w:t>Case series</w:t>
            </w:r>
          </w:p>
        </w:tc>
      </w:tr>
    </w:tbl>
    <w:p w:rsidR="0040218C" w:rsidRDefault="008069B7" w:rsidP="0040218C">
      <w:pPr>
        <w:pStyle w:val="TableNotes"/>
      </w:pPr>
      <w:r w:rsidRPr="00C9782D">
        <w:t>Table notes</w:t>
      </w:r>
      <w:r w:rsidR="0040218C">
        <w:t xml:space="preserve"> (</w:t>
      </w:r>
      <w:r w:rsidR="00E10441">
        <w:t>please refer to original</w:t>
      </w:r>
      <w:r w:rsidR="0040218C">
        <w:t xml:space="preserve"> Source</w:t>
      </w:r>
      <w:r w:rsidR="00E10441">
        <w:t>s</w:t>
      </w:r>
      <w:r w:rsidR="0040218C">
        <w:t>)</w:t>
      </w:r>
    </w:p>
    <w:p w:rsidR="00A135D9" w:rsidRPr="0040218C" w:rsidRDefault="00ED61AA" w:rsidP="0040218C">
      <w:pPr>
        <w:pStyle w:val="TableNotes"/>
      </w:pPr>
      <w:r w:rsidRPr="00C9782D">
        <w:t>Source: Hierarchies adapted and modified from: NHMRC 1999; Bandolier 1999; Lijmer et al. 1999; Phillips et al. 2001.</w:t>
      </w:r>
    </w:p>
    <w:bookmarkEnd w:id="70"/>
    <w:p w:rsidR="00D220F5" w:rsidRDefault="00E4673B" w:rsidP="00D220F5">
      <w:r w:rsidRPr="00C9782D">
        <w:t>Individual studies assessing e</w:t>
      </w:r>
      <w:r w:rsidR="00D220F5" w:rsidRPr="00C9782D">
        <w:t>ffectiveness were graded according to pre-specified quality and applicability criteria (MSAC 2005)</w:t>
      </w:r>
      <w:r w:rsidR="00394D13" w:rsidRPr="00C9782D">
        <w:t>,</w:t>
      </w:r>
      <w:r w:rsidR="00D220F5" w:rsidRPr="00C9782D">
        <w:t xml:space="preserve"> as shown in</w:t>
      </w:r>
      <w:r w:rsidR="00A81AF5">
        <w:t xml:space="preserve"> Table 9</w:t>
      </w:r>
      <w:r w:rsidR="00D220F5" w:rsidRPr="00C9782D">
        <w:t>.</w:t>
      </w:r>
    </w:p>
    <w:p w:rsidR="006549AB" w:rsidRPr="00C9782D" w:rsidRDefault="006549AB" w:rsidP="006549AB">
      <w:pPr>
        <w:spacing w:after="0"/>
      </w:pPr>
    </w:p>
    <w:p w:rsidR="00A963E8" w:rsidRPr="00C9782D" w:rsidRDefault="00A963E8" w:rsidP="005A064F">
      <w:pPr>
        <w:pStyle w:val="TableName"/>
      </w:pPr>
      <w:bookmarkStart w:id="71" w:name="_Ref206477516"/>
      <w:bookmarkStart w:id="72" w:name="_Toc386112678"/>
      <w:r w:rsidRPr="00C9782D">
        <w:t xml:space="preserve">Table </w:t>
      </w:r>
      <w:bookmarkEnd w:id="71"/>
      <w:r w:rsidR="00A81AF5">
        <w:t>9:</w:t>
      </w:r>
      <w:r w:rsidR="00CF00E4">
        <w:t xml:space="preserve"> </w:t>
      </w:r>
      <w:r w:rsidRPr="00C9782D">
        <w:t>Grading system used to rank included studies</w:t>
      </w:r>
      <w:bookmarkEnd w:id="72"/>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9 Grading system used to rank studies"/>
      </w:tblPr>
      <w:tblGrid>
        <w:gridCol w:w="1832"/>
        <w:gridCol w:w="3636"/>
        <w:gridCol w:w="2946"/>
      </w:tblGrid>
      <w:tr w:rsidR="00A94CD7" w:rsidRPr="00D918EA" w:rsidTr="00192A3B">
        <w:trPr>
          <w:tblHeader/>
        </w:trPr>
        <w:tc>
          <w:tcPr>
            <w:tcW w:w="1832" w:type="dxa"/>
            <w:tcBorders>
              <w:top w:val="single" w:sz="4" w:space="0" w:color="auto"/>
              <w:left w:val="single" w:sz="4" w:space="0" w:color="auto"/>
              <w:bottom w:val="single" w:sz="4" w:space="0" w:color="auto"/>
              <w:right w:val="single" w:sz="4" w:space="0" w:color="auto"/>
            </w:tcBorders>
            <w:shd w:val="clear" w:color="auto" w:fill="auto"/>
          </w:tcPr>
          <w:p w:rsidR="00A94CD7" w:rsidRPr="00D918EA" w:rsidRDefault="00A94CD7" w:rsidP="00A963E8">
            <w:pPr>
              <w:pStyle w:val="TableHeading"/>
              <w:rPr>
                <w:lang w:val="en-US"/>
              </w:rPr>
            </w:pPr>
            <w:r w:rsidRPr="00D918EA">
              <w:rPr>
                <w:lang w:val="en-US"/>
              </w:rPr>
              <w:t>Validity criteria</w:t>
            </w:r>
          </w:p>
        </w:tc>
        <w:tc>
          <w:tcPr>
            <w:tcW w:w="3636" w:type="dxa"/>
            <w:tcBorders>
              <w:top w:val="single" w:sz="4" w:space="0" w:color="auto"/>
              <w:left w:val="single" w:sz="4" w:space="0" w:color="auto"/>
              <w:bottom w:val="single" w:sz="4" w:space="0" w:color="auto"/>
              <w:right w:val="single" w:sz="4" w:space="0" w:color="auto"/>
            </w:tcBorders>
            <w:shd w:val="clear" w:color="auto" w:fill="auto"/>
          </w:tcPr>
          <w:p w:rsidR="00A94CD7" w:rsidRPr="00D918EA" w:rsidRDefault="00A94CD7" w:rsidP="00A963E8">
            <w:pPr>
              <w:pStyle w:val="TableHeading"/>
              <w:rPr>
                <w:lang w:val="en-US"/>
              </w:rPr>
            </w:pPr>
            <w:r w:rsidRPr="00D918EA">
              <w:rPr>
                <w:lang w:val="en-US"/>
              </w:rPr>
              <w:t>Description</w:t>
            </w: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A94CD7" w:rsidRPr="00D918EA" w:rsidRDefault="00A94CD7" w:rsidP="00A963E8">
            <w:pPr>
              <w:pStyle w:val="TableHeading"/>
              <w:rPr>
                <w:lang w:val="en-US"/>
              </w:rPr>
            </w:pPr>
            <w:r w:rsidRPr="00D918EA">
              <w:rPr>
                <w:lang w:val="en-US"/>
              </w:rPr>
              <w:t>Grading System</w:t>
            </w:r>
          </w:p>
        </w:tc>
      </w:tr>
      <w:tr w:rsidR="00A94CD7" w:rsidRPr="00D918EA" w:rsidTr="00192A3B">
        <w:trPr>
          <w:tblHeader/>
        </w:trPr>
        <w:tc>
          <w:tcPr>
            <w:tcW w:w="1832" w:type="dxa"/>
            <w:tcBorders>
              <w:top w:val="single" w:sz="4" w:space="0" w:color="auto"/>
              <w:left w:val="single" w:sz="4" w:space="0" w:color="auto"/>
              <w:bottom w:val="single" w:sz="4" w:space="0" w:color="auto"/>
              <w:right w:val="single" w:sz="4" w:space="0" w:color="auto"/>
            </w:tcBorders>
            <w:shd w:val="clear" w:color="auto" w:fill="auto"/>
          </w:tcPr>
          <w:p w:rsidR="00A94CD7" w:rsidRPr="00D918EA" w:rsidRDefault="00A94CD7" w:rsidP="00A963E8">
            <w:pPr>
              <w:pStyle w:val="TableHeading"/>
              <w:rPr>
                <w:lang w:val="en-US"/>
              </w:rPr>
            </w:pPr>
            <w:r w:rsidRPr="00D918EA">
              <w:rPr>
                <w:lang w:val="en-US"/>
              </w:rPr>
              <w:t>Appropriate comparison</w:t>
            </w:r>
          </w:p>
        </w:tc>
        <w:tc>
          <w:tcPr>
            <w:tcW w:w="3636" w:type="dxa"/>
            <w:tcBorders>
              <w:top w:val="single" w:sz="4" w:space="0" w:color="auto"/>
              <w:left w:val="single" w:sz="4" w:space="0" w:color="auto"/>
              <w:bottom w:val="single" w:sz="4" w:space="0" w:color="auto"/>
              <w:right w:val="single" w:sz="4" w:space="0" w:color="auto"/>
            </w:tcBorders>
            <w:shd w:val="clear" w:color="auto" w:fill="auto"/>
          </w:tcPr>
          <w:p w:rsidR="00A94CD7" w:rsidRPr="00D918EA" w:rsidRDefault="00A94CD7" w:rsidP="00D918EA">
            <w:pPr>
              <w:pStyle w:val="TableText"/>
            </w:pPr>
            <w:r w:rsidRPr="00D918EA">
              <w:t>Did the study evaluate a direct comparison of the test</w:t>
            </w:r>
            <w:r w:rsidR="00D918EA" w:rsidRPr="00D918EA">
              <w:t>/treatment</w:t>
            </w:r>
            <w:r w:rsidRPr="00D918EA">
              <w:t xml:space="preserve"> strategy versu</w:t>
            </w:r>
            <w:r w:rsidR="0040218C" w:rsidRPr="00D918EA">
              <w:t>s the comparator strategy?</w:t>
            </w: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A94CD7" w:rsidRPr="00D918EA" w:rsidRDefault="00A94CD7" w:rsidP="00A963E8">
            <w:pPr>
              <w:pStyle w:val="TableText"/>
            </w:pPr>
            <w:r w:rsidRPr="00D918EA">
              <w:t xml:space="preserve">C1 direct comparison </w:t>
            </w:r>
          </w:p>
          <w:p w:rsidR="00A94CD7" w:rsidRPr="00D918EA" w:rsidRDefault="00A94CD7" w:rsidP="00A963E8">
            <w:pPr>
              <w:pStyle w:val="TableText"/>
            </w:pPr>
            <w:r w:rsidRPr="00D918EA">
              <w:t>CX other comparison</w:t>
            </w:r>
          </w:p>
        </w:tc>
      </w:tr>
      <w:tr w:rsidR="00A94CD7" w:rsidRPr="00D918EA" w:rsidTr="00192A3B">
        <w:trPr>
          <w:tblHeader/>
        </w:trPr>
        <w:tc>
          <w:tcPr>
            <w:tcW w:w="1832" w:type="dxa"/>
            <w:tcBorders>
              <w:top w:val="single" w:sz="4" w:space="0" w:color="auto"/>
              <w:left w:val="single" w:sz="4" w:space="0" w:color="auto"/>
              <w:bottom w:val="single" w:sz="4" w:space="0" w:color="auto"/>
              <w:right w:val="single" w:sz="4" w:space="0" w:color="auto"/>
            </w:tcBorders>
            <w:shd w:val="clear" w:color="auto" w:fill="auto"/>
          </w:tcPr>
          <w:p w:rsidR="00A94CD7" w:rsidRPr="00D918EA" w:rsidRDefault="00A94CD7" w:rsidP="00A963E8">
            <w:pPr>
              <w:pStyle w:val="TableHeading"/>
              <w:rPr>
                <w:lang w:val="en-US"/>
              </w:rPr>
            </w:pPr>
            <w:r w:rsidRPr="00D918EA">
              <w:rPr>
                <w:lang w:val="en-US"/>
              </w:rPr>
              <w:t>Applicable population</w:t>
            </w:r>
          </w:p>
        </w:tc>
        <w:tc>
          <w:tcPr>
            <w:tcW w:w="3636" w:type="dxa"/>
            <w:tcBorders>
              <w:top w:val="single" w:sz="4" w:space="0" w:color="auto"/>
              <w:left w:val="single" w:sz="4" w:space="0" w:color="auto"/>
              <w:bottom w:val="single" w:sz="4" w:space="0" w:color="auto"/>
              <w:right w:val="single" w:sz="4" w:space="0" w:color="auto"/>
            </w:tcBorders>
            <w:shd w:val="clear" w:color="auto" w:fill="auto"/>
          </w:tcPr>
          <w:p w:rsidR="00A94CD7" w:rsidRPr="00D918EA" w:rsidRDefault="00A94CD7" w:rsidP="00D918EA">
            <w:pPr>
              <w:pStyle w:val="TableText"/>
            </w:pPr>
            <w:r w:rsidRPr="00D918EA">
              <w:t>Did the study evaluate the test</w:t>
            </w:r>
            <w:r w:rsidR="00D918EA" w:rsidRPr="00D918EA">
              <w:t>/treatment</w:t>
            </w:r>
            <w:r w:rsidRPr="00D918EA">
              <w:t xml:space="preserve"> in a population that is representative of the subject characteristics (age and sex) and clinical setting (disease prevalence, disease severity, referral filter and sequence of tests) for the cli</w:t>
            </w:r>
            <w:r w:rsidR="0040218C" w:rsidRPr="00D918EA">
              <w:t>nical indication of interest?</w:t>
            </w: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A94CD7" w:rsidRPr="00D918EA" w:rsidRDefault="00A94CD7" w:rsidP="00A963E8">
            <w:pPr>
              <w:pStyle w:val="TableText"/>
            </w:pPr>
            <w:r w:rsidRPr="00D918EA">
              <w:t>P1 applicable</w:t>
            </w:r>
          </w:p>
          <w:p w:rsidR="00A94CD7" w:rsidRPr="00D918EA" w:rsidRDefault="00A94CD7" w:rsidP="00A963E8">
            <w:pPr>
              <w:pStyle w:val="TableText"/>
            </w:pPr>
            <w:r w:rsidRPr="00D918EA">
              <w:t xml:space="preserve">P2 limited </w:t>
            </w:r>
          </w:p>
          <w:p w:rsidR="00A94CD7" w:rsidRPr="00D918EA" w:rsidRDefault="00A94CD7" w:rsidP="00A963E8">
            <w:pPr>
              <w:pStyle w:val="TableText"/>
            </w:pPr>
            <w:r w:rsidRPr="00D918EA">
              <w:t>P3 different population</w:t>
            </w:r>
          </w:p>
        </w:tc>
      </w:tr>
      <w:tr w:rsidR="00A94CD7" w:rsidRPr="00C9782D" w:rsidTr="00192A3B">
        <w:trPr>
          <w:tblHeader/>
        </w:trPr>
        <w:tc>
          <w:tcPr>
            <w:tcW w:w="1832" w:type="dxa"/>
            <w:tcBorders>
              <w:top w:val="single" w:sz="4" w:space="0" w:color="auto"/>
              <w:left w:val="single" w:sz="4" w:space="0" w:color="auto"/>
              <w:bottom w:val="single" w:sz="4" w:space="0" w:color="auto"/>
              <w:right w:val="single" w:sz="4" w:space="0" w:color="auto"/>
            </w:tcBorders>
            <w:shd w:val="clear" w:color="auto" w:fill="auto"/>
          </w:tcPr>
          <w:p w:rsidR="00A94CD7" w:rsidRPr="00D918EA" w:rsidRDefault="00A94CD7" w:rsidP="00A963E8">
            <w:pPr>
              <w:pStyle w:val="TableHeading"/>
              <w:rPr>
                <w:lang w:val="en-US"/>
              </w:rPr>
            </w:pPr>
            <w:r w:rsidRPr="00D918EA">
              <w:rPr>
                <w:lang w:val="en-US"/>
              </w:rPr>
              <w:t>Quality of study</w:t>
            </w:r>
          </w:p>
        </w:tc>
        <w:tc>
          <w:tcPr>
            <w:tcW w:w="3636" w:type="dxa"/>
            <w:tcBorders>
              <w:top w:val="single" w:sz="4" w:space="0" w:color="auto"/>
              <w:left w:val="single" w:sz="4" w:space="0" w:color="auto"/>
              <w:bottom w:val="single" w:sz="4" w:space="0" w:color="auto"/>
              <w:right w:val="single" w:sz="4" w:space="0" w:color="auto"/>
            </w:tcBorders>
            <w:shd w:val="clear" w:color="auto" w:fill="auto"/>
          </w:tcPr>
          <w:p w:rsidR="00A94CD7" w:rsidRPr="00D918EA" w:rsidRDefault="00A94CD7" w:rsidP="00A963E8">
            <w:pPr>
              <w:pStyle w:val="TableText"/>
            </w:pPr>
            <w:r w:rsidRPr="00D918EA">
              <w:t>Was the study designed and to avoid bias?</w:t>
            </w:r>
          </w:p>
          <w:p w:rsidR="00A94CD7" w:rsidRPr="00D918EA" w:rsidRDefault="00A94CD7" w:rsidP="00A963E8">
            <w:pPr>
              <w:pStyle w:val="TableText"/>
            </w:pPr>
            <w:r w:rsidRPr="00D918EA">
              <w:t xml:space="preserve">High quality = no potential for bias based on pre-defined key quality criteria </w:t>
            </w:r>
          </w:p>
          <w:p w:rsidR="00A94CD7" w:rsidRPr="00D918EA" w:rsidRDefault="00A94CD7" w:rsidP="00A963E8">
            <w:pPr>
              <w:pStyle w:val="TableText"/>
            </w:pPr>
            <w:r w:rsidRPr="00D918EA">
              <w:t>Medium quality = some potential for bias in areas other than those pre-specified as key criteria</w:t>
            </w:r>
          </w:p>
          <w:p w:rsidR="00A94CD7" w:rsidRPr="00D918EA" w:rsidRDefault="00A94CD7" w:rsidP="00A963E8">
            <w:pPr>
              <w:pStyle w:val="TableText"/>
            </w:pPr>
            <w:r w:rsidRPr="00D918EA">
              <w:t>Poor quality = poor reference standard and/or potential for bias base</w:t>
            </w:r>
            <w:r w:rsidR="0040218C" w:rsidRPr="00D918EA">
              <w:t>d on key pre-specified criteria</w:t>
            </w:r>
          </w:p>
        </w:tc>
        <w:tc>
          <w:tcPr>
            <w:tcW w:w="2946" w:type="dxa"/>
            <w:tcBorders>
              <w:top w:val="single" w:sz="4" w:space="0" w:color="auto"/>
              <w:left w:val="single" w:sz="4" w:space="0" w:color="auto"/>
              <w:bottom w:val="single" w:sz="4" w:space="0" w:color="auto"/>
              <w:right w:val="single" w:sz="4" w:space="0" w:color="auto"/>
            </w:tcBorders>
            <w:shd w:val="clear" w:color="auto" w:fill="auto"/>
          </w:tcPr>
          <w:p w:rsidR="00A94CD7" w:rsidRPr="00D918EA" w:rsidRDefault="00A94CD7" w:rsidP="00A963E8">
            <w:pPr>
              <w:pStyle w:val="TableText"/>
            </w:pPr>
          </w:p>
          <w:p w:rsidR="00A94CD7" w:rsidRPr="00D918EA" w:rsidRDefault="00A94CD7" w:rsidP="00A963E8">
            <w:pPr>
              <w:pStyle w:val="TableText"/>
            </w:pPr>
            <w:r w:rsidRPr="00D918EA">
              <w:t xml:space="preserve">Q1 high quality </w:t>
            </w:r>
          </w:p>
          <w:p w:rsidR="00A94CD7" w:rsidRPr="00D918EA" w:rsidRDefault="00A94CD7" w:rsidP="00A963E8">
            <w:pPr>
              <w:pStyle w:val="TableText"/>
            </w:pPr>
            <w:r w:rsidRPr="00D918EA">
              <w:t xml:space="preserve">Q2 medium </w:t>
            </w:r>
          </w:p>
          <w:p w:rsidR="00783A80" w:rsidRPr="00D918EA" w:rsidRDefault="00A94CD7" w:rsidP="00783A80">
            <w:pPr>
              <w:pStyle w:val="TableText"/>
            </w:pPr>
            <w:r w:rsidRPr="00D918EA">
              <w:t>Q3 poor reference standard</w:t>
            </w:r>
          </w:p>
          <w:p w:rsidR="00783A80" w:rsidRPr="00D918EA" w:rsidRDefault="00A94CD7" w:rsidP="00783A80">
            <w:pPr>
              <w:pStyle w:val="TableText"/>
              <w:ind w:firstLine="225"/>
            </w:pPr>
            <w:r w:rsidRPr="00D918EA">
              <w:t>poor quality</w:t>
            </w:r>
          </w:p>
          <w:p w:rsidR="00A94CD7" w:rsidRPr="00C9782D" w:rsidRDefault="00A94CD7" w:rsidP="00783A80">
            <w:pPr>
              <w:pStyle w:val="TableText"/>
              <w:ind w:firstLine="225"/>
            </w:pPr>
            <w:r w:rsidRPr="00D918EA">
              <w:t>or insufficient information</w:t>
            </w:r>
          </w:p>
        </w:tc>
      </w:tr>
    </w:tbl>
    <w:p w:rsidR="002003A2" w:rsidRPr="00C9782D" w:rsidRDefault="002003A2" w:rsidP="00563502">
      <w:pPr>
        <w:rPr>
          <w:sz w:val="18"/>
          <w:szCs w:val="18"/>
        </w:rPr>
      </w:pPr>
    </w:p>
    <w:p w:rsidR="00E56B21" w:rsidRPr="003E61DB" w:rsidRDefault="00E56B21" w:rsidP="00A158A3">
      <w:pPr>
        <w:pStyle w:val="Heading4"/>
      </w:pPr>
      <w:r w:rsidRPr="003E61DB">
        <w:t>Quality</w:t>
      </w:r>
    </w:p>
    <w:p w:rsidR="00DE1243" w:rsidRDefault="00E56B21" w:rsidP="00E56B21">
      <w:r w:rsidRPr="00C9782D">
        <w:t xml:space="preserve">The appraisal of intervention studies pertaining to treatment safety and effectiveness was undertaken using a checklist developed by the NHMRC </w:t>
      </w:r>
      <w:r w:rsidRPr="00C9782D">
        <w:fldChar w:fldCharType="begin"/>
      </w:r>
      <w:r w:rsidR="003D3549">
        <w:instrText xml:space="preserve"> ADDIN EN.CITE &lt;EndNote&gt;&lt;Cite&gt;&lt;Author&gt;NHMRC&lt;/Author&gt;&lt;Year&gt;2000&lt;/Year&gt;&lt;RecNum&gt;26&lt;/RecNum&gt;&lt;DisplayText&gt;(NHMRC 2000)&lt;/DisplayText&gt;&lt;record&gt;&lt;rec-number&gt;26&lt;/rec-number&gt;&lt;ref-type name="Report"&gt;27&lt;/ref-type&gt;&lt;contributors&gt;&lt;authors&gt;&lt;author&gt;NHMRC&lt;/author&gt;&lt;/authors&gt;&lt;/contributors&gt;&lt;titles&gt;&lt;title&gt;How to review the evidence: systematic identification and review of the scientific literature&lt;/title&gt;&lt;/titles&gt;&lt;pages&gt;112&lt;/pages&gt;&lt;dates&gt;&lt;year&gt;2000&lt;/year&gt;&lt;pub-dates&gt;&lt;date&gt;Endorsed November 1999&lt;/date&gt;&lt;/pub-dates&gt;&lt;/dates&gt;&lt;pub-location&gt;Canberra&lt;/pub-location&gt;&lt;publisher&gt;National Health and Medical Research Council&lt;/publisher&gt;&lt;isbn&gt;ISBN 1864960329&lt;/isbn&gt;&lt;call-num&gt;SHELF 7&lt;/call-num&gt;&lt;label&gt;guidelines ; clinical decisions ; LR ; evidence ; consumers ; economics&lt;/label&gt;&lt;work-type&gt;Handbook series on preparing clinical practice guidlines&lt;/work-type&gt;&lt;urls&gt;&lt;/urls&gt;&lt;/record&gt;&lt;/Cite&gt;&lt;/EndNote&gt;</w:instrText>
      </w:r>
      <w:r w:rsidRPr="00C9782D">
        <w:fldChar w:fldCharType="separate"/>
      </w:r>
      <w:r w:rsidR="003D3549">
        <w:rPr>
          <w:noProof/>
        </w:rPr>
        <w:t>(</w:t>
      </w:r>
      <w:hyperlink w:anchor="_ENREF_44" w:tooltip="NHMRC, 2000 #26" w:history="1">
        <w:r w:rsidR="006F79C1">
          <w:rPr>
            <w:noProof/>
          </w:rPr>
          <w:t>NHMRC 2000</w:t>
        </w:r>
      </w:hyperlink>
      <w:r w:rsidR="003D3549">
        <w:rPr>
          <w:noProof/>
        </w:rPr>
        <w:t>)</w:t>
      </w:r>
      <w:r w:rsidRPr="00C9782D">
        <w:fldChar w:fldCharType="end"/>
      </w:r>
      <w:r w:rsidRPr="00C9782D">
        <w:t xml:space="preserve">. This checklist was used for trials and cohort studies. Uncontrolled before-and-after case series are a poorer level of evidence with which to assess effectiveness. The quality of this type of study design was assessed according to a checklist developed by the UK National Health Service (NHS) Centre for Reviews and Dissemination </w:t>
      </w:r>
      <w:r w:rsidRPr="00C9782D">
        <w:fldChar w:fldCharType="begin"/>
      </w:r>
      <w:r w:rsidR="003D3549">
        <w:instrText xml:space="preserve"> ADDIN EN.CITE &lt;EndNote&gt;&lt;Cite&gt;&lt;Author&gt;Khan&lt;/Author&gt;&lt;Year&gt;2001&lt;/Year&gt;&lt;RecNum&gt;27&lt;/RecNum&gt;&lt;DisplayText&gt;(Khan, Ter Riet et al. 2001)&lt;/DisplayText&gt;&lt;record&gt;&lt;rec-number&gt;27&lt;/rec-number&gt;&lt;ref-type name="Report"&gt;27&lt;/ref-type&gt;&lt;contributors&gt;&lt;authors&gt;&lt;author&gt;Khan, K.S.&lt;/author&gt;&lt;author&gt;Ter Riet, G.&lt;/author&gt;&lt;author&gt;Glanville, J.M.&lt;/author&gt;&lt;author&gt;Sowden, A.J.&lt;/author&gt;&lt;author&gt;Kleijnen, J.&lt;/author&gt;&lt;/authors&gt;&lt;/contributors&gt;&lt;titles&gt;&lt;title&gt;Undertaking systematic reviews of research on effectiveness. CRD&amp;apos;s guidance for those carrying out or commissioning reviews&lt;/title&gt;&lt;/titles&gt;&lt;dates&gt;&lt;year&gt;2001&lt;/year&gt;&lt;pub-dates&gt;&lt;date&gt;2001 (second edition)&lt;/date&gt;&lt;/pub-dates&gt;&lt;/dates&gt;&lt;pub-location&gt;York&lt;/pub-location&gt;&lt;publisher&gt;NHS Centre for Reviews and Dissemination, University of York&lt;/publisher&gt;&lt;isbn&gt;CRD Report Number 4 (second edition)&lt;/isbn&gt;&lt;call-num&gt;TRACY&lt;/call-num&gt;&lt;label&gt;evidence ; sr ; health information ; research ; LR&lt;/label&gt;&lt;work-type&gt;CRD Report&lt;/work-type&gt;&lt;urls&gt;&lt;/urls&gt;&lt;/record&gt;&lt;/Cite&gt;&lt;/EndNote&gt;</w:instrText>
      </w:r>
      <w:r w:rsidRPr="00C9782D">
        <w:fldChar w:fldCharType="separate"/>
      </w:r>
      <w:r w:rsidR="003D3549">
        <w:rPr>
          <w:noProof/>
        </w:rPr>
        <w:t>(</w:t>
      </w:r>
      <w:hyperlink w:anchor="_ENREF_31" w:tooltip="Khan, 2001 #27" w:history="1">
        <w:r w:rsidR="006F79C1">
          <w:rPr>
            <w:noProof/>
          </w:rPr>
          <w:t>Khan, Ter Riet et al. 2001</w:t>
        </w:r>
      </w:hyperlink>
      <w:r w:rsidR="003D3549">
        <w:rPr>
          <w:noProof/>
        </w:rPr>
        <w:t>)</w:t>
      </w:r>
      <w:r w:rsidRPr="00C9782D">
        <w:fldChar w:fldCharType="end"/>
      </w:r>
      <w:r w:rsidRPr="00C9782D">
        <w:t>.</w:t>
      </w:r>
      <w:r w:rsidR="00E049A1" w:rsidRPr="00C9782D">
        <w:t xml:space="preserve"> </w:t>
      </w:r>
    </w:p>
    <w:p w:rsidR="006549AB" w:rsidRPr="00C9782D" w:rsidRDefault="006549AB" w:rsidP="00E56B21"/>
    <w:p w:rsidR="00E56B21" w:rsidRPr="00C9782D" w:rsidRDefault="00E56B21" w:rsidP="00A158A3">
      <w:pPr>
        <w:pStyle w:val="Heading4"/>
      </w:pPr>
      <w:r w:rsidRPr="00C9782D">
        <w:lastRenderedPageBreak/>
        <w:t>Statistical precision</w:t>
      </w:r>
    </w:p>
    <w:p w:rsidR="002003A2" w:rsidRPr="00C9782D" w:rsidRDefault="00E56B21" w:rsidP="00E56B21">
      <w:r w:rsidRPr="00C9782D">
        <w:t xml:space="preserve">Statistical precision was determined using statistical principles. Small confidence intervals and p-values give an indication as to the probability that the reported effect is real and not attributable to chance </w:t>
      </w:r>
      <w:r w:rsidRPr="00C9782D">
        <w:fldChar w:fldCharType="begin"/>
      </w:r>
      <w:r w:rsidR="003D3549">
        <w:instrText xml:space="preserve"> ADDIN EN.CITE &lt;EndNote&gt;&lt;Cite&gt;&lt;Author&gt;NHMRC&lt;/Author&gt;&lt;Year&gt;2000&lt;/Year&gt;&lt;RecNum&gt;25&lt;/RecNum&gt;&lt;DisplayText&gt;(NHMRC 2000)&lt;/DisplayText&gt;&lt;record&gt;&lt;rec-number&gt;25&lt;/rec-number&gt;&lt;ref-type name="Report"&gt;27&lt;/ref-type&gt;&lt;contributors&gt;&lt;authors&gt;&lt;author&gt;NHMRC,&lt;/author&gt;&lt;/authors&gt;&lt;/contributors&gt;&lt;titles&gt;&lt;title&gt;How to use the evidence: assessment and application of scientific evidence&lt;/title&gt;&lt;/titles&gt;&lt;pages&gt;84&lt;/pages&gt;&lt;keywords&gt;&lt;keyword&gt;Practice guidelines&lt;/keyword&gt;&lt;keyword&gt;Review literature&lt;/keyword&gt;&lt;keyword&gt;Australia&lt;/keyword&gt;&lt;keyword&gt;Evidence-Based Medicine&lt;/keyword&gt;&lt;/keywords&gt;&lt;dates&gt;&lt;year&gt;2000&lt;/year&gt;&lt;pub-dates&gt;&lt;date&gt;February 2000&lt;/date&gt;&lt;/pub-dates&gt;&lt;/dates&gt;&lt;pub-location&gt;Canberra&lt;/pub-location&gt;&lt;publisher&gt;National Health and Medical Research Council&lt;/publisher&gt;&lt;call-num&gt;SHELF 7&lt;/call-num&gt;&lt;label&gt;evidence ; treatment path ; clinical decisions ; guidelines; methodology; health technology;&lt;/label&gt;&lt;work-type&gt;Handbook series on preparing clinical practice guidelines&lt;/work-type&gt;&lt;urls&gt;&lt;/urls&gt;&lt;/record&gt;&lt;/Cite&gt;&lt;/EndNote&gt;</w:instrText>
      </w:r>
      <w:r w:rsidRPr="00C9782D">
        <w:fldChar w:fldCharType="separate"/>
      </w:r>
      <w:r w:rsidR="003D3549">
        <w:rPr>
          <w:noProof/>
        </w:rPr>
        <w:t>(</w:t>
      </w:r>
      <w:hyperlink w:anchor="_ENREF_45" w:tooltip="NHMRC, 2000 #25" w:history="1">
        <w:r w:rsidR="006F79C1">
          <w:rPr>
            <w:noProof/>
          </w:rPr>
          <w:t>NHMRC 2000</w:t>
        </w:r>
      </w:hyperlink>
      <w:r w:rsidR="003D3549">
        <w:rPr>
          <w:noProof/>
        </w:rPr>
        <w:t>)</w:t>
      </w:r>
      <w:r w:rsidRPr="00C9782D">
        <w:fldChar w:fldCharType="end"/>
      </w:r>
      <w:r w:rsidRPr="00C9782D">
        <w:t>. Studies need to be appropriately to ensure that a real difference between groups will be detected in the statistical analysis.</w:t>
      </w:r>
    </w:p>
    <w:p w:rsidR="008E22DE" w:rsidRPr="00C9782D" w:rsidRDefault="008E22DE" w:rsidP="00C33B0E">
      <w:pPr>
        <w:pStyle w:val="Heading4"/>
      </w:pPr>
      <w:bookmarkStart w:id="73" w:name="_Toc124833665"/>
      <w:bookmarkStart w:id="74" w:name="_Toc134415510"/>
      <w:r w:rsidRPr="00C9782D">
        <w:t>Size of effect</w:t>
      </w:r>
      <w:bookmarkEnd w:id="73"/>
      <w:bookmarkEnd w:id="74"/>
    </w:p>
    <w:p w:rsidR="008E22DE" w:rsidRPr="00C9782D" w:rsidRDefault="008E22DE" w:rsidP="00776092">
      <w:r w:rsidRPr="00C9782D">
        <w:t xml:space="preserve">For intervention studies </w:t>
      </w:r>
      <w:r w:rsidR="00D67B86" w:rsidRPr="00C9782D">
        <w:t xml:space="preserve">of </w:t>
      </w:r>
      <w:r w:rsidR="00E03346" w:rsidRPr="00C9782D">
        <w:t>intervention</w:t>
      </w:r>
      <w:r w:rsidR="00FB5809" w:rsidRPr="00C9782D">
        <w:t xml:space="preserve"> name </w:t>
      </w:r>
      <w:r w:rsidRPr="00C9782D">
        <w:t xml:space="preserve">it was important to assess whether statistically significant differences </w:t>
      </w:r>
      <w:r w:rsidR="00FB531B" w:rsidRPr="00C9782D">
        <w:t>between the comparators were</w:t>
      </w:r>
      <w:r w:rsidRPr="00C9782D">
        <w:t xml:space="preserve"> also clinically important. The size of the effect needed to be determined, as well as whether the 95% confidence interval include</w:t>
      </w:r>
      <w:r w:rsidR="00FB531B" w:rsidRPr="00C9782D">
        <w:t>d</w:t>
      </w:r>
      <w:r w:rsidRPr="00C9782D">
        <w:t xml:space="preserve"> only clinically important effects. </w:t>
      </w:r>
    </w:p>
    <w:p w:rsidR="008E22DE" w:rsidRPr="00C9782D" w:rsidRDefault="008E22DE" w:rsidP="00C33B0E">
      <w:pPr>
        <w:pStyle w:val="Heading4"/>
      </w:pPr>
      <w:bookmarkStart w:id="75" w:name="_Toc124833666"/>
      <w:bookmarkStart w:id="76" w:name="_Toc134415511"/>
      <w:r w:rsidRPr="00C9782D">
        <w:t>Relevance of evidence</w:t>
      </w:r>
      <w:bookmarkEnd w:id="75"/>
      <w:bookmarkEnd w:id="76"/>
    </w:p>
    <w:p w:rsidR="008E22DE" w:rsidRDefault="00FB531B" w:rsidP="00776092">
      <w:r w:rsidRPr="00C9782D">
        <w:t>T</w:t>
      </w:r>
      <w:r w:rsidR="008E22DE" w:rsidRPr="00C9782D">
        <w:t>he outcome</w:t>
      </w:r>
      <w:r w:rsidRPr="00C9782D">
        <w:t>s</w:t>
      </w:r>
      <w:r w:rsidR="008E22DE" w:rsidRPr="00C9782D">
        <w:t xml:space="preserve"> being measured</w:t>
      </w:r>
      <w:r w:rsidRPr="00C9782D">
        <w:t xml:space="preserve"> in this report</w:t>
      </w:r>
      <w:r w:rsidR="008E22DE" w:rsidRPr="00C9782D">
        <w:t xml:space="preserve"> should be appropriate and clinically relevant. Inadequately validated (predictive) surrogate measures of a clinically relevant outcome should be avoided</w:t>
      </w:r>
      <w:r w:rsidR="007A1C6E" w:rsidRPr="00C9782D">
        <w:t xml:space="preserve"> </w:t>
      </w:r>
      <w:r w:rsidR="00484F13" w:rsidRPr="00C9782D">
        <w:fldChar w:fldCharType="begin"/>
      </w:r>
      <w:r w:rsidR="003D3549">
        <w:instrText xml:space="preserve"> ADDIN EN.CITE &lt;EndNote&gt;&lt;Cite&gt;&lt;Author&gt;NHMRC&lt;/Author&gt;&lt;Year&gt;2000&lt;/Year&gt;&lt;RecNum&gt;25&lt;/RecNum&gt;&lt;DisplayText&gt;(NHMRC 2000)&lt;/DisplayText&gt;&lt;record&gt;&lt;rec-number&gt;25&lt;/rec-number&gt;&lt;ref-type name="Report"&gt;27&lt;/ref-type&gt;&lt;contributors&gt;&lt;authors&gt;&lt;author&gt;NHMRC,&lt;/author&gt;&lt;/authors&gt;&lt;/contributors&gt;&lt;titles&gt;&lt;title&gt;How to use the evidence: assessment and application of scientific evidence&lt;/title&gt;&lt;/titles&gt;&lt;pages&gt;84&lt;/pages&gt;&lt;keywords&gt;&lt;keyword&gt;Practice guidelines&lt;/keyword&gt;&lt;keyword&gt;Review literature&lt;/keyword&gt;&lt;keyword&gt;Australia&lt;/keyword&gt;&lt;keyword&gt;Evidence-Based Medicine&lt;/keyword&gt;&lt;/keywords&gt;&lt;dates&gt;&lt;year&gt;2000&lt;/year&gt;&lt;pub-dates&gt;&lt;date&gt;February 2000&lt;/date&gt;&lt;/pub-dates&gt;&lt;/dates&gt;&lt;pub-location&gt;Canberra&lt;/pub-location&gt;&lt;publisher&gt;National Health and Medical Research Council&lt;/publisher&gt;&lt;call-num&gt;SHELF 7&lt;/call-num&gt;&lt;label&gt;evidence ; treatment path ; clinical decisions ; guidelines; methodology; health technology;&lt;/label&gt;&lt;work-type&gt;Handbook series on preparing clinical practice guidelines&lt;/work-type&gt;&lt;urls&gt;&lt;/urls&gt;&lt;/record&gt;&lt;/Cite&gt;&lt;/EndNote&gt;</w:instrText>
      </w:r>
      <w:r w:rsidR="00484F13" w:rsidRPr="00C9782D">
        <w:fldChar w:fldCharType="separate"/>
      </w:r>
      <w:r w:rsidR="003D3549">
        <w:rPr>
          <w:noProof/>
        </w:rPr>
        <w:t>(</w:t>
      </w:r>
      <w:hyperlink w:anchor="_ENREF_45" w:tooltip="NHMRC, 2000 #25" w:history="1">
        <w:r w:rsidR="006F79C1">
          <w:rPr>
            <w:noProof/>
          </w:rPr>
          <w:t>NHMRC 2000</w:t>
        </w:r>
      </w:hyperlink>
      <w:r w:rsidR="003D3549">
        <w:rPr>
          <w:noProof/>
        </w:rPr>
        <w:t>)</w:t>
      </w:r>
      <w:r w:rsidR="00484F13" w:rsidRPr="00C9782D">
        <w:fldChar w:fldCharType="end"/>
      </w:r>
      <w:r w:rsidR="008E22DE" w:rsidRPr="00C9782D">
        <w:t xml:space="preserve">. </w:t>
      </w:r>
    </w:p>
    <w:p w:rsidR="006549AB" w:rsidRDefault="00A81AF5" w:rsidP="00A81AF5">
      <w:pPr>
        <w:pStyle w:val="Heading4"/>
        <w:rPr>
          <w:lang w:val="en-US"/>
        </w:rPr>
      </w:pPr>
      <w:bookmarkStart w:id="77" w:name="_Toc122538326"/>
      <w:bookmarkStart w:id="78" w:name="_Toc143663862"/>
      <w:bookmarkStart w:id="79" w:name="_Ref144697268"/>
      <w:bookmarkStart w:id="80" w:name="_Ref144697275"/>
      <w:r>
        <w:rPr>
          <w:lang w:val="en-US"/>
        </w:rPr>
        <w:t>Assessment of economic evaluations</w:t>
      </w:r>
    </w:p>
    <w:p w:rsidR="00A81AF5" w:rsidRPr="00A81AF5" w:rsidRDefault="005A4B2B" w:rsidP="00A81AF5">
      <w:pPr>
        <w:rPr>
          <w:lang w:val="en-US"/>
        </w:rPr>
      </w:pPr>
      <w:r>
        <w:rPr>
          <w:lang w:val="en-US"/>
        </w:rPr>
        <w:t>In this report, the Consolidated Health Economic Evaluation Reporting Standards (CHEERS) statement is used to assess the economic evaluation studies. This statement is the minimum standards required to present health economic results comprehensively and transparently. It includes 24 criteria that should be met. Although there is no scoring system for this statement, the number of criteria met will be assessed.</w:t>
      </w:r>
    </w:p>
    <w:p w:rsidR="008E22DE" w:rsidRPr="00C9782D" w:rsidRDefault="008E22DE" w:rsidP="00C33B0E">
      <w:pPr>
        <w:pStyle w:val="Heading3"/>
        <w:rPr>
          <w:lang w:val="en-US"/>
        </w:rPr>
      </w:pPr>
      <w:bookmarkStart w:id="81" w:name="_Toc386093701"/>
      <w:r w:rsidRPr="00C9782D">
        <w:rPr>
          <w:lang w:val="en-US"/>
        </w:rPr>
        <w:t>Assessment of the body of evidence</w:t>
      </w:r>
      <w:bookmarkEnd w:id="77"/>
      <w:bookmarkEnd w:id="78"/>
      <w:bookmarkEnd w:id="79"/>
      <w:bookmarkEnd w:id="80"/>
      <w:bookmarkEnd w:id="81"/>
    </w:p>
    <w:p w:rsidR="008E22DE" w:rsidRPr="00C9782D" w:rsidRDefault="008E22DE" w:rsidP="00776092">
      <w:r w:rsidRPr="00C9782D">
        <w:t xml:space="preserve">Appraisal of the body of evidence was conducted along the lines suggested by the NHMRC in their guidance on clinical practice guideline </w:t>
      </w:r>
      <w:r w:rsidR="007A1C6E" w:rsidRPr="00C9782D">
        <w:t>development</w:t>
      </w:r>
      <w:r w:rsidR="00996503" w:rsidRPr="00C9782D">
        <w:t xml:space="preserve"> </w:t>
      </w:r>
      <w:r w:rsidR="00BA0A30" w:rsidRPr="00C9782D">
        <w:fldChar w:fldCharType="begin"/>
      </w:r>
      <w:r w:rsidR="003D3549">
        <w:instrText xml:space="preserve"> ADDIN EN.CITE &lt;EndNote&gt;&lt;Cite&gt;&lt;Author&gt;NHMRC&lt;/Author&gt;&lt;Year&gt;2008&lt;/Year&gt;&lt;RecNum&gt;132&lt;/RecNum&gt;&lt;DisplayText&gt;(NHMRC 2008)&lt;/DisplayText&gt;&lt;record&gt;&lt;rec-number&gt;132&lt;/rec-number&gt;&lt;ref-type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BA0A30" w:rsidRPr="00C9782D">
        <w:fldChar w:fldCharType="separate"/>
      </w:r>
      <w:r w:rsidR="003D3549">
        <w:rPr>
          <w:noProof/>
        </w:rPr>
        <w:t>(</w:t>
      </w:r>
      <w:hyperlink w:anchor="_ENREF_46" w:tooltip="NHMRC, 2008 #132" w:history="1">
        <w:r w:rsidR="006F79C1">
          <w:rPr>
            <w:noProof/>
          </w:rPr>
          <w:t>NHMRC 2008</w:t>
        </w:r>
      </w:hyperlink>
      <w:r w:rsidR="003D3549">
        <w:rPr>
          <w:noProof/>
        </w:rPr>
        <w:t>)</w:t>
      </w:r>
      <w:r w:rsidR="00BA0A30" w:rsidRPr="00C9782D">
        <w:fldChar w:fldCharType="end"/>
      </w:r>
      <w:r w:rsidRPr="00C9782D">
        <w:t xml:space="preserve">. Five components are considered essential by the NHMRC when judging the body of evidence: </w:t>
      </w:r>
    </w:p>
    <w:p w:rsidR="008E22DE" w:rsidRPr="00C9782D" w:rsidRDefault="008E22DE" w:rsidP="00534D10">
      <w:pPr>
        <w:pStyle w:val="Bullet"/>
        <w:numPr>
          <w:ilvl w:val="0"/>
          <w:numId w:val="18"/>
        </w:numPr>
        <w:spacing w:after="0"/>
      </w:pPr>
      <w:r w:rsidRPr="00C9782D">
        <w:t>The evidence</w:t>
      </w:r>
      <w:r w:rsidR="00932174" w:rsidRPr="00C9782D">
        <w:t xml:space="preserve"> base</w:t>
      </w:r>
      <w:r w:rsidRPr="00C9782D">
        <w:t xml:space="preserve"> – which includes the number of studies sorted by their methodological quality and relevance to patients</w:t>
      </w:r>
      <w:r w:rsidR="007D0235" w:rsidRPr="00C9782D">
        <w:t>;</w:t>
      </w:r>
    </w:p>
    <w:p w:rsidR="008E22DE" w:rsidRPr="00C9782D" w:rsidRDefault="008E22DE" w:rsidP="00534D10">
      <w:pPr>
        <w:pStyle w:val="Bullet"/>
        <w:numPr>
          <w:ilvl w:val="0"/>
          <w:numId w:val="18"/>
        </w:numPr>
        <w:spacing w:after="0"/>
      </w:pPr>
      <w:r w:rsidRPr="00C9782D">
        <w:t xml:space="preserve">The consistency of the study results – whether the better quality studies had results of a similar magnitude and in the same direction ie homogenous or </w:t>
      </w:r>
      <w:r w:rsidR="001D62D5" w:rsidRPr="00C9782D">
        <w:t>heterogeneous</w:t>
      </w:r>
      <w:r w:rsidRPr="00C9782D">
        <w:t xml:space="preserve"> findings</w:t>
      </w:r>
      <w:r w:rsidR="007D0235" w:rsidRPr="00C9782D">
        <w:t>;</w:t>
      </w:r>
    </w:p>
    <w:p w:rsidR="008E22DE" w:rsidRPr="00C9782D" w:rsidRDefault="008E22DE" w:rsidP="00534D10">
      <w:pPr>
        <w:pStyle w:val="Bullet"/>
        <w:numPr>
          <w:ilvl w:val="0"/>
          <w:numId w:val="18"/>
        </w:numPr>
        <w:spacing w:after="0"/>
      </w:pPr>
      <w:r w:rsidRPr="00C9782D">
        <w:t>The potential clinical impact - appraisal of the precision, size and clinical importance or relevance of the primary outcomes used to determine the safety and effectiveness of the test</w:t>
      </w:r>
      <w:r w:rsidR="007D0235" w:rsidRPr="00C9782D">
        <w:t>;</w:t>
      </w:r>
    </w:p>
    <w:p w:rsidR="008E22DE" w:rsidRPr="00C9782D" w:rsidRDefault="008E22DE" w:rsidP="00534D10">
      <w:pPr>
        <w:pStyle w:val="Bullet"/>
        <w:numPr>
          <w:ilvl w:val="0"/>
          <w:numId w:val="18"/>
        </w:numPr>
        <w:spacing w:after="0"/>
      </w:pPr>
      <w:r w:rsidRPr="00C9782D">
        <w:t xml:space="preserve">The </w:t>
      </w:r>
      <w:r w:rsidR="001D62D5" w:rsidRPr="00C9782D">
        <w:t>generalizability</w:t>
      </w:r>
      <w:r w:rsidRPr="00C9782D">
        <w:t xml:space="preserve"> of the evidence to the target population; and</w:t>
      </w:r>
    </w:p>
    <w:p w:rsidR="008E22DE" w:rsidRPr="00C9782D" w:rsidRDefault="008E22DE" w:rsidP="00534D10">
      <w:pPr>
        <w:pStyle w:val="Bullet"/>
        <w:numPr>
          <w:ilvl w:val="0"/>
          <w:numId w:val="18"/>
        </w:numPr>
        <w:spacing w:after="0"/>
      </w:pPr>
      <w:r w:rsidRPr="00C9782D">
        <w:t>The applicability of the evidence - integration of this evidence for conclusions about the net clinical benefit of the intervention in the context of Australian clinical practice.</w:t>
      </w:r>
    </w:p>
    <w:p w:rsidR="00E74DAD" w:rsidRDefault="00E74DAD" w:rsidP="00776092"/>
    <w:p w:rsidR="002C04E2" w:rsidRPr="00C9782D" w:rsidRDefault="008E22DE" w:rsidP="00776092">
      <w:r w:rsidRPr="00C9782D">
        <w:t xml:space="preserve">A matrix for assessing the body of evidence for each research question, according to the components above, was used for this assessment </w:t>
      </w:r>
      <w:r w:rsidR="00A81AF5">
        <w:t>(Table 10)</w:t>
      </w:r>
      <w:r w:rsidR="00996503" w:rsidRPr="00C9782D">
        <w:t xml:space="preserve"> </w:t>
      </w:r>
      <w:r w:rsidR="00BA0A30" w:rsidRPr="00C9782D">
        <w:fldChar w:fldCharType="begin"/>
      </w:r>
      <w:r w:rsidR="003D3549">
        <w:instrText xml:space="preserve"> ADDIN EN.CITE &lt;EndNote&gt;&lt;Cite&gt;&lt;Author&gt;NHMRC&lt;/Author&gt;&lt;Year&gt;2008&lt;/Year&gt;&lt;RecNum&gt;132&lt;/RecNum&gt;&lt;DisplayText&gt;(NHMRC 2008)&lt;/DisplayText&gt;&lt;record&gt;&lt;rec-number&gt;132&lt;/rec-number&gt;&lt;ref-type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BA0A30" w:rsidRPr="00C9782D">
        <w:fldChar w:fldCharType="separate"/>
      </w:r>
      <w:r w:rsidR="003D3549">
        <w:rPr>
          <w:noProof/>
        </w:rPr>
        <w:t>(</w:t>
      </w:r>
      <w:hyperlink w:anchor="_ENREF_46" w:tooltip="NHMRC, 2008 #132" w:history="1">
        <w:r w:rsidR="006F79C1">
          <w:rPr>
            <w:noProof/>
          </w:rPr>
          <w:t>NHMRC 2008</w:t>
        </w:r>
      </w:hyperlink>
      <w:r w:rsidR="003D3549">
        <w:rPr>
          <w:noProof/>
        </w:rPr>
        <w:t>)</w:t>
      </w:r>
      <w:r w:rsidR="00BA0A30" w:rsidRPr="00C9782D">
        <w:fldChar w:fldCharType="end"/>
      </w:r>
      <w:r w:rsidRPr="00C9782D">
        <w:t>.</w:t>
      </w:r>
    </w:p>
    <w:p w:rsidR="008E22DE" w:rsidRPr="00B808EA" w:rsidRDefault="00A81AF5" w:rsidP="00B808EA">
      <w:pPr>
        <w:pStyle w:val="TableName"/>
      </w:pPr>
      <w:bookmarkStart w:id="82" w:name="_Toc122538733"/>
      <w:bookmarkStart w:id="83" w:name="_Toc386112679"/>
      <w:r w:rsidRPr="00B808EA">
        <w:lastRenderedPageBreak/>
        <w:t xml:space="preserve">Table 10: </w:t>
      </w:r>
      <w:r w:rsidR="008E22DE" w:rsidRPr="00B808EA">
        <w:t>Body of evidence assessment matrix</w:t>
      </w:r>
      <w:bookmarkEnd w:id="82"/>
      <w:bookmarkEnd w:id="83"/>
    </w:p>
    <w:tbl>
      <w:tblPr>
        <w:tblW w:w="8441" w:type="dxa"/>
        <w:tblInd w:w="739" w:type="dxa"/>
        <w:tblLook w:val="01E0" w:firstRow="1" w:lastRow="1" w:firstColumn="1" w:lastColumn="1" w:noHBand="0" w:noVBand="0"/>
        <w:tblCaption w:val="Table 10 Body of evidence matrix"/>
      </w:tblPr>
      <w:tblGrid>
        <w:gridCol w:w="1943"/>
        <w:gridCol w:w="1414"/>
        <w:gridCol w:w="1695"/>
        <w:gridCol w:w="1694"/>
        <w:gridCol w:w="1695"/>
      </w:tblGrid>
      <w:tr w:rsidR="00421129" w:rsidRPr="00D918EA" w:rsidTr="00192A3B">
        <w:trPr>
          <w:tblHeader/>
        </w:trPr>
        <w:tc>
          <w:tcPr>
            <w:tcW w:w="1943" w:type="dxa"/>
            <w:tcBorders>
              <w:top w:val="single" w:sz="2" w:space="0" w:color="auto"/>
              <w:left w:val="single" w:sz="4" w:space="0" w:color="auto"/>
              <w:bottom w:val="nil"/>
              <w:right w:val="single" w:sz="2" w:space="0" w:color="auto"/>
              <w:tl2br w:val="nil"/>
            </w:tcBorders>
            <w:shd w:val="clear" w:color="auto" w:fill="auto"/>
            <w:tcMar>
              <w:right w:w="57" w:type="dxa"/>
            </w:tcMar>
            <w:vAlign w:val="center"/>
          </w:tcPr>
          <w:p w:rsidR="00421129" w:rsidRPr="00D918EA" w:rsidRDefault="00421129" w:rsidP="00BE5D4E">
            <w:pPr>
              <w:pStyle w:val="TableHeading"/>
            </w:pPr>
          </w:p>
        </w:tc>
        <w:tc>
          <w:tcPr>
            <w:tcW w:w="1414" w:type="dxa"/>
            <w:tcBorders>
              <w:top w:val="single" w:sz="2" w:space="0" w:color="auto"/>
              <w:left w:val="single" w:sz="2" w:space="0" w:color="auto"/>
              <w:bottom w:val="nil"/>
              <w:right w:val="single" w:sz="2" w:space="0" w:color="auto"/>
            </w:tcBorders>
            <w:shd w:val="clear" w:color="auto" w:fill="auto"/>
          </w:tcPr>
          <w:p w:rsidR="00421129" w:rsidRPr="00D918EA" w:rsidRDefault="00421129" w:rsidP="00862A16">
            <w:pPr>
              <w:pStyle w:val="TableHeading"/>
            </w:pPr>
            <w:r w:rsidRPr="00D918EA">
              <w:t>A</w:t>
            </w:r>
          </w:p>
        </w:tc>
        <w:tc>
          <w:tcPr>
            <w:tcW w:w="1695" w:type="dxa"/>
            <w:tcBorders>
              <w:top w:val="single" w:sz="2" w:space="0" w:color="auto"/>
              <w:left w:val="single" w:sz="2" w:space="0" w:color="auto"/>
              <w:bottom w:val="nil"/>
              <w:right w:val="single" w:sz="2" w:space="0" w:color="auto"/>
            </w:tcBorders>
            <w:shd w:val="clear" w:color="auto" w:fill="auto"/>
          </w:tcPr>
          <w:p w:rsidR="00421129" w:rsidRPr="00D918EA" w:rsidRDefault="00421129" w:rsidP="00862A16">
            <w:pPr>
              <w:pStyle w:val="TableHeading"/>
            </w:pPr>
            <w:r w:rsidRPr="00D918EA">
              <w:t>B</w:t>
            </w:r>
          </w:p>
        </w:tc>
        <w:tc>
          <w:tcPr>
            <w:tcW w:w="1694" w:type="dxa"/>
            <w:tcBorders>
              <w:top w:val="single" w:sz="2" w:space="0" w:color="auto"/>
              <w:left w:val="single" w:sz="2" w:space="0" w:color="auto"/>
              <w:bottom w:val="nil"/>
              <w:right w:val="single" w:sz="2" w:space="0" w:color="auto"/>
            </w:tcBorders>
            <w:shd w:val="clear" w:color="auto" w:fill="auto"/>
          </w:tcPr>
          <w:p w:rsidR="00421129" w:rsidRPr="00D918EA" w:rsidRDefault="00421129" w:rsidP="00862A16">
            <w:pPr>
              <w:pStyle w:val="TableHeading"/>
            </w:pPr>
            <w:r w:rsidRPr="00D918EA">
              <w:t>C</w:t>
            </w:r>
          </w:p>
        </w:tc>
        <w:tc>
          <w:tcPr>
            <w:tcW w:w="1695" w:type="dxa"/>
            <w:tcBorders>
              <w:top w:val="single" w:sz="2" w:space="0" w:color="auto"/>
              <w:left w:val="single" w:sz="2" w:space="0" w:color="auto"/>
              <w:bottom w:val="nil"/>
              <w:right w:val="single" w:sz="2" w:space="0" w:color="auto"/>
            </w:tcBorders>
            <w:shd w:val="clear" w:color="auto" w:fill="auto"/>
          </w:tcPr>
          <w:p w:rsidR="00421129" w:rsidRPr="00D918EA" w:rsidRDefault="00421129" w:rsidP="00862A16">
            <w:pPr>
              <w:pStyle w:val="TableHeading"/>
            </w:pPr>
            <w:r w:rsidRPr="00D918EA">
              <w:t>D</w:t>
            </w:r>
          </w:p>
        </w:tc>
      </w:tr>
      <w:tr w:rsidR="00421129" w:rsidRPr="00D918EA" w:rsidTr="00192A3B">
        <w:trPr>
          <w:tblHeader/>
        </w:trPr>
        <w:tc>
          <w:tcPr>
            <w:tcW w:w="1943" w:type="dxa"/>
            <w:tcBorders>
              <w:top w:val="nil"/>
              <w:left w:val="single" w:sz="4" w:space="0" w:color="auto"/>
              <w:bottom w:val="single" w:sz="2" w:space="0" w:color="auto"/>
              <w:right w:val="single" w:sz="2" w:space="0" w:color="auto"/>
              <w:tl2br w:val="nil"/>
            </w:tcBorders>
            <w:shd w:val="clear" w:color="auto" w:fill="auto"/>
            <w:tcMar>
              <w:left w:w="57" w:type="dxa"/>
            </w:tcMar>
            <w:vAlign w:val="bottom"/>
          </w:tcPr>
          <w:p w:rsidR="00421129" w:rsidRPr="00D918EA" w:rsidRDefault="00421129" w:rsidP="00862A16">
            <w:pPr>
              <w:pStyle w:val="TableHeading"/>
            </w:pPr>
          </w:p>
        </w:tc>
        <w:tc>
          <w:tcPr>
            <w:tcW w:w="1414" w:type="dxa"/>
            <w:tcBorders>
              <w:top w:val="nil"/>
              <w:left w:val="single" w:sz="2" w:space="0" w:color="auto"/>
              <w:bottom w:val="single" w:sz="2" w:space="0" w:color="auto"/>
              <w:right w:val="single" w:sz="2" w:space="0" w:color="auto"/>
            </w:tcBorders>
            <w:shd w:val="clear" w:color="auto" w:fill="auto"/>
          </w:tcPr>
          <w:p w:rsidR="00421129" w:rsidRPr="00D918EA" w:rsidRDefault="00421129" w:rsidP="00862A16">
            <w:pPr>
              <w:pStyle w:val="TableHeading"/>
            </w:pPr>
            <w:r w:rsidRPr="00D918EA">
              <w:t>Excellent</w:t>
            </w:r>
          </w:p>
        </w:tc>
        <w:tc>
          <w:tcPr>
            <w:tcW w:w="1695" w:type="dxa"/>
            <w:tcBorders>
              <w:top w:val="nil"/>
              <w:left w:val="single" w:sz="2" w:space="0" w:color="auto"/>
              <w:bottom w:val="single" w:sz="2" w:space="0" w:color="auto"/>
              <w:right w:val="single" w:sz="2" w:space="0" w:color="auto"/>
            </w:tcBorders>
            <w:shd w:val="clear" w:color="auto" w:fill="auto"/>
          </w:tcPr>
          <w:p w:rsidR="00421129" w:rsidRPr="00D918EA" w:rsidRDefault="00421129" w:rsidP="00862A16">
            <w:pPr>
              <w:pStyle w:val="TableHeading"/>
            </w:pPr>
            <w:r w:rsidRPr="00D918EA">
              <w:t>Good</w:t>
            </w:r>
          </w:p>
        </w:tc>
        <w:tc>
          <w:tcPr>
            <w:tcW w:w="1694" w:type="dxa"/>
            <w:tcBorders>
              <w:top w:val="nil"/>
              <w:left w:val="single" w:sz="2" w:space="0" w:color="auto"/>
              <w:bottom w:val="single" w:sz="2" w:space="0" w:color="auto"/>
              <w:right w:val="single" w:sz="2" w:space="0" w:color="auto"/>
            </w:tcBorders>
            <w:shd w:val="clear" w:color="auto" w:fill="auto"/>
          </w:tcPr>
          <w:p w:rsidR="00421129" w:rsidRPr="00D918EA" w:rsidRDefault="00421129" w:rsidP="00862A16">
            <w:pPr>
              <w:pStyle w:val="TableHeading"/>
            </w:pPr>
            <w:r w:rsidRPr="00D918EA">
              <w:t>Satisfactory</w:t>
            </w:r>
          </w:p>
        </w:tc>
        <w:tc>
          <w:tcPr>
            <w:tcW w:w="1695" w:type="dxa"/>
            <w:tcBorders>
              <w:top w:val="nil"/>
              <w:left w:val="single" w:sz="2" w:space="0" w:color="auto"/>
              <w:bottom w:val="single" w:sz="2" w:space="0" w:color="auto"/>
              <w:right w:val="single" w:sz="2" w:space="0" w:color="auto"/>
            </w:tcBorders>
            <w:shd w:val="clear" w:color="auto" w:fill="auto"/>
          </w:tcPr>
          <w:p w:rsidR="00421129" w:rsidRPr="00D918EA" w:rsidRDefault="00421129" w:rsidP="00862A16">
            <w:pPr>
              <w:pStyle w:val="TableHeading"/>
            </w:pPr>
            <w:r w:rsidRPr="00D918EA">
              <w:t>Poor</w:t>
            </w:r>
          </w:p>
        </w:tc>
      </w:tr>
      <w:tr w:rsidR="008E22DE" w:rsidRPr="00D918EA" w:rsidTr="00192A3B">
        <w:tblPrEx>
          <w:tblCellMar>
            <w:right w:w="57" w:type="dxa"/>
          </w:tblCellMar>
        </w:tblPrEx>
        <w:trPr>
          <w:tblHeader/>
        </w:trPr>
        <w:tc>
          <w:tcPr>
            <w:tcW w:w="1943"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421129" w:rsidP="00862A16">
            <w:pPr>
              <w:pStyle w:val="TableText"/>
              <w:rPr>
                <w:b/>
              </w:rPr>
            </w:pPr>
            <w:r w:rsidRPr="00D918EA">
              <w:rPr>
                <w:b/>
              </w:rPr>
              <w:t>Evidence base</w:t>
            </w:r>
          </w:p>
        </w:tc>
        <w:tc>
          <w:tcPr>
            <w:tcW w:w="1414"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several level I or II studies with low risk of bias</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 xml:space="preserve">one or two level II studies with low risk of bias or a SR/multiple level III studies with low risk of bias </w:t>
            </w:r>
          </w:p>
        </w:tc>
        <w:tc>
          <w:tcPr>
            <w:tcW w:w="1694"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level III studies with low risk of bias, or level I or II studies with moderate risk of bias</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level IV studies, or level I to III studies with high risk of bias</w:t>
            </w:r>
          </w:p>
        </w:tc>
      </w:tr>
      <w:tr w:rsidR="008E22DE" w:rsidRPr="00D918EA" w:rsidTr="00192A3B">
        <w:tblPrEx>
          <w:tblCellMar>
            <w:right w:w="57" w:type="dxa"/>
          </w:tblCellMar>
        </w:tblPrEx>
        <w:trPr>
          <w:tblHeader/>
        </w:trPr>
        <w:tc>
          <w:tcPr>
            <w:tcW w:w="1943"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862A16">
            <w:pPr>
              <w:pStyle w:val="TableText"/>
              <w:rPr>
                <w:b/>
              </w:rPr>
            </w:pPr>
            <w:r w:rsidRPr="00D918EA">
              <w:rPr>
                <w:b/>
              </w:rPr>
              <w:t>Consistency</w:t>
            </w:r>
          </w:p>
        </w:tc>
        <w:tc>
          <w:tcPr>
            <w:tcW w:w="1414"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all studies consistent</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most studies consistent and inconsistency may be explained</w:t>
            </w:r>
          </w:p>
        </w:tc>
        <w:tc>
          <w:tcPr>
            <w:tcW w:w="1694"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some inconsistency reflecting genuine uncertainty around clinical question</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evidence is inconsistent</w:t>
            </w:r>
          </w:p>
        </w:tc>
      </w:tr>
      <w:tr w:rsidR="008E22DE" w:rsidRPr="00D918EA" w:rsidTr="00192A3B">
        <w:tblPrEx>
          <w:tblCellMar>
            <w:right w:w="57" w:type="dxa"/>
          </w:tblCellMar>
        </w:tblPrEx>
        <w:trPr>
          <w:trHeight w:val="462"/>
          <w:tblHeader/>
        </w:trPr>
        <w:tc>
          <w:tcPr>
            <w:tcW w:w="1943"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862A16">
            <w:pPr>
              <w:pStyle w:val="TableText"/>
              <w:rPr>
                <w:b/>
              </w:rPr>
            </w:pPr>
            <w:r w:rsidRPr="00D918EA">
              <w:rPr>
                <w:b/>
              </w:rPr>
              <w:t>Clinical impact</w:t>
            </w:r>
          </w:p>
        </w:tc>
        <w:tc>
          <w:tcPr>
            <w:tcW w:w="1414"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very large</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 xml:space="preserve">substantial </w:t>
            </w:r>
          </w:p>
        </w:tc>
        <w:tc>
          <w:tcPr>
            <w:tcW w:w="1694"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moderate</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slight or restricted</w:t>
            </w:r>
          </w:p>
        </w:tc>
      </w:tr>
      <w:tr w:rsidR="008E22DE" w:rsidRPr="00D918EA" w:rsidTr="00192A3B">
        <w:tblPrEx>
          <w:tblCellMar>
            <w:right w:w="57" w:type="dxa"/>
          </w:tblCellMar>
        </w:tblPrEx>
        <w:trPr>
          <w:tblHeader/>
        </w:trPr>
        <w:tc>
          <w:tcPr>
            <w:tcW w:w="1943"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1D62D5" w:rsidP="00862A16">
            <w:pPr>
              <w:pStyle w:val="TableText"/>
              <w:rPr>
                <w:b/>
              </w:rPr>
            </w:pPr>
            <w:r w:rsidRPr="00D918EA">
              <w:rPr>
                <w:b/>
              </w:rPr>
              <w:t>Generalizability</w:t>
            </w:r>
          </w:p>
        </w:tc>
        <w:tc>
          <w:tcPr>
            <w:tcW w:w="1414"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 xml:space="preserve">population/s studied in body of evidence are the same as the target population </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 xml:space="preserve">population/s studied in the body of evidence are similar to the target population </w:t>
            </w:r>
          </w:p>
        </w:tc>
        <w:tc>
          <w:tcPr>
            <w:tcW w:w="1694"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 xml:space="preserve">population/s studied in body of evidence different to target population for guideline but it is clinically sensible to apply this evidence to target population </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population/s studied in body of evidence different to target population and hard to judge whether it is sensible to generalise to target population</w:t>
            </w:r>
          </w:p>
        </w:tc>
      </w:tr>
      <w:tr w:rsidR="008E22DE" w:rsidRPr="00D918EA" w:rsidTr="00192A3B">
        <w:tblPrEx>
          <w:tblCellMar>
            <w:right w:w="57" w:type="dxa"/>
          </w:tblCellMar>
        </w:tblPrEx>
        <w:trPr>
          <w:tblHeader/>
        </w:trPr>
        <w:tc>
          <w:tcPr>
            <w:tcW w:w="1943"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862A16">
            <w:pPr>
              <w:pStyle w:val="TableText"/>
              <w:rPr>
                <w:b/>
              </w:rPr>
            </w:pPr>
            <w:r w:rsidRPr="00D918EA">
              <w:rPr>
                <w:b/>
              </w:rPr>
              <w:t>Applicability</w:t>
            </w:r>
          </w:p>
        </w:tc>
        <w:tc>
          <w:tcPr>
            <w:tcW w:w="1414"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directly applicable to Australian healthcare context</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 xml:space="preserve">applicable to Australian healthcare context with few caveats </w:t>
            </w:r>
          </w:p>
        </w:tc>
        <w:tc>
          <w:tcPr>
            <w:tcW w:w="1694"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probably applicable to Australian healthcare context with some caveats</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8E22DE" w:rsidRPr="00D918EA" w:rsidRDefault="008E22DE" w:rsidP="005442FD">
            <w:pPr>
              <w:pStyle w:val="TableText"/>
              <w:ind w:left="45"/>
            </w:pPr>
            <w:r w:rsidRPr="00D918EA">
              <w:t>not applicable to Australian healthcare context</w:t>
            </w:r>
          </w:p>
        </w:tc>
      </w:tr>
    </w:tbl>
    <w:p w:rsidR="008E22DE" w:rsidRPr="00C9782D" w:rsidRDefault="00996503" w:rsidP="00B01B95">
      <w:pPr>
        <w:pStyle w:val="TableNotes"/>
        <w:spacing w:after="100" w:afterAutospacing="1"/>
      </w:pPr>
      <w:r w:rsidRPr="00C9782D">
        <w:t xml:space="preserve">Adapted from </w:t>
      </w:r>
      <w:r w:rsidR="00BA0A30" w:rsidRPr="00C9782D">
        <w:fldChar w:fldCharType="begin"/>
      </w:r>
      <w:r w:rsidR="003D3549">
        <w:instrText xml:space="preserve"> ADDIN EN.CITE &lt;EndNote&gt;&lt;Cite&gt;&lt;Author&gt;NHMRC&lt;/Author&gt;&lt;Year&gt;2008&lt;/Year&gt;&lt;RecNum&gt;132&lt;/RecNum&gt;&lt;DisplayText&gt;(NHMRC 2008)&lt;/DisplayText&gt;&lt;record&gt;&lt;rec-number&gt;132&lt;/rec-number&gt;&lt;ref-type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BA0A30" w:rsidRPr="00C9782D">
        <w:fldChar w:fldCharType="separate"/>
      </w:r>
      <w:r w:rsidR="003D3549">
        <w:rPr>
          <w:noProof/>
        </w:rPr>
        <w:t>(</w:t>
      </w:r>
      <w:hyperlink w:anchor="_ENREF_46" w:tooltip="NHMRC, 2008 #132" w:history="1">
        <w:r w:rsidR="006F79C1">
          <w:rPr>
            <w:noProof/>
          </w:rPr>
          <w:t>NHMRC 2008</w:t>
        </w:r>
      </w:hyperlink>
      <w:r w:rsidR="003D3549">
        <w:rPr>
          <w:noProof/>
        </w:rPr>
        <w:t>)</w:t>
      </w:r>
      <w:r w:rsidR="00BA0A30" w:rsidRPr="00C9782D">
        <w:fldChar w:fldCharType="end"/>
      </w:r>
    </w:p>
    <w:p w:rsidR="005D1071" w:rsidRDefault="005D1071" w:rsidP="00C33B0E">
      <w:pPr>
        <w:pStyle w:val="Heading3"/>
      </w:pPr>
      <w:bookmarkStart w:id="84" w:name="_Toc86028813"/>
      <w:bookmarkStart w:id="85" w:name="_Toc188861190"/>
    </w:p>
    <w:p w:rsidR="00056BE2" w:rsidRPr="00C9782D" w:rsidRDefault="00056BE2" w:rsidP="00C33B0E">
      <w:pPr>
        <w:pStyle w:val="Heading3"/>
      </w:pPr>
      <w:bookmarkStart w:id="86" w:name="_Toc386093702"/>
      <w:r w:rsidRPr="00C9782D">
        <w:t>Expert advice</w:t>
      </w:r>
      <w:bookmarkEnd w:id="84"/>
      <w:bookmarkEnd w:id="85"/>
      <w:bookmarkEnd w:id="86"/>
      <w:r w:rsidRPr="00C9782D">
        <w:t xml:space="preserve"> </w:t>
      </w:r>
    </w:p>
    <w:p w:rsidR="00056BE2" w:rsidRPr="00C9782D" w:rsidRDefault="008435C1" w:rsidP="00776092">
      <w:r w:rsidRPr="00C9782D">
        <w:t xml:space="preserve">An </w:t>
      </w:r>
      <w:r w:rsidR="00B479B0" w:rsidRPr="00C9782D">
        <w:t xml:space="preserve">advisory panel </w:t>
      </w:r>
      <w:r w:rsidRPr="00C9782D">
        <w:t xml:space="preserve">was established to provide guidance to the </w:t>
      </w:r>
      <w:r w:rsidR="00D918EA">
        <w:t>e</w:t>
      </w:r>
      <w:r w:rsidR="00A70F47" w:rsidRPr="00C9782D">
        <w:t>valuators</w:t>
      </w:r>
      <w:r w:rsidRPr="00C9782D">
        <w:t xml:space="preserve"> to ensure that the assessment is clinically relevant and takes into account consumer interests.  </w:t>
      </w:r>
      <w:r w:rsidR="00481526" w:rsidRPr="00C9782D">
        <w:t xml:space="preserve">Membership of the </w:t>
      </w:r>
      <w:r w:rsidR="00B479B0" w:rsidRPr="00C9782D">
        <w:t>a</w:t>
      </w:r>
      <w:r w:rsidR="00481526" w:rsidRPr="00C9782D">
        <w:t xml:space="preserve">dvisory </w:t>
      </w:r>
      <w:r w:rsidR="00B479B0" w:rsidRPr="00C9782D">
        <w:t>p</w:t>
      </w:r>
      <w:r w:rsidR="00481526" w:rsidRPr="00C9782D">
        <w:t>anel is provided at</w:t>
      </w:r>
      <w:r w:rsidR="00A81AF5">
        <w:t xml:space="preserve"> Appendix D</w:t>
      </w:r>
      <w:r w:rsidR="00481526" w:rsidRPr="00C9782D">
        <w:t>.</w:t>
      </w:r>
    </w:p>
    <w:p w:rsidR="00C9014F" w:rsidRPr="00C9782D" w:rsidRDefault="00C9014F"/>
    <w:p w:rsidR="00C9014F" w:rsidRPr="00C9782D" w:rsidRDefault="00C9014F" w:rsidP="00D67F1E">
      <w:pPr>
        <w:sectPr w:rsidR="00C9014F" w:rsidRPr="00C9782D" w:rsidSect="00330EB8">
          <w:footerReference w:type="default" r:id="rId42"/>
          <w:pgSz w:w="11909" w:h="16834" w:code="9"/>
          <w:pgMar w:top="1440" w:right="1440" w:bottom="1440" w:left="1440" w:header="709" w:footer="709" w:gutter="0"/>
          <w:cols w:space="720"/>
        </w:sectPr>
      </w:pPr>
      <w:bookmarkStart w:id="87" w:name="_Ref124760357"/>
    </w:p>
    <w:p w:rsidR="008F59A8" w:rsidRPr="00C9782D" w:rsidRDefault="008F59A8" w:rsidP="00A158A3">
      <w:pPr>
        <w:pStyle w:val="Heading2"/>
      </w:pPr>
      <w:bookmarkStart w:id="88" w:name="_Toc386092524"/>
      <w:bookmarkStart w:id="89" w:name="_Toc386093162"/>
      <w:bookmarkStart w:id="90" w:name="_Toc386093659"/>
      <w:bookmarkStart w:id="91" w:name="_Toc386093703"/>
      <w:bookmarkEnd w:id="87"/>
      <w:r w:rsidRPr="00C9782D">
        <w:lastRenderedPageBreak/>
        <w:t>Results of assessment</w:t>
      </w:r>
      <w:bookmarkEnd w:id="88"/>
      <w:bookmarkEnd w:id="89"/>
      <w:bookmarkEnd w:id="90"/>
      <w:bookmarkEnd w:id="91"/>
      <w:r w:rsidRPr="00C9782D">
        <w:t xml:space="preserve"> </w:t>
      </w:r>
    </w:p>
    <w:p w:rsidR="00056BE2" w:rsidRDefault="0040218C" w:rsidP="00E74DAD">
      <w:pPr>
        <w:pStyle w:val="Heading3"/>
      </w:pPr>
      <w:bookmarkStart w:id="92" w:name="_Toc386093704"/>
      <w:r>
        <w:t>Relevant studies for assessment</w:t>
      </w:r>
      <w:bookmarkEnd w:id="92"/>
    </w:p>
    <w:p w:rsidR="0040218C" w:rsidRDefault="0040218C" w:rsidP="005A4B2B">
      <w:pPr>
        <w:spacing w:after="0"/>
      </w:pPr>
      <w:r>
        <w:t>The search</w:t>
      </w:r>
      <w:r w:rsidR="001E6AD7">
        <w:t>es</w:t>
      </w:r>
      <w:r>
        <w:t xml:space="preserve"> yielded</w:t>
      </w:r>
      <w:r w:rsidR="005A4B2B">
        <w:t xml:space="preserve"> 32</w:t>
      </w:r>
      <w:r>
        <w:t xml:space="preserve"> studies that were deemed relevant for this assessment. A summary of these studies is provided in Table </w:t>
      </w:r>
      <w:r w:rsidR="005A4B2B">
        <w:t>11</w:t>
      </w:r>
      <w:r>
        <w:t>.</w:t>
      </w:r>
    </w:p>
    <w:p w:rsidR="001E6AD7" w:rsidRDefault="001E6AD7" w:rsidP="001E6AD7">
      <w:pPr>
        <w:spacing w:after="0"/>
      </w:pPr>
    </w:p>
    <w:p w:rsidR="0040218C" w:rsidRPr="00B808EA" w:rsidRDefault="0040218C" w:rsidP="00B808EA">
      <w:pPr>
        <w:pStyle w:val="TableName"/>
      </w:pPr>
      <w:bookmarkStart w:id="93" w:name="_Toc386112680"/>
      <w:r w:rsidRPr="00B808EA">
        <w:t xml:space="preserve">Table </w:t>
      </w:r>
      <w:r w:rsidR="005A4B2B" w:rsidRPr="00B808EA">
        <w:t>11</w:t>
      </w:r>
      <w:r w:rsidRPr="00B808EA">
        <w:t xml:space="preserve">: </w:t>
      </w:r>
      <w:r w:rsidR="00BA4261" w:rsidRPr="00B808EA">
        <w:t>Summary of</w:t>
      </w:r>
      <w:r w:rsidRPr="00B808EA">
        <w:t xml:space="preserve"> studies included in the assessment</w:t>
      </w:r>
      <w:bookmarkEnd w:id="93"/>
    </w:p>
    <w:tbl>
      <w:tblPr>
        <w:tblStyle w:val="TableGrid"/>
        <w:tblW w:w="0" w:type="auto"/>
        <w:tblInd w:w="720" w:type="dxa"/>
        <w:tblLook w:val="04A0" w:firstRow="1" w:lastRow="0" w:firstColumn="1" w:lastColumn="0" w:noHBand="0" w:noVBand="1"/>
        <w:tblCaption w:val="Table 11 Summary of studies included in the assessment"/>
      </w:tblPr>
      <w:tblGrid>
        <w:gridCol w:w="3216"/>
        <w:gridCol w:w="2422"/>
        <w:gridCol w:w="2665"/>
      </w:tblGrid>
      <w:tr w:rsidR="00493A56" w:rsidRPr="00BA4DDE" w:rsidTr="00192A3B">
        <w:trPr>
          <w:tblHeader/>
        </w:trPr>
        <w:tc>
          <w:tcPr>
            <w:tcW w:w="3216" w:type="dxa"/>
          </w:tcPr>
          <w:p w:rsidR="00493A56" w:rsidRPr="00BA4DDE" w:rsidRDefault="00493A56" w:rsidP="000411B4">
            <w:pPr>
              <w:pStyle w:val="TableText"/>
              <w:rPr>
                <w:b/>
              </w:rPr>
            </w:pPr>
            <w:r w:rsidRPr="00BA4DDE">
              <w:rPr>
                <w:b/>
              </w:rPr>
              <w:t>Reviewed for assessment of :</w:t>
            </w:r>
          </w:p>
        </w:tc>
        <w:tc>
          <w:tcPr>
            <w:tcW w:w="2422" w:type="dxa"/>
          </w:tcPr>
          <w:p w:rsidR="00493A56" w:rsidRPr="00BA4DDE" w:rsidRDefault="00493A56" w:rsidP="00493A56">
            <w:pPr>
              <w:pStyle w:val="TableText"/>
              <w:rPr>
                <w:b/>
              </w:rPr>
            </w:pPr>
            <w:r w:rsidRPr="00BA4DDE">
              <w:rPr>
                <w:b/>
              </w:rPr>
              <w:t>Study</w:t>
            </w:r>
          </w:p>
        </w:tc>
        <w:tc>
          <w:tcPr>
            <w:tcW w:w="2665" w:type="dxa"/>
          </w:tcPr>
          <w:p w:rsidR="00493A56" w:rsidRPr="00BA4DDE" w:rsidRDefault="00493A56" w:rsidP="00493A56">
            <w:pPr>
              <w:pStyle w:val="TableText"/>
              <w:rPr>
                <w:b/>
              </w:rPr>
            </w:pPr>
            <w:r w:rsidRPr="00BA4DDE">
              <w:rPr>
                <w:b/>
              </w:rPr>
              <w:t>Study design</w:t>
            </w:r>
          </w:p>
        </w:tc>
      </w:tr>
      <w:tr w:rsidR="00493A56" w:rsidTr="00192A3B">
        <w:trPr>
          <w:tblHeader/>
        </w:trPr>
        <w:tc>
          <w:tcPr>
            <w:tcW w:w="3216" w:type="dxa"/>
          </w:tcPr>
          <w:p w:rsidR="0015545F" w:rsidRPr="00BE4E67" w:rsidRDefault="00BE4E67" w:rsidP="000411B4">
            <w:pPr>
              <w:pStyle w:val="TableText"/>
              <w:rPr>
                <w:b/>
              </w:rPr>
            </w:pPr>
            <w:r w:rsidRPr="00BE4E67">
              <w:rPr>
                <w:b/>
              </w:rPr>
              <w:t>Search 1</w:t>
            </w:r>
          </w:p>
          <w:p w:rsidR="0015545F" w:rsidRDefault="0015545F" w:rsidP="000411B4">
            <w:pPr>
              <w:pStyle w:val="TableText"/>
            </w:pPr>
            <w:r>
              <w:t xml:space="preserve">Are patients with breast cancer and </w:t>
            </w:r>
            <w:r w:rsidR="00D918EA">
              <w:t>taking</w:t>
            </w:r>
            <w:r>
              <w:t xml:space="preserve"> </w:t>
            </w:r>
            <w:r w:rsidR="005D1071">
              <w:t>aromatase inhibitors</w:t>
            </w:r>
            <w:r>
              <w:t xml:space="preserve"> at </w:t>
            </w:r>
            <w:r w:rsidR="00BA4DDE">
              <w:t xml:space="preserve">high </w:t>
            </w:r>
            <w:r>
              <w:t>risk of fractures?</w:t>
            </w:r>
          </w:p>
          <w:p w:rsidR="00493A56" w:rsidRDefault="00D918EA" w:rsidP="00BA4261">
            <w:pPr>
              <w:pStyle w:val="TableText"/>
            </w:pPr>
            <w:r>
              <w:t>(</w:t>
            </w:r>
            <w:r w:rsidR="00493A56">
              <w:t>and related questions</w:t>
            </w:r>
            <w:r>
              <w:t>)</w:t>
            </w:r>
          </w:p>
        </w:tc>
        <w:tc>
          <w:tcPr>
            <w:tcW w:w="2422" w:type="dxa"/>
          </w:tcPr>
          <w:p w:rsidR="00493A56" w:rsidRDefault="00493A56" w:rsidP="00493A56">
            <w:pPr>
              <w:pStyle w:val="TableText"/>
            </w:pPr>
            <w:r>
              <w:t>Amir</w:t>
            </w:r>
            <w:r w:rsidR="004A7FE5">
              <w:t xml:space="preserve"> 2011</w:t>
            </w:r>
          </w:p>
          <w:p w:rsidR="00493A56" w:rsidRDefault="00493A56" w:rsidP="00493A56">
            <w:pPr>
              <w:pStyle w:val="TableText"/>
            </w:pPr>
            <w:r>
              <w:t>Becker</w:t>
            </w:r>
            <w:r w:rsidR="004A7FE5">
              <w:t xml:space="preserve"> 2012</w:t>
            </w:r>
          </w:p>
          <w:p w:rsidR="00493A56" w:rsidRDefault="00493A56" w:rsidP="00493A56">
            <w:pPr>
              <w:pStyle w:val="TableText"/>
            </w:pPr>
            <w:r>
              <w:t>Bell</w:t>
            </w:r>
            <w:r w:rsidR="004A7FE5">
              <w:t xml:space="preserve"> 2011</w:t>
            </w:r>
          </w:p>
          <w:p w:rsidR="00493A56" w:rsidRDefault="00493A56" w:rsidP="00493A56">
            <w:pPr>
              <w:pStyle w:val="TableText"/>
            </w:pPr>
            <w:r>
              <w:t>Eastell</w:t>
            </w:r>
            <w:r w:rsidR="004A7FE5">
              <w:t xml:space="preserve"> 2011</w:t>
            </w:r>
          </w:p>
          <w:p w:rsidR="00493A56" w:rsidRDefault="00493A56" w:rsidP="00493A56">
            <w:pPr>
              <w:pStyle w:val="TableText"/>
            </w:pPr>
            <w:r>
              <w:t>Edwards</w:t>
            </w:r>
            <w:r w:rsidR="004A7FE5">
              <w:t xml:space="preserve"> 2011</w:t>
            </w:r>
          </w:p>
          <w:p w:rsidR="00493A56" w:rsidRDefault="00493A56" w:rsidP="00493A56">
            <w:pPr>
              <w:pStyle w:val="TableText"/>
            </w:pPr>
            <w:r>
              <w:t>Goss</w:t>
            </w:r>
            <w:r w:rsidR="004A7FE5">
              <w:t xml:space="preserve"> 2013</w:t>
            </w:r>
          </w:p>
          <w:p w:rsidR="00493A56" w:rsidRDefault="00493A56" w:rsidP="00493A56">
            <w:pPr>
              <w:pStyle w:val="TableText"/>
            </w:pPr>
            <w:r>
              <w:t>Kalder</w:t>
            </w:r>
            <w:r w:rsidR="004A7FE5">
              <w:t xml:space="preserve"> 2013</w:t>
            </w:r>
          </w:p>
          <w:p w:rsidR="00493A56" w:rsidRDefault="00493A56" w:rsidP="00493A56">
            <w:pPr>
              <w:pStyle w:val="TableText"/>
            </w:pPr>
            <w:r>
              <w:t xml:space="preserve">Neuner </w:t>
            </w:r>
            <w:r w:rsidR="004A7FE5">
              <w:t>2011</w:t>
            </w:r>
          </w:p>
        </w:tc>
        <w:tc>
          <w:tcPr>
            <w:tcW w:w="2665" w:type="dxa"/>
          </w:tcPr>
          <w:p w:rsidR="00493A56" w:rsidRDefault="0015545F" w:rsidP="00493A56">
            <w:pPr>
              <w:pStyle w:val="TableText"/>
            </w:pPr>
            <w:r>
              <w:t>Meta-analysis</w:t>
            </w:r>
          </w:p>
          <w:p w:rsidR="0015545F" w:rsidRDefault="0015545F" w:rsidP="00493A56">
            <w:pPr>
              <w:pStyle w:val="TableText"/>
            </w:pPr>
            <w:r>
              <w:t>Meta-analysis</w:t>
            </w:r>
          </w:p>
          <w:p w:rsidR="0015545F" w:rsidRDefault="000A7C98" w:rsidP="00493A56">
            <w:pPr>
              <w:pStyle w:val="TableText"/>
            </w:pPr>
            <w:r>
              <w:t>Comparative study</w:t>
            </w:r>
          </w:p>
          <w:p w:rsidR="0015545F" w:rsidRDefault="0015545F" w:rsidP="00493A56">
            <w:pPr>
              <w:pStyle w:val="TableText"/>
            </w:pPr>
            <w:r>
              <w:t>RCT</w:t>
            </w:r>
          </w:p>
          <w:p w:rsidR="0015545F" w:rsidRDefault="000A7C98" w:rsidP="00493A56">
            <w:pPr>
              <w:pStyle w:val="TableText"/>
            </w:pPr>
            <w:r>
              <w:t>Systematic review</w:t>
            </w:r>
            <w:r w:rsidR="004A7FE5">
              <w:t xml:space="preserve">  and case series</w:t>
            </w:r>
          </w:p>
          <w:p w:rsidR="0015545F" w:rsidRDefault="0015545F" w:rsidP="00493A56">
            <w:pPr>
              <w:pStyle w:val="TableText"/>
            </w:pPr>
            <w:r>
              <w:t>RCT</w:t>
            </w:r>
          </w:p>
          <w:p w:rsidR="0015545F" w:rsidRDefault="0015545F" w:rsidP="00493A56">
            <w:pPr>
              <w:pStyle w:val="TableText"/>
            </w:pPr>
            <w:r>
              <w:t>RCT</w:t>
            </w:r>
          </w:p>
          <w:p w:rsidR="0015545F" w:rsidRDefault="004A7FE5" w:rsidP="00493A56">
            <w:pPr>
              <w:pStyle w:val="TableText"/>
            </w:pPr>
            <w:r>
              <w:t>Population study, retrospective</w:t>
            </w:r>
          </w:p>
        </w:tc>
      </w:tr>
      <w:tr w:rsidR="00493A56" w:rsidTr="00192A3B">
        <w:trPr>
          <w:tblHeader/>
        </w:trPr>
        <w:tc>
          <w:tcPr>
            <w:tcW w:w="3216" w:type="dxa"/>
          </w:tcPr>
          <w:p w:rsidR="0015545F" w:rsidRPr="00BE4E67" w:rsidRDefault="00BE4E67" w:rsidP="000411B4">
            <w:pPr>
              <w:pStyle w:val="TableText"/>
              <w:rPr>
                <w:b/>
              </w:rPr>
            </w:pPr>
            <w:r w:rsidRPr="00BE4E67">
              <w:rPr>
                <w:b/>
              </w:rPr>
              <w:t xml:space="preserve">Search </w:t>
            </w:r>
            <w:r w:rsidR="00493A56" w:rsidRPr="00BE4E67">
              <w:rPr>
                <w:b/>
              </w:rPr>
              <w:t>2</w:t>
            </w:r>
            <w:r w:rsidR="0015545F" w:rsidRPr="00BE4E67">
              <w:rPr>
                <w:b/>
              </w:rPr>
              <w:t xml:space="preserve"> </w:t>
            </w:r>
          </w:p>
          <w:p w:rsidR="00493A56" w:rsidRDefault="00201ECF" w:rsidP="000411B4">
            <w:pPr>
              <w:pStyle w:val="TableText"/>
            </w:pPr>
            <w:r>
              <w:t>Are</w:t>
            </w:r>
            <w:r w:rsidR="0015545F">
              <w:t xml:space="preserve"> DXA scan</w:t>
            </w:r>
            <w:r>
              <w:t>s</w:t>
            </w:r>
            <w:r w:rsidR="0015545F">
              <w:t xml:space="preserve"> </w:t>
            </w:r>
            <w:r>
              <w:t xml:space="preserve">safe and </w:t>
            </w:r>
            <w:r w:rsidR="0015545F">
              <w:t>effective?</w:t>
            </w:r>
          </w:p>
          <w:p w:rsidR="0015545F" w:rsidRDefault="00D918EA" w:rsidP="000411B4">
            <w:pPr>
              <w:pStyle w:val="TableText"/>
            </w:pPr>
            <w:r>
              <w:t>(</w:t>
            </w:r>
            <w:r w:rsidR="0015545F">
              <w:t>and related questions</w:t>
            </w:r>
            <w:r>
              <w:t>)</w:t>
            </w:r>
          </w:p>
        </w:tc>
        <w:tc>
          <w:tcPr>
            <w:tcW w:w="2422" w:type="dxa"/>
          </w:tcPr>
          <w:p w:rsidR="00493A56" w:rsidRDefault="00493A56" w:rsidP="00493A56">
            <w:pPr>
              <w:pStyle w:val="TableText"/>
            </w:pPr>
            <w:r>
              <w:t>Marshall</w:t>
            </w:r>
            <w:r w:rsidR="00257330">
              <w:t xml:space="preserve"> 1996</w:t>
            </w:r>
          </w:p>
          <w:p w:rsidR="00493A56" w:rsidRDefault="00493A56" w:rsidP="00493A56">
            <w:pPr>
              <w:pStyle w:val="TableText"/>
            </w:pPr>
            <w:r>
              <w:t>Homik</w:t>
            </w:r>
            <w:r w:rsidR="00104FF5">
              <w:t xml:space="preserve"> 1999</w:t>
            </w:r>
          </w:p>
          <w:p w:rsidR="00493A56" w:rsidRDefault="00493A56" w:rsidP="00493A56">
            <w:pPr>
              <w:pStyle w:val="TableText"/>
            </w:pPr>
            <w:r>
              <w:t>Rud</w:t>
            </w:r>
            <w:r w:rsidR="00257330">
              <w:t xml:space="preserve"> 2007</w:t>
            </w:r>
          </w:p>
          <w:p w:rsidR="00493A56" w:rsidRDefault="00257330" w:rsidP="00493A56">
            <w:pPr>
              <w:pStyle w:val="TableText"/>
            </w:pPr>
            <w:r>
              <w:t>Kanis 2009</w:t>
            </w:r>
          </w:p>
          <w:p w:rsidR="00493A56" w:rsidRDefault="00493A56" w:rsidP="00493A56">
            <w:pPr>
              <w:pStyle w:val="TableText"/>
            </w:pPr>
            <w:r>
              <w:t>Lim</w:t>
            </w:r>
            <w:r w:rsidR="00257330">
              <w:t xml:space="preserve"> 2009</w:t>
            </w:r>
          </w:p>
          <w:p w:rsidR="00493A56" w:rsidRDefault="00493A56" w:rsidP="00493A56">
            <w:pPr>
              <w:pStyle w:val="TableText"/>
            </w:pPr>
            <w:r>
              <w:t>Cummins</w:t>
            </w:r>
            <w:r w:rsidR="00104FF5">
              <w:t xml:space="preserve"> 2011</w:t>
            </w:r>
          </w:p>
          <w:p w:rsidR="00493A56" w:rsidRDefault="00257330" w:rsidP="00493A56">
            <w:pPr>
              <w:pStyle w:val="TableText"/>
            </w:pPr>
            <w:r>
              <w:t xml:space="preserve">Hailey </w:t>
            </w:r>
            <w:r w:rsidR="00104FF5">
              <w:t>1998</w:t>
            </w:r>
          </w:p>
        </w:tc>
        <w:tc>
          <w:tcPr>
            <w:tcW w:w="2665" w:type="dxa"/>
          </w:tcPr>
          <w:p w:rsidR="00493A56" w:rsidRDefault="00493A56" w:rsidP="00493A56">
            <w:pPr>
              <w:pStyle w:val="TableText"/>
            </w:pPr>
            <w:r>
              <w:t>Meta-analysis</w:t>
            </w:r>
          </w:p>
          <w:p w:rsidR="00493A56" w:rsidRDefault="00257330" w:rsidP="00493A56">
            <w:pPr>
              <w:pStyle w:val="TableText"/>
            </w:pPr>
            <w:r>
              <w:t>HTA report</w:t>
            </w:r>
          </w:p>
          <w:p w:rsidR="00493A56" w:rsidRDefault="00257330" w:rsidP="00493A56">
            <w:pPr>
              <w:pStyle w:val="TableText"/>
            </w:pPr>
            <w:r>
              <w:t>Meta-analysis</w:t>
            </w:r>
          </w:p>
          <w:p w:rsidR="00257330" w:rsidRDefault="00257330" w:rsidP="00493A56">
            <w:pPr>
              <w:pStyle w:val="TableText"/>
            </w:pPr>
            <w:r>
              <w:t>Meta-analysis</w:t>
            </w:r>
          </w:p>
          <w:p w:rsidR="00493A56" w:rsidRDefault="00493A56" w:rsidP="00493A56">
            <w:pPr>
              <w:pStyle w:val="TableText"/>
            </w:pPr>
            <w:r>
              <w:t>Review</w:t>
            </w:r>
            <w:r w:rsidR="00257330">
              <w:t xml:space="preserve"> and position statement</w:t>
            </w:r>
          </w:p>
          <w:p w:rsidR="00493A56" w:rsidRDefault="00257330" w:rsidP="00493A56">
            <w:pPr>
              <w:pStyle w:val="TableText"/>
            </w:pPr>
            <w:r>
              <w:t>Case control study, retrospective</w:t>
            </w:r>
          </w:p>
          <w:p w:rsidR="00493A56" w:rsidRDefault="00257330" w:rsidP="00493A56">
            <w:pPr>
              <w:pStyle w:val="TableText"/>
            </w:pPr>
            <w:r>
              <w:t>HTA report</w:t>
            </w:r>
          </w:p>
        </w:tc>
      </w:tr>
      <w:tr w:rsidR="00493A56" w:rsidTr="00192A3B">
        <w:trPr>
          <w:tblHeader/>
        </w:trPr>
        <w:tc>
          <w:tcPr>
            <w:tcW w:w="3216" w:type="dxa"/>
          </w:tcPr>
          <w:p w:rsidR="0015545F" w:rsidRPr="00BE4E67" w:rsidRDefault="00BE4E67" w:rsidP="000411B4">
            <w:pPr>
              <w:pStyle w:val="TableText"/>
              <w:rPr>
                <w:b/>
              </w:rPr>
            </w:pPr>
            <w:r w:rsidRPr="00BE4E67">
              <w:rPr>
                <w:b/>
              </w:rPr>
              <w:t>Search 3</w:t>
            </w:r>
            <w:r w:rsidR="0015545F" w:rsidRPr="00BE4E67">
              <w:rPr>
                <w:b/>
              </w:rPr>
              <w:t xml:space="preserve"> </w:t>
            </w:r>
          </w:p>
          <w:p w:rsidR="00493A56" w:rsidRDefault="0015545F" w:rsidP="000411B4">
            <w:pPr>
              <w:pStyle w:val="TableText"/>
            </w:pPr>
            <w:r>
              <w:t xml:space="preserve">Are anti-resorptives or other BMD treatments </w:t>
            </w:r>
            <w:r w:rsidR="005D1071">
              <w:t xml:space="preserve">safe and </w:t>
            </w:r>
            <w:r>
              <w:t>effective?</w:t>
            </w:r>
          </w:p>
          <w:p w:rsidR="0015545F" w:rsidRDefault="00D918EA" w:rsidP="000411B4">
            <w:pPr>
              <w:pStyle w:val="TableText"/>
            </w:pPr>
            <w:r>
              <w:t>(</w:t>
            </w:r>
            <w:r w:rsidR="0015545F">
              <w:t>and related questions</w:t>
            </w:r>
            <w:r>
              <w:t>)</w:t>
            </w:r>
          </w:p>
        </w:tc>
        <w:tc>
          <w:tcPr>
            <w:tcW w:w="2422" w:type="dxa"/>
          </w:tcPr>
          <w:p w:rsidR="00493A56" w:rsidRDefault="0015545F" w:rsidP="00493A56">
            <w:pPr>
              <w:pStyle w:val="TableText"/>
            </w:pPr>
            <w:r>
              <w:t>Brufsky 2012 (Z-FAST)</w:t>
            </w:r>
          </w:p>
          <w:p w:rsidR="0015545F" w:rsidRDefault="0015545F" w:rsidP="00493A56">
            <w:pPr>
              <w:pStyle w:val="TableText"/>
            </w:pPr>
            <w:r>
              <w:t>Coleman 2013 (ZO-FAST)</w:t>
            </w:r>
          </w:p>
          <w:p w:rsidR="0015545F" w:rsidRDefault="0015545F" w:rsidP="00493A56">
            <w:pPr>
              <w:pStyle w:val="TableText"/>
            </w:pPr>
            <w:r>
              <w:t>Llombart 2012 (E-ZO-FAST)</w:t>
            </w:r>
          </w:p>
          <w:p w:rsidR="0015545F" w:rsidRDefault="0015545F" w:rsidP="00493A56">
            <w:pPr>
              <w:pStyle w:val="TableText"/>
            </w:pPr>
            <w:r>
              <w:t>Takahashi 2012</w:t>
            </w:r>
          </w:p>
          <w:p w:rsidR="0015545F" w:rsidRDefault="0015545F" w:rsidP="00493A56">
            <w:pPr>
              <w:pStyle w:val="TableText"/>
            </w:pPr>
            <w:r>
              <w:t>N</w:t>
            </w:r>
            <w:r w:rsidR="00762F84">
              <w:t>u</w:t>
            </w:r>
            <w:r>
              <w:t>zzo 2012 (HOBOE)</w:t>
            </w:r>
          </w:p>
          <w:p w:rsidR="0015545F" w:rsidRDefault="0015545F" w:rsidP="00493A56">
            <w:pPr>
              <w:pStyle w:val="TableText"/>
            </w:pPr>
            <w:r>
              <w:t>Safra 2011</w:t>
            </w:r>
          </w:p>
          <w:p w:rsidR="0015545F" w:rsidRDefault="0015545F" w:rsidP="00493A56">
            <w:pPr>
              <w:pStyle w:val="TableText"/>
            </w:pPr>
            <w:r>
              <w:t>Lee 2011</w:t>
            </w:r>
          </w:p>
          <w:p w:rsidR="0015545F" w:rsidRDefault="0015545F" w:rsidP="00493A56">
            <w:pPr>
              <w:pStyle w:val="TableText"/>
            </w:pPr>
            <w:r>
              <w:t>Lester 2012 (ARIBON)</w:t>
            </w:r>
          </w:p>
          <w:p w:rsidR="0015545F" w:rsidRDefault="0015545F" w:rsidP="00493A56">
            <w:pPr>
              <w:pStyle w:val="TableText"/>
            </w:pPr>
            <w:r>
              <w:t>Markopoulos 2010 (ARBI)</w:t>
            </w:r>
          </w:p>
          <w:p w:rsidR="0015545F" w:rsidRDefault="0015545F" w:rsidP="00493A56">
            <w:pPr>
              <w:pStyle w:val="TableText"/>
            </w:pPr>
            <w:r>
              <w:t>Rhee 2013</w:t>
            </w:r>
          </w:p>
          <w:p w:rsidR="0015545F" w:rsidRDefault="0015545F" w:rsidP="00493A56">
            <w:pPr>
              <w:pStyle w:val="TableText"/>
            </w:pPr>
            <w:r>
              <w:t>Van Poznak 2010 (SABRE)</w:t>
            </w:r>
          </w:p>
          <w:p w:rsidR="0015545F" w:rsidRDefault="0015545F" w:rsidP="00493A56">
            <w:pPr>
              <w:pStyle w:val="TableText"/>
            </w:pPr>
            <w:r>
              <w:t>Ellis 2009</w:t>
            </w:r>
          </w:p>
          <w:p w:rsidR="0015545F" w:rsidRDefault="0015545F" w:rsidP="0015545F">
            <w:pPr>
              <w:pStyle w:val="TableText"/>
            </w:pPr>
            <w:r>
              <w:t>Rastelli 2011</w:t>
            </w:r>
          </w:p>
          <w:p w:rsidR="005A149C" w:rsidRDefault="005D1071" w:rsidP="0015545F">
            <w:pPr>
              <w:pStyle w:val="TableText"/>
            </w:pPr>
            <w:r>
              <w:t>Martyn-</w:t>
            </w:r>
            <w:r w:rsidR="005A149C">
              <w:t>St James 2009</w:t>
            </w:r>
          </w:p>
        </w:tc>
        <w:tc>
          <w:tcPr>
            <w:tcW w:w="2665" w:type="dxa"/>
          </w:tcPr>
          <w:p w:rsidR="0015545F" w:rsidRDefault="0015545F" w:rsidP="00493A56">
            <w:pPr>
              <w:pStyle w:val="TableText"/>
            </w:pPr>
            <w:r>
              <w:t>RCT open label</w:t>
            </w:r>
          </w:p>
          <w:p w:rsidR="0015545F" w:rsidRDefault="0015545F" w:rsidP="00493A56">
            <w:pPr>
              <w:pStyle w:val="TableText"/>
            </w:pPr>
            <w:r>
              <w:t>RCT open label</w:t>
            </w:r>
          </w:p>
          <w:p w:rsidR="0015545F" w:rsidRDefault="0015545F" w:rsidP="00493A56">
            <w:pPr>
              <w:pStyle w:val="TableText"/>
            </w:pPr>
            <w:r>
              <w:t>RCT open label</w:t>
            </w:r>
          </w:p>
          <w:p w:rsidR="0015545F" w:rsidRDefault="0015545F" w:rsidP="00493A56">
            <w:pPr>
              <w:pStyle w:val="TableText"/>
            </w:pPr>
            <w:r>
              <w:t>RCT open label</w:t>
            </w:r>
          </w:p>
          <w:p w:rsidR="0015545F" w:rsidRDefault="0015545F" w:rsidP="00493A56">
            <w:pPr>
              <w:pStyle w:val="TableText"/>
            </w:pPr>
            <w:r>
              <w:t>RCT Phase III</w:t>
            </w:r>
          </w:p>
          <w:p w:rsidR="0015545F" w:rsidRDefault="0015545F" w:rsidP="00493A56">
            <w:pPr>
              <w:pStyle w:val="TableText"/>
            </w:pPr>
            <w:r>
              <w:t>RCT Phase II</w:t>
            </w:r>
          </w:p>
          <w:p w:rsidR="0015545F" w:rsidRDefault="0015545F" w:rsidP="00493A56">
            <w:pPr>
              <w:pStyle w:val="TableText"/>
            </w:pPr>
            <w:r>
              <w:t>Comparative study</w:t>
            </w:r>
          </w:p>
          <w:p w:rsidR="0015545F" w:rsidRDefault="00AD0B23" w:rsidP="00493A56">
            <w:pPr>
              <w:pStyle w:val="TableText"/>
            </w:pPr>
            <w:r>
              <w:t>RCT</w:t>
            </w:r>
          </w:p>
          <w:p w:rsidR="00AD0B23" w:rsidRDefault="00AD0B23" w:rsidP="00493A56">
            <w:pPr>
              <w:pStyle w:val="TableText"/>
            </w:pPr>
            <w:r>
              <w:t>RCT phase II open-label</w:t>
            </w:r>
          </w:p>
          <w:p w:rsidR="00AD0B23" w:rsidRDefault="00AD0B23" w:rsidP="00493A56">
            <w:pPr>
              <w:pStyle w:val="TableText"/>
            </w:pPr>
            <w:r>
              <w:t>RCT</w:t>
            </w:r>
          </w:p>
          <w:p w:rsidR="00AD0B23" w:rsidRDefault="00AD0B23" w:rsidP="00493A56">
            <w:pPr>
              <w:pStyle w:val="TableText"/>
            </w:pPr>
            <w:r>
              <w:t>RCT phase III</w:t>
            </w:r>
          </w:p>
          <w:p w:rsidR="00AD0B23" w:rsidRDefault="00AD0B23" w:rsidP="00493A56">
            <w:pPr>
              <w:pStyle w:val="TableText"/>
            </w:pPr>
            <w:r>
              <w:t>RCT phase III</w:t>
            </w:r>
          </w:p>
          <w:p w:rsidR="00AD0B23" w:rsidRDefault="005A149C" w:rsidP="00493A56">
            <w:pPr>
              <w:pStyle w:val="TableText"/>
            </w:pPr>
            <w:r>
              <w:t>RCT phase II</w:t>
            </w:r>
          </w:p>
          <w:p w:rsidR="005A149C" w:rsidRDefault="005A149C" w:rsidP="00493A56">
            <w:pPr>
              <w:pStyle w:val="TableText"/>
            </w:pPr>
            <w:r>
              <w:t>Meta-analysis</w:t>
            </w:r>
          </w:p>
        </w:tc>
      </w:tr>
      <w:tr w:rsidR="00D918EA" w:rsidTr="00192A3B">
        <w:trPr>
          <w:tblHeader/>
        </w:trPr>
        <w:tc>
          <w:tcPr>
            <w:tcW w:w="3216" w:type="dxa"/>
          </w:tcPr>
          <w:p w:rsidR="00D918EA" w:rsidRDefault="00D918EA" w:rsidP="000411B4">
            <w:pPr>
              <w:pStyle w:val="TableText"/>
              <w:rPr>
                <w:b/>
              </w:rPr>
            </w:pPr>
            <w:r>
              <w:rPr>
                <w:b/>
              </w:rPr>
              <w:t>Search 4</w:t>
            </w:r>
          </w:p>
          <w:p w:rsidR="00D918EA" w:rsidRPr="00D918EA" w:rsidRDefault="00D918EA" w:rsidP="000411B4">
            <w:pPr>
              <w:pStyle w:val="TableText"/>
            </w:pPr>
            <w:r w:rsidRPr="00D918EA">
              <w:t>Cost-effectiveness of DXA and treatment? (and related questions)</w:t>
            </w:r>
          </w:p>
        </w:tc>
        <w:tc>
          <w:tcPr>
            <w:tcW w:w="2422" w:type="dxa"/>
          </w:tcPr>
          <w:p w:rsidR="002571D9" w:rsidRDefault="002571D9" w:rsidP="002571D9">
            <w:pPr>
              <w:pStyle w:val="TableText"/>
            </w:pPr>
            <w:r>
              <w:t>Ito 2012</w:t>
            </w:r>
          </w:p>
          <w:p w:rsidR="002571D9" w:rsidRDefault="002571D9" w:rsidP="002571D9">
            <w:pPr>
              <w:pStyle w:val="TableText"/>
            </w:pPr>
            <w:r>
              <w:t>Logman 2010</w:t>
            </w:r>
          </w:p>
          <w:p w:rsidR="00D918EA" w:rsidRDefault="00952ED3" w:rsidP="00952ED3">
            <w:pPr>
              <w:pStyle w:val="TableText"/>
            </w:pPr>
            <w:r>
              <w:t>Mueller</w:t>
            </w:r>
            <w:r w:rsidR="002571D9">
              <w:t xml:space="preserve"> 20</w:t>
            </w:r>
            <w:r>
              <w:t>09</w:t>
            </w:r>
          </w:p>
        </w:tc>
        <w:tc>
          <w:tcPr>
            <w:tcW w:w="2665" w:type="dxa"/>
          </w:tcPr>
          <w:p w:rsidR="00D918EA" w:rsidRDefault="002571D9" w:rsidP="00493A56">
            <w:pPr>
              <w:pStyle w:val="TableText"/>
            </w:pPr>
            <w:r>
              <w:t>Cost-utility analysis</w:t>
            </w:r>
          </w:p>
          <w:p w:rsidR="002571D9" w:rsidRDefault="002571D9" w:rsidP="00493A56">
            <w:pPr>
              <w:pStyle w:val="TableText"/>
            </w:pPr>
            <w:r>
              <w:t>Cost-utility analysis</w:t>
            </w:r>
          </w:p>
          <w:p w:rsidR="002571D9" w:rsidRDefault="002571D9" w:rsidP="00493A56">
            <w:pPr>
              <w:pStyle w:val="TableText"/>
            </w:pPr>
            <w:r>
              <w:t>Cost-utility analysis</w:t>
            </w:r>
          </w:p>
        </w:tc>
      </w:tr>
    </w:tbl>
    <w:p w:rsidR="0040218C" w:rsidRDefault="00F41778" w:rsidP="00F41778">
      <w:pPr>
        <w:pStyle w:val="TableText"/>
        <w:ind w:left="567"/>
      </w:pPr>
      <w:r>
        <w:t xml:space="preserve">Sources: </w:t>
      </w:r>
      <w:r>
        <w:fldChar w:fldCharType="begin">
          <w:fldData xml:space="preserve">L2lzYm4+PGFjY2Vzc2lvbi1udW0+MjMzNTg5NzE8L2FjY2Vzc2lvbi1udW0+PGxhYmVsPmluY2x1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</w:fldData>
        </w:fldChar>
      </w:r>
      <w:r>
        <w:instrText xml:space="preserve"> ADDIN EN.CITE </w:instrText>
      </w:r>
      <w:r>
        <w:fldChar w:fldCharType="begin">
          <w:fldData xml:space="preserve">PEVuZE5vdGU+PENpdGU+PEF1dGhvcj5JdG88L0F1dGhvcj48WWVhcj4yMDEyPC9ZZWFyPjxSZWNO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==
</w:fldData>
        </w:fldChar>
      </w:r>
      <w:r>
        <w:instrText xml:space="preserve"> ADDIN EN.CITE.DATA </w:instrText>
      </w:r>
      <w:r>
        <w:fldChar w:fldCharType="end"/>
      </w:r>
      <w:r>
        <w:fldChar w:fldCharType="begin">
          <w:fldData xml:space="preserve">PjxrZXl3b3JkPkJvbmUgRGVuc2l0eSBbZHJ1ZyBlZmZlY3RzXTwva2V5d29yZD48a2V5d29yZD5C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==
</w:fldData>
        </w:fldChar>
      </w:r>
      <w:r>
        <w:instrText xml:space="preserve"> ADDIN EN.CITE.DATA </w:instrText>
      </w:r>
      <w:r>
        <w:fldChar w:fldCharType="end"/>
      </w:r>
      <w:r>
        <w:fldChar w:fldCharType="begin">
          <w:fldData xml:space="preserve">L2lzYm4+PGFjY2Vzc2lvbi1udW0+MjMzNTg5NzE8L2FjY2Vzc2lvbi1udW0+PGxhYmVsPmluY2x1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</w:fldData>
        </w:fldChar>
      </w:r>
      <w:r>
        <w:instrText xml:space="preserve"> ADDIN EN.CITE.DATA </w:instrText>
      </w:r>
      <w:r>
        <w:fldChar w:fldCharType="end"/>
      </w:r>
      <w:r>
        <w:fldChar w:fldCharType="separate"/>
      </w:r>
      <w:r>
        <w:rPr>
          <w:noProof/>
        </w:rPr>
        <w:t>(</w:t>
      </w:r>
      <w:hyperlink w:anchor="_ENREF_40" w:tooltip="Marshall, 1996 #232" w:history="1">
        <w:r w:rsidR="006F79C1">
          <w:rPr>
            <w:noProof/>
          </w:rPr>
          <w:t>Marshall, Johnell et al. 1996</w:t>
        </w:r>
      </w:hyperlink>
      <w:r>
        <w:rPr>
          <w:noProof/>
        </w:rPr>
        <w:t xml:space="preserve">, </w:t>
      </w:r>
      <w:hyperlink w:anchor="_ENREF_23" w:tooltip="Hailey, 1998 #236" w:history="1">
        <w:r w:rsidR="006F79C1">
          <w:rPr>
            <w:noProof/>
          </w:rPr>
          <w:t>Hailey, Sampietro-Colom et al. 1998</w:t>
        </w:r>
      </w:hyperlink>
      <w:r>
        <w:rPr>
          <w:noProof/>
        </w:rPr>
        <w:t xml:space="preserve">, </w:t>
      </w:r>
      <w:hyperlink w:anchor="_ENREF_26" w:tooltip="Homik, 1999 #235" w:history="1">
        <w:r w:rsidR="006F79C1">
          <w:rPr>
            <w:noProof/>
          </w:rPr>
          <w:t>Homik and Hailey 1999</w:t>
        </w:r>
      </w:hyperlink>
      <w:r>
        <w:rPr>
          <w:noProof/>
        </w:rPr>
        <w:t xml:space="preserve">, </w:t>
      </w:r>
      <w:hyperlink w:anchor="_ENREF_7" w:tooltip="Bell, 2007 #243" w:history="1">
        <w:r w:rsidR="006F79C1">
          <w:rPr>
            <w:noProof/>
          </w:rPr>
          <w:t>Bell and Lewis 2007</w:t>
        </w:r>
      </w:hyperlink>
      <w:r>
        <w:rPr>
          <w:noProof/>
        </w:rPr>
        <w:t xml:space="preserve">, </w:t>
      </w:r>
      <w:hyperlink w:anchor="_ENREF_30" w:tooltip="Kanis, 2007 #234" w:history="1">
        <w:r w:rsidR="006F79C1">
          <w:rPr>
            <w:noProof/>
          </w:rPr>
          <w:t>Kanis, Oden et al. 2007</w:t>
        </w:r>
      </w:hyperlink>
      <w:r>
        <w:rPr>
          <w:noProof/>
        </w:rPr>
        <w:t xml:space="preserve">, </w:t>
      </w:r>
      <w:hyperlink w:anchor="_ENREF_56" w:tooltip="Rud, 2007 #231" w:history="1">
        <w:r w:rsidR="006F79C1">
          <w:rPr>
            <w:noProof/>
          </w:rPr>
          <w:t>Rud, Hilden et al. 2007</w:t>
        </w:r>
      </w:hyperlink>
      <w:r>
        <w:rPr>
          <w:noProof/>
        </w:rPr>
        <w:t xml:space="preserve">, </w:t>
      </w:r>
      <w:hyperlink w:anchor="_ENREF_16" w:tooltip="Ellis, 2009 #164" w:history="1">
        <w:r w:rsidR="006F79C1">
          <w:rPr>
            <w:noProof/>
          </w:rPr>
          <w:t>Ellis, Bone et al. 2009</w:t>
        </w:r>
      </w:hyperlink>
      <w:r>
        <w:rPr>
          <w:noProof/>
        </w:rPr>
        <w:t xml:space="preserve">, </w:t>
      </w:r>
      <w:hyperlink w:anchor="_ENREF_35" w:tooltip="Lim, 2009 #233" w:history="1">
        <w:r w:rsidR="006F79C1">
          <w:rPr>
            <w:noProof/>
          </w:rPr>
          <w:t>Lim, Hoeksema et al. 2009</w:t>
        </w:r>
      </w:hyperlink>
      <w:r>
        <w:rPr>
          <w:noProof/>
        </w:rPr>
        <w:t xml:space="preserve">, </w:t>
      </w:r>
      <w:hyperlink w:anchor="_ENREF_42" w:tooltip="Mueller, 2009 #254" w:history="1">
        <w:r w:rsidR="006F79C1">
          <w:rPr>
            <w:noProof/>
          </w:rPr>
          <w:t>Mueller and Gandjour 2009</w:t>
        </w:r>
      </w:hyperlink>
      <w:r>
        <w:rPr>
          <w:noProof/>
        </w:rPr>
        <w:t xml:space="preserve">, </w:t>
      </w:r>
      <w:hyperlink w:anchor="_ENREF_37" w:tooltip="Logman, 2010 #253" w:history="1">
        <w:r w:rsidR="006F79C1">
          <w:rPr>
            <w:noProof/>
          </w:rPr>
          <w:t>Logman, Heeg et al. 2010</w:t>
        </w:r>
      </w:hyperlink>
      <w:r>
        <w:rPr>
          <w:noProof/>
        </w:rPr>
        <w:t xml:space="preserve">, </w:t>
      </w:r>
      <w:hyperlink w:anchor="_ENREF_39" w:tooltip="Markopoulos, 2010 #160" w:history="1">
        <w:r w:rsidR="006F79C1">
          <w:rPr>
            <w:noProof/>
          </w:rPr>
          <w:t>Markopoulos, Tzoracoleftherakis et al. 2010</w:t>
        </w:r>
      </w:hyperlink>
      <w:r>
        <w:rPr>
          <w:noProof/>
        </w:rPr>
        <w:t xml:space="preserve">, </w:t>
      </w:r>
      <w:hyperlink w:anchor="_ENREF_1" w:tooltip="Amir, 2011 #241" w:history="1">
        <w:r w:rsidR="006F79C1">
          <w:rPr>
            <w:noProof/>
          </w:rPr>
          <w:t>Amir, Seruga et al. 2011</w:t>
        </w:r>
      </w:hyperlink>
      <w:r>
        <w:rPr>
          <w:noProof/>
        </w:rPr>
        <w:t xml:space="preserve">, </w:t>
      </w:r>
      <w:hyperlink w:anchor="_ENREF_12" w:tooltip="Cummins, 2011 #237" w:history="1">
        <w:r w:rsidR="006F79C1">
          <w:rPr>
            <w:noProof/>
          </w:rPr>
          <w:t>Cummins, Poku et al. 2011</w:t>
        </w:r>
      </w:hyperlink>
      <w:r>
        <w:rPr>
          <w:noProof/>
        </w:rPr>
        <w:t xml:space="preserve">, </w:t>
      </w:r>
      <w:hyperlink w:anchor="_ENREF_13" w:tooltip="Eastell, 2011 #121" w:history="1">
        <w:r w:rsidR="006F79C1">
          <w:rPr>
            <w:noProof/>
          </w:rPr>
          <w:t>Eastell, Adams et al. 2011</w:t>
        </w:r>
      </w:hyperlink>
      <w:r>
        <w:rPr>
          <w:noProof/>
        </w:rPr>
        <w:t xml:space="preserve">, </w:t>
      </w:r>
      <w:hyperlink w:anchor="_ENREF_15" w:tooltip="Edwards, 2011 #122" w:history="1">
        <w:r w:rsidR="006F79C1">
          <w:rPr>
            <w:noProof/>
          </w:rPr>
          <w:t>Edwards, Raisch et al. 2011</w:t>
        </w:r>
      </w:hyperlink>
      <w:r>
        <w:rPr>
          <w:noProof/>
        </w:rPr>
        <w:t xml:space="preserve">, </w:t>
      </w:r>
      <w:hyperlink w:anchor="_ENREF_33" w:tooltip="Lee, 2011 #170" w:history="1">
        <w:r w:rsidR="006F79C1">
          <w:rPr>
            <w:noProof/>
          </w:rPr>
          <w:t>Lee, Hwang et al. 2011</w:t>
        </w:r>
      </w:hyperlink>
      <w:r>
        <w:rPr>
          <w:noProof/>
        </w:rPr>
        <w:t xml:space="preserve">, </w:t>
      </w:r>
      <w:hyperlink w:anchor="_ENREF_43" w:tooltip="Neuner, 2011 #250" w:history="1">
        <w:r w:rsidR="006F79C1">
          <w:rPr>
            <w:noProof/>
          </w:rPr>
          <w:t>Neuner, Yen et al. 2011</w:t>
        </w:r>
      </w:hyperlink>
      <w:r>
        <w:rPr>
          <w:noProof/>
        </w:rPr>
        <w:t xml:space="preserve">, </w:t>
      </w:r>
      <w:hyperlink w:anchor="_ENREF_52" w:tooltip="Rastelli, 2011 #169" w:history="1">
        <w:r w:rsidR="006F79C1">
          <w:rPr>
            <w:noProof/>
          </w:rPr>
          <w:t>Rastelli, Taylor et al. 2011</w:t>
        </w:r>
      </w:hyperlink>
      <w:r>
        <w:rPr>
          <w:noProof/>
        </w:rPr>
        <w:t xml:space="preserve">, </w:t>
      </w:r>
      <w:hyperlink w:anchor="_ENREF_57" w:tooltip="Safra, 2011 #168" w:history="1">
        <w:r w:rsidR="006F79C1">
          <w:rPr>
            <w:noProof/>
          </w:rPr>
          <w:t>Safra, Bernstein-Molho et al. 2011</w:t>
        </w:r>
      </w:hyperlink>
      <w:r>
        <w:rPr>
          <w:noProof/>
        </w:rPr>
        <w:t xml:space="preserve">, </w:t>
      </w:r>
      <w:hyperlink w:anchor="_ENREF_6" w:tooltip="Becker, 2012 #242" w:history="1">
        <w:r w:rsidR="006F79C1">
          <w:rPr>
            <w:noProof/>
          </w:rPr>
          <w:t>Becker, Lipscombe et al. 2012</w:t>
        </w:r>
      </w:hyperlink>
      <w:r>
        <w:rPr>
          <w:noProof/>
        </w:rPr>
        <w:t xml:space="preserve">, </w:t>
      </w:r>
      <w:hyperlink w:anchor="_ENREF_10" w:tooltip="Brufsky, 2012 #166" w:history="1">
        <w:r w:rsidR="006F79C1">
          <w:rPr>
            <w:noProof/>
          </w:rPr>
          <w:t>Brufsky, Harker et al. 2012</w:t>
        </w:r>
      </w:hyperlink>
      <w:r>
        <w:rPr>
          <w:noProof/>
        </w:rPr>
        <w:t xml:space="preserve">, </w:t>
      </w:r>
      <w:hyperlink w:anchor="_ENREF_27" w:tooltip="Ito, 2012 #252" w:history="1">
        <w:r w:rsidR="006F79C1">
          <w:rPr>
            <w:noProof/>
          </w:rPr>
          <w:t>Ito, Blinder et al. 2012</w:t>
        </w:r>
      </w:hyperlink>
      <w:r>
        <w:rPr>
          <w:noProof/>
        </w:rPr>
        <w:t xml:space="preserve">, </w:t>
      </w:r>
      <w:hyperlink w:anchor="_ENREF_34" w:tooltip="Lester, 2012 #163" w:history="1">
        <w:r w:rsidR="006F79C1">
          <w:rPr>
            <w:noProof/>
          </w:rPr>
          <w:t>Lester, Dodwell et al. 2012</w:t>
        </w:r>
      </w:hyperlink>
      <w:r>
        <w:rPr>
          <w:noProof/>
        </w:rPr>
        <w:t xml:space="preserve">, </w:t>
      </w:r>
      <w:hyperlink w:anchor="_ENREF_36" w:tooltip="Llombart, 2012 #72" w:history="1">
        <w:r w:rsidR="006F79C1">
          <w:rPr>
            <w:noProof/>
          </w:rPr>
          <w:t>Llombart, Frassoldati et al. 2012</w:t>
        </w:r>
      </w:hyperlink>
      <w:r>
        <w:rPr>
          <w:noProof/>
        </w:rPr>
        <w:t xml:space="preserve">, </w:t>
      </w:r>
      <w:hyperlink w:anchor="_ENREF_48" w:tooltip="Nuzzo, 2012 #159" w:history="1">
        <w:r w:rsidR="006F79C1">
          <w:rPr>
            <w:noProof/>
          </w:rPr>
          <w:t>Nuzzo, Gallo et al. 2012</w:t>
        </w:r>
      </w:hyperlink>
      <w:r>
        <w:rPr>
          <w:noProof/>
        </w:rPr>
        <w:t xml:space="preserve">, </w:t>
      </w:r>
      <w:hyperlink w:anchor="_ENREF_59" w:tooltip="Takahashi, 2012 #167" w:history="1">
        <w:r w:rsidR="006F79C1">
          <w:rPr>
            <w:noProof/>
          </w:rPr>
          <w:t>Takahashi, Iwase et al. 2012</w:t>
        </w:r>
      </w:hyperlink>
      <w:r>
        <w:rPr>
          <w:noProof/>
        </w:rPr>
        <w:t xml:space="preserve">, </w:t>
      </w:r>
      <w:hyperlink w:anchor="_ENREF_11" w:tooltip="Coleman, 2013 #165" w:history="1">
        <w:r w:rsidR="006F79C1">
          <w:rPr>
            <w:noProof/>
          </w:rPr>
          <w:t>Coleman, Boer et al. 2013</w:t>
        </w:r>
      </w:hyperlink>
      <w:r>
        <w:rPr>
          <w:noProof/>
        </w:rPr>
        <w:t xml:space="preserve">, </w:t>
      </w:r>
      <w:hyperlink w:anchor="_ENREF_20" w:tooltip="Goss, 2013 #247" w:history="1">
        <w:r w:rsidR="006F79C1">
          <w:rPr>
            <w:noProof/>
          </w:rPr>
          <w:t>Goss, Ingle et al. 2013</w:t>
        </w:r>
      </w:hyperlink>
      <w:r>
        <w:rPr>
          <w:noProof/>
        </w:rPr>
        <w:t xml:space="preserve">, </w:t>
      </w:r>
      <w:hyperlink w:anchor="_ENREF_28" w:tooltip="Kalder, 2013 #249" w:history="1">
        <w:r w:rsidR="006F79C1">
          <w:rPr>
            <w:noProof/>
          </w:rPr>
          <w:t>Kalder, Ziller et al. 2013</w:t>
        </w:r>
      </w:hyperlink>
      <w:r>
        <w:rPr>
          <w:noProof/>
        </w:rPr>
        <w:t xml:space="preserve">, </w:t>
      </w:r>
      <w:hyperlink w:anchor="_ENREF_54" w:tooltip="Rhee, 2013 #158" w:history="1">
        <w:r w:rsidR="006F79C1">
          <w:rPr>
            <w:noProof/>
          </w:rPr>
          <w:t>Rhee, Song et al. 2013</w:t>
        </w:r>
      </w:hyperlink>
      <w:r>
        <w:rPr>
          <w:noProof/>
        </w:rPr>
        <w:t>)</w:t>
      </w:r>
      <w:r>
        <w:fldChar w:fldCharType="end"/>
      </w:r>
    </w:p>
    <w:p w:rsidR="00F41778" w:rsidRDefault="00F41778" w:rsidP="00023A9A">
      <w:pPr>
        <w:pStyle w:val="Heading3"/>
      </w:pPr>
      <w:bookmarkStart w:id="94" w:name="_Toc386093705"/>
    </w:p>
    <w:p w:rsidR="00023A9A" w:rsidRDefault="00023A9A" w:rsidP="00023A9A">
      <w:pPr>
        <w:pStyle w:val="Heading3"/>
      </w:pPr>
      <w:r>
        <w:lastRenderedPageBreak/>
        <w:t>Are post-menopausal women with breast cancer on aromatase inhibitors at high risk of minimal trauma fractures?</w:t>
      </w:r>
      <w:bookmarkEnd w:id="94"/>
    </w:p>
    <w:p w:rsidR="005D1071" w:rsidRDefault="00201ECF" w:rsidP="00755C3E">
      <w:r>
        <w:t>A summary of the key features</w:t>
      </w:r>
      <w:r w:rsidR="001E6AD7">
        <w:t>,</w:t>
      </w:r>
      <w:r>
        <w:t xml:space="preserve"> results and quality appraisal are provided in Tables </w:t>
      </w:r>
      <w:r w:rsidR="005A4B2B">
        <w:t>12</w:t>
      </w:r>
      <w:r>
        <w:t xml:space="preserve"> and </w:t>
      </w:r>
      <w:r w:rsidR="005A4B2B">
        <w:t>13</w:t>
      </w:r>
      <w:r>
        <w:t>.</w:t>
      </w:r>
      <w:r w:rsidR="009A3B0D">
        <w:t xml:space="preserve"> Additional information </w:t>
      </w:r>
      <w:r w:rsidR="005D1071">
        <w:t xml:space="preserve">on these studies </w:t>
      </w:r>
      <w:r w:rsidR="009A3B0D">
        <w:t xml:space="preserve">is provided in Appendix </w:t>
      </w:r>
      <w:r w:rsidR="005A4B2B">
        <w:t>C</w:t>
      </w:r>
      <w:r w:rsidR="009A3B0D">
        <w:t>.</w:t>
      </w:r>
      <w:r w:rsidR="001E1648">
        <w:t xml:space="preserve"> </w:t>
      </w:r>
    </w:p>
    <w:p w:rsidR="00023A9A" w:rsidRDefault="001E1648" w:rsidP="00755C3E">
      <w:r>
        <w:t xml:space="preserve">No studies were identified </w:t>
      </w:r>
      <w:r w:rsidR="00F33E2F">
        <w:t xml:space="preserve">that </w:t>
      </w:r>
      <w:r>
        <w:t>compar</w:t>
      </w:r>
      <w:r w:rsidR="00F33E2F">
        <w:t>ed</w:t>
      </w:r>
      <w:r>
        <w:t xml:space="preserve"> the risk of fractures in women with breast cancer and those on long term corticosteroid therapies</w:t>
      </w:r>
      <w:r w:rsidR="00D918EA">
        <w:t xml:space="preserve"> (the benchmark population)</w:t>
      </w:r>
      <w:r w:rsidR="007261B3">
        <w:t xml:space="preserve">.  In general, </w:t>
      </w:r>
      <w:r w:rsidR="00F33E2F">
        <w:t xml:space="preserve">the </w:t>
      </w:r>
      <w:r w:rsidR="007261B3">
        <w:t xml:space="preserve">trials </w:t>
      </w:r>
      <w:r w:rsidR="00F33E2F">
        <w:t xml:space="preserve">below </w:t>
      </w:r>
      <w:r w:rsidR="007261B3">
        <w:t>excluded women who were on corticosteroid therapy.</w:t>
      </w:r>
    </w:p>
    <w:p w:rsidR="00201ECF" w:rsidRPr="00B808EA" w:rsidRDefault="009A3B0D" w:rsidP="00B808EA">
      <w:pPr>
        <w:pStyle w:val="TableName"/>
      </w:pPr>
      <w:r>
        <w:t xml:space="preserve"> </w:t>
      </w:r>
      <w:bookmarkStart w:id="95" w:name="_Toc386112681"/>
      <w:r w:rsidR="00201ECF" w:rsidRPr="00B808EA">
        <w:t xml:space="preserve">Table </w:t>
      </w:r>
      <w:r w:rsidR="005A4B2B" w:rsidRPr="00B808EA">
        <w:t>12</w:t>
      </w:r>
      <w:r w:rsidR="00B808EA" w:rsidRPr="00B808EA">
        <w:t>:</w:t>
      </w:r>
      <w:r w:rsidR="00201ECF" w:rsidRPr="00B808EA">
        <w:t xml:space="preserve"> Key features on studies assessing </w:t>
      </w:r>
      <w:r w:rsidRPr="00B808EA">
        <w:t xml:space="preserve">fracture </w:t>
      </w:r>
      <w:r w:rsidR="00201ECF" w:rsidRPr="00B808EA">
        <w:t>risk</w:t>
      </w:r>
      <w:bookmarkEnd w:id="95"/>
      <w:r w:rsidR="00201ECF" w:rsidRPr="00B808EA">
        <w:t xml:space="preserve"> </w:t>
      </w:r>
    </w:p>
    <w:tbl>
      <w:tblPr>
        <w:tblStyle w:val="TableGrid"/>
        <w:tblW w:w="0" w:type="auto"/>
        <w:tblInd w:w="720" w:type="dxa"/>
        <w:tblLook w:val="04A0" w:firstRow="1" w:lastRow="0" w:firstColumn="1" w:lastColumn="0" w:noHBand="0" w:noVBand="1"/>
        <w:tblCaption w:val="Table 12 Key features of studies assessing fracture risk"/>
      </w:tblPr>
      <w:tblGrid>
        <w:gridCol w:w="1076"/>
        <w:gridCol w:w="1331"/>
        <w:gridCol w:w="1870"/>
        <w:gridCol w:w="2057"/>
        <w:gridCol w:w="2188"/>
      </w:tblGrid>
      <w:tr w:rsidR="00254A3E" w:rsidRPr="00EC6CB4" w:rsidTr="00192A3B">
        <w:trPr>
          <w:tblHeader/>
        </w:trPr>
        <w:tc>
          <w:tcPr>
            <w:tcW w:w="1076" w:type="dxa"/>
          </w:tcPr>
          <w:p w:rsidR="00254A3E" w:rsidRPr="00EC6CB4" w:rsidRDefault="00254A3E" w:rsidP="00EC6CB4">
            <w:pPr>
              <w:pStyle w:val="TableText"/>
              <w:rPr>
                <w:b/>
              </w:rPr>
            </w:pPr>
            <w:r w:rsidRPr="00EC6CB4">
              <w:rPr>
                <w:b/>
              </w:rPr>
              <w:t>Author/Year</w:t>
            </w:r>
          </w:p>
        </w:tc>
        <w:tc>
          <w:tcPr>
            <w:tcW w:w="1331" w:type="dxa"/>
          </w:tcPr>
          <w:p w:rsidR="00254A3E" w:rsidRPr="00EC6CB4" w:rsidRDefault="00254A3E" w:rsidP="00EC6CB4">
            <w:pPr>
              <w:pStyle w:val="TableText"/>
              <w:rPr>
                <w:b/>
              </w:rPr>
            </w:pPr>
            <w:r w:rsidRPr="00EC6CB4">
              <w:rPr>
                <w:b/>
              </w:rPr>
              <w:t>Study design</w:t>
            </w:r>
          </w:p>
        </w:tc>
        <w:tc>
          <w:tcPr>
            <w:tcW w:w="1870" w:type="dxa"/>
          </w:tcPr>
          <w:p w:rsidR="00254A3E" w:rsidRPr="00EC6CB4" w:rsidRDefault="00254A3E" w:rsidP="00EC6CB4">
            <w:pPr>
              <w:pStyle w:val="TableText"/>
              <w:rPr>
                <w:b/>
              </w:rPr>
            </w:pPr>
            <w:r w:rsidRPr="00EC6CB4">
              <w:rPr>
                <w:b/>
              </w:rPr>
              <w:t>Intvn/Comparator</w:t>
            </w:r>
          </w:p>
        </w:tc>
        <w:tc>
          <w:tcPr>
            <w:tcW w:w="2057" w:type="dxa"/>
          </w:tcPr>
          <w:p w:rsidR="00254A3E" w:rsidRPr="00EC6CB4" w:rsidRDefault="00254A3E" w:rsidP="00EC6CB4">
            <w:pPr>
              <w:pStyle w:val="TableText"/>
              <w:rPr>
                <w:b/>
              </w:rPr>
            </w:pPr>
            <w:r>
              <w:rPr>
                <w:b/>
              </w:rPr>
              <w:t>Population</w:t>
            </w:r>
          </w:p>
        </w:tc>
        <w:tc>
          <w:tcPr>
            <w:tcW w:w="2188" w:type="dxa"/>
          </w:tcPr>
          <w:p w:rsidR="00254A3E" w:rsidRPr="00EC6CB4" w:rsidRDefault="00254A3E" w:rsidP="00B243E6">
            <w:pPr>
              <w:pStyle w:val="TableText"/>
              <w:rPr>
                <w:b/>
              </w:rPr>
            </w:pPr>
            <w:r w:rsidRPr="00EC6CB4">
              <w:rPr>
                <w:b/>
              </w:rPr>
              <w:t>O</w:t>
            </w:r>
            <w:r w:rsidR="007E7F71">
              <w:rPr>
                <w:b/>
              </w:rPr>
              <w:t>utcome measures</w:t>
            </w:r>
          </w:p>
        </w:tc>
      </w:tr>
      <w:tr w:rsidR="00254A3E" w:rsidTr="00192A3B">
        <w:trPr>
          <w:tblHeader/>
        </w:trPr>
        <w:tc>
          <w:tcPr>
            <w:tcW w:w="1076" w:type="dxa"/>
          </w:tcPr>
          <w:p w:rsidR="00254A3E" w:rsidRDefault="00254A3E" w:rsidP="00EC6CB4">
            <w:pPr>
              <w:pStyle w:val="TableText"/>
            </w:pPr>
            <w:r>
              <w:t>Amir 2011</w:t>
            </w:r>
          </w:p>
        </w:tc>
        <w:tc>
          <w:tcPr>
            <w:tcW w:w="1331" w:type="dxa"/>
          </w:tcPr>
          <w:p w:rsidR="00254A3E" w:rsidRDefault="00254A3E" w:rsidP="00254A3E">
            <w:pPr>
              <w:pStyle w:val="TableText"/>
            </w:pPr>
            <w:r>
              <w:t xml:space="preserve">Systematic review and meta-analysis </w:t>
            </w:r>
            <w:r w:rsidR="009A3B0D">
              <w:t>(7 studies)</w:t>
            </w:r>
          </w:p>
        </w:tc>
        <w:tc>
          <w:tcPr>
            <w:tcW w:w="1870" w:type="dxa"/>
          </w:tcPr>
          <w:p w:rsidR="00254A3E" w:rsidRDefault="00254A3E" w:rsidP="00EC6CB4">
            <w:pPr>
              <w:pStyle w:val="TableText"/>
            </w:pPr>
            <w:r>
              <w:t>AIs vs tamoxifen, switching options</w:t>
            </w:r>
          </w:p>
        </w:tc>
        <w:tc>
          <w:tcPr>
            <w:tcW w:w="2057" w:type="dxa"/>
          </w:tcPr>
          <w:p w:rsidR="00254A3E" w:rsidRDefault="00254A3E" w:rsidP="00254A3E">
            <w:pPr>
              <w:pStyle w:val="TableHeading"/>
              <w:rPr>
                <w:b w:val="0"/>
                <w:bCs/>
              </w:rPr>
            </w:pPr>
            <w:r>
              <w:rPr>
                <w:b w:val="0"/>
                <w:bCs/>
              </w:rPr>
              <w:t>Mean age range</w:t>
            </w:r>
            <w:r w:rsidR="009A3B0D">
              <w:rPr>
                <w:b w:val="0"/>
                <w:bCs/>
              </w:rPr>
              <w:t xml:space="preserve"> 59.9 to 64.5</w:t>
            </w:r>
            <w:r>
              <w:rPr>
                <w:b w:val="0"/>
                <w:bCs/>
              </w:rPr>
              <w:t xml:space="preserve"> years</w:t>
            </w:r>
          </w:p>
          <w:p w:rsidR="00254A3E" w:rsidRDefault="00254A3E" w:rsidP="00EC6CB4">
            <w:pPr>
              <w:pStyle w:val="TableText"/>
            </w:pPr>
          </w:p>
        </w:tc>
        <w:tc>
          <w:tcPr>
            <w:tcW w:w="2188" w:type="dxa"/>
          </w:tcPr>
          <w:p w:rsidR="00254A3E" w:rsidRDefault="00254A3E" w:rsidP="009A3B0D">
            <w:pPr>
              <w:pStyle w:val="TableText"/>
            </w:pPr>
            <w:r>
              <w:t xml:space="preserve">OR and NNH of cardiovascular disease, bone fractures, venous thrombosis, </w:t>
            </w:r>
            <w:r w:rsidR="009A3B0D">
              <w:t>cerebrovascular disease, endometrial cancer, death</w:t>
            </w:r>
          </w:p>
        </w:tc>
      </w:tr>
      <w:tr w:rsidR="00254A3E" w:rsidTr="00192A3B">
        <w:trPr>
          <w:tblHeader/>
        </w:trPr>
        <w:tc>
          <w:tcPr>
            <w:tcW w:w="1076" w:type="dxa"/>
          </w:tcPr>
          <w:p w:rsidR="00254A3E" w:rsidRDefault="00254A3E" w:rsidP="00EC6CB4">
            <w:pPr>
              <w:pStyle w:val="TableText"/>
            </w:pPr>
            <w:r>
              <w:t>Becker 2012</w:t>
            </w:r>
          </w:p>
        </w:tc>
        <w:tc>
          <w:tcPr>
            <w:tcW w:w="1331" w:type="dxa"/>
          </w:tcPr>
          <w:p w:rsidR="009A3B0D" w:rsidRDefault="00254A3E" w:rsidP="009A3B0D">
            <w:pPr>
              <w:pStyle w:val="TableHeading"/>
              <w:rPr>
                <w:b w:val="0"/>
                <w:bCs/>
              </w:rPr>
            </w:pPr>
            <w:r w:rsidRPr="009A3B0D">
              <w:rPr>
                <w:b w:val="0"/>
              </w:rPr>
              <w:t>Systematic review</w:t>
            </w:r>
            <w:r w:rsidR="009A3B0D">
              <w:t xml:space="preserve"> (</w:t>
            </w:r>
            <w:r w:rsidR="009A3B0D">
              <w:rPr>
                <w:b w:val="0"/>
                <w:bCs/>
              </w:rPr>
              <w:t>11 Studies)</w:t>
            </w:r>
          </w:p>
          <w:p w:rsidR="00254A3E" w:rsidRDefault="00254A3E" w:rsidP="00EC6CB4">
            <w:pPr>
              <w:pStyle w:val="TableText"/>
            </w:pPr>
          </w:p>
        </w:tc>
        <w:tc>
          <w:tcPr>
            <w:tcW w:w="1870" w:type="dxa"/>
          </w:tcPr>
          <w:p w:rsidR="00254A3E" w:rsidRDefault="00254A3E" w:rsidP="00EC6CB4">
            <w:pPr>
              <w:pStyle w:val="TableText"/>
            </w:pPr>
            <w:r>
              <w:t>AIs vs tamoxifen or placebo, single therapy only, no switching</w:t>
            </w:r>
          </w:p>
        </w:tc>
        <w:tc>
          <w:tcPr>
            <w:tcW w:w="2057" w:type="dxa"/>
          </w:tcPr>
          <w:p w:rsidR="00254A3E" w:rsidRDefault="00254A3E" w:rsidP="00254A3E">
            <w:pPr>
              <w:pStyle w:val="TableHeading"/>
              <w:rPr>
                <w:b w:val="0"/>
                <w:bCs/>
              </w:rPr>
            </w:pPr>
            <w:r>
              <w:rPr>
                <w:b w:val="0"/>
                <w:bCs/>
              </w:rPr>
              <w:t>Mean age range 59.9 to 65 years</w:t>
            </w:r>
          </w:p>
          <w:p w:rsidR="00254A3E" w:rsidRDefault="00254A3E" w:rsidP="00B2159B">
            <w:pPr>
              <w:pStyle w:val="TableHeading"/>
              <w:rPr>
                <w:b w:val="0"/>
                <w:bCs/>
              </w:rPr>
            </w:pPr>
            <w:r>
              <w:rPr>
                <w:b w:val="0"/>
                <w:bCs/>
              </w:rPr>
              <w:t>Median follow up: 24 to 100 months</w:t>
            </w:r>
          </w:p>
          <w:p w:rsidR="00B2159B" w:rsidRDefault="00B2159B" w:rsidP="00B2159B">
            <w:pPr>
              <w:pStyle w:val="TableHeading"/>
            </w:pPr>
          </w:p>
        </w:tc>
        <w:tc>
          <w:tcPr>
            <w:tcW w:w="2188" w:type="dxa"/>
          </w:tcPr>
          <w:p w:rsidR="00254A3E" w:rsidRDefault="00D918EA" w:rsidP="00EC6CB4">
            <w:pPr>
              <w:pStyle w:val="TableText"/>
              <w:rPr>
                <w:bCs/>
              </w:rPr>
            </w:pPr>
            <w:r>
              <w:rPr>
                <w:bCs/>
              </w:rPr>
              <w:t>B</w:t>
            </w:r>
            <w:r w:rsidR="00254A3E">
              <w:rPr>
                <w:bCs/>
              </w:rPr>
              <w:t xml:space="preserve">one fractures, </w:t>
            </w:r>
          </w:p>
          <w:p w:rsidR="00254A3E" w:rsidRDefault="00D918EA" w:rsidP="00EC6CB4">
            <w:pPr>
              <w:pStyle w:val="TableText"/>
              <w:rPr>
                <w:bCs/>
              </w:rPr>
            </w:pPr>
            <w:r>
              <w:rPr>
                <w:bCs/>
              </w:rPr>
              <w:t>B</w:t>
            </w:r>
            <w:r w:rsidR="00254A3E">
              <w:rPr>
                <w:bCs/>
              </w:rPr>
              <w:t xml:space="preserve">one turnover makers, </w:t>
            </w:r>
          </w:p>
          <w:p w:rsidR="00254A3E" w:rsidRDefault="005D1071" w:rsidP="00EC6CB4">
            <w:pPr>
              <w:pStyle w:val="TableText"/>
            </w:pPr>
            <w:r>
              <w:rPr>
                <w:bCs/>
              </w:rPr>
              <w:t xml:space="preserve">% </w:t>
            </w:r>
            <w:r w:rsidR="00254A3E">
              <w:rPr>
                <w:bCs/>
              </w:rPr>
              <w:t>BMD</w:t>
            </w:r>
            <w:r>
              <w:rPr>
                <w:bCs/>
              </w:rPr>
              <w:t xml:space="preserve"> change</w:t>
            </w:r>
          </w:p>
        </w:tc>
      </w:tr>
      <w:tr w:rsidR="00254A3E" w:rsidTr="00192A3B">
        <w:trPr>
          <w:tblHeader/>
        </w:trPr>
        <w:tc>
          <w:tcPr>
            <w:tcW w:w="1076" w:type="dxa"/>
          </w:tcPr>
          <w:p w:rsidR="00254A3E" w:rsidRDefault="00254A3E" w:rsidP="00EC6CB4">
            <w:pPr>
              <w:pStyle w:val="TableText"/>
            </w:pPr>
            <w:r>
              <w:t>Edwards 2011</w:t>
            </w:r>
          </w:p>
        </w:tc>
        <w:tc>
          <w:tcPr>
            <w:tcW w:w="1331" w:type="dxa"/>
          </w:tcPr>
          <w:p w:rsidR="00254A3E" w:rsidRDefault="00254A3E" w:rsidP="00EC6CB4">
            <w:pPr>
              <w:pStyle w:val="TableText"/>
            </w:pPr>
            <w:r>
              <w:t>Systematic review of non-RCT evidence</w:t>
            </w:r>
          </w:p>
        </w:tc>
        <w:tc>
          <w:tcPr>
            <w:tcW w:w="1870" w:type="dxa"/>
          </w:tcPr>
          <w:p w:rsidR="00254A3E" w:rsidRDefault="00254A3E" w:rsidP="00EC6CB4">
            <w:pPr>
              <w:pStyle w:val="TableText"/>
            </w:pPr>
            <w:r>
              <w:t>Observational case series of FDA Adverse Events Reporting System</w:t>
            </w:r>
          </w:p>
        </w:tc>
        <w:tc>
          <w:tcPr>
            <w:tcW w:w="2057" w:type="dxa"/>
          </w:tcPr>
          <w:p w:rsidR="00254A3E" w:rsidRDefault="00254A3E" w:rsidP="00EC6CB4">
            <w:pPr>
              <w:pStyle w:val="TableText"/>
            </w:pPr>
            <w:r>
              <w:t>Women with breast cancer and reported AEs</w:t>
            </w:r>
          </w:p>
        </w:tc>
        <w:tc>
          <w:tcPr>
            <w:tcW w:w="2188" w:type="dxa"/>
          </w:tcPr>
          <w:p w:rsidR="00254A3E" w:rsidRDefault="00254A3E" w:rsidP="00EC6CB4">
            <w:pPr>
              <w:pStyle w:val="TableText"/>
            </w:pPr>
            <w:r>
              <w:t>Fractures associated with breast cancer therapy</w:t>
            </w:r>
          </w:p>
        </w:tc>
      </w:tr>
      <w:tr w:rsidR="00254A3E" w:rsidTr="00192A3B">
        <w:trPr>
          <w:tblHeader/>
        </w:trPr>
        <w:tc>
          <w:tcPr>
            <w:tcW w:w="1076" w:type="dxa"/>
          </w:tcPr>
          <w:p w:rsidR="00254A3E" w:rsidRDefault="00254A3E" w:rsidP="00EC6CB4">
            <w:pPr>
              <w:pStyle w:val="TableText"/>
            </w:pPr>
            <w:r>
              <w:t>Bell 2007</w:t>
            </w:r>
          </w:p>
        </w:tc>
        <w:tc>
          <w:tcPr>
            <w:tcW w:w="1331" w:type="dxa"/>
          </w:tcPr>
          <w:p w:rsidR="00254A3E" w:rsidRDefault="00B62ACF" w:rsidP="00B62ACF">
            <w:pPr>
              <w:pStyle w:val="TableText"/>
            </w:pPr>
            <w:r>
              <w:t>Cross-</w:t>
            </w:r>
            <w:r w:rsidR="00254A3E">
              <w:t>study</w:t>
            </w:r>
            <w:r>
              <w:t xml:space="preserve"> comparison &amp; modelling</w:t>
            </w:r>
          </w:p>
        </w:tc>
        <w:tc>
          <w:tcPr>
            <w:tcW w:w="1870" w:type="dxa"/>
          </w:tcPr>
          <w:p w:rsidR="00B62ACF" w:rsidRDefault="00B62ACF" w:rsidP="00EC6CB4">
            <w:pPr>
              <w:pStyle w:val="TableText"/>
            </w:pPr>
            <w:r>
              <w:t>H</w:t>
            </w:r>
            <w:r w:rsidR="00254A3E">
              <w:t xml:space="preserve">ealthy </w:t>
            </w:r>
            <w:r w:rsidR="007A119D">
              <w:t>post-menopaus</w:t>
            </w:r>
            <w:r w:rsidR="00E749D3">
              <w:t>al</w:t>
            </w:r>
            <w:r w:rsidR="002F25CC">
              <w:t xml:space="preserve"> </w:t>
            </w:r>
            <w:r w:rsidR="00254A3E">
              <w:t>control</w:t>
            </w:r>
            <w:r w:rsidR="002F25CC">
              <w:t>s</w:t>
            </w:r>
            <w:r w:rsidR="00254A3E">
              <w:t xml:space="preserve"> </w:t>
            </w:r>
          </w:p>
          <w:p w:rsidR="00B62ACF" w:rsidRDefault="00B62ACF" w:rsidP="00EC6CB4">
            <w:pPr>
              <w:pStyle w:val="TableText"/>
            </w:pPr>
            <w:r>
              <w:t>All women with br</w:t>
            </w:r>
            <w:r w:rsidR="00E749D3">
              <w:t>east ca</w:t>
            </w:r>
          </w:p>
          <w:p w:rsidR="00B62ACF" w:rsidRDefault="00200CF4" w:rsidP="00EC6CB4">
            <w:pPr>
              <w:pStyle w:val="TableText"/>
            </w:pPr>
            <w:r>
              <w:t>Anastrozole</w:t>
            </w:r>
          </w:p>
          <w:p w:rsidR="00254A3E" w:rsidRDefault="002F25CC" w:rsidP="00B62ACF">
            <w:pPr>
              <w:pStyle w:val="TableText"/>
            </w:pPr>
            <w:r>
              <w:t>T</w:t>
            </w:r>
            <w:r w:rsidR="00254A3E">
              <w:t>amoxifen</w:t>
            </w:r>
            <w:r w:rsidR="007E7F71">
              <w:t xml:space="preserve"> </w:t>
            </w:r>
          </w:p>
        </w:tc>
        <w:tc>
          <w:tcPr>
            <w:tcW w:w="2057" w:type="dxa"/>
          </w:tcPr>
          <w:p w:rsidR="00254A3E" w:rsidRDefault="007A119D" w:rsidP="00EC6CB4">
            <w:pPr>
              <w:pStyle w:val="TableText"/>
            </w:pPr>
            <w:r>
              <w:t>Post-menopaus</w:t>
            </w:r>
            <w:r w:rsidR="007E7F71">
              <w:t>al women</w:t>
            </w:r>
            <w:r w:rsidR="00B62ACF">
              <w:t xml:space="preserve"> aged 64-69 years (from ATAC)</w:t>
            </w:r>
          </w:p>
        </w:tc>
        <w:tc>
          <w:tcPr>
            <w:tcW w:w="2188" w:type="dxa"/>
          </w:tcPr>
          <w:p w:rsidR="007E7F71" w:rsidRDefault="007E7F71" w:rsidP="007E7F71">
            <w:pPr>
              <w:pStyle w:val="TableText"/>
            </w:pPr>
            <w:r>
              <w:t>RR of bone fracture risk at 5 years</w:t>
            </w:r>
          </w:p>
        </w:tc>
      </w:tr>
      <w:tr w:rsidR="007E7F71" w:rsidTr="00192A3B">
        <w:trPr>
          <w:tblHeader/>
        </w:trPr>
        <w:tc>
          <w:tcPr>
            <w:tcW w:w="1076" w:type="dxa"/>
          </w:tcPr>
          <w:p w:rsidR="007E7F71" w:rsidRDefault="00B62ACF" w:rsidP="00EC6CB4">
            <w:pPr>
              <w:pStyle w:val="TableText"/>
            </w:pPr>
            <w:r>
              <w:t>Goss 2013</w:t>
            </w:r>
          </w:p>
        </w:tc>
        <w:tc>
          <w:tcPr>
            <w:tcW w:w="1331" w:type="dxa"/>
          </w:tcPr>
          <w:p w:rsidR="007E7F71" w:rsidRDefault="00B62ACF" w:rsidP="00EC6CB4">
            <w:pPr>
              <w:pStyle w:val="TableText"/>
            </w:pPr>
            <w:r>
              <w:t>Phase III RCT open-label</w:t>
            </w:r>
          </w:p>
        </w:tc>
        <w:tc>
          <w:tcPr>
            <w:tcW w:w="1870" w:type="dxa"/>
          </w:tcPr>
          <w:p w:rsidR="007E7F71" w:rsidRDefault="00B62ACF" w:rsidP="00EC6CB4">
            <w:pPr>
              <w:pStyle w:val="TableText"/>
            </w:pPr>
            <w:r>
              <w:t xml:space="preserve">Exemestane vs </w:t>
            </w:r>
            <w:r w:rsidR="00200CF4">
              <w:t>anastrozole</w:t>
            </w:r>
          </w:p>
        </w:tc>
        <w:tc>
          <w:tcPr>
            <w:tcW w:w="2057" w:type="dxa"/>
          </w:tcPr>
          <w:p w:rsidR="007E7F71" w:rsidRDefault="00B62ACF" w:rsidP="00EC6CB4">
            <w:pPr>
              <w:pStyle w:val="TableText"/>
            </w:pPr>
            <w:r>
              <w:t>7576 women, median age 64 years, 4.1 years follow up</w:t>
            </w:r>
          </w:p>
        </w:tc>
        <w:tc>
          <w:tcPr>
            <w:tcW w:w="2188" w:type="dxa"/>
          </w:tcPr>
          <w:p w:rsidR="007E7F71" w:rsidRDefault="00B62ACF" w:rsidP="007E7F71">
            <w:pPr>
              <w:pStyle w:val="TableText"/>
            </w:pPr>
            <w:r>
              <w:t>Event-free survival</w:t>
            </w:r>
          </w:p>
          <w:p w:rsidR="002F25CC" w:rsidRDefault="002F25CC" w:rsidP="007E7F71">
            <w:pPr>
              <w:pStyle w:val="TableText"/>
            </w:pPr>
            <w:r>
              <w:t>Adverse events including</w:t>
            </w:r>
            <w:r w:rsidR="005A4B2B">
              <w:t xml:space="preserve"> fractures</w:t>
            </w:r>
          </w:p>
          <w:p w:rsidR="00B62ACF" w:rsidRDefault="00B62ACF" w:rsidP="007E7F71">
            <w:pPr>
              <w:pStyle w:val="TableText"/>
            </w:pPr>
            <w:r>
              <w:t>Osteoporosis</w:t>
            </w:r>
            <w:r w:rsidR="002F25CC">
              <w:t>/ o</w:t>
            </w:r>
            <w:r>
              <w:t xml:space="preserve">steopenia </w:t>
            </w:r>
          </w:p>
          <w:p w:rsidR="00B62ACF" w:rsidRDefault="00B62ACF" w:rsidP="007E7F71">
            <w:pPr>
              <w:pStyle w:val="TableText"/>
            </w:pPr>
          </w:p>
        </w:tc>
      </w:tr>
      <w:tr w:rsidR="002F25CC" w:rsidTr="00192A3B">
        <w:trPr>
          <w:tblHeader/>
        </w:trPr>
        <w:tc>
          <w:tcPr>
            <w:tcW w:w="1076" w:type="dxa"/>
          </w:tcPr>
          <w:p w:rsidR="002F25CC" w:rsidRDefault="000C582E" w:rsidP="00EC6CB4">
            <w:pPr>
              <w:pStyle w:val="TableText"/>
            </w:pPr>
            <w:r>
              <w:t>Kalder 2013</w:t>
            </w:r>
          </w:p>
        </w:tc>
        <w:tc>
          <w:tcPr>
            <w:tcW w:w="1331" w:type="dxa"/>
          </w:tcPr>
          <w:p w:rsidR="002F25CC" w:rsidRDefault="000C582E" w:rsidP="00EC6CB4">
            <w:pPr>
              <w:pStyle w:val="TableText"/>
            </w:pPr>
            <w:r>
              <w:t>Prospective single bone sub</w:t>
            </w:r>
            <w:r w:rsidR="00E749D3">
              <w:t>-</w:t>
            </w:r>
            <w:r>
              <w:t>study</w:t>
            </w:r>
          </w:p>
        </w:tc>
        <w:tc>
          <w:tcPr>
            <w:tcW w:w="1870" w:type="dxa"/>
          </w:tcPr>
          <w:p w:rsidR="002F25CC" w:rsidRDefault="00200CF4" w:rsidP="00EC6CB4">
            <w:pPr>
              <w:pStyle w:val="TableText"/>
            </w:pPr>
            <w:r>
              <w:t>Anastrozole</w:t>
            </w:r>
            <w:r w:rsidR="000C582E">
              <w:t xml:space="preserve"> compliant</w:t>
            </w:r>
            <w:r w:rsidR="00743DD5">
              <w:t xml:space="preserve"> (≥80%)</w:t>
            </w:r>
            <w:r w:rsidR="000C582E">
              <w:t xml:space="preserve"> vs </w:t>
            </w:r>
            <w:r>
              <w:t>anastrozole</w:t>
            </w:r>
            <w:r w:rsidR="000C582E">
              <w:t xml:space="preserve"> non-compliant</w:t>
            </w:r>
          </w:p>
        </w:tc>
        <w:tc>
          <w:tcPr>
            <w:tcW w:w="2057" w:type="dxa"/>
          </w:tcPr>
          <w:p w:rsidR="002F25CC" w:rsidRDefault="000C582E" w:rsidP="00EC6CB4">
            <w:pPr>
              <w:pStyle w:val="TableText"/>
            </w:pPr>
            <w:r>
              <w:t>63 analysed, 180 in RCT core study, matched pair analysis compliant vs non compliant, postmeno brca</w:t>
            </w:r>
          </w:p>
        </w:tc>
        <w:tc>
          <w:tcPr>
            <w:tcW w:w="2188" w:type="dxa"/>
          </w:tcPr>
          <w:p w:rsidR="00743DD5" w:rsidRDefault="00743DD5" w:rsidP="00743DD5">
            <w:pPr>
              <w:pStyle w:val="TableText"/>
            </w:pPr>
            <w:r>
              <w:t>% BMD</w:t>
            </w:r>
            <w:r w:rsidR="005D1071">
              <w:t xml:space="preserve"> change</w:t>
            </w:r>
            <w:r>
              <w:t xml:space="preserve"> (baseline to 2 yrs)</w:t>
            </w:r>
          </w:p>
          <w:p w:rsidR="000C582E" w:rsidRDefault="000C582E" w:rsidP="007E7F71">
            <w:pPr>
              <w:pStyle w:val="TableText"/>
            </w:pPr>
          </w:p>
          <w:p w:rsidR="000C582E" w:rsidRDefault="000C582E" w:rsidP="007E7F71">
            <w:pPr>
              <w:pStyle w:val="TableText"/>
            </w:pPr>
          </w:p>
        </w:tc>
      </w:tr>
      <w:tr w:rsidR="00F82DBE" w:rsidTr="00192A3B">
        <w:trPr>
          <w:tblHeader/>
        </w:trPr>
        <w:tc>
          <w:tcPr>
            <w:tcW w:w="1076" w:type="dxa"/>
          </w:tcPr>
          <w:p w:rsidR="00F82DBE" w:rsidRDefault="00F82DBE" w:rsidP="00EC6CB4">
            <w:pPr>
              <w:pStyle w:val="TableText"/>
            </w:pPr>
            <w:r>
              <w:t>Neuner 2011</w:t>
            </w:r>
          </w:p>
        </w:tc>
        <w:tc>
          <w:tcPr>
            <w:tcW w:w="1331" w:type="dxa"/>
          </w:tcPr>
          <w:p w:rsidR="00F82DBE" w:rsidRDefault="00373749" w:rsidP="00EC6CB4">
            <w:pPr>
              <w:pStyle w:val="TableText"/>
            </w:pPr>
            <w:r>
              <w:t>Population based prospective cohort of community dwelling women</w:t>
            </w:r>
          </w:p>
        </w:tc>
        <w:tc>
          <w:tcPr>
            <w:tcW w:w="1870" w:type="dxa"/>
          </w:tcPr>
          <w:p w:rsidR="00373749" w:rsidRDefault="00373749" w:rsidP="00373749">
            <w:pPr>
              <w:pStyle w:val="TableText"/>
            </w:pPr>
            <w:r>
              <w:t xml:space="preserve">AI (87% </w:t>
            </w:r>
            <w:r w:rsidR="00200CF4">
              <w:t>anastrozole</w:t>
            </w:r>
            <w:r>
              <w:t>)</w:t>
            </w:r>
          </w:p>
          <w:p w:rsidR="00373749" w:rsidRDefault="00373749" w:rsidP="00373749">
            <w:pPr>
              <w:pStyle w:val="TableText"/>
            </w:pPr>
            <w:r>
              <w:t>Tamoxifen</w:t>
            </w:r>
          </w:p>
          <w:p w:rsidR="00F82DBE" w:rsidRDefault="00373749" w:rsidP="00373749">
            <w:pPr>
              <w:pStyle w:val="TableText"/>
            </w:pPr>
            <w:r>
              <w:t>No hormone therapy</w:t>
            </w:r>
          </w:p>
        </w:tc>
        <w:tc>
          <w:tcPr>
            <w:tcW w:w="2057" w:type="dxa"/>
          </w:tcPr>
          <w:p w:rsidR="00373749" w:rsidRDefault="00373749" w:rsidP="00373749">
            <w:pPr>
              <w:pStyle w:val="TableText"/>
            </w:pPr>
            <w:r>
              <w:t xml:space="preserve">2,748 women diagnosed with breast cancer in 2003, aged ≥65 yrs, 28% had initial tamoxifen first, 28% initial AI </w:t>
            </w:r>
          </w:p>
          <w:p w:rsidR="00F82DBE" w:rsidRDefault="00373749" w:rsidP="00373749">
            <w:pPr>
              <w:pStyle w:val="TableText"/>
            </w:pPr>
            <w:r>
              <w:t>Women considered high risk of fractures</w:t>
            </w:r>
          </w:p>
        </w:tc>
        <w:tc>
          <w:tcPr>
            <w:tcW w:w="2188" w:type="dxa"/>
          </w:tcPr>
          <w:p w:rsidR="00373749" w:rsidRDefault="00373749" w:rsidP="00373749">
            <w:pPr>
              <w:pStyle w:val="TableText"/>
              <w:tabs>
                <w:tab w:val="left" w:pos="1026"/>
              </w:tabs>
              <w:ind w:left="11"/>
            </w:pPr>
            <w:r>
              <w:t>Hip fractures at 36 months</w:t>
            </w:r>
          </w:p>
          <w:p w:rsidR="00373749" w:rsidRDefault="00373749" w:rsidP="00373749">
            <w:pPr>
              <w:pStyle w:val="TableText"/>
              <w:tabs>
                <w:tab w:val="left" w:pos="1026"/>
              </w:tabs>
              <w:ind w:left="11"/>
            </w:pPr>
            <w:r>
              <w:t>Non-vertebrae fractures</w:t>
            </w:r>
          </w:p>
          <w:p w:rsidR="00F82DBE" w:rsidRDefault="00373749" w:rsidP="00373749">
            <w:pPr>
              <w:pStyle w:val="TableText"/>
            </w:pPr>
            <w:r>
              <w:t>Time to event analyses</w:t>
            </w:r>
          </w:p>
        </w:tc>
      </w:tr>
      <w:tr w:rsidR="003C168F" w:rsidTr="00192A3B">
        <w:trPr>
          <w:tblHeader/>
        </w:trPr>
        <w:tc>
          <w:tcPr>
            <w:tcW w:w="1076" w:type="dxa"/>
          </w:tcPr>
          <w:p w:rsidR="003C168F" w:rsidRDefault="003C168F" w:rsidP="00EC6CB4">
            <w:pPr>
              <w:pStyle w:val="TableText"/>
            </w:pPr>
            <w:r>
              <w:t>Eastell 2011</w:t>
            </w:r>
          </w:p>
        </w:tc>
        <w:tc>
          <w:tcPr>
            <w:tcW w:w="1331" w:type="dxa"/>
          </w:tcPr>
          <w:p w:rsidR="003C168F" w:rsidRDefault="003C168F" w:rsidP="00EC6CB4">
            <w:pPr>
              <w:pStyle w:val="TableText"/>
            </w:pPr>
            <w:r>
              <w:t>Phase III RCT – bone sub-study</w:t>
            </w:r>
          </w:p>
        </w:tc>
        <w:tc>
          <w:tcPr>
            <w:tcW w:w="1870" w:type="dxa"/>
          </w:tcPr>
          <w:p w:rsidR="003C168F" w:rsidRDefault="00200CF4" w:rsidP="003C168F">
            <w:pPr>
              <w:pStyle w:val="TableText"/>
            </w:pPr>
            <w:r>
              <w:t>Anastrozole</w:t>
            </w:r>
          </w:p>
          <w:p w:rsidR="003C168F" w:rsidRDefault="003C168F" w:rsidP="003C168F">
            <w:pPr>
              <w:pStyle w:val="TableText"/>
            </w:pPr>
            <w:r>
              <w:t>Tamoxifen</w:t>
            </w:r>
          </w:p>
          <w:p w:rsidR="003C168F" w:rsidRDefault="003C168F" w:rsidP="003C168F">
            <w:pPr>
              <w:pStyle w:val="TableText"/>
            </w:pPr>
            <w:r>
              <w:t>Combined</w:t>
            </w:r>
          </w:p>
        </w:tc>
        <w:tc>
          <w:tcPr>
            <w:tcW w:w="2057" w:type="dxa"/>
          </w:tcPr>
          <w:p w:rsidR="003C168F" w:rsidRDefault="003C168F" w:rsidP="00373749">
            <w:pPr>
              <w:pStyle w:val="TableText"/>
            </w:pPr>
            <w:r>
              <w:t>60 Post-menopausal women with breast cancer who were participants of ATAC trial</w:t>
            </w:r>
          </w:p>
        </w:tc>
        <w:tc>
          <w:tcPr>
            <w:tcW w:w="2188" w:type="dxa"/>
          </w:tcPr>
          <w:p w:rsidR="003C168F" w:rsidRDefault="003C168F" w:rsidP="00373749">
            <w:pPr>
              <w:pStyle w:val="TableText"/>
              <w:tabs>
                <w:tab w:val="left" w:pos="1026"/>
              </w:tabs>
              <w:ind w:left="11"/>
            </w:pPr>
            <w:r>
              <w:t>Median % change in lumbar spine and total hip BMD from 5 to 7 years</w:t>
            </w:r>
            <w:r w:rsidR="00E749D3">
              <w:t xml:space="preserve"> (long term follow up)</w:t>
            </w:r>
          </w:p>
        </w:tc>
      </w:tr>
    </w:tbl>
    <w:p w:rsidR="00201ECF" w:rsidRDefault="00EC6CB4" w:rsidP="00EC6CB4">
      <w:pPr>
        <w:pStyle w:val="TableText"/>
        <w:ind w:left="567"/>
      </w:pPr>
      <w:r>
        <w:t xml:space="preserve">AI = aromatase inhibitors, </w:t>
      </w:r>
      <w:r w:rsidR="00E749D3">
        <w:t xml:space="preserve">ATAC = </w:t>
      </w:r>
      <w:r w:rsidR="001E6AD7">
        <w:t>Arim</w:t>
      </w:r>
      <w:r w:rsidR="00BD6145">
        <w:t>i</w:t>
      </w:r>
      <w:r w:rsidR="001E6AD7">
        <w:t>dex, Tamoxifen Alone or in Combination,</w:t>
      </w:r>
      <w:r w:rsidR="00E749D3">
        <w:t xml:space="preserve"> </w:t>
      </w:r>
      <w:r w:rsidR="003C168F">
        <w:t xml:space="preserve">BMD = bone mineral density, </w:t>
      </w:r>
      <w:r w:rsidR="001E6AD7">
        <w:t xml:space="preserve">NNH = number needed to harm, </w:t>
      </w:r>
      <w:r>
        <w:t xml:space="preserve">OR = odds ratios, </w:t>
      </w:r>
      <w:r w:rsidR="003C168F">
        <w:t>RC</w:t>
      </w:r>
      <w:r w:rsidR="001E6AD7">
        <w:t>T = randomised controlled trial</w:t>
      </w:r>
      <w:r w:rsidR="003C168F">
        <w:t xml:space="preserve"> </w:t>
      </w:r>
    </w:p>
    <w:p w:rsidR="00EC6CB4" w:rsidRDefault="00EC6CB4" w:rsidP="00755C3E"/>
    <w:p w:rsidR="00201ECF" w:rsidRPr="00B808EA" w:rsidRDefault="009A3B0D" w:rsidP="00F41778">
      <w:pPr>
        <w:pStyle w:val="TableName"/>
      </w:pPr>
      <w:r>
        <w:br w:type="page"/>
      </w:r>
      <w:r w:rsidRPr="00B808EA">
        <w:lastRenderedPageBreak/>
        <w:t xml:space="preserve"> </w:t>
      </w:r>
      <w:bookmarkStart w:id="96" w:name="_Toc386112682"/>
      <w:r w:rsidR="00201ECF" w:rsidRPr="00B808EA">
        <w:t xml:space="preserve">Table </w:t>
      </w:r>
      <w:r w:rsidR="005A4B2B" w:rsidRPr="00B808EA">
        <w:t>13</w:t>
      </w:r>
      <w:r w:rsidR="00B808EA" w:rsidRPr="00B808EA">
        <w:t>:</w:t>
      </w:r>
      <w:r w:rsidR="00201ECF" w:rsidRPr="00B808EA">
        <w:t xml:space="preserve"> Key results and appraisal of studies assessing </w:t>
      </w:r>
      <w:r w:rsidRPr="00B808EA">
        <w:t xml:space="preserve">fracture </w:t>
      </w:r>
      <w:r w:rsidR="00201ECF" w:rsidRPr="00B808EA">
        <w:t>risk</w:t>
      </w:r>
      <w:bookmarkEnd w:id="96"/>
      <w:r w:rsidR="00201ECF" w:rsidRPr="00B808EA">
        <w:t xml:space="preserve"> </w:t>
      </w:r>
    </w:p>
    <w:tbl>
      <w:tblPr>
        <w:tblStyle w:val="TableGrid"/>
        <w:tblW w:w="8886" w:type="dxa"/>
        <w:tblInd w:w="720" w:type="dxa"/>
        <w:tblLook w:val="04A0" w:firstRow="1" w:lastRow="0" w:firstColumn="1" w:lastColumn="0" w:noHBand="0" w:noVBand="1"/>
        <w:tblCaption w:val="Table 13 Key results of studies assessing fracture risk"/>
      </w:tblPr>
      <w:tblGrid>
        <w:gridCol w:w="1089"/>
        <w:gridCol w:w="3544"/>
        <w:gridCol w:w="3260"/>
        <w:gridCol w:w="993"/>
      </w:tblGrid>
      <w:tr w:rsidR="00EC6CB4" w:rsidRPr="00EC6CB4" w:rsidTr="00192A3B">
        <w:trPr>
          <w:tblHeader/>
        </w:trPr>
        <w:tc>
          <w:tcPr>
            <w:tcW w:w="1089" w:type="dxa"/>
          </w:tcPr>
          <w:p w:rsidR="00201ECF" w:rsidRPr="00EC6CB4" w:rsidRDefault="00EC6CB4" w:rsidP="00EC6CB4">
            <w:pPr>
              <w:pStyle w:val="TableText"/>
              <w:rPr>
                <w:b/>
              </w:rPr>
            </w:pPr>
            <w:r w:rsidRPr="00EC6CB4">
              <w:rPr>
                <w:b/>
              </w:rPr>
              <w:t>Author/Year</w:t>
            </w:r>
          </w:p>
        </w:tc>
        <w:tc>
          <w:tcPr>
            <w:tcW w:w="3544" w:type="dxa"/>
          </w:tcPr>
          <w:p w:rsidR="00201ECF" w:rsidRPr="00EC6CB4" w:rsidRDefault="00EC6CB4" w:rsidP="006B0AC8">
            <w:pPr>
              <w:pStyle w:val="TableText"/>
              <w:rPr>
                <w:b/>
              </w:rPr>
            </w:pPr>
            <w:r w:rsidRPr="00EC6CB4">
              <w:rPr>
                <w:b/>
              </w:rPr>
              <w:t xml:space="preserve">Main </w:t>
            </w:r>
            <w:r w:rsidR="006B0AC8">
              <w:rPr>
                <w:b/>
              </w:rPr>
              <w:t>results</w:t>
            </w:r>
          </w:p>
        </w:tc>
        <w:tc>
          <w:tcPr>
            <w:tcW w:w="3260" w:type="dxa"/>
          </w:tcPr>
          <w:p w:rsidR="00201ECF" w:rsidRPr="00EC6CB4" w:rsidRDefault="00EC6CB4" w:rsidP="00EC6CB4">
            <w:pPr>
              <w:pStyle w:val="TableText"/>
              <w:rPr>
                <w:b/>
              </w:rPr>
            </w:pPr>
            <w:r w:rsidRPr="00EC6CB4">
              <w:rPr>
                <w:b/>
              </w:rPr>
              <w:t>Author conclusions</w:t>
            </w:r>
          </w:p>
        </w:tc>
        <w:tc>
          <w:tcPr>
            <w:tcW w:w="993" w:type="dxa"/>
          </w:tcPr>
          <w:p w:rsidR="00201ECF" w:rsidRPr="00EC6CB4" w:rsidRDefault="00EC6CB4" w:rsidP="00EC6CB4">
            <w:pPr>
              <w:pStyle w:val="TableText"/>
              <w:rPr>
                <w:b/>
              </w:rPr>
            </w:pPr>
            <w:r w:rsidRPr="00EC6CB4">
              <w:rPr>
                <w:b/>
              </w:rPr>
              <w:t>Quality</w:t>
            </w:r>
          </w:p>
        </w:tc>
      </w:tr>
      <w:tr w:rsidR="00EC6CB4" w:rsidTr="00192A3B">
        <w:trPr>
          <w:tblHeader/>
        </w:trPr>
        <w:tc>
          <w:tcPr>
            <w:tcW w:w="1089" w:type="dxa"/>
          </w:tcPr>
          <w:p w:rsidR="00201ECF" w:rsidRDefault="00EC6CB4" w:rsidP="00EC6CB4">
            <w:pPr>
              <w:pStyle w:val="TableText"/>
            </w:pPr>
            <w:r>
              <w:t>Amir 2011</w:t>
            </w:r>
          </w:p>
        </w:tc>
        <w:tc>
          <w:tcPr>
            <w:tcW w:w="3544" w:type="dxa"/>
          </w:tcPr>
          <w:p w:rsidR="00201ECF" w:rsidRDefault="00EC6CB4" w:rsidP="00EC6CB4">
            <w:pPr>
              <w:pStyle w:val="TableText"/>
            </w:pPr>
            <w:r>
              <w:rPr>
                <w:bCs/>
              </w:rPr>
              <w:t xml:space="preserve">Pooled result - Increased odds </w:t>
            </w:r>
            <w:r w:rsidR="00E749D3">
              <w:rPr>
                <w:bCs/>
              </w:rPr>
              <w:t xml:space="preserve">of bone fractures </w:t>
            </w:r>
            <w:r>
              <w:rPr>
                <w:bCs/>
              </w:rPr>
              <w:t>with longer use of AIs OR 1.47 (95%CI: 1.34, 1.61) p&lt;0.001, NNH 46</w:t>
            </w:r>
          </w:p>
        </w:tc>
        <w:tc>
          <w:tcPr>
            <w:tcW w:w="3260" w:type="dxa"/>
          </w:tcPr>
          <w:p w:rsidR="00201ECF" w:rsidRDefault="00EC6CB4" w:rsidP="00EC6CB4">
            <w:pPr>
              <w:pStyle w:val="TableText"/>
            </w:pPr>
            <w:r>
              <w:rPr>
                <w:bCs/>
              </w:rPr>
              <w:t>Switching from tamoxifen to AIs may be the best strategy to reduce toxicity and maximise effectiveness. Tamoxifen and AIs have different toxicity profiles.</w:t>
            </w:r>
          </w:p>
        </w:tc>
        <w:tc>
          <w:tcPr>
            <w:tcW w:w="993" w:type="dxa"/>
          </w:tcPr>
          <w:p w:rsidR="00201ECF" w:rsidRDefault="00EC6CB4" w:rsidP="00EC6CB4">
            <w:pPr>
              <w:pStyle w:val="TableText"/>
            </w:pPr>
            <w:r>
              <w:t>HIGH</w:t>
            </w:r>
          </w:p>
        </w:tc>
      </w:tr>
      <w:tr w:rsidR="00EC6CB4" w:rsidTr="00192A3B">
        <w:trPr>
          <w:tblHeader/>
        </w:trPr>
        <w:tc>
          <w:tcPr>
            <w:tcW w:w="1089" w:type="dxa"/>
          </w:tcPr>
          <w:p w:rsidR="00201ECF" w:rsidRDefault="00254A3E" w:rsidP="00EC6CB4">
            <w:pPr>
              <w:pStyle w:val="TableText"/>
            </w:pPr>
            <w:r>
              <w:t>Becker 2012</w:t>
            </w:r>
          </w:p>
        </w:tc>
        <w:tc>
          <w:tcPr>
            <w:tcW w:w="3544" w:type="dxa"/>
          </w:tcPr>
          <w:p w:rsidR="006B0AC8" w:rsidRDefault="006549AB" w:rsidP="006B0AC8">
            <w:pPr>
              <w:pStyle w:val="TableHeading"/>
              <w:rPr>
                <w:b w:val="0"/>
                <w:bCs/>
              </w:rPr>
            </w:pPr>
            <w:r>
              <w:rPr>
                <w:b w:val="0"/>
                <w:bCs/>
              </w:rPr>
              <w:t>Across the trials, f</w:t>
            </w:r>
            <w:r w:rsidR="00254A3E">
              <w:rPr>
                <w:b w:val="0"/>
                <w:bCs/>
              </w:rPr>
              <w:t xml:space="preserve">racture rates in trials were </w:t>
            </w:r>
            <w:r>
              <w:rPr>
                <w:b w:val="0"/>
                <w:bCs/>
              </w:rPr>
              <w:t>~</w:t>
            </w:r>
            <w:r w:rsidR="00254A3E">
              <w:rPr>
                <w:b w:val="0"/>
                <w:bCs/>
              </w:rPr>
              <w:t>1.5 times higher in women taking AI compared to not</w:t>
            </w:r>
            <w:r>
              <w:rPr>
                <w:b w:val="0"/>
                <w:bCs/>
              </w:rPr>
              <w:t xml:space="preserve"> (not statistically significant)</w:t>
            </w:r>
            <w:r w:rsidR="00254A3E">
              <w:rPr>
                <w:b w:val="0"/>
                <w:bCs/>
              </w:rPr>
              <w:t>.</w:t>
            </w:r>
            <w:r w:rsidR="006B0AC8">
              <w:rPr>
                <w:b w:val="0"/>
                <w:bCs/>
              </w:rPr>
              <w:t xml:space="preserve"> </w:t>
            </w:r>
          </w:p>
          <w:p w:rsidR="002018D5" w:rsidRDefault="00254A3E" w:rsidP="002018D5">
            <w:pPr>
              <w:pStyle w:val="TableText"/>
            </w:pPr>
            <w:r>
              <w:t xml:space="preserve">Fractures were </w:t>
            </w:r>
            <w:r w:rsidR="007E7F71">
              <w:t>more frequent</w:t>
            </w:r>
            <w:r>
              <w:t xml:space="preserve"> in women taking AIs but not statistically significant in NSAS BC-03, </w:t>
            </w:r>
            <w:r w:rsidR="002018D5">
              <w:t>ARNO95, ITA, MA.17 &amp; NSASP.</w:t>
            </w:r>
            <w:r>
              <w:t xml:space="preserve"> </w:t>
            </w:r>
            <w:r w:rsidR="007E7F71">
              <w:t>Fractures were more frequent and s</w:t>
            </w:r>
            <w:r>
              <w:t xml:space="preserve">tatistically sign in ATAC,BIG I-98, ABCSG, IES. </w:t>
            </w:r>
          </w:p>
          <w:p w:rsidR="00201ECF" w:rsidRDefault="00254A3E" w:rsidP="002018D5">
            <w:pPr>
              <w:pStyle w:val="TableText"/>
            </w:pPr>
            <w:r>
              <w:t>ATAC is largest</w:t>
            </w:r>
            <w:r w:rsidR="007E7F71">
              <w:t xml:space="preserve"> trial</w:t>
            </w:r>
            <w:r>
              <w:t xml:space="preserve">: </w:t>
            </w:r>
            <w:r w:rsidR="00E749D3">
              <w:t xml:space="preserve">fracture rate = </w:t>
            </w:r>
            <w:r w:rsidR="002018D5">
              <w:t>11</w:t>
            </w:r>
            <w:r>
              <w:t>%</w:t>
            </w:r>
            <w:r w:rsidR="007E7F71">
              <w:t xml:space="preserve"> </w:t>
            </w:r>
            <w:r w:rsidR="00200CF4">
              <w:t>anastrozole</w:t>
            </w:r>
            <w:r w:rsidR="00E749D3">
              <w:t xml:space="preserve"> arm</w:t>
            </w:r>
            <w:r>
              <w:t xml:space="preserve"> vs </w:t>
            </w:r>
            <w:r w:rsidR="002018D5">
              <w:t>7.7</w:t>
            </w:r>
            <w:r>
              <w:t>% tamox</w:t>
            </w:r>
            <w:r w:rsidR="00E749D3">
              <w:t>ifen arm (</w:t>
            </w:r>
            <w:r>
              <w:t>p</w:t>
            </w:r>
            <w:r w:rsidR="002018D5">
              <w:t>&lt;0.01</w:t>
            </w:r>
            <w:r w:rsidR="00E749D3">
              <w:t>)</w:t>
            </w:r>
          </w:p>
        </w:tc>
        <w:tc>
          <w:tcPr>
            <w:tcW w:w="3260" w:type="dxa"/>
          </w:tcPr>
          <w:p w:rsidR="00201ECF" w:rsidRPr="00254A3E" w:rsidRDefault="00254A3E" w:rsidP="002018D5">
            <w:pPr>
              <w:pStyle w:val="TableText"/>
            </w:pPr>
            <w:r w:rsidRPr="00254A3E">
              <w:rPr>
                <w:bCs/>
              </w:rPr>
              <w:t xml:space="preserve">Bone markers, BMD and fractures are worse for women with early breast cancer treated with </w:t>
            </w:r>
            <w:r w:rsidR="002018D5">
              <w:rPr>
                <w:bCs/>
              </w:rPr>
              <w:t>AIs</w:t>
            </w:r>
            <w:r w:rsidRPr="00254A3E">
              <w:rPr>
                <w:bCs/>
              </w:rPr>
              <w:t xml:space="preserve"> compared with tamoxifen or </w:t>
            </w:r>
            <w:r w:rsidR="00BA4261">
              <w:rPr>
                <w:bCs/>
              </w:rPr>
              <w:t xml:space="preserve">placebo. </w:t>
            </w:r>
            <w:r w:rsidRPr="00254A3E">
              <w:rPr>
                <w:bCs/>
              </w:rPr>
              <w:t xml:space="preserve">The </w:t>
            </w:r>
            <w:r w:rsidR="00BA4261">
              <w:rPr>
                <w:bCs/>
              </w:rPr>
              <w:t>poorer</w:t>
            </w:r>
            <w:r w:rsidRPr="00254A3E">
              <w:rPr>
                <w:bCs/>
              </w:rPr>
              <w:t xml:space="preserve"> bone outcomes</w:t>
            </w:r>
            <w:r w:rsidR="007E7F71">
              <w:rPr>
                <w:bCs/>
              </w:rPr>
              <w:t xml:space="preserve"> hold</w:t>
            </w:r>
            <w:r w:rsidRPr="00254A3E">
              <w:rPr>
                <w:bCs/>
              </w:rPr>
              <w:t xml:space="preserve"> irrespective of treatment sequencing, follow-up time or type of AI.</w:t>
            </w:r>
          </w:p>
        </w:tc>
        <w:tc>
          <w:tcPr>
            <w:tcW w:w="993" w:type="dxa"/>
          </w:tcPr>
          <w:p w:rsidR="00201ECF" w:rsidRDefault="00254A3E" w:rsidP="00EC6CB4">
            <w:pPr>
              <w:pStyle w:val="TableText"/>
            </w:pPr>
            <w:r>
              <w:t>HIGH</w:t>
            </w:r>
          </w:p>
        </w:tc>
      </w:tr>
      <w:tr w:rsidR="00EC6CB4" w:rsidTr="00192A3B">
        <w:trPr>
          <w:tblHeader/>
        </w:trPr>
        <w:tc>
          <w:tcPr>
            <w:tcW w:w="1089" w:type="dxa"/>
          </w:tcPr>
          <w:p w:rsidR="00201ECF" w:rsidRDefault="00254A3E" w:rsidP="00EC6CB4">
            <w:pPr>
              <w:pStyle w:val="TableText"/>
            </w:pPr>
            <w:r>
              <w:t>Edwards 2011</w:t>
            </w:r>
          </w:p>
        </w:tc>
        <w:tc>
          <w:tcPr>
            <w:tcW w:w="3544" w:type="dxa"/>
          </w:tcPr>
          <w:p w:rsidR="00254A3E" w:rsidRDefault="00E749D3" w:rsidP="00254A3E">
            <w:pPr>
              <w:pStyle w:val="TableHeading"/>
              <w:rPr>
                <w:b w:val="0"/>
                <w:bCs/>
              </w:rPr>
            </w:pPr>
            <w:r>
              <w:rPr>
                <w:b w:val="0"/>
                <w:bCs/>
              </w:rPr>
              <w:t>Of women reported to have fractures after breast cancer treatment</w:t>
            </w:r>
            <w:r w:rsidR="00A13BFA">
              <w:rPr>
                <w:b w:val="0"/>
                <w:bCs/>
              </w:rPr>
              <w:t xml:space="preserve"> n=229</w:t>
            </w:r>
            <w:r>
              <w:rPr>
                <w:b w:val="0"/>
                <w:bCs/>
              </w:rPr>
              <w:t xml:space="preserve">, </w:t>
            </w:r>
            <w:r w:rsidR="00A13BFA">
              <w:rPr>
                <w:b w:val="0"/>
                <w:bCs/>
              </w:rPr>
              <w:t xml:space="preserve">77 </w:t>
            </w:r>
            <w:r w:rsidR="00254A3E">
              <w:rPr>
                <w:b w:val="0"/>
                <w:bCs/>
              </w:rPr>
              <w:t>(29%) were hip or femur fractures.AI were the most common therapy associated with fractures n=149 or 65%</w:t>
            </w:r>
          </w:p>
          <w:p w:rsidR="00201ECF" w:rsidRDefault="00254A3E" w:rsidP="00254A3E">
            <w:pPr>
              <w:pStyle w:val="TableText"/>
            </w:pPr>
            <w:r>
              <w:rPr>
                <w:bCs/>
              </w:rPr>
              <w:t>78 fractures were in younger women &lt;=64 years</w:t>
            </w:r>
          </w:p>
        </w:tc>
        <w:tc>
          <w:tcPr>
            <w:tcW w:w="3260" w:type="dxa"/>
          </w:tcPr>
          <w:p w:rsidR="00E749D3" w:rsidRDefault="00254A3E" w:rsidP="00254A3E">
            <w:pPr>
              <w:pStyle w:val="TableHeading"/>
              <w:rPr>
                <w:b w:val="0"/>
                <w:bCs/>
              </w:rPr>
            </w:pPr>
            <w:r>
              <w:rPr>
                <w:b w:val="0"/>
                <w:bCs/>
              </w:rPr>
              <w:t>Fractures occur</w:t>
            </w:r>
            <w:r w:rsidR="00E749D3">
              <w:rPr>
                <w:b w:val="0"/>
                <w:bCs/>
              </w:rPr>
              <w:t xml:space="preserve"> more frequently</w:t>
            </w:r>
            <w:r>
              <w:rPr>
                <w:b w:val="0"/>
                <w:bCs/>
              </w:rPr>
              <w:t xml:space="preserve"> in women with early breast cancer treated with </w:t>
            </w:r>
            <w:r w:rsidR="002018D5">
              <w:rPr>
                <w:b w:val="0"/>
                <w:bCs/>
              </w:rPr>
              <w:t>AIs</w:t>
            </w:r>
            <w:r>
              <w:rPr>
                <w:b w:val="0"/>
                <w:bCs/>
              </w:rPr>
              <w:t xml:space="preserve"> compared to other treatments.  </w:t>
            </w:r>
          </w:p>
          <w:p w:rsidR="00201ECF" w:rsidRDefault="00254A3E" w:rsidP="00E749D3">
            <w:pPr>
              <w:pStyle w:val="TableHeading"/>
            </w:pPr>
            <w:r>
              <w:rPr>
                <w:b w:val="0"/>
                <w:bCs/>
              </w:rPr>
              <w:t>Evidence outside of trial</w:t>
            </w:r>
            <w:r w:rsidR="00E749D3">
              <w:rPr>
                <w:b w:val="0"/>
                <w:bCs/>
              </w:rPr>
              <w:t xml:space="preserve"> conditions.</w:t>
            </w:r>
          </w:p>
        </w:tc>
        <w:tc>
          <w:tcPr>
            <w:tcW w:w="993" w:type="dxa"/>
          </w:tcPr>
          <w:p w:rsidR="00201ECF" w:rsidRDefault="00254A3E" w:rsidP="00EC6CB4">
            <w:pPr>
              <w:pStyle w:val="TableText"/>
            </w:pPr>
            <w:r>
              <w:t>POOR</w:t>
            </w:r>
          </w:p>
        </w:tc>
      </w:tr>
      <w:tr w:rsidR="007E7F71" w:rsidTr="00192A3B">
        <w:trPr>
          <w:tblHeader/>
        </w:trPr>
        <w:tc>
          <w:tcPr>
            <w:tcW w:w="1089" w:type="dxa"/>
          </w:tcPr>
          <w:p w:rsidR="007E7F71" w:rsidRDefault="007E7F71" w:rsidP="00EC6CB4">
            <w:pPr>
              <w:pStyle w:val="TableText"/>
            </w:pPr>
            <w:r>
              <w:t>Bell 2007</w:t>
            </w:r>
          </w:p>
        </w:tc>
        <w:tc>
          <w:tcPr>
            <w:tcW w:w="3544" w:type="dxa"/>
          </w:tcPr>
          <w:p w:rsidR="00E749D3" w:rsidRDefault="00E749D3" w:rsidP="00254A3E">
            <w:pPr>
              <w:pStyle w:val="TableHeading"/>
              <w:rPr>
                <w:b w:val="0"/>
                <w:bCs/>
              </w:rPr>
            </w:pPr>
            <w:r>
              <w:rPr>
                <w:b w:val="0"/>
                <w:bCs/>
              </w:rPr>
              <w:t>Fracture risks:</w:t>
            </w:r>
          </w:p>
          <w:p w:rsidR="007E7F71" w:rsidRDefault="007E7F71" w:rsidP="00254A3E">
            <w:pPr>
              <w:pStyle w:val="TableHeading"/>
              <w:rPr>
                <w:b w:val="0"/>
                <w:bCs/>
              </w:rPr>
            </w:pPr>
            <w:r>
              <w:rPr>
                <w:b w:val="0"/>
                <w:bCs/>
              </w:rPr>
              <w:t>All women with breast cancer vs controls RR 1.15</w:t>
            </w:r>
          </w:p>
          <w:p w:rsidR="007E7F71" w:rsidRDefault="007E7F71" w:rsidP="00254A3E">
            <w:pPr>
              <w:pStyle w:val="TableHeading"/>
              <w:rPr>
                <w:b w:val="0"/>
                <w:bCs/>
              </w:rPr>
            </w:pPr>
            <w:r>
              <w:rPr>
                <w:b w:val="0"/>
                <w:bCs/>
              </w:rPr>
              <w:t>Women on AIs vs controls RR 1.36</w:t>
            </w:r>
          </w:p>
          <w:p w:rsidR="007E7F71" w:rsidRDefault="007E7F71" w:rsidP="00254A3E">
            <w:pPr>
              <w:pStyle w:val="TableHeading"/>
              <w:rPr>
                <w:b w:val="0"/>
                <w:bCs/>
              </w:rPr>
            </w:pPr>
            <w:r>
              <w:rPr>
                <w:b w:val="0"/>
                <w:bCs/>
              </w:rPr>
              <w:t>Women on tamoxifen vs controls RR 0.91</w:t>
            </w:r>
          </w:p>
        </w:tc>
        <w:tc>
          <w:tcPr>
            <w:tcW w:w="3260" w:type="dxa"/>
          </w:tcPr>
          <w:p w:rsidR="007E7F71" w:rsidRDefault="007E7F71" w:rsidP="007E7F71">
            <w:pPr>
              <w:pStyle w:val="TableHeading"/>
              <w:rPr>
                <w:b w:val="0"/>
                <w:bCs/>
              </w:rPr>
            </w:pPr>
            <w:r>
              <w:rPr>
                <w:b w:val="0"/>
                <w:bCs/>
              </w:rPr>
              <w:t>Patients with breast cancer have an increased risk of bone fracture and women taking AIs slightly adds to the risk.</w:t>
            </w:r>
          </w:p>
          <w:p w:rsidR="007E7F71" w:rsidRDefault="007E7F71" w:rsidP="007E7F71">
            <w:pPr>
              <w:pStyle w:val="TableHeading"/>
              <w:rPr>
                <w:b w:val="0"/>
                <w:bCs/>
              </w:rPr>
            </w:pPr>
            <w:r>
              <w:rPr>
                <w:b w:val="0"/>
                <w:bCs/>
              </w:rPr>
              <w:t>Absolute risk is low in each population.</w:t>
            </w:r>
          </w:p>
        </w:tc>
        <w:tc>
          <w:tcPr>
            <w:tcW w:w="993" w:type="dxa"/>
          </w:tcPr>
          <w:p w:rsidR="007E7F71" w:rsidRDefault="007E7F71" w:rsidP="00EC6CB4">
            <w:pPr>
              <w:pStyle w:val="TableText"/>
            </w:pPr>
            <w:r>
              <w:t>POOR</w:t>
            </w:r>
          </w:p>
        </w:tc>
      </w:tr>
      <w:tr w:rsidR="00B62ACF" w:rsidTr="00192A3B">
        <w:trPr>
          <w:tblHeader/>
        </w:trPr>
        <w:tc>
          <w:tcPr>
            <w:tcW w:w="1089" w:type="dxa"/>
          </w:tcPr>
          <w:p w:rsidR="00B62ACF" w:rsidRDefault="00B62ACF" w:rsidP="00EC6CB4">
            <w:pPr>
              <w:pStyle w:val="TableText"/>
            </w:pPr>
            <w:r>
              <w:t>Goss 2013</w:t>
            </w:r>
          </w:p>
        </w:tc>
        <w:tc>
          <w:tcPr>
            <w:tcW w:w="3544" w:type="dxa"/>
          </w:tcPr>
          <w:p w:rsidR="00B62ACF" w:rsidRDefault="00B62ACF" w:rsidP="00254A3E">
            <w:pPr>
              <w:pStyle w:val="TableHeading"/>
              <w:rPr>
                <w:b w:val="0"/>
                <w:bCs/>
              </w:rPr>
            </w:pPr>
            <w:r>
              <w:rPr>
                <w:b w:val="0"/>
                <w:bCs/>
              </w:rPr>
              <w:t xml:space="preserve">31.6% patients discontinued </w:t>
            </w:r>
            <w:r w:rsidR="00E749D3">
              <w:rPr>
                <w:b w:val="0"/>
                <w:bCs/>
              </w:rPr>
              <w:t xml:space="preserve">AIs </w:t>
            </w:r>
            <w:r>
              <w:rPr>
                <w:b w:val="0"/>
                <w:bCs/>
              </w:rPr>
              <w:t>due to adverse events</w:t>
            </w:r>
            <w:r w:rsidR="00E749D3">
              <w:rPr>
                <w:b w:val="0"/>
                <w:bCs/>
              </w:rPr>
              <w:t>.</w:t>
            </w:r>
          </w:p>
          <w:p w:rsidR="00A629EE" w:rsidRDefault="00A629EE" w:rsidP="00254A3E">
            <w:pPr>
              <w:pStyle w:val="TableHeading"/>
              <w:rPr>
                <w:b w:val="0"/>
                <w:bCs/>
              </w:rPr>
            </w:pPr>
            <w:r>
              <w:rPr>
                <w:b w:val="0"/>
                <w:bCs/>
              </w:rPr>
              <w:t xml:space="preserve">Exemestane vs </w:t>
            </w:r>
            <w:r w:rsidR="00200CF4">
              <w:rPr>
                <w:b w:val="0"/>
                <w:bCs/>
              </w:rPr>
              <w:t>anastrozole</w:t>
            </w:r>
            <w:r>
              <w:rPr>
                <w:b w:val="0"/>
                <w:bCs/>
              </w:rPr>
              <w:t>:</w:t>
            </w:r>
          </w:p>
          <w:p w:rsidR="00B62ACF" w:rsidRDefault="00B62ACF" w:rsidP="00254A3E">
            <w:pPr>
              <w:pStyle w:val="TableHeading"/>
              <w:rPr>
                <w:b w:val="0"/>
                <w:bCs/>
              </w:rPr>
            </w:pPr>
            <w:r>
              <w:rPr>
                <w:b w:val="0"/>
                <w:bCs/>
              </w:rPr>
              <w:t xml:space="preserve">% osteoporosis: 31% </w:t>
            </w:r>
            <w:r w:rsidR="00A629EE">
              <w:rPr>
                <w:b w:val="0"/>
                <w:bCs/>
              </w:rPr>
              <w:t xml:space="preserve">vs </w:t>
            </w:r>
            <w:r>
              <w:rPr>
                <w:b w:val="0"/>
                <w:bCs/>
              </w:rPr>
              <w:t xml:space="preserve">35% </w:t>
            </w:r>
            <w:r w:rsidR="00E749D3">
              <w:rPr>
                <w:b w:val="0"/>
                <w:bCs/>
              </w:rPr>
              <w:t>(</w:t>
            </w:r>
            <w:r>
              <w:rPr>
                <w:b w:val="0"/>
                <w:bCs/>
              </w:rPr>
              <w:t>p</w:t>
            </w:r>
            <w:r w:rsidR="00A629EE">
              <w:rPr>
                <w:b w:val="0"/>
                <w:bCs/>
              </w:rPr>
              <w:t>&lt;0.001</w:t>
            </w:r>
            <w:r w:rsidR="00E749D3">
              <w:rPr>
                <w:b w:val="0"/>
                <w:bCs/>
              </w:rPr>
              <w:t>)</w:t>
            </w:r>
          </w:p>
          <w:p w:rsidR="00A629EE" w:rsidRDefault="00A629EE" w:rsidP="00254A3E">
            <w:pPr>
              <w:pStyle w:val="TableHeading"/>
              <w:rPr>
                <w:b w:val="0"/>
                <w:bCs/>
              </w:rPr>
            </w:pPr>
            <w:r>
              <w:rPr>
                <w:b w:val="0"/>
                <w:bCs/>
              </w:rPr>
              <w:t xml:space="preserve">Clinical fracture: 10% vs 9% </w:t>
            </w:r>
            <w:r w:rsidR="00E749D3">
              <w:rPr>
                <w:b w:val="0"/>
                <w:bCs/>
              </w:rPr>
              <w:t>(</w:t>
            </w:r>
            <w:r>
              <w:rPr>
                <w:b w:val="0"/>
                <w:bCs/>
              </w:rPr>
              <w:t>p=0.91</w:t>
            </w:r>
            <w:r w:rsidR="00E749D3">
              <w:rPr>
                <w:b w:val="0"/>
                <w:bCs/>
              </w:rPr>
              <w:t>)</w:t>
            </w:r>
          </w:p>
          <w:p w:rsidR="00A629EE" w:rsidRDefault="00A629EE" w:rsidP="00254A3E">
            <w:pPr>
              <w:pStyle w:val="TableHeading"/>
              <w:rPr>
                <w:b w:val="0"/>
                <w:bCs/>
              </w:rPr>
            </w:pPr>
            <w:r>
              <w:rPr>
                <w:b w:val="0"/>
                <w:bCs/>
              </w:rPr>
              <w:t xml:space="preserve">Fragility fracture: 4% vs 4% </w:t>
            </w:r>
            <w:r w:rsidR="00E749D3">
              <w:rPr>
                <w:b w:val="0"/>
                <w:bCs/>
              </w:rPr>
              <w:t>(</w:t>
            </w:r>
            <w:r>
              <w:rPr>
                <w:b w:val="0"/>
                <w:bCs/>
              </w:rPr>
              <w:t>p=0.98</w:t>
            </w:r>
            <w:r w:rsidR="00E749D3">
              <w:rPr>
                <w:b w:val="0"/>
                <w:bCs/>
              </w:rPr>
              <w:t>)</w:t>
            </w:r>
          </w:p>
        </w:tc>
        <w:tc>
          <w:tcPr>
            <w:tcW w:w="3260" w:type="dxa"/>
          </w:tcPr>
          <w:p w:rsidR="00A629EE" w:rsidRDefault="00A629EE" w:rsidP="007E7F71">
            <w:pPr>
              <w:pStyle w:val="TableHeading"/>
              <w:rPr>
                <w:b w:val="0"/>
                <w:bCs/>
              </w:rPr>
            </w:pPr>
            <w:r>
              <w:rPr>
                <w:b w:val="0"/>
                <w:bCs/>
              </w:rPr>
              <w:t xml:space="preserve">Overall compliance was poor. Exemestane is not superior to </w:t>
            </w:r>
            <w:r w:rsidR="00200CF4">
              <w:rPr>
                <w:b w:val="0"/>
                <w:bCs/>
              </w:rPr>
              <w:t>anastrozole</w:t>
            </w:r>
            <w:r>
              <w:rPr>
                <w:b w:val="0"/>
                <w:bCs/>
              </w:rPr>
              <w:t xml:space="preserve"> and toxicity profiles are different.</w:t>
            </w:r>
          </w:p>
          <w:p w:rsidR="00B62ACF" w:rsidRDefault="00A629EE" w:rsidP="007E7F71">
            <w:pPr>
              <w:pStyle w:val="TableHeading"/>
              <w:rPr>
                <w:b w:val="0"/>
                <w:bCs/>
              </w:rPr>
            </w:pPr>
            <w:r>
              <w:rPr>
                <w:b w:val="0"/>
                <w:bCs/>
              </w:rPr>
              <w:t>Hot flashes, arthritis, arthralgia, myalgia were not sign different between treatments.</w:t>
            </w:r>
          </w:p>
          <w:p w:rsidR="00A629EE" w:rsidRDefault="00A629EE" w:rsidP="007E7F71">
            <w:pPr>
              <w:pStyle w:val="TableHeading"/>
              <w:rPr>
                <w:b w:val="0"/>
                <w:bCs/>
              </w:rPr>
            </w:pPr>
            <w:r>
              <w:rPr>
                <w:b w:val="0"/>
                <w:bCs/>
              </w:rPr>
              <w:t>Similar rates of fractures across groups.</w:t>
            </w:r>
          </w:p>
        </w:tc>
        <w:tc>
          <w:tcPr>
            <w:tcW w:w="993" w:type="dxa"/>
          </w:tcPr>
          <w:p w:rsidR="00B62ACF" w:rsidRDefault="002F25CC" w:rsidP="00EC6CB4">
            <w:pPr>
              <w:pStyle w:val="TableText"/>
            </w:pPr>
            <w:r>
              <w:t>MEDIUM</w:t>
            </w:r>
          </w:p>
        </w:tc>
      </w:tr>
      <w:tr w:rsidR="00743DD5" w:rsidTr="00192A3B">
        <w:trPr>
          <w:tblHeader/>
        </w:trPr>
        <w:tc>
          <w:tcPr>
            <w:tcW w:w="1089" w:type="dxa"/>
          </w:tcPr>
          <w:p w:rsidR="00743DD5" w:rsidRDefault="00743DD5" w:rsidP="00EC6CB4">
            <w:pPr>
              <w:pStyle w:val="TableText"/>
            </w:pPr>
            <w:r>
              <w:t>Kalder 2013</w:t>
            </w:r>
          </w:p>
        </w:tc>
        <w:tc>
          <w:tcPr>
            <w:tcW w:w="3544" w:type="dxa"/>
          </w:tcPr>
          <w:p w:rsidR="00743DD5" w:rsidRDefault="00200CF4" w:rsidP="00254A3E">
            <w:pPr>
              <w:pStyle w:val="TableHeading"/>
              <w:rPr>
                <w:b w:val="0"/>
                <w:bCs/>
              </w:rPr>
            </w:pPr>
            <w:r>
              <w:rPr>
                <w:b w:val="0"/>
                <w:bCs/>
              </w:rPr>
              <w:t>Anastrozole</w:t>
            </w:r>
            <w:r w:rsidR="00743DD5">
              <w:rPr>
                <w:b w:val="0"/>
                <w:bCs/>
              </w:rPr>
              <w:t xml:space="preserve"> compliant</w:t>
            </w:r>
            <w:r w:rsidR="00E749D3">
              <w:rPr>
                <w:b w:val="0"/>
                <w:bCs/>
              </w:rPr>
              <w:t xml:space="preserve"> arm</w:t>
            </w:r>
            <w:r w:rsidR="00743DD5">
              <w:rPr>
                <w:b w:val="0"/>
                <w:bCs/>
              </w:rPr>
              <w:t xml:space="preserve"> 0-2mths </w:t>
            </w:r>
            <w:r w:rsidR="00F82DBE">
              <w:rPr>
                <w:b w:val="0"/>
                <w:bCs/>
              </w:rPr>
              <w:t>–</w:t>
            </w:r>
            <w:r w:rsidR="00743DD5">
              <w:rPr>
                <w:b w:val="0"/>
                <w:bCs/>
              </w:rPr>
              <w:t xml:space="preserve"> </w:t>
            </w:r>
            <w:r w:rsidR="00F82DBE">
              <w:rPr>
                <w:b w:val="0"/>
                <w:bCs/>
              </w:rPr>
              <w:t>BMD lumbar spine</w:t>
            </w:r>
            <w:r w:rsidR="00E749D3">
              <w:rPr>
                <w:b w:val="0"/>
                <w:bCs/>
              </w:rPr>
              <w:t xml:space="preserve"> change:</w:t>
            </w:r>
            <w:r w:rsidR="00F82DBE">
              <w:rPr>
                <w:b w:val="0"/>
                <w:bCs/>
              </w:rPr>
              <w:t xml:space="preserve"> -2.02% </w:t>
            </w:r>
            <w:r w:rsidR="00E749D3">
              <w:rPr>
                <w:b w:val="0"/>
                <w:bCs/>
              </w:rPr>
              <w:t>(</w:t>
            </w:r>
            <w:r w:rsidR="00F82DBE">
              <w:rPr>
                <w:b w:val="0"/>
                <w:bCs/>
              </w:rPr>
              <w:t>p=0.05</w:t>
            </w:r>
            <w:r w:rsidR="00E749D3">
              <w:rPr>
                <w:b w:val="0"/>
                <w:bCs/>
              </w:rPr>
              <w:t>)</w:t>
            </w:r>
          </w:p>
          <w:p w:rsidR="00F82DBE" w:rsidRDefault="00200CF4" w:rsidP="00F82DBE">
            <w:pPr>
              <w:pStyle w:val="TableHeading"/>
              <w:rPr>
                <w:b w:val="0"/>
                <w:bCs/>
              </w:rPr>
            </w:pPr>
            <w:r>
              <w:rPr>
                <w:b w:val="0"/>
                <w:bCs/>
              </w:rPr>
              <w:t>Anastrozole</w:t>
            </w:r>
            <w:r w:rsidR="00F82DBE">
              <w:rPr>
                <w:b w:val="0"/>
                <w:bCs/>
              </w:rPr>
              <w:t xml:space="preserve"> non-compliant 0-2mths – BMD lumbar spine</w:t>
            </w:r>
            <w:r w:rsidR="00E749D3">
              <w:rPr>
                <w:b w:val="0"/>
                <w:bCs/>
              </w:rPr>
              <w:t xml:space="preserve"> change:</w:t>
            </w:r>
            <w:r w:rsidR="00F82DBE">
              <w:rPr>
                <w:b w:val="0"/>
                <w:bCs/>
              </w:rPr>
              <w:t xml:space="preserve"> -2.00% </w:t>
            </w:r>
            <w:r w:rsidR="00E749D3">
              <w:rPr>
                <w:b w:val="0"/>
                <w:bCs/>
              </w:rPr>
              <w:t>(</w:t>
            </w:r>
            <w:r w:rsidR="00F82DBE">
              <w:rPr>
                <w:b w:val="0"/>
                <w:bCs/>
              </w:rPr>
              <w:t>p=0.085</w:t>
            </w:r>
            <w:r w:rsidR="00E749D3">
              <w:rPr>
                <w:b w:val="0"/>
                <w:bCs/>
              </w:rPr>
              <w:t>)</w:t>
            </w:r>
            <w:r w:rsidR="00F82DBE">
              <w:rPr>
                <w:b w:val="0"/>
                <w:bCs/>
              </w:rPr>
              <w:t xml:space="preserve"> </w:t>
            </w:r>
          </w:p>
          <w:p w:rsidR="00F82DBE" w:rsidRDefault="00F82DBE" w:rsidP="00F82DBE">
            <w:pPr>
              <w:pStyle w:val="TableHeading"/>
              <w:rPr>
                <w:b w:val="0"/>
                <w:bCs/>
              </w:rPr>
            </w:pPr>
            <w:r>
              <w:rPr>
                <w:b w:val="0"/>
                <w:bCs/>
              </w:rPr>
              <w:t>No non-traumatic fractures were recorded</w:t>
            </w:r>
          </w:p>
        </w:tc>
        <w:tc>
          <w:tcPr>
            <w:tcW w:w="3260" w:type="dxa"/>
          </w:tcPr>
          <w:p w:rsidR="00743DD5" w:rsidRDefault="00F82DBE" w:rsidP="007E7F71">
            <w:pPr>
              <w:pStyle w:val="TableHeading"/>
              <w:rPr>
                <w:b w:val="0"/>
                <w:bCs/>
              </w:rPr>
            </w:pPr>
            <w:r>
              <w:rPr>
                <w:b w:val="0"/>
                <w:bCs/>
              </w:rPr>
              <w:t xml:space="preserve">Compliant patients treated with </w:t>
            </w:r>
            <w:r w:rsidR="00200CF4">
              <w:rPr>
                <w:b w:val="0"/>
                <w:bCs/>
              </w:rPr>
              <w:t>anastrozole</w:t>
            </w:r>
            <w:r>
              <w:rPr>
                <w:b w:val="0"/>
                <w:bCs/>
              </w:rPr>
              <w:t xml:space="preserve"> have more rapid loss of BMD during first 12 months then stabilises 12-14 mths but continues to decrease</w:t>
            </w:r>
          </w:p>
        </w:tc>
        <w:tc>
          <w:tcPr>
            <w:tcW w:w="993" w:type="dxa"/>
          </w:tcPr>
          <w:p w:rsidR="00743DD5" w:rsidRDefault="00F82DBE" w:rsidP="00EC6CB4">
            <w:pPr>
              <w:pStyle w:val="TableText"/>
            </w:pPr>
            <w:r>
              <w:t>MEDIUM</w:t>
            </w:r>
          </w:p>
        </w:tc>
      </w:tr>
      <w:tr w:rsidR="00F82DBE" w:rsidTr="00192A3B">
        <w:trPr>
          <w:tblHeader/>
        </w:trPr>
        <w:tc>
          <w:tcPr>
            <w:tcW w:w="1089" w:type="dxa"/>
          </w:tcPr>
          <w:p w:rsidR="00F82DBE" w:rsidRDefault="00373749" w:rsidP="00EC6CB4">
            <w:pPr>
              <w:pStyle w:val="TableText"/>
            </w:pPr>
            <w:r>
              <w:t>Neuner 2011</w:t>
            </w:r>
          </w:p>
        </w:tc>
        <w:tc>
          <w:tcPr>
            <w:tcW w:w="3544" w:type="dxa"/>
          </w:tcPr>
          <w:p w:rsidR="00F82DBE" w:rsidRDefault="00373749" w:rsidP="00254A3E">
            <w:pPr>
              <w:pStyle w:val="TableHeading"/>
              <w:rPr>
                <w:b w:val="0"/>
                <w:bCs/>
              </w:rPr>
            </w:pPr>
            <w:r>
              <w:rPr>
                <w:b w:val="0"/>
                <w:bCs/>
              </w:rPr>
              <w:t>Hip fractures: 1.7% AI</w:t>
            </w:r>
            <w:r w:rsidR="00E749D3">
              <w:rPr>
                <w:b w:val="0"/>
                <w:bCs/>
              </w:rPr>
              <w:t xml:space="preserve"> arm</w:t>
            </w:r>
            <w:r>
              <w:rPr>
                <w:b w:val="0"/>
                <w:bCs/>
              </w:rPr>
              <w:t>, 0.5% tamox</w:t>
            </w:r>
            <w:r w:rsidR="00E749D3">
              <w:rPr>
                <w:b w:val="0"/>
                <w:bCs/>
              </w:rPr>
              <w:t>ifen arm</w:t>
            </w:r>
            <w:r>
              <w:rPr>
                <w:b w:val="0"/>
                <w:bCs/>
              </w:rPr>
              <w:t>, 2.0% none (p=0.028)</w:t>
            </w:r>
          </w:p>
          <w:p w:rsidR="00373749" w:rsidRDefault="00373749" w:rsidP="00254A3E">
            <w:pPr>
              <w:pStyle w:val="TableHeading"/>
              <w:rPr>
                <w:b w:val="0"/>
                <w:bCs/>
              </w:rPr>
            </w:pPr>
            <w:r>
              <w:rPr>
                <w:b w:val="0"/>
                <w:bCs/>
              </w:rPr>
              <w:t>Non</w:t>
            </w:r>
            <w:r w:rsidR="003A2333">
              <w:rPr>
                <w:b w:val="0"/>
                <w:bCs/>
              </w:rPr>
              <w:t>-</w:t>
            </w:r>
            <w:r>
              <w:rPr>
                <w:b w:val="0"/>
                <w:bCs/>
              </w:rPr>
              <w:t>vertebral fractures: 8.8% AI</w:t>
            </w:r>
            <w:r w:rsidR="003A2333">
              <w:rPr>
                <w:b w:val="0"/>
                <w:bCs/>
              </w:rPr>
              <w:t xml:space="preserve"> arm</w:t>
            </w:r>
            <w:r>
              <w:rPr>
                <w:b w:val="0"/>
                <w:bCs/>
              </w:rPr>
              <w:t>, 6.8% tamox</w:t>
            </w:r>
            <w:r w:rsidR="003A2333">
              <w:rPr>
                <w:b w:val="0"/>
                <w:bCs/>
              </w:rPr>
              <w:t>ifen arm</w:t>
            </w:r>
            <w:r>
              <w:rPr>
                <w:b w:val="0"/>
                <w:bCs/>
              </w:rPr>
              <w:t>, 8.1% none</w:t>
            </w:r>
          </w:p>
          <w:p w:rsidR="00373749" w:rsidRDefault="00373749" w:rsidP="00254A3E">
            <w:pPr>
              <w:pStyle w:val="TableHeading"/>
              <w:rPr>
                <w:b w:val="0"/>
                <w:bCs/>
              </w:rPr>
            </w:pPr>
            <w:r>
              <w:rPr>
                <w:b w:val="0"/>
                <w:bCs/>
              </w:rPr>
              <w:t>AI vs Tamox</w:t>
            </w:r>
            <w:r w:rsidR="003A2333">
              <w:rPr>
                <w:b w:val="0"/>
                <w:bCs/>
              </w:rPr>
              <w:t>ifen</w:t>
            </w:r>
            <w:r>
              <w:rPr>
                <w:b w:val="0"/>
                <w:bCs/>
              </w:rPr>
              <w:t>: Time to hip fracture HR 3.24 (95%CI: 1.05, 9.98) adj for age, comorb, BMI</w:t>
            </w:r>
          </w:p>
          <w:p w:rsidR="00373749" w:rsidRDefault="00373749" w:rsidP="00254A3E">
            <w:pPr>
              <w:pStyle w:val="TableHeading"/>
              <w:rPr>
                <w:b w:val="0"/>
                <w:bCs/>
              </w:rPr>
            </w:pPr>
            <w:r>
              <w:rPr>
                <w:b w:val="0"/>
                <w:bCs/>
              </w:rPr>
              <w:t>Absolute risk 1.1% inc hip fracture over 36 months</w:t>
            </w:r>
          </w:p>
        </w:tc>
        <w:tc>
          <w:tcPr>
            <w:tcW w:w="3260" w:type="dxa"/>
          </w:tcPr>
          <w:p w:rsidR="00F82DBE" w:rsidRDefault="00373749" w:rsidP="003A2333">
            <w:pPr>
              <w:pStyle w:val="TableHeading"/>
              <w:rPr>
                <w:b w:val="0"/>
                <w:bCs/>
              </w:rPr>
            </w:pPr>
            <w:r>
              <w:rPr>
                <w:b w:val="0"/>
                <w:bCs/>
              </w:rPr>
              <w:t xml:space="preserve">Large study of older women in </w:t>
            </w:r>
            <w:r w:rsidR="003A2333">
              <w:rPr>
                <w:b w:val="0"/>
                <w:bCs/>
              </w:rPr>
              <w:t xml:space="preserve">a </w:t>
            </w:r>
            <w:r>
              <w:rPr>
                <w:b w:val="0"/>
                <w:bCs/>
              </w:rPr>
              <w:t>real-world setting</w:t>
            </w:r>
            <w:r w:rsidR="003A2333">
              <w:rPr>
                <w:b w:val="0"/>
                <w:bCs/>
              </w:rPr>
              <w:t>. P</w:t>
            </w:r>
            <w:r>
              <w:rPr>
                <w:b w:val="0"/>
                <w:bCs/>
              </w:rPr>
              <w:t xml:space="preserve">atients are at higher risk of fractures with AI </w:t>
            </w:r>
            <w:r w:rsidR="003C168F">
              <w:rPr>
                <w:b w:val="0"/>
                <w:bCs/>
              </w:rPr>
              <w:t>compared with tamox</w:t>
            </w:r>
            <w:r w:rsidR="003A2333">
              <w:rPr>
                <w:b w:val="0"/>
                <w:bCs/>
              </w:rPr>
              <w:t>ifen</w:t>
            </w:r>
            <w:r w:rsidR="003C168F">
              <w:rPr>
                <w:b w:val="0"/>
                <w:bCs/>
              </w:rPr>
              <w:t xml:space="preserve"> </w:t>
            </w:r>
            <w:r>
              <w:rPr>
                <w:b w:val="0"/>
                <w:bCs/>
              </w:rPr>
              <w:t>but no</w:t>
            </w:r>
            <w:r w:rsidR="003C168F">
              <w:rPr>
                <w:b w:val="0"/>
                <w:bCs/>
              </w:rPr>
              <w:t>t substantial in short term (</w:t>
            </w:r>
            <w:r w:rsidR="003A2333">
              <w:rPr>
                <w:b w:val="0"/>
                <w:bCs/>
              </w:rPr>
              <w:t xml:space="preserve">small </w:t>
            </w:r>
            <w:r w:rsidR="003C168F">
              <w:rPr>
                <w:b w:val="0"/>
                <w:bCs/>
              </w:rPr>
              <w:t xml:space="preserve">absolute risk). </w:t>
            </w:r>
          </w:p>
        </w:tc>
        <w:tc>
          <w:tcPr>
            <w:tcW w:w="993" w:type="dxa"/>
          </w:tcPr>
          <w:p w:rsidR="00F82DBE" w:rsidRDefault="00373749" w:rsidP="00EC6CB4">
            <w:pPr>
              <w:pStyle w:val="TableText"/>
            </w:pPr>
            <w:r>
              <w:t>MEDIUM</w:t>
            </w:r>
          </w:p>
        </w:tc>
      </w:tr>
      <w:tr w:rsidR="003C168F" w:rsidTr="00192A3B">
        <w:trPr>
          <w:tblHeader/>
        </w:trPr>
        <w:tc>
          <w:tcPr>
            <w:tcW w:w="1089" w:type="dxa"/>
          </w:tcPr>
          <w:p w:rsidR="003C168F" w:rsidRDefault="003C168F" w:rsidP="00EC6CB4">
            <w:pPr>
              <w:pStyle w:val="TableText"/>
            </w:pPr>
            <w:r>
              <w:t>Eastell 2011</w:t>
            </w:r>
          </w:p>
        </w:tc>
        <w:tc>
          <w:tcPr>
            <w:tcW w:w="3544" w:type="dxa"/>
          </w:tcPr>
          <w:p w:rsidR="003C168F" w:rsidRDefault="003C168F" w:rsidP="00254A3E">
            <w:pPr>
              <w:pStyle w:val="TableHeading"/>
              <w:rPr>
                <w:b w:val="0"/>
                <w:bCs/>
              </w:rPr>
            </w:pPr>
            <w:r>
              <w:rPr>
                <w:b w:val="0"/>
                <w:bCs/>
              </w:rPr>
              <w:t>Medium change in lumbar spine BMD:</w:t>
            </w:r>
          </w:p>
          <w:p w:rsidR="003C168F" w:rsidRDefault="003C168F" w:rsidP="00254A3E">
            <w:pPr>
              <w:pStyle w:val="TableHeading"/>
              <w:rPr>
                <w:b w:val="0"/>
                <w:bCs/>
              </w:rPr>
            </w:pPr>
            <w:r>
              <w:rPr>
                <w:b w:val="0"/>
                <w:bCs/>
              </w:rPr>
              <w:t>+4.05% 5-7 yrs anas (iqr -6.04 to14.01) p&lt;0.01</w:t>
            </w:r>
          </w:p>
          <w:p w:rsidR="003C168F" w:rsidRDefault="003C168F" w:rsidP="00254A3E">
            <w:pPr>
              <w:pStyle w:val="TableHeading"/>
              <w:rPr>
                <w:b w:val="0"/>
                <w:bCs/>
              </w:rPr>
            </w:pPr>
            <w:r>
              <w:rPr>
                <w:b w:val="0"/>
                <w:bCs/>
              </w:rPr>
              <w:t>-0.3% 5-7 yrs tamox (iqr -7.43 to 10.22) p=0.90</w:t>
            </w:r>
          </w:p>
          <w:p w:rsidR="003C168F" w:rsidRDefault="003C168F" w:rsidP="00254A3E">
            <w:pPr>
              <w:pStyle w:val="TableHeading"/>
              <w:rPr>
                <w:b w:val="0"/>
                <w:bCs/>
              </w:rPr>
            </w:pPr>
            <w:r>
              <w:rPr>
                <w:b w:val="0"/>
                <w:bCs/>
              </w:rPr>
              <w:t>No women who had normal BMD or was osteopenic in year 5 became osteoporotic in years 6 or 7 in either group.</w:t>
            </w:r>
          </w:p>
        </w:tc>
        <w:tc>
          <w:tcPr>
            <w:tcW w:w="3260" w:type="dxa"/>
          </w:tcPr>
          <w:p w:rsidR="003C168F" w:rsidRDefault="003C168F" w:rsidP="007E7F71">
            <w:pPr>
              <w:pStyle w:val="TableHeading"/>
              <w:rPr>
                <w:b w:val="0"/>
                <w:bCs/>
              </w:rPr>
            </w:pPr>
            <w:r>
              <w:rPr>
                <w:b w:val="0"/>
                <w:bCs/>
              </w:rPr>
              <w:t>Bone mass after 5-year treatment returns but not to baseline levels.</w:t>
            </w:r>
          </w:p>
          <w:p w:rsidR="003C168F" w:rsidRDefault="00200CF4" w:rsidP="007E7F71">
            <w:pPr>
              <w:pStyle w:val="TableHeading"/>
              <w:rPr>
                <w:b w:val="0"/>
                <w:bCs/>
              </w:rPr>
            </w:pPr>
            <w:r>
              <w:rPr>
                <w:b w:val="0"/>
                <w:bCs/>
              </w:rPr>
              <w:t>Anastrozole</w:t>
            </w:r>
            <w:r w:rsidR="003C168F">
              <w:rPr>
                <w:b w:val="0"/>
                <w:bCs/>
              </w:rPr>
              <w:t xml:space="preserve"> treatment related bone loss does not continue after cessation of treatment</w:t>
            </w:r>
          </w:p>
        </w:tc>
        <w:tc>
          <w:tcPr>
            <w:tcW w:w="993" w:type="dxa"/>
          </w:tcPr>
          <w:p w:rsidR="003C168F" w:rsidRDefault="003C168F" w:rsidP="00EC6CB4">
            <w:pPr>
              <w:pStyle w:val="TableText"/>
            </w:pPr>
            <w:r>
              <w:t>MEDIUM</w:t>
            </w:r>
          </w:p>
        </w:tc>
      </w:tr>
    </w:tbl>
    <w:p w:rsidR="00B2159B" w:rsidRDefault="00EC6CB4" w:rsidP="00B2159B">
      <w:pPr>
        <w:pStyle w:val="TableText"/>
        <w:ind w:left="567"/>
      </w:pPr>
      <w:r>
        <w:t>AI = aromatase inhibitors,</w:t>
      </w:r>
      <w:r w:rsidR="00D10461">
        <w:t xml:space="preserve"> ATAC = Arim</w:t>
      </w:r>
      <w:r w:rsidR="00BD6145">
        <w:t>i</w:t>
      </w:r>
      <w:r w:rsidR="00D10461">
        <w:t xml:space="preserve">dex, Tamoxifen Alone or in Combination, BMD = bone mineral density, </w:t>
      </w:r>
      <w:r w:rsidR="003A2333">
        <w:t>BMI = body mass index,</w:t>
      </w:r>
      <w:r>
        <w:t xml:space="preserve"> </w:t>
      </w:r>
      <w:r w:rsidR="003A2333">
        <w:t xml:space="preserve">HR = hazards ratio, </w:t>
      </w:r>
      <w:r>
        <w:t>OR = odds ratios, NNH = number needed to harm</w:t>
      </w:r>
      <w:r w:rsidR="002018D5">
        <w:t>, NSAS BC-03</w:t>
      </w:r>
      <w:r w:rsidR="00D10461">
        <w:t xml:space="preserve"> = National Surgical Adjuvant Study in Breast Cancer</w:t>
      </w:r>
      <w:r w:rsidR="002018D5">
        <w:t>, ARNO95</w:t>
      </w:r>
      <w:r w:rsidR="00D10461">
        <w:t xml:space="preserve"> = German Adjuvant Breast Cancer Group Arimidex/Nolvadex</w:t>
      </w:r>
      <w:r w:rsidR="002018D5">
        <w:t>, ITA</w:t>
      </w:r>
      <w:r w:rsidR="00D10461">
        <w:t xml:space="preserve"> = Italian Tamoxifen </w:t>
      </w:r>
      <w:r w:rsidR="00200CF4">
        <w:t>Anastrozole</w:t>
      </w:r>
      <w:r w:rsidR="00D10461">
        <w:t xml:space="preserve"> study</w:t>
      </w:r>
      <w:r w:rsidR="002018D5">
        <w:t>, NSASP</w:t>
      </w:r>
      <w:r w:rsidR="00D10461">
        <w:t xml:space="preserve"> = National Surgical</w:t>
      </w:r>
      <w:r w:rsidR="002018D5">
        <w:t>. BIG I-98</w:t>
      </w:r>
      <w:r w:rsidR="00D10461">
        <w:t xml:space="preserve"> = Breast International Group</w:t>
      </w:r>
      <w:r w:rsidR="002018D5">
        <w:t>, ABCSG</w:t>
      </w:r>
      <w:r w:rsidR="00D10461">
        <w:t xml:space="preserve"> = Austrian Breast Cancer Study Group</w:t>
      </w:r>
      <w:r w:rsidR="002018D5">
        <w:t>, IES</w:t>
      </w:r>
      <w:r w:rsidR="00D10461">
        <w:t>=Intergroup Exemestane Study</w:t>
      </w:r>
      <w:r w:rsidR="002018D5">
        <w:t>.</w:t>
      </w:r>
    </w:p>
    <w:p w:rsidR="00201ECF" w:rsidRPr="00B2159B" w:rsidRDefault="00B2159B" w:rsidP="00B2159B">
      <w:pPr>
        <w:spacing w:after="0"/>
        <w:ind w:left="0"/>
        <w:rPr>
          <w:rFonts w:ascii="Arial Narrow" w:hAnsi="Arial Narrow"/>
          <w:sz w:val="18"/>
        </w:rPr>
      </w:pPr>
      <w:r>
        <w:br w:type="page"/>
      </w:r>
    </w:p>
    <w:p w:rsidR="00201ECF" w:rsidRDefault="003D1F9A" w:rsidP="00755C3E">
      <w:r>
        <w:lastRenderedPageBreak/>
        <w:t>The systematic review by Amir</w:t>
      </w:r>
      <w:r w:rsidR="009A3B0D">
        <w:t xml:space="preserve"> </w:t>
      </w:r>
      <w:r w:rsidR="009A3B0D" w:rsidRPr="009A3B0D">
        <w:rPr>
          <w:i/>
        </w:rPr>
        <w:t>et al.</w:t>
      </w:r>
      <w:r w:rsidR="009A3B0D">
        <w:t xml:space="preserve"> (2011)</w:t>
      </w:r>
      <w:r>
        <w:t xml:space="preserve"> </w:t>
      </w:r>
      <w:r w:rsidR="00D10461">
        <w:t>assessed</w:t>
      </w:r>
      <w:r>
        <w:t xml:space="preserve"> all </w:t>
      </w:r>
      <w:r w:rsidR="00BD6145">
        <w:t>adverse events</w:t>
      </w:r>
      <w:r>
        <w:t xml:space="preserve"> for women taking aromatase inhibitors</w:t>
      </w:r>
      <w:r w:rsidR="00F41778">
        <w:t xml:space="preserve"> </w:t>
      </w:r>
      <w:r w:rsidR="00F41778">
        <w:fldChar w:fldCharType="begin">
          <w:fldData xml:space="preserve">PEVuZE5vdGU+PENpdGU+PEF1dGhvcj5BbWlyPC9BdXRob3I+PFllYXI+MjAxMTwvWWVhcj48UmVj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sidR="00F41778">
        <w:instrText xml:space="preserve"> ADDIN EN.CITE </w:instrText>
      </w:r>
      <w:r w:rsidR="00F41778">
        <w:fldChar w:fldCharType="begin">
          <w:fldData xml:space="preserve">PEVuZE5vdGU+PENpdGU+PEF1dGhvcj5BbWlyPC9BdXRob3I+PFllYXI+MjAxMTwvWWVhcj48UmVj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sidR="00F41778">
        <w:instrText xml:space="preserve"> ADDIN EN.CITE.DATA </w:instrText>
      </w:r>
      <w:r w:rsidR="00F41778">
        <w:fldChar w:fldCharType="end"/>
      </w:r>
      <w:r w:rsidR="00F41778">
        <w:fldChar w:fldCharType="separate"/>
      </w:r>
      <w:r w:rsidR="00F41778">
        <w:rPr>
          <w:noProof/>
        </w:rPr>
        <w:t>(</w:t>
      </w:r>
      <w:hyperlink w:anchor="_ENREF_1" w:tooltip="Amir, 2011 #241" w:history="1">
        <w:r w:rsidR="006F79C1">
          <w:rPr>
            <w:noProof/>
          </w:rPr>
          <w:t>Amir, Seruga et al. 2011</w:t>
        </w:r>
      </w:hyperlink>
      <w:r w:rsidR="00F41778">
        <w:rPr>
          <w:noProof/>
        </w:rPr>
        <w:t>)</w:t>
      </w:r>
      <w:r w:rsidR="00F41778">
        <w:fldChar w:fldCharType="end"/>
      </w:r>
      <w:r>
        <w:t xml:space="preserve">. ‘Bone fractures’ were one endpoint and </w:t>
      </w:r>
      <w:r w:rsidR="005A76C8">
        <w:t xml:space="preserve">the </w:t>
      </w:r>
      <w:r>
        <w:t xml:space="preserve">number needed to </w:t>
      </w:r>
      <w:r w:rsidR="00D10461">
        <w:t>harm</w:t>
      </w:r>
      <w:r>
        <w:t xml:space="preserve"> was high</w:t>
      </w:r>
      <w:r w:rsidR="00BD6145">
        <w:t xml:space="preserve">; </w:t>
      </w:r>
      <w:r w:rsidR="00D10461">
        <w:t>46 women treated with aromatase in</w:t>
      </w:r>
      <w:r w:rsidR="00BD6145">
        <w:t>hibitors resulted in 1 fracture</w:t>
      </w:r>
      <w:r>
        <w:t xml:space="preserve">. This suggests that </w:t>
      </w:r>
      <w:r w:rsidR="009A3B0D">
        <w:t xml:space="preserve">the </w:t>
      </w:r>
      <w:r w:rsidR="003A2333">
        <w:t>occurrence of</w:t>
      </w:r>
      <w:r>
        <w:t xml:space="preserve"> fracture</w:t>
      </w:r>
      <w:r w:rsidR="003A2333">
        <w:t>s</w:t>
      </w:r>
      <w:r w:rsidR="009A3B0D">
        <w:t xml:space="preserve"> </w:t>
      </w:r>
      <w:r>
        <w:t>in this population</w:t>
      </w:r>
      <w:r w:rsidR="009A3B0D">
        <w:t xml:space="preserve"> is </w:t>
      </w:r>
      <w:r w:rsidR="003A2333">
        <w:t>rare</w:t>
      </w:r>
      <w:r>
        <w:t xml:space="preserve">. </w:t>
      </w:r>
      <w:r w:rsidR="005A76C8">
        <w:t>The review included seven major trials and a total of 30,023 patients:</w:t>
      </w:r>
    </w:p>
    <w:p w:rsidR="00D10461" w:rsidRDefault="00D10461" w:rsidP="00534D10">
      <w:pPr>
        <w:pStyle w:val="ListParagraph"/>
        <w:numPr>
          <w:ilvl w:val="0"/>
          <w:numId w:val="30"/>
        </w:numPr>
      </w:pPr>
      <w:r>
        <w:t>ATAC = Arim</w:t>
      </w:r>
      <w:r w:rsidR="00BD6145">
        <w:t>i</w:t>
      </w:r>
      <w:r>
        <w:t>dex, Tamoxifen Alone or in Combination</w:t>
      </w:r>
    </w:p>
    <w:p w:rsidR="005A76C8" w:rsidRDefault="005A76C8" w:rsidP="00534D10">
      <w:pPr>
        <w:pStyle w:val="ListParagraph"/>
        <w:numPr>
          <w:ilvl w:val="0"/>
          <w:numId w:val="30"/>
        </w:numPr>
      </w:pPr>
      <w:r>
        <w:t xml:space="preserve">BIG I-98 = Breast International Group </w:t>
      </w:r>
    </w:p>
    <w:p w:rsidR="005A76C8" w:rsidRDefault="005A76C8" w:rsidP="00534D10">
      <w:pPr>
        <w:pStyle w:val="ListParagraph"/>
        <w:numPr>
          <w:ilvl w:val="0"/>
          <w:numId w:val="30"/>
        </w:numPr>
      </w:pPr>
      <w:r>
        <w:t xml:space="preserve">IES=Intergroup Exemestane Study </w:t>
      </w:r>
    </w:p>
    <w:p w:rsidR="005A76C8" w:rsidRDefault="005A76C8" w:rsidP="00534D10">
      <w:pPr>
        <w:pStyle w:val="ListParagraph"/>
        <w:numPr>
          <w:ilvl w:val="0"/>
          <w:numId w:val="30"/>
        </w:numPr>
      </w:pPr>
      <w:r>
        <w:t xml:space="preserve">ITA = Italian Tamoxifen </w:t>
      </w:r>
      <w:r w:rsidR="00200CF4">
        <w:t>Anastrozole</w:t>
      </w:r>
      <w:r>
        <w:t xml:space="preserve"> study </w:t>
      </w:r>
    </w:p>
    <w:p w:rsidR="00D10461" w:rsidRDefault="00D10461" w:rsidP="00534D10">
      <w:pPr>
        <w:pStyle w:val="ListParagraph"/>
        <w:numPr>
          <w:ilvl w:val="0"/>
          <w:numId w:val="30"/>
        </w:numPr>
      </w:pPr>
      <w:r>
        <w:t xml:space="preserve">NSAS BC-03 = National Surgical Adjuvant Study in Breast Cancer </w:t>
      </w:r>
    </w:p>
    <w:p w:rsidR="00D10461" w:rsidRDefault="00D10461" w:rsidP="00534D10">
      <w:pPr>
        <w:pStyle w:val="ListParagraph"/>
        <w:numPr>
          <w:ilvl w:val="0"/>
          <w:numId w:val="30"/>
        </w:numPr>
      </w:pPr>
      <w:r>
        <w:t>ARNO95 = German Adjuvant Breast Cancer Group Arimidex/Nolvadex</w:t>
      </w:r>
      <w:r w:rsidR="005A76C8">
        <w:t xml:space="preserve"> and ABCSG</w:t>
      </w:r>
      <w:r w:rsidR="001E0EAF">
        <w:t>8</w:t>
      </w:r>
      <w:r w:rsidR="005A76C8">
        <w:t xml:space="preserve"> = Austrian Breast Cancer Study Group (combined study)</w:t>
      </w:r>
    </w:p>
    <w:p w:rsidR="005A76C8" w:rsidRDefault="005A76C8" w:rsidP="00534D10">
      <w:pPr>
        <w:pStyle w:val="ListParagraph"/>
        <w:numPr>
          <w:ilvl w:val="0"/>
          <w:numId w:val="30"/>
        </w:numPr>
      </w:pPr>
      <w:r>
        <w:t>TEAM = Tamoxifen, Exemestane Adjuvant Multinational trial</w:t>
      </w:r>
    </w:p>
    <w:p w:rsidR="005A76C8" w:rsidRDefault="005A76C8" w:rsidP="00D10461">
      <w:pPr>
        <w:spacing w:after="0"/>
      </w:pPr>
    </w:p>
    <w:p w:rsidR="00D10461" w:rsidRDefault="005A76C8" w:rsidP="00755C3E">
      <w:r>
        <w:t>The review included 5-year trials only and therefore there was sufficient time for early toxicity (while on treatment) to arise. All grades of toxicity were included. Most studies did not report baseline factors that could potentially confound the differences across treatment groups. These factors include the prior history of clinical factors for fractures and concurrent medication use, use of vitamin D and calcium supplements. The review included studies with a mix of previous treatments; tamoxifen prior and naïve patients. The BIG I-98 and ATAC trials provided information on either upfront aromatase inhibitor or upfront tamoxifen and switching. Switching agents did not appear to modify the relative risk of developing bone fractures. However</w:t>
      </w:r>
      <w:r w:rsidR="00BD6145">
        <w:t>,</w:t>
      </w:r>
      <w:r>
        <w:t xml:space="preserve"> toxicities present </w:t>
      </w:r>
      <w:r w:rsidR="00BD6145">
        <w:t>while</w:t>
      </w:r>
      <w:r>
        <w:t xml:space="preserve"> on tamoxifen </w:t>
      </w:r>
      <w:r w:rsidR="00BD6145">
        <w:t>were</w:t>
      </w:r>
      <w:r>
        <w:t xml:space="preserve"> not recorded pre-randomisation to aromatase inhibitor</w:t>
      </w:r>
      <w:r w:rsidR="00BD6145">
        <w:t xml:space="preserve"> therapy</w:t>
      </w:r>
      <w:r>
        <w:t>. The quality of the reporting of adverse events varied across the studies.</w:t>
      </w:r>
    </w:p>
    <w:p w:rsidR="005A76C8" w:rsidRDefault="003D1F9A" w:rsidP="00C8577C">
      <w:r>
        <w:t xml:space="preserve">The systematic review by Becker </w:t>
      </w:r>
      <w:r w:rsidRPr="009A3B0D">
        <w:rPr>
          <w:i/>
        </w:rPr>
        <w:t>et al.</w:t>
      </w:r>
      <w:r>
        <w:t xml:space="preserve"> (20</w:t>
      </w:r>
      <w:r w:rsidR="009A3B0D">
        <w:t>12</w:t>
      </w:r>
      <w:r>
        <w:t>) specifically focussed on bone health outcomes and</w:t>
      </w:r>
      <w:r w:rsidR="009A3B0D">
        <w:t xml:space="preserve"> therefore provided more </w:t>
      </w:r>
      <w:r w:rsidR="00C8577C">
        <w:t>specific information</w:t>
      </w:r>
      <w:r w:rsidR="003A2333">
        <w:t xml:space="preserve"> and in greater </w:t>
      </w:r>
      <w:r w:rsidR="009A3B0D">
        <w:t xml:space="preserve">detail </w:t>
      </w:r>
      <w:r>
        <w:t>than Amir’s review</w:t>
      </w:r>
      <w:r w:rsidR="00F41778">
        <w:t xml:space="preserve"> </w:t>
      </w:r>
      <w:r w:rsidR="00F41778">
        <w:fldChar w:fldCharType="begin">
          <w:fldData xml:space="preserve">PEVuZE5vdGU+PENpdGU+PEF1dGhvcj5CZWNrZXI8L0F1dGhvcj48WWVhcj4yMDEyPC9ZZWFyPjxS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==
</w:fldData>
        </w:fldChar>
      </w:r>
      <w:r w:rsidR="00F41778">
        <w:instrText xml:space="preserve"> ADDIN EN.CITE </w:instrText>
      </w:r>
      <w:r w:rsidR="00F41778">
        <w:fldChar w:fldCharType="begin">
          <w:fldData xml:space="preserve">PEVuZE5vdGU+PENpdGU+PEF1dGhvcj5CZWNrZXI8L0F1dGhvcj48WWVhcj4yMDEyPC9ZZWFyPjxS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==
</w:fldData>
        </w:fldChar>
      </w:r>
      <w:r w:rsidR="00F41778">
        <w:instrText xml:space="preserve"> ADDIN EN.CITE.DATA </w:instrText>
      </w:r>
      <w:r w:rsidR="00F41778">
        <w:fldChar w:fldCharType="end"/>
      </w:r>
      <w:r w:rsidR="00F41778">
        <w:fldChar w:fldCharType="separate"/>
      </w:r>
      <w:r w:rsidR="00F41778">
        <w:rPr>
          <w:noProof/>
        </w:rPr>
        <w:t>(</w:t>
      </w:r>
      <w:hyperlink w:anchor="_ENREF_6" w:tooltip="Becker, 2012 #242" w:history="1">
        <w:r w:rsidR="006F79C1">
          <w:rPr>
            <w:noProof/>
          </w:rPr>
          <w:t>Becker, Lipscombe et al. 2012</w:t>
        </w:r>
      </w:hyperlink>
      <w:r w:rsidR="00F41778">
        <w:rPr>
          <w:noProof/>
        </w:rPr>
        <w:t>)</w:t>
      </w:r>
      <w:r w:rsidR="00F41778">
        <w:fldChar w:fldCharType="end"/>
      </w:r>
      <w:r>
        <w:t xml:space="preserve">.  </w:t>
      </w:r>
      <w:r w:rsidR="00C8577C">
        <w:t xml:space="preserve">The </w:t>
      </w:r>
      <w:r w:rsidR="00EB1578">
        <w:t xml:space="preserve">key </w:t>
      </w:r>
      <w:r w:rsidR="00C8577C">
        <w:t xml:space="preserve">outcomes were fractures, BMD decrease and bone turnover markers. </w:t>
      </w:r>
      <w:r>
        <w:t>A total of 11 randomized controlled trials were included</w:t>
      </w:r>
      <w:r w:rsidR="009A3B0D">
        <w:t xml:space="preserve"> </w:t>
      </w:r>
      <w:r w:rsidR="00C8577C">
        <w:t xml:space="preserve">up to August 2011 </w:t>
      </w:r>
      <w:r w:rsidR="009A3B0D">
        <w:t>and these included all 7 studies in the Amir review</w:t>
      </w:r>
      <w:r>
        <w:t>.</w:t>
      </w:r>
      <w:r w:rsidR="005A76C8" w:rsidRPr="005A76C8">
        <w:t xml:space="preserve"> </w:t>
      </w:r>
      <w:r w:rsidR="00C8577C">
        <w:t xml:space="preserve"> The ARNO95 and ABCSG studies were separately assessed and three additional studies included were:</w:t>
      </w:r>
    </w:p>
    <w:p w:rsidR="005A76C8" w:rsidRDefault="005A76C8" w:rsidP="00534D10">
      <w:pPr>
        <w:pStyle w:val="ListParagraph"/>
        <w:numPr>
          <w:ilvl w:val="0"/>
          <w:numId w:val="31"/>
        </w:numPr>
      </w:pPr>
      <w:r>
        <w:t xml:space="preserve">MA.17 = </w:t>
      </w:r>
      <w:r w:rsidR="00C8577C">
        <w:t xml:space="preserve">National Clinical Institute of Cancer Clinical Trials Group </w:t>
      </w:r>
      <w:r>
        <w:t xml:space="preserve"> </w:t>
      </w:r>
    </w:p>
    <w:p w:rsidR="005A76C8" w:rsidRDefault="005A76C8" w:rsidP="00534D10">
      <w:pPr>
        <w:pStyle w:val="ListParagraph"/>
        <w:numPr>
          <w:ilvl w:val="0"/>
          <w:numId w:val="31"/>
        </w:numPr>
      </w:pPr>
      <w:r>
        <w:t>NSASP = National Surgical</w:t>
      </w:r>
      <w:r w:rsidR="00C8577C">
        <w:t xml:space="preserve"> Adjuvant Breast and Bowel Project</w:t>
      </w:r>
      <w:r>
        <w:t xml:space="preserve"> </w:t>
      </w:r>
    </w:p>
    <w:p w:rsidR="00C8577C" w:rsidRDefault="00C8577C" w:rsidP="00534D10">
      <w:pPr>
        <w:pStyle w:val="ListParagraph"/>
        <w:numPr>
          <w:ilvl w:val="0"/>
          <w:numId w:val="31"/>
        </w:numPr>
      </w:pPr>
      <w:r>
        <w:t>Gonnelli et al. 2007</w:t>
      </w:r>
    </w:p>
    <w:p w:rsidR="00EB1578" w:rsidRDefault="00EB1578" w:rsidP="00EB1578">
      <w:pPr>
        <w:spacing w:after="0"/>
      </w:pPr>
    </w:p>
    <w:p w:rsidR="003D1F9A" w:rsidRDefault="00EB1578" w:rsidP="00755C3E">
      <w:r>
        <w:t xml:space="preserve">As for Amir </w:t>
      </w:r>
      <w:r w:rsidRPr="00F41778">
        <w:rPr>
          <w:i/>
        </w:rPr>
        <w:t>et al.</w:t>
      </w:r>
      <w:r>
        <w:t xml:space="preserve"> (2011), the review findings showed that fracture rates were higher in women taking aromatase inhibitors (about 1.5 fold) but studies were mixed on whether these were statistically significant.</w:t>
      </w:r>
    </w:p>
    <w:p w:rsidR="00EB1578" w:rsidRDefault="00EB1578" w:rsidP="00EB1578">
      <w:r>
        <w:t xml:space="preserve">Edwards </w:t>
      </w:r>
      <w:r w:rsidRPr="00A13BFA">
        <w:rPr>
          <w:i/>
        </w:rPr>
        <w:t>et al</w:t>
      </w:r>
      <w:r w:rsidR="00F41778">
        <w:t xml:space="preserve">. </w:t>
      </w:r>
      <w:r>
        <w:t xml:space="preserve">(2011) undertook a systematic review of non-trial data and grey literature as well as retrieving records from the FDA Adverse Event Reporting System. The goal of this study was to assess whether fracture rates were higher </w:t>
      </w:r>
      <w:r w:rsidR="000245B4">
        <w:t>in observational reports and studies outside</w:t>
      </w:r>
      <w:r>
        <w:t xml:space="preserve"> of trial conditions and that were not statistically powered for capturing the rare event of fractures. Their assessment confirmed </w:t>
      </w:r>
      <w:r w:rsidR="000245B4">
        <w:t xml:space="preserve">the </w:t>
      </w:r>
      <w:r>
        <w:t xml:space="preserve">trial evidence </w:t>
      </w:r>
      <w:r w:rsidR="000245B4">
        <w:t xml:space="preserve">and concluded </w:t>
      </w:r>
      <w:r>
        <w:t xml:space="preserve">that AIs </w:t>
      </w:r>
      <w:r w:rsidR="000245B4">
        <w:t>had been</w:t>
      </w:r>
      <w:r>
        <w:t xml:space="preserve"> commonly used among women </w:t>
      </w:r>
      <w:r w:rsidR="000245B4">
        <w:t xml:space="preserve">with breast cancer and bone </w:t>
      </w:r>
      <w:r>
        <w:t>fractures</w:t>
      </w:r>
      <w:r w:rsidR="00F41778">
        <w:t xml:space="preserve"> </w:t>
      </w:r>
      <w:r w:rsidR="00F41778">
        <w:fldChar w:fldCharType="begin">
          <w:fldData xml:space="preserve">PEVuZE5vdGU+PENpdGU+PEF1dGhvcj5FZHdhcmRzPC9BdXRob3I+PFllYXI+MjAxMTwvWWVhcj48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==
</w:fldData>
        </w:fldChar>
      </w:r>
      <w:r w:rsidR="00F41778">
        <w:instrText xml:space="preserve"> ADDIN EN.CITE </w:instrText>
      </w:r>
      <w:r w:rsidR="00F41778">
        <w:fldChar w:fldCharType="begin">
          <w:fldData xml:space="preserve">PEVuZE5vdGU+PENpdGU+PEF1dGhvcj5FZHdhcmRzPC9BdXRob3I+PFllYXI+MjAxMTwvWWVhcj48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==
</w:fldData>
        </w:fldChar>
      </w:r>
      <w:r w:rsidR="00F41778">
        <w:instrText xml:space="preserve"> ADDIN EN.CITE.DATA </w:instrText>
      </w:r>
      <w:r w:rsidR="00F41778">
        <w:fldChar w:fldCharType="end"/>
      </w:r>
      <w:r w:rsidR="00F41778">
        <w:fldChar w:fldCharType="separate"/>
      </w:r>
      <w:r w:rsidR="00F41778">
        <w:rPr>
          <w:noProof/>
        </w:rPr>
        <w:t>(</w:t>
      </w:r>
      <w:hyperlink w:anchor="_ENREF_15" w:tooltip="Edwards, 2011 #122" w:history="1">
        <w:r w:rsidR="006F79C1">
          <w:rPr>
            <w:noProof/>
          </w:rPr>
          <w:t>Edwards, Raisch et al. 2011</w:t>
        </w:r>
      </w:hyperlink>
      <w:r w:rsidR="00F41778">
        <w:rPr>
          <w:noProof/>
        </w:rPr>
        <w:t>)</w:t>
      </w:r>
      <w:r w:rsidR="00F41778">
        <w:fldChar w:fldCharType="end"/>
      </w:r>
      <w:r>
        <w:t>.</w:t>
      </w:r>
    </w:p>
    <w:p w:rsidR="003D1F9A" w:rsidRDefault="003D1F9A" w:rsidP="00755C3E">
      <w:r>
        <w:lastRenderedPageBreak/>
        <w:t xml:space="preserve">Bell </w:t>
      </w:r>
      <w:r w:rsidRPr="001E1648">
        <w:rPr>
          <w:i/>
        </w:rPr>
        <w:t>et al.</w:t>
      </w:r>
      <w:r>
        <w:t xml:space="preserve"> </w:t>
      </w:r>
      <w:r w:rsidR="001E1648">
        <w:t xml:space="preserve">(2007) </w:t>
      </w:r>
      <w:r w:rsidR="00BD6145">
        <w:t>provided a cross-</w:t>
      </w:r>
      <w:r>
        <w:t>study</w:t>
      </w:r>
      <w:r w:rsidR="009A3B0D" w:rsidRPr="009A3B0D">
        <w:t xml:space="preserve"> </w:t>
      </w:r>
      <w:r w:rsidR="009A3B0D">
        <w:t xml:space="preserve">comparison of the relative risk of </w:t>
      </w:r>
      <w:r w:rsidR="001E1648">
        <w:t>bone fracture</w:t>
      </w:r>
      <w:r w:rsidR="009A3B0D">
        <w:t xml:space="preserve"> using health</w:t>
      </w:r>
      <w:r w:rsidR="003A2333">
        <w:t>y</w:t>
      </w:r>
      <w:r w:rsidR="009A3B0D">
        <w:t xml:space="preserve"> </w:t>
      </w:r>
      <w:r w:rsidR="007A119D">
        <w:t>post-menopaus</w:t>
      </w:r>
      <w:r w:rsidR="009A3B0D">
        <w:t>al women (aged 64-69 years) as the reference population</w:t>
      </w:r>
      <w:r w:rsidR="00F41778">
        <w:t xml:space="preserve"> </w:t>
      </w:r>
      <w:r w:rsidR="00F41778">
        <w:fldChar w:fldCharType="begin">
          <w:fldData xml:space="preserve">PEVuZE5vdGU+PENpdGU+PEF1dGhvcj5CZWxsPC9BdXRob3I+PFllYXI+MjAwNzwvWWVhcj48UmVj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</w:fldData>
        </w:fldChar>
      </w:r>
      <w:r w:rsidR="00F41778">
        <w:instrText xml:space="preserve"> ADDIN EN.CITE </w:instrText>
      </w:r>
      <w:r w:rsidR="00F41778">
        <w:fldChar w:fldCharType="begin">
          <w:fldData xml:space="preserve">PEVuZE5vdGU+PENpdGU+PEF1dGhvcj5CZWxsPC9BdXRob3I+PFllYXI+MjAwNzwvWWVhcj48UmVj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</w:fldData>
        </w:fldChar>
      </w:r>
      <w:r w:rsidR="00F41778">
        <w:instrText xml:space="preserve"> ADDIN EN.CITE.DATA </w:instrText>
      </w:r>
      <w:r w:rsidR="00F41778">
        <w:fldChar w:fldCharType="end"/>
      </w:r>
      <w:r w:rsidR="00F41778">
        <w:fldChar w:fldCharType="separate"/>
      </w:r>
      <w:r w:rsidR="00F41778">
        <w:rPr>
          <w:noProof/>
        </w:rPr>
        <w:t>(</w:t>
      </w:r>
      <w:hyperlink w:anchor="_ENREF_7" w:tooltip="Bell, 2007 #243" w:history="1">
        <w:r w:rsidR="006F79C1">
          <w:rPr>
            <w:noProof/>
          </w:rPr>
          <w:t>Bell and Lewis 2007</w:t>
        </w:r>
      </w:hyperlink>
      <w:r w:rsidR="00F41778">
        <w:rPr>
          <w:noProof/>
        </w:rPr>
        <w:t>)</w:t>
      </w:r>
      <w:r w:rsidR="00F41778">
        <w:fldChar w:fldCharType="end"/>
      </w:r>
      <w:r w:rsidR="009A3B0D">
        <w:t xml:space="preserve">. </w:t>
      </w:r>
      <w:r w:rsidR="001E1648">
        <w:t xml:space="preserve">They undertook a modelling study to estimate and calibrate the relative risk of women using </w:t>
      </w:r>
      <w:r w:rsidR="00BD6145">
        <w:t>AIs</w:t>
      </w:r>
      <w:r w:rsidR="001E1648">
        <w:t xml:space="preserve"> to healthy </w:t>
      </w:r>
      <w:r w:rsidR="007A119D">
        <w:t>post-menopaus</w:t>
      </w:r>
      <w:r w:rsidR="001E1648">
        <w:t xml:space="preserve">al women, women on tamoxifen and all women with breast cancer. The studies they </w:t>
      </w:r>
      <w:r w:rsidR="003A2333">
        <w:t xml:space="preserve">based their modelling on </w:t>
      </w:r>
      <w:r w:rsidR="001E1648">
        <w:t>were the NSABP-P trial, the Women’s Health Initiative study and the ATAC trial.</w:t>
      </w:r>
      <w:r w:rsidR="00BD6145">
        <w:t xml:space="preserve"> Women with breast cancer had a higher risk of bone fracture with those on AI therapy adding to this risk, compared to healthy post-menopausal women.</w:t>
      </w:r>
    </w:p>
    <w:p w:rsidR="00EB1578" w:rsidRDefault="000245B4" w:rsidP="00EB1578">
      <w:r>
        <w:t xml:space="preserve">Two studies provided additional information on bone outcomes among specific aromatase inhibitor users. </w:t>
      </w:r>
      <w:r w:rsidR="00EB1578">
        <w:t xml:space="preserve">In an open-label RCT comparing exemestane and </w:t>
      </w:r>
      <w:r w:rsidR="00200CF4">
        <w:t>anastrozole</w:t>
      </w:r>
      <w:r w:rsidR="00EB1578">
        <w:t xml:space="preserve">, Goss </w:t>
      </w:r>
      <w:r w:rsidR="00EB1578" w:rsidRPr="00E01B60">
        <w:rPr>
          <w:i/>
        </w:rPr>
        <w:t>et al.</w:t>
      </w:r>
      <w:r w:rsidR="00EB1578">
        <w:t xml:space="preserve"> (2013) concluded that there were no significant differences in bone outcomes between </w:t>
      </w:r>
      <w:r>
        <w:t xml:space="preserve">the two different </w:t>
      </w:r>
      <w:r w:rsidR="00BD6145">
        <w:t>AI</w:t>
      </w:r>
      <w:r>
        <w:t xml:space="preserve"> </w:t>
      </w:r>
      <w:r w:rsidR="00EB1578">
        <w:t xml:space="preserve">treatments at 4 years follow up. Similarly, examining compliance (≥80%) with </w:t>
      </w:r>
      <w:r w:rsidR="00200CF4">
        <w:t>anastrozole</w:t>
      </w:r>
      <w:r w:rsidR="00EB1578">
        <w:t xml:space="preserve"> at 24 months, changes in BMD lumbar spine were not significantly different in the compliant and non-compliant </w:t>
      </w:r>
      <w:r w:rsidR="00200CF4">
        <w:t>anastrozole</w:t>
      </w:r>
      <w:r w:rsidR="00EB1578">
        <w:t xml:space="preserve"> users</w:t>
      </w:r>
      <w:r w:rsidR="00F41778">
        <w:t xml:space="preserve"> </w:t>
      </w:r>
      <w:r w:rsidR="00F41778">
        <w:fldChar w:fldCharType="begin">
          <w:fldData xml:space="preserve">PEVuZE5vdGU+PENpdGU+PEF1dGhvcj5Hb3NzPC9BdXRob3I+PFllYXI+MjAxMzwvWWVhcj48UmVj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</w:fldData>
        </w:fldChar>
      </w:r>
      <w:r w:rsidR="00F41778">
        <w:instrText xml:space="preserve"> ADDIN EN.CITE </w:instrText>
      </w:r>
      <w:r w:rsidR="00F41778">
        <w:fldChar w:fldCharType="begin">
          <w:fldData xml:space="preserve">PEVuZE5vdGU+PENpdGU+PEF1dGhvcj5Hb3NzPC9BdXRob3I+PFllYXI+MjAxMzwvWWVhcj48UmVj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</w:fldData>
        </w:fldChar>
      </w:r>
      <w:r w:rsidR="00F41778">
        <w:instrText xml:space="preserve"> ADDIN EN.CITE.DATA </w:instrText>
      </w:r>
      <w:r w:rsidR="00F41778">
        <w:fldChar w:fldCharType="end"/>
      </w:r>
      <w:r w:rsidR="00F41778">
        <w:fldChar w:fldCharType="separate"/>
      </w:r>
      <w:r w:rsidR="00F41778">
        <w:rPr>
          <w:noProof/>
        </w:rPr>
        <w:t>(</w:t>
      </w:r>
      <w:hyperlink w:anchor="_ENREF_20" w:tooltip="Goss, 2013 #247" w:history="1">
        <w:r w:rsidR="006F79C1">
          <w:rPr>
            <w:noProof/>
          </w:rPr>
          <w:t>Goss, Ingle et al. 2013</w:t>
        </w:r>
      </w:hyperlink>
      <w:r w:rsidR="00F41778">
        <w:rPr>
          <w:noProof/>
        </w:rPr>
        <w:t xml:space="preserve">, </w:t>
      </w:r>
      <w:hyperlink w:anchor="_ENREF_28" w:tooltip="Kalder, 2013 #249" w:history="1">
        <w:r w:rsidR="006F79C1">
          <w:rPr>
            <w:noProof/>
          </w:rPr>
          <w:t>Kalder, Ziller et al. 2013</w:t>
        </w:r>
      </w:hyperlink>
      <w:r w:rsidR="00F41778">
        <w:rPr>
          <w:noProof/>
        </w:rPr>
        <w:t>)</w:t>
      </w:r>
      <w:r w:rsidR="00F41778">
        <w:fldChar w:fldCharType="end"/>
      </w:r>
      <w:r w:rsidR="00EB1578">
        <w:t>.</w:t>
      </w:r>
    </w:p>
    <w:p w:rsidR="00EB1578" w:rsidRDefault="00EB1578" w:rsidP="00EB1578">
      <w:r>
        <w:t xml:space="preserve">Neuner </w:t>
      </w:r>
      <w:r w:rsidRPr="00A13BFA">
        <w:rPr>
          <w:i/>
        </w:rPr>
        <w:t>et al.</w:t>
      </w:r>
      <w:r>
        <w:t xml:space="preserve"> 2011 in the US conducted a large (n=2748) </w:t>
      </w:r>
      <w:r w:rsidR="000245B4">
        <w:t xml:space="preserve">retrospective </w:t>
      </w:r>
      <w:r>
        <w:t>analysis of population-based community dwelling women who were diagnos</w:t>
      </w:r>
      <w:r w:rsidR="00BD6145">
        <w:t xml:space="preserve">ed with breast cancer in 2003. </w:t>
      </w:r>
      <w:r>
        <w:t xml:space="preserve">At 36 months, these older women already at higher fracture risk, were found to have significantly higher risk of fracture if they had received </w:t>
      </w:r>
      <w:r w:rsidR="00BD6145">
        <w:t>AIs</w:t>
      </w:r>
      <w:r>
        <w:t xml:space="preserve"> compared to tamoxifen or no hormone therapy, but the absolute risk of fractures was low. This was after models adjusted for age, bone mass index and a history of previous fracture</w:t>
      </w:r>
      <w:r w:rsidR="00F41778">
        <w:t xml:space="preserve"> </w:t>
      </w:r>
      <w:r w:rsidR="00F41778">
        <w:fldChar w:fldCharType="begin"/>
      </w:r>
      <w:r w:rsidR="00F41778">
        <w:instrText xml:space="preserve"> ADDIN EN.CITE &lt;EndNote&gt;&lt;Cite&gt;&lt;Author&gt;Neuner&lt;/Author&gt;&lt;Year&gt;2011&lt;/Year&gt;&lt;RecNum&gt;250&lt;/RecNum&gt;&lt;DisplayText&gt;(Neuner, Yen et al. 2011)&lt;/DisplayText&gt;&lt;record&gt;&lt;rec-number&gt;250&lt;/rec-number&gt;&lt;foreign-keys&gt;&lt;key app="EN" db-id="v9edw0zeqvve5nedzvjx29f1df2z2tvpvw55" timestamp="1398312043"&gt;250&lt;/key&gt;&lt;/foreign-keys&gt;&lt;ref-type name="Journal Article"&gt;17&lt;/ref-type&gt;&lt;contributors&gt;&lt;authors&gt;&lt;author&gt;Neuner, J. M.&lt;/author&gt;&lt;author&gt;Yen, T. W.&lt;/author&gt;&lt;author&gt;Sparapani, R. A.&lt;/author&gt;&lt;author&gt;Laud, P. W.&lt;/author&gt;&lt;author&gt;Nattinger, A. B.&lt;/author&gt;&lt;/authors&gt;&lt;/contributors&gt;&lt;titles&gt;&lt;title&gt;Fracture risk and adjuvant hormonal therapy among a population-based cohort of older female breast cancer patients&lt;/title&gt;&lt;secondary-title&gt;Osteoporos Int.&lt;/secondary-title&gt;&lt;/titles&gt;&lt;periodical&gt;&lt;full-title&gt;Osteoporos Int.&lt;/full-title&gt;&lt;/periodical&gt;&lt;pages&gt;2847-55. doi: 10.1007/s00198-010-1493-x. Epub 2010 Dec 18.&lt;/pages&gt;&lt;volume&gt;22&lt;/volume&gt;&lt;number&gt;11&lt;/number&gt;&lt;keywords&gt;&lt;keyword&gt;0 (Antineoplastic Agents, Hormonal)&lt;/keyword&gt;&lt;keyword&gt;0 (Aromatase Inhibitors)&lt;/keyword&gt;&lt;keyword&gt;094ZI81Y45 (Tamoxifen)&lt;/keyword&gt;&lt;keyword&gt;Aged&lt;/keyword&gt;&lt;keyword&gt;Aged, 80 and over&lt;/keyword&gt;&lt;keyword&gt;Antineoplastic Agents, Hormonal/therapeutic use&lt;/keyword&gt;&lt;keyword&gt;Aromatase Inhibitors/*adverse effects&lt;/keyword&gt;&lt;keyword&gt;Breast Neoplasms/*drug therapy&lt;/keyword&gt;&lt;keyword&gt;Female&lt;/keyword&gt;&lt;keyword&gt;Follow-Up Studies&lt;/keyword&gt;&lt;keyword&gt;Hip Fractures/*chemically induced&lt;/keyword&gt;&lt;keyword&gt;Humans&lt;/keyword&gt;&lt;keyword&gt;Osteoporosis, Postmenopausal/*chemically induced&lt;/keyword&gt;&lt;keyword&gt;Osteoporotic Fractures/*chemically induced&lt;/keyword&gt;&lt;keyword&gt;Prospective Studies&lt;/keyword&gt;&lt;keyword&gt;Risk Factors&lt;/keyword&gt;&lt;keyword&gt;Tamoxifen/therapeutic use&lt;/keyword&gt;&lt;/keywords&gt;&lt;dates&gt;&lt;year&gt;2011&lt;/year&gt;&lt;pub-dates&gt;&lt;date&gt;Nov&lt;/date&gt;&lt;/pub-dates&gt;&lt;/dates&gt;&lt;isbn&gt;1433-2965 (Electronic)&amp;#xD;0937-941X (Linking)&lt;/isbn&gt;&lt;label&gt;Included&lt;/label&gt;&lt;work-type&gt;Research Support, N.I.H., Extramural&lt;/work-type&gt;&lt;urls&gt;&lt;/urls&gt;&lt;/record&gt;&lt;/Cite&gt;&lt;/EndNote&gt;</w:instrText>
      </w:r>
      <w:r w:rsidR="00F41778">
        <w:fldChar w:fldCharType="separate"/>
      </w:r>
      <w:r w:rsidR="00F41778">
        <w:rPr>
          <w:noProof/>
        </w:rPr>
        <w:t>(</w:t>
      </w:r>
      <w:hyperlink w:anchor="_ENREF_43" w:tooltip="Neuner, 2011 #250" w:history="1">
        <w:r w:rsidR="006F79C1">
          <w:rPr>
            <w:noProof/>
          </w:rPr>
          <w:t>Neuner, Yen et al. 2011</w:t>
        </w:r>
      </w:hyperlink>
      <w:r w:rsidR="00F41778">
        <w:rPr>
          <w:noProof/>
        </w:rPr>
        <w:t>)</w:t>
      </w:r>
      <w:r w:rsidR="00F41778">
        <w:fldChar w:fldCharType="end"/>
      </w:r>
      <w:r>
        <w:t xml:space="preserve">. </w:t>
      </w:r>
    </w:p>
    <w:p w:rsidR="001E1648" w:rsidRDefault="00EB1578" w:rsidP="00755C3E">
      <w:r>
        <w:t>Finally, t</w:t>
      </w:r>
      <w:r w:rsidR="003D1F9A">
        <w:t xml:space="preserve">he </w:t>
      </w:r>
      <w:r w:rsidR="009A3B0D">
        <w:t>study</w:t>
      </w:r>
      <w:r w:rsidR="003D1F9A">
        <w:t xml:space="preserve"> by </w:t>
      </w:r>
      <w:r w:rsidR="009A3B0D">
        <w:t>Eastell</w:t>
      </w:r>
      <w:r w:rsidR="003D1F9A">
        <w:t xml:space="preserve"> </w:t>
      </w:r>
      <w:r w:rsidR="003D1F9A" w:rsidRPr="003A2333">
        <w:rPr>
          <w:i/>
        </w:rPr>
        <w:t>et al.</w:t>
      </w:r>
      <w:r w:rsidR="003D1F9A">
        <w:t xml:space="preserve"> (</w:t>
      </w:r>
      <w:r w:rsidR="009A3B0D">
        <w:t>2011</w:t>
      </w:r>
      <w:r w:rsidR="001D6585">
        <w:t>) provided</w:t>
      </w:r>
      <w:r w:rsidR="003D1F9A">
        <w:t xml:space="preserve"> 7-year </w:t>
      </w:r>
      <w:r w:rsidR="009A3B0D">
        <w:t xml:space="preserve">extension </w:t>
      </w:r>
      <w:r w:rsidR="003D1F9A">
        <w:t xml:space="preserve">follow up data from </w:t>
      </w:r>
      <w:r w:rsidR="009A3B0D">
        <w:t xml:space="preserve">the </w:t>
      </w:r>
      <w:r w:rsidR="003D1F9A">
        <w:t xml:space="preserve">ATAC </w:t>
      </w:r>
      <w:r w:rsidR="009A3B0D">
        <w:t>trial</w:t>
      </w:r>
      <w:r w:rsidR="001D6585">
        <w:t>,</w:t>
      </w:r>
      <w:r w:rsidR="003D1F9A">
        <w:t xml:space="preserve"> the first large trial of </w:t>
      </w:r>
      <w:r w:rsidR="001D6585">
        <w:t>AIs</w:t>
      </w:r>
      <w:r w:rsidR="003D1F9A">
        <w:t xml:space="preserve"> or </w:t>
      </w:r>
      <w:r>
        <w:t>t</w:t>
      </w:r>
      <w:r w:rsidR="003D1F9A">
        <w:t>amoxifen in women with early stage breast cancer</w:t>
      </w:r>
      <w:r w:rsidR="00F41778">
        <w:t xml:space="preserve"> </w:t>
      </w:r>
      <w:r w:rsidR="00F41778">
        <w:fldChar w:fldCharType="begin">
          <w:fldData xml:space="preserve">PEVuZE5vdGU+PENpdGU+PEF1dGhvcj5FYXN0ZWxsPC9BdXRob3I+PFllYXI+MjAxMTwvWWVhcj48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</w:fldData>
        </w:fldChar>
      </w:r>
      <w:r w:rsidR="00F41778">
        <w:instrText xml:space="preserve"> ADDIN EN.CITE </w:instrText>
      </w:r>
      <w:r w:rsidR="00F41778">
        <w:fldChar w:fldCharType="begin">
          <w:fldData xml:space="preserve">PEVuZE5vdGU+PENpdGU+PEF1dGhvcj5FYXN0ZWxsPC9BdXRob3I+PFllYXI+MjAxMTwvWWVhcj48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</w:fldData>
        </w:fldChar>
      </w:r>
      <w:r w:rsidR="00F41778">
        <w:instrText xml:space="preserve"> ADDIN EN.CITE.DATA </w:instrText>
      </w:r>
      <w:r w:rsidR="00F41778">
        <w:fldChar w:fldCharType="end"/>
      </w:r>
      <w:r w:rsidR="00F41778">
        <w:fldChar w:fldCharType="separate"/>
      </w:r>
      <w:r w:rsidR="00F41778">
        <w:rPr>
          <w:noProof/>
        </w:rPr>
        <w:t>(</w:t>
      </w:r>
      <w:hyperlink w:anchor="_ENREF_13" w:tooltip="Eastell, 2011 #121" w:history="1">
        <w:r w:rsidR="006F79C1">
          <w:rPr>
            <w:noProof/>
          </w:rPr>
          <w:t>Eastell, Adams et al. 2011</w:t>
        </w:r>
      </w:hyperlink>
      <w:r w:rsidR="00F41778">
        <w:rPr>
          <w:noProof/>
        </w:rPr>
        <w:t>)</w:t>
      </w:r>
      <w:r w:rsidR="00F41778">
        <w:fldChar w:fldCharType="end"/>
      </w:r>
      <w:r w:rsidR="001D6585">
        <w:t xml:space="preserve">. </w:t>
      </w:r>
      <w:r w:rsidR="001E1648">
        <w:t xml:space="preserve">BMD was measured in the post-hormone treatment phase from 5 to 7 years. </w:t>
      </w:r>
      <w:r>
        <w:t>Although there was a substantial loss to follow-up by this stage of the trial, t</w:t>
      </w:r>
      <w:r w:rsidR="001E1648">
        <w:t xml:space="preserve">he </w:t>
      </w:r>
      <w:r w:rsidR="003A2333">
        <w:t xml:space="preserve">authors’ concluded that bone loss accelerated during the time the women were on </w:t>
      </w:r>
      <w:r w:rsidR="001D6585">
        <w:t>AIs</w:t>
      </w:r>
      <w:r w:rsidR="003A2333">
        <w:t xml:space="preserve"> but </w:t>
      </w:r>
      <w:r w:rsidR="000245B4">
        <w:t>wa</w:t>
      </w:r>
      <w:r w:rsidR="002B38D0">
        <w:t>s</w:t>
      </w:r>
      <w:r w:rsidR="003A2333">
        <w:t xml:space="preserve"> partially</w:t>
      </w:r>
      <w:r w:rsidR="003D1F9A">
        <w:t xml:space="preserve"> restored upon treatment cessation</w:t>
      </w:r>
      <w:r w:rsidR="003A2333">
        <w:t>,</w:t>
      </w:r>
      <w:r w:rsidR="009A3B0D">
        <w:t xml:space="preserve"> although not to baseline</w:t>
      </w:r>
      <w:r w:rsidR="003A2333">
        <w:t xml:space="preserve"> levels</w:t>
      </w:r>
      <w:r w:rsidR="003D1F9A">
        <w:t xml:space="preserve">.  </w:t>
      </w:r>
    </w:p>
    <w:p w:rsidR="007261B3" w:rsidRDefault="007261B3" w:rsidP="007261B3">
      <w:pPr>
        <w:pStyle w:val="Heading4"/>
      </w:pPr>
      <w:r>
        <w:t xml:space="preserve">Quality of the studies assessing </w:t>
      </w:r>
      <w:r w:rsidR="007115B0">
        <w:t xml:space="preserve">bone loss or </w:t>
      </w:r>
      <w:r>
        <w:t>fracture risk</w:t>
      </w:r>
    </w:p>
    <w:p w:rsidR="007261B3" w:rsidRDefault="007261B3" w:rsidP="00A13BFA">
      <w:pPr>
        <w:spacing w:after="0"/>
      </w:pPr>
      <w:r>
        <w:t xml:space="preserve">In general, the studies were of </w:t>
      </w:r>
      <w:r w:rsidR="00A13BFA">
        <w:t>mixed</w:t>
      </w:r>
      <w:r>
        <w:t xml:space="preserve"> quality and there </w:t>
      </w:r>
      <w:r w:rsidR="000F0DF6">
        <w:t>existed</w:t>
      </w:r>
      <w:r>
        <w:t xml:space="preserve"> some potential risk of bias</w:t>
      </w:r>
      <w:r w:rsidR="00A13BFA">
        <w:t xml:space="preserve"> in the medium and poor quality ranked studies</w:t>
      </w:r>
      <w:r w:rsidR="000F0DF6">
        <w:t xml:space="preserve">. The limitations of the </w:t>
      </w:r>
      <w:r w:rsidR="00A13BFA">
        <w:t xml:space="preserve">latter </w:t>
      </w:r>
      <w:r w:rsidR="000F0DF6">
        <w:t>studies included:</w:t>
      </w:r>
    </w:p>
    <w:p w:rsidR="000F0DF6" w:rsidRPr="000F0DF6" w:rsidRDefault="000F0DF6" w:rsidP="00534D10">
      <w:pPr>
        <w:pStyle w:val="ListParagraph"/>
        <w:numPr>
          <w:ilvl w:val="0"/>
          <w:numId w:val="39"/>
        </w:numPr>
      </w:pPr>
      <w:r w:rsidRPr="000F0DF6">
        <w:t xml:space="preserve">Poor reporting of </w:t>
      </w:r>
      <w:r w:rsidR="00F227E7">
        <w:t xml:space="preserve">bone </w:t>
      </w:r>
      <w:r w:rsidRPr="000F0DF6">
        <w:t>outcomes</w:t>
      </w:r>
      <w:r w:rsidR="00F227E7">
        <w:t xml:space="preserve"> at non-standard intervals</w:t>
      </w:r>
      <w:r w:rsidR="001E0EAF">
        <w:t>;</w:t>
      </w:r>
    </w:p>
    <w:p w:rsidR="002B38D0" w:rsidRPr="002B38D0" w:rsidRDefault="00F227E7" w:rsidP="00534D10">
      <w:pPr>
        <w:pStyle w:val="ListParagraph"/>
        <w:numPr>
          <w:ilvl w:val="0"/>
          <w:numId w:val="39"/>
        </w:numPr>
      </w:pPr>
      <w:r>
        <w:t>O</w:t>
      </w:r>
      <w:r w:rsidR="000F0DF6" w:rsidRPr="002B38D0">
        <w:t xml:space="preserve">utcomes were </w:t>
      </w:r>
      <w:r w:rsidR="002B38D0" w:rsidRPr="002B38D0">
        <w:t xml:space="preserve">inconsistently </w:t>
      </w:r>
      <w:r w:rsidR="000F0DF6" w:rsidRPr="002B38D0">
        <w:t xml:space="preserve">adjusted </w:t>
      </w:r>
      <w:r>
        <w:t xml:space="preserve">or not adjusted </w:t>
      </w:r>
      <w:r w:rsidR="000F0DF6" w:rsidRPr="002B38D0">
        <w:t>for baseline fracture risk factors</w:t>
      </w:r>
      <w:r w:rsidR="001E0EAF">
        <w:t>;</w:t>
      </w:r>
      <w:r w:rsidR="000F0DF6" w:rsidRPr="002B38D0">
        <w:t xml:space="preserve"> </w:t>
      </w:r>
    </w:p>
    <w:p w:rsidR="000F0DF6" w:rsidRPr="002B38D0" w:rsidRDefault="000F0DF6" w:rsidP="00534D10">
      <w:pPr>
        <w:pStyle w:val="ListParagraph"/>
        <w:numPr>
          <w:ilvl w:val="0"/>
          <w:numId w:val="39"/>
        </w:numPr>
      </w:pPr>
      <w:r w:rsidRPr="002B38D0">
        <w:t>Small sample size</w:t>
      </w:r>
      <w:r w:rsidR="00A13BFA" w:rsidRPr="002B38D0">
        <w:t>s</w:t>
      </w:r>
      <w:r w:rsidR="00F227E7">
        <w:t xml:space="preserve"> or high drop outs (missing data)</w:t>
      </w:r>
      <w:r w:rsidR="001E0EAF">
        <w:t>;</w:t>
      </w:r>
    </w:p>
    <w:p w:rsidR="000F0DF6" w:rsidRDefault="004A7FE5" w:rsidP="00534D10">
      <w:pPr>
        <w:pStyle w:val="ListParagraph"/>
        <w:numPr>
          <w:ilvl w:val="0"/>
          <w:numId w:val="39"/>
        </w:numPr>
      </w:pPr>
      <w:r>
        <w:t xml:space="preserve">Little detail about blinding of BMD readers to </w:t>
      </w:r>
      <w:r w:rsidR="00F227E7">
        <w:t>patient treatment</w:t>
      </w:r>
      <w:r w:rsidR="00F227E7" w:rsidRPr="00F227E7">
        <w:t xml:space="preserve"> </w:t>
      </w:r>
      <w:r w:rsidR="00F227E7">
        <w:t>allocation</w:t>
      </w:r>
      <w:r w:rsidR="001E0EAF">
        <w:t>;</w:t>
      </w:r>
    </w:p>
    <w:p w:rsidR="001E0EAF" w:rsidRDefault="001E0EAF" w:rsidP="00534D10">
      <w:pPr>
        <w:pStyle w:val="ListParagraph"/>
        <w:numPr>
          <w:ilvl w:val="0"/>
          <w:numId w:val="39"/>
        </w:numPr>
      </w:pPr>
      <w:r>
        <w:t>Patients received vitamin D and calcium which might have affected outcomes;</w:t>
      </w:r>
    </w:p>
    <w:p w:rsidR="001E6AD7" w:rsidRDefault="001E6AD7" w:rsidP="00534D10">
      <w:pPr>
        <w:pStyle w:val="ListParagraph"/>
        <w:numPr>
          <w:ilvl w:val="0"/>
          <w:numId w:val="39"/>
        </w:numPr>
      </w:pPr>
      <w:r>
        <w:t>No discussion regarding background fracture risk</w:t>
      </w:r>
      <w:r w:rsidR="00F227E7">
        <w:t xml:space="preserve"> in normal </w:t>
      </w:r>
      <w:r w:rsidR="007A119D">
        <w:t>post-menopaus</w:t>
      </w:r>
      <w:r w:rsidR="00F227E7">
        <w:t>al women</w:t>
      </w:r>
      <w:r w:rsidR="001E0EAF">
        <w:t>;</w:t>
      </w:r>
      <w:r w:rsidR="00F227E7">
        <w:t xml:space="preserve"> and</w:t>
      </w:r>
    </w:p>
    <w:p w:rsidR="00F227E7" w:rsidRDefault="00F227E7" w:rsidP="00534D10">
      <w:pPr>
        <w:pStyle w:val="ListParagraph"/>
        <w:numPr>
          <w:ilvl w:val="0"/>
          <w:numId w:val="39"/>
        </w:numPr>
      </w:pPr>
      <w:r>
        <w:t>Industry sponsorship that may lead to bias in favour of aromatase inhibitor treatment</w:t>
      </w:r>
      <w:r w:rsidR="001D6585">
        <w:t>.</w:t>
      </w:r>
    </w:p>
    <w:p w:rsidR="000245B4" w:rsidRDefault="00104FF5" w:rsidP="001E0EAF">
      <w:pPr>
        <w:spacing w:before="240"/>
      </w:pPr>
      <w:r>
        <w:lastRenderedPageBreak/>
        <w:t xml:space="preserve">Nevertheless, two high-quality systematic reviews provided solid evidence for concluding that women taking </w:t>
      </w:r>
      <w:r w:rsidR="001D6585">
        <w:t>AIs</w:t>
      </w:r>
      <w:r>
        <w:t xml:space="preserve"> face a higher risk of adverse bone health than those not taking this therapy.</w:t>
      </w:r>
    </w:p>
    <w:p w:rsidR="007115B0" w:rsidRDefault="00F33E2F" w:rsidP="007115B0">
      <w:pPr>
        <w:pStyle w:val="Heading4"/>
      </w:pPr>
      <w:r>
        <w:t>Rate of</w:t>
      </w:r>
      <w:r w:rsidR="007115B0">
        <w:t xml:space="preserve"> bone loss in different populations</w:t>
      </w:r>
    </w:p>
    <w:p w:rsidR="007115B0" w:rsidRDefault="007115B0" w:rsidP="007115B0">
      <w:bookmarkStart w:id="97" w:name="_GoBack"/>
      <w:bookmarkEnd w:id="97"/>
      <w:r>
        <w:t xml:space="preserve">Additional searches were required to provide evidence on the </w:t>
      </w:r>
      <w:r w:rsidRPr="002B38D0">
        <w:rPr>
          <w:i/>
        </w:rPr>
        <w:t>rate of bone loss</w:t>
      </w:r>
      <w:r>
        <w:t xml:space="preserve"> in post-menopausal women without breast cancer and i</w:t>
      </w:r>
      <w:r w:rsidR="005D1071">
        <w:t>n women on long-term glucocortic</w:t>
      </w:r>
      <w:r>
        <w:t xml:space="preserve">oid therapy. </w:t>
      </w:r>
    </w:p>
    <w:p w:rsidR="00555B5C" w:rsidRDefault="00555B5C" w:rsidP="007115B0">
      <w:r>
        <w:t xml:space="preserve">Bone loss is part of normal ageing. Bone mass peaks </w:t>
      </w:r>
      <w:r w:rsidR="002B38D0">
        <w:t>when an individual reaches</w:t>
      </w:r>
      <w:r>
        <w:t xml:space="preserve"> 25-30 years, stabilises until age 40 years and declines thereafter. Bone mass generally peaks earlier in men than women and after approximately age 40, it is observed to decrease 6-10% in the decade up to 50 years</w:t>
      </w:r>
      <w:r w:rsidR="00F41778">
        <w:t xml:space="preserve"> </w:t>
      </w:r>
      <w:r w:rsidR="00F41778">
        <w:fldChar w:fldCharType="begin"/>
      </w:r>
      <w:r w:rsidR="00F41778">
        <w:instrText xml:space="preserve"> ADDIN EN.CITE &lt;EndNote&gt;&lt;Cite&gt;&lt;Author&gt;O&amp;apos;Flaherty&lt;/Author&gt;&lt;Year&gt;2000&lt;/Year&gt;&lt;RecNum&gt;256&lt;/RecNum&gt;&lt;DisplayText&gt;(O&amp;apos;Flaherty 2000)&lt;/DisplayText&gt;&lt;record&gt;&lt;rec-number&gt;256&lt;/rec-number&gt;&lt;foreign-keys&gt;&lt;key app="EN" db-id="v9edw0zeqvve5nedzvjx29f1df2z2tvpvw55" timestamp="1398313424"&gt;256&lt;/key&gt;&lt;/foreign-keys&gt;&lt;ref-type name="Journal Article"&gt;17&lt;/ref-type&gt;&lt;contributors&gt;&lt;authors&gt;&lt;author&gt;O&amp;apos;Flaherty, E. J.&lt;/author&gt;&lt;/authors&gt;&lt;/contributors&gt;&lt;titles&gt;&lt;title&gt;Modeling normal aging bone loss, with consideration of bone loss in osteoporosis&lt;/title&gt;&lt;secondary-title&gt;Toxicol Sci.&lt;/secondary-title&gt;&lt;/titles&gt;&lt;periodical&gt;&lt;full-title&gt;Toxicol Sci.&lt;/full-title&gt;&lt;/periodical&gt;&lt;pages&gt;171-88.&lt;/pages&gt;&lt;volume&gt;55&lt;/volume&gt;&lt;number&gt;1&lt;/number&gt;&lt;keywords&gt;&lt;keyword&gt;2P299V784P (Lead)&lt;/keyword&gt;&lt;keyword&gt;Aged&lt;/keyword&gt;&lt;keyword&gt;Female&lt;/keyword&gt;&lt;keyword&gt;Humans&lt;/keyword&gt;&lt;keyword&gt;Ilium/drug effects/metabolism/pathology&lt;/keyword&gt;&lt;keyword&gt;Lead/blood/pharmacokinetics&lt;/keyword&gt;&lt;keyword&gt;Male&lt;/keyword&gt;&lt;keyword&gt;Models, Biological&lt;/keyword&gt;&lt;keyword&gt;Osteoporosis/*pathology&lt;/keyword&gt;&lt;keyword&gt;Sex Characteristics&lt;/keyword&gt;&lt;keyword&gt;Software&lt;/keyword&gt;&lt;/keywords&gt;&lt;dates&gt;&lt;year&gt;2000&lt;/year&gt;&lt;pub-dates&gt;&lt;date&gt;May&lt;/date&gt;&lt;/pub-dates&gt;&lt;/dates&gt;&lt;isbn&gt;1096-6080 (Print)&amp;#xD;1096-0929 (Linking)&lt;/isbn&gt;&lt;urls&gt;&lt;/urls&gt;&lt;/record&gt;&lt;/Cite&gt;&lt;/EndNote&gt;</w:instrText>
      </w:r>
      <w:r w:rsidR="00F41778">
        <w:fldChar w:fldCharType="separate"/>
      </w:r>
      <w:r w:rsidR="00F41778">
        <w:rPr>
          <w:noProof/>
        </w:rPr>
        <w:t>(</w:t>
      </w:r>
      <w:hyperlink w:anchor="_ENREF_49" w:tooltip="O'Flaherty, 2000 #256" w:history="1">
        <w:r w:rsidR="006F79C1">
          <w:rPr>
            <w:noProof/>
          </w:rPr>
          <w:t>O'Flaherty 2000</w:t>
        </w:r>
      </w:hyperlink>
      <w:r w:rsidR="00F41778">
        <w:rPr>
          <w:noProof/>
        </w:rPr>
        <w:t>)</w:t>
      </w:r>
      <w:r w:rsidR="00F41778">
        <w:fldChar w:fldCharType="end"/>
      </w:r>
      <w:r>
        <w:t xml:space="preserve">.  The rate of bone loss in older people is a determinant of peak bone mass, diet and calcium intake, exercise and genetic factors. </w:t>
      </w:r>
      <w:r w:rsidR="000B20C1">
        <w:t>The rate of bone loss is a function of either a failure of bone formation</w:t>
      </w:r>
      <w:r w:rsidR="002B38D0">
        <w:t xml:space="preserve"> and/</w:t>
      </w:r>
      <w:r w:rsidR="000B20C1">
        <w:t xml:space="preserve">or bone resorption processes. </w:t>
      </w:r>
      <w:r>
        <w:t xml:space="preserve">These various factors </w:t>
      </w:r>
      <w:r w:rsidR="000B20C1">
        <w:t>mean</w:t>
      </w:r>
      <w:r>
        <w:t xml:space="preserve"> that t</w:t>
      </w:r>
      <w:r w:rsidR="00264D99">
        <w:t xml:space="preserve">he rate of bone loss varies by person. </w:t>
      </w:r>
      <w:r w:rsidR="000B20C1">
        <w:t>Bone loss is also not uniformly distributed across bone sites and more rapid loss often occurs in trabecular bone</w:t>
      </w:r>
      <w:r w:rsidR="00F41778">
        <w:t xml:space="preserve"> </w:t>
      </w:r>
      <w:r w:rsidR="00F41778">
        <w:fldChar w:fldCharType="begin"/>
      </w:r>
      <w:r w:rsidR="00F41778">
        <w:instrText xml:space="preserve"> ADDIN EN.CITE &lt;EndNote&gt;&lt;Cite&gt;&lt;Author&gt;O&amp;apos;Flaherty&lt;/Author&gt;&lt;Year&gt;2000&lt;/Year&gt;&lt;RecNum&gt;256&lt;/RecNum&gt;&lt;DisplayText&gt;(O&amp;apos;Flaherty 2000)&lt;/DisplayText&gt;&lt;record&gt;&lt;rec-number&gt;256&lt;/rec-number&gt;&lt;foreign-keys&gt;&lt;key app="EN" db-id="v9edw0zeqvve5nedzvjx29f1df2z2tvpvw55" timestamp="1398313424"&gt;256&lt;/key&gt;&lt;/foreign-keys&gt;&lt;ref-type name="Journal Article"&gt;17&lt;/ref-type&gt;&lt;contributors&gt;&lt;authors&gt;&lt;author&gt;O&amp;apos;Flaherty, E. J.&lt;/author&gt;&lt;/authors&gt;&lt;/contributors&gt;&lt;titles&gt;&lt;title&gt;Modeling normal aging bone loss, with consideration of bone loss in osteoporosis&lt;/title&gt;&lt;secondary-title&gt;Toxicol Sci.&lt;/secondary-title&gt;&lt;/titles&gt;&lt;periodical&gt;&lt;full-title&gt;Toxicol Sci.&lt;/full-title&gt;&lt;/periodical&gt;&lt;pages&gt;171-88.&lt;/pages&gt;&lt;volume&gt;55&lt;/volume&gt;&lt;number&gt;1&lt;/number&gt;&lt;keywords&gt;&lt;keyword&gt;2P299V784P (Lead)&lt;/keyword&gt;&lt;keyword&gt;Aged&lt;/keyword&gt;&lt;keyword&gt;Female&lt;/keyword&gt;&lt;keyword&gt;Humans&lt;/keyword&gt;&lt;keyword&gt;Ilium/drug effects/metabolism/pathology&lt;/keyword&gt;&lt;keyword&gt;Lead/blood/pharmacokinetics&lt;/keyword&gt;&lt;keyword&gt;Male&lt;/keyword&gt;&lt;keyword&gt;Models, Biological&lt;/keyword&gt;&lt;keyword&gt;Osteoporosis/*pathology&lt;/keyword&gt;&lt;keyword&gt;Sex Characteristics&lt;/keyword&gt;&lt;keyword&gt;Software&lt;/keyword&gt;&lt;/keywords&gt;&lt;dates&gt;&lt;year&gt;2000&lt;/year&gt;&lt;pub-dates&gt;&lt;date&gt;May&lt;/date&gt;&lt;/pub-dates&gt;&lt;/dates&gt;&lt;isbn&gt;1096-6080 (Print)&amp;#xD;1096-0929 (Linking)&lt;/isbn&gt;&lt;urls&gt;&lt;/urls&gt;&lt;/record&gt;&lt;/Cite&gt;&lt;/EndNote&gt;</w:instrText>
      </w:r>
      <w:r w:rsidR="00F41778">
        <w:fldChar w:fldCharType="separate"/>
      </w:r>
      <w:r w:rsidR="00F41778">
        <w:rPr>
          <w:noProof/>
        </w:rPr>
        <w:t>(</w:t>
      </w:r>
      <w:hyperlink w:anchor="_ENREF_49" w:tooltip="O'Flaherty, 2000 #256" w:history="1">
        <w:r w:rsidR="006F79C1">
          <w:rPr>
            <w:noProof/>
          </w:rPr>
          <w:t>O'Flaherty 2000</w:t>
        </w:r>
      </w:hyperlink>
      <w:r w:rsidR="00F41778">
        <w:rPr>
          <w:noProof/>
        </w:rPr>
        <w:t>)</w:t>
      </w:r>
      <w:r w:rsidR="00F41778">
        <w:fldChar w:fldCharType="end"/>
      </w:r>
      <w:r w:rsidR="000B20C1">
        <w:t>.</w:t>
      </w:r>
    </w:p>
    <w:p w:rsidR="000B20C1" w:rsidRDefault="00513350" w:rsidP="007115B0">
      <w:r>
        <w:t>M</w:t>
      </w:r>
      <w:r w:rsidR="000B20C1">
        <w:t xml:space="preserve">enopause </w:t>
      </w:r>
      <w:r>
        <w:t xml:space="preserve">occurs naturally </w:t>
      </w:r>
      <w:r w:rsidR="000B20C1">
        <w:t xml:space="preserve">for women </w:t>
      </w:r>
      <w:r>
        <w:t>after the age of 45</w:t>
      </w:r>
      <w:r w:rsidR="000B20C1">
        <w:t xml:space="preserve">. </w:t>
      </w:r>
      <w:r w:rsidR="002B38D0">
        <w:t>O</w:t>
      </w:r>
      <w:r w:rsidR="007115B0">
        <w:t xml:space="preserve">n average, a woman loses </w:t>
      </w:r>
      <w:r w:rsidR="000B20C1">
        <w:t>7-</w:t>
      </w:r>
      <w:r w:rsidR="007115B0">
        <w:t xml:space="preserve">10% of her </w:t>
      </w:r>
      <w:r w:rsidR="000B20C1">
        <w:t xml:space="preserve">lumbar spine </w:t>
      </w:r>
      <w:r w:rsidR="007115B0">
        <w:t xml:space="preserve">bone density in the first </w:t>
      </w:r>
      <w:r>
        <w:t>five</w:t>
      </w:r>
      <w:r w:rsidR="007115B0">
        <w:t xml:space="preserve"> years </w:t>
      </w:r>
      <w:r>
        <w:t>of</w:t>
      </w:r>
      <w:r w:rsidR="007115B0">
        <w:t xml:space="preserve"> menopause</w:t>
      </w:r>
      <w:r w:rsidR="00F41778">
        <w:t xml:space="preserve"> </w:t>
      </w:r>
      <w:r w:rsidR="00F41778">
        <w:fldChar w:fldCharType="begin"/>
      </w:r>
      <w:r w:rsidR="00F41778">
        <w:instrText xml:space="preserve"> ADDIN EN.CITE &lt;EndNote&gt;&lt;Cite&gt;&lt;Author&gt;Finkelstein&lt;/Author&gt;&lt;Year&gt;2008&lt;/Year&gt;&lt;RecNum&gt;257&lt;/RecNum&gt;&lt;DisplayText&gt;(Finkelstein, Brockwell et al. 2008)&lt;/DisplayText&gt;&lt;record&gt;&lt;rec-number&gt;257&lt;/rec-number&gt;&lt;foreign-keys&gt;&lt;key app="EN" db-id="v9edw0zeqvve5nedzvjx29f1df2z2tvpvw55" timestamp="1398313574"&gt;257&lt;/key&gt;&lt;/foreign-keys&gt;&lt;ref-type name="Journal Article"&gt;17&lt;/ref-type&gt;&lt;contributors&gt;&lt;authors&gt;&lt;author&gt;Finkelstein, J. S.&lt;/author&gt;&lt;author&gt;Brockwell, S. E.&lt;/author&gt;&lt;author&gt;Mehta, V.&lt;/author&gt;&lt;author&gt;Greendale, G. A.&lt;/author&gt;&lt;author&gt;Sowers, M. R.&lt;/author&gt;&lt;author&gt;Ettinger, B.&lt;/author&gt;&lt;author&gt;Lo, J. C.&lt;/author&gt;&lt;author&gt;Johnston, J. M.&lt;/author&gt;&lt;author&gt;Cauley, J. A.&lt;/author&gt;&lt;author&gt;Danielson, M. E.&lt;/author&gt;&lt;author&gt;Neer, R. M.&lt;/author&gt;&lt;/authors&gt;&lt;/contributors&gt;&lt;titles&gt;&lt;title&gt;Bone mineral density changes during the menopause transition in a multiethnic cohort of women&lt;/title&gt;&lt;secondary-title&gt;J Clin Endocrinol Metab.&lt;/secondary-title&gt;&lt;/titles&gt;&lt;periodical&gt;&lt;full-title&gt;J Clin Endocrinol Metab.&lt;/full-title&gt;&lt;/periodical&gt;&lt;pages&gt;861-8. Epub 2007 Dec 26.&lt;/pages&gt;&lt;volume&gt;93&lt;/volume&gt;&lt;number&gt;3&lt;/number&gt;&lt;keywords&gt;&lt;keyword&gt;African Americans&lt;/keyword&gt;&lt;keyword&gt;Asian Continental Ancestry Group&lt;/keyword&gt;&lt;keyword&gt;Body Weight&lt;/keyword&gt;&lt;keyword&gt;*Bone Density&lt;/keyword&gt;&lt;keyword&gt;Cohort Studies&lt;/keyword&gt;&lt;keyword&gt;European Continental Ancestry Group&lt;/keyword&gt;&lt;keyword&gt;Female&lt;/keyword&gt;&lt;keyword&gt;Humans&lt;/keyword&gt;&lt;keyword&gt;Longitudinal Studies&lt;/keyword&gt;&lt;keyword&gt;Menopause/*ethnology&lt;/keyword&gt;&lt;keyword&gt;Middle Aged&lt;/keyword&gt;&lt;/keywords&gt;&lt;dates&gt;&lt;year&gt;2008&lt;/year&gt;&lt;pub-dates&gt;&lt;date&gt;Mar&lt;/date&gt;&lt;/pub-dates&gt;&lt;/dates&gt;&lt;isbn&gt;0021-972X (Print)&amp;#xD;0021-972X (Linking)&lt;/isbn&gt;&lt;work-type&gt;Research Support, N.I.H., Extramural&lt;/work-type&gt;&lt;urls&gt;&lt;/urls&gt;&lt;/record&gt;&lt;/Cite&gt;&lt;/EndNote&gt;</w:instrText>
      </w:r>
      <w:r w:rsidR="00F41778">
        <w:fldChar w:fldCharType="separate"/>
      </w:r>
      <w:r w:rsidR="00F41778">
        <w:rPr>
          <w:noProof/>
        </w:rPr>
        <w:t>(</w:t>
      </w:r>
      <w:hyperlink w:anchor="_ENREF_17" w:tooltip="Finkelstein, 2008 #257" w:history="1">
        <w:r w:rsidR="006F79C1">
          <w:rPr>
            <w:noProof/>
          </w:rPr>
          <w:t>Finkelstein, Brockwell et al. 2008</w:t>
        </w:r>
      </w:hyperlink>
      <w:r w:rsidR="00F41778">
        <w:rPr>
          <w:noProof/>
        </w:rPr>
        <w:t>)</w:t>
      </w:r>
      <w:r w:rsidR="00F41778">
        <w:fldChar w:fldCharType="end"/>
      </w:r>
      <w:r w:rsidR="007115B0">
        <w:t xml:space="preserve">. </w:t>
      </w:r>
      <w:r w:rsidR="000B20C1">
        <w:t xml:space="preserve">Body weight is </w:t>
      </w:r>
      <w:r w:rsidR="001D6585">
        <w:t>a strong predictor of bone density and it is</w:t>
      </w:r>
      <w:r w:rsidR="000B20C1">
        <w:t xml:space="preserve"> independent </w:t>
      </w:r>
      <w:r w:rsidR="001D6585">
        <w:t>from</w:t>
      </w:r>
      <w:r w:rsidR="000B20C1">
        <w:t xml:space="preserve"> ethnicity</w:t>
      </w:r>
      <w:r w:rsidR="00F41778">
        <w:t xml:space="preserve"> </w:t>
      </w:r>
      <w:r w:rsidR="00F41778">
        <w:fldChar w:fldCharType="begin"/>
      </w:r>
      <w:r w:rsidR="00F41778">
        <w:instrText xml:space="preserve"> ADDIN EN.CITE &lt;EndNote&gt;&lt;Cite&gt;&lt;Author&gt;Finkelstein&lt;/Author&gt;&lt;Year&gt;2008&lt;/Year&gt;&lt;RecNum&gt;257&lt;/RecNum&gt;&lt;DisplayText&gt;(Finkelstein, Brockwell et al. 2008)&lt;/DisplayText&gt;&lt;record&gt;&lt;rec-number&gt;257&lt;/rec-number&gt;&lt;foreign-keys&gt;&lt;key app="EN" db-id="v9edw0zeqvve5nedzvjx29f1df2z2tvpvw55" timestamp="1398313574"&gt;257&lt;/key&gt;&lt;/foreign-keys&gt;&lt;ref-type name="Journal Article"&gt;17&lt;/ref-type&gt;&lt;contributors&gt;&lt;authors&gt;&lt;author&gt;Finkelstein, J. S.&lt;/author&gt;&lt;author&gt;Brockwell, S. E.&lt;/author&gt;&lt;author&gt;Mehta, V.&lt;/author&gt;&lt;author&gt;Greendale, G. A.&lt;/author&gt;&lt;author&gt;Sowers, M. R.&lt;/author&gt;&lt;author&gt;Ettinger, B.&lt;/author&gt;&lt;author&gt;Lo, J. C.&lt;/author&gt;&lt;author&gt;Johnston, J. M.&lt;/author&gt;&lt;author&gt;Cauley, J. A.&lt;/author&gt;&lt;author&gt;Danielson, M. E.&lt;/author&gt;&lt;author&gt;Neer, R. M.&lt;/author&gt;&lt;/authors&gt;&lt;/contributors&gt;&lt;titles&gt;&lt;title&gt;Bone mineral density changes during the menopause transition in a multiethnic cohort of women&lt;/title&gt;&lt;secondary-title&gt;J Clin Endocrinol Metab.&lt;/secondary-title&gt;&lt;/titles&gt;&lt;periodical&gt;&lt;full-title&gt;J Clin Endocrinol Metab.&lt;/full-title&gt;&lt;/periodical&gt;&lt;pages&gt;861-8. Epub 2007 Dec 26.&lt;/pages&gt;&lt;volume&gt;93&lt;/volume&gt;&lt;number&gt;3&lt;/number&gt;&lt;keywords&gt;&lt;keyword&gt;African Americans&lt;/keyword&gt;&lt;keyword&gt;Asian Continental Ancestry Group&lt;/keyword&gt;&lt;keyword&gt;Body Weight&lt;/keyword&gt;&lt;keyword&gt;*Bone Density&lt;/keyword&gt;&lt;keyword&gt;Cohort Studies&lt;/keyword&gt;&lt;keyword&gt;European Continental Ancestry Group&lt;/keyword&gt;&lt;keyword&gt;Female&lt;/keyword&gt;&lt;keyword&gt;Humans&lt;/keyword&gt;&lt;keyword&gt;Longitudinal Studies&lt;/keyword&gt;&lt;keyword&gt;Menopause/*ethnology&lt;/keyword&gt;&lt;keyword&gt;Middle Aged&lt;/keyword&gt;&lt;/keywords&gt;&lt;dates&gt;&lt;year&gt;2008&lt;/year&gt;&lt;pub-dates&gt;&lt;date&gt;Mar&lt;/date&gt;&lt;/pub-dates&gt;&lt;/dates&gt;&lt;isbn&gt;0021-972X (Print)&amp;#xD;0021-972X (Linking)&lt;/isbn&gt;&lt;work-type&gt;Research Support, N.I.H., Extramural&lt;/work-type&gt;&lt;urls&gt;&lt;/urls&gt;&lt;/record&gt;&lt;/Cite&gt;&lt;/EndNote&gt;</w:instrText>
      </w:r>
      <w:r w:rsidR="00F41778">
        <w:fldChar w:fldCharType="separate"/>
      </w:r>
      <w:r w:rsidR="00F41778">
        <w:rPr>
          <w:noProof/>
        </w:rPr>
        <w:t>(</w:t>
      </w:r>
      <w:hyperlink w:anchor="_ENREF_17" w:tooltip="Finkelstein, 2008 #257" w:history="1">
        <w:r w:rsidR="006F79C1">
          <w:rPr>
            <w:noProof/>
          </w:rPr>
          <w:t>Finkelstein, Brockwell et al. 2008</w:t>
        </w:r>
      </w:hyperlink>
      <w:r w:rsidR="00F41778">
        <w:rPr>
          <w:noProof/>
        </w:rPr>
        <w:t>)</w:t>
      </w:r>
      <w:r w:rsidR="00F41778">
        <w:fldChar w:fldCharType="end"/>
      </w:r>
      <w:r w:rsidR="000B20C1">
        <w:t xml:space="preserve">. </w:t>
      </w:r>
      <w:r w:rsidR="007115B0">
        <w:t xml:space="preserve">Women with established menopause have slower rates of bone loss than in early menopause. </w:t>
      </w:r>
    </w:p>
    <w:p w:rsidR="00513350" w:rsidRDefault="00513350" w:rsidP="007115B0">
      <w:r>
        <w:t>In a meta-analysis of corticosteroid use and fracture risk</w:t>
      </w:r>
      <w:r w:rsidR="00F220C1">
        <w:t xml:space="preserve"> </w:t>
      </w:r>
      <w:r w:rsidR="00F220C1">
        <w:fldChar w:fldCharType="begin"/>
      </w:r>
      <w:r w:rsidR="00F220C1">
        <w:instrText xml:space="preserve"> ADDIN EN.CITE &lt;EndNote&gt;&lt;Cite&gt;&lt;Author&gt;Kanis&lt;/Author&gt;&lt;Year&gt;2004&lt;/Year&gt;&lt;RecNum&gt;261&lt;/RecNum&gt;&lt;DisplayText&gt;(Kanis, Johansson et al. 2004)&lt;/DisplayText&gt;&lt;record&gt;&lt;rec-number&gt;261&lt;/rec-number&gt;&lt;foreign-keys&gt;&lt;key app="EN" db-id="v9edw0zeqvve5nedzvjx29f1df2z2tvpvw55" timestamp="1398315119"&gt;261&lt;/key&gt;&lt;/foreign-keys&gt;&lt;ref-type name="Journal Article"&gt;17&lt;/ref-type&gt;&lt;contributors&gt;&lt;authors&gt;&lt;author&gt;Kanis, J. A.&lt;/author&gt;&lt;author&gt;Johansson, H.&lt;/author&gt;&lt;author&gt;Oden, A.&lt;/author&gt;&lt;author&gt;Johnell, O.&lt;/author&gt;&lt;author&gt;de Laet, C.&lt;/author&gt;&lt;author&gt;Melton, Iii Lj&lt;/author&gt;&lt;author&gt;Tenenhouse, A.&lt;/author&gt;&lt;author&gt;Reeve, J.&lt;/author&gt;&lt;author&gt;Silman, A. J.&lt;/author&gt;&lt;author&gt;Pols, H. A.&lt;/author&gt;&lt;author&gt;Eisman, J. A.&lt;/author&gt;&lt;author&gt;McCloskey, E. V.&lt;/author&gt;&lt;author&gt;Mellstrom, D.&lt;/author&gt;&lt;/authors&gt;&lt;/contributors&gt;&lt;titles&gt;&lt;title&gt;A meta-analysis of prior corticosteroid use and fracture risk&lt;/title&gt;&lt;secondary-title&gt;J Bone Miner Res.&lt;/secondary-title&gt;&lt;/titles&gt;&lt;periodical&gt;&lt;full-title&gt;J Bone Miner Res.&lt;/full-title&gt;&lt;/periodical&gt;&lt;pages&gt;893-9. Epub 2004 Jan 27.&lt;/pages&gt;&lt;volume&gt;19&lt;/volume&gt;&lt;number&gt;6&lt;/number&gt;&lt;keywords&gt;&lt;keyword&gt;0 (Adrenal Cortex Hormones)&lt;/keyword&gt;&lt;keyword&gt;Adrenal Cortex Hormones/*administration &amp;amp; dosage&lt;/keyword&gt;&lt;keyword&gt;Aged&lt;/keyword&gt;&lt;keyword&gt;Female&lt;/keyword&gt;&lt;keyword&gt;Fractures, Bone/*chemically induced&lt;/keyword&gt;&lt;keyword&gt;Humans&lt;/keyword&gt;&lt;keyword&gt;Male&lt;/keyword&gt;&lt;keyword&gt;Middle Aged&lt;/keyword&gt;&lt;keyword&gt;Prospective Studies&lt;/keyword&gt;&lt;keyword&gt;Risk Factors&lt;/keyword&gt;&lt;/keywords&gt;&lt;dates&gt;&lt;year&gt;2004&lt;/year&gt;&lt;pub-dates&gt;&lt;date&gt;Jun&lt;/date&gt;&lt;/pub-dates&gt;&lt;/dates&gt;&lt;isbn&gt;0884-0431 (Print)&amp;#xD;0884-0431 (Linking)&lt;/isbn&gt;&lt;work-type&gt;Meta-Analysis&amp;#xD;Research Support, Non-U.S. Gov&amp;apos;t&lt;/work-type&gt;&lt;urls&gt;&lt;/urls&gt;&lt;/record&gt;&lt;/Cite&gt;&lt;/EndNote&gt;</w:instrText>
      </w:r>
      <w:r w:rsidR="00F220C1">
        <w:fldChar w:fldCharType="separate"/>
      </w:r>
      <w:r w:rsidR="00F220C1">
        <w:rPr>
          <w:noProof/>
        </w:rPr>
        <w:t>(</w:t>
      </w:r>
      <w:hyperlink w:anchor="_ENREF_29" w:tooltip="Kanis, 2004 #261" w:history="1">
        <w:r w:rsidR="006F79C1">
          <w:rPr>
            <w:noProof/>
          </w:rPr>
          <w:t>Kanis, Johansson et al. 2004</w:t>
        </w:r>
      </w:hyperlink>
      <w:r w:rsidR="00F220C1">
        <w:rPr>
          <w:noProof/>
        </w:rPr>
        <w:t>)</w:t>
      </w:r>
      <w:r w:rsidR="00F220C1">
        <w:fldChar w:fldCharType="end"/>
      </w:r>
      <w:r>
        <w:t xml:space="preserve">, involving 42,500 men and women from seven prospectively studied cohorts, previous corticosteroid use was associated with a significantly increased risk of fracture. The relationship </w:t>
      </w:r>
      <w:r w:rsidR="001D6585">
        <w:t xml:space="preserve">between corticosteroid use and fracture risk </w:t>
      </w:r>
      <w:r>
        <w:t>was linear and increased with age, and independent of BMD. In an Australian study of young adults (20-49 years), glucocorticoid use was the most common reason for referral to DXA among women</w:t>
      </w:r>
      <w:r w:rsidR="00F220C1">
        <w:t xml:space="preserve"> </w:t>
      </w:r>
      <w:r w:rsidR="00F220C1">
        <w:fldChar w:fldCharType="begin"/>
      </w:r>
      <w:r w:rsidR="00F220C1">
        <w:instrText xml:space="preserve"> ADDIN EN.CITE &lt;EndNote&gt;&lt;Cite&gt;&lt;Author&gt;Torpy&lt;/Author&gt;&lt;Year&gt;2012&lt;/Year&gt;&lt;RecNum&gt;111&lt;/RecNum&gt;&lt;DisplayText&gt;(Torpy, Brennan et al. 2012)&lt;/DisplayText&gt;&lt;record&gt;&lt;rec-number&gt;111&lt;/rec-number&gt;&lt;foreign-keys&gt;&lt;key app="EN" db-id="v9edw0zeqvve5nedzvjx29f1df2z2tvpvw55" timestamp="1396841366"&gt;111&lt;/key&gt;&lt;/foreign-keys&gt;&lt;ref-type name="Journal Article"&gt;17&lt;/ref-type&gt;&lt;contributors&gt;&lt;authors&gt;&lt;author&gt;Torpy, A. M.&lt;/author&gt;&lt;author&gt;Brennan, S. L.&lt;/author&gt;&lt;author&gt;Kotowicz, M. A.&lt;/author&gt;&lt;author&gt;Pasco, J. A.&lt;/author&gt;&lt;/authors&gt;&lt;/contributors&gt;&lt;titles&gt;&lt;title&gt;Reasons for referral to bone densitometry in men and women aged 20-49 years: population-based data&lt;/title&gt;&lt;secondary-title&gt;Arch Osteoporos.&lt;/secondary-title&gt;&lt;/titles&gt;&lt;periodical&gt;&lt;full-title&gt;Arch Osteoporos.&lt;/full-title&gt;&lt;/periodical&gt;&lt;pages&gt;173-8. doi: 10.1007/s11657-012-0094-z. Epub 2012 Aug 29.&lt;/pages&gt;&lt;volume&gt;7&lt;/volume&gt;&lt;number&gt;1-2&lt;/number&gt;&lt;keywords&gt;&lt;keyword&gt;0 (Glucocorticoids)&lt;/keyword&gt;&lt;keyword&gt;Absorptiometry, Photon/*utilization&lt;/keyword&gt;&lt;keyword&gt;Adult&lt;/keyword&gt;&lt;keyword&gt;Age Distribution&lt;/keyword&gt;&lt;keyword&gt;Bone Diseases, Metabolic/*epidemiology/*radiography&lt;/keyword&gt;&lt;keyword&gt;Drug Monitoring/utilization&lt;/keyword&gt;&lt;keyword&gt;Female&lt;/keyword&gt;&lt;keyword&gt;Fractures, Bone/epidemiology/radiography&lt;/keyword&gt;&lt;keyword&gt;Glucocorticoids/therapeutic use&lt;/keyword&gt;&lt;keyword&gt;Humans&lt;/keyword&gt;&lt;keyword&gt;Male&lt;/keyword&gt;&lt;keyword&gt;Middle Aged&lt;/keyword&gt;&lt;keyword&gt;Osteoporosis/epidemiology/radiography&lt;/keyword&gt;&lt;keyword&gt;Referral and Consultation/*utilization&lt;/keyword&gt;&lt;keyword&gt;Risk Factors&lt;/keyword&gt;&lt;keyword&gt;Sex Distribution&lt;/keyword&gt;&lt;keyword&gt;Victoria/epidemiology&lt;/keyword&gt;&lt;keyword&gt;Young Adult&lt;/keyword&gt;&lt;/keywords&gt;&lt;dates&gt;&lt;year&gt;2012&lt;/year&gt;&lt;pub-dates&gt;&lt;date&gt;Dec&lt;/date&gt;&lt;/pub-dates&gt;&lt;/dates&gt;&lt;isbn&gt;1862-3514 (Electronic)&lt;/isbn&gt;&lt;work-type&gt;Research Support, Non-U.S. Gov&amp;apos;t&lt;/work-type&gt;&lt;urls&gt;&lt;/urls&gt;&lt;/record&gt;&lt;/Cite&gt;&lt;/EndNote&gt;</w:instrText>
      </w:r>
      <w:r w:rsidR="00F220C1">
        <w:fldChar w:fldCharType="separate"/>
      </w:r>
      <w:r w:rsidR="00F220C1">
        <w:rPr>
          <w:noProof/>
        </w:rPr>
        <w:t>(</w:t>
      </w:r>
      <w:hyperlink w:anchor="_ENREF_60" w:tooltip="Torpy, 2012 #111" w:history="1">
        <w:r w:rsidR="006F79C1">
          <w:rPr>
            <w:noProof/>
          </w:rPr>
          <w:t>Torpy, Brennan et al. 2012</w:t>
        </w:r>
      </w:hyperlink>
      <w:r w:rsidR="00F220C1">
        <w:rPr>
          <w:noProof/>
        </w:rPr>
        <w:t>)</w:t>
      </w:r>
      <w:r w:rsidR="00F220C1">
        <w:fldChar w:fldCharType="end"/>
      </w:r>
      <w:r>
        <w:t>.</w:t>
      </w:r>
    </w:p>
    <w:p w:rsidR="007115B0" w:rsidRDefault="007115B0" w:rsidP="007115B0">
      <w:r>
        <w:t xml:space="preserve">Figure </w:t>
      </w:r>
      <w:r w:rsidR="00700BEE">
        <w:t>6</w:t>
      </w:r>
      <w:r>
        <w:t xml:space="preserve"> illustrates the relative bone mineral loss</w:t>
      </w:r>
      <w:r w:rsidR="00264D99">
        <w:t xml:space="preserve"> </w:t>
      </w:r>
      <w:r w:rsidR="002B38D0">
        <w:t xml:space="preserve">in the lumbar spine </w:t>
      </w:r>
      <w:r>
        <w:t xml:space="preserve">among groups of </w:t>
      </w:r>
      <w:r w:rsidR="002B38D0">
        <w:t>women</w:t>
      </w:r>
      <w:r>
        <w:t xml:space="preserve"> </w:t>
      </w:r>
      <w:r w:rsidR="00264D99">
        <w:t>over one year</w:t>
      </w:r>
      <w:r w:rsidR="002B38D0">
        <w:t xml:space="preserve">. </w:t>
      </w:r>
      <w:r>
        <w:t>As shown, unlike aromatase inhibitor therapy</w:t>
      </w:r>
      <w:r w:rsidR="000B20C1">
        <w:t xml:space="preserve"> alone</w:t>
      </w:r>
      <w:r>
        <w:t>, tamoxifen</w:t>
      </w:r>
      <w:r w:rsidR="000B20C1">
        <w:t xml:space="preserve"> alone</w:t>
      </w:r>
      <w:r>
        <w:t xml:space="preserve"> has an early favourable effect on bone formation post-menopaus</w:t>
      </w:r>
      <w:r w:rsidR="002B38D0">
        <w:t>e</w:t>
      </w:r>
      <w:r>
        <w:t xml:space="preserve"> but </w:t>
      </w:r>
      <w:r w:rsidR="000B20C1">
        <w:t xml:space="preserve">this is </w:t>
      </w:r>
      <w:r>
        <w:t xml:space="preserve">not </w:t>
      </w:r>
      <w:r w:rsidR="000B20C1">
        <w:t xml:space="preserve">the case in </w:t>
      </w:r>
      <w:r>
        <w:t>pre-menopausal women</w:t>
      </w:r>
      <w:r w:rsidR="000B20C1">
        <w:t xml:space="preserve"> (not shown)</w:t>
      </w:r>
      <w:r>
        <w:t>.</w:t>
      </w:r>
      <w:r w:rsidR="000B20C1">
        <w:t xml:space="preserve"> In addition,</w:t>
      </w:r>
      <w:r w:rsidR="002B38D0">
        <w:t xml:space="preserve"> evidence shows that</w:t>
      </w:r>
      <w:r w:rsidR="000B20C1">
        <w:t xml:space="preserve"> </w:t>
      </w:r>
      <w:r w:rsidR="001D6585">
        <w:t xml:space="preserve">anti-resorptives </w:t>
      </w:r>
      <w:r w:rsidR="000B20C1">
        <w:t xml:space="preserve">taken with aromatase inhibitor </w:t>
      </w:r>
      <w:r w:rsidR="001D6585">
        <w:t>results</w:t>
      </w:r>
      <w:r w:rsidR="002B38D0">
        <w:t xml:space="preserve"> in</w:t>
      </w:r>
      <w:r w:rsidR="000B20C1">
        <w:t xml:space="preserve"> bone gain</w:t>
      </w:r>
      <w:r w:rsidR="001D6585" w:rsidRPr="001D6585">
        <w:t xml:space="preserve"> </w:t>
      </w:r>
      <w:r w:rsidR="001D6585">
        <w:t>(shown here for zoledronic acid) (Figure 6)</w:t>
      </w:r>
      <w:r w:rsidR="000B20C1">
        <w:t>.</w:t>
      </w:r>
    </w:p>
    <w:p w:rsidR="007115B0" w:rsidRDefault="007115B0" w:rsidP="00B808EA">
      <w:pPr>
        <w:pStyle w:val="Figures"/>
      </w:pPr>
      <w:bookmarkStart w:id="98" w:name="_Toc386112709"/>
      <w:r w:rsidRPr="00F660E2">
        <w:lastRenderedPageBreak/>
        <w:t xml:space="preserve">Figure </w:t>
      </w:r>
      <w:r w:rsidR="00700BEE">
        <w:t>6</w:t>
      </w:r>
      <w:r w:rsidRPr="00F660E2">
        <w:t xml:space="preserve">: </w:t>
      </w:r>
      <w:r w:rsidR="00C51FD9">
        <w:t xml:space="preserve">One year % change in BMD (lumbar spine) in </w:t>
      </w:r>
      <w:r w:rsidR="00B808EA">
        <w:t>various populations</w:t>
      </w:r>
      <w:bookmarkEnd w:id="98"/>
    </w:p>
    <w:p w:rsidR="00C51FD9" w:rsidRPr="00F660E2" w:rsidRDefault="00C51FD9" w:rsidP="007115B0">
      <w:pPr>
        <w:pStyle w:val="TableText"/>
        <w:ind w:left="720"/>
        <w:rPr>
          <w:b/>
        </w:rPr>
      </w:pPr>
    </w:p>
    <w:p w:rsidR="00C51FD9" w:rsidRDefault="00C51FD9" w:rsidP="00192A3B">
      <w:pPr>
        <w:ind w:left="567"/>
        <w:rPr>
          <w:noProof/>
        </w:rPr>
      </w:pPr>
      <w:r>
        <w:rPr>
          <w:noProof/>
        </w:rPr>
        <w:drawing>
          <wp:inline distT="0" distB="0" distL="0" distR="0" wp14:anchorId="341E3CFA" wp14:editId="0716037D">
            <wp:extent cx="5731510" cy="2960055"/>
            <wp:effectExtent l="0" t="0" r="2540" b="0"/>
            <wp:docPr id="1" name="Picture 1" title="Fig 2 % change in BMD in various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BEBA8EAE-BF5A-486C-A8C5-ECC9F3942E4B}">
                          <a14:imgProps xmlns:a14="http://schemas.microsoft.com/office/drawing/2010/main">
                            <a14:imgLayer r:embed="rId44">
                              <a14:imgEffect>
                                <a14:sharpenSoften amount="25000"/>
                              </a14:imgEffect>
                            </a14:imgLayer>
                          </a14:imgProps>
                        </a:ext>
                      </a:extLst>
                    </a:blip>
                    <a:stretch>
                      <a:fillRect/>
                    </a:stretch>
                  </pic:blipFill>
                  <pic:spPr>
                    <a:xfrm>
                      <a:off x="0" y="0"/>
                      <a:ext cx="5731510" cy="2960055"/>
                    </a:xfrm>
                    <a:prstGeom prst="rect">
                      <a:avLst/>
                    </a:prstGeom>
                  </pic:spPr>
                </pic:pic>
              </a:graphicData>
            </a:graphic>
          </wp:inline>
        </w:drawing>
      </w:r>
    </w:p>
    <w:p w:rsidR="007115B0" w:rsidRDefault="007115B0" w:rsidP="00555B5C">
      <w:pPr>
        <w:spacing w:after="0"/>
        <w:rPr>
          <w:rFonts w:ascii="Arial Narrow" w:hAnsi="Arial Narrow" w:cs="Arial"/>
          <w:sz w:val="18"/>
          <w:szCs w:val="18"/>
        </w:rPr>
      </w:pPr>
      <w:r>
        <w:rPr>
          <w:rFonts w:ascii="Arial Narrow" w:hAnsi="Arial Narrow" w:cs="Arial"/>
          <w:sz w:val="18"/>
          <w:szCs w:val="18"/>
        </w:rPr>
        <w:t xml:space="preserve">AI = aromatase inhibitor, </w:t>
      </w:r>
      <w:r w:rsidRPr="00F660E2">
        <w:rPr>
          <w:rFonts w:ascii="Arial Narrow" w:hAnsi="Arial Narrow" w:cs="Arial"/>
          <w:sz w:val="18"/>
          <w:szCs w:val="18"/>
        </w:rPr>
        <w:t>BMD = bone mineral loss</w:t>
      </w:r>
    </w:p>
    <w:p w:rsidR="007115B0" w:rsidRPr="00F660E2" w:rsidRDefault="00555B5C" w:rsidP="00555B5C">
      <w:pPr>
        <w:spacing w:after="0"/>
        <w:rPr>
          <w:rFonts w:ascii="Arial Narrow" w:hAnsi="Arial Narrow" w:cs="Arial"/>
          <w:sz w:val="18"/>
          <w:szCs w:val="18"/>
        </w:rPr>
      </w:pPr>
      <w:r>
        <w:rPr>
          <w:rFonts w:ascii="Arial Narrow" w:hAnsi="Arial Narrow" w:cs="Arial"/>
          <w:sz w:val="18"/>
          <w:szCs w:val="18"/>
        </w:rPr>
        <w:t xml:space="preserve">Sources: </w:t>
      </w:r>
      <w:r w:rsidR="00104FF5">
        <w:rPr>
          <w:rFonts w:ascii="Arial Narrow" w:hAnsi="Arial Narrow" w:cs="Arial"/>
          <w:sz w:val="18"/>
          <w:szCs w:val="18"/>
        </w:rPr>
        <w:t xml:space="preserve">Figure adapted from Fig 2 </w:t>
      </w:r>
      <w:r w:rsidR="00F220C1">
        <w:rPr>
          <w:rFonts w:ascii="Arial Narrow" w:hAnsi="Arial Narrow" w:cs="Arial"/>
          <w:sz w:val="18"/>
          <w:szCs w:val="18"/>
        </w:rPr>
        <w:fldChar w:fldCharType="begin"/>
      </w:r>
      <w:r w:rsidR="00F220C1">
        <w:rPr>
          <w:rFonts w:ascii="Arial Narrow" w:hAnsi="Arial Narrow" w:cs="Arial"/>
          <w:sz w:val="18"/>
          <w:szCs w:val="18"/>
        </w:rPr>
        <w:instrText xml:space="preserve"> ADDIN EN.CITE &lt;EndNote&gt;&lt;Cite&gt;&lt;Author&gt;Bauer&lt;/Author&gt;&lt;Year&gt;2012&lt;/Year&gt;&lt;RecNum&gt;255&lt;/RecNum&gt;&lt;DisplayText&gt;(Bauer, Bryce et al. 2012)&lt;/DisplayText&gt;&lt;record&gt;&lt;rec-number&gt;255&lt;/rec-number&gt;&lt;foreign-keys&gt;&lt;key app="EN" db-id="v9edw0zeqvve5nedzvjx29f1df2z2tvpvw55" timestamp="1398313189"&gt;255&lt;/key&gt;&lt;/foreign-keys&gt;&lt;ref-type name="Journal Article"&gt;17&lt;/ref-type&gt;&lt;contributors&gt;&lt;authors&gt;&lt;author&gt;Bauer, M.&lt;/author&gt;&lt;author&gt;Bryce, J.&lt;/author&gt;&lt;author&gt;Hadji, P.&lt;/author&gt;&lt;/authors&gt;&lt;/contributors&gt;&lt;titles&gt;&lt;title&gt;Aromatase inhibitor-associated bone loss and its management with bisphosphonates in patients with breast cancer&lt;/title&gt;&lt;secondary-title&gt;Breast Cancer (Dove Med Press).&lt;/secondary-title&gt;&lt;/titles&gt;&lt;periodical&gt;&lt;full-title&gt;Breast Cancer (Dove Med Press).&lt;/full-title&gt;&lt;/periodical&gt;&lt;pages&gt;91-101. eCollection 2012.&lt;/pages&gt;&lt;volume&gt;4&lt;/volume&gt;&lt;dates&gt;&lt;year&gt;2012&lt;/year&gt;&lt;pub-dates&gt;&lt;date&gt;Jun 20&lt;/date&gt;&lt;/pub-dates&gt;&lt;/dates&gt;&lt;orig-pub&gt;aromatase inhibitors&amp;#xD;bisphosphonates&amp;#xD;bone loss&amp;#xD;breast cancer&amp;#xD;estrogen&lt;/orig-pub&gt;&lt;isbn&gt;1179-1314 (Print)&amp;#xD;1179-1314 (Linking)&lt;/isbn&gt;&lt;work-type&gt;Review&lt;/work-type&gt;&lt;urls&gt;&lt;/urls&gt;&lt;/record&gt;&lt;/Cite&gt;&lt;/EndNote&gt;</w:instrText>
      </w:r>
      <w:r w:rsidR="00F220C1">
        <w:rPr>
          <w:rFonts w:ascii="Arial Narrow" w:hAnsi="Arial Narrow" w:cs="Arial"/>
          <w:sz w:val="18"/>
          <w:szCs w:val="18"/>
        </w:rPr>
        <w:fldChar w:fldCharType="separate"/>
      </w:r>
      <w:r w:rsidR="00F220C1">
        <w:rPr>
          <w:rFonts w:ascii="Arial Narrow" w:hAnsi="Arial Narrow" w:cs="Arial"/>
          <w:noProof/>
          <w:sz w:val="18"/>
          <w:szCs w:val="18"/>
        </w:rPr>
        <w:t>(</w:t>
      </w:r>
      <w:hyperlink w:anchor="_ENREF_5" w:tooltip="Bauer, 2012 #255" w:history="1">
        <w:r w:rsidR="006F79C1">
          <w:rPr>
            <w:rFonts w:ascii="Arial Narrow" w:hAnsi="Arial Narrow" w:cs="Arial"/>
            <w:noProof/>
            <w:sz w:val="18"/>
            <w:szCs w:val="18"/>
          </w:rPr>
          <w:t>Bauer, Bryce et al. 2012</w:t>
        </w:r>
      </w:hyperlink>
      <w:r w:rsidR="00F220C1">
        <w:rPr>
          <w:rFonts w:ascii="Arial Narrow" w:hAnsi="Arial Narrow" w:cs="Arial"/>
          <w:noProof/>
          <w:sz w:val="18"/>
          <w:szCs w:val="18"/>
        </w:rPr>
        <w:t>)</w:t>
      </w:r>
      <w:r w:rsidR="00F220C1">
        <w:rPr>
          <w:rFonts w:ascii="Arial Narrow" w:hAnsi="Arial Narrow" w:cs="Arial"/>
          <w:sz w:val="18"/>
          <w:szCs w:val="18"/>
        </w:rPr>
        <w:fldChar w:fldCharType="end"/>
      </w:r>
      <w:r w:rsidR="00F220C1">
        <w:rPr>
          <w:rFonts w:ascii="Arial Narrow" w:hAnsi="Arial Narrow" w:cs="Arial"/>
          <w:sz w:val="18"/>
          <w:szCs w:val="18"/>
        </w:rPr>
        <w:t xml:space="preserve">. </w:t>
      </w:r>
      <w:r w:rsidR="00F220C1">
        <w:rPr>
          <w:rFonts w:ascii="Arial Narrow" w:hAnsi="Arial Narrow" w:cs="Arial"/>
          <w:sz w:val="18"/>
          <w:szCs w:val="18"/>
        </w:rPr>
        <w:fldChar w:fldCharType="begin">
          <w:fldData xml:space="preserve">PEVuZE5vdGU+PENpdGU+PEF1dGhvcj5PJmFwb3M7RmxhaGVydHk8L0F1dGhvcj48WWVhcj4yMDAw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</w:fldData>
        </w:fldChar>
      </w:r>
      <w:r w:rsidR="00F220C1">
        <w:rPr>
          <w:rFonts w:ascii="Arial Narrow" w:hAnsi="Arial Narrow" w:cs="Arial"/>
          <w:sz w:val="18"/>
          <w:szCs w:val="18"/>
        </w:rPr>
        <w:instrText xml:space="preserve"> ADDIN EN.CITE </w:instrText>
      </w:r>
      <w:r w:rsidR="00F220C1">
        <w:rPr>
          <w:rFonts w:ascii="Arial Narrow" w:hAnsi="Arial Narrow" w:cs="Arial"/>
          <w:sz w:val="18"/>
          <w:szCs w:val="18"/>
        </w:rPr>
        <w:fldChar w:fldCharType="begin">
          <w:fldData xml:space="preserve">PEVuZE5vdGU+PENpdGU+PEF1dGhvcj5PJmFwb3M7RmxhaGVydHk8L0F1dGhvcj48WWVhcj4yMDAw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</w:fldData>
        </w:fldChar>
      </w:r>
      <w:r w:rsidR="00F220C1">
        <w:rPr>
          <w:rFonts w:ascii="Arial Narrow" w:hAnsi="Arial Narrow" w:cs="Arial"/>
          <w:sz w:val="18"/>
          <w:szCs w:val="18"/>
        </w:rPr>
        <w:instrText xml:space="preserve"> ADDIN EN.CITE.DATA </w:instrText>
      </w:r>
      <w:r w:rsidR="00F220C1">
        <w:rPr>
          <w:rFonts w:ascii="Arial Narrow" w:hAnsi="Arial Narrow" w:cs="Arial"/>
          <w:sz w:val="18"/>
          <w:szCs w:val="18"/>
        </w:rPr>
      </w:r>
      <w:r w:rsidR="00F220C1">
        <w:rPr>
          <w:rFonts w:ascii="Arial Narrow" w:hAnsi="Arial Narrow" w:cs="Arial"/>
          <w:sz w:val="18"/>
          <w:szCs w:val="18"/>
        </w:rPr>
        <w:fldChar w:fldCharType="end"/>
      </w:r>
      <w:r w:rsidR="00F220C1">
        <w:rPr>
          <w:rFonts w:ascii="Arial Narrow" w:hAnsi="Arial Narrow" w:cs="Arial"/>
          <w:sz w:val="18"/>
          <w:szCs w:val="18"/>
        </w:rPr>
      </w:r>
      <w:r w:rsidR="00F220C1">
        <w:rPr>
          <w:rFonts w:ascii="Arial Narrow" w:hAnsi="Arial Narrow" w:cs="Arial"/>
          <w:sz w:val="18"/>
          <w:szCs w:val="18"/>
        </w:rPr>
        <w:fldChar w:fldCharType="separate"/>
      </w:r>
      <w:r w:rsidR="00F220C1">
        <w:rPr>
          <w:rFonts w:ascii="Arial Narrow" w:hAnsi="Arial Narrow" w:cs="Arial"/>
          <w:noProof/>
          <w:sz w:val="18"/>
          <w:szCs w:val="18"/>
        </w:rPr>
        <w:t>(</w:t>
      </w:r>
      <w:hyperlink w:anchor="_ENREF_49" w:tooltip="O'Flaherty, 2000 #256" w:history="1">
        <w:r w:rsidR="006F79C1">
          <w:rPr>
            <w:rFonts w:ascii="Arial Narrow" w:hAnsi="Arial Narrow" w:cs="Arial"/>
            <w:noProof/>
            <w:sz w:val="18"/>
            <w:szCs w:val="18"/>
          </w:rPr>
          <w:t>O'Flaherty 2000</w:t>
        </w:r>
      </w:hyperlink>
      <w:r w:rsidR="00F220C1">
        <w:rPr>
          <w:rFonts w:ascii="Arial Narrow" w:hAnsi="Arial Narrow" w:cs="Arial"/>
          <w:noProof/>
          <w:sz w:val="18"/>
          <w:szCs w:val="18"/>
        </w:rPr>
        <w:t xml:space="preserve">, </w:t>
      </w:r>
      <w:hyperlink w:anchor="_ENREF_14" w:tooltip="Eastell, 2008 #36" w:history="1">
        <w:r w:rsidR="006F79C1">
          <w:rPr>
            <w:rFonts w:ascii="Arial Narrow" w:hAnsi="Arial Narrow" w:cs="Arial"/>
            <w:noProof/>
            <w:sz w:val="18"/>
            <w:szCs w:val="18"/>
          </w:rPr>
          <w:t>Eastell, Adams et al. 2008</w:t>
        </w:r>
      </w:hyperlink>
      <w:r w:rsidR="00F220C1">
        <w:rPr>
          <w:rFonts w:ascii="Arial Narrow" w:hAnsi="Arial Narrow" w:cs="Arial"/>
          <w:noProof/>
          <w:sz w:val="18"/>
          <w:szCs w:val="18"/>
        </w:rPr>
        <w:t xml:space="preserve">, </w:t>
      </w:r>
      <w:hyperlink w:anchor="_ENREF_17" w:tooltip="Finkelstein, 2008 #257" w:history="1">
        <w:r w:rsidR="006F79C1">
          <w:rPr>
            <w:rFonts w:ascii="Arial Narrow" w:hAnsi="Arial Narrow" w:cs="Arial"/>
            <w:noProof/>
            <w:sz w:val="18"/>
            <w:szCs w:val="18"/>
          </w:rPr>
          <w:t>Finkelstein, Brockwell et al. 2008</w:t>
        </w:r>
      </w:hyperlink>
      <w:r w:rsidR="00F220C1">
        <w:rPr>
          <w:rFonts w:ascii="Arial Narrow" w:hAnsi="Arial Narrow" w:cs="Arial"/>
          <w:noProof/>
          <w:sz w:val="18"/>
          <w:szCs w:val="18"/>
        </w:rPr>
        <w:t xml:space="preserve">, </w:t>
      </w:r>
      <w:hyperlink w:anchor="_ENREF_36" w:tooltip="Llombart, 2012 #72" w:history="1">
        <w:r w:rsidR="006F79C1">
          <w:rPr>
            <w:rFonts w:ascii="Arial Narrow" w:hAnsi="Arial Narrow" w:cs="Arial"/>
            <w:noProof/>
            <w:sz w:val="18"/>
            <w:szCs w:val="18"/>
          </w:rPr>
          <w:t>Llombart, Frassoldati et al. 2012</w:t>
        </w:r>
      </w:hyperlink>
      <w:r w:rsidR="00F220C1">
        <w:rPr>
          <w:rFonts w:ascii="Arial Narrow" w:hAnsi="Arial Narrow" w:cs="Arial"/>
          <w:noProof/>
          <w:sz w:val="18"/>
          <w:szCs w:val="18"/>
        </w:rPr>
        <w:t>)</w:t>
      </w:r>
      <w:r w:rsidR="00F220C1">
        <w:rPr>
          <w:rFonts w:ascii="Arial Narrow" w:hAnsi="Arial Narrow" w:cs="Arial"/>
          <w:sz w:val="18"/>
          <w:szCs w:val="18"/>
        </w:rPr>
        <w:fldChar w:fldCharType="end"/>
      </w:r>
      <w:r w:rsidR="00F220C1">
        <w:rPr>
          <w:rFonts w:ascii="Arial Narrow" w:hAnsi="Arial Narrow" w:cs="Arial"/>
          <w:sz w:val="18"/>
          <w:szCs w:val="18"/>
        </w:rPr>
        <w:t xml:space="preserve">. </w:t>
      </w:r>
      <w:r w:rsidRPr="00555B5C">
        <w:rPr>
          <w:rFonts w:ascii="Arial Narrow" w:hAnsi="Arial Narrow" w:cs="Arial"/>
          <w:sz w:val="18"/>
          <w:szCs w:val="18"/>
        </w:rPr>
        <w:t>Weighted average of Powles 1998, Saarto 1997, Delmas 1997, Shapiro 2001, Vehmanen 2001</w:t>
      </w:r>
      <w:r>
        <w:rPr>
          <w:rFonts w:ascii="Arial Narrow" w:hAnsi="Arial Narrow" w:cs="Arial"/>
          <w:sz w:val="18"/>
          <w:szCs w:val="18"/>
        </w:rPr>
        <w:t>, Hines 2009.</w:t>
      </w:r>
    </w:p>
    <w:p w:rsidR="007115B0" w:rsidRPr="000F0DF6" w:rsidRDefault="007115B0" w:rsidP="000F0DF6"/>
    <w:p w:rsidR="00201ECF" w:rsidRDefault="00201ECF" w:rsidP="00201ECF">
      <w:pPr>
        <w:pStyle w:val="Heading3"/>
      </w:pPr>
      <w:bookmarkStart w:id="99" w:name="_Toc386093706"/>
      <w:r>
        <w:t>Are DXA scans safe and effective?</w:t>
      </w:r>
      <w:bookmarkEnd w:id="99"/>
    </w:p>
    <w:p w:rsidR="00A158A3" w:rsidRDefault="008F59A8" w:rsidP="00201ECF">
      <w:pPr>
        <w:pStyle w:val="TableText"/>
      </w:pPr>
      <w:r w:rsidRPr="00C9782D">
        <w:t xml:space="preserve"> </w:t>
      </w:r>
    </w:p>
    <w:p w:rsidR="0058308B" w:rsidRDefault="0058308B" w:rsidP="00036FDB">
      <w:r>
        <w:t xml:space="preserve">No trials were identified </w:t>
      </w:r>
      <w:r w:rsidR="007A6978">
        <w:t xml:space="preserve">in Search 2 </w:t>
      </w:r>
      <w:r>
        <w:t>that address</w:t>
      </w:r>
      <w:r w:rsidR="00257330">
        <w:t>ed</w:t>
      </w:r>
      <w:r>
        <w:t xml:space="preserve"> the issue of safety, necessity or effectiveness of DXA scan in </w:t>
      </w:r>
      <w:r w:rsidR="004F5504">
        <w:t>women with breast cancer on aromatase inhibitor</w:t>
      </w:r>
      <w:r w:rsidR="005D1071">
        <w:t xml:space="preserve"> therapie</w:t>
      </w:r>
      <w:r w:rsidR="004F5504">
        <w:t>s</w:t>
      </w:r>
      <w:r w:rsidR="00A54692">
        <w:t xml:space="preserve">. </w:t>
      </w:r>
      <w:r w:rsidR="004A7FE5">
        <w:t xml:space="preserve">Therefore, the assessment </w:t>
      </w:r>
      <w:r w:rsidR="008A0574">
        <w:t>more broadly</w:t>
      </w:r>
      <w:r w:rsidR="004A7FE5">
        <w:t xml:space="preserve"> evaluated DXA scans in </w:t>
      </w:r>
      <w:r w:rsidR="008A0574">
        <w:t xml:space="preserve">all </w:t>
      </w:r>
      <w:r w:rsidR="004A7FE5">
        <w:t xml:space="preserve">post-menopausal </w:t>
      </w:r>
      <w:r w:rsidR="008A0574">
        <w:t>women</w:t>
      </w:r>
      <w:r w:rsidR="004A7FE5">
        <w:t xml:space="preserve">. </w:t>
      </w:r>
      <w:r w:rsidR="00A54692">
        <w:t>The studies retrieved provide</w:t>
      </w:r>
      <w:r w:rsidR="00257330">
        <w:t>d</w:t>
      </w:r>
      <w:r w:rsidR="00A54692">
        <w:t xml:space="preserve"> information on the role of DXA scan in BMD measurement for osteoporosis.</w:t>
      </w:r>
      <w:r w:rsidR="004F5504">
        <w:t xml:space="preserve"> </w:t>
      </w:r>
    </w:p>
    <w:p w:rsidR="008A0574" w:rsidRDefault="008A0574" w:rsidP="008A0574">
      <w:r>
        <w:t xml:space="preserve">Many clinical risk factor tools and their components are listed in Table </w:t>
      </w:r>
      <w:r w:rsidR="005A4B2B">
        <w:t>14</w:t>
      </w:r>
      <w:r>
        <w:t>.  DXA scan analysis provides information on bone mass as an optional component of FRAX</w:t>
      </w:r>
      <w:r w:rsidR="00104FF5">
        <w:t>™</w:t>
      </w:r>
      <w:r>
        <w:t>. Risk factor tools are viewed as clinical useful when clinicians do not have access to a DXA scanner. Most risk tools do not require BMD measurement.</w:t>
      </w:r>
    </w:p>
    <w:p w:rsidR="008A0574" w:rsidRDefault="008A0574" w:rsidP="008A0574">
      <w:pPr>
        <w:spacing w:after="0"/>
      </w:pPr>
    </w:p>
    <w:p w:rsidR="008A0574" w:rsidRPr="00B808EA" w:rsidRDefault="008A0574" w:rsidP="00B808EA">
      <w:pPr>
        <w:pStyle w:val="TableName"/>
      </w:pPr>
      <w:bookmarkStart w:id="100" w:name="_Toc386112683"/>
      <w:r w:rsidRPr="00B808EA">
        <w:lastRenderedPageBreak/>
        <w:t xml:space="preserve">Table </w:t>
      </w:r>
      <w:r w:rsidR="005A4B2B" w:rsidRPr="00B808EA">
        <w:t>14</w:t>
      </w:r>
      <w:r w:rsidR="00B808EA" w:rsidRPr="00B808EA">
        <w:t>:</w:t>
      </w:r>
      <w:r w:rsidRPr="00B808EA">
        <w:t xml:space="preserve"> Risk factors included in various fracture risk assessment tools</w:t>
      </w:r>
      <w:bookmarkEnd w:id="100"/>
    </w:p>
    <w:tbl>
      <w:tblPr>
        <w:tblStyle w:val="TableGrid"/>
        <w:tblW w:w="0" w:type="auto"/>
        <w:tblInd w:w="720" w:type="dxa"/>
        <w:tblLook w:val="04A0" w:firstRow="1" w:lastRow="0" w:firstColumn="1" w:lastColumn="0" w:noHBand="0" w:noVBand="1"/>
        <w:tblCaption w:val="Table 14 Risk factors included in risk assessment tools"/>
      </w:tblPr>
      <w:tblGrid>
        <w:gridCol w:w="1833"/>
        <w:gridCol w:w="717"/>
        <w:gridCol w:w="520"/>
        <w:gridCol w:w="585"/>
        <w:gridCol w:w="741"/>
        <w:gridCol w:w="757"/>
        <w:gridCol w:w="503"/>
        <w:gridCol w:w="766"/>
        <w:gridCol w:w="922"/>
        <w:gridCol w:w="766"/>
      </w:tblGrid>
      <w:tr w:rsidR="00B166C4" w:rsidRPr="00506949" w:rsidTr="00192A3B">
        <w:trPr>
          <w:tblHeader/>
        </w:trPr>
        <w:tc>
          <w:tcPr>
            <w:tcW w:w="0" w:type="auto"/>
          </w:tcPr>
          <w:p w:rsidR="00B166C4" w:rsidRPr="00506949" w:rsidRDefault="00B166C4" w:rsidP="00072DF4">
            <w:pPr>
              <w:pStyle w:val="TableText"/>
              <w:rPr>
                <w:b/>
              </w:rPr>
            </w:pPr>
            <w:r w:rsidRPr="00506949">
              <w:rPr>
                <w:b/>
              </w:rPr>
              <w:t>Risk factor</w:t>
            </w:r>
          </w:p>
        </w:tc>
        <w:tc>
          <w:tcPr>
            <w:tcW w:w="0" w:type="auto"/>
          </w:tcPr>
          <w:p w:rsidR="00B166C4" w:rsidRPr="00506949" w:rsidRDefault="00B166C4" w:rsidP="00072DF4">
            <w:pPr>
              <w:pStyle w:val="TableText"/>
              <w:jc w:val="center"/>
              <w:rPr>
                <w:b/>
              </w:rPr>
            </w:pPr>
            <w:r w:rsidRPr="00506949">
              <w:rPr>
                <w:b/>
              </w:rPr>
              <w:t>OSIRIS</w:t>
            </w:r>
          </w:p>
        </w:tc>
        <w:tc>
          <w:tcPr>
            <w:tcW w:w="0" w:type="auto"/>
          </w:tcPr>
          <w:p w:rsidR="00B166C4" w:rsidRPr="00506949" w:rsidRDefault="00B166C4" w:rsidP="00072DF4">
            <w:pPr>
              <w:pStyle w:val="TableText"/>
              <w:jc w:val="center"/>
              <w:rPr>
                <w:b/>
              </w:rPr>
            </w:pPr>
            <w:r w:rsidRPr="00506949">
              <w:rPr>
                <w:b/>
              </w:rPr>
              <w:t>OST</w:t>
            </w:r>
          </w:p>
        </w:tc>
        <w:tc>
          <w:tcPr>
            <w:tcW w:w="0" w:type="auto"/>
          </w:tcPr>
          <w:p w:rsidR="00B166C4" w:rsidRPr="00506949" w:rsidRDefault="00B166C4" w:rsidP="00072DF4">
            <w:pPr>
              <w:pStyle w:val="TableText"/>
              <w:jc w:val="center"/>
              <w:rPr>
                <w:b/>
              </w:rPr>
            </w:pPr>
            <w:r w:rsidRPr="00506949">
              <w:rPr>
                <w:b/>
              </w:rPr>
              <w:t>ORAI</w:t>
            </w:r>
          </w:p>
        </w:tc>
        <w:tc>
          <w:tcPr>
            <w:tcW w:w="0" w:type="auto"/>
          </w:tcPr>
          <w:p w:rsidR="00B166C4" w:rsidRPr="00506949" w:rsidRDefault="00B166C4" w:rsidP="00072DF4">
            <w:pPr>
              <w:pStyle w:val="TableText"/>
              <w:jc w:val="center"/>
              <w:rPr>
                <w:b/>
              </w:rPr>
            </w:pPr>
            <w:r w:rsidRPr="00506949">
              <w:rPr>
                <w:b/>
              </w:rPr>
              <w:t>SCORE</w:t>
            </w:r>
          </w:p>
        </w:tc>
        <w:tc>
          <w:tcPr>
            <w:tcW w:w="0" w:type="auto"/>
          </w:tcPr>
          <w:p w:rsidR="00B166C4" w:rsidRPr="00506949" w:rsidRDefault="0005425C" w:rsidP="0005425C">
            <w:pPr>
              <w:pStyle w:val="TableText"/>
              <w:jc w:val="center"/>
              <w:rPr>
                <w:b/>
              </w:rPr>
            </w:pPr>
            <w:r>
              <w:rPr>
                <w:b/>
              </w:rPr>
              <w:t>C</w:t>
            </w:r>
            <w:r w:rsidR="003A0E85">
              <w:rPr>
                <w:b/>
              </w:rPr>
              <w:t>ARO</w:t>
            </w:r>
            <w:r>
              <w:rPr>
                <w:b/>
              </w:rPr>
              <w:t>C</w:t>
            </w:r>
          </w:p>
        </w:tc>
        <w:tc>
          <w:tcPr>
            <w:tcW w:w="0" w:type="auto"/>
          </w:tcPr>
          <w:p w:rsidR="00B166C4" w:rsidRPr="00506949" w:rsidRDefault="00B166C4" w:rsidP="00072DF4">
            <w:pPr>
              <w:pStyle w:val="TableText"/>
              <w:jc w:val="center"/>
              <w:rPr>
                <w:b/>
              </w:rPr>
            </w:pPr>
            <w:r>
              <w:rPr>
                <w:b/>
              </w:rPr>
              <w:t>WHI</w:t>
            </w:r>
          </w:p>
        </w:tc>
        <w:tc>
          <w:tcPr>
            <w:tcW w:w="0" w:type="auto"/>
          </w:tcPr>
          <w:p w:rsidR="00B166C4" w:rsidRPr="00506949" w:rsidRDefault="00B166C4" w:rsidP="00072DF4">
            <w:pPr>
              <w:pStyle w:val="TableText"/>
              <w:jc w:val="center"/>
              <w:rPr>
                <w:b/>
              </w:rPr>
            </w:pPr>
            <w:r w:rsidRPr="00506949">
              <w:rPr>
                <w:b/>
              </w:rPr>
              <w:t>FRAX</w:t>
            </w:r>
            <w:r>
              <w:rPr>
                <w:b/>
              </w:rPr>
              <w:t>®</w:t>
            </w:r>
          </w:p>
        </w:tc>
        <w:tc>
          <w:tcPr>
            <w:tcW w:w="0" w:type="auto"/>
          </w:tcPr>
          <w:p w:rsidR="00B166C4" w:rsidRPr="00506949" w:rsidRDefault="00B166C4" w:rsidP="00072DF4">
            <w:pPr>
              <w:pStyle w:val="TableText"/>
              <w:jc w:val="center"/>
              <w:rPr>
                <w:b/>
              </w:rPr>
            </w:pPr>
            <w:r w:rsidRPr="00506949">
              <w:rPr>
                <w:b/>
              </w:rPr>
              <w:t>QFracture</w:t>
            </w:r>
          </w:p>
        </w:tc>
        <w:tc>
          <w:tcPr>
            <w:tcW w:w="0" w:type="auto"/>
          </w:tcPr>
          <w:p w:rsidR="00B166C4" w:rsidRPr="00506949" w:rsidRDefault="00B166C4" w:rsidP="00072DF4">
            <w:pPr>
              <w:pStyle w:val="TableText"/>
              <w:jc w:val="center"/>
              <w:rPr>
                <w:b/>
              </w:rPr>
            </w:pPr>
            <w:r>
              <w:rPr>
                <w:b/>
              </w:rPr>
              <w:t>Garvan</w:t>
            </w:r>
          </w:p>
        </w:tc>
      </w:tr>
      <w:tr w:rsidR="00B166C4" w:rsidTr="00192A3B">
        <w:trPr>
          <w:tblHeader/>
        </w:trPr>
        <w:tc>
          <w:tcPr>
            <w:tcW w:w="0" w:type="auto"/>
          </w:tcPr>
          <w:p w:rsidR="00B166C4" w:rsidRDefault="00B166C4" w:rsidP="00072DF4">
            <w:pPr>
              <w:pStyle w:val="TableText"/>
            </w:pPr>
            <w:r>
              <w:t>Age</w:t>
            </w:r>
          </w:p>
        </w:tc>
        <w:tc>
          <w:tcPr>
            <w:tcW w:w="0" w:type="auto"/>
          </w:tcPr>
          <w:p w:rsidR="00B166C4" w:rsidRDefault="00B166C4" w:rsidP="00072DF4">
            <w:pPr>
              <w:pStyle w:val="TableText"/>
              <w:jc w:val="center"/>
            </w:pPr>
            <w:r>
              <w:t>x</w:t>
            </w:r>
          </w:p>
        </w:tc>
        <w:tc>
          <w:tcPr>
            <w:tcW w:w="0" w:type="auto"/>
          </w:tcPr>
          <w:p w:rsidR="00B166C4" w:rsidRDefault="00B166C4" w:rsidP="00072DF4">
            <w:pPr>
              <w:pStyle w:val="TableText"/>
              <w:jc w:val="center"/>
            </w:pPr>
            <w:r>
              <w:t>x</w:t>
            </w:r>
          </w:p>
        </w:tc>
        <w:tc>
          <w:tcPr>
            <w:tcW w:w="0" w:type="auto"/>
          </w:tcPr>
          <w:p w:rsidR="00B166C4" w:rsidRDefault="00B166C4" w:rsidP="00072DF4">
            <w:pPr>
              <w:pStyle w:val="TableText"/>
              <w:jc w:val="center"/>
            </w:pPr>
            <w:r>
              <w:t>x</w:t>
            </w:r>
          </w:p>
        </w:tc>
        <w:tc>
          <w:tcPr>
            <w:tcW w:w="0" w:type="auto"/>
          </w:tcPr>
          <w:p w:rsidR="00B166C4" w:rsidRDefault="00B166C4" w:rsidP="00072DF4">
            <w:pPr>
              <w:pStyle w:val="TableText"/>
              <w:jc w:val="center"/>
            </w:pPr>
            <w:r>
              <w:t>x</w:t>
            </w:r>
          </w:p>
        </w:tc>
        <w:tc>
          <w:tcPr>
            <w:tcW w:w="0" w:type="auto"/>
          </w:tcPr>
          <w:p w:rsidR="00B166C4" w:rsidRDefault="00B166C4" w:rsidP="00072DF4">
            <w:pPr>
              <w:pStyle w:val="TableText"/>
              <w:jc w:val="center"/>
            </w:pPr>
            <w:r>
              <w:t>x</w:t>
            </w:r>
          </w:p>
        </w:tc>
        <w:tc>
          <w:tcPr>
            <w:tcW w:w="0" w:type="auto"/>
          </w:tcPr>
          <w:p w:rsidR="00B166C4" w:rsidRDefault="00B166C4" w:rsidP="00072DF4">
            <w:pPr>
              <w:pStyle w:val="TableText"/>
              <w:jc w:val="center"/>
            </w:pPr>
            <w:r>
              <w:t>x</w:t>
            </w:r>
          </w:p>
        </w:tc>
        <w:tc>
          <w:tcPr>
            <w:tcW w:w="0" w:type="auto"/>
          </w:tcPr>
          <w:p w:rsidR="00B166C4" w:rsidRDefault="00B166C4" w:rsidP="00072DF4">
            <w:pPr>
              <w:pStyle w:val="TableText"/>
              <w:jc w:val="center"/>
            </w:pPr>
            <w:r>
              <w:t>x</w:t>
            </w:r>
          </w:p>
        </w:tc>
        <w:tc>
          <w:tcPr>
            <w:tcW w:w="0" w:type="auto"/>
          </w:tcPr>
          <w:p w:rsidR="00B166C4" w:rsidRDefault="00B166C4" w:rsidP="00072DF4">
            <w:pPr>
              <w:pStyle w:val="TableText"/>
              <w:jc w:val="center"/>
            </w:pPr>
            <w:r>
              <w:t>x</w:t>
            </w:r>
          </w:p>
        </w:tc>
        <w:tc>
          <w:tcPr>
            <w:tcW w:w="0" w:type="auto"/>
          </w:tcPr>
          <w:p w:rsidR="00B166C4" w:rsidRDefault="00B166C4" w:rsidP="00072DF4">
            <w:pPr>
              <w:pStyle w:val="TableText"/>
              <w:jc w:val="center"/>
            </w:pPr>
            <w:r>
              <w:t>x</w:t>
            </w:r>
          </w:p>
        </w:tc>
      </w:tr>
      <w:tr w:rsidR="00B166C4" w:rsidTr="00192A3B">
        <w:trPr>
          <w:tblHeader/>
        </w:trPr>
        <w:tc>
          <w:tcPr>
            <w:tcW w:w="0" w:type="auto"/>
            <w:shd w:val="clear" w:color="auto" w:fill="FFFFFF" w:themeFill="background1"/>
          </w:tcPr>
          <w:p w:rsidR="00B166C4" w:rsidRDefault="00B166C4" w:rsidP="00072DF4">
            <w:pPr>
              <w:pStyle w:val="TableText"/>
            </w:pPr>
            <w:r>
              <w:t>Gender</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r>
      <w:tr w:rsidR="00B166C4" w:rsidTr="00192A3B">
        <w:trPr>
          <w:tblHeader/>
        </w:trPr>
        <w:tc>
          <w:tcPr>
            <w:tcW w:w="0" w:type="auto"/>
            <w:shd w:val="clear" w:color="auto" w:fill="FFFFFF" w:themeFill="background1"/>
          </w:tcPr>
          <w:p w:rsidR="00B166C4" w:rsidRDefault="00B166C4" w:rsidP="00072DF4">
            <w:pPr>
              <w:pStyle w:val="TableText"/>
            </w:pPr>
            <w:r>
              <w:t>Body mass index</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Pr="004820FD" w:rsidRDefault="00B166C4" w:rsidP="00072DF4">
            <w:pPr>
              <w:pStyle w:val="TableText"/>
              <w:jc w:val="center"/>
              <w:rPr>
                <w:vertAlign w:val="superscript"/>
              </w:rPr>
            </w:pPr>
            <w:r>
              <w:t>x</w:t>
            </w:r>
            <w:r>
              <w:rPr>
                <w:vertAlign w:val="superscript"/>
              </w:rPr>
              <w:t>2</w:t>
            </w:r>
          </w:p>
        </w:tc>
        <w:tc>
          <w:tcPr>
            <w:tcW w:w="0" w:type="auto"/>
            <w:shd w:val="clear" w:color="auto" w:fill="FFFFFF" w:themeFill="background1"/>
          </w:tcPr>
          <w:p w:rsidR="00B166C4" w:rsidRDefault="00B166C4" w:rsidP="00072DF4">
            <w:pPr>
              <w:pStyle w:val="TableText"/>
              <w:jc w:val="center"/>
            </w:pPr>
          </w:p>
        </w:tc>
      </w:tr>
      <w:tr w:rsidR="00B166C4" w:rsidTr="00192A3B">
        <w:trPr>
          <w:tblHeader/>
        </w:trPr>
        <w:tc>
          <w:tcPr>
            <w:tcW w:w="0" w:type="auto"/>
            <w:shd w:val="clear" w:color="auto" w:fill="FFFFFF" w:themeFill="background1"/>
          </w:tcPr>
          <w:p w:rsidR="00B166C4" w:rsidRDefault="00B166C4" w:rsidP="00072DF4">
            <w:pPr>
              <w:pStyle w:val="TableText"/>
            </w:pPr>
            <w:r>
              <w:t>Body weight</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r>
      <w:tr w:rsidR="00B166C4" w:rsidTr="00192A3B">
        <w:trPr>
          <w:tblHeader/>
        </w:trPr>
        <w:tc>
          <w:tcPr>
            <w:tcW w:w="0" w:type="auto"/>
            <w:shd w:val="clear" w:color="auto" w:fill="FFFFFF" w:themeFill="background1"/>
          </w:tcPr>
          <w:p w:rsidR="00B166C4" w:rsidRDefault="00B166C4" w:rsidP="00072DF4">
            <w:pPr>
              <w:pStyle w:val="TableText"/>
            </w:pPr>
            <w:r>
              <w:t>Previous fracture</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r>
      <w:tr w:rsidR="00B166C4" w:rsidTr="00192A3B">
        <w:trPr>
          <w:tblHeader/>
        </w:trPr>
        <w:tc>
          <w:tcPr>
            <w:tcW w:w="0" w:type="auto"/>
            <w:shd w:val="clear" w:color="auto" w:fill="FFFFFF" w:themeFill="background1"/>
          </w:tcPr>
          <w:p w:rsidR="00B166C4" w:rsidRDefault="00B166C4" w:rsidP="00072DF4">
            <w:pPr>
              <w:pStyle w:val="TableText"/>
            </w:pPr>
            <w:r>
              <w:t>Family history of fracture</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r>
      <w:tr w:rsidR="00B166C4" w:rsidTr="00192A3B">
        <w:trPr>
          <w:tblHeader/>
        </w:trPr>
        <w:tc>
          <w:tcPr>
            <w:tcW w:w="0" w:type="auto"/>
            <w:shd w:val="clear" w:color="auto" w:fill="FFFFFF" w:themeFill="background1"/>
          </w:tcPr>
          <w:p w:rsidR="00B166C4" w:rsidRDefault="00B166C4" w:rsidP="00072DF4">
            <w:pPr>
              <w:pStyle w:val="TableText"/>
            </w:pPr>
            <w:r>
              <w:t>Smoking</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r>
      <w:tr w:rsidR="00B166C4" w:rsidTr="00192A3B">
        <w:trPr>
          <w:tblHeader/>
        </w:trPr>
        <w:tc>
          <w:tcPr>
            <w:tcW w:w="0" w:type="auto"/>
            <w:shd w:val="clear" w:color="auto" w:fill="FFFFFF" w:themeFill="background1"/>
          </w:tcPr>
          <w:p w:rsidR="00B166C4" w:rsidRDefault="00B166C4" w:rsidP="00072DF4">
            <w:pPr>
              <w:pStyle w:val="TableText"/>
            </w:pPr>
            <w:r>
              <w:t>Alcohol intake</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r>
      <w:tr w:rsidR="00B166C4" w:rsidTr="00192A3B">
        <w:trPr>
          <w:tblHeader/>
        </w:trPr>
        <w:tc>
          <w:tcPr>
            <w:tcW w:w="0" w:type="auto"/>
            <w:shd w:val="clear" w:color="auto" w:fill="FFFFFF" w:themeFill="background1"/>
          </w:tcPr>
          <w:p w:rsidR="00B166C4" w:rsidRDefault="00B166C4" w:rsidP="00072DF4">
            <w:pPr>
              <w:pStyle w:val="TableText"/>
            </w:pPr>
            <w:r>
              <w:t>Glucocorticoid therapy</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r>
      <w:tr w:rsidR="00B166C4" w:rsidTr="00192A3B">
        <w:trPr>
          <w:tblHeader/>
        </w:trPr>
        <w:tc>
          <w:tcPr>
            <w:tcW w:w="0" w:type="auto"/>
            <w:shd w:val="clear" w:color="auto" w:fill="FFFFFF" w:themeFill="background1"/>
          </w:tcPr>
          <w:p w:rsidR="00B166C4" w:rsidRDefault="00B166C4" w:rsidP="00072DF4">
            <w:pPr>
              <w:pStyle w:val="TableText"/>
            </w:pPr>
            <w:r>
              <w:t>Secondary osteoporosis</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Pr="004820FD" w:rsidRDefault="00B166C4" w:rsidP="00072DF4">
            <w:pPr>
              <w:pStyle w:val="TableText"/>
              <w:jc w:val="center"/>
            </w:pPr>
            <w:r w:rsidRPr="004820FD">
              <w:rPr>
                <w:vertAlign w:val="superscript"/>
              </w:rPr>
              <w:t>1</w:t>
            </w:r>
            <w:r>
              <w:t>x</w:t>
            </w:r>
          </w:p>
        </w:tc>
        <w:tc>
          <w:tcPr>
            <w:tcW w:w="0" w:type="auto"/>
            <w:shd w:val="clear" w:color="auto" w:fill="FFFFFF" w:themeFill="background1"/>
          </w:tcPr>
          <w:p w:rsidR="00B166C4" w:rsidRPr="004820FD" w:rsidRDefault="00B166C4" w:rsidP="00072DF4">
            <w:pPr>
              <w:pStyle w:val="TableText"/>
              <w:jc w:val="center"/>
              <w:rPr>
                <w:vertAlign w:val="superscript"/>
              </w:rPr>
            </w:pPr>
          </w:p>
        </w:tc>
      </w:tr>
      <w:tr w:rsidR="00B166C4" w:rsidTr="00192A3B">
        <w:trPr>
          <w:tblHeader/>
        </w:trPr>
        <w:tc>
          <w:tcPr>
            <w:tcW w:w="0" w:type="auto"/>
            <w:shd w:val="clear" w:color="auto" w:fill="FFFFFF" w:themeFill="background1"/>
          </w:tcPr>
          <w:p w:rsidR="00B166C4" w:rsidRDefault="00B166C4" w:rsidP="00072DF4">
            <w:pPr>
              <w:pStyle w:val="TableText"/>
            </w:pPr>
            <w:r>
              <w:t>HRT</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r>
      <w:tr w:rsidR="00B166C4" w:rsidTr="00192A3B">
        <w:trPr>
          <w:tblHeader/>
        </w:trPr>
        <w:tc>
          <w:tcPr>
            <w:tcW w:w="0" w:type="auto"/>
            <w:shd w:val="clear" w:color="auto" w:fill="FFFFFF" w:themeFill="background1"/>
          </w:tcPr>
          <w:p w:rsidR="00B166C4" w:rsidRDefault="00B166C4" w:rsidP="00072DF4">
            <w:pPr>
              <w:pStyle w:val="TableText"/>
            </w:pPr>
            <w:r>
              <w:t>Diabetes treatment</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r>
      <w:tr w:rsidR="00B166C4" w:rsidTr="00192A3B">
        <w:trPr>
          <w:tblHeader/>
        </w:trPr>
        <w:tc>
          <w:tcPr>
            <w:tcW w:w="0" w:type="auto"/>
            <w:shd w:val="clear" w:color="auto" w:fill="FFFFFF" w:themeFill="background1"/>
          </w:tcPr>
          <w:p w:rsidR="00B166C4" w:rsidRDefault="00B166C4" w:rsidP="00072DF4">
            <w:pPr>
              <w:pStyle w:val="TableText"/>
            </w:pPr>
            <w:r>
              <w:t>Rheumatoid arthritis</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r>
      <w:tr w:rsidR="00B166C4" w:rsidTr="00192A3B">
        <w:trPr>
          <w:tblHeader/>
        </w:trPr>
        <w:tc>
          <w:tcPr>
            <w:tcW w:w="0" w:type="auto"/>
            <w:shd w:val="clear" w:color="auto" w:fill="FFFFFF" w:themeFill="background1"/>
          </w:tcPr>
          <w:p w:rsidR="00B166C4" w:rsidRDefault="00B166C4" w:rsidP="00072DF4">
            <w:pPr>
              <w:pStyle w:val="TableText"/>
            </w:pPr>
            <w:r>
              <w:t>Race</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r>
      <w:tr w:rsidR="00B166C4" w:rsidTr="00192A3B">
        <w:trPr>
          <w:tblHeader/>
        </w:trPr>
        <w:tc>
          <w:tcPr>
            <w:tcW w:w="0" w:type="auto"/>
            <w:shd w:val="clear" w:color="auto" w:fill="FFFFFF" w:themeFill="background1"/>
          </w:tcPr>
          <w:p w:rsidR="00B166C4" w:rsidRDefault="00B166C4" w:rsidP="00072DF4">
            <w:pPr>
              <w:pStyle w:val="TableText"/>
            </w:pPr>
            <w:r>
              <w:t>Physical activity</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r>
      <w:tr w:rsidR="00B166C4" w:rsidTr="00192A3B">
        <w:trPr>
          <w:tblHeader/>
        </w:trPr>
        <w:tc>
          <w:tcPr>
            <w:tcW w:w="0" w:type="auto"/>
            <w:shd w:val="clear" w:color="auto" w:fill="FFFFFF" w:themeFill="background1"/>
          </w:tcPr>
          <w:p w:rsidR="00B166C4" w:rsidRDefault="00B166C4" w:rsidP="00072DF4">
            <w:pPr>
              <w:pStyle w:val="TableText"/>
            </w:pPr>
            <w:r>
              <w:t>Health status</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r>
              <w:t>x</w:t>
            </w: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c>
          <w:tcPr>
            <w:tcW w:w="0" w:type="auto"/>
            <w:shd w:val="clear" w:color="auto" w:fill="FFFFFF" w:themeFill="background1"/>
          </w:tcPr>
          <w:p w:rsidR="00B166C4" w:rsidRDefault="00B166C4" w:rsidP="00072DF4">
            <w:pPr>
              <w:pStyle w:val="TableText"/>
              <w:jc w:val="center"/>
            </w:pPr>
          </w:p>
        </w:tc>
      </w:tr>
      <w:tr w:rsidR="00B166C4" w:rsidTr="00192A3B">
        <w:trPr>
          <w:tblHeader/>
        </w:trPr>
        <w:tc>
          <w:tcPr>
            <w:tcW w:w="0" w:type="auto"/>
          </w:tcPr>
          <w:p w:rsidR="00B166C4" w:rsidRDefault="00B166C4" w:rsidP="00072DF4">
            <w:pPr>
              <w:pStyle w:val="TableText"/>
            </w:pPr>
            <w:r>
              <w:rPr>
                <w:b/>
              </w:rPr>
              <w:t>BMD required?</w:t>
            </w:r>
          </w:p>
        </w:tc>
        <w:tc>
          <w:tcPr>
            <w:tcW w:w="0" w:type="auto"/>
          </w:tcPr>
          <w:p w:rsidR="00B166C4" w:rsidRDefault="00B166C4" w:rsidP="00072DF4">
            <w:pPr>
              <w:pStyle w:val="TableText"/>
              <w:jc w:val="center"/>
            </w:pPr>
            <w:r>
              <w:t>No</w:t>
            </w:r>
          </w:p>
        </w:tc>
        <w:tc>
          <w:tcPr>
            <w:tcW w:w="0" w:type="auto"/>
          </w:tcPr>
          <w:p w:rsidR="00B166C4" w:rsidRDefault="00B166C4" w:rsidP="00072DF4">
            <w:pPr>
              <w:pStyle w:val="TableText"/>
              <w:jc w:val="center"/>
            </w:pPr>
            <w:r>
              <w:t>No</w:t>
            </w:r>
          </w:p>
        </w:tc>
        <w:tc>
          <w:tcPr>
            <w:tcW w:w="0" w:type="auto"/>
          </w:tcPr>
          <w:p w:rsidR="00B166C4" w:rsidRDefault="00B166C4" w:rsidP="00072DF4">
            <w:pPr>
              <w:pStyle w:val="TableText"/>
              <w:jc w:val="center"/>
            </w:pPr>
            <w:r>
              <w:t>No</w:t>
            </w:r>
          </w:p>
        </w:tc>
        <w:tc>
          <w:tcPr>
            <w:tcW w:w="0" w:type="auto"/>
          </w:tcPr>
          <w:p w:rsidR="00B166C4" w:rsidRDefault="00B166C4" w:rsidP="00072DF4">
            <w:pPr>
              <w:pStyle w:val="TableText"/>
              <w:jc w:val="center"/>
            </w:pPr>
            <w:r>
              <w:t>No</w:t>
            </w:r>
          </w:p>
        </w:tc>
        <w:tc>
          <w:tcPr>
            <w:tcW w:w="0" w:type="auto"/>
          </w:tcPr>
          <w:p w:rsidR="00B166C4" w:rsidRDefault="00B166C4" w:rsidP="00072DF4">
            <w:pPr>
              <w:pStyle w:val="TableText"/>
              <w:jc w:val="center"/>
            </w:pPr>
            <w:r>
              <w:t>Yes</w:t>
            </w:r>
          </w:p>
        </w:tc>
        <w:tc>
          <w:tcPr>
            <w:tcW w:w="0" w:type="auto"/>
          </w:tcPr>
          <w:p w:rsidR="00B166C4" w:rsidRDefault="00B166C4" w:rsidP="00072DF4">
            <w:pPr>
              <w:pStyle w:val="TableText"/>
              <w:jc w:val="center"/>
            </w:pPr>
            <w:r>
              <w:t>No</w:t>
            </w:r>
          </w:p>
        </w:tc>
        <w:tc>
          <w:tcPr>
            <w:tcW w:w="0" w:type="auto"/>
          </w:tcPr>
          <w:p w:rsidR="00B166C4" w:rsidRDefault="00B166C4" w:rsidP="00072DF4">
            <w:pPr>
              <w:pStyle w:val="TableText"/>
              <w:jc w:val="center"/>
            </w:pPr>
            <w:r>
              <w:t>Optional</w:t>
            </w:r>
          </w:p>
        </w:tc>
        <w:tc>
          <w:tcPr>
            <w:tcW w:w="0" w:type="auto"/>
          </w:tcPr>
          <w:p w:rsidR="00B166C4" w:rsidRDefault="00B166C4" w:rsidP="00072DF4">
            <w:pPr>
              <w:pStyle w:val="TableText"/>
              <w:jc w:val="center"/>
            </w:pPr>
            <w:r>
              <w:t>No</w:t>
            </w:r>
          </w:p>
        </w:tc>
        <w:tc>
          <w:tcPr>
            <w:tcW w:w="0" w:type="auto"/>
          </w:tcPr>
          <w:p w:rsidR="00B166C4" w:rsidRDefault="00B166C4" w:rsidP="00072DF4">
            <w:pPr>
              <w:pStyle w:val="TableText"/>
              <w:jc w:val="center"/>
            </w:pPr>
            <w:r>
              <w:t>Optional</w:t>
            </w:r>
          </w:p>
        </w:tc>
      </w:tr>
    </w:tbl>
    <w:p w:rsidR="008A0574" w:rsidRDefault="008A0574" w:rsidP="008A0574">
      <w:pPr>
        <w:pStyle w:val="TableText"/>
        <w:ind w:left="567"/>
      </w:pPr>
      <w:r>
        <w:t>HRT = hormone replacement therapy, OST = Osteopor</w:t>
      </w:r>
      <w:r w:rsidR="003A0E85">
        <w:t>osis Self-Assessment Screening T</w:t>
      </w:r>
      <w:r>
        <w:t xml:space="preserve">ool, FRAX = fracture risk-assessment tool, ORAI = osteoporosis risk assessment instrument, OSIRIS = osteoporosis index of risk, SCORE simple calculated osteoporosis risk estimation score, WHI = Women’s Health Initative hip fracture risk calculator, </w:t>
      </w:r>
      <w:r w:rsidR="0005425C">
        <w:t>C</w:t>
      </w:r>
      <w:r w:rsidR="003A0E85">
        <w:t>ARO</w:t>
      </w:r>
      <w:r w:rsidR="0005425C">
        <w:t>C</w:t>
      </w:r>
      <w:r>
        <w:t xml:space="preserve"> = Osteoporosis Society of Canada and Canadian Association of Radiologists Working Group</w:t>
      </w:r>
    </w:p>
    <w:p w:rsidR="008A0574" w:rsidRDefault="008A0574" w:rsidP="00534D10">
      <w:pPr>
        <w:pStyle w:val="TableText"/>
        <w:numPr>
          <w:ilvl w:val="0"/>
          <w:numId w:val="22"/>
        </w:numPr>
      </w:pPr>
      <w:r>
        <w:t>In QFracture algorithms, secondary causes of osteoporosis are not recorded as a single entity but separately in the table and in addition: asthma, heart attack.stroke, falls, chronic liver disease, tricyclic antidepressants, type 2 diabetes, endocrine problems, malabsorption, menopausal symptoms.</w:t>
      </w:r>
    </w:p>
    <w:p w:rsidR="008A0574" w:rsidRDefault="008A0574" w:rsidP="00534D10">
      <w:pPr>
        <w:pStyle w:val="TableText"/>
        <w:numPr>
          <w:ilvl w:val="0"/>
          <w:numId w:val="22"/>
        </w:numPr>
      </w:pPr>
      <w:r>
        <w:t>Separately as height and weight.</w:t>
      </w:r>
    </w:p>
    <w:p w:rsidR="008A0574" w:rsidRDefault="008A0574" w:rsidP="008A0574">
      <w:pPr>
        <w:pStyle w:val="TableText"/>
        <w:ind w:left="567"/>
      </w:pPr>
      <w:r>
        <w:t xml:space="preserve">Source: </w:t>
      </w:r>
      <w:r w:rsidR="00F220C1">
        <w:fldChar w:fldCharType="begin">
          <w:fldData xml:space="preserve">PEVuZE5vdGU+PENpdGU+PEF1dGhvcj5DdW1taW5zPC9BdXRob3I+PFllYXI+MjAxMTwvWWVhcj48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</w:fldData>
        </w:fldChar>
      </w:r>
      <w:r w:rsidR="00F220C1">
        <w:instrText xml:space="preserve"> ADDIN EN.CITE </w:instrText>
      </w:r>
      <w:r w:rsidR="00F220C1">
        <w:fldChar w:fldCharType="begin">
          <w:fldData xml:space="preserve">PEVuZE5vdGU+PENpdGU+PEF1dGhvcj5DdW1taW5zPC9BdXRob3I+PFllYXI+MjAxMTwvWWVhcj48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</w:fldData>
        </w:fldChar>
      </w:r>
      <w:r w:rsidR="00F220C1">
        <w:instrText xml:space="preserve"> ADDIN EN.CITE.DATA </w:instrText>
      </w:r>
      <w:r w:rsidR="00F220C1">
        <w:fldChar w:fldCharType="end"/>
      </w:r>
      <w:r w:rsidR="00F220C1">
        <w:fldChar w:fldCharType="separate"/>
      </w:r>
      <w:r w:rsidR="00F220C1">
        <w:rPr>
          <w:noProof/>
        </w:rPr>
        <w:t>(</w:t>
      </w:r>
      <w:hyperlink w:anchor="_ENREF_35" w:tooltip="Lim, 2009 #233" w:history="1">
        <w:r w:rsidR="006F79C1">
          <w:rPr>
            <w:noProof/>
          </w:rPr>
          <w:t>Lim, Hoeksema et al. 2009</w:t>
        </w:r>
      </w:hyperlink>
      <w:r w:rsidR="00F220C1">
        <w:rPr>
          <w:noProof/>
        </w:rPr>
        <w:t xml:space="preserve">, </w:t>
      </w:r>
      <w:hyperlink w:anchor="_ENREF_12" w:tooltip="Cummins, 2011 #237" w:history="1">
        <w:r w:rsidR="006F79C1">
          <w:rPr>
            <w:noProof/>
          </w:rPr>
          <w:t>Cummins, Poku et al. 2011</w:t>
        </w:r>
      </w:hyperlink>
      <w:r w:rsidR="00F220C1">
        <w:rPr>
          <w:noProof/>
        </w:rPr>
        <w:t>)</w:t>
      </w:r>
      <w:r w:rsidR="00F220C1">
        <w:fldChar w:fldCharType="end"/>
      </w:r>
    </w:p>
    <w:p w:rsidR="008A0574" w:rsidRDefault="008A0574" w:rsidP="00B166C4">
      <w:pPr>
        <w:spacing w:after="0"/>
      </w:pPr>
    </w:p>
    <w:p w:rsidR="00B166C4" w:rsidRDefault="00B166C4" w:rsidP="008A0574">
      <w:r>
        <w:t xml:space="preserve">The Australian ‘Garvan Fracture Risk Calculator’ is available online: </w:t>
      </w:r>
      <w:hyperlink r:id="rId45" w:tooltip="This link goes to the Garvan fracture risk calculator" w:history="1">
        <w:r w:rsidRPr="002472DA">
          <w:rPr>
            <w:rStyle w:val="Hyperlink"/>
          </w:rPr>
          <w:t>http://www.garvan.org.au/bone-fracture-risk</w:t>
        </w:r>
      </w:hyperlink>
      <w:r>
        <w:t xml:space="preserve">. This tool is based on the Dubbo Epidemiology Study.  In addition to the risk factors in Table </w:t>
      </w:r>
      <w:r w:rsidR="005A4B2B">
        <w:t>14</w:t>
      </w:r>
      <w:r>
        <w:t xml:space="preserve">, </w:t>
      </w:r>
      <w:r w:rsidR="00524439">
        <w:t>the Garvan tool</w:t>
      </w:r>
      <w:r>
        <w:t xml:space="preserve"> also includes falls in the past 12 months. BMD measure</w:t>
      </w:r>
      <w:r w:rsidR="00232A32">
        <w:t>ment can be entered as either T-</w:t>
      </w:r>
      <w:r>
        <w:t>score or actual (g/cm</w:t>
      </w:r>
      <w:r w:rsidRPr="00B166C4">
        <w:rPr>
          <w:vertAlign w:val="superscript"/>
        </w:rPr>
        <w:t>3</w:t>
      </w:r>
      <w:r>
        <w:t>) and the choice of DXA scanner (Hologic or Lunar GX). The results provide 5- and 10-year risk of hip and all osteoporotic fractures.</w:t>
      </w:r>
    </w:p>
    <w:p w:rsidR="00A54692" w:rsidRDefault="00A54692" w:rsidP="00A54692">
      <w:pPr>
        <w:pStyle w:val="Heading4"/>
      </w:pPr>
      <w:r>
        <w:t>Effectiveness of DXA vs clinical risk fracture tools</w:t>
      </w:r>
    </w:p>
    <w:p w:rsidR="008A0574" w:rsidRDefault="004F5504" w:rsidP="008A0574">
      <w:r>
        <w:t>Table</w:t>
      </w:r>
      <w:r w:rsidR="00232A32">
        <w:t>s</w:t>
      </w:r>
      <w:r>
        <w:t xml:space="preserve"> </w:t>
      </w:r>
      <w:r w:rsidR="00232A32">
        <w:t>15 and 16 show</w:t>
      </w:r>
      <w:r>
        <w:t xml:space="preserve"> </w:t>
      </w:r>
      <w:r w:rsidR="000E0468">
        <w:t>the key features</w:t>
      </w:r>
      <w:r w:rsidR="00232A32">
        <w:t xml:space="preserve"> and results</w:t>
      </w:r>
      <w:r w:rsidR="000E0468">
        <w:t xml:space="preserve"> of studies considered relevant for this assessment and Appendix </w:t>
      </w:r>
      <w:r w:rsidR="00232A32">
        <w:t>C</w:t>
      </w:r>
      <w:r w:rsidR="000E0468">
        <w:t xml:space="preserve"> provides greater detail on studies that included reviews and/or meta-analyses. </w:t>
      </w:r>
      <w:r w:rsidR="008A0574">
        <w:t xml:space="preserve">The populations are generally peri- or post-menopausal women. Collectively the studies assess the predictive value of DXA with or without clinical risk factors of osteoporotic fractures.  </w:t>
      </w:r>
    </w:p>
    <w:p w:rsidR="00816F71" w:rsidRPr="009A3B0D" w:rsidRDefault="00816F71" w:rsidP="000E0468">
      <w:pPr>
        <w:pStyle w:val="TableName"/>
      </w:pPr>
      <w:bookmarkStart w:id="101" w:name="_Toc386112684"/>
      <w:r w:rsidRPr="009A3B0D">
        <w:lastRenderedPageBreak/>
        <w:t xml:space="preserve">Table </w:t>
      </w:r>
      <w:r w:rsidR="00232A32">
        <w:t>15:</w:t>
      </w:r>
      <w:r w:rsidRPr="009A3B0D">
        <w:t xml:space="preserve"> Key features o</w:t>
      </w:r>
      <w:r w:rsidR="000E0468">
        <w:t>f</w:t>
      </w:r>
      <w:r w:rsidRPr="009A3B0D">
        <w:t xml:space="preserve"> studies assessing </w:t>
      </w:r>
      <w:r>
        <w:t>DXA vs clinical risk fracture tools</w:t>
      </w:r>
      <w:bookmarkEnd w:id="101"/>
      <w:r w:rsidRPr="009A3B0D">
        <w:t xml:space="preserve"> </w:t>
      </w:r>
    </w:p>
    <w:tbl>
      <w:tblPr>
        <w:tblStyle w:val="TableGrid"/>
        <w:tblW w:w="0" w:type="auto"/>
        <w:tblInd w:w="720" w:type="dxa"/>
        <w:tblLook w:val="04A0" w:firstRow="1" w:lastRow="0" w:firstColumn="1" w:lastColumn="0" w:noHBand="0" w:noVBand="1"/>
        <w:tblCaption w:val="Table 15 Key features of studies assessming DXA "/>
      </w:tblPr>
      <w:tblGrid>
        <w:gridCol w:w="1076"/>
        <w:gridCol w:w="1331"/>
        <w:gridCol w:w="1870"/>
        <w:gridCol w:w="2057"/>
        <w:gridCol w:w="2188"/>
      </w:tblGrid>
      <w:tr w:rsidR="00816F71" w:rsidRPr="00EC6CB4" w:rsidTr="00192A3B">
        <w:trPr>
          <w:tblHeader/>
        </w:trPr>
        <w:tc>
          <w:tcPr>
            <w:tcW w:w="1076" w:type="dxa"/>
          </w:tcPr>
          <w:p w:rsidR="00816F71" w:rsidRPr="00EC6CB4" w:rsidRDefault="00816F71" w:rsidP="00EB4A62">
            <w:pPr>
              <w:pStyle w:val="TableText"/>
              <w:rPr>
                <w:b/>
              </w:rPr>
            </w:pPr>
            <w:r w:rsidRPr="00EC6CB4">
              <w:rPr>
                <w:b/>
              </w:rPr>
              <w:t>Author/Year</w:t>
            </w:r>
          </w:p>
        </w:tc>
        <w:tc>
          <w:tcPr>
            <w:tcW w:w="1331" w:type="dxa"/>
          </w:tcPr>
          <w:p w:rsidR="00816F71" w:rsidRPr="00EC6CB4" w:rsidRDefault="00816F71" w:rsidP="00EB4A62">
            <w:pPr>
              <w:pStyle w:val="TableText"/>
              <w:rPr>
                <w:b/>
              </w:rPr>
            </w:pPr>
            <w:r w:rsidRPr="00EC6CB4">
              <w:rPr>
                <w:b/>
              </w:rPr>
              <w:t>Study design</w:t>
            </w:r>
          </w:p>
        </w:tc>
        <w:tc>
          <w:tcPr>
            <w:tcW w:w="1870" w:type="dxa"/>
          </w:tcPr>
          <w:p w:rsidR="00816F71" w:rsidRPr="00EC6CB4" w:rsidRDefault="0008156A" w:rsidP="008E75AB">
            <w:pPr>
              <w:pStyle w:val="TableText"/>
              <w:rPr>
                <w:b/>
              </w:rPr>
            </w:pPr>
            <w:r>
              <w:rPr>
                <w:b/>
              </w:rPr>
              <w:t>DXA vs comparator</w:t>
            </w:r>
          </w:p>
        </w:tc>
        <w:tc>
          <w:tcPr>
            <w:tcW w:w="2057" w:type="dxa"/>
          </w:tcPr>
          <w:p w:rsidR="00816F71" w:rsidRPr="00EC6CB4" w:rsidRDefault="00816F71" w:rsidP="00EB4A62">
            <w:pPr>
              <w:pStyle w:val="TableText"/>
              <w:rPr>
                <w:b/>
              </w:rPr>
            </w:pPr>
            <w:r>
              <w:rPr>
                <w:b/>
              </w:rPr>
              <w:t>Population</w:t>
            </w:r>
          </w:p>
        </w:tc>
        <w:tc>
          <w:tcPr>
            <w:tcW w:w="2188" w:type="dxa"/>
          </w:tcPr>
          <w:p w:rsidR="00816F71" w:rsidRPr="00EC6CB4" w:rsidRDefault="00816F71" w:rsidP="00EB4A62">
            <w:pPr>
              <w:pStyle w:val="TableText"/>
              <w:rPr>
                <w:b/>
              </w:rPr>
            </w:pPr>
            <w:r w:rsidRPr="00EC6CB4">
              <w:rPr>
                <w:b/>
              </w:rPr>
              <w:t>O</w:t>
            </w:r>
            <w:r>
              <w:rPr>
                <w:b/>
              </w:rPr>
              <w:t>utcome measures</w:t>
            </w:r>
          </w:p>
        </w:tc>
      </w:tr>
      <w:tr w:rsidR="00816F71" w:rsidTr="00192A3B">
        <w:trPr>
          <w:tblHeader/>
        </w:trPr>
        <w:tc>
          <w:tcPr>
            <w:tcW w:w="1076" w:type="dxa"/>
          </w:tcPr>
          <w:p w:rsidR="00816F71" w:rsidRDefault="00816F71" w:rsidP="00EB4A62">
            <w:pPr>
              <w:pStyle w:val="TableText"/>
            </w:pPr>
            <w:r>
              <w:t>Marshall 1996</w:t>
            </w:r>
          </w:p>
        </w:tc>
        <w:tc>
          <w:tcPr>
            <w:tcW w:w="1331" w:type="dxa"/>
          </w:tcPr>
          <w:p w:rsidR="00816F71" w:rsidRDefault="00816F71" w:rsidP="00816F71">
            <w:pPr>
              <w:pStyle w:val="TableText"/>
            </w:pPr>
            <w:r>
              <w:t>Systematic review and meta-analysis (11 studies)</w:t>
            </w:r>
          </w:p>
        </w:tc>
        <w:tc>
          <w:tcPr>
            <w:tcW w:w="1870" w:type="dxa"/>
          </w:tcPr>
          <w:p w:rsidR="00816F71" w:rsidRDefault="008E75AB" w:rsidP="00A30FA7">
            <w:pPr>
              <w:pStyle w:val="TableText"/>
              <w:spacing w:before="0" w:after="0"/>
            </w:pPr>
            <w:r>
              <w:t>BMD all absorptiometry MRI, ultrasound and CT methods</w:t>
            </w:r>
          </w:p>
          <w:p w:rsidR="008E75AB" w:rsidRDefault="0008156A" w:rsidP="00A30FA7">
            <w:pPr>
              <w:pStyle w:val="TableText"/>
              <w:spacing w:before="0" w:after="0"/>
            </w:pPr>
            <w:r>
              <w:t>Fractures vs none</w:t>
            </w:r>
          </w:p>
        </w:tc>
        <w:tc>
          <w:tcPr>
            <w:tcW w:w="2057" w:type="dxa"/>
          </w:tcPr>
          <w:p w:rsidR="00816F71" w:rsidRDefault="008E75AB" w:rsidP="00A30FA7">
            <w:pPr>
              <w:pStyle w:val="TableHeading"/>
              <w:spacing w:before="0" w:after="0"/>
              <w:rPr>
                <w:b w:val="0"/>
                <w:bCs/>
              </w:rPr>
            </w:pPr>
            <w:r>
              <w:rPr>
                <w:b w:val="0"/>
                <w:bCs/>
              </w:rPr>
              <w:t>90,000 person years</w:t>
            </w:r>
            <w:r w:rsidR="00F227E7">
              <w:rPr>
                <w:b w:val="0"/>
                <w:bCs/>
              </w:rPr>
              <w:t>, 11 prospective studies</w:t>
            </w:r>
          </w:p>
          <w:p w:rsidR="008E75AB" w:rsidRDefault="008E75AB" w:rsidP="00A30FA7">
            <w:pPr>
              <w:pStyle w:val="TableHeading"/>
              <w:spacing w:before="0" w:after="0"/>
              <w:rPr>
                <w:b w:val="0"/>
                <w:bCs/>
              </w:rPr>
            </w:pPr>
            <w:r>
              <w:rPr>
                <w:b w:val="0"/>
                <w:bCs/>
              </w:rPr>
              <w:t>2000 fractures</w:t>
            </w:r>
          </w:p>
          <w:p w:rsidR="00816F71" w:rsidRDefault="008E75AB" w:rsidP="00A30FA7">
            <w:pPr>
              <w:pStyle w:val="TableText"/>
              <w:spacing w:before="0" w:after="0"/>
            </w:pPr>
            <w:r>
              <w:t xml:space="preserve">Prospective cohort </w:t>
            </w:r>
            <w:r w:rsidR="00F227E7">
              <w:t xml:space="preserve">&amp; case control </w:t>
            </w:r>
            <w:r>
              <w:t>studies</w:t>
            </w:r>
          </w:p>
          <w:p w:rsidR="004A7FE5" w:rsidRDefault="003A0E85" w:rsidP="00A30FA7">
            <w:pPr>
              <w:pStyle w:val="TableText"/>
              <w:spacing w:before="0" w:after="0"/>
            </w:pPr>
            <w:r>
              <w:t>Women</w:t>
            </w:r>
            <w:r w:rsidR="004A7FE5">
              <w:t xml:space="preserve"> </w:t>
            </w:r>
            <w:r w:rsidR="00A30FA7">
              <w:t>(</w:t>
            </w:r>
            <w:r w:rsidR="004A7FE5" w:rsidRPr="00A30FA7">
              <w:t>post-meno</w:t>
            </w:r>
            <w:r w:rsidR="00A30FA7">
              <w:t xml:space="preserve"> age)</w:t>
            </w:r>
          </w:p>
        </w:tc>
        <w:tc>
          <w:tcPr>
            <w:tcW w:w="2188" w:type="dxa"/>
          </w:tcPr>
          <w:p w:rsidR="00816F71" w:rsidRDefault="00816F71" w:rsidP="00816F71">
            <w:pPr>
              <w:pStyle w:val="TableText"/>
            </w:pPr>
            <w:r>
              <w:t>RR of bone fractures for a decrease in BMD of 1 standard deviation below age adjusted mean</w:t>
            </w:r>
          </w:p>
        </w:tc>
      </w:tr>
      <w:tr w:rsidR="00816F71" w:rsidTr="00192A3B">
        <w:trPr>
          <w:tblHeader/>
        </w:trPr>
        <w:tc>
          <w:tcPr>
            <w:tcW w:w="1076" w:type="dxa"/>
          </w:tcPr>
          <w:p w:rsidR="00816F71" w:rsidRDefault="005D34AB" w:rsidP="00EB4A62">
            <w:pPr>
              <w:pStyle w:val="TableText"/>
            </w:pPr>
            <w:r>
              <w:t>Lim 2009</w:t>
            </w:r>
          </w:p>
        </w:tc>
        <w:tc>
          <w:tcPr>
            <w:tcW w:w="1331" w:type="dxa"/>
          </w:tcPr>
          <w:p w:rsidR="00816F71" w:rsidRDefault="00003AA4" w:rsidP="00EB4A62">
            <w:pPr>
              <w:pStyle w:val="TableText"/>
            </w:pPr>
            <w:r>
              <w:t>Review and position statement</w:t>
            </w:r>
          </w:p>
        </w:tc>
        <w:tc>
          <w:tcPr>
            <w:tcW w:w="1870" w:type="dxa"/>
          </w:tcPr>
          <w:p w:rsidR="00816F71" w:rsidRDefault="00003AA4" w:rsidP="00257330">
            <w:pPr>
              <w:pStyle w:val="TableText"/>
            </w:pPr>
            <w:r>
              <w:t xml:space="preserve">DXA and clinical risk tools </w:t>
            </w:r>
            <w:r w:rsidR="00257330">
              <w:t>reviewed</w:t>
            </w:r>
          </w:p>
        </w:tc>
        <w:tc>
          <w:tcPr>
            <w:tcW w:w="2057" w:type="dxa"/>
          </w:tcPr>
          <w:p w:rsidR="00816F71" w:rsidRPr="00003AA4" w:rsidRDefault="00003AA4" w:rsidP="00EB4A62">
            <w:pPr>
              <w:pStyle w:val="TableHeading"/>
              <w:rPr>
                <w:b w:val="0"/>
              </w:rPr>
            </w:pPr>
            <w:r>
              <w:rPr>
                <w:b w:val="0"/>
              </w:rPr>
              <w:t>US a</w:t>
            </w:r>
            <w:r w:rsidRPr="00003AA4">
              <w:rPr>
                <w:b w:val="0"/>
              </w:rPr>
              <w:t>dults</w:t>
            </w:r>
          </w:p>
        </w:tc>
        <w:tc>
          <w:tcPr>
            <w:tcW w:w="2188" w:type="dxa"/>
          </w:tcPr>
          <w:p w:rsidR="00816F71" w:rsidRDefault="004A7FE5" w:rsidP="00EB4A62">
            <w:pPr>
              <w:pStyle w:val="TableText"/>
            </w:pPr>
            <w:r>
              <w:t>S</w:t>
            </w:r>
            <w:r w:rsidR="00003AA4">
              <w:t>ensitivity and specificity of clinical risk tools</w:t>
            </w:r>
          </w:p>
          <w:p w:rsidR="004A7FE5" w:rsidRDefault="004A7FE5" w:rsidP="00EB4A62">
            <w:pPr>
              <w:pStyle w:val="TableText"/>
            </w:pPr>
          </w:p>
        </w:tc>
      </w:tr>
      <w:tr w:rsidR="00816F71" w:rsidTr="00192A3B">
        <w:trPr>
          <w:tblHeader/>
        </w:trPr>
        <w:tc>
          <w:tcPr>
            <w:tcW w:w="1076" w:type="dxa"/>
          </w:tcPr>
          <w:p w:rsidR="00816F71" w:rsidRDefault="009D51AF" w:rsidP="00EB4A62">
            <w:pPr>
              <w:pStyle w:val="TableText"/>
            </w:pPr>
            <w:r>
              <w:t>Kanis 2007</w:t>
            </w:r>
          </w:p>
        </w:tc>
        <w:tc>
          <w:tcPr>
            <w:tcW w:w="1331" w:type="dxa"/>
          </w:tcPr>
          <w:p w:rsidR="00816F71" w:rsidRDefault="009D51AF" w:rsidP="009D51AF">
            <w:pPr>
              <w:pStyle w:val="TableText"/>
            </w:pPr>
            <w:r>
              <w:t>Meta-analysis of 9 population</w:t>
            </w:r>
            <w:r w:rsidR="004A7FE5">
              <w:t>-based cohort</w:t>
            </w:r>
            <w:r>
              <w:t xml:space="preserve"> studies </w:t>
            </w:r>
          </w:p>
        </w:tc>
        <w:tc>
          <w:tcPr>
            <w:tcW w:w="1870" w:type="dxa"/>
          </w:tcPr>
          <w:p w:rsidR="00816F71" w:rsidRDefault="009D51AF" w:rsidP="00EB4A62">
            <w:pPr>
              <w:pStyle w:val="TableText"/>
            </w:pPr>
            <w:r>
              <w:t>BMD</w:t>
            </w:r>
            <w:r w:rsidR="00257330">
              <w:t>/</w:t>
            </w:r>
            <w:r w:rsidR="00257330" w:rsidRPr="00A30FA7">
              <w:t>all DXA</w:t>
            </w:r>
            <w:r>
              <w:t xml:space="preserve"> with or without clinical risk factors to predict fractures (compared to 11 validation cohorts)</w:t>
            </w:r>
          </w:p>
        </w:tc>
        <w:tc>
          <w:tcPr>
            <w:tcW w:w="2057" w:type="dxa"/>
          </w:tcPr>
          <w:p w:rsidR="004A7FE5" w:rsidRDefault="009D51AF" w:rsidP="00EB4A62">
            <w:pPr>
              <w:pStyle w:val="TableText"/>
            </w:pPr>
            <w:r>
              <w:t>Primary cohort: n=46</w:t>
            </w:r>
            <w:r w:rsidR="004A7FE5">
              <w:t>,340</w:t>
            </w:r>
            <w:r>
              <w:t xml:space="preserve"> 68% women, </w:t>
            </w:r>
          </w:p>
          <w:p w:rsidR="00816F71" w:rsidRDefault="00257330" w:rsidP="00EB4A62">
            <w:pPr>
              <w:pStyle w:val="TableText"/>
            </w:pPr>
            <w:r>
              <w:t>189,852 person years, M</w:t>
            </w:r>
            <w:r w:rsidR="009D51AF">
              <w:t>ean age 65</w:t>
            </w:r>
          </w:p>
        </w:tc>
        <w:tc>
          <w:tcPr>
            <w:tcW w:w="2188" w:type="dxa"/>
          </w:tcPr>
          <w:p w:rsidR="00816F71" w:rsidRPr="009D51AF" w:rsidRDefault="009D51AF" w:rsidP="00EB4A62">
            <w:pPr>
              <w:pStyle w:val="TableText"/>
            </w:pPr>
            <w:r w:rsidRPr="009D51AF">
              <w:rPr>
                <w:bCs/>
              </w:rPr>
              <w:t>Gradient of risk = increase in fracture ris</w:t>
            </w:r>
            <w:r w:rsidR="00257330">
              <w:rPr>
                <w:bCs/>
              </w:rPr>
              <w:t>k per SD increase in risk score,</w:t>
            </w:r>
            <w:r w:rsidRPr="009D51AF">
              <w:rPr>
                <w:bCs/>
              </w:rPr>
              <w:t xml:space="preserve"> (95%CI)</w:t>
            </w:r>
          </w:p>
        </w:tc>
      </w:tr>
      <w:tr w:rsidR="00816F71" w:rsidTr="00192A3B">
        <w:trPr>
          <w:tblHeader/>
        </w:trPr>
        <w:tc>
          <w:tcPr>
            <w:tcW w:w="1076" w:type="dxa"/>
          </w:tcPr>
          <w:p w:rsidR="00816F71" w:rsidRDefault="00006AB4" w:rsidP="00EB4A62">
            <w:pPr>
              <w:pStyle w:val="TableText"/>
            </w:pPr>
            <w:r>
              <w:t>Rud 2007</w:t>
            </w:r>
          </w:p>
        </w:tc>
        <w:tc>
          <w:tcPr>
            <w:tcW w:w="1331" w:type="dxa"/>
          </w:tcPr>
          <w:p w:rsidR="00816F71" w:rsidRDefault="00006AB4" w:rsidP="00EB4A62">
            <w:pPr>
              <w:pStyle w:val="TableText"/>
            </w:pPr>
            <w:r>
              <w:t>Meta-analysis of 36 studies</w:t>
            </w:r>
          </w:p>
        </w:tc>
        <w:tc>
          <w:tcPr>
            <w:tcW w:w="1870" w:type="dxa"/>
          </w:tcPr>
          <w:p w:rsidR="00816F71" w:rsidRDefault="00006AB4" w:rsidP="00EB4A62">
            <w:pPr>
              <w:pStyle w:val="TableText"/>
            </w:pPr>
            <w:r>
              <w:t>Performance of OST clinical risk tool vs DXA</w:t>
            </w:r>
          </w:p>
        </w:tc>
        <w:tc>
          <w:tcPr>
            <w:tcW w:w="2057" w:type="dxa"/>
          </w:tcPr>
          <w:p w:rsidR="00816F71" w:rsidRPr="00006AB4" w:rsidRDefault="00006AB4" w:rsidP="00EB4A62">
            <w:pPr>
              <w:pStyle w:val="TableText"/>
            </w:pPr>
            <w:r w:rsidRPr="00006AB4">
              <w:rPr>
                <w:bCs/>
              </w:rPr>
              <w:t>n =72</w:t>
            </w:r>
            <w:r>
              <w:rPr>
                <w:bCs/>
              </w:rPr>
              <w:t>,</w:t>
            </w:r>
            <w:r w:rsidRPr="00006AB4">
              <w:rPr>
                <w:bCs/>
              </w:rPr>
              <w:t xml:space="preserve">315 women, </w:t>
            </w:r>
            <w:r>
              <w:rPr>
                <w:bCs/>
              </w:rPr>
              <w:t xml:space="preserve">peri and </w:t>
            </w:r>
            <w:r w:rsidR="007A119D">
              <w:rPr>
                <w:bCs/>
              </w:rPr>
              <w:t>post-menopaus</w:t>
            </w:r>
            <w:r>
              <w:rPr>
                <w:bCs/>
              </w:rPr>
              <w:t xml:space="preserve">al, </w:t>
            </w:r>
            <w:r w:rsidRPr="00006AB4">
              <w:rPr>
                <w:bCs/>
              </w:rPr>
              <w:t>median sample size 780</w:t>
            </w:r>
            <w:r w:rsidR="00F227E7">
              <w:rPr>
                <w:bCs/>
              </w:rPr>
              <w:t>, mean &gt;45 years</w:t>
            </w:r>
          </w:p>
        </w:tc>
        <w:tc>
          <w:tcPr>
            <w:tcW w:w="2188" w:type="dxa"/>
          </w:tcPr>
          <w:p w:rsidR="00816F71" w:rsidRDefault="00006AB4" w:rsidP="00EB4A62">
            <w:pPr>
              <w:pStyle w:val="TableText"/>
            </w:pPr>
            <w:r>
              <w:t>Sensitivity and specificity,</w:t>
            </w:r>
          </w:p>
          <w:p w:rsidR="00006AB4" w:rsidRPr="00006AB4" w:rsidRDefault="00006AB4" w:rsidP="00524439">
            <w:pPr>
              <w:pStyle w:val="TableText"/>
            </w:pPr>
            <w:r w:rsidRPr="00006AB4">
              <w:t xml:space="preserve">Likelihood Ratio of a Negative Test  </w:t>
            </w:r>
            <w:r w:rsidR="00F227E7">
              <w:t xml:space="preserve">(DXA reference </w:t>
            </w:r>
            <w:r w:rsidR="00524439">
              <w:t>standard)</w:t>
            </w:r>
          </w:p>
        </w:tc>
      </w:tr>
      <w:tr w:rsidR="00006AB4" w:rsidTr="00192A3B">
        <w:trPr>
          <w:tblHeader/>
        </w:trPr>
        <w:tc>
          <w:tcPr>
            <w:tcW w:w="1076" w:type="dxa"/>
          </w:tcPr>
          <w:p w:rsidR="00006AB4" w:rsidRDefault="00006AB4" w:rsidP="00EB4A62">
            <w:pPr>
              <w:pStyle w:val="TableText"/>
            </w:pPr>
            <w:r>
              <w:t>Cummins 2011</w:t>
            </w:r>
          </w:p>
        </w:tc>
        <w:tc>
          <w:tcPr>
            <w:tcW w:w="1331" w:type="dxa"/>
          </w:tcPr>
          <w:p w:rsidR="00006AB4" w:rsidRDefault="001A2274" w:rsidP="00006AB4">
            <w:pPr>
              <w:pStyle w:val="TableText"/>
            </w:pPr>
            <w:r>
              <w:t xml:space="preserve">Case control </w:t>
            </w:r>
            <w:r w:rsidR="00006AB4">
              <w:t>study</w:t>
            </w:r>
            <w:r>
              <w:t xml:space="preserve"> (retrospective)</w:t>
            </w:r>
            <w:r w:rsidR="00006AB4">
              <w:t xml:space="preserve"> </w:t>
            </w:r>
          </w:p>
        </w:tc>
        <w:tc>
          <w:tcPr>
            <w:tcW w:w="1870" w:type="dxa"/>
          </w:tcPr>
          <w:p w:rsidR="00006AB4" w:rsidRDefault="00006AB4" w:rsidP="00EB4A62">
            <w:pPr>
              <w:pStyle w:val="TableText"/>
            </w:pPr>
            <w:r>
              <w:t>FRAX (with DXA) vs QFractureScores (no DXA)</w:t>
            </w:r>
          </w:p>
        </w:tc>
        <w:tc>
          <w:tcPr>
            <w:tcW w:w="2057" w:type="dxa"/>
          </w:tcPr>
          <w:p w:rsidR="00006AB4" w:rsidRDefault="00006AB4" w:rsidP="00EB4A62">
            <w:pPr>
              <w:pStyle w:val="TableText"/>
              <w:rPr>
                <w:bCs/>
              </w:rPr>
            </w:pPr>
            <w:r>
              <w:rPr>
                <w:bCs/>
              </w:rPr>
              <w:t>N=246 women who had fractures aged 50-85 years</w:t>
            </w:r>
          </w:p>
          <w:p w:rsidR="00006AB4" w:rsidRPr="00006AB4" w:rsidRDefault="00006AB4" w:rsidP="00EB4A62">
            <w:pPr>
              <w:pStyle w:val="TableText"/>
              <w:rPr>
                <w:bCs/>
              </w:rPr>
            </w:pPr>
            <w:r>
              <w:rPr>
                <w:bCs/>
              </w:rPr>
              <w:t>N=338 controls</w:t>
            </w:r>
          </w:p>
        </w:tc>
        <w:tc>
          <w:tcPr>
            <w:tcW w:w="2188" w:type="dxa"/>
          </w:tcPr>
          <w:p w:rsidR="00006AB4" w:rsidRDefault="00006AB4" w:rsidP="00EB4A62">
            <w:pPr>
              <w:pStyle w:val="TableText"/>
            </w:pPr>
            <w:r>
              <w:t>Risk of fracture</w:t>
            </w:r>
          </w:p>
          <w:p w:rsidR="00006AB4" w:rsidRDefault="00006AB4" w:rsidP="00EB4A62">
            <w:pPr>
              <w:pStyle w:val="TableText"/>
            </w:pPr>
            <w:r>
              <w:t>Correlation statistics</w:t>
            </w:r>
          </w:p>
        </w:tc>
      </w:tr>
      <w:tr w:rsidR="004F5504" w:rsidTr="00192A3B">
        <w:trPr>
          <w:tblHeader/>
        </w:trPr>
        <w:tc>
          <w:tcPr>
            <w:tcW w:w="1076" w:type="dxa"/>
          </w:tcPr>
          <w:p w:rsidR="004F5504" w:rsidRDefault="004F5504" w:rsidP="00A30FA7">
            <w:pPr>
              <w:pStyle w:val="TableText"/>
            </w:pPr>
            <w:r>
              <w:t xml:space="preserve">Hailey </w:t>
            </w:r>
            <w:r w:rsidR="00A30FA7">
              <w:t>1998</w:t>
            </w:r>
          </w:p>
        </w:tc>
        <w:tc>
          <w:tcPr>
            <w:tcW w:w="1331" w:type="dxa"/>
          </w:tcPr>
          <w:p w:rsidR="004F5504" w:rsidRDefault="004F5504" w:rsidP="00006AB4">
            <w:pPr>
              <w:pStyle w:val="TableText"/>
            </w:pPr>
            <w:r>
              <w:t>HTA report</w:t>
            </w:r>
            <w:r w:rsidR="006F202D">
              <w:t>, collaborative review</w:t>
            </w:r>
          </w:p>
        </w:tc>
        <w:tc>
          <w:tcPr>
            <w:tcW w:w="1870" w:type="dxa"/>
          </w:tcPr>
          <w:p w:rsidR="004F5504" w:rsidRDefault="004F5504" w:rsidP="00F227E7">
            <w:pPr>
              <w:pStyle w:val="TableText"/>
            </w:pPr>
            <w:r>
              <w:t>Role of DXA</w:t>
            </w:r>
            <w:r w:rsidR="00F227E7">
              <w:t xml:space="preserve"> &amp; treatment for fractures</w:t>
            </w:r>
          </w:p>
        </w:tc>
        <w:tc>
          <w:tcPr>
            <w:tcW w:w="2057" w:type="dxa"/>
          </w:tcPr>
          <w:p w:rsidR="004F5504" w:rsidRDefault="00257330" w:rsidP="00EB4A62">
            <w:pPr>
              <w:pStyle w:val="TableText"/>
              <w:rPr>
                <w:bCs/>
              </w:rPr>
            </w:pPr>
            <w:r>
              <w:rPr>
                <w:bCs/>
              </w:rPr>
              <w:t>n/a</w:t>
            </w:r>
          </w:p>
        </w:tc>
        <w:tc>
          <w:tcPr>
            <w:tcW w:w="2188" w:type="dxa"/>
          </w:tcPr>
          <w:p w:rsidR="004F5504" w:rsidRDefault="004F5504" w:rsidP="00EB4A62">
            <w:pPr>
              <w:pStyle w:val="TableText"/>
            </w:pPr>
            <w:r>
              <w:t>Commentary summary</w:t>
            </w:r>
          </w:p>
        </w:tc>
      </w:tr>
      <w:tr w:rsidR="004F5504" w:rsidTr="00192A3B">
        <w:trPr>
          <w:tblHeader/>
        </w:trPr>
        <w:tc>
          <w:tcPr>
            <w:tcW w:w="1076" w:type="dxa"/>
          </w:tcPr>
          <w:p w:rsidR="004F5504" w:rsidRDefault="004F5504" w:rsidP="00A30FA7">
            <w:pPr>
              <w:pStyle w:val="TableText"/>
            </w:pPr>
            <w:r>
              <w:t>Homik</w:t>
            </w:r>
            <w:r w:rsidR="00257330">
              <w:t xml:space="preserve"> </w:t>
            </w:r>
            <w:r w:rsidR="00A30FA7">
              <w:t>1999</w:t>
            </w:r>
          </w:p>
        </w:tc>
        <w:tc>
          <w:tcPr>
            <w:tcW w:w="1331" w:type="dxa"/>
          </w:tcPr>
          <w:p w:rsidR="004F5504" w:rsidRDefault="004F5504" w:rsidP="00006AB4">
            <w:pPr>
              <w:pStyle w:val="TableText"/>
            </w:pPr>
            <w:r>
              <w:t>HTA report</w:t>
            </w:r>
          </w:p>
        </w:tc>
        <w:tc>
          <w:tcPr>
            <w:tcW w:w="1870" w:type="dxa"/>
          </w:tcPr>
          <w:p w:rsidR="004F5504" w:rsidRDefault="004F5504" w:rsidP="00EB4A62">
            <w:pPr>
              <w:pStyle w:val="TableText"/>
            </w:pPr>
            <w:r>
              <w:t>Role of DXA</w:t>
            </w:r>
          </w:p>
          <w:p w:rsidR="004F5504" w:rsidRDefault="004F5504" w:rsidP="00EB4A62">
            <w:pPr>
              <w:pStyle w:val="TableText"/>
            </w:pPr>
          </w:p>
        </w:tc>
        <w:tc>
          <w:tcPr>
            <w:tcW w:w="2057" w:type="dxa"/>
          </w:tcPr>
          <w:p w:rsidR="004F5504" w:rsidRDefault="00257330" w:rsidP="00EB4A62">
            <w:pPr>
              <w:pStyle w:val="TableText"/>
              <w:rPr>
                <w:bCs/>
              </w:rPr>
            </w:pPr>
            <w:r>
              <w:rPr>
                <w:bCs/>
              </w:rPr>
              <w:t>n/a</w:t>
            </w:r>
          </w:p>
        </w:tc>
        <w:tc>
          <w:tcPr>
            <w:tcW w:w="2188" w:type="dxa"/>
          </w:tcPr>
          <w:p w:rsidR="004F5504" w:rsidRDefault="00257330" w:rsidP="00EB4A62">
            <w:pPr>
              <w:pStyle w:val="TableText"/>
            </w:pPr>
            <w:r>
              <w:t>Commentary summary</w:t>
            </w:r>
          </w:p>
        </w:tc>
      </w:tr>
    </w:tbl>
    <w:p w:rsidR="00901610" w:rsidRDefault="00901610" w:rsidP="00901610">
      <w:pPr>
        <w:pStyle w:val="TableText"/>
        <w:ind w:left="567"/>
      </w:pPr>
      <w:r>
        <w:t>BMD = bone mineral density, DXA = dual energy x-ray absorptiometry, MRI = magnetic resonance imaging, RR = relative risk, OST = Osteoporosis Self-Assessment Screening  tool, FRAX = fracture risk-assessment tool, SD = standard deviation, CT = computer tomography, HTA = Health Technology Assessment</w:t>
      </w:r>
    </w:p>
    <w:p w:rsidR="00816F71" w:rsidRDefault="00816F71" w:rsidP="00036FDB"/>
    <w:p w:rsidR="00816F71" w:rsidRPr="009A3B0D" w:rsidRDefault="00816F71" w:rsidP="00B808EA">
      <w:pPr>
        <w:pStyle w:val="TableName"/>
      </w:pPr>
      <w:bookmarkStart w:id="102" w:name="_Toc386112685"/>
      <w:r w:rsidRPr="009A3B0D">
        <w:lastRenderedPageBreak/>
        <w:t xml:space="preserve">Table </w:t>
      </w:r>
      <w:r w:rsidR="00232A32">
        <w:t>16</w:t>
      </w:r>
      <w:r w:rsidR="00B808EA">
        <w:t>:</w:t>
      </w:r>
      <w:r w:rsidRPr="009A3B0D">
        <w:t xml:space="preserve"> Key results and appraisal of studies assessing </w:t>
      </w:r>
      <w:r>
        <w:t>DXA vs clinical risk fracture tools</w:t>
      </w:r>
      <w:bookmarkEnd w:id="102"/>
      <w:r w:rsidRPr="009A3B0D">
        <w:t xml:space="preserve"> </w:t>
      </w:r>
    </w:p>
    <w:tbl>
      <w:tblPr>
        <w:tblStyle w:val="TableGrid"/>
        <w:tblW w:w="8886" w:type="dxa"/>
        <w:tblInd w:w="720" w:type="dxa"/>
        <w:tblLook w:val="04A0" w:firstRow="1" w:lastRow="0" w:firstColumn="1" w:lastColumn="0" w:noHBand="0" w:noVBand="1"/>
        <w:tblCaption w:val="Table 16 Key results of studies assessing DXA"/>
      </w:tblPr>
      <w:tblGrid>
        <w:gridCol w:w="1089"/>
        <w:gridCol w:w="3828"/>
        <w:gridCol w:w="2976"/>
        <w:gridCol w:w="993"/>
      </w:tblGrid>
      <w:tr w:rsidR="00816F71" w:rsidRPr="00EC6CB4" w:rsidTr="00192A3B">
        <w:trPr>
          <w:tblHeader/>
        </w:trPr>
        <w:tc>
          <w:tcPr>
            <w:tcW w:w="1089" w:type="dxa"/>
          </w:tcPr>
          <w:p w:rsidR="00816F71" w:rsidRPr="00EC6CB4" w:rsidRDefault="00816F71" w:rsidP="00EB4A62">
            <w:pPr>
              <w:pStyle w:val="TableText"/>
              <w:rPr>
                <w:b/>
              </w:rPr>
            </w:pPr>
            <w:r w:rsidRPr="00EC6CB4">
              <w:rPr>
                <w:b/>
              </w:rPr>
              <w:t>Author/Year</w:t>
            </w:r>
          </w:p>
        </w:tc>
        <w:tc>
          <w:tcPr>
            <w:tcW w:w="3828" w:type="dxa"/>
          </w:tcPr>
          <w:p w:rsidR="00816F71" w:rsidRPr="00EC6CB4" w:rsidRDefault="00816F71" w:rsidP="00EB4A62">
            <w:pPr>
              <w:pStyle w:val="TableText"/>
              <w:rPr>
                <w:b/>
              </w:rPr>
            </w:pPr>
            <w:r w:rsidRPr="00EC6CB4">
              <w:rPr>
                <w:b/>
              </w:rPr>
              <w:t>Main outcome</w:t>
            </w:r>
            <w:r>
              <w:rPr>
                <w:b/>
              </w:rPr>
              <w:t>s</w:t>
            </w:r>
          </w:p>
        </w:tc>
        <w:tc>
          <w:tcPr>
            <w:tcW w:w="2976" w:type="dxa"/>
          </w:tcPr>
          <w:p w:rsidR="00816F71" w:rsidRPr="00EC6CB4" w:rsidRDefault="00816F71" w:rsidP="00EB4A62">
            <w:pPr>
              <w:pStyle w:val="TableText"/>
              <w:rPr>
                <w:b/>
              </w:rPr>
            </w:pPr>
            <w:r w:rsidRPr="00EC6CB4">
              <w:rPr>
                <w:b/>
              </w:rPr>
              <w:t>Author conclusions</w:t>
            </w:r>
          </w:p>
        </w:tc>
        <w:tc>
          <w:tcPr>
            <w:tcW w:w="993" w:type="dxa"/>
          </w:tcPr>
          <w:p w:rsidR="00816F71" w:rsidRPr="00EC6CB4" w:rsidRDefault="00816F71" w:rsidP="00EB4A62">
            <w:pPr>
              <w:pStyle w:val="TableText"/>
              <w:rPr>
                <w:b/>
              </w:rPr>
            </w:pPr>
            <w:r w:rsidRPr="00EC6CB4">
              <w:rPr>
                <w:b/>
              </w:rPr>
              <w:t>Quality</w:t>
            </w:r>
          </w:p>
        </w:tc>
      </w:tr>
      <w:tr w:rsidR="00816F71" w:rsidTr="00192A3B">
        <w:trPr>
          <w:tblHeader/>
        </w:trPr>
        <w:tc>
          <w:tcPr>
            <w:tcW w:w="1089" w:type="dxa"/>
          </w:tcPr>
          <w:p w:rsidR="00816F71" w:rsidRDefault="008E75AB" w:rsidP="00EB4A62">
            <w:pPr>
              <w:pStyle w:val="TableText"/>
            </w:pPr>
            <w:r>
              <w:t>Marshall 1996</w:t>
            </w:r>
          </w:p>
        </w:tc>
        <w:tc>
          <w:tcPr>
            <w:tcW w:w="3828" w:type="dxa"/>
          </w:tcPr>
          <w:p w:rsidR="00816F71" w:rsidRDefault="008E75AB" w:rsidP="00EB4A62">
            <w:pPr>
              <w:pStyle w:val="TableText"/>
            </w:pPr>
            <w:r>
              <w:t xml:space="preserve">RR fractures all sites1.5 (95%CI: 1.4, 1.6) except: </w:t>
            </w:r>
          </w:p>
          <w:p w:rsidR="008E75AB" w:rsidRDefault="008E75AB" w:rsidP="00EB4A62">
            <w:pPr>
              <w:pStyle w:val="TableText"/>
            </w:pPr>
            <w:r>
              <w:t>RR spine fractures 2.3 (95%CI: 1.9, 2.8)</w:t>
            </w:r>
          </w:p>
          <w:p w:rsidR="008E75AB" w:rsidRDefault="008E75AB" w:rsidP="008E75AB">
            <w:pPr>
              <w:pStyle w:val="TableText"/>
            </w:pPr>
            <w:r>
              <w:t>RR hip fractures 2.6 (95%CI: 2.0, 3.5)</w:t>
            </w:r>
          </w:p>
          <w:p w:rsidR="008E75AB" w:rsidRDefault="008E75AB" w:rsidP="008E75AB">
            <w:pPr>
              <w:pStyle w:val="TableText"/>
            </w:pPr>
            <w:r>
              <w:t>No association between RR for dec BMD 1 sd and length of follow up</w:t>
            </w:r>
          </w:p>
        </w:tc>
        <w:tc>
          <w:tcPr>
            <w:tcW w:w="2976" w:type="dxa"/>
          </w:tcPr>
          <w:p w:rsidR="00003AA4" w:rsidRDefault="008E75AB" w:rsidP="00EB4A62">
            <w:pPr>
              <w:pStyle w:val="TableText"/>
            </w:pPr>
            <w:r>
              <w:t xml:space="preserve">BMD measurements predict fracture risk but not individuals who will have a fracture. </w:t>
            </w:r>
          </w:p>
          <w:p w:rsidR="00816F71" w:rsidRDefault="008E75AB" w:rsidP="00EB4A62">
            <w:pPr>
              <w:pStyle w:val="TableText"/>
            </w:pPr>
            <w:r>
              <w:t>Screening menopausal women for osteoporosis is not recommended</w:t>
            </w:r>
          </w:p>
        </w:tc>
        <w:tc>
          <w:tcPr>
            <w:tcW w:w="993" w:type="dxa"/>
          </w:tcPr>
          <w:p w:rsidR="00816F71" w:rsidRDefault="008E75AB" w:rsidP="00EB4A62">
            <w:pPr>
              <w:pStyle w:val="TableText"/>
            </w:pPr>
            <w:r>
              <w:t>MEDIUM</w:t>
            </w:r>
          </w:p>
        </w:tc>
      </w:tr>
      <w:tr w:rsidR="00816F71" w:rsidTr="00192A3B">
        <w:trPr>
          <w:tblHeader/>
        </w:trPr>
        <w:tc>
          <w:tcPr>
            <w:tcW w:w="1089" w:type="dxa"/>
          </w:tcPr>
          <w:p w:rsidR="00816F71" w:rsidRDefault="00003AA4" w:rsidP="00EB4A62">
            <w:pPr>
              <w:pStyle w:val="TableText"/>
            </w:pPr>
            <w:r>
              <w:t>Lim 2009</w:t>
            </w:r>
          </w:p>
        </w:tc>
        <w:tc>
          <w:tcPr>
            <w:tcW w:w="3828" w:type="dxa"/>
          </w:tcPr>
          <w:p w:rsidR="00003AA4" w:rsidRDefault="00003AA4" w:rsidP="00003AA4">
            <w:pPr>
              <w:pStyle w:val="TableHeading"/>
              <w:rPr>
                <w:b w:val="0"/>
                <w:bCs/>
              </w:rPr>
            </w:pPr>
            <w:r>
              <w:rPr>
                <w:b w:val="0"/>
                <w:bCs/>
              </w:rPr>
              <w:t>No RCTs exist for screening on fracture outcomes.</w:t>
            </w:r>
          </w:p>
          <w:p w:rsidR="00003AA4" w:rsidRDefault="00003AA4" w:rsidP="00003AA4">
            <w:pPr>
              <w:pStyle w:val="TableHeading"/>
              <w:tabs>
                <w:tab w:val="left" w:pos="2266"/>
              </w:tabs>
              <w:rPr>
                <w:b w:val="0"/>
              </w:rPr>
            </w:pPr>
            <w:r>
              <w:rPr>
                <w:b w:val="0"/>
              </w:rPr>
              <w:t>OST Sensitivity = 88-92% Specificity = 37-52%, in women aged ≥45 years (better discriminative ability than ORAI or SCORE</w:t>
            </w:r>
            <w:r w:rsidR="00901610">
              <w:rPr>
                <w:b w:val="0"/>
              </w:rPr>
              <w:t xml:space="preserve"> risk tools</w:t>
            </w:r>
            <w:r>
              <w:rPr>
                <w:b w:val="0"/>
              </w:rPr>
              <w:t>)</w:t>
            </w:r>
          </w:p>
          <w:p w:rsidR="00003AA4" w:rsidRDefault="00003AA4" w:rsidP="00003AA4">
            <w:pPr>
              <w:pStyle w:val="TableHeading"/>
              <w:tabs>
                <w:tab w:val="left" w:pos="2266"/>
              </w:tabs>
              <w:rPr>
                <w:b w:val="0"/>
              </w:rPr>
            </w:pPr>
            <w:r>
              <w:rPr>
                <w:b w:val="0"/>
              </w:rPr>
              <w:t>ORAI Sensitivity = 94.4% Specificity = 41.4%</w:t>
            </w:r>
          </w:p>
          <w:p w:rsidR="00003AA4" w:rsidRDefault="00003AA4" w:rsidP="00003AA4">
            <w:pPr>
              <w:pStyle w:val="TableHeading"/>
              <w:tabs>
                <w:tab w:val="left" w:pos="2266"/>
              </w:tabs>
              <w:rPr>
                <w:b w:val="0"/>
              </w:rPr>
            </w:pPr>
            <w:r>
              <w:rPr>
                <w:b w:val="0"/>
              </w:rPr>
              <w:t>SCORE Sensitivity = 93.6% Specificity = 43.3%</w:t>
            </w:r>
          </w:p>
          <w:p w:rsidR="00003AA4" w:rsidRPr="00901610" w:rsidRDefault="00003AA4" w:rsidP="00901610">
            <w:pPr>
              <w:pStyle w:val="TableHeading"/>
              <w:tabs>
                <w:tab w:val="left" w:pos="2266"/>
              </w:tabs>
              <w:rPr>
                <w:b w:val="0"/>
              </w:rPr>
            </w:pPr>
            <w:r>
              <w:rPr>
                <w:b w:val="0"/>
              </w:rPr>
              <w:t>OSIRIS Sensitivity = 78.5% Specificity = 51</w:t>
            </w:r>
            <w:r w:rsidR="00901610">
              <w:rPr>
                <w:b w:val="0"/>
              </w:rPr>
              <w:t>.4%</w:t>
            </w:r>
          </w:p>
        </w:tc>
        <w:tc>
          <w:tcPr>
            <w:tcW w:w="2976" w:type="dxa"/>
          </w:tcPr>
          <w:p w:rsidR="00003AA4" w:rsidRDefault="00003AA4" w:rsidP="00003AA4">
            <w:pPr>
              <w:pStyle w:val="TableHeading"/>
              <w:rPr>
                <w:b w:val="0"/>
                <w:bCs/>
              </w:rPr>
            </w:pPr>
            <w:r>
              <w:rPr>
                <w:b w:val="0"/>
                <w:bCs/>
              </w:rPr>
              <w:t>DXA is the most widely used and accepted method of BMD measurement. Studies on the harms related to radiation exposure from repeated DXA scans are lacking.</w:t>
            </w:r>
          </w:p>
          <w:p w:rsidR="00816F71" w:rsidRPr="00003AA4" w:rsidRDefault="00003AA4" w:rsidP="00901610">
            <w:pPr>
              <w:pStyle w:val="TableHeading"/>
              <w:rPr>
                <w:b w:val="0"/>
                <w:bCs/>
              </w:rPr>
            </w:pPr>
            <w:r>
              <w:rPr>
                <w:b w:val="0"/>
                <w:bCs/>
              </w:rPr>
              <w:t xml:space="preserve">Risk assessment tools may be useful supplements to BMD assessment </w:t>
            </w:r>
            <w:r w:rsidR="00901610">
              <w:rPr>
                <w:b w:val="0"/>
                <w:bCs/>
              </w:rPr>
              <w:t xml:space="preserve">and </w:t>
            </w:r>
            <w:r>
              <w:rPr>
                <w:b w:val="0"/>
                <w:bCs/>
              </w:rPr>
              <w:t>can be used when DXA is not available.</w:t>
            </w:r>
          </w:p>
        </w:tc>
        <w:tc>
          <w:tcPr>
            <w:tcW w:w="993" w:type="dxa"/>
          </w:tcPr>
          <w:p w:rsidR="00816F71" w:rsidRDefault="00003AA4" w:rsidP="00EB4A62">
            <w:pPr>
              <w:pStyle w:val="TableText"/>
            </w:pPr>
            <w:r>
              <w:t>POOR</w:t>
            </w:r>
          </w:p>
        </w:tc>
      </w:tr>
      <w:tr w:rsidR="009D51AF" w:rsidTr="00192A3B">
        <w:trPr>
          <w:tblHeader/>
        </w:trPr>
        <w:tc>
          <w:tcPr>
            <w:tcW w:w="1089" w:type="dxa"/>
          </w:tcPr>
          <w:p w:rsidR="009D51AF" w:rsidRDefault="009D51AF" w:rsidP="00EB4A62">
            <w:pPr>
              <w:pStyle w:val="TableText"/>
            </w:pPr>
            <w:r>
              <w:t>Kanis 2007</w:t>
            </w:r>
          </w:p>
        </w:tc>
        <w:tc>
          <w:tcPr>
            <w:tcW w:w="3828" w:type="dxa"/>
          </w:tcPr>
          <w:p w:rsidR="009D51AF" w:rsidRDefault="009D51AF" w:rsidP="009D51AF">
            <w:pPr>
              <w:pStyle w:val="TableHeading"/>
              <w:rPr>
                <w:b w:val="0"/>
                <w:bCs/>
              </w:rPr>
            </w:pPr>
            <w:r w:rsidRPr="00901610">
              <w:rPr>
                <w:b w:val="0"/>
                <w:bCs/>
                <w:u w:val="single"/>
              </w:rPr>
              <w:t>Hip fracture (50 year old)</w:t>
            </w:r>
            <w:r>
              <w:rPr>
                <w:b w:val="0"/>
                <w:bCs/>
              </w:rPr>
              <w:t>:</w:t>
            </w:r>
          </w:p>
          <w:p w:rsidR="009D51AF" w:rsidRDefault="009D51AF" w:rsidP="009D51AF">
            <w:pPr>
              <w:pStyle w:val="TableHeading"/>
              <w:rPr>
                <w:b w:val="0"/>
                <w:bCs/>
              </w:rPr>
            </w:pPr>
            <w:r>
              <w:rPr>
                <w:b w:val="0"/>
                <w:bCs/>
              </w:rPr>
              <w:t>BMD alone - GR 3.68 (95%CI: 2.61, 5.19)</w:t>
            </w:r>
          </w:p>
          <w:p w:rsidR="009D51AF" w:rsidRDefault="00901610" w:rsidP="009D51AF">
            <w:pPr>
              <w:pStyle w:val="TableHeading"/>
              <w:rPr>
                <w:b w:val="0"/>
                <w:bCs/>
              </w:rPr>
            </w:pPr>
            <w:r>
              <w:rPr>
                <w:b w:val="0"/>
                <w:bCs/>
              </w:rPr>
              <w:t>Clinical risk factors alone -</w:t>
            </w:r>
            <w:r w:rsidR="009D51AF">
              <w:rPr>
                <w:b w:val="0"/>
                <w:bCs/>
              </w:rPr>
              <w:t>GR 2.05 (95%CI: 1.58, 2.65)</w:t>
            </w:r>
          </w:p>
          <w:p w:rsidR="009D51AF" w:rsidRDefault="009D51AF" w:rsidP="009D51AF">
            <w:pPr>
              <w:pStyle w:val="TableHeading"/>
              <w:tabs>
                <w:tab w:val="left" w:pos="2266"/>
              </w:tabs>
              <w:rPr>
                <w:b w:val="0"/>
                <w:bCs/>
              </w:rPr>
            </w:pPr>
            <w:r>
              <w:rPr>
                <w:b w:val="0"/>
                <w:bCs/>
              </w:rPr>
              <w:t>Both - GR 4.23 (95%CI: 3.12, 5.73)</w:t>
            </w:r>
          </w:p>
          <w:p w:rsidR="009D51AF" w:rsidRPr="00901610" w:rsidRDefault="009D51AF" w:rsidP="009D51AF">
            <w:pPr>
              <w:pStyle w:val="TableHeading"/>
              <w:rPr>
                <w:b w:val="0"/>
                <w:bCs/>
                <w:u w:val="single"/>
              </w:rPr>
            </w:pPr>
            <w:r w:rsidRPr="00901610">
              <w:rPr>
                <w:b w:val="0"/>
                <w:bCs/>
                <w:u w:val="single"/>
              </w:rPr>
              <w:t>Other osteoporotic fractures (50 year old):</w:t>
            </w:r>
          </w:p>
          <w:p w:rsidR="009D51AF" w:rsidRDefault="009D51AF" w:rsidP="009D51AF">
            <w:pPr>
              <w:pStyle w:val="TableHeading"/>
              <w:rPr>
                <w:b w:val="0"/>
                <w:bCs/>
              </w:rPr>
            </w:pPr>
            <w:r>
              <w:rPr>
                <w:b w:val="0"/>
                <w:bCs/>
              </w:rPr>
              <w:t>BMD alone - GR 1.19 (95%CI: 1.05, 1.34)</w:t>
            </w:r>
          </w:p>
          <w:p w:rsidR="009D51AF" w:rsidRDefault="00901610" w:rsidP="009D51AF">
            <w:pPr>
              <w:pStyle w:val="TableHeading"/>
              <w:rPr>
                <w:b w:val="0"/>
                <w:bCs/>
              </w:rPr>
            </w:pPr>
            <w:r>
              <w:rPr>
                <w:b w:val="0"/>
                <w:bCs/>
              </w:rPr>
              <w:t xml:space="preserve">Clinical risk factors alone </w:t>
            </w:r>
            <w:r w:rsidR="009D51AF">
              <w:rPr>
                <w:b w:val="0"/>
                <w:bCs/>
              </w:rPr>
              <w:t xml:space="preserve"> GR 1.41 (95%CI: 1.28, 1.56)</w:t>
            </w:r>
          </w:p>
          <w:p w:rsidR="009D51AF" w:rsidRDefault="009D51AF" w:rsidP="009D51AF">
            <w:pPr>
              <w:pStyle w:val="TableHeading"/>
              <w:tabs>
                <w:tab w:val="left" w:pos="2266"/>
              </w:tabs>
              <w:rPr>
                <w:b w:val="0"/>
                <w:bCs/>
              </w:rPr>
            </w:pPr>
            <w:r>
              <w:rPr>
                <w:b w:val="0"/>
                <w:bCs/>
              </w:rPr>
              <w:t>Both - GR 1.44 (95%CI: 1.30, 1.59)</w:t>
            </w:r>
          </w:p>
        </w:tc>
        <w:tc>
          <w:tcPr>
            <w:tcW w:w="2976" w:type="dxa"/>
          </w:tcPr>
          <w:p w:rsidR="009D51AF" w:rsidRDefault="009D51AF" w:rsidP="00003AA4">
            <w:pPr>
              <w:pStyle w:val="TableHeading"/>
              <w:rPr>
                <w:b w:val="0"/>
                <w:bCs/>
              </w:rPr>
            </w:pPr>
            <w:r>
              <w:rPr>
                <w:b w:val="0"/>
                <w:bCs/>
              </w:rPr>
              <w:t>Integrated BMD plus clinical risk factors better predicts fracture risk. Both are useful alone.  Absolute fracture risk cannot be provided with data unless further calibration occurs.</w:t>
            </w:r>
          </w:p>
        </w:tc>
        <w:tc>
          <w:tcPr>
            <w:tcW w:w="993" w:type="dxa"/>
          </w:tcPr>
          <w:p w:rsidR="009D51AF" w:rsidRDefault="009D51AF" w:rsidP="00EB4A62">
            <w:pPr>
              <w:pStyle w:val="TableText"/>
            </w:pPr>
            <w:r>
              <w:t>MEDIUM</w:t>
            </w:r>
          </w:p>
        </w:tc>
      </w:tr>
      <w:tr w:rsidR="00006AB4" w:rsidTr="00192A3B">
        <w:trPr>
          <w:tblHeader/>
        </w:trPr>
        <w:tc>
          <w:tcPr>
            <w:tcW w:w="1089" w:type="dxa"/>
          </w:tcPr>
          <w:p w:rsidR="00006AB4" w:rsidRDefault="00006AB4" w:rsidP="00EB4A62">
            <w:pPr>
              <w:pStyle w:val="TableText"/>
            </w:pPr>
            <w:r>
              <w:t>Rud 2007</w:t>
            </w:r>
          </w:p>
        </w:tc>
        <w:tc>
          <w:tcPr>
            <w:tcW w:w="3828" w:type="dxa"/>
          </w:tcPr>
          <w:p w:rsidR="00006AB4" w:rsidRPr="009E31DB" w:rsidRDefault="00006AB4" w:rsidP="00006AB4">
            <w:pPr>
              <w:pStyle w:val="TableHeading"/>
              <w:tabs>
                <w:tab w:val="left" w:pos="2266"/>
              </w:tabs>
              <w:rPr>
                <w:b w:val="0"/>
                <w:bCs/>
              </w:rPr>
            </w:pPr>
            <w:r w:rsidRPr="009E31DB">
              <w:rPr>
                <w:b w:val="0"/>
                <w:bCs/>
              </w:rPr>
              <w:t>Range depending on BMD location:</w:t>
            </w:r>
          </w:p>
          <w:p w:rsidR="00006AB4" w:rsidRDefault="00006AB4" w:rsidP="00006AB4">
            <w:pPr>
              <w:pStyle w:val="TableHeading"/>
              <w:tabs>
                <w:tab w:val="left" w:pos="2266"/>
              </w:tabs>
              <w:rPr>
                <w:b w:val="0"/>
                <w:bCs/>
              </w:rPr>
            </w:pPr>
            <w:r w:rsidRPr="00C61D2E">
              <w:rPr>
                <w:b w:val="0"/>
                <w:bCs/>
              </w:rPr>
              <w:t>White women: T≤-2.5 sens 84-92% specificity 34-40%</w:t>
            </w:r>
          </w:p>
          <w:p w:rsidR="00006AB4" w:rsidRPr="00C61D2E" w:rsidRDefault="00006AB4" w:rsidP="00006AB4">
            <w:pPr>
              <w:pStyle w:val="TableHeading"/>
              <w:tabs>
                <w:tab w:val="left" w:pos="2266"/>
              </w:tabs>
              <w:rPr>
                <w:b w:val="0"/>
                <w:bCs/>
              </w:rPr>
            </w:pPr>
            <w:r w:rsidRPr="00C61D2E">
              <w:rPr>
                <w:b w:val="0"/>
                <w:bCs/>
              </w:rPr>
              <w:t>Asian women: T≤-2.5 sens 82-91% specificity 40-64%</w:t>
            </w:r>
          </w:p>
          <w:p w:rsidR="00006AB4" w:rsidRPr="00C61D2E" w:rsidRDefault="00006AB4" w:rsidP="00006AB4">
            <w:pPr>
              <w:pStyle w:val="TableHeading"/>
              <w:tabs>
                <w:tab w:val="left" w:pos="2266"/>
              </w:tabs>
              <w:rPr>
                <w:b w:val="0"/>
                <w:bCs/>
              </w:rPr>
            </w:pPr>
            <w:r w:rsidRPr="00C61D2E">
              <w:rPr>
                <w:b w:val="0"/>
                <w:bCs/>
              </w:rPr>
              <w:t>White women: T≤-2.0 sens 82-88% specificity 36-44%</w:t>
            </w:r>
          </w:p>
          <w:p w:rsidR="00006AB4" w:rsidRDefault="00006AB4" w:rsidP="00006AB4">
            <w:pPr>
              <w:pStyle w:val="TableHeading"/>
              <w:tabs>
                <w:tab w:val="left" w:pos="2266"/>
              </w:tabs>
              <w:rPr>
                <w:b w:val="0"/>
                <w:bCs/>
              </w:rPr>
            </w:pPr>
            <w:r>
              <w:rPr>
                <w:b w:val="0"/>
              </w:rPr>
              <w:t>LR- : White women: any region overall 0.37 (95%CI:0.27, 0.51) I</w:t>
            </w:r>
            <w:r w:rsidRPr="009E31DB">
              <w:rPr>
                <w:b w:val="0"/>
                <w:vertAlign w:val="superscript"/>
              </w:rPr>
              <w:t>2</w:t>
            </w:r>
            <w:r w:rsidRPr="009E31DB">
              <w:rPr>
                <w:b w:val="0"/>
              </w:rPr>
              <w:t>=</w:t>
            </w:r>
            <w:r>
              <w:rPr>
                <w:b w:val="0"/>
              </w:rPr>
              <w:t>88%  Asian women: any region overall 0.29 (95%CI: 0.23, 0.37) I</w:t>
            </w:r>
            <w:r w:rsidRPr="009E31DB">
              <w:rPr>
                <w:b w:val="0"/>
                <w:vertAlign w:val="superscript"/>
              </w:rPr>
              <w:t>2</w:t>
            </w:r>
            <w:r w:rsidRPr="009E31DB">
              <w:rPr>
                <w:b w:val="0"/>
              </w:rPr>
              <w:t>=</w:t>
            </w:r>
            <w:r>
              <w:rPr>
                <w:b w:val="0"/>
              </w:rPr>
              <w:t xml:space="preserve">41%  </w:t>
            </w:r>
          </w:p>
        </w:tc>
        <w:tc>
          <w:tcPr>
            <w:tcW w:w="2976" w:type="dxa"/>
          </w:tcPr>
          <w:p w:rsidR="00006AB4" w:rsidRDefault="00006AB4" w:rsidP="00006AB4">
            <w:pPr>
              <w:pStyle w:val="TableHeading"/>
              <w:rPr>
                <w:b w:val="0"/>
                <w:bCs/>
              </w:rPr>
            </w:pPr>
            <w:r>
              <w:rPr>
                <w:b w:val="0"/>
                <w:bCs/>
              </w:rPr>
              <w:t xml:space="preserve">Clinical usefulness of OST is uncertain. It could be used to rule out femoral neck T-score </w:t>
            </w:r>
            <w:r w:rsidRPr="00C61D2E">
              <w:rPr>
                <w:b w:val="0"/>
                <w:bCs/>
              </w:rPr>
              <w:t>≤-2.5</w:t>
            </w:r>
            <w:r>
              <w:rPr>
                <w:b w:val="0"/>
                <w:bCs/>
              </w:rPr>
              <w:t>.</w:t>
            </w:r>
          </w:p>
          <w:p w:rsidR="00006AB4" w:rsidRDefault="00006AB4" w:rsidP="00006AB4">
            <w:pPr>
              <w:pStyle w:val="TableHeading"/>
              <w:rPr>
                <w:b w:val="0"/>
                <w:bCs/>
              </w:rPr>
            </w:pPr>
            <w:r>
              <w:rPr>
                <w:b w:val="0"/>
                <w:bCs/>
              </w:rPr>
              <w:t>Quality of studies according to QUADAS assessment was generally low.</w:t>
            </w:r>
          </w:p>
          <w:p w:rsidR="00006AB4" w:rsidRDefault="00006AB4" w:rsidP="00006AB4">
            <w:pPr>
              <w:pStyle w:val="TableHeading"/>
              <w:rPr>
                <w:b w:val="0"/>
                <w:bCs/>
              </w:rPr>
            </w:pPr>
            <w:r>
              <w:rPr>
                <w:b w:val="0"/>
                <w:bCs/>
              </w:rPr>
              <w:t>Heterogeneity between studies was high.</w:t>
            </w:r>
          </w:p>
        </w:tc>
        <w:tc>
          <w:tcPr>
            <w:tcW w:w="993" w:type="dxa"/>
          </w:tcPr>
          <w:p w:rsidR="00006AB4" w:rsidRDefault="00006AB4" w:rsidP="00EB4A62">
            <w:pPr>
              <w:pStyle w:val="TableText"/>
            </w:pPr>
            <w:r>
              <w:t>HIGH</w:t>
            </w:r>
          </w:p>
        </w:tc>
      </w:tr>
      <w:tr w:rsidR="00006AB4" w:rsidTr="00192A3B">
        <w:trPr>
          <w:tblHeader/>
        </w:trPr>
        <w:tc>
          <w:tcPr>
            <w:tcW w:w="1089" w:type="dxa"/>
          </w:tcPr>
          <w:p w:rsidR="00006AB4" w:rsidRDefault="00006AB4" w:rsidP="00EB4A62">
            <w:pPr>
              <w:pStyle w:val="TableText"/>
            </w:pPr>
            <w:r>
              <w:t>Cummins 2011</w:t>
            </w:r>
          </w:p>
        </w:tc>
        <w:tc>
          <w:tcPr>
            <w:tcW w:w="3828" w:type="dxa"/>
          </w:tcPr>
          <w:p w:rsidR="00006AB4" w:rsidRDefault="001A2274" w:rsidP="00006AB4">
            <w:pPr>
              <w:pStyle w:val="TableHeading"/>
              <w:tabs>
                <w:tab w:val="left" w:pos="2266"/>
              </w:tabs>
              <w:rPr>
                <w:b w:val="0"/>
                <w:bCs/>
              </w:rPr>
            </w:pPr>
            <w:r>
              <w:rPr>
                <w:b w:val="0"/>
                <w:bCs/>
              </w:rPr>
              <w:t>Significant difference&lt;0.05  in risk estimation for</w:t>
            </w:r>
          </w:p>
          <w:p w:rsidR="001A2274" w:rsidRDefault="001A2274" w:rsidP="00006AB4">
            <w:pPr>
              <w:pStyle w:val="TableHeading"/>
              <w:tabs>
                <w:tab w:val="left" w:pos="2266"/>
              </w:tabs>
              <w:rPr>
                <w:b w:val="0"/>
                <w:bCs/>
              </w:rPr>
            </w:pPr>
            <w:r>
              <w:rPr>
                <w:b w:val="0"/>
                <w:bCs/>
              </w:rPr>
              <w:t>Major fracture: FRAX 15.2% vs QFractureScore 9.5%</w:t>
            </w:r>
          </w:p>
          <w:p w:rsidR="001A2274" w:rsidRDefault="001A2274" w:rsidP="001A2274">
            <w:pPr>
              <w:pStyle w:val="TableHeading"/>
              <w:tabs>
                <w:tab w:val="left" w:pos="2266"/>
              </w:tabs>
              <w:rPr>
                <w:b w:val="0"/>
                <w:bCs/>
              </w:rPr>
            </w:pPr>
            <w:r>
              <w:rPr>
                <w:b w:val="0"/>
                <w:bCs/>
              </w:rPr>
              <w:t>Hip fractures: FRAX 4.7% vs QFractureScore 2.9%</w:t>
            </w:r>
          </w:p>
          <w:p w:rsidR="001A2274" w:rsidRPr="009E31DB" w:rsidRDefault="001A2274" w:rsidP="00006AB4">
            <w:pPr>
              <w:pStyle w:val="TableHeading"/>
              <w:tabs>
                <w:tab w:val="left" w:pos="2266"/>
              </w:tabs>
              <w:rPr>
                <w:b w:val="0"/>
                <w:bCs/>
              </w:rPr>
            </w:pPr>
            <w:r>
              <w:rPr>
                <w:b w:val="0"/>
                <w:bCs/>
              </w:rPr>
              <w:t>High correlation R=0.803 major fracture and R=0.857 hip fracture</w:t>
            </w:r>
          </w:p>
        </w:tc>
        <w:tc>
          <w:tcPr>
            <w:tcW w:w="2976" w:type="dxa"/>
          </w:tcPr>
          <w:p w:rsidR="00006AB4" w:rsidRDefault="001A2274" w:rsidP="00006AB4">
            <w:pPr>
              <w:pStyle w:val="TableHeading"/>
              <w:rPr>
                <w:b w:val="0"/>
                <w:bCs/>
              </w:rPr>
            </w:pPr>
            <w:r>
              <w:rPr>
                <w:b w:val="0"/>
                <w:bCs/>
              </w:rPr>
              <w:t>Both algorithms yield similar results and could be of value in primary care. Both tools yielded high specificity but poor sensitivity.</w:t>
            </w:r>
          </w:p>
          <w:p w:rsidR="001A2274" w:rsidRDefault="001A2274" w:rsidP="00006AB4">
            <w:pPr>
              <w:pStyle w:val="TableHeading"/>
              <w:rPr>
                <w:b w:val="0"/>
                <w:bCs/>
              </w:rPr>
            </w:pPr>
            <w:r>
              <w:rPr>
                <w:b w:val="0"/>
                <w:bCs/>
              </w:rPr>
              <w:t>Most important factors were age, T-score femoral neck and previous falls.</w:t>
            </w:r>
          </w:p>
        </w:tc>
        <w:tc>
          <w:tcPr>
            <w:tcW w:w="993" w:type="dxa"/>
          </w:tcPr>
          <w:p w:rsidR="00006AB4" w:rsidRDefault="001A2274" w:rsidP="00EB4A62">
            <w:pPr>
              <w:pStyle w:val="TableText"/>
            </w:pPr>
            <w:r>
              <w:t>MEDIUM</w:t>
            </w:r>
          </w:p>
        </w:tc>
      </w:tr>
    </w:tbl>
    <w:p w:rsidR="00901610" w:rsidRDefault="00901610" w:rsidP="00901610">
      <w:pPr>
        <w:pStyle w:val="TableText"/>
        <w:ind w:left="567"/>
      </w:pPr>
      <w:r>
        <w:t xml:space="preserve">BMD = bone mineral density, DXA = dual energy x-ray absorptiometry, MRI = magnetic resonance imaging, RR = relative risk, OST = Osteoporosis Self-Assessment Screening Tool, FRAX = fracture risk-assessment tool, ORAI = osteoporosis risk assessment instrument, OSIRIS = osteoporosis index of risk, SCORE simple calculated osteoporosis risk estimation score, SD = standard deviation, CT = computer tomography, LR- = negative likelihood ratio, QUADAS = Quality of Diagnostic test Assessment </w:t>
      </w:r>
      <w:r w:rsidR="006F202D">
        <w:t>Score</w:t>
      </w:r>
      <w:r w:rsidR="00C81C10">
        <w:t>, GR = gradient risk</w:t>
      </w:r>
      <w:r w:rsidR="006F202D">
        <w:t xml:space="preserve"> (RR/standard deviation in risk score).</w:t>
      </w:r>
    </w:p>
    <w:p w:rsidR="00816F71" w:rsidRDefault="00816F71" w:rsidP="00036FDB"/>
    <w:p w:rsidR="006F202D" w:rsidRDefault="006F202D" w:rsidP="00C81C10">
      <w:r>
        <w:t xml:space="preserve">Marshall </w:t>
      </w:r>
      <w:r w:rsidRPr="00F220C1">
        <w:rPr>
          <w:i/>
        </w:rPr>
        <w:t>et al.</w:t>
      </w:r>
      <w:r>
        <w:t xml:space="preserve"> (1996) is a well-quoted seminal </w:t>
      </w:r>
      <w:r w:rsidR="00232A32">
        <w:t>paper on BMD measurement and it</w:t>
      </w:r>
      <w:r>
        <w:t>s use in predic</w:t>
      </w:r>
      <w:r w:rsidR="00F220C1">
        <w:t xml:space="preserve">ting fractures in adult women. </w:t>
      </w:r>
      <w:r>
        <w:t>The majority of studies had cohorts with a mean age past menopause</w:t>
      </w:r>
      <w:r w:rsidR="00F220C1">
        <w:t xml:space="preserve"> </w:t>
      </w:r>
      <w:r w:rsidR="00F220C1">
        <w:fldChar w:fldCharType="begin"/>
      </w:r>
      <w:r w:rsidR="00F220C1">
        <w:instrText xml:space="preserve"> ADDIN EN.CITE &lt;EndNote&gt;&lt;Cite&gt;&lt;Author&gt;Marshall&lt;/Author&gt;&lt;Year&gt;1996&lt;/Year&gt;&lt;RecNum&gt;232&lt;/RecNum&gt;&lt;DisplayText&gt;(Marshall, Johnell et al. 1996)&lt;/DisplayText&gt;&lt;record&gt;&lt;rec-number&gt;232&lt;/rec-number&gt;&lt;foreign-keys&gt;&lt;key app="EN" db-id="v9edw0zeqvve5nedzvjx29f1df2z2tvpvw55" timestamp="1398311956"&gt;232&lt;/key&gt;&lt;/foreign-keys&gt;&lt;ref-type name="Electronic Article"&gt;43&lt;/ref-type&gt;&lt;contributors&gt;&lt;authors&gt;&lt;author&gt;Marshall, D.&lt;/author&gt;&lt;author&gt;Johnell, O.&lt;/author&gt;&lt;author&gt;Wedel, H.&lt;/author&gt;&lt;/authors&gt;&lt;/contributors&gt;&lt;titles&gt;&lt;title&gt;Meta-analysis of how well measures of bone mineral density predict occurrence of osteoporotic fractures (Structured abstract)&lt;/title&gt;&lt;secondary-title&gt;Bmj&lt;/secondary-title&gt;&lt;/titles&gt;&lt;periodical&gt;&lt;full-title&gt;Bmj&lt;/full-title&gt;&lt;/periodical&gt;&lt;pages&gt;1254-1259&lt;/pages&gt;&lt;volume&gt;312&lt;/volume&gt;&lt;number&gt;1&lt;/number&gt;&lt;keywords&gt;&lt;keyword&gt;Bone Density&lt;/keyword&gt;&lt;keyword&gt;Cohort Studies&lt;/keyword&gt;&lt;keyword&gt;Follow-Up Studies&lt;/keyword&gt;&lt;keyword&gt;Forecasting&lt;/keyword&gt;&lt;keyword&gt;Fractures, Bone [etiology]&lt;/keyword&gt;&lt;keyword&gt;Fractures, Bone [physiopathology]&lt;/keyword&gt;&lt;keyword&gt;Hip Fractures [etiology]&lt;/keyword&gt;&lt;keyword&gt;Hip Fractures [physiopathology]&lt;/keyword&gt;&lt;keyword&gt;Osteoporosis, Postmenopausal [complications]&lt;/keyword&gt;&lt;keyword&gt;Osteoporosis, Postmenopausal [physiopathology]&lt;/keyword&gt;&lt;keyword&gt;Predictive Value of Tests&lt;/keyword&gt;&lt;keyword&gt;Prospective Studies&lt;/keyword&gt;&lt;keyword&gt;Risk Factors&lt;/keyword&gt;&lt;keyword&gt;Sensitivity and Specificity&lt;/keyword&gt;&lt;keyword&gt;Aged[checkword]&lt;/keyword&gt;&lt;keyword&gt;Female[checkword]&lt;/keyword&gt;&lt;keyword&gt;Humans[checkword]&lt;/keyword&gt;&lt;/keywords&gt;&lt;dates&gt;&lt;year&gt;1996&lt;/year&gt;&lt;/dates&gt;&lt;accession-num&gt;DARE-11996008218&lt;/accession-num&gt;&lt;label&gt;Included&lt;/label&gt;&lt;urls&gt;&lt;related-urls&gt;&lt;url&gt;http://onlinelibrary.wiley.com/o/cochrane/cldare/articles/DARE-11996008218/frame.html&lt;/url&gt;&lt;/related-urls&gt;&lt;/urls&gt;&lt;/record&gt;&lt;/Cite&gt;&lt;/EndNote&gt;</w:instrText>
      </w:r>
      <w:r w:rsidR="00F220C1">
        <w:fldChar w:fldCharType="separate"/>
      </w:r>
      <w:r w:rsidR="00F220C1">
        <w:rPr>
          <w:noProof/>
        </w:rPr>
        <w:t>(</w:t>
      </w:r>
      <w:hyperlink w:anchor="_ENREF_40" w:tooltip="Marshall, 1996 #232" w:history="1">
        <w:r w:rsidR="006F79C1">
          <w:rPr>
            <w:noProof/>
          </w:rPr>
          <w:t>Marshall, Johnell et al. 1996</w:t>
        </w:r>
      </w:hyperlink>
      <w:r w:rsidR="00F220C1">
        <w:rPr>
          <w:noProof/>
        </w:rPr>
        <w:t>)</w:t>
      </w:r>
      <w:r w:rsidR="00F220C1">
        <w:fldChar w:fldCharType="end"/>
      </w:r>
      <w:r>
        <w:t xml:space="preserve">. The relationship of the type of fractures and BMD site were considered. The findings showed that BMD measurement of any method produced low sensitivity but high specificity (Table </w:t>
      </w:r>
      <w:r w:rsidR="00232A32">
        <w:t>17</w:t>
      </w:r>
      <w:r>
        <w:t>) for hip fractures.</w:t>
      </w:r>
    </w:p>
    <w:p w:rsidR="006F202D" w:rsidRPr="00DC7184" w:rsidRDefault="006F202D" w:rsidP="00DC7184">
      <w:pPr>
        <w:pStyle w:val="TableName"/>
      </w:pPr>
      <w:bookmarkStart w:id="103" w:name="_Toc386112686"/>
      <w:r w:rsidRPr="00DC7184">
        <w:lastRenderedPageBreak/>
        <w:t xml:space="preserve">Table </w:t>
      </w:r>
      <w:r w:rsidR="00232A32" w:rsidRPr="00DC7184">
        <w:t>17</w:t>
      </w:r>
      <w:r w:rsidRPr="00DC7184">
        <w:t>: Performance of BMD measurement for hip fractures</w:t>
      </w:r>
      <w:bookmarkEnd w:id="103"/>
      <w:r w:rsidRPr="00DC7184">
        <w:t xml:space="preserve"> </w:t>
      </w:r>
    </w:p>
    <w:tbl>
      <w:tblPr>
        <w:tblStyle w:val="TableGrid"/>
        <w:tblW w:w="4965" w:type="dxa"/>
        <w:tblInd w:w="817" w:type="dxa"/>
        <w:tblLook w:val="04A0" w:firstRow="1" w:lastRow="0" w:firstColumn="1" w:lastColumn="0" w:noHBand="0" w:noVBand="1"/>
        <w:tblCaption w:val="Table 17 Performance of BMD measurement for hip fractures"/>
      </w:tblPr>
      <w:tblGrid>
        <w:gridCol w:w="2626"/>
        <w:gridCol w:w="725"/>
        <w:gridCol w:w="807"/>
        <w:gridCol w:w="807"/>
      </w:tblGrid>
      <w:tr w:rsidR="001F6A4F" w:rsidRPr="001F6A4F" w:rsidTr="007F6C70">
        <w:trPr>
          <w:tblHeader/>
        </w:trPr>
        <w:tc>
          <w:tcPr>
            <w:tcW w:w="2626" w:type="dxa"/>
          </w:tcPr>
          <w:p w:rsidR="001F6A4F" w:rsidRPr="001F6A4F" w:rsidRDefault="001F6A4F" w:rsidP="001F6A4F">
            <w:pPr>
              <w:pStyle w:val="TableText"/>
              <w:rPr>
                <w:b/>
              </w:rPr>
            </w:pPr>
          </w:p>
        </w:tc>
        <w:tc>
          <w:tcPr>
            <w:tcW w:w="2339" w:type="dxa"/>
            <w:gridSpan w:val="3"/>
            <w:vAlign w:val="center"/>
          </w:tcPr>
          <w:p w:rsidR="001F6A4F" w:rsidRPr="001F6A4F" w:rsidRDefault="001F6A4F" w:rsidP="001F6A4F">
            <w:pPr>
              <w:pStyle w:val="TableText"/>
              <w:jc w:val="center"/>
              <w:rPr>
                <w:b/>
              </w:rPr>
            </w:pPr>
            <w:r w:rsidRPr="001F6A4F">
              <w:rPr>
                <w:b/>
              </w:rPr>
              <w:t>Lifetime incidence (%)</w:t>
            </w:r>
          </w:p>
        </w:tc>
      </w:tr>
      <w:tr w:rsidR="001F6A4F" w:rsidTr="007F6C70">
        <w:tc>
          <w:tcPr>
            <w:tcW w:w="2626" w:type="dxa"/>
          </w:tcPr>
          <w:p w:rsidR="006F202D" w:rsidRDefault="006F202D" w:rsidP="001F6A4F">
            <w:pPr>
              <w:pStyle w:val="TableText"/>
            </w:pPr>
          </w:p>
        </w:tc>
        <w:tc>
          <w:tcPr>
            <w:tcW w:w="725" w:type="dxa"/>
          </w:tcPr>
          <w:p w:rsidR="006F202D" w:rsidRPr="001F6A4F" w:rsidRDefault="001F6A4F" w:rsidP="003A0E85">
            <w:pPr>
              <w:pStyle w:val="TableText"/>
              <w:jc w:val="center"/>
              <w:rPr>
                <w:b/>
              </w:rPr>
            </w:pPr>
            <w:r w:rsidRPr="001F6A4F">
              <w:rPr>
                <w:b/>
              </w:rPr>
              <w:t>3</w:t>
            </w:r>
            <w:r>
              <w:rPr>
                <w:b/>
              </w:rPr>
              <w:t xml:space="preserve"> year</w:t>
            </w:r>
          </w:p>
        </w:tc>
        <w:tc>
          <w:tcPr>
            <w:tcW w:w="807" w:type="dxa"/>
          </w:tcPr>
          <w:p w:rsidR="006F202D" w:rsidRPr="001F6A4F" w:rsidRDefault="001F6A4F" w:rsidP="003A0E85">
            <w:pPr>
              <w:pStyle w:val="TableText"/>
              <w:jc w:val="center"/>
              <w:rPr>
                <w:b/>
              </w:rPr>
            </w:pPr>
            <w:r w:rsidRPr="001F6A4F">
              <w:rPr>
                <w:b/>
              </w:rPr>
              <w:t>15</w:t>
            </w:r>
            <w:r>
              <w:rPr>
                <w:b/>
              </w:rPr>
              <w:t xml:space="preserve"> year</w:t>
            </w:r>
          </w:p>
        </w:tc>
        <w:tc>
          <w:tcPr>
            <w:tcW w:w="807" w:type="dxa"/>
          </w:tcPr>
          <w:p w:rsidR="006F202D" w:rsidRPr="001F6A4F" w:rsidRDefault="001F6A4F" w:rsidP="003A0E85">
            <w:pPr>
              <w:pStyle w:val="TableText"/>
              <w:jc w:val="center"/>
              <w:rPr>
                <w:b/>
              </w:rPr>
            </w:pPr>
            <w:r w:rsidRPr="001F6A4F">
              <w:rPr>
                <w:b/>
              </w:rPr>
              <w:t>30</w:t>
            </w:r>
            <w:r>
              <w:rPr>
                <w:b/>
              </w:rPr>
              <w:t xml:space="preserve"> year</w:t>
            </w:r>
          </w:p>
        </w:tc>
      </w:tr>
      <w:tr w:rsidR="001F6A4F" w:rsidTr="007F6C70">
        <w:tc>
          <w:tcPr>
            <w:tcW w:w="2626" w:type="dxa"/>
          </w:tcPr>
          <w:p w:rsidR="006F202D" w:rsidRDefault="001F6A4F" w:rsidP="001F6A4F">
            <w:pPr>
              <w:pStyle w:val="TableText"/>
            </w:pPr>
            <w:r>
              <w:t>Sensitivity (%)</w:t>
            </w:r>
          </w:p>
        </w:tc>
        <w:tc>
          <w:tcPr>
            <w:tcW w:w="725" w:type="dxa"/>
          </w:tcPr>
          <w:p w:rsidR="006F202D" w:rsidRDefault="001F6A4F" w:rsidP="003A0E85">
            <w:pPr>
              <w:pStyle w:val="TableText"/>
              <w:jc w:val="center"/>
            </w:pPr>
            <w:r>
              <w:t>47</w:t>
            </w:r>
          </w:p>
        </w:tc>
        <w:tc>
          <w:tcPr>
            <w:tcW w:w="807" w:type="dxa"/>
          </w:tcPr>
          <w:p w:rsidR="006F202D" w:rsidRDefault="001F6A4F" w:rsidP="003A0E85">
            <w:pPr>
              <w:pStyle w:val="TableText"/>
              <w:jc w:val="center"/>
            </w:pPr>
            <w:r>
              <w:t>37</w:t>
            </w:r>
          </w:p>
        </w:tc>
        <w:tc>
          <w:tcPr>
            <w:tcW w:w="807" w:type="dxa"/>
          </w:tcPr>
          <w:p w:rsidR="006F202D" w:rsidRDefault="001F6A4F" w:rsidP="003A0E85">
            <w:pPr>
              <w:pStyle w:val="TableText"/>
              <w:jc w:val="center"/>
            </w:pPr>
            <w:r>
              <w:t>34</w:t>
            </w:r>
          </w:p>
        </w:tc>
      </w:tr>
      <w:tr w:rsidR="001F6A4F" w:rsidTr="007F6C70">
        <w:tc>
          <w:tcPr>
            <w:tcW w:w="2626" w:type="dxa"/>
          </w:tcPr>
          <w:p w:rsidR="006F202D" w:rsidRDefault="001F6A4F" w:rsidP="001F6A4F">
            <w:pPr>
              <w:pStyle w:val="TableText"/>
            </w:pPr>
            <w:r>
              <w:t>Specificity (%)</w:t>
            </w:r>
          </w:p>
        </w:tc>
        <w:tc>
          <w:tcPr>
            <w:tcW w:w="725" w:type="dxa"/>
          </w:tcPr>
          <w:p w:rsidR="006F202D" w:rsidRDefault="001F6A4F" w:rsidP="003A0E85">
            <w:pPr>
              <w:pStyle w:val="TableText"/>
              <w:jc w:val="center"/>
            </w:pPr>
            <w:r>
              <w:t>83</w:t>
            </w:r>
          </w:p>
        </w:tc>
        <w:tc>
          <w:tcPr>
            <w:tcW w:w="807" w:type="dxa"/>
          </w:tcPr>
          <w:p w:rsidR="006F202D" w:rsidRDefault="001F6A4F" w:rsidP="003A0E85">
            <w:pPr>
              <w:pStyle w:val="TableText"/>
              <w:jc w:val="center"/>
            </w:pPr>
            <w:r>
              <w:t>88</w:t>
            </w:r>
          </w:p>
        </w:tc>
        <w:tc>
          <w:tcPr>
            <w:tcW w:w="807" w:type="dxa"/>
          </w:tcPr>
          <w:p w:rsidR="006F202D" w:rsidRDefault="001F6A4F" w:rsidP="003A0E85">
            <w:pPr>
              <w:pStyle w:val="TableText"/>
              <w:jc w:val="center"/>
            </w:pPr>
            <w:r>
              <w:t>89</w:t>
            </w:r>
          </w:p>
        </w:tc>
      </w:tr>
      <w:tr w:rsidR="001F6A4F" w:rsidTr="007F6C70">
        <w:tc>
          <w:tcPr>
            <w:tcW w:w="2626" w:type="dxa"/>
          </w:tcPr>
          <w:p w:rsidR="001F6A4F" w:rsidRDefault="001F6A4F" w:rsidP="001F6A4F">
            <w:pPr>
              <w:pStyle w:val="TableText"/>
            </w:pPr>
            <w:r>
              <w:t>Positive predictive value (%)</w:t>
            </w:r>
          </w:p>
        </w:tc>
        <w:tc>
          <w:tcPr>
            <w:tcW w:w="725" w:type="dxa"/>
          </w:tcPr>
          <w:p w:rsidR="001F6A4F" w:rsidRDefault="001F6A4F" w:rsidP="003A0E85">
            <w:pPr>
              <w:pStyle w:val="TableText"/>
              <w:jc w:val="center"/>
            </w:pPr>
            <w:r>
              <w:t>9</w:t>
            </w:r>
          </w:p>
        </w:tc>
        <w:tc>
          <w:tcPr>
            <w:tcW w:w="807" w:type="dxa"/>
          </w:tcPr>
          <w:p w:rsidR="001F6A4F" w:rsidRDefault="001F6A4F" w:rsidP="003A0E85">
            <w:pPr>
              <w:pStyle w:val="TableText"/>
              <w:jc w:val="center"/>
            </w:pPr>
            <w:r>
              <w:t>36</w:t>
            </w:r>
          </w:p>
        </w:tc>
        <w:tc>
          <w:tcPr>
            <w:tcW w:w="807" w:type="dxa"/>
          </w:tcPr>
          <w:p w:rsidR="001F6A4F" w:rsidRDefault="001F6A4F" w:rsidP="003A0E85">
            <w:pPr>
              <w:pStyle w:val="TableText"/>
              <w:jc w:val="center"/>
            </w:pPr>
            <w:r>
              <w:t>58</w:t>
            </w:r>
          </w:p>
        </w:tc>
      </w:tr>
      <w:tr w:rsidR="001F6A4F" w:rsidTr="007F6C70">
        <w:tc>
          <w:tcPr>
            <w:tcW w:w="2626" w:type="dxa"/>
          </w:tcPr>
          <w:p w:rsidR="001F6A4F" w:rsidRDefault="001F6A4F" w:rsidP="001F6A4F">
            <w:pPr>
              <w:pStyle w:val="TableText"/>
            </w:pPr>
            <w:r>
              <w:t>Population attributable risk (%)</w:t>
            </w:r>
          </w:p>
        </w:tc>
        <w:tc>
          <w:tcPr>
            <w:tcW w:w="725" w:type="dxa"/>
          </w:tcPr>
          <w:p w:rsidR="001F6A4F" w:rsidRDefault="001F6A4F" w:rsidP="003A0E85">
            <w:pPr>
              <w:pStyle w:val="TableText"/>
              <w:jc w:val="center"/>
            </w:pPr>
            <w:r>
              <w:t>36</w:t>
            </w:r>
          </w:p>
        </w:tc>
        <w:tc>
          <w:tcPr>
            <w:tcW w:w="807" w:type="dxa"/>
          </w:tcPr>
          <w:p w:rsidR="001F6A4F" w:rsidRDefault="001F6A4F" w:rsidP="003A0E85">
            <w:pPr>
              <w:pStyle w:val="TableText"/>
              <w:jc w:val="center"/>
            </w:pPr>
            <w:r>
              <w:t>26</w:t>
            </w:r>
          </w:p>
        </w:tc>
        <w:tc>
          <w:tcPr>
            <w:tcW w:w="807" w:type="dxa"/>
          </w:tcPr>
          <w:p w:rsidR="001F6A4F" w:rsidRDefault="001F6A4F" w:rsidP="003A0E85">
            <w:pPr>
              <w:pStyle w:val="TableText"/>
              <w:jc w:val="center"/>
            </w:pPr>
            <w:r>
              <w:t>21</w:t>
            </w:r>
          </w:p>
        </w:tc>
      </w:tr>
    </w:tbl>
    <w:p w:rsidR="006F202D" w:rsidRDefault="001F6A4F" w:rsidP="00232A32">
      <w:pPr>
        <w:pStyle w:val="TableText"/>
        <w:ind w:left="1134"/>
      </w:pPr>
      <w:r>
        <w:t xml:space="preserve">Source: Table 3 in Marshall </w:t>
      </w:r>
      <w:r w:rsidRPr="001F6A4F">
        <w:rPr>
          <w:i/>
        </w:rPr>
        <w:t>et al.</w:t>
      </w:r>
      <w:r>
        <w:t xml:space="preserve"> (1996)</w:t>
      </w:r>
    </w:p>
    <w:p w:rsidR="001F6A4F" w:rsidRDefault="001F6A4F" w:rsidP="00C81C10"/>
    <w:p w:rsidR="006F202D" w:rsidRDefault="006F202D" w:rsidP="00C81C10">
      <w:r>
        <w:t xml:space="preserve">Very few studies in the Marshall et al (1996) review studied the predictive ability </w:t>
      </w:r>
      <w:r w:rsidR="004B2736">
        <w:t>of BMD in participants aged between</w:t>
      </w:r>
      <w:r>
        <w:t xml:space="preserve"> 50 and 60 years, </w:t>
      </w:r>
      <w:r w:rsidR="00232A32">
        <w:t>an</w:t>
      </w:r>
      <w:r>
        <w:t xml:space="preserve"> age group relevant to this </w:t>
      </w:r>
      <w:r w:rsidR="00232A32">
        <w:t>assessment</w:t>
      </w:r>
      <w:r>
        <w:t xml:space="preserve">. Studies also lacked homogeneity. Screening for osteoporosis was not recommended by the authors since there was a wide overlap in the bone density of patients who </w:t>
      </w:r>
      <w:r w:rsidR="00524439">
        <w:t>did or did not develop</w:t>
      </w:r>
      <w:r>
        <w:t xml:space="preserve"> a fracture.</w:t>
      </w:r>
    </w:p>
    <w:p w:rsidR="004B2736" w:rsidRDefault="005D5F61" w:rsidP="00C81C10">
      <w:r>
        <w:t xml:space="preserve">Two health technology assessment groups provided summarised reports on the role of DXA in BMD measurement. </w:t>
      </w:r>
      <w:r w:rsidR="001F6A4F">
        <w:t xml:space="preserve">Hailey </w:t>
      </w:r>
      <w:r w:rsidR="001F6A4F" w:rsidRPr="005D5F61">
        <w:rPr>
          <w:i/>
        </w:rPr>
        <w:t>et al</w:t>
      </w:r>
      <w:r w:rsidRPr="005D5F61">
        <w:rPr>
          <w:i/>
        </w:rPr>
        <w:t>.</w:t>
      </w:r>
      <w:r w:rsidR="001F6A4F">
        <w:t xml:space="preserve"> (1998) compared the performance of DXA compared to other BMD technologies. They concluded that the accuracy of DXA measured by the coefficient of variation was 3-6% and precision within 1-3%. It had the best performance rating compared with other technologies. They also concluded DXA could assess further fracture occurrence over the short term but not with high accuracy.</w:t>
      </w:r>
      <w:r>
        <w:t xml:space="preserve"> Homik </w:t>
      </w:r>
      <w:r w:rsidRPr="005D5F61">
        <w:rPr>
          <w:i/>
        </w:rPr>
        <w:t>et al.</w:t>
      </w:r>
      <w:r>
        <w:t xml:space="preserve"> (1999) highlighted a number of points in their assessment of DXA for screening for fractures. These included:</w:t>
      </w:r>
    </w:p>
    <w:p w:rsidR="005D5F61" w:rsidRDefault="001B4B07" w:rsidP="00534D10">
      <w:pPr>
        <w:pStyle w:val="ListParagraph"/>
        <w:numPr>
          <w:ilvl w:val="0"/>
          <w:numId w:val="33"/>
        </w:numPr>
      </w:pPr>
      <w:r>
        <w:t>W</w:t>
      </w:r>
      <w:r w:rsidR="005D5F61">
        <w:t>ide overlap exists in BMD between those with and without fractures</w:t>
      </w:r>
      <w:r>
        <w:t>;</w:t>
      </w:r>
      <w:r w:rsidR="005D5F61">
        <w:t xml:space="preserve"> </w:t>
      </w:r>
    </w:p>
    <w:p w:rsidR="005D5F61" w:rsidRDefault="005D5F61" w:rsidP="00534D10">
      <w:pPr>
        <w:pStyle w:val="ListParagraph"/>
        <w:numPr>
          <w:ilvl w:val="0"/>
          <w:numId w:val="33"/>
        </w:numPr>
      </w:pPr>
      <w:r>
        <w:t>There are limited alternatives to DXA available to doctors and clinical risk factors for fractures are limited and different for younger and older age groups. Therefore both BMD measurement and clinical risk f</w:t>
      </w:r>
      <w:r w:rsidR="001B4B07">
        <w:t>actor assessments are desirable; and</w:t>
      </w:r>
    </w:p>
    <w:p w:rsidR="005D5F61" w:rsidRDefault="005D5F61" w:rsidP="00534D10">
      <w:pPr>
        <w:pStyle w:val="ListParagraph"/>
        <w:numPr>
          <w:ilvl w:val="0"/>
          <w:numId w:val="33"/>
        </w:numPr>
      </w:pPr>
      <w:r>
        <w:t xml:space="preserve">Analytical performance of BMD is influenced by device, operator performance, </w:t>
      </w:r>
      <w:r w:rsidR="001B4B07">
        <w:t>and physiological</w:t>
      </w:r>
      <w:r>
        <w:t xml:space="preserve"> composition therefore good quality control of the DXA device and use is important</w:t>
      </w:r>
      <w:r w:rsidR="001B4B07">
        <w:t>.</w:t>
      </w:r>
    </w:p>
    <w:p w:rsidR="00D424FD" w:rsidRDefault="00D424FD" w:rsidP="00874A7F">
      <w:pPr>
        <w:pStyle w:val="Heading4"/>
      </w:pPr>
    </w:p>
    <w:p w:rsidR="00D424FD" w:rsidRDefault="00D424FD" w:rsidP="00D424FD">
      <w:r>
        <w:t xml:space="preserve">Lim </w:t>
      </w:r>
      <w:r w:rsidRPr="004B2736">
        <w:rPr>
          <w:i/>
        </w:rPr>
        <w:t>et al.</w:t>
      </w:r>
      <w:r>
        <w:t xml:space="preserve"> (2009) provided a review of the performance of risk factor tools and discussed their usefulness when BMD measurement was not available to clinicians. They concluded that screening should be performed with BMD and monitoring frequency should not be more frequent than every two years. This appears to be a consensus agreement. Rud </w:t>
      </w:r>
      <w:r w:rsidRPr="004B2736">
        <w:rPr>
          <w:i/>
        </w:rPr>
        <w:t>et al.</w:t>
      </w:r>
      <w:r>
        <w:t xml:space="preserve"> (2007) provided a meta-analysis on the Osteoporosis Screening Tool (OST) and its performance in ruling out ‘false negatives’ against the DXA reference standard. OST only measures age and weight to determine future fracture risk. The authors found OST performance was ‘moderate’ for the femoral neck and ‘poor’ for the lumbar spine. They determined that OST was as accurate as other tools with more complex risk factor components.</w:t>
      </w:r>
    </w:p>
    <w:p w:rsidR="00D424FD" w:rsidRDefault="00D424FD" w:rsidP="00D424FD">
      <w:r>
        <w:t xml:space="preserve">Kanis </w:t>
      </w:r>
      <w:r w:rsidRPr="00C81C10">
        <w:rPr>
          <w:i/>
        </w:rPr>
        <w:t>et al.</w:t>
      </w:r>
      <w:r>
        <w:t xml:space="preserve"> (2007) provides strong evidence using meta-analysis and meta-regression from nine large prospective population-based studies on osteoporosis from around the world and 11 validated comparison cohorts. They combined individual data sets in a meta-regression to conclude that the combined use of clinical risk factor assessment </w:t>
      </w:r>
      <w:r w:rsidRPr="00921240">
        <w:rPr>
          <w:u w:val="single"/>
        </w:rPr>
        <w:t>and</w:t>
      </w:r>
      <w:r>
        <w:t xml:space="preserve"> </w:t>
      </w:r>
      <w:r>
        <w:lastRenderedPageBreak/>
        <w:t>BMD analysis is optimal and provides the most effective prediction of fracture risk and the need for bone resorptive medications in adult populations.</w:t>
      </w:r>
    </w:p>
    <w:p w:rsidR="00874A7F" w:rsidRDefault="00874A7F" w:rsidP="00874A7F">
      <w:pPr>
        <w:pStyle w:val="Heading4"/>
      </w:pPr>
      <w:r>
        <w:t>Quality of studies on BMD measurement using DXA</w:t>
      </w:r>
    </w:p>
    <w:p w:rsidR="00D424FD" w:rsidRDefault="00D424FD" w:rsidP="00D424FD">
      <w:pPr>
        <w:ind w:left="567"/>
      </w:pPr>
      <w:r>
        <w:t xml:space="preserve">There were no studies which directly compared DXA versus clinical risk factor assessment in an </w:t>
      </w:r>
      <w:r w:rsidR="001B4B07">
        <w:t>trial</w:t>
      </w:r>
      <w:r>
        <w:t xml:space="preserve"> setting for women with breast cancer or any female population. The studies included here provide information on the ability of DXA scans or clinical risk factor tools to detect poor bone density and predict future fracture risk.  </w:t>
      </w:r>
    </w:p>
    <w:p w:rsidR="00874A7F" w:rsidRDefault="00D424FD" w:rsidP="00D424FD">
      <w:pPr>
        <w:ind w:left="567"/>
      </w:pPr>
      <w:r>
        <w:t xml:space="preserve">Excluding </w:t>
      </w:r>
      <w:r w:rsidR="001B4B07">
        <w:t xml:space="preserve">review </w:t>
      </w:r>
      <w:r>
        <w:t>studies by Lim, Homik and Hailey, the studies were of medium to high quality.  Meta-analysis studies by Marshall, Kanis and Rud involve very large populations</w:t>
      </w:r>
      <w:r w:rsidR="00232A32">
        <w:t xml:space="preserve"> (of predominantly post-menopausal women)</w:t>
      </w:r>
      <w:r>
        <w:t>, person years and from many countries.</w:t>
      </w:r>
    </w:p>
    <w:p w:rsidR="00A54692" w:rsidRDefault="00A54692" w:rsidP="00A54692">
      <w:pPr>
        <w:pStyle w:val="Heading4"/>
      </w:pPr>
      <w:r>
        <w:t>DXA safety issues</w:t>
      </w:r>
    </w:p>
    <w:p w:rsidR="002A31C3" w:rsidRDefault="002A31C3" w:rsidP="002A31C3">
      <w:r>
        <w:t xml:space="preserve">There appears to be few clinical issues around patient safety with performing DXA. On its own, the test is non-invasive, emits a </w:t>
      </w:r>
      <w:r w:rsidR="0061023D">
        <w:t>negligible</w:t>
      </w:r>
      <w:r>
        <w:t xml:space="preserve"> amount of ionizing-radiation and presents no chemical or bodily harm to the patient. </w:t>
      </w:r>
      <w:r w:rsidR="00C07A47">
        <w:t>Radiation levels have been stated as being one-tenth those of standard computer tomography scans (</w:t>
      </w:r>
      <w:r w:rsidR="002404CD">
        <w:t>Lim 2009</w:t>
      </w:r>
      <w:r w:rsidR="00C07A47">
        <w:t>).</w:t>
      </w:r>
    </w:p>
    <w:p w:rsidR="002A31C3" w:rsidRDefault="002A31C3" w:rsidP="002A31C3">
      <w:r>
        <w:t>The effective radiation dose is a product of the radiation dose and the biological sensitivity of tissue, measured in millisieverts (mSv). Abdominal structures are more biologically active and imaging results in higher effective doses than other body parts. Susceptibility to higher effective doses is also found in younger age groups. High cumulative dose is considered &gt;50 mSv over a 5-year period</w:t>
      </w:r>
      <w:r w:rsidR="00F220C1">
        <w:t xml:space="preserve"> </w:t>
      </w:r>
      <w:r w:rsidR="00F220C1">
        <w:fldChar w:fldCharType="begin"/>
      </w:r>
      <w:r w:rsidR="00F220C1">
        <w:instrText xml:space="preserve"> ADDIN EN.CITE &lt;EndNote&gt;&lt;Cite&gt;&lt;Author&gt;Kroeker&lt;/Author&gt;&lt;Year&gt;2011&lt;/Year&gt;&lt;RecNum&gt;262&lt;/RecNum&gt;&lt;DisplayText&gt;(Kroeker, Lam et al. 2011)&lt;/DisplayText&gt;&lt;record&gt;&lt;rec-number&gt;262&lt;/rec-number&gt;&lt;foreign-keys&gt;&lt;key app="EN" db-id="v9edw0zeqvve5nedzvjx29f1df2z2tvpvw55" timestamp="1398315437"&gt;262&lt;/key&gt;&lt;/foreign-keys&gt;&lt;ref-type name="Journal Article"&gt;17&lt;/ref-type&gt;&lt;contributors&gt;&lt;authors&gt;&lt;author&gt;Kroeker, K. I.&lt;/author&gt;&lt;author&gt;Lam, S.&lt;/author&gt;&lt;author&gt;Birchall, I.&lt;/author&gt;&lt;author&gt;Fedorak, R. N.&lt;/author&gt;&lt;/authors&gt;&lt;/contributors&gt;&lt;titles&gt;&lt;title&gt;Patients with IBD are exposed to high levels of ionizing radiation through CT scan diagnostic imaging: a five-year study&lt;/title&gt;&lt;secondary-title&gt;J Clin Gastroenterol.&lt;/secondary-title&gt;&lt;/titles&gt;&lt;periodical&gt;&lt;full-title&gt;J Clin Gastroenterol.&lt;/full-title&gt;&lt;/periodical&gt;&lt;pages&gt;34-9. doi: 10.1097/MCG.0b013e3181e5d1c5.&lt;/pages&gt;&lt;volume&gt;45&lt;/volume&gt;&lt;number&gt;1&lt;/number&gt;&lt;keywords&gt;&lt;keyword&gt;Adult&lt;/keyword&gt;&lt;keyword&gt;Colitis, Ulcerative/*radiography&lt;/keyword&gt;&lt;keyword&gt;Crohn Disease/*radiography&lt;/keyword&gt;&lt;keyword&gt;Female&lt;/keyword&gt;&lt;keyword&gt;Follow-Up Studies&lt;/keyword&gt;&lt;keyword&gt;Humans&lt;/keyword&gt;&lt;keyword&gt;Male&lt;/keyword&gt;&lt;keyword&gt;Middle Aged&lt;/keyword&gt;&lt;keyword&gt;*Radiation Dosage&lt;/keyword&gt;&lt;keyword&gt;Radiation, Ionizing&lt;/keyword&gt;&lt;keyword&gt;Retrospective Studies&lt;/keyword&gt;&lt;keyword&gt;Tomography, X-Ray Computed/methods&lt;/keyword&gt;&lt;keyword&gt;Young Adult&lt;/keyword&gt;&lt;/keywords&gt;&lt;dates&gt;&lt;year&gt;2011&lt;/year&gt;&lt;pub-dates&gt;&lt;date&gt;Jan&lt;/date&gt;&lt;/pub-dates&gt;&lt;/dates&gt;&lt;isbn&gt;1539-2031 (Electronic)&amp;#xD;0192-0790 (Linking)&lt;/isbn&gt;&lt;work-type&gt;Research Support, Non-U.S. Gov&amp;apos;t&lt;/work-type&gt;&lt;urls&gt;&lt;/urls&gt;&lt;/record&gt;&lt;/Cite&gt;&lt;/EndNote&gt;</w:instrText>
      </w:r>
      <w:r w:rsidR="00F220C1">
        <w:fldChar w:fldCharType="separate"/>
      </w:r>
      <w:r w:rsidR="00F220C1">
        <w:rPr>
          <w:noProof/>
        </w:rPr>
        <w:t>(</w:t>
      </w:r>
      <w:hyperlink w:anchor="_ENREF_32" w:tooltip="Kroeker, 2011 #262" w:history="1">
        <w:r w:rsidR="006F79C1">
          <w:rPr>
            <w:noProof/>
          </w:rPr>
          <w:t>Kroeker, Lam et al. 2011</w:t>
        </w:r>
      </w:hyperlink>
      <w:r w:rsidR="00F220C1">
        <w:rPr>
          <w:noProof/>
        </w:rPr>
        <w:t>)</w:t>
      </w:r>
      <w:r w:rsidR="00F220C1">
        <w:fldChar w:fldCharType="end"/>
      </w:r>
      <w:r w:rsidR="0061023D">
        <w:t>.</w:t>
      </w:r>
      <w:r>
        <w:t xml:space="preserve"> </w:t>
      </w:r>
      <w:r w:rsidR="0061023D">
        <w:t>C</w:t>
      </w:r>
      <w:r>
        <w:t xml:space="preserve">umulative effective dose of &gt;75 mSv is associated with an increased cancer risk of 7.3%. </w:t>
      </w:r>
    </w:p>
    <w:p w:rsidR="002A31C3" w:rsidRDefault="002A31C3" w:rsidP="002A31C3">
      <w:r>
        <w:t xml:space="preserve">The Australian Radiation Protection and Nuclear Safety Agency (ARPANSA) state that total radiation exposure should take into account background radiation exposure received from natural sources. In Australia, this </w:t>
      </w:r>
      <w:r w:rsidR="0061023D">
        <w:t>background radiation level i</w:t>
      </w:r>
      <w:r>
        <w:t>s reported to be 1.5</w:t>
      </w:r>
      <w:r w:rsidR="00952ED3">
        <w:t xml:space="preserve"> </w:t>
      </w:r>
      <w:r>
        <w:t xml:space="preserve">mSv per year. The risk of cancer </w:t>
      </w:r>
      <w:r w:rsidR="00C07A47">
        <w:t>from</w:t>
      </w:r>
      <w:r>
        <w:t xml:space="preserve"> 1 mSv of radiation is 1 in 17,000 (</w:t>
      </w:r>
      <w:r w:rsidR="00C07A47">
        <w:t>lower than</w:t>
      </w:r>
      <w:r>
        <w:t xml:space="preserve"> the age-standardised incidence rate of 57 in 17,000) or the equivalent risk of getting cancer from smoking 100 cigarettes (ARPANSA, 2011). </w:t>
      </w:r>
      <w:r w:rsidR="00C07A47">
        <w:t>I</w:t>
      </w:r>
      <w:r>
        <w:t>onizing radiati</w:t>
      </w:r>
      <w:r w:rsidR="00904582">
        <w:t xml:space="preserve">on </w:t>
      </w:r>
      <w:r w:rsidR="00C07A47">
        <w:t>exposure from</w:t>
      </w:r>
      <w:r w:rsidR="00904582">
        <w:t xml:space="preserve"> abdominal x-ray </w:t>
      </w:r>
      <w:r w:rsidR="00C07A47">
        <w:t xml:space="preserve">is </w:t>
      </w:r>
      <w:r w:rsidR="00904582">
        <w:t xml:space="preserve">0.7 mSv </w:t>
      </w:r>
      <w:r>
        <w:t xml:space="preserve">and </w:t>
      </w:r>
      <w:r w:rsidR="00C07A47">
        <w:t xml:space="preserve">10 mSv for </w:t>
      </w:r>
      <w:r>
        <w:t>abdominal/pelvic CT</w:t>
      </w:r>
      <w:r w:rsidR="0061023D">
        <w:t xml:space="preserve"> scan</w:t>
      </w:r>
      <w:r>
        <w:t xml:space="preserve">. The effective radiation dose for each person is highly variable due to different machine settings, the amount of radioactive material used and patient metabolism. </w:t>
      </w:r>
      <w:r w:rsidR="00904582">
        <w:t xml:space="preserve"> </w:t>
      </w:r>
    </w:p>
    <w:p w:rsidR="0061023D" w:rsidRDefault="0061023D" w:rsidP="002A31C3">
      <w:r>
        <w:t xml:space="preserve">In the vast number of patients and person-years included in the studies in Table </w:t>
      </w:r>
      <w:r w:rsidR="00524439">
        <w:t>15</w:t>
      </w:r>
      <w:r>
        <w:t>, there were no issues reported for adverse radiation safety with DXA scans. An additional search was performed in PubMed to identify studies reporting radiation levels from DXA scanning. This search was not extensive or systematic.</w:t>
      </w:r>
    </w:p>
    <w:p w:rsidR="00904582" w:rsidRPr="00904582" w:rsidRDefault="00904582" w:rsidP="00904582">
      <w:pPr>
        <w:rPr>
          <w:shd w:val="clear" w:color="auto" w:fill="FFFFFF"/>
        </w:rPr>
      </w:pPr>
      <w:r w:rsidRPr="00904582">
        <w:t xml:space="preserve">In a study by Bandirali </w:t>
      </w:r>
      <w:r w:rsidRPr="0061023D">
        <w:rPr>
          <w:i/>
        </w:rPr>
        <w:t>et al.</w:t>
      </w:r>
      <w:r w:rsidRPr="00904582">
        <w:t xml:space="preserve"> (2013)</w:t>
      </w:r>
      <w:r>
        <w:t>,</w:t>
      </w:r>
      <w:r w:rsidRPr="00904582">
        <w:t xml:space="preserve"> </w:t>
      </w:r>
      <w:r>
        <w:t>t</w:t>
      </w:r>
      <w:r w:rsidRPr="00904582">
        <w:rPr>
          <w:shd w:val="clear" w:color="auto" w:fill="FFFFFF"/>
        </w:rPr>
        <w:t xml:space="preserve">he </w:t>
      </w:r>
      <w:r w:rsidRPr="00904582">
        <w:t>lifetime</w:t>
      </w:r>
      <w:r w:rsidRPr="00904582">
        <w:rPr>
          <w:rStyle w:val="apple-converted-space"/>
          <w:rFonts w:ascii="Arial" w:hAnsi="Arial" w:cs="Arial"/>
          <w:color w:val="000000"/>
          <w:sz w:val="20"/>
        </w:rPr>
        <w:t> </w:t>
      </w:r>
      <w:r w:rsidRPr="00904582">
        <w:t>dose</w:t>
      </w:r>
      <w:r w:rsidRPr="00904582">
        <w:rPr>
          <w:rStyle w:val="apple-converted-space"/>
          <w:rFonts w:ascii="Arial" w:hAnsi="Arial" w:cs="Arial"/>
          <w:color w:val="000000"/>
          <w:sz w:val="20"/>
          <w:shd w:val="clear" w:color="auto" w:fill="FFFFFF"/>
        </w:rPr>
        <w:t> </w:t>
      </w:r>
      <w:r>
        <w:rPr>
          <w:shd w:val="clear" w:color="auto" w:fill="FFFFFF"/>
        </w:rPr>
        <w:t>and</w:t>
      </w:r>
      <w:r w:rsidRPr="00904582">
        <w:rPr>
          <w:shd w:val="clear" w:color="auto" w:fill="FFFFFF"/>
        </w:rPr>
        <w:t xml:space="preserve"> attributable risk for cancer </w:t>
      </w:r>
      <w:r>
        <w:rPr>
          <w:shd w:val="clear" w:color="auto" w:fill="FFFFFF"/>
        </w:rPr>
        <w:t>was estimated taking into account background radiation levels</w:t>
      </w:r>
      <w:r w:rsidR="00C07A47">
        <w:rPr>
          <w:shd w:val="clear" w:color="auto" w:fill="FFFFFF"/>
        </w:rPr>
        <w:t xml:space="preserve"> and different DXA</w:t>
      </w:r>
      <w:r w:rsidR="00E069EA">
        <w:rPr>
          <w:shd w:val="clear" w:color="auto" w:fill="FFFFFF"/>
        </w:rPr>
        <w:t xml:space="preserve"> modalities (FA: fast array, A: array, HD: high definition)</w:t>
      </w:r>
      <w:r w:rsidR="00F220C1">
        <w:rPr>
          <w:shd w:val="clear" w:color="auto" w:fill="FFFFFF"/>
        </w:rPr>
        <w:t xml:space="preserve"> </w:t>
      </w:r>
      <w:r w:rsidR="00F220C1">
        <w:rPr>
          <w:shd w:val="clear" w:color="auto" w:fill="FFFFFF"/>
        </w:rPr>
        <w:fldChar w:fldCharType="begin"/>
      </w:r>
      <w:r w:rsidR="00F220C1">
        <w:rPr>
          <w:shd w:val="clear" w:color="auto" w:fill="FFFFFF"/>
        </w:rPr>
        <w:instrText xml:space="preserve"> ADDIN EN.CITE &lt;EndNote&gt;&lt;Cite&gt;&lt;Author&gt;Bandirali&lt;/Author&gt;&lt;Year&gt;2013&lt;/Year&gt;&lt;RecNum&gt;263&lt;/RecNum&gt;&lt;DisplayText&gt;(Bandirali, Lanza et al. 2013)&lt;/DisplayText&gt;&lt;record&gt;&lt;rec-number&gt;263&lt;/rec-number&gt;&lt;foreign-keys&gt;&lt;key app="EN" db-id="v9edw0zeqvve5nedzvjx29f1df2z2tvpvw55" timestamp="1398315548"&gt;263&lt;/key&gt;&lt;/foreign-keys&gt;&lt;ref-type name="Journal Article"&gt;17&lt;/ref-type&gt;&lt;contributors&gt;&lt;authors&gt;&lt;author&gt;Bandirali, M.&lt;/author&gt;&lt;author&gt;Lanza, E.&lt;/author&gt;&lt;author&gt;Messina, C.&lt;/author&gt;&lt;author&gt;Sconfienza, L. M.&lt;/author&gt;&lt;author&gt;Brambilla, R.&lt;/author&gt;&lt;author&gt;Maurizio, R.&lt;/author&gt;&lt;author&gt;Marchelli, D.&lt;/author&gt;&lt;author&gt;Piodi, L. P.&lt;/author&gt;&lt;author&gt;Di Leo, G.&lt;/author&gt;&lt;author&gt;Ulivieri, F. M.&lt;/author&gt;&lt;author&gt;Sardanelli, F.&lt;/author&gt;&lt;/authors&gt;&lt;/contributors&gt;&lt;titles&gt;&lt;title&gt;Dose absorption in lumbar and femoral dual energy X-ray absorptiometry examinations using three different scan modalities: an anthropomorphic phantom study&lt;/title&gt;&lt;secondary-title&gt;J Clin Densitom.&lt;/secondary-title&gt;&lt;/titles&gt;&lt;periodical&gt;&lt;full-title&gt;J Clin Densitom.&lt;/full-title&gt;&lt;/periodical&gt;&lt;pages&gt;279-82. doi: 10.1016/j.jocd.2013.02.005. Epub 2013 Mar 25.&lt;/pages&gt;&lt;volume&gt;16&lt;/volume&gt;&lt;number&gt;3&lt;/number&gt;&lt;keywords&gt;&lt;keyword&gt;Absorptiometry, Photon/*instrumentation&lt;/keyword&gt;&lt;keyword&gt;Absorption&lt;/keyword&gt;&lt;keyword&gt;*Bone Density&lt;/keyword&gt;&lt;keyword&gt;Dose-Response Relationship, Radiation&lt;/keyword&gt;&lt;keyword&gt;Female&lt;/keyword&gt;&lt;keyword&gt;Femur/radiation effects/*radiography&lt;/keyword&gt;&lt;keyword&gt;Humans&lt;/keyword&gt;&lt;keyword&gt;Lumbar Vertebrae/radiation effects/*radiography&lt;/keyword&gt;&lt;keyword&gt;Male&lt;/keyword&gt;&lt;keyword&gt;Osteoporosis/metabolism/radiography&lt;/keyword&gt;&lt;keyword&gt;*Phantoms, Imaging&lt;/keyword&gt;&lt;keyword&gt;Thermoluminescent Dosimetry/methods&lt;/keyword&gt;&lt;/keywords&gt;&lt;dates&gt;&lt;year&gt;2013&lt;/year&gt;&lt;pub-dates&gt;&lt;date&gt;Jul-Sep&lt;/date&gt;&lt;/pub-dates&gt;&lt;/dates&gt;&lt;orig-pub&gt;Anthropomorphic phantom&amp;#xD;dual energy X-ray absorptiometry&amp;#xD;radiation exposure&lt;/orig-pub&gt;&lt;isbn&gt;1094-6950 (Print)&amp;#xD;1094-6950 (Linking)&lt;/isbn&gt;&lt;work-type&gt;Comparative Study&lt;/work-type&gt;&lt;urls&gt;&lt;/urls&gt;&lt;/record&gt;&lt;/Cite&gt;&lt;/EndNote&gt;</w:instrText>
      </w:r>
      <w:r w:rsidR="00F220C1">
        <w:rPr>
          <w:shd w:val="clear" w:color="auto" w:fill="FFFFFF"/>
        </w:rPr>
        <w:fldChar w:fldCharType="separate"/>
      </w:r>
      <w:r w:rsidR="00F220C1">
        <w:rPr>
          <w:noProof/>
          <w:shd w:val="clear" w:color="auto" w:fill="FFFFFF"/>
        </w:rPr>
        <w:t>(</w:t>
      </w:r>
      <w:hyperlink w:anchor="_ENREF_4" w:tooltip="Bandirali, 2013 #263" w:history="1">
        <w:r w:rsidR="006F79C1">
          <w:rPr>
            <w:noProof/>
            <w:shd w:val="clear" w:color="auto" w:fill="FFFFFF"/>
          </w:rPr>
          <w:t>Bandirali, Lanza et al. 2013</w:t>
        </w:r>
      </w:hyperlink>
      <w:r w:rsidR="00F220C1">
        <w:rPr>
          <w:noProof/>
          <w:shd w:val="clear" w:color="auto" w:fill="FFFFFF"/>
        </w:rPr>
        <w:t>)</w:t>
      </w:r>
      <w:r w:rsidR="00F220C1">
        <w:rPr>
          <w:shd w:val="clear" w:color="auto" w:fill="FFFFFF"/>
        </w:rPr>
        <w:fldChar w:fldCharType="end"/>
      </w:r>
      <w:r w:rsidR="00E069EA">
        <w:rPr>
          <w:shd w:val="clear" w:color="auto" w:fill="FFFFFF"/>
        </w:rPr>
        <w:t>.</w:t>
      </w:r>
      <w:r>
        <w:rPr>
          <w:shd w:val="clear" w:color="auto" w:fill="FFFFFF"/>
        </w:rPr>
        <w:t xml:space="preserve"> </w:t>
      </w:r>
      <w:r w:rsidRPr="00904582">
        <w:t>The</w:t>
      </w:r>
      <w:r w:rsidRPr="00904582">
        <w:rPr>
          <w:rStyle w:val="apple-converted-space"/>
          <w:rFonts w:ascii="Arial" w:hAnsi="Arial" w:cs="Arial"/>
          <w:color w:val="000000"/>
          <w:sz w:val="20"/>
        </w:rPr>
        <w:t> </w:t>
      </w:r>
      <w:r w:rsidRPr="00904582">
        <w:t>effective dose</w:t>
      </w:r>
      <w:r w:rsidRPr="00904582">
        <w:rPr>
          <w:rStyle w:val="apple-converted-space"/>
          <w:rFonts w:ascii="Arial" w:hAnsi="Arial" w:cs="Arial"/>
          <w:color w:val="000000"/>
          <w:sz w:val="20"/>
        </w:rPr>
        <w:t> </w:t>
      </w:r>
      <w:r w:rsidRPr="00904582">
        <w:t>for</w:t>
      </w:r>
      <w:r w:rsidRPr="00904582">
        <w:rPr>
          <w:shd w:val="clear" w:color="auto" w:fill="FFFFFF"/>
        </w:rPr>
        <w:t xml:space="preserve"> lumbar scans was FA = </w:t>
      </w:r>
      <w:r w:rsidR="00E069EA">
        <w:rPr>
          <w:shd w:val="clear" w:color="auto" w:fill="FFFFFF"/>
        </w:rPr>
        <w:t>0.0</w:t>
      </w:r>
      <w:r w:rsidRPr="00904582">
        <w:rPr>
          <w:shd w:val="clear" w:color="auto" w:fill="FFFFFF"/>
        </w:rPr>
        <w:t>1</w:t>
      </w:r>
      <w:r w:rsidR="00E069EA">
        <w:rPr>
          <w:shd w:val="clear" w:color="auto" w:fill="FFFFFF"/>
        </w:rPr>
        <w:t>8</w:t>
      </w:r>
      <w:r w:rsidRPr="00904582">
        <w:rPr>
          <w:shd w:val="clear" w:color="auto" w:fill="FFFFFF"/>
        </w:rPr>
        <w:t xml:space="preserve"> </w:t>
      </w:r>
      <w:r w:rsidR="00E069EA" w:rsidRPr="00E069EA">
        <w:rPr>
          <w:shd w:val="clear" w:color="auto" w:fill="FFFFFF"/>
        </w:rPr>
        <w:t>m</w:t>
      </w:r>
      <w:r w:rsidRPr="00E069EA">
        <w:rPr>
          <w:shd w:val="clear" w:color="auto" w:fill="FFFFFF"/>
        </w:rPr>
        <w:t>Sv,</w:t>
      </w:r>
      <w:r w:rsidRPr="00904582">
        <w:rPr>
          <w:shd w:val="clear" w:color="auto" w:fill="FFFFFF"/>
        </w:rPr>
        <w:t xml:space="preserve"> A = </w:t>
      </w:r>
      <w:r w:rsidR="00E069EA">
        <w:rPr>
          <w:shd w:val="clear" w:color="auto" w:fill="FFFFFF"/>
        </w:rPr>
        <w:t>0.033 m</w:t>
      </w:r>
      <w:r w:rsidRPr="00904582">
        <w:rPr>
          <w:shd w:val="clear" w:color="auto" w:fill="FFFFFF"/>
        </w:rPr>
        <w:t xml:space="preserve">Sv, HD = </w:t>
      </w:r>
      <w:r w:rsidR="00E069EA">
        <w:rPr>
          <w:shd w:val="clear" w:color="auto" w:fill="FFFFFF"/>
        </w:rPr>
        <w:t>0.0</w:t>
      </w:r>
      <w:r w:rsidRPr="00904582">
        <w:rPr>
          <w:shd w:val="clear" w:color="auto" w:fill="FFFFFF"/>
        </w:rPr>
        <w:t>31</w:t>
      </w:r>
      <w:r w:rsidR="00E069EA">
        <w:rPr>
          <w:shd w:val="clear" w:color="auto" w:fill="FFFFFF"/>
        </w:rPr>
        <w:t xml:space="preserve"> m</w:t>
      </w:r>
      <w:r w:rsidRPr="00904582">
        <w:rPr>
          <w:shd w:val="clear" w:color="auto" w:fill="FFFFFF"/>
        </w:rPr>
        <w:t xml:space="preserve">Sv; for femoral scans, FA = </w:t>
      </w:r>
      <w:r w:rsidR="00E069EA">
        <w:rPr>
          <w:shd w:val="clear" w:color="auto" w:fill="FFFFFF"/>
        </w:rPr>
        <w:t>0.0</w:t>
      </w:r>
      <w:r w:rsidRPr="00904582">
        <w:rPr>
          <w:shd w:val="clear" w:color="auto" w:fill="FFFFFF"/>
        </w:rPr>
        <w:t>5</w:t>
      </w:r>
      <w:r w:rsidR="00E069EA">
        <w:rPr>
          <w:shd w:val="clear" w:color="auto" w:fill="FFFFFF"/>
        </w:rPr>
        <w:t>3</w:t>
      </w:r>
      <w:r w:rsidRPr="00904582">
        <w:rPr>
          <w:shd w:val="clear" w:color="auto" w:fill="FFFFFF"/>
        </w:rPr>
        <w:t xml:space="preserve"> </w:t>
      </w:r>
      <w:r w:rsidR="00E069EA">
        <w:rPr>
          <w:shd w:val="clear" w:color="auto" w:fill="FFFFFF"/>
        </w:rPr>
        <w:t>m</w:t>
      </w:r>
      <w:r w:rsidRPr="00904582">
        <w:rPr>
          <w:shd w:val="clear" w:color="auto" w:fill="FFFFFF"/>
        </w:rPr>
        <w:t xml:space="preserve">Sv, A = </w:t>
      </w:r>
      <w:r w:rsidR="00E069EA">
        <w:rPr>
          <w:shd w:val="clear" w:color="auto" w:fill="FFFFFF"/>
        </w:rPr>
        <w:t>0.0</w:t>
      </w:r>
      <w:r w:rsidRPr="00904582">
        <w:rPr>
          <w:shd w:val="clear" w:color="auto" w:fill="FFFFFF"/>
        </w:rPr>
        <w:t>9</w:t>
      </w:r>
      <w:r w:rsidR="00E069EA">
        <w:rPr>
          <w:shd w:val="clear" w:color="auto" w:fill="FFFFFF"/>
        </w:rPr>
        <w:t>6</w:t>
      </w:r>
      <w:r w:rsidRPr="00904582">
        <w:rPr>
          <w:shd w:val="clear" w:color="auto" w:fill="FFFFFF"/>
        </w:rPr>
        <w:t xml:space="preserve"> </w:t>
      </w:r>
      <w:r w:rsidR="00E069EA">
        <w:rPr>
          <w:shd w:val="clear" w:color="auto" w:fill="FFFFFF"/>
        </w:rPr>
        <w:t>m</w:t>
      </w:r>
      <w:r w:rsidRPr="00904582">
        <w:rPr>
          <w:shd w:val="clear" w:color="auto" w:fill="FFFFFF"/>
        </w:rPr>
        <w:t xml:space="preserve">Sv, HD = </w:t>
      </w:r>
      <w:r w:rsidR="00E069EA">
        <w:rPr>
          <w:shd w:val="clear" w:color="auto" w:fill="FFFFFF"/>
        </w:rPr>
        <w:t>0.0</w:t>
      </w:r>
      <w:r w:rsidRPr="00904582">
        <w:rPr>
          <w:shd w:val="clear" w:color="auto" w:fill="FFFFFF"/>
        </w:rPr>
        <w:t>7</w:t>
      </w:r>
      <w:r w:rsidR="00E069EA">
        <w:rPr>
          <w:shd w:val="clear" w:color="auto" w:fill="FFFFFF"/>
        </w:rPr>
        <w:t>5</w:t>
      </w:r>
      <w:r w:rsidRPr="00904582">
        <w:rPr>
          <w:shd w:val="clear" w:color="auto" w:fill="FFFFFF"/>
        </w:rPr>
        <w:t xml:space="preserve"> </w:t>
      </w:r>
      <w:r w:rsidR="00E069EA">
        <w:rPr>
          <w:shd w:val="clear" w:color="auto" w:fill="FFFFFF"/>
        </w:rPr>
        <w:t>m</w:t>
      </w:r>
      <w:r w:rsidRPr="00904582">
        <w:rPr>
          <w:shd w:val="clear" w:color="auto" w:fill="FFFFFF"/>
        </w:rPr>
        <w:t xml:space="preserve">Sv. </w:t>
      </w:r>
      <w:r>
        <w:rPr>
          <w:shd w:val="clear" w:color="auto" w:fill="FFFFFF"/>
        </w:rPr>
        <w:t>There was a</w:t>
      </w:r>
      <w:r w:rsidRPr="00904582">
        <w:rPr>
          <w:shd w:val="clear" w:color="auto" w:fill="FFFFFF"/>
        </w:rPr>
        <w:t xml:space="preserve"> minimal increase in cancer risk (</w:t>
      </w:r>
      <w:r w:rsidR="00E069EA">
        <w:rPr>
          <w:shd w:val="clear" w:color="auto" w:fill="FFFFFF"/>
        </w:rPr>
        <w:t>e.g</w:t>
      </w:r>
      <w:r w:rsidRPr="00904582">
        <w:rPr>
          <w:shd w:val="clear" w:color="auto" w:fill="FFFFFF"/>
        </w:rPr>
        <w:t xml:space="preserve"> 4.02 × 10</w:t>
      </w:r>
      <w:r w:rsidRPr="00904582">
        <w:rPr>
          <w:rFonts w:ascii="Cambria Math" w:hAnsi="Cambria Math" w:cs="Cambria Math"/>
          <w:shd w:val="clear" w:color="auto" w:fill="FFFFFF"/>
        </w:rPr>
        <w:t>⁻</w:t>
      </w:r>
      <w:r w:rsidRPr="00904582">
        <w:rPr>
          <w:shd w:val="clear" w:color="auto" w:fill="FFFFFF"/>
        </w:rPr>
        <w:t>³</w:t>
      </w:r>
      <w:r w:rsidR="00E069EA">
        <w:rPr>
          <w:shd w:val="clear" w:color="auto" w:fill="FFFFFF"/>
        </w:rPr>
        <w:t xml:space="preserve"> </w:t>
      </w:r>
      <w:r w:rsidRPr="00904582">
        <w:rPr>
          <w:shd w:val="clear" w:color="auto" w:fill="FFFFFF"/>
        </w:rPr>
        <w:t xml:space="preserve">% [A, lumbar, female]). The </w:t>
      </w:r>
      <w:r w:rsidRPr="00904582">
        <w:t>lifetime</w:t>
      </w:r>
      <w:r w:rsidRPr="00904582">
        <w:rPr>
          <w:rStyle w:val="apple-converted-space"/>
          <w:rFonts w:ascii="Arial" w:hAnsi="Arial" w:cs="Arial"/>
          <w:color w:val="000000"/>
          <w:sz w:val="20"/>
        </w:rPr>
        <w:t> </w:t>
      </w:r>
      <w:r w:rsidRPr="00904582">
        <w:t>dose</w:t>
      </w:r>
      <w:r w:rsidRPr="00904582">
        <w:rPr>
          <w:rStyle w:val="apple-converted-space"/>
          <w:rFonts w:ascii="Arial" w:hAnsi="Arial" w:cs="Arial"/>
          <w:color w:val="000000"/>
          <w:sz w:val="20"/>
        </w:rPr>
        <w:t> </w:t>
      </w:r>
      <w:r w:rsidRPr="00904582">
        <w:t xml:space="preserve">absorption and </w:t>
      </w:r>
      <w:r w:rsidR="0061023D">
        <w:t xml:space="preserve">lifetime attributable risk </w:t>
      </w:r>
      <w:r w:rsidRPr="00904582">
        <w:t>for cancer for a male and a female patient undergoing 36</w:t>
      </w:r>
      <w:r w:rsidRPr="00904582">
        <w:rPr>
          <w:rStyle w:val="apple-converted-space"/>
          <w:rFonts w:ascii="Arial" w:hAnsi="Arial" w:cs="Arial"/>
          <w:color w:val="000000"/>
          <w:sz w:val="20"/>
        </w:rPr>
        <w:t> </w:t>
      </w:r>
      <w:r w:rsidRPr="00904582">
        <w:t>DXA</w:t>
      </w:r>
      <w:r w:rsidRPr="00904582">
        <w:rPr>
          <w:rStyle w:val="apple-converted-space"/>
          <w:rFonts w:ascii="Arial" w:hAnsi="Arial" w:cs="Arial"/>
          <w:color w:val="000000"/>
          <w:sz w:val="20"/>
          <w:shd w:val="clear" w:color="auto" w:fill="FFFFFF"/>
        </w:rPr>
        <w:t> </w:t>
      </w:r>
      <w:r w:rsidR="004070F8">
        <w:rPr>
          <w:shd w:val="clear" w:color="auto" w:fill="FFFFFF"/>
        </w:rPr>
        <w:t>analyses</w:t>
      </w:r>
      <w:r w:rsidRPr="00904582">
        <w:rPr>
          <w:shd w:val="clear" w:color="auto" w:fill="FFFFFF"/>
        </w:rPr>
        <w:t xml:space="preserve"> (18 lumbar, 18 femoral) every 21 months for 32 </w:t>
      </w:r>
      <w:r w:rsidRPr="00904582">
        <w:rPr>
          <w:shd w:val="clear" w:color="auto" w:fill="FFFFFF"/>
        </w:rPr>
        <w:lastRenderedPageBreak/>
        <w:t>years were 0.756 mSv, 3.82 × 10(-3)% and 0.756 mSv, 5.11 × 10</w:t>
      </w:r>
      <w:r w:rsidRPr="00904582">
        <w:rPr>
          <w:rFonts w:ascii="Cambria Math" w:hAnsi="Cambria Math" w:cs="Cambria Math"/>
          <w:shd w:val="clear" w:color="auto" w:fill="FFFFFF"/>
        </w:rPr>
        <w:t>⁻</w:t>
      </w:r>
      <w:r w:rsidRPr="00904582">
        <w:rPr>
          <w:shd w:val="clear" w:color="auto" w:fill="FFFFFF"/>
        </w:rPr>
        <w:t xml:space="preserve">³%, respectively. The </w:t>
      </w:r>
      <w:r w:rsidR="004070F8">
        <w:rPr>
          <w:shd w:val="clear" w:color="auto" w:fill="FFFFFF"/>
        </w:rPr>
        <w:t>authors’</w:t>
      </w:r>
      <w:r w:rsidRPr="00904582">
        <w:rPr>
          <w:shd w:val="clear" w:color="auto" w:fill="FFFFFF"/>
        </w:rPr>
        <w:t xml:space="preserve"> concluded </w:t>
      </w:r>
      <w:r w:rsidRPr="00904582">
        <w:t>that DXA</w:t>
      </w:r>
      <w:r w:rsidRPr="00904582">
        <w:rPr>
          <w:rStyle w:val="apple-converted-space"/>
          <w:rFonts w:ascii="Arial" w:hAnsi="Arial" w:cs="Arial"/>
          <w:color w:val="000000"/>
          <w:sz w:val="20"/>
        </w:rPr>
        <w:t> </w:t>
      </w:r>
      <w:r w:rsidRPr="00904582">
        <w:t>examinations emitted</w:t>
      </w:r>
      <w:r w:rsidRPr="00904582">
        <w:rPr>
          <w:rStyle w:val="apple-converted-space"/>
          <w:rFonts w:ascii="Arial" w:hAnsi="Arial" w:cs="Arial"/>
          <w:color w:val="000000"/>
          <w:sz w:val="20"/>
        </w:rPr>
        <w:t> </w:t>
      </w:r>
      <w:r w:rsidRPr="00904582">
        <w:t>radiation</w:t>
      </w:r>
      <w:r w:rsidRPr="00904582">
        <w:rPr>
          <w:rStyle w:val="apple-converted-space"/>
          <w:rFonts w:ascii="Arial" w:hAnsi="Arial" w:cs="Arial"/>
          <w:color w:val="000000"/>
          <w:sz w:val="20"/>
        </w:rPr>
        <w:t> </w:t>
      </w:r>
      <w:r w:rsidRPr="00904582">
        <w:t>levels that were comparable to the background</w:t>
      </w:r>
      <w:r w:rsidRPr="00904582">
        <w:rPr>
          <w:rStyle w:val="apple-converted-space"/>
          <w:rFonts w:ascii="Arial" w:hAnsi="Arial" w:cs="Arial"/>
          <w:color w:val="000000"/>
          <w:sz w:val="20"/>
        </w:rPr>
        <w:t> </w:t>
      </w:r>
      <w:r w:rsidRPr="00904582">
        <w:t>radiation</w:t>
      </w:r>
      <w:r w:rsidRPr="00904582">
        <w:rPr>
          <w:shd w:val="clear" w:color="auto" w:fill="FFFFFF"/>
        </w:rPr>
        <w:t xml:space="preserve"> and the authors stated</w:t>
      </w:r>
      <w:r w:rsidR="004070F8">
        <w:rPr>
          <w:shd w:val="clear" w:color="auto" w:fill="FFFFFF"/>
        </w:rPr>
        <w:t>:</w:t>
      </w:r>
    </w:p>
    <w:p w:rsidR="00904582" w:rsidRDefault="00904582" w:rsidP="00904582">
      <w:pPr>
        <w:pStyle w:val="Quote"/>
      </w:pPr>
      <w:r w:rsidRPr="00904582">
        <w:rPr>
          <w:shd w:val="clear" w:color="auto" w:fill="FFFFFF"/>
        </w:rPr>
        <w:t xml:space="preserve"> ‘Regardless of the scan modality or the anatomic site, a patient undergoing</w:t>
      </w:r>
      <w:r w:rsidRPr="00904582">
        <w:rPr>
          <w:rStyle w:val="apple-converted-space"/>
          <w:rFonts w:ascii="Arial" w:hAnsi="Arial" w:cs="Arial"/>
          <w:color w:val="000000"/>
          <w:sz w:val="20"/>
          <w:shd w:val="clear" w:color="auto" w:fill="FFFFFF"/>
        </w:rPr>
        <w:t> </w:t>
      </w:r>
      <w:r w:rsidRPr="00904582">
        <w:t>DXA </w:t>
      </w:r>
      <w:r w:rsidRPr="00904582">
        <w:rPr>
          <w:shd w:val="clear" w:color="auto" w:fill="FFFFFF"/>
        </w:rPr>
        <w:t>scans for a lifetime has a negligible increased risk of developing cancer.’</w:t>
      </w:r>
      <w:r w:rsidR="00F220C1">
        <w:rPr>
          <w:shd w:val="clear" w:color="auto" w:fill="FFFFFF"/>
        </w:rPr>
        <w:t xml:space="preserve"> </w:t>
      </w:r>
      <w:r w:rsidR="00F220C1">
        <w:rPr>
          <w:shd w:val="clear" w:color="auto" w:fill="FFFFFF"/>
        </w:rPr>
        <w:fldChar w:fldCharType="begin"/>
      </w:r>
      <w:r w:rsidR="00F220C1">
        <w:rPr>
          <w:shd w:val="clear" w:color="auto" w:fill="FFFFFF"/>
        </w:rPr>
        <w:instrText xml:space="preserve"> ADDIN EN.CITE &lt;EndNote&gt;&lt;Cite&gt;&lt;Author&gt;Bandirali&lt;/Author&gt;&lt;Year&gt;2013&lt;/Year&gt;&lt;RecNum&gt;263&lt;/RecNum&gt;&lt;DisplayText&gt;(Bandirali, Lanza et al. 2013)&lt;/DisplayText&gt;&lt;record&gt;&lt;rec-number&gt;263&lt;/rec-number&gt;&lt;foreign-keys&gt;&lt;key app="EN" db-id="v9edw0zeqvve5nedzvjx29f1df2z2tvpvw55" timestamp="1398315548"&gt;263&lt;/key&gt;&lt;/foreign-keys&gt;&lt;ref-type name="Journal Article"&gt;17&lt;/ref-type&gt;&lt;contributors&gt;&lt;authors&gt;&lt;author&gt;Bandirali, M.&lt;/author&gt;&lt;author&gt;Lanza, E.&lt;/author&gt;&lt;author&gt;Messina, C.&lt;/author&gt;&lt;author&gt;Sconfienza, L. M.&lt;/author&gt;&lt;author&gt;Brambilla, R.&lt;/author&gt;&lt;author&gt;Maurizio, R.&lt;/author&gt;&lt;author&gt;Marchelli, D.&lt;/author&gt;&lt;author&gt;Piodi, L. P.&lt;/author&gt;&lt;author&gt;Di Leo, G.&lt;/author&gt;&lt;author&gt;Ulivieri, F. M.&lt;/author&gt;&lt;author&gt;Sardanelli, F.&lt;/author&gt;&lt;/authors&gt;&lt;/contributors&gt;&lt;titles&gt;&lt;title&gt;Dose absorption in lumbar and femoral dual energy X-ray absorptiometry examinations using three different scan modalities: an anthropomorphic phantom study&lt;/title&gt;&lt;secondary-title&gt;J Clin Densitom.&lt;/secondary-title&gt;&lt;/titles&gt;&lt;periodical&gt;&lt;full-title&gt;J Clin Densitom.&lt;/full-title&gt;&lt;/periodical&gt;&lt;pages&gt;279-82. doi: 10.1016/j.jocd.2013.02.005. Epub 2013 Mar 25.&lt;/pages&gt;&lt;volume&gt;16&lt;/volume&gt;&lt;number&gt;3&lt;/number&gt;&lt;keywords&gt;&lt;keyword&gt;Absorptiometry, Photon/*instrumentation&lt;/keyword&gt;&lt;keyword&gt;Absorption&lt;/keyword&gt;&lt;keyword&gt;*Bone Density&lt;/keyword&gt;&lt;keyword&gt;Dose-Response Relationship, Radiation&lt;/keyword&gt;&lt;keyword&gt;Female&lt;/keyword&gt;&lt;keyword&gt;Femur/radiation effects/*radiography&lt;/keyword&gt;&lt;keyword&gt;Humans&lt;/keyword&gt;&lt;keyword&gt;Lumbar Vertebrae/radiation effects/*radiography&lt;/keyword&gt;&lt;keyword&gt;Male&lt;/keyword&gt;&lt;keyword&gt;Osteoporosis/metabolism/radiography&lt;/keyword&gt;&lt;keyword&gt;*Phantoms, Imaging&lt;/keyword&gt;&lt;keyword&gt;Thermoluminescent Dosimetry/methods&lt;/keyword&gt;&lt;/keywords&gt;&lt;dates&gt;&lt;year&gt;2013&lt;/year&gt;&lt;pub-dates&gt;&lt;date&gt;Jul-Sep&lt;/date&gt;&lt;/pub-dates&gt;&lt;/dates&gt;&lt;orig-pub&gt;Anthropomorphic phantom&amp;#xD;dual energy X-ray absorptiometry&amp;#xD;radiation exposure&lt;/orig-pub&gt;&lt;isbn&gt;1094-6950 (Print)&amp;#xD;1094-6950 (Linking)&lt;/isbn&gt;&lt;work-type&gt;Comparative Study&lt;/work-type&gt;&lt;urls&gt;&lt;/urls&gt;&lt;/record&gt;&lt;/Cite&gt;&lt;/EndNote&gt;</w:instrText>
      </w:r>
      <w:r w:rsidR="00F220C1">
        <w:rPr>
          <w:shd w:val="clear" w:color="auto" w:fill="FFFFFF"/>
        </w:rPr>
        <w:fldChar w:fldCharType="separate"/>
      </w:r>
      <w:r w:rsidR="00F220C1">
        <w:rPr>
          <w:noProof/>
          <w:shd w:val="clear" w:color="auto" w:fill="FFFFFF"/>
        </w:rPr>
        <w:t>(</w:t>
      </w:r>
      <w:hyperlink w:anchor="_ENREF_4" w:tooltip="Bandirali, 2013 #263" w:history="1">
        <w:r w:rsidR="006F79C1">
          <w:rPr>
            <w:noProof/>
            <w:shd w:val="clear" w:color="auto" w:fill="FFFFFF"/>
          </w:rPr>
          <w:t>Bandirali, Lanza et al. 2013</w:t>
        </w:r>
      </w:hyperlink>
      <w:r w:rsidR="00F220C1">
        <w:rPr>
          <w:noProof/>
          <w:shd w:val="clear" w:color="auto" w:fill="FFFFFF"/>
        </w:rPr>
        <w:t>)</w:t>
      </w:r>
      <w:r w:rsidR="00F220C1">
        <w:rPr>
          <w:shd w:val="clear" w:color="auto" w:fill="FFFFFF"/>
        </w:rPr>
        <w:fldChar w:fldCharType="end"/>
      </w:r>
    </w:p>
    <w:p w:rsidR="00201ECF" w:rsidRDefault="00201ECF" w:rsidP="00201ECF">
      <w:pPr>
        <w:pStyle w:val="Heading3"/>
      </w:pPr>
      <w:bookmarkStart w:id="104" w:name="_Toc386093707"/>
      <w:r>
        <w:t>Are anti-resorptives or other BMD treatments effective and safe?</w:t>
      </w:r>
      <w:bookmarkEnd w:id="104"/>
      <w:r>
        <w:t xml:space="preserve"> </w:t>
      </w:r>
    </w:p>
    <w:p w:rsidR="00AD0B23" w:rsidRDefault="00036FDB" w:rsidP="00036FDB">
      <w:r>
        <w:t>Search</w:t>
      </w:r>
      <w:r w:rsidR="000A3121">
        <w:t xml:space="preserve"> 3 has </w:t>
      </w:r>
      <w:r>
        <w:t>provide</w:t>
      </w:r>
      <w:r w:rsidR="000A3121">
        <w:t>d</w:t>
      </w:r>
      <w:r>
        <w:t xml:space="preserve"> the </w:t>
      </w:r>
      <w:r w:rsidR="000A3121">
        <w:t xml:space="preserve">trial-based </w:t>
      </w:r>
      <w:r>
        <w:t xml:space="preserve">evidence for </w:t>
      </w:r>
      <w:r w:rsidR="00A3703E">
        <w:t xml:space="preserve">effectiveness and </w:t>
      </w:r>
      <w:r>
        <w:t>safety on anti-resorptive agents in patients with breast cancer on aromatase inhibitors. Several studies with 5 year follow-up durations where anti-resorptive agents were used for 5 years (for the duration of aromatase inhibitors) may provide better profiles of adverse events than studies of shorter duration.</w:t>
      </w:r>
    </w:p>
    <w:p w:rsidR="00036FDB" w:rsidRDefault="00201ECF" w:rsidP="00201ECF">
      <w:pPr>
        <w:pStyle w:val="Heading4"/>
      </w:pPr>
      <w:r>
        <w:t xml:space="preserve">Effectiveness </w:t>
      </w:r>
      <w:r w:rsidR="004070F8">
        <w:t xml:space="preserve">of BMD management </w:t>
      </w:r>
      <w:r>
        <w:t>(anti-resorptives, calcium, vitamin D and lifestyle advice)</w:t>
      </w:r>
    </w:p>
    <w:p w:rsidR="004070F8" w:rsidRDefault="00BD1164" w:rsidP="00201ECF">
      <w:r>
        <w:t>A description of the studies and the e</w:t>
      </w:r>
      <w:r w:rsidR="00201ECF">
        <w:t xml:space="preserve">ffectiveness </w:t>
      </w:r>
      <w:r>
        <w:t xml:space="preserve">outcomes are provided in Tables </w:t>
      </w:r>
      <w:r w:rsidR="00232A32">
        <w:t>18</w:t>
      </w:r>
      <w:r>
        <w:t xml:space="preserve"> and </w:t>
      </w:r>
      <w:r w:rsidR="00232A32">
        <w:t>19</w:t>
      </w:r>
      <w:r>
        <w:t xml:space="preserve">. </w:t>
      </w:r>
    </w:p>
    <w:p w:rsidR="000A3121" w:rsidRDefault="00D50FE5" w:rsidP="00201ECF">
      <w:r>
        <w:t xml:space="preserve">No studies were </w:t>
      </w:r>
      <w:r w:rsidR="006232A4">
        <w:t>identified</w:t>
      </w:r>
      <w:r>
        <w:t xml:space="preserve"> that directly assessed anti-resorptive agents compared with lifestyle advice</w:t>
      </w:r>
      <w:r w:rsidR="005A149C">
        <w:t xml:space="preserve"> </w:t>
      </w:r>
      <w:r w:rsidR="006232A4">
        <w:t>with</w:t>
      </w:r>
      <w:r>
        <w:t xml:space="preserve"> calc</w:t>
      </w:r>
      <w:r w:rsidR="006232A4">
        <w:t>ium/</w:t>
      </w:r>
      <w:r>
        <w:t>vitamin D</w:t>
      </w:r>
      <w:r w:rsidR="006339AA">
        <w:t xml:space="preserve"> in the population of interest</w:t>
      </w:r>
      <w:r>
        <w:t xml:space="preserve">. </w:t>
      </w:r>
      <w:r w:rsidR="008752C9">
        <w:t xml:space="preserve"> They usually combined anti-resorptives with calcium and vitamin D.</w:t>
      </w:r>
    </w:p>
    <w:p w:rsidR="00794E87" w:rsidRDefault="006339AA" w:rsidP="00201ECF">
      <w:r>
        <w:t xml:space="preserve">Table </w:t>
      </w:r>
      <w:r w:rsidR="00232A32">
        <w:t>18</w:t>
      </w:r>
      <w:r>
        <w:t xml:space="preserve"> shows the BMD treatments in various </w:t>
      </w:r>
      <w:r w:rsidR="00200449">
        <w:t>interventions</w:t>
      </w:r>
      <w:r>
        <w:t xml:space="preserve"> (early or delayed treatment</w:t>
      </w:r>
      <w:r w:rsidR="006232A4">
        <w:t>) or participant groups (</w:t>
      </w:r>
      <w:r>
        <w:t xml:space="preserve">risk stratified </w:t>
      </w:r>
      <w:r w:rsidR="006232A4">
        <w:t>by</w:t>
      </w:r>
      <w:r>
        <w:t xml:space="preserve"> T-score) or placebo. </w:t>
      </w:r>
      <w:r w:rsidR="006232A4">
        <w:t>Zoledronic</w:t>
      </w:r>
      <w:r>
        <w:t xml:space="preserve"> acid was the most studied bone loss treatment in </w:t>
      </w:r>
      <w:r w:rsidR="007A119D">
        <w:t>post-menopaus</w:t>
      </w:r>
      <w:r>
        <w:t>al women taking aromatase inhibitors with or without prior tamoxifen treatment.</w:t>
      </w:r>
    </w:p>
    <w:p w:rsidR="00200449" w:rsidRDefault="00200449" w:rsidP="00200449">
      <w:r>
        <w:t xml:space="preserve">Overall, the studies </w:t>
      </w:r>
      <w:r w:rsidR="004070F8">
        <w:t>enrolled</w:t>
      </w:r>
      <w:r>
        <w:t xml:space="preserve"> </w:t>
      </w:r>
      <w:r w:rsidR="004070F8">
        <w:t xml:space="preserve">participants </w:t>
      </w:r>
      <w:r w:rsidR="00BD16E3">
        <w:t>who included</w:t>
      </w:r>
      <w:r>
        <w:t>:</w:t>
      </w:r>
    </w:p>
    <w:p w:rsidR="00804414" w:rsidRPr="00804414" w:rsidRDefault="00804414" w:rsidP="00534D10">
      <w:pPr>
        <w:pStyle w:val="ListParagraph"/>
        <w:numPr>
          <w:ilvl w:val="0"/>
          <w:numId w:val="42"/>
        </w:numPr>
      </w:pPr>
      <w:r w:rsidRPr="00804414">
        <w:t xml:space="preserve">Women </w:t>
      </w:r>
      <w:r>
        <w:t>who were</w:t>
      </w:r>
      <w:r w:rsidRPr="00804414">
        <w:t xml:space="preserve"> post-menopausal (either spontaneous or treatment-induced)</w:t>
      </w:r>
      <w:r w:rsidR="004070F8">
        <w:t>;</w:t>
      </w:r>
    </w:p>
    <w:p w:rsidR="00200449" w:rsidRPr="00804414" w:rsidRDefault="00804414" w:rsidP="00534D10">
      <w:pPr>
        <w:pStyle w:val="ListParagraph"/>
        <w:numPr>
          <w:ilvl w:val="0"/>
          <w:numId w:val="42"/>
        </w:numPr>
      </w:pPr>
      <w:r>
        <w:t>Women with e</w:t>
      </w:r>
      <w:r w:rsidR="00200449" w:rsidRPr="00804414">
        <w:t>arly stage breast cancer (stage I to IIIa)</w:t>
      </w:r>
      <w:r>
        <w:t>, hormone receptor positive</w:t>
      </w:r>
      <w:r w:rsidR="004070F8">
        <w:t>;</w:t>
      </w:r>
    </w:p>
    <w:p w:rsidR="00200449" w:rsidRDefault="00200449" w:rsidP="00534D10">
      <w:pPr>
        <w:pStyle w:val="ListParagraph"/>
        <w:numPr>
          <w:ilvl w:val="0"/>
          <w:numId w:val="42"/>
        </w:numPr>
      </w:pPr>
      <w:r w:rsidRPr="00804414">
        <w:t xml:space="preserve">Women taking </w:t>
      </w:r>
      <w:r w:rsidR="00804414" w:rsidRPr="00804414">
        <w:t xml:space="preserve">or scheduled for </w:t>
      </w:r>
      <w:r w:rsidR="00804414">
        <w:t xml:space="preserve">adjuvant </w:t>
      </w:r>
      <w:r w:rsidRPr="00804414">
        <w:t>aromatase inhibitors</w:t>
      </w:r>
      <w:r w:rsidR="00317185">
        <w:t xml:space="preserve"> for 5 years treatment</w:t>
      </w:r>
      <w:r w:rsidR="004070F8">
        <w:t>;</w:t>
      </w:r>
    </w:p>
    <w:p w:rsidR="00125D0B" w:rsidRPr="00804414" w:rsidRDefault="00125D0B" w:rsidP="00534D10">
      <w:pPr>
        <w:pStyle w:val="ListParagraph"/>
        <w:numPr>
          <w:ilvl w:val="0"/>
          <w:numId w:val="42"/>
        </w:numPr>
      </w:pPr>
      <w:r>
        <w:t xml:space="preserve">Women </w:t>
      </w:r>
      <w:r w:rsidR="004070F8">
        <w:t xml:space="preserve">who </w:t>
      </w:r>
      <w:r>
        <w:t>were permitted to have received adjuvant chemotherapy</w:t>
      </w:r>
      <w:r w:rsidR="004070F8">
        <w:t>;</w:t>
      </w:r>
    </w:p>
    <w:p w:rsidR="004070F8" w:rsidRDefault="004070F8" w:rsidP="00534D10">
      <w:pPr>
        <w:pStyle w:val="ListParagraph"/>
        <w:numPr>
          <w:ilvl w:val="0"/>
          <w:numId w:val="42"/>
        </w:numPr>
      </w:pPr>
      <w:r w:rsidRPr="00804414">
        <w:t xml:space="preserve">Women </w:t>
      </w:r>
      <w:r>
        <w:t xml:space="preserve">who </w:t>
      </w:r>
      <w:r w:rsidRPr="00804414">
        <w:t xml:space="preserve">had </w:t>
      </w:r>
      <w:r w:rsidR="006232A4">
        <w:t>Eastern Cooperative Oncology Group (</w:t>
      </w:r>
      <w:r w:rsidRPr="006232A4">
        <w:t>ECOG</w:t>
      </w:r>
      <w:r w:rsidR="006232A4">
        <w:t>)</w:t>
      </w:r>
      <w:r w:rsidRPr="00804414">
        <w:t xml:space="preserve"> performance </w:t>
      </w:r>
      <w:r w:rsidR="006232A4">
        <w:t xml:space="preserve">score </w:t>
      </w:r>
      <w:r w:rsidRPr="00804414">
        <w:t>of 0-2</w:t>
      </w:r>
      <w:r w:rsidR="006232A4">
        <w:t xml:space="preserve"> (i.e.,  not worse than s</w:t>
      </w:r>
      <w:r w:rsidR="006232A4" w:rsidRPr="006232A4">
        <w:t>ymptomatic, &lt;50% in bed during the day</w:t>
      </w:r>
      <w:r w:rsidR="006232A4">
        <w:t>)</w:t>
      </w:r>
      <w:r>
        <w:t>;</w:t>
      </w:r>
    </w:p>
    <w:p w:rsidR="004070F8" w:rsidRPr="00804414" w:rsidRDefault="004070F8" w:rsidP="00534D10">
      <w:pPr>
        <w:pStyle w:val="ListParagraph"/>
        <w:numPr>
          <w:ilvl w:val="0"/>
          <w:numId w:val="42"/>
        </w:numPr>
      </w:pPr>
      <w:r>
        <w:t>Women who were permitted or assigned to take vitamin D and calcium supplements;</w:t>
      </w:r>
    </w:p>
    <w:p w:rsidR="00200449" w:rsidRPr="00804414" w:rsidRDefault="00200449" w:rsidP="00534D10">
      <w:pPr>
        <w:pStyle w:val="ListParagraph"/>
        <w:numPr>
          <w:ilvl w:val="0"/>
          <w:numId w:val="42"/>
        </w:numPr>
      </w:pPr>
      <w:r w:rsidRPr="00804414">
        <w:t xml:space="preserve">Women who </w:t>
      </w:r>
      <w:r w:rsidR="00804414" w:rsidRPr="00804414">
        <w:t xml:space="preserve">had </w:t>
      </w:r>
      <w:r w:rsidR="004070F8" w:rsidRPr="00232A32">
        <w:rPr>
          <w:u w:val="single"/>
        </w:rPr>
        <w:t>not</w:t>
      </w:r>
      <w:r w:rsidR="004070F8">
        <w:t xml:space="preserve"> </w:t>
      </w:r>
      <w:r w:rsidR="00125D0B">
        <w:t>previously</w:t>
      </w:r>
      <w:r w:rsidR="00804414" w:rsidRPr="00804414">
        <w:t xml:space="preserve"> or </w:t>
      </w:r>
      <w:r w:rsidR="00125D0B">
        <w:t>concurrent</w:t>
      </w:r>
      <w:r w:rsidR="004070F8">
        <w:t>ly</w:t>
      </w:r>
      <w:r w:rsidR="00125D0B">
        <w:t xml:space="preserve"> </w:t>
      </w:r>
      <w:r w:rsidR="004070F8" w:rsidRPr="00804414">
        <w:t xml:space="preserve">used </w:t>
      </w:r>
      <w:r w:rsidRPr="00804414">
        <w:t>aromatase in</w:t>
      </w:r>
      <w:r w:rsidR="00125D0B">
        <w:t>hibitors,</w:t>
      </w:r>
      <w:r w:rsidRPr="00804414">
        <w:t xml:space="preserve"> bone resorptive agents</w:t>
      </w:r>
      <w:r w:rsidR="00804414" w:rsidRPr="00804414">
        <w:t xml:space="preserve">, recent systemic </w:t>
      </w:r>
      <w:r w:rsidR="00816F71" w:rsidRPr="00804414">
        <w:t>corticosteroids</w:t>
      </w:r>
      <w:r w:rsidR="00804414" w:rsidRPr="00804414">
        <w:t>, anabolic steroids or growth hormone</w:t>
      </w:r>
      <w:r w:rsidR="004070F8">
        <w:t>s; and</w:t>
      </w:r>
    </w:p>
    <w:p w:rsidR="00804414" w:rsidRPr="00804414" w:rsidRDefault="00804414" w:rsidP="00534D10">
      <w:pPr>
        <w:pStyle w:val="ListParagraph"/>
        <w:numPr>
          <w:ilvl w:val="0"/>
          <w:numId w:val="42"/>
        </w:numPr>
      </w:pPr>
      <w:r w:rsidRPr="00804414">
        <w:t xml:space="preserve">Women </w:t>
      </w:r>
      <w:r>
        <w:t xml:space="preserve">who </w:t>
      </w:r>
      <w:r w:rsidRPr="00804414">
        <w:t xml:space="preserve">did </w:t>
      </w:r>
      <w:r w:rsidRPr="00232A32">
        <w:rPr>
          <w:u w:val="single"/>
        </w:rPr>
        <w:t>not</w:t>
      </w:r>
      <w:r w:rsidRPr="00804414">
        <w:t xml:space="preserve"> have a history of previous fractures</w:t>
      </w:r>
      <w:r w:rsidR="00317185">
        <w:t>, bone diseases</w:t>
      </w:r>
      <w:r w:rsidRPr="00804414">
        <w:t xml:space="preserve"> or previous or concomitant malignancy ≤ 5 years</w:t>
      </w:r>
      <w:r w:rsidR="004070F8">
        <w:t>.</w:t>
      </w:r>
    </w:p>
    <w:p w:rsidR="00804414" w:rsidRDefault="00125D0B" w:rsidP="00200449">
      <w:r>
        <w:lastRenderedPageBreak/>
        <w:t xml:space="preserve">A few exceptions </w:t>
      </w:r>
      <w:r w:rsidR="00A3703E">
        <w:t xml:space="preserve">to the list above </w:t>
      </w:r>
      <w:r>
        <w:t>were Markopoulos 2012</w:t>
      </w:r>
      <w:r w:rsidR="00317185">
        <w:t xml:space="preserve"> &amp; Lester 2012</w:t>
      </w:r>
      <w:r>
        <w:t xml:space="preserve"> </w:t>
      </w:r>
      <w:r w:rsidR="004070F8">
        <w:t xml:space="preserve">who </w:t>
      </w:r>
      <w:r>
        <w:t xml:space="preserve">excluded women who </w:t>
      </w:r>
      <w:r w:rsidR="002404CD">
        <w:t>had</w:t>
      </w:r>
      <w:r>
        <w:t xml:space="preserve"> chemo-induced menopaus</w:t>
      </w:r>
      <w:r w:rsidR="002404CD">
        <w:t>e</w:t>
      </w:r>
      <w:r>
        <w:t xml:space="preserve">, Rastelli 2011 </w:t>
      </w:r>
      <w:r w:rsidR="004070F8">
        <w:t xml:space="preserve">who </w:t>
      </w:r>
      <w:r w:rsidR="00816F71">
        <w:t xml:space="preserve">also </w:t>
      </w:r>
      <w:r>
        <w:t xml:space="preserve">allowed </w:t>
      </w:r>
      <w:r w:rsidR="00317185">
        <w:t xml:space="preserve">women with </w:t>
      </w:r>
      <w:r>
        <w:t xml:space="preserve">Stage IIIb breast cancer and Rhee 2011 </w:t>
      </w:r>
      <w:r w:rsidR="004070F8">
        <w:t xml:space="preserve">who </w:t>
      </w:r>
      <w:r w:rsidR="00317185">
        <w:t>restricted women with</w:t>
      </w:r>
      <w:r>
        <w:t xml:space="preserve"> ECOG status </w:t>
      </w:r>
      <w:r w:rsidR="00317185">
        <w:t>≤</w:t>
      </w:r>
      <w:r>
        <w:t>1</w:t>
      </w:r>
      <w:r w:rsidR="00317185">
        <w:t xml:space="preserve"> only</w:t>
      </w:r>
      <w:r w:rsidR="006232A4">
        <w:t xml:space="preserve"> (i.e., no worse than symptomatic but completely ambulatory)</w:t>
      </w:r>
      <w:r w:rsidR="00317185">
        <w:t>.</w:t>
      </w:r>
      <w:r w:rsidR="002404CD">
        <w:t xml:space="preserve"> </w:t>
      </w:r>
      <w:r w:rsidR="00804414">
        <w:t xml:space="preserve">Studies differed in that women were </w:t>
      </w:r>
      <w:r>
        <w:t xml:space="preserve">sometimes </w:t>
      </w:r>
      <w:r w:rsidR="00804414">
        <w:t xml:space="preserve">stratified or excluded according to </w:t>
      </w:r>
      <w:r>
        <w:t xml:space="preserve">baseline </w:t>
      </w:r>
      <w:r w:rsidR="004070F8" w:rsidRPr="006232A4">
        <w:t>lumbar</w:t>
      </w:r>
      <w:r w:rsidR="006232A4">
        <w:t xml:space="preserve"> spine</w:t>
      </w:r>
      <w:r w:rsidR="004070F8">
        <w:t xml:space="preserve"> </w:t>
      </w:r>
      <w:r w:rsidR="00804414">
        <w:t>T-Score</w:t>
      </w:r>
      <w:r>
        <w:t xml:space="preserve">, the interventions </w:t>
      </w:r>
      <w:r w:rsidR="00317185">
        <w:t xml:space="preserve">and aromatase inhibitor agents </w:t>
      </w:r>
      <w:r w:rsidR="004070F8">
        <w:t>varied</w:t>
      </w:r>
      <w:r w:rsidR="00317185">
        <w:t xml:space="preserve"> and study designs varied. Importantly, the study follow-ups were </w:t>
      </w:r>
      <w:r w:rsidR="004070F8">
        <w:t xml:space="preserve">widely </w:t>
      </w:r>
      <w:r w:rsidR="00317185">
        <w:t xml:space="preserve">different and ranged from 6 to 60 months </w:t>
      </w:r>
      <w:r w:rsidR="006232A4">
        <w:t>which rendered the</w:t>
      </w:r>
      <w:r w:rsidR="00317185">
        <w:t xml:space="preserve"> </w:t>
      </w:r>
      <w:r w:rsidR="006232A4">
        <w:t>‘</w:t>
      </w:r>
      <w:r w:rsidR="00A3703E">
        <w:t xml:space="preserve">% change in </w:t>
      </w:r>
      <w:r w:rsidR="00317185">
        <w:t>BMD</w:t>
      </w:r>
      <w:r w:rsidR="006232A4">
        <w:t>’ endpoint</w:t>
      </w:r>
      <w:r w:rsidR="00317185">
        <w:t xml:space="preserve"> not easily comparable</w:t>
      </w:r>
      <w:r w:rsidR="006232A4">
        <w:t xml:space="preserve"> across studies</w:t>
      </w:r>
      <w:r w:rsidR="00317185">
        <w:t xml:space="preserve">.  </w:t>
      </w:r>
    </w:p>
    <w:p w:rsidR="004070F8" w:rsidRDefault="00317185" w:rsidP="00317185">
      <w:r>
        <w:t xml:space="preserve">All studies reported BMD using DXA scanners and the majority used the Hologic </w:t>
      </w:r>
      <w:r w:rsidR="004070F8">
        <w:t xml:space="preserve">or GE Lunar </w:t>
      </w:r>
      <w:r>
        <w:t>scanner</w:t>
      </w:r>
      <w:r w:rsidR="00816F71">
        <w:t>s</w:t>
      </w:r>
      <w:r>
        <w:t xml:space="preserve">. The studies included in the assessment </w:t>
      </w:r>
      <w:r w:rsidR="004070F8">
        <w:t>we</w:t>
      </w:r>
      <w:r>
        <w:t xml:space="preserve">re varied in respect to the aromatase inhibitor agent (6 x letrozole, 4 x </w:t>
      </w:r>
      <w:r w:rsidR="00200CF4">
        <w:t>anastrozole</w:t>
      </w:r>
      <w:r>
        <w:t xml:space="preserve">, 3 </w:t>
      </w:r>
      <w:r w:rsidR="00657A2C">
        <w:t xml:space="preserve">x </w:t>
      </w:r>
      <w:r>
        <w:t xml:space="preserve">either), the anti-resorptive agent (7 x </w:t>
      </w:r>
      <w:r w:rsidR="006232A4">
        <w:t>zoledronic</w:t>
      </w:r>
      <w:r>
        <w:t xml:space="preserve"> acid, 2 x risedronate, 1 each of ibandronate, alendronate, denosumab) and follow up time (4 x 60 months, 1 x 36 months, 3 x 24 months, 3 x 12 months and 2 x 6 months).  </w:t>
      </w:r>
      <w:r w:rsidR="004070F8">
        <w:t>Studies were published between 2009 to 2013 with many reporting long-term results and superseding earlier publications of shorter follow-ups</w:t>
      </w:r>
      <w:r w:rsidR="00F220C1">
        <w:t xml:space="preserve"> </w:t>
      </w:r>
      <w:r w:rsidR="00F220C1">
        <w:fldChar w:fldCharType="begin">
          <w:fldData xml:space="preserve">PEVuZE5vdGU+PENpdGU+PEF1dGhvcj5CcnVmc2t5PC9BdXRob3I+PFllYXI+MjAxMjwvWWVhcj48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</w:fldData>
        </w:fldChar>
      </w:r>
      <w:r w:rsidR="00F220C1">
        <w:instrText xml:space="preserve"> ADDIN EN.CITE </w:instrText>
      </w:r>
      <w:r w:rsidR="00F220C1">
        <w:fldChar w:fldCharType="begin">
          <w:fldData xml:space="preserve">PEVuZE5vdGU+PENpdGU+PEF1dGhvcj5CcnVmc2t5PC9BdXRob3I+PFllYXI+MjAxMjwvWWVhcj48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</w:fldData>
        </w:fldChar>
      </w:r>
      <w:r w:rsidR="00F220C1">
        <w:instrText xml:space="preserve"> ADDIN EN.CITE.DATA </w:instrText>
      </w:r>
      <w:r w:rsidR="00F220C1">
        <w:fldChar w:fldCharType="end"/>
      </w:r>
      <w:r w:rsidR="00F220C1">
        <w:fldChar w:fldCharType="separate"/>
      </w:r>
      <w:r w:rsidR="00F220C1">
        <w:rPr>
          <w:noProof/>
        </w:rPr>
        <w:t>(</w:t>
      </w:r>
      <w:hyperlink w:anchor="_ENREF_10" w:tooltip="Brufsky, 2012 #166" w:history="1">
        <w:r w:rsidR="006F79C1">
          <w:rPr>
            <w:noProof/>
          </w:rPr>
          <w:t>Brufsky, Harker et al. 2012</w:t>
        </w:r>
      </w:hyperlink>
      <w:r w:rsidR="00F220C1">
        <w:rPr>
          <w:noProof/>
        </w:rPr>
        <w:t xml:space="preserve">, </w:t>
      </w:r>
      <w:hyperlink w:anchor="_ENREF_36" w:tooltip="Llombart, 2012 #72" w:history="1">
        <w:r w:rsidR="006F79C1">
          <w:rPr>
            <w:noProof/>
          </w:rPr>
          <w:t>Llombart, Frassoldati et al. 2012</w:t>
        </w:r>
      </w:hyperlink>
      <w:r w:rsidR="00F220C1">
        <w:rPr>
          <w:noProof/>
        </w:rPr>
        <w:t xml:space="preserve">, </w:t>
      </w:r>
      <w:hyperlink w:anchor="_ENREF_11" w:tooltip="Coleman, 2013 #165" w:history="1">
        <w:r w:rsidR="006F79C1">
          <w:rPr>
            <w:noProof/>
          </w:rPr>
          <w:t>Coleman, Boer et al. 2013</w:t>
        </w:r>
      </w:hyperlink>
      <w:r w:rsidR="00F220C1">
        <w:rPr>
          <w:noProof/>
        </w:rPr>
        <w:t>)</w:t>
      </w:r>
      <w:r w:rsidR="00F220C1">
        <w:fldChar w:fldCharType="end"/>
      </w:r>
      <w:r w:rsidR="004070F8">
        <w:t xml:space="preserve">.  </w:t>
      </w:r>
    </w:p>
    <w:p w:rsidR="00E8223D" w:rsidRDefault="00317185" w:rsidP="00317185">
      <w:r>
        <w:t xml:space="preserve">Only </w:t>
      </w:r>
      <w:r w:rsidR="00F82655">
        <w:t>one</w:t>
      </w:r>
      <w:r>
        <w:t xml:space="preserve"> stud</w:t>
      </w:r>
      <w:r w:rsidR="00F82655">
        <w:t xml:space="preserve">y was </w:t>
      </w:r>
      <w:r>
        <w:t>found that assessed the main comparator</w:t>
      </w:r>
      <w:r w:rsidR="00F82655">
        <w:t xml:space="preserve"> </w:t>
      </w:r>
      <w:r>
        <w:t>treatment in this assessment</w:t>
      </w:r>
      <w:r w:rsidR="002404CD">
        <w:t xml:space="preserve"> and in this population</w:t>
      </w:r>
      <w:r>
        <w:t xml:space="preserve">; </w:t>
      </w:r>
      <w:r w:rsidR="00A3703E">
        <w:t>vitamin D</w:t>
      </w:r>
      <w:r>
        <w:t xml:space="preserve"> and calcium</w:t>
      </w:r>
      <w:r w:rsidR="00657A2C">
        <w:t xml:space="preserve"> versus placebo</w:t>
      </w:r>
      <w:r w:rsidR="00F220C1">
        <w:t xml:space="preserve"> </w:t>
      </w:r>
      <w:r w:rsidR="00F220C1">
        <w:fldChar w:fldCharType="begin">
          <w:fldData xml:space="preserve">PEVuZE5vdGU+PENpdGU+PEF1dGhvcj5SYXN0ZWxsaTwvQXV0aG9yPjxZZWFyPjIwMTE8L1llYXI+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==
</w:fldData>
        </w:fldChar>
      </w:r>
      <w:r w:rsidR="00F220C1">
        <w:instrText xml:space="preserve"> ADDIN EN.CITE </w:instrText>
      </w:r>
      <w:r w:rsidR="00F220C1">
        <w:fldChar w:fldCharType="begin">
          <w:fldData xml:space="preserve">PEVuZE5vdGU+PENpdGU+PEF1dGhvcj5SYXN0ZWxsaTwvQXV0aG9yPjxZZWFyPjIwMTE8L1llYXI+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==
</w:fldData>
        </w:fldChar>
      </w:r>
      <w:r w:rsidR="00F220C1">
        <w:instrText xml:space="preserve"> ADDIN EN.CITE.DATA </w:instrText>
      </w:r>
      <w:r w:rsidR="00F220C1">
        <w:fldChar w:fldCharType="end"/>
      </w:r>
      <w:r w:rsidR="00F220C1">
        <w:fldChar w:fldCharType="separate"/>
      </w:r>
      <w:r w:rsidR="00F220C1">
        <w:rPr>
          <w:noProof/>
        </w:rPr>
        <w:t>(</w:t>
      </w:r>
      <w:hyperlink w:anchor="_ENREF_52" w:tooltip="Rastelli, 2011 #169" w:history="1">
        <w:r w:rsidR="006F79C1">
          <w:rPr>
            <w:noProof/>
          </w:rPr>
          <w:t>Rastelli, Taylor et al. 2011</w:t>
        </w:r>
      </w:hyperlink>
      <w:r w:rsidR="00F220C1">
        <w:rPr>
          <w:noProof/>
        </w:rPr>
        <w:t>)</w:t>
      </w:r>
      <w:r w:rsidR="00F220C1">
        <w:fldChar w:fldCharType="end"/>
      </w:r>
      <w:r w:rsidR="00F82655">
        <w:t xml:space="preserve">. </w:t>
      </w:r>
    </w:p>
    <w:p w:rsidR="005A149C" w:rsidRPr="005A149C" w:rsidRDefault="005A149C" w:rsidP="00317185">
      <w:r>
        <w:t xml:space="preserve">A meta-analysis was performed using a random effects model. </w:t>
      </w:r>
      <w:r w:rsidR="00657A2C">
        <w:t xml:space="preserve">Where BMD was recorded for different follow-up times, the BMD of the longest follow-up period was included. </w:t>
      </w:r>
      <w:r>
        <w:t>Study heterogeneity was assessed using the I</w:t>
      </w:r>
      <w:r>
        <w:rPr>
          <w:vertAlign w:val="superscript"/>
        </w:rPr>
        <w:t>2</w:t>
      </w:r>
      <w:r>
        <w:t xml:space="preserve"> statistic where &gt;50-74% was considered moderate heterogeneity and ≥75% was considered high heterogeneity.</w:t>
      </w:r>
      <w:r w:rsidR="00F35939">
        <w:t xml:space="preserve"> Analyses were undertaken for BMD lumbar and total hip outcomes, by early or </w:t>
      </w:r>
      <w:r w:rsidR="00874A7F">
        <w:t>longer</w:t>
      </w:r>
      <w:r w:rsidR="00F35939">
        <w:t xml:space="preserve"> follow</w:t>
      </w:r>
      <w:r w:rsidR="00874A7F">
        <w:t xml:space="preserve"> up period (≤ or &gt; 24 months) and by </w:t>
      </w:r>
      <w:r w:rsidR="006232A4">
        <w:t>zoledronic</w:t>
      </w:r>
      <w:r w:rsidR="00874A7F">
        <w:t xml:space="preserve"> acid versus other </w:t>
      </w:r>
      <w:r w:rsidR="00BD16E3">
        <w:t xml:space="preserve">bone </w:t>
      </w:r>
      <w:r w:rsidR="00874A7F">
        <w:t>treatment.</w:t>
      </w:r>
    </w:p>
    <w:p w:rsidR="00317185" w:rsidRDefault="00F82655" w:rsidP="00317185">
      <w:r>
        <w:t xml:space="preserve">A study was </w:t>
      </w:r>
      <w:r w:rsidR="00BD16E3">
        <w:t xml:space="preserve">further </w:t>
      </w:r>
      <w:r>
        <w:t>added to the assessment</w:t>
      </w:r>
      <w:r w:rsidR="00F220C1">
        <w:t xml:space="preserve"> </w:t>
      </w:r>
      <w:r w:rsidR="00F220C1">
        <w:fldChar w:fldCharType="begin"/>
      </w:r>
      <w:r w:rsidR="00F220C1">
        <w:instrText xml:space="preserve"> ADDIN EN.CITE &lt;EndNote&gt;&lt;Cite&gt;&lt;Author&gt;Martyn-St James&lt;/Author&gt;&lt;Year&gt;2009&lt;/Year&gt;&lt;RecNum&gt;117&lt;/RecNum&gt;&lt;DisplayText&gt;(Martyn-St James and Carroll 2009)&lt;/DisplayText&gt;&lt;record&gt;&lt;rec-number&gt;117&lt;/rec-number&gt;&lt;foreign-keys&gt;&lt;key app="EN" db-id="v9edw0zeqvve5nedzvjx29f1df2z2tvpvw55" timestamp="1398301955"&gt;117&lt;/key&gt;&lt;/foreign-keys&gt;&lt;ref-type name="Journal Article"&gt;17&lt;/ref-type&gt;&lt;contributors&gt;&lt;authors&gt;&lt;author&gt;Martyn-St James, M.&lt;/author&gt;&lt;author&gt;Carroll, S.&lt;/author&gt;&lt;/authors&gt;&lt;/contributors&gt;&lt;titles&gt;&lt;title&gt;A meta-analysis of impact exercise on postmenopausal bone loss: the case for mixed loading exercise programmes&lt;/title&gt;&lt;secondary-title&gt;Br J Sports Med.&lt;/secondary-title&gt;&lt;/titles&gt;&lt;periodical&gt;&lt;full-title&gt;Br J Sports Med.&lt;/full-title&gt;&lt;/periodical&gt;&lt;pages&gt;898-908. doi: 10.1136/bjsm.2008.052704. Epub 2008 Nov 3.&lt;/pages&gt;&lt;volume&gt;43&lt;/volume&gt;&lt;number&gt;12&lt;/number&gt;&lt;keywords&gt;&lt;keyword&gt;Absorptiometry, Photon&lt;/keyword&gt;&lt;keyword&gt;Bone Density/*physiology&lt;/keyword&gt;&lt;keyword&gt;Clinical Trials as Topic&lt;/keyword&gt;&lt;keyword&gt;Exercise Therapy/*methods&lt;/keyword&gt;&lt;keyword&gt;Female&lt;/keyword&gt;&lt;keyword&gt;Hormone Replacement Therapy&lt;/keyword&gt;&lt;keyword&gt;Humans&lt;/keyword&gt;&lt;keyword&gt;Osteoporosis, Postmenopausal/physiopathology/*therapy&lt;/keyword&gt;&lt;keyword&gt;Patient Compliance&lt;/keyword&gt;&lt;keyword&gt;Selection Bias&lt;/keyword&gt;&lt;/keywords&gt;&lt;dates&gt;&lt;year&gt;2009&lt;/year&gt;&lt;pub-dates&gt;&lt;date&gt;Dec&lt;/date&gt;&lt;/pub-dates&gt;&lt;/dates&gt;&lt;isbn&gt;1473-0480 (Electronic)&amp;#xD;0306-3674 (Linking)&lt;/isbn&gt;&lt;work-type&gt;Meta-Analysis&amp;#xD;Review&lt;/work-type&gt;&lt;urls&gt;&lt;/urls&gt;&lt;/record&gt;&lt;/Cite&gt;&lt;/EndNote&gt;</w:instrText>
      </w:r>
      <w:r w:rsidR="00F220C1">
        <w:fldChar w:fldCharType="separate"/>
      </w:r>
      <w:r w:rsidR="00F220C1">
        <w:rPr>
          <w:noProof/>
        </w:rPr>
        <w:t>(</w:t>
      </w:r>
      <w:hyperlink w:anchor="_ENREF_41" w:tooltip="Martyn-St James, 2009 #117" w:history="1">
        <w:r w:rsidR="006F79C1">
          <w:rPr>
            <w:noProof/>
          </w:rPr>
          <w:t>Martyn-St James and Carroll 2009</w:t>
        </w:r>
      </w:hyperlink>
      <w:r w:rsidR="00F220C1">
        <w:rPr>
          <w:noProof/>
        </w:rPr>
        <w:t>)</w:t>
      </w:r>
      <w:r w:rsidR="00F220C1">
        <w:fldChar w:fldCharType="end"/>
      </w:r>
      <w:r>
        <w:t xml:space="preserve"> to provide </w:t>
      </w:r>
      <w:r w:rsidR="00F220C1">
        <w:t>supporting</w:t>
      </w:r>
      <w:r>
        <w:t xml:space="preserve"> information. This additional study was a meta-analysis of the impact of exercise</w:t>
      </w:r>
      <w:r w:rsidR="00E8223D">
        <w:t xml:space="preserve"> (of mixed loads)</w:t>
      </w:r>
      <w:r>
        <w:t xml:space="preserve"> on </w:t>
      </w:r>
      <w:r w:rsidR="007A119D">
        <w:t>post-menopaus</w:t>
      </w:r>
      <w:r>
        <w:t xml:space="preserve">al bone loss but was not specifically in women with breast cancer taking aromatase inhibitors. </w:t>
      </w:r>
      <w:r w:rsidR="00657A2C">
        <w:t>Therefore, this study</w:t>
      </w:r>
      <w:r w:rsidR="005A149C">
        <w:t xml:space="preserve"> was not included in the meta-analysis.</w:t>
      </w:r>
    </w:p>
    <w:p w:rsidR="00F35939" w:rsidRDefault="009245A6" w:rsidP="00F35939">
      <w:r>
        <w:t>A</w:t>
      </w:r>
      <w:r w:rsidR="00F35939">
        <w:t>ll studies reported BMD of the lumbar spine and nearly all also reported the BMD of the total hip.</w:t>
      </w:r>
      <w:r>
        <w:t xml:space="preserve"> </w:t>
      </w:r>
      <w:r w:rsidR="00F35939">
        <w:t>Nearly all studies administered, instructed or allowed calcium and vitamin D supplementation concurrently with the bone resorptive medication.</w:t>
      </w:r>
    </w:p>
    <w:p w:rsidR="00F35939" w:rsidRDefault="009245A6" w:rsidP="00A3703E">
      <w:pPr>
        <w:sectPr w:rsidR="00F35939" w:rsidSect="00794E87">
          <w:headerReference w:type="even" r:id="rId46"/>
          <w:headerReference w:type="default" r:id="rId47"/>
          <w:footerReference w:type="default" r:id="rId48"/>
          <w:headerReference w:type="first" r:id="rId49"/>
          <w:pgSz w:w="11906" w:h="16838"/>
          <w:pgMar w:top="1440" w:right="1440" w:bottom="1440" w:left="1440" w:header="720" w:footer="720" w:gutter="0"/>
          <w:paperSrc w:first="2" w:other="2"/>
          <w:cols w:space="720"/>
          <w:docGrid w:linePitch="326"/>
        </w:sectPr>
      </w:pPr>
      <w:r>
        <w:t xml:space="preserve">Although there were several </w:t>
      </w:r>
      <w:r w:rsidR="00657A2C">
        <w:t xml:space="preserve">systematic reviews and </w:t>
      </w:r>
      <w:r>
        <w:t>meta-analyses on this topic</w:t>
      </w:r>
      <w:r w:rsidR="00F220C1">
        <w:t xml:space="preserve"> </w:t>
      </w:r>
      <w:r w:rsidR="00F220C1">
        <w:fldChar w:fldCharType="begin">
          <w:fldData xml:space="preserve">PEVuZE5vdGU+PENpdGU+PEF1dGhvcj5IYWRqaTwvQXV0aG9yPjxZZWFyPjIwMTE8L1llYXI+PFJl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</w:fldData>
        </w:fldChar>
      </w:r>
      <w:r w:rsidR="00F220C1">
        <w:instrText xml:space="preserve"> ADDIN EN.CITE </w:instrText>
      </w:r>
      <w:r w:rsidR="00F220C1">
        <w:fldChar w:fldCharType="begin">
          <w:fldData xml:space="preserve">PEVuZE5vdGU+PENpdGU+PEF1dGhvcj5IYWRqaTwvQXV0aG9yPjxZZWFyPjIwMTE8L1llYXI+PFJl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</w:fldData>
        </w:fldChar>
      </w:r>
      <w:r w:rsidR="00F220C1">
        <w:instrText xml:space="preserve"> ADDIN EN.CITE.DATA </w:instrText>
      </w:r>
      <w:r w:rsidR="00F220C1">
        <w:fldChar w:fldCharType="end"/>
      </w:r>
      <w:r w:rsidR="00F220C1">
        <w:fldChar w:fldCharType="separate"/>
      </w:r>
      <w:r w:rsidR="00F220C1">
        <w:rPr>
          <w:noProof/>
        </w:rPr>
        <w:t>(</w:t>
      </w:r>
      <w:hyperlink w:anchor="_ENREF_51" w:tooltip="Perez, 2006 #95" w:history="1">
        <w:r w:rsidR="006F79C1">
          <w:rPr>
            <w:noProof/>
          </w:rPr>
          <w:t>Perez and Weilbaecher 2006</w:t>
        </w:r>
      </w:hyperlink>
      <w:r w:rsidR="00F220C1">
        <w:rPr>
          <w:noProof/>
        </w:rPr>
        <w:t xml:space="preserve">, </w:t>
      </w:r>
      <w:hyperlink w:anchor="_ENREF_21" w:tooltip="Hadji, 2011 #53" w:history="1">
        <w:r w:rsidR="006F79C1">
          <w:rPr>
            <w:noProof/>
          </w:rPr>
          <w:t>Hadji, Aapro et al. 2011</w:t>
        </w:r>
      </w:hyperlink>
      <w:r w:rsidR="00F220C1">
        <w:rPr>
          <w:noProof/>
        </w:rPr>
        <w:t>)</w:t>
      </w:r>
      <w:r w:rsidR="00F220C1">
        <w:fldChar w:fldCharType="end"/>
      </w:r>
      <w:r w:rsidRPr="008068E8">
        <w:t>,</w:t>
      </w:r>
      <w:r>
        <w:t xml:space="preserve"> these were excluded from the assessment because they included many studies that were superseded by reports of longer follow-ups and outcomes. Here we have redone the meta-analyses using the latest results</w:t>
      </w:r>
      <w:r w:rsidR="00657A2C">
        <w:t xml:space="preserve"> where data permitted</w:t>
      </w:r>
      <w:r>
        <w:t>.</w:t>
      </w:r>
      <w:r w:rsidR="002404CD">
        <w:t xml:space="preserve"> Several a</w:t>
      </w:r>
      <w:r w:rsidR="00657A2C">
        <w:t xml:space="preserve">uthors were emailed </w:t>
      </w:r>
      <w:r w:rsidR="002404CD">
        <w:t xml:space="preserve">for additional data </w:t>
      </w:r>
      <w:r w:rsidR="00657A2C">
        <w:t xml:space="preserve">when their published reports did not supply variance statistics around </w:t>
      </w:r>
      <w:r w:rsidR="002404CD">
        <w:t>‘</w:t>
      </w:r>
      <w:r w:rsidR="00657A2C">
        <w:t>% BMD change over time</w:t>
      </w:r>
      <w:r w:rsidR="002404CD">
        <w:t>’</w:t>
      </w:r>
      <w:r w:rsidR="00657A2C">
        <w:t xml:space="preserve"> (either </w:t>
      </w:r>
      <w:r w:rsidR="007D3251">
        <w:t>standard deviation</w:t>
      </w:r>
      <w:r w:rsidR="00657A2C">
        <w:t xml:space="preserve"> or 95%CI).</w:t>
      </w:r>
    </w:p>
    <w:p w:rsidR="006339AA" w:rsidRPr="00DC7184" w:rsidRDefault="006339AA" w:rsidP="00DC7184">
      <w:pPr>
        <w:pStyle w:val="TableName"/>
      </w:pPr>
      <w:bookmarkStart w:id="105" w:name="_Toc386112687"/>
      <w:r w:rsidRPr="00DC7184">
        <w:lastRenderedPageBreak/>
        <w:t xml:space="preserve">Table </w:t>
      </w:r>
      <w:r w:rsidR="00232A32" w:rsidRPr="00DC7184">
        <w:t>18</w:t>
      </w:r>
      <w:r w:rsidRPr="00DC7184">
        <w:t>: Key features of studies on treatments for aromatase-inhibitor-associated bone loss</w:t>
      </w:r>
      <w:bookmarkEnd w:id="105"/>
      <w:r w:rsidRPr="00DC7184">
        <w:t xml:space="preserve"> </w:t>
      </w:r>
    </w:p>
    <w:tbl>
      <w:tblPr>
        <w:tblStyle w:val="TableGrid"/>
        <w:tblW w:w="5037" w:type="pct"/>
        <w:tblLook w:val="04A0" w:firstRow="1" w:lastRow="0" w:firstColumn="1" w:lastColumn="0" w:noHBand="0" w:noVBand="1"/>
        <w:tblCaption w:val="Table 18 Key features of studies on treatments for AI bone loss"/>
      </w:tblPr>
      <w:tblGrid>
        <w:gridCol w:w="1317"/>
        <w:gridCol w:w="971"/>
        <w:gridCol w:w="1522"/>
        <w:gridCol w:w="1582"/>
        <w:gridCol w:w="671"/>
        <w:gridCol w:w="1982"/>
        <w:gridCol w:w="2696"/>
        <w:gridCol w:w="3538"/>
      </w:tblGrid>
      <w:tr w:rsidR="00200449" w:rsidRPr="00200449" w:rsidTr="00192A3B">
        <w:trPr>
          <w:tblHeader/>
        </w:trPr>
        <w:tc>
          <w:tcPr>
            <w:tcW w:w="461" w:type="pct"/>
          </w:tcPr>
          <w:p w:rsidR="00794E87" w:rsidRPr="00200449" w:rsidRDefault="00794E87" w:rsidP="00200449">
            <w:pPr>
              <w:pStyle w:val="TableText"/>
              <w:rPr>
                <w:b/>
              </w:rPr>
            </w:pPr>
            <w:r w:rsidRPr="00200449">
              <w:rPr>
                <w:b/>
              </w:rPr>
              <w:t>Author</w:t>
            </w:r>
          </w:p>
          <w:p w:rsidR="00794E87" w:rsidRPr="00200449" w:rsidRDefault="00794E87" w:rsidP="00200449">
            <w:pPr>
              <w:pStyle w:val="TableText"/>
              <w:rPr>
                <w:b/>
              </w:rPr>
            </w:pPr>
            <w:r w:rsidRPr="00200449">
              <w:rPr>
                <w:b/>
              </w:rPr>
              <w:t>/Year</w:t>
            </w:r>
          </w:p>
        </w:tc>
        <w:tc>
          <w:tcPr>
            <w:tcW w:w="340" w:type="pct"/>
          </w:tcPr>
          <w:p w:rsidR="00794E87" w:rsidRPr="00200449" w:rsidRDefault="00794E87" w:rsidP="00200449">
            <w:pPr>
              <w:pStyle w:val="TableText"/>
              <w:rPr>
                <w:b/>
              </w:rPr>
            </w:pPr>
            <w:r w:rsidRPr="00200449">
              <w:rPr>
                <w:b/>
              </w:rPr>
              <w:t>N</w:t>
            </w:r>
          </w:p>
        </w:tc>
        <w:tc>
          <w:tcPr>
            <w:tcW w:w="533" w:type="pct"/>
          </w:tcPr>
          <w:p w:rsidR="00794E87" w:rsidRPr="00200449" w:rsidRDefault="00794E87" w:rsidP="00200449">
            <w:pPr>
              <w:pStyle w:val="TableText"/>
              <w:rPr>
                <w:b/>
              </w:rPr>
            </w:pPr>
            <w:r w:rsidRPr="00200449">
              <w:rPr>
                <w:b/>
              </w:rPr>
              <w:t>Country</w:t>
            </w:r>
          </w:p>
        </w:tc>
        <w:tc>
          <w:tcPr>
            <w:tcW w:w="554" w:type="pct"/>
          </w:tcPr>
          <w:p w:rsidR="00794E87" w:rsidRPr="00200449" w:rsidRDefault="00794E87" w:rsidP="00200449">
            <w:pPr>
              <w:pStyle w:val="TableText"/>
              <w:rPr>
                <w:b/>
              </w:rPr>
            </w:pPr>
            <w:r w:rsidRPr="00200449">
              <w:rPr>
                <w:b/>
              </w:rPr>
              <w:t>Design</w:t>
            </w:r>
          </w:p>
        </w:tc>
        <w:tc>
          <w:tcPr>
            <w:tcW w:w="235" w:type="pct"/>
          </w:tcPr>
          <w:p w:rsidR="00200449" w:rsidRDefault="00200449" w:rsidP="00200449">
            <w:pPr>
              <w:pStyle w:val="TableText"/>
              <w:rPr>
                <w:b/>
              </w:rPr>
            </w:pPr>
            <w:r>
              <w:rPr>
                <w:b/>
              </w:rPr>
              <w:t>F/</w:t>
            </w:r>
            <w:r w:rsidR="00794E87" w:rsidRPr="00200449">
              <w:rPr>
                <w:b/>
              </w:rPr>
              <w:t xml:space="preserve">up </w:t>
            </w:r>
          </w:p>
          <w:p w:rsidR="00794E87" w:rsidRPr="00200449" w:rsidRDefault="00794E87" w:rsidP="00200449">
            <w:pPr>
              <w:pStyle w:val="TableText"/>
              <w:rPr>
                <w:b/>
              </w:rPr>
            </w:pPr>
            <w:r w:rsidRPr="00200449">
              <w:rPr>
                <w:b/>
              </w:rPr>
              <w:t>(mths)</w:t>
            </w:r>
          </w:p>
        </w:tc>
        <w:tc>
          <w:tcPr>
            <w:tcW w:w="694" w:type="pct"/>
          </w:tcPr>
          <w:p w:rsidR="00794E87" w:rsidRPr="00200449" w:rsidRDefault="00794E87" w:rsidP="00200449">
            <w:pPr>
              <w:pStyle w:val="TableText"/>
              <w:rPr>
                <w:b/>
              </w:rPr>
            </w:pPr>
            <w:r w:rsidRPr="00200449">
              <w:rPr>
                <w:b/>
              </w:rPr>
              <w:t>Aromatase inhibitor</w:t>
            </w:r>
          </w:p>
        </w:tc>
        <w:tc>
          <w:tcPr>
            <w:tcW w:w="944" w:type="pct"/>
          </w:tcPr>
          <w:p w:rsidR="00794E87" w:rsidRPr="00200449" w:rsidRDefault="00794E87" w:rsidP="00200449">
            <w:pPr>
              <w:pStyle w:val="TableText"/>
              <w:rPr>
                <w:b/>
              </w:rPr>
            </w:pPr>
            <w:r w:rsidRPr="00200449">
              <w:rPr>
                <w:b/>
              </w:rPr>
              <w:t>Bone-loss</w:t>
            </w:r>
          </w:p>
          <w:p w:rsidR="00794E87" w:rsidRPr="00200449" w:rsidRDefault="00794E87" w:rsidP="00200449">
            <w:pPr>
              <w:pStyle w:val="TableText"/>
              <w:rPr>
                <w:b/>
              </w:rPr>
            </w:pPr>
            <w:r w:rsidRPr="00200449">
              <w:rPr>
                <w:b/>
              </w:rPr>
              <w:t>Treatment (dose)</w:t>
            </w:r>
          </w:p>
        </w:tc>
        <w:tc>
          <w:tcPr>
            <w:tcW w:w="1239" w:type="pct"/>
          </w:tcPr>
          <w:p w:rsidR="00794E87" w:rsidRPr="00200449" w:rsidRDefault="00794E87" w:rsidP="00200449">
            <w:pPr>
              <w:pStyle w:val="TableText"/>
              <w:rPr>
                <w:b/>
              </w:rPr>
            </w:pPr>
            <w:r w:rsidRPr="00200449">
              <w:rPr>
                <w:b/>
              </w:rPr>
              <w:t>Intervention Groups</w:t>
            </w:r>
          </w:p>
        </w:tc>
      </w:tr>
      <w:tr w:rsidR="00200449" w:rsidRPr="0080730E" w:rsidTr="00192A3B">
        <w:tc>
          <w:tcPr>
            <w:tcW w:w="461" w:type="pct"/>
          </w:tcPr>
          <w:p w:rsidR="00200449" w:rsidRDefault="00794E87" w:rsidP="00200449">
            <w:pPr>
              <w:pStyle w:val="TableText"/>
            </w:pPr>
            <w:r>
              <w:t xml:space="preserve">Brufsky 2012 </w:t>
            </w:r>
          </w:p>
          <w:p w:rsidR="00794E87" w:rsidRPr="0080730E" w:rsidRDefault="00794E87" w:rsidP="00200449">
            <w:pPr>
              <w:pStyle w:val="TableText"/>
            </w:pPr>
            <w:r>
              <w:t>Z-FAST</w:t>
            </w:r>
          </w:p>
        </w:tc>
        <w:tc>
          <w:tcPr>
            <w:tcW w:w="340" w:type="pct"/>
          </w:tcPr>
          <w:p w:rsidR="00794E87" w:rsidRPr="0080730E" w:rsidRDefault="00794E87" w:rsidP="00200449">
            <w:pPr>
              <w:pStyle w:val="TableText"/>
            </w:pPr>
            <w:r>
              <w:t>602</w:t>
            </w:r>
          </w:p>
        </w:tc>
        <w:tc>
          <w:tcPr>
            <w:tcW w:w="533" w:type="pct"/>
          </w:tcPr>
          <w:p w:rsidR="00794E87" w:rsidRPr="0080730E" w:rsidRDefault="00794E87" w:rsidP="00200449">
            <w:pPr>
              <w:pStyle w:val="TableText"/>
            </w:pPr>
            <w:r>
              <w:t>US</w:t>
            </w:r>
          </w:p>
        </w:tc>
        <w:tc>
          <w:tcPr>
            <w:tcW w:w="554" w:type="pct"/>
            <w:vMerge w:val="restart"/>
          </w:tcPr>
          <w:p w:rsidR="00794E87" w:rsidRPr="0080730E" w:rsidRDefault="00794E87" w:rsidP="00200449">
            <w:pPr>
              <w:pStyle w:val="TableText"/>
            </w:pPr>
            <w:r>
              <w:t>Randomized phase III open-label trial</w:t>
            </w:r>
          </w:p>
        </w:tc>
        <w:tc>
          <w:tcPr>
            <w:tcW w:w="235" w:type="pct"/>
          </w:tcPr>
          <w:p w:rsidR="00794E87" w:rsidRPr="0080730E" w:rsidRDefault="00794E87" w:rsidP="00200449">
            <w:pPr>
              <w:pStyle w:val="TableText"/>
            </w:pPr>
            <w:r>
              <w:t xml:space="preserve">61 </w:t>
            </w:r>
          </w:p>
        </w:tc>
        <w:tc>
          <w:tcPr>
            <w:tcW w:w="694" w:type="pct"/>
            <w:vMerge w:val="restart"/>
          </w:tcPr>
          <w:p w:rsidR="00794E87" w:rsidRPr="0080730E" w:rsidRDefault="00794E87" w:rsidP="00200449">
            <w:pPr>
              <w:pStyle w:val="TableText"/>
            </w:pPr>
            <w:r>
              <w:t xml:space="preserve">Letrozole 2.5 mg/day </w:t>
            </w:r>
            <w:r w:rsidRPr="0080730E">
              <w:t>for 5 years</w:t>
            </w:r>
          </w:p>
        </w:tc>
        <w:tc>
          <w:tcPr>
            <w:tcW w:w="944" w:type="pct"/>
            <w:vMerge w:val="restart"/>
          </w:tcPr>
          <w:p w:rsidR="00794E87" w:rsidRPr="0080730E" w:rsidRDefault="006232A4" w:rsidP="00200449">
            <w:pPr>
              <w:pStyle w:val="TableText"/>
            </w:pPr>
            <w:r>
              <w:t>Zoledronic</w:t>
            </w:r>
            <w:r w:rsidR="00794E87" w:rsidRPr="0080730E">
              <w:t xml:space="preserve"> Acid (4mg IV once every 6 months for up to 5 years).</w:t>
            </w:r>
          </w:p>
          <w:p w:rsidR="00794E87" w:rsidRPr="0080730E" w:rsidRDefault="00794E87" w:rsidP="00200449">
            <w:pPr>
              <w:pStyle w:val="TableText"/>
            </w:pPr>
            <w:r w:rsidRPr="0080730E">
              <w:t xml:space="preserve">Instructed to take vitamin D </w:t>
            </w:r>
            <w:r>
              <w:t>(</w:t>
            </w:r>
            <w:r w:rsidRPr="0080730E">
              <w:t>400-800 IU</w:t>
            </w:r>
            <w:r>
              <w:t>/day) and calcium (500 mg /day)</w:t>
            </w:r>
          </w:p>
        </w:tc>
        <w:tc>
          <w:tcPr>
            <w:tcW w:w="1239" w:type="pct"/>
            <w:vMerge w:val="restart"/>
            <w:vAlign w:val="center"/>
          </w:tcPr>
          <w:p w:rsidR="00794E87" w:rsidRPr="00DF3068" w:rsidRDefault="00794E87" w:rsidP="00200449">
            <w:pPr>
              <w:pStyle w:val="TableText"/>
            </w:pPr>
            <w:r w:rsidRPr="00DF3068">
              <w:t xml:space="preserve">Upfront </w:t>
            </w:r>
            <w:r w:rsidR="006232A4">
              <w:t>zoledronic</w:t>
            </w:r>
            <w:r w:rsidRPr="00DF3068">
              <w:t xml:space="preserve"> acid</w:t>
            </w:r>
          </w:p>
          <w:p w:rsidR="00794E87" w:rsidRPr="0080730E" w:rsidRDefault="00794E87" w:rsidP="00200449">
            <w:pPr>
              <w:pStyle w:val="TableText"/>
            </w:pPr>
            <w:r w:rsidRPr="00DF3068">
              <w:t xml:space="preserve">Delayed </w:t>
            </w:r>
            <w:r w:rsidR="006232A4">
              <w:t>zoledronic</w:t>
            </w:r>
            <w:r w:rsidRPr="00DF3068">
              <w:t xml:space="preserve"> acid (</w:t>
            </w:r>
            <w:r>
              <w:t xml:space="preserve"> when </w:t>
            </w:r>
            <w:r w:rsidRPr="00DF3068">
              <w:t>T score LS -&lt;2.0)</w:t>
            </w:r>
          </w:p>
        </w:tc>
      </w:tr>
      <w:tr w:rsidR="00200449" w:rsidRPr="0080730E" w:rsidTr="00192A3B">
        <w:tc>
          <w:tcPr>
            <w:tcW w:w="461" w:type="pct"/>
          </w:tcPr>
          <w:p w:rsidR="00794E87" w:rsidRPr="0080730E" w:rsidRDefault="00794E87" w:rsidP="00200449">
            <w:pPr>
              <w:pStyle w:val="TableText"/>
            </w:pPr>
            <w:r>
              <w:t>Coleman 2013 ZO-FAST</w:t>
            </w:r>
          </w:p>
        </w:tc>
        <w:tc>
          <w:tcPr>
            <w:tcW w:w="340" w:type="pct"/>
          </w:tcPr>
          <w:p w:rsidR="00794E87" w:rsidRPr="0080730E" w:rsidRDefault="00794E87" w:rsidP="00200449">
            <w:pPr>
              <w:pStyle w:val="TableText"/>
            </w:pPr>
            <w:r>
              <w:t>1065</w:t>
            </w:r>
          </w:p>
        </w:tc>
        <w:tc>
          <w:tcPr>
            <w:tcW w:w="533" w:type="pct"/>
          </w:tcPr>
          <w:p w:rsidR="00794E87" w:rsidRPr="0080730E" w:rsidRDefault="00794E87" w:rsidP="00200449">
            <w:pPr>
              <w:pStyle w:val="TableText"/>
            </w:pPr>
            <w:r>
              <w:t>Europe (28 countries)</w:t>
            </w:r>
          </w:p>
        </w:tc>
        <w:tc>
          <w:tcPr>
            <w:tcW w:w="554" w:type="pct"/>
            <w:vMerge/>
          </w:tcPr>
          <w:p w:rsidR="00794E87" w:rsidRPr="0080730E" w:rsidRDefault="00794E87" w:rsidP="00200449">
            <w:pPr>
              <w:pStyle w:val="TableText"/>
            </w:pPr>
          </w:p>
        </w:tc>
        <w:tc>
          <w:tcPr>
            <w:tcW w:w="235" w:type="pct"/>
          </w:tcPr>
          <w:p w:rsidR="00794E87" w:rsidRPr="0080730E" w:rsidRDefault="00794E87" w:rsidP="00200449">
            <w:pPr>
              <w:pStyle w:val="TableText"/>
            </w:pPr>
            <w:r>
              <w:t>60</w:t>
            </w:r>
          </w:p>
        </w:tc>
        <w:tc>
          <w:tcPr>
            <w:tcW w:w="694" w:type="pct"/>
            <w:vMerge/>
          </w:tcPr>
          <w:p w:rsidR="00794E87" w:rsidRPr="0080730E" w:rsidRDefault="00794E87" w:rsidP="00200449">
            <w:pPr>
              <w:pStyle w:val="TableText"/>
            </w:pPr>
          </w:p>
        </w:tc>
        <w:tc>
          <w:tcPr>
            <w:tcW w:w="944" w:type="pct"/>
            <w:vMerge/>
          </w:tcPr>
          <w:p w:rsidR="00794E87" w:rsidRPr="0080730E" w:rsidRDefault="00794E87" w:rsidP="00200449">
            <w:pPr>
              <w:pStyle w:val="TableText"/>
            </w:pPr>
          </w:p>
        </w:tc>
        <w:tc>
          <w:tcPr>
            <w:tcW w:w="1239" w:type="pct"/>
            <w:vMerge/>
            <w:vAlign w:val="center"/>
          </w:tcPr>
          <w:p w:rsidR="00794E87" w:rsidRPr="00DF3068" w:rsidRDefault="00794E87" w:rsidP="00200449">
            <w:pPr>
              <w:pStyle w:val="TableText"/>
            </w:pPr>
          </w:p>
        </w:tc>
      </w:tr>
      <w:tr w:rsidR="00200449" w:rsidRPr="0080730E" w:rsidTr="00192A3B">
        <w:tc>
          <w:tcPr>
            <w:tcW w:w="461" w:type="pct"/>
          </w:tcPr>
          <w:p w:rsidR="00794E87" w:rsidRPr="0080730E" w:rsidRDefault="00794E87" w:rsidP="00200449">
            <w:pPr>
              <w:pStyle w:val="TableText"/>
            </w:pPr>
            <w:r w:rsidRPr="0080730E">
              <w:t>Llombart 2012 E-ZO-FAST</w:t>
            </w:r>
          </w:p>
        </w:tc>
        <w:tc>
          <w:tcPr>
            <w:tcW w:w="340" w:type="pct"/>
          </w:tcPr>
          <w:p w:rsidR="00794E87" w:rsidRPr="0080730E" w:rsidRDefault="00794E87" w:rsidP="00200449">
            <w:pPr>
              <w:pStyle w:val="TableText"/>
            </w:pPr>
            <w:r w:rsidRPr="0080730E">
              <w:t>527</w:t>
            </w:r>
          </w:p>
        </w:tc>
        <w:tc>
          <w:tcPr>
            <w:tcW w:w="533" w:type="pct"/>
          </w:tcPr>
          <w:p w:rsidR="00794E87" w:rsidRPr="0080730E" w:rsidRDefault="00794E87" w:rsidP="00200449">
            <w:pPr>
              <w:pStyle w:val="TableText"/>
            </w:pPr>
            <w:r w:rsidRPr="0080730E">
              <w:t>Europe, Latin America, Africa, Middle East (66 centres)</w:t>
            </w:r>
          </w:p>
        </w:tc>
        <w:tc>
          <w:tcPr>
            <w:tcW w:w="554" w:type="pct"/>
            <w:vMerge/>
          </w:tcPr>
          <w:p w:rsidR="00794E87" w:rsidRPr="0080730E" w:rsidRDefault="00794E87" w:rsidP="00200449">
            <w:pPr>
              <w:pStyle w:val="TableText"/>
            </w:pPr>
          </w:p>
        </w:tc>
        <w:tc>
          <w:tcPr>
            <w:tcW w:w="235" w:type="pct"/>
          </w:tcPr>
          <w:p w:rsidR="00794E87" w:rsidRPr="0080730E" w:rsidRDefault="00794E87" w:rsidP="00200449">
            <w:pPr>
              <w:pStyle w:val="TableText"/>
            </w:pPr>
            <w:r>
              <w:t xml:space="preserve">12 </w:t>
            </w:r>
          </w:p>
        </w:tc>
        <w:tc>
          <w:tcPr>
            <w:tcW w:w="694" w:type="pct"/>
            <w:vMerge/>
          </w:tcPr>
          <w:p w:rsidR="00794E87" w:rsidRPr="0080730E" w:rsidRDefault="00794E87" w:rsidP="00200449">
            <w:pPr>
              <w:pStyle w:val="TableText"/>
            </w:pPr>
          </w:p>
        </w:tc>
        <w:tc>
          <w:tcPr>
            <w:tcW w:w="944" w:type="pct"/>
            <w:vMerge/>
          </w:tcPr>
          <w:p w:rsidR="00794E87" w:rsidRPr="0080730E" w:rsidRDefault="00794E87" w:rsidP="00200449">
            <w:pPr>
              <w:pStyle w:val="TableText"/>
            </w:pPr>
          </w:p>
        </w:tc>
        <w:tc>
          <w:tcPr>
            <w:tcW w:w="1239" w:type="pct"/>
            <w:vMerge/>
          </w:tcPr>
          <w:p w:rsidR="00794E87" w:rsidRPr="0080730E" w:rsidRDefault="00794E87" w:rsidP="00200449">
            <w:pPr>
              <w:pStyle w:val="TableText"/>
            </w:pPr>
          </w:p>
        </w:tc>
      </w:tr>
      <w:tr w:rsidR="00200449" w:rsidRPr="0080730E" w:rsidTr="00192A3B">
        <w:tc>
          <w:tcPr>
            <w:tcW w:w="461" w:type="pct"/>
          </w:tcPr>
          <w:p w:rsidR="00794E87" w:rsidRDefault="00794E87" w:rsidP="00200449">
            <w:pPr>
              <w:pStyle w:val="TableText"/>
            </w:pPr>
            <w:r>
              <w:t>Takahashi 2012</w:t>
            </w:r>
          </w:p>
          <w:p w:rsidR="00794E87" w:rsidRDefault="00794E87" w:rsidP="00200449">
            <w:pPr>
              <w:pStyle w:val="TableText"/>
            </w:pPr>
          </w:p>
        </w:tc>
        <w:tc>
          <w:tcPr>
            <w:tcW w:w="340" w:type="pct"/>
          </w:tcPr>
          <w:p w:rsidR="00794E87" w:rsidRDefault="00794E87" w:rsidP="00200449">
            <w:pPr>
              <w:pStyle w:val="TableText"/>
            </w:pPr>
            <w:r>
              <w:t>189</w:t>
            </w:r>
          </w:p>
        </w:tc>
        <w:tc>
          <w:tcPr>
            <w:tcW w:w="533" w:type="pct"/>
          </w:tcPr>
          <w:p w:rsidR="00794E87" w:rsidRDefault="00794E87" w:rsidP="00200449">
            <w:pPr>
              <w:pStyle w:val="TableText"/>
            </w:pPr>
            <w:r>
              <w:t>Japan multicentre</w:t>
            </w:r>
          </w:p>
        </w:tc>
        <w:tc>
          <w:tcPr>
            <w:tcW w:w="554" w:type="pct"/>
          </w:tcPr>
          <w:p w:rsidR="00794E87" w:rsidRDefault="00794E87" w:rsidP="00200449">
            <w:pPr>
              <w:pStyle w:val="TableText"/>
            </w:pPr>
            <w:r>
              <w:t>Randomized phase III open-label trial</w:t>
            </w:r>
          </w:p>
        </w:tc>
        <w:tc>
          <w:tcPr>
            <w:tcW w:w="235" w:type="pct"/>
          </w:tcPr>
          <w:p w:rsidR="00794E87" w:rsidRDefault="00794E87" w:rsidP="00200449">
            <w:pPr>
              <w:pStyle w:val="TableText"/>
            </w:pPr>
            <w:r>
              <w:t>12</w:t>
            </w:r>
          </w:p>
        </w:tc>
        <w:tc>
          <w:tcPr>
            <w:tcW w:w="694" w:type="pct"/>
          </w:tcPr>
          <w:p w:rsidR="00794E87" w:rsidRDefault="00794E87" w:rsidP="00200449">
            <w:pPr>
              <w:pStyle w:val="TableText"/>
            </w:pPr>
            <w:r>
              <w:t xml:space="preserve">Letrozole </w:t>
            </w:r>
            <w:r w:rsidRPr="0080730E">
              <w:t>2.5 mg</w:t>
            </w:r>
            <w:r>
              <w:t>/day</w:t>
            </w:r>
            <w:r w:rsidRPr="0080730E">
              <w:t xml:space="preserve"> for 5 years</w:t>
            </w:r>
          </w:p>
        </w:tc>
        <w:tc>
          <w:tcPr>
            <w:tcW w:w="944" w:type="pct"/>
          </w:tcPr>
          <w:p w:rsidR="00794E87" w:rsidRDefault="006232A4" w:rsidP="00200449">
            <w:pPr>
              <w:pStyle w:val="TableText"/>
            </w:pPr>
            <w:r>
              <w:t>Zoledronic</w:t>
            </w:r>
            <w:r w:rsidR="00794E87" w:rsidRPr="0080730E">
              <w:t xml:space="preserve"> Acid (4mg IV once every 6 months</w:t>
            </w:r>
            <w:r w:rsidR="00794E87">
              <w:t>)</w:t>
            </w:r>
          </w:p>
        </w:tc>
        <w:tc>
          <w:tcPr>
            <w:tcW w:w="1239" w:type="pct"/>
          </w:tcPr>
          <w:p w:rsidR="00794E87" w:rsidRPr="00DF3068" w:rsidRDefault="00794E87" w:rsidP="00200449">
            <w:pPr>
              <w:pStyle w:val="TableText"/>
            </w:pPr>
            <w:r w:rsidRPr="00DF3068">
              <w:t xml:space="preserve">Upfront </w:t>
            </w:r>
            <w:r w:rsidR="006232A4">
              <w:t>zoledronic</w:t>
            </w:r>
            <w:r w:rsidRPr="00DF3068">
              <w:t xml:space="preserve"> acid</w:t>
            </w:r>
          </w:p>
          <w:p w:rsidR="00794E87" w:rsidRPr="00DF3068" w:rsidRDefault="00794E87" w:rsidP="00200449">
            <w:pPr>
              <w:pStyle w:val="TableText"/>
            </w:pPr>
            <w:r w:rsidRPr="00DF3068">
              <w:t xml:space="preserve">Delayed </w:t>
            </w:r>
            <w:r w:rsidR="006232A4">
              <w:t>zoledronic</w:t>
            </w:r>
            <w:r w:rsidRPr="00DF3068">
              <w:t xml:space="preserve"> acid (</w:t>
            </w:r>
            <w:r>
              <w:t xml:space="preserve">when </w:t>
            </w:r>
            <w:r w:rsidRPr="00DF3068">
              <w:t>T score LS -&lt;2.0)</w:t>
            </w:r>
          </w:p>
        </w:tc>
      </w:tr>
      <w:tr w:rsidR="00200449" w:rsidRPr="0080730E" w:rsidTr="00192A3B">
        <w:tc>
          <w:tcPr>
            <w:tcW w:w="461" w:type="pct"/>
          </w:tcPr>
          <w:p w:rsidR="00794E87" w:rsidRDefault="00794E87" w:rsidP="00A3703E">
            <w:pPr>
              <w:pStyle w:val="TableText"/>
            </w:pPr>
            <w:r>
              <w:t>N</w:t>
            </w:r>
            <w:r w:rsidR="00A3703E">
              <w:t>u</w:t>
            </w:r>
            <w:r>
              <w:t>zzo 2012 HOBOE</w:t>
            </w:r>
          </w:p>
        </w:tc>
        <w:tc>
          <w:tcPr>
            <w:tcW w:w="340" w:type="pct"/>
          </w:tcPr>
          <w:p w:rsidR="00794E87" w:rsidRDefault="00794E87" w:rsidP="00200449">
            <w:pPr>
              <w:pStyle w:val="TableText"/>
            </w:pPr>
            <w:r>
              <w:t>483</w:t>
            </w:r>
          </w:p>
        </w:tc>
        <w:tc>
          <w:tcPr>
            <w:tcW w:w="533" w:type="pct"/>
          </w:tcPr>
          <w:p w:rsidR="00794E87" w:rsidRDefault="00794E87" w:rsidP="00200449">
            <w:pPr>
              <w:pStyle w:val="TableText"/>
            </w:pPr>
            <w:r>
              <w:t>Italy</w:t>
            </w:r>
          </w:p>
        </w:tc>
        <w:tc>
          <w:tcPr>
            <w:tcW w:w="554" w:type="pct"/>
          </w:tcPr>
          <w:p w:rsidR="00794E87" w:rsidRDefault="00794E87" w:rsidP="00200449">
            <w:pPr>
              <w:pStyle w:val="TableText"/>
            </w:pPr>
            <w:r>
              <w:t>Randomized phase III open-label trial</w:t>
            </w:r>
          </w:p>
        </w:tc>
        <w:tc>
          <w:tcPr>
            <w:tcW w:w="235" w:type="pct"/>
          </w:tcPr>
          <w:p w:rsidR="00794E87" w:rsidRDefault="00794E87" w:rsidP="00200449">
            <w:pPr>
              <w:pStyle w:val="TableText"/>
            </w:pPr>
            <w:r>
              <w:t>12</w:t>
            </w:r>
          </w:p>
        </w:tc>
        <w:tc>
          <w:tcPr>
            <w:tcW w:w="694" w:type="pct"/>
          </w:tcPr>
          <w:p w:rsidR="00794E87" w:rsidRDefault="00794E87" w:rsidP="00200449">
            <w:pPr>
              <w:pStyle w:val="TableText"/>
            </w:pPr>
            <w:r>
              <w:t>Letrozole</w:t>
            </w:r>
          </w:p>
        </w:tc>
        <w:tc>
          <w:tcPr>
            <w:tcW w:w="944" w:type="pct"/>
          </w:tcPr>
          <w:p w:rsidR="00794E87" w:rsidRDefault="006232A4" w:rsidP="00200449">
            <w:pPr>
              <w:pStyle w:val="TableText"/>
            </w:pPr>
            <w:r>
              <w:t>Zoledronic</w:t>
            </w:r>
            <w:r w:rsidR="00794E87" w:rsidRPr="0080730E">
              <w:t xml:space="preserve"> Acid (4mg IV once every 6 months</w:t>
            </w:r>
            <w:r w:rsidR="00794E87">
              <w:t>)</w:t>
            </w:r>
          </w:p>
          <w:p w:rsidR="00794E87" w:rsidRDefault="00794E87" w:rsidP="00200449">
            <w:pPr>
              <w:pStyle w:val="TableText"/>
            </w:pPr>
            <w:r>
              <w:t>Could have calcium and vitamin D</w:t>
            </w:r>
          </w:p>
        </w:tc>
        <w:tc>
          <w:tcPr>
            <w:tcW w:w="1239" w:type="pct"/>
          </w:tcPr>
          <w:p w:rsidR="00794E87" w:rsidRPr="005A2647" w:rsidRDefault="006232A4" w:rsidP="00200449">
            <w:pPr>
              <w:pStyle w:val="TableText"/>
            </w:pPr>
            <w:r>
              <w:t>Zoledronic</w:t>
            </w:r>
            <w:r w:rsidR="00794E87" w:rsidRPr="005A2647">
              <w:t xml:space="preserve"> acid</w:t>
            </w:r>
          </w:p>
          <w:p w:rsidR="00794E87" w:rsidRPr="005A2647" w:rsidRDefault="00794E87" w:rsidP="00200449">
            <w:pPr>
              <w:pStyle w:val="TableText"/>
            </w:pPr>
            <w:r w:rsidRPr="005A2647">
              <w:t>Letrozole alone</w:t>
            </w:r>
          </w:p>
          <w:p w:rsidR="00794E87" w:rsidRPr="005A2647" w:rsidRDefault="00794E87" w:rsidP="00200449">
            <w:pPr>
              <w:pStyle w:val="TableText"/>
            </w:pPr>
            <w:r w:rsidRPr="005A2647">
              <w:t>Tamoxifen then letrozole</w:t>
            </w:r>
          </w:p>
        </w:tc>
      </w:tr>
      <w:tr w:rsidR="00200449" w:rsidRPr="0080730E" w:rsidTr="00192A3B">
        <w:tc>
          <w:tcPr>
            <w:tcW w:w="461" w:type="pct"/>
          </w:tcPr>
          <w:p w:rsidR="00794E87" w:rsidRDefault="00794E87" w:rsidP="00200449">
            <w:pPr>
              <w:pStyle w:val="TableText"/>
            </w:pPr>
            <w:r>
              <w:t>Safra 2011</w:t>
            </w:r>
          </w:p>
          <w:p w:rsidR="00794E87" w:rsidRDefault="00794E87" w:rsidP="00200449">
            <w:pPr>
              <w:pStyle w:val="TableText"/>
            </w:pPr>
          </w:p>
        </w:tc>
        <w:tc>
          <w:tcPr>
            <w:tcW w:w="340" w:type="pct"/>
          </w:tcPr>
          <w:p w:rsidR="00794E87" w:rsidRDefault="00794E87" w:rsidP="00200449">
            <w:pPr>
              <w:pStyle w:val="TableText"/>
            </w:pPr>
            <w:r>
              <w:t>90</w:t>
            </w:r>
          </w:p>
        </w:tc>
        <w:tc>
          <w:tcPr>
            <w:tcW w:w="533" w:type="pct"/>
          </w:tcPr>
          <w:p w:rsidR="00794E87" w:rsidRDefault="00794E87" w:rsidP="00200449">
            <w:pPr>
              <w:pStyle w:val="TableText"/>
            </w:pPr>
            <w:r>
              <w:t>Israel</w:t>
            </w:r>
          </w:p>
        </w:tc>
        <w:tc>
          <w:tcPr>
            <w:tcW w:w="554" w:type="pct"/>
          </w:tcPr>
          <w:p w:rsidR="00794E87" w:rsidRDefault="00794E87" w:rsidP="00200449">
            <w:pPr>
              <w:pStyle w:val="TableText"/>
            </w:pPr>
            <w:r>
              <w:t>Randomized phase II</w:t>
            </w:r>
          </w:p>
        </w:tc>
        <w:tc>
          <w:tcPr>
            <w:tcW w:w="235" w:type="pct"/>
          </w:tcPr>
          <w:p w:rsidR="00794E87" w:rsidRDefault="00794E87" w:rsidP="00200449">
            <w:pPr>
              <w:pStyle w:val="TableText"/>
            </w:pPr>
            <w:r>
              <w:t>60</w:t>
            </w:r>
          </w:p>
        </w:tc>
        <w:tc>
          <w:tcPr>
            <w:tcW w:w="694" w:type="pct"/>
          </w:tcPr>
          <w:p w:rsidR="00794E87" w:rsidRDefault="00794E87" w:rsidP="00125D0B">
            <w:pPr>
              <w:pStyle w:val="TableText"/>
            </w:pPr>
            <w:r>
              <w:t xml:space="preserve">Letrozole </w:t>
            </w:r>
            <w:r w:rsidRPr="0080730E">
              <w:t>2.5 mg</w:t>
            </w:r>
            <w:r>
              <w:t>/day</w:t>
            </w:r>
            <w:r w:rsidRPr="0080730E">
              <w:t xml:space="preserve"> for </w:t>
            </w:r>
            <w:r>
              <w:t>2.</w:t>
            </w:r>
            <w:r w:rsidRPr="0080730E">
              <w:t>5 years</w:t>
            </w:r>
            <w:r>
              <w:t xml:space="preserve"> after </w:t>
            </w:r>
            <w:r w:rsidR="00125D0B">
              <w:t xml:space="preserve">all </w:t>
            </w:r>
            <w:r>
              <w:t>received Tamoxifen 2.5 years</w:t>
            </w:r>
          </w:p>
        </w:tc>
        <w:tc>
          <w:tcPr>
            <w:tcW w:w="944" w:type="pct"/>
          </w:tcPr>
          <w:p w:rsidR="00794E87" w:rsidRPr="0080730E" w:rsidRDefault="006232A4" w:rsidP="00200449">
            <w:pPr>
              <w:pStyle w:val="TableText"/>
            </w:pPr>
            <w:r>
              <w:t>Zoledronic</w:t>
            </w:r>
            <w:r w:rsidR="00794E87" w:rsidRPr="0080730E">
              <w:t xml:space="preserve"> Acid (4mg IV once every 6 months</w:t>
            </w:r>
            <w:r w:rsidR="00794E87">
              <w:t>)</w:t>
            </w:r>
          </w:p>
          <w:p w:rsidR="00794E87" w:rsidRPr="0080730E" w:rsidRDefault="00794E87" w:rsidP="00200449">
            <w:pPr>
              <w:pStyle w:val="TableText"/>
            </w:pPr>
            <w:r>
              <w:t>V</w:t>
            </w:r>
            <w:r w:rsidRPr="0080730E">
              <w:t xml:space="preserve">itamin D </w:t>
            </w:r>
            <w:r>
              <w:t>(</w:t>
            </w:r>
            <w:r w:rsidRPr="0080730E">
              <w:t>400</w:t>
            </w:r>
            <w:r>
              <w:t xml:space="preserve"> IU/day) and </w:t>
            </w:r>
            <w:r w:rsidRPr="0080730E">
              <w:t xml:space="preserve">calcium </w:t>
            </w:r>
            <w:r>
              <w:t>(12</w:t>
            </w:r>
            <w:r w:rsidRPr="0080730E">
              <w:t>00 mg</w:t>
            </w:r>
            <w:r>
              <w:t>/day)</w:t>
            </w:r>
            <w:r w:rsidRPr="0080730E">
              <w:t xml:space="preserve"> </w:t>
            </w:r>
          </w:p>
        </w:tc>
        <w:tc>
          <w:tcPr>
            <w:tcW w:w="1239" w:type="pct"/>
          </w:tcPr>
          <w:p w:rsidR="00794E87" w:rsidRPr="005A2647" w:rsidRDefault="006232A4" w:rsidP="00200449">
            <w:pPr>
              <w:pStyle w:val="TableText"/>
            </w:pPr>
            <w:r>
              <w:t>Zoledronic</w:t>
            </w:r>
            <w:r w:rsidR="00794E87" w:rsidRPr="005A2647">
              <w:t xml:space="preserve"> Acid</w:t>
            </w:r>
          </w:p>
          <w:p w:rsidR="00794E87" w:rsidRPr="005A2647" w:rsidRDefault="00794E87" w:rsidP="00200449">
            <w:pPr>
              <w:pStyle w:val="TableText"/>
            </w:pPr>
            <w:r w:rsidRPr="005A2647">
              <w:t>Placebo</w:t>
            </w:r>
          </w:p>
        </w:tc>
      </w:tr>
      <w:tr w:rsidR="00200449" w:rsidRPr="0080730E" w:rsidTr="00192A3B">
        <w:tc>
          <w:tcPr>
            <w:tcW w:w="461" w:type="pct"/>
          </w:tcPr>
          <w:p w:rsidR="00794E87" w:rsidRDefault="00794E87" w:rsidP="00200449">
            <w:pPr>
              <w:pStyle w:val="TableText"/>
            </w:pPr>
            <w:r>
              <w:t>Lee 2011</w:t>
            </w:r>
          </w:p>
          <w:p w:rsidR="00794E87" w:rsidRDefault="00794E87" w:rsidP="00200449">
            <w:pPr>
              <w:pStyle w:val="TableText"/>
            </w:pPr>
          </w:p>
          <w:p w:rsidR="00794E87" w:rsidRDefault="00794E87" w:rsidP="00200449">
            <w:pPr>
              <w:pStyle w:val="TableText"/>
            </w:pPr>
          </w:p>
        </w:tc>
        <w:tc>
          <w:tcPr>
            <w:tcW w:w="340" w:type="pct"/>
          </w:tcPr>
          <w:p w:rsidR="00794E87" w:rsidRDefault="00794E87" w:rsidP="00200449">
            <w:pPr>
              <w:pStyle w:val="TableText"/>
            </w:pPr>
            <w:r>
              <w:t>107</w:t>
            </w:r>
          </w:p>
        </w:tc>
        <w:tc>
          <w:tcPr>
            <w:tcW w:w="533" w:type="pct"/>
          </w:tcPr>
          <w:p w:rsidR="00794E87" w:rsidRDefault="00794E87" w:rsidP="00200449">
            <w:pPr>
              <w:pStyle w:val="TableText"/>
            </w:pPr>
            <w:r>
              <w:t xml:space="preserve">Korea </w:t>
            </w:r>
          </w:p>
          <w:p w:rsidR="00794E87" w:rsidRDefault="00794E87" w:rsidP="00200449">
            <w:pPr>
              <w:pStyle w:val="TableText"/>
            </w:pPr>
            <w:r>
              <w:t>single centre</w:t>
            </w:r>
          </w:p>
        </w:tc>
        <w:tc>
          <w:tcPr>
            <w:tcW w:w="554" w:type="pct"/>
          </w:tcPr>
          <w:p w:rsidR="00794E87" w:rsidRDefault="00794E87" w:rsidP="00200449">
            <w:pPr>
              <w:pStyle w:val="TableText"/>
            </w:pPr>
            <w:r>
              <w:t xml:space="preserve">Comparative Study </w:t>
            </w:r>
          </w:p>
        </w:tc>
        <w:tc>
          <w:tcPr>
            <w:tcW w:w="235" w:type="pct"/>
          </w:tcPr>
          <w:p w:rsidR="00794E87" w:rsidRDefault="00794E87" w:rsidP="00200449">
            <w:pPr>
              <w:pStyle w:val="TableText"/>
            </w:pPr>
            <w:r>
              <w:t>36</w:t>
            </w:r>
          </w:p>
        </w:tc>
        <w:tc>
          <w:tcPr>
            <w:tcW w:w="694" w:type="pct"/>
          </w:tcPr>
          <w:p w:rsidR="00794E87" w:rsidRDefault="00794E87" w:rsidP="00200449">
            <w:pPr>
              <w:pStyle w:val="TableText"/>
            </w:pPr>
            <w:r>
              <w:t xml:space="preserve">Letrozole 2.5 mg/ day or </w:t>
            </w:r>
            <w:r w:rsidR="00200CF4">
              <w:t>Anastrozole</w:t>
            </w:r>
            <w:r>
              <w:t xml:space="preserve"> </w:t>
            </w:r>
          </w:p>
          <w:p w:rsidR="00794E87" w:rsidRDefault="00794E87" w:rsidP="00200449">
            <w:pPr>
              <w:pStyle w:val="TableText"/>
            </w:pPr>
            <w:r>
              <w:t>1 mg/day</w:t>
            </w:r>
          </w:p>
        </w:tc>
        <w:tc>
          <w:tcPr>
            <w:tcW w:w="944" w:type="pct"/>
          </w:tcPr>
          <w:p w:rsidR="00794E87" w:rsidRDefault="006232A4" w:rsidP="00200449">
            <w:pPr>
              <w:pStyle w:val="TableText"/>
            </w:pPr>
            <w:r>
              <w:t>Zoledronic</w:t>
            </w:r>
            <w:r w:rsidR="00794E87">
              <w:t xml:space="preserve"> Acid </w:t>
            </w:r>
            <w:r w:rsidR="00794E87" w:rsidRPr="0080730E">
              <w:t xml:space="preserve">(4mg IV once every </w:t>
            </w:r>
            <w:r w:rsidR="00794E87">
              <w:t xml:space="preserve">3 or </w:t>
            </w:r>
            <w:r w:rsidR="00794E87" w:rsidRPr="0080730E">
              <w:t>6 months</w:t>
            </w:r>
            <w:r w:rsidR="00794E87">
              <w:t>)</w:t>
            </w:r>
          </w:p>
          <w:p w:rsidR="00794E87" w:rsidRDefault="00794E87" w:rsidP="00200449">
            <w:pPr>
              <w:pStyle w:val="TableText"/>
            </w:pPr>
          </w:p>
        </w:tc>
        <w:tc>
          <w:tcPr>
            <w:tcW w:w="1239" w:type="pct"/>
          </w:tcPr>
          <w:p w:rsidR="00794E87" w:rsidRPr="005A2647" w:rsidRDefault="006232A4" w:rsidP="00200449">
            <w:pPr>
              <w:pStyle w:val="TableText"/>
            </w:pPr>
            <w:r>
              <w:t>Zoledronic</w:t>
            </w:r>
            <w:r w:rsidR="00794E87" w:rsidRPr="005A2647">
              <w:t xml:space="preserve"> acid</w:t>
            </w:r>
          </w:p>
          <w:p w:rsidR="00794E87" w:rsidRPr="005A2647" w:rsidRDefault="00794E87" w:rsidP="00200449">
            <w:pPr>
              <w:pStyle w:val="TableText"/>
            </w:pPr>
            <w:r w:rsidRPr="005A2647">
              <w:t>Placebo</w:t>
            </w:r>
          </w:p>
          <w:p w:rsidR="00794E87" w:rsidRDefault="00794E87" w:rsidP="00200449">
            <w:pPr>
              <w:pStyle w:val="TableText"/>
            </w:pPr>
          </w:p>
        </w:tc>
      </w:tr>
      <w:tr w:rsidR="00200449" w:rsidRPr="0080730E" w:rsidTr="00192A3B">
        <w:tc>
          <w:tcPr>
            <w:tcW w:w="461" w:type="pct"/>
          </w:tcPr>
          <w:p w:rsidR="00794E87" w:rsidRDefault="00794E87" w:rsidP="00200449">
            <w:pPr>
              <w:pStyle w:val="TableText"/>
            </w:pPr>
            <w:r>
              <w:t>Hines 2009</w:t>
            </w:r>
          </w:p>
          <w:p w:rsidR="00794E87" w:rsidRDefault="00794E87" w:rsidP="00200449">
            <w:pPr>
              <w:pStyle w:val="TableText"/>
            </w:pPr>
            <w:r>
              <w:t>NO3CC</w:t>
            </w:r>
          </w:p>
        </w:tc>
        <w:tc>
          <w:tcPr>
            <w:tcW w:w="340" w:type="pct"/>
          </w:tcPr>
          <w:p w:rsidR="00794E87" w:rsidRDefault="00794E87" w:rsidP="00200449">
            <w:pPr>
              <w:pStyle w:val="TableText"/>
            </w:pPr>
            <w:r>
              <w:t>558</w:t>
            </w:r>
          </w:p>
        </w:tc>
        <w:tc>
          <w:tcPr>
            <w:tcW w:w="533" w:type="pct"/>
          </w:tcPr>
          <w:p w:rsidR="00794E87" w:rsidRDefault="00794E87" w:rsidP="00200449">
            <w:pPr>
              <w:pStyle w:val="TableText"/>
            </w:pPr>
            <w:r>
              <w:t>US</w:t>
            </w:r>
          </w:p>
        </w:tc>
        <w:tc>
          <w:tcPr>
            <w:tcW w:w="554" w:type="pct"/>
          </w:tcPr>
          <w:p w:rsidR="00794E87" w:rsidRDefault="00794E87" w:rsidP="00200449">
            <w:pPr>
              <w:pStyle w:val="TableText"/>
            </w:pPr>
            <w:r>
              <w:t>Randomized phase III open-label trial</w:t>
            </w:r>
          </w:p>
        </w:tc>
        <w:tc>
          <w:tcPr>
            <w:tcW w:w="235" w:type="pct"/>
          </w:tcPr>
          <w:p w:rsidR="00794E87" w:rsidRDefault="00794E87" w:rsidP="00200449">
            <w:pPr>
              <w:pStyle w:val="TableText"/>
            </w:pPr>
            <w:r>
              <w:t>24</w:t>
            </w:r>
          </w:p>
        </w:tc>
        <w:tc>
          <w:tcPr>
            <w:tcW w:w="694" w:type="pct"/>
          </w:tcPr>
          <w:p w:rsidR="00794E87" w:rsidRDefault="00794E87" w:rsidP="00200449">
            <w:pPr>
              <w:pStyle w:val="TableText"/>
            </w:pPr>
            <w:r>
              <w:t xml:space="preserve">Letrozole </w:t>
            </w:r>
            <w:r w:rsidRPr="0080730E">
              <w:t>2.5 mg</w:t>
            </w:r>
            <w:r>
              <w:t>/day</w:t>
            </w:r>
            <w:r w:rsidRPr="0080730E">
              <w:t xml:space="preserve"> for 5 years</w:t>
            </w:r>
            <w:r>
              <w:t xml:space="preserve"> after all received Tamoxifen </w:t>
            </w:r>
          </w:p>
        </w:tc>
        <w:tc>
          <w:tcPr>
            <w:tcW w:w="944" w:type="pct"/>
          </w:tcPr>
          <w:p w:rsidR="00794E87" w:rsidRPr="0080730E" w:rsidRDefault="006232A4" w:rsidP="00200449">
            <w:pPr>
              <w:pStyle w:val="TableText"/>
            </w:pPr>
            <w:r>
              <w:t>Zoledronic</w:t>
            </w:r>
            <w:r w:rsidR="00794E87" w:rsidRPr="0080730E">
              <w:t xml:space="preserve"> Acid (4mg IV once every 6 months</w:t>
            </w:r>
            <w:r w:rsidR="00794E87">
              <w:t>)</w:t>
            </w:r>
          </w:p>
          <w:p w:rsidR="00794E87" w:rsidRDefault="00794E87" w:rsidP="00200449">
            <w:pPr>
              <w:pStyle w:val="TableText"/>
            </w:pPr>
            <w:r>
              <w:t>Calcium 1000 mg and vitamin D 400 IU daily</w:t>
            </w:r>
          </w:p>
        </w:tc>
        <w:tc>
          <w:tcPr>
            <w:tcW w:w="1239" w:type="pct"/>
          </w:tcPr>
          <w:p w:rsidR="00794E87" w:rsidRPr="00DF3068" w:rsidRDefault="00794E87" w:rsidP="00200449">
            <w:pPr>
              <w:pStyle w:val="TableText"/>
            </w:pPr>
            <w:r w:rsidRPr="00DF3068">
              <w:t xml:space="preserve">Upfront </w:t>
            </w:r>
            <w:r w:rsidR="006232A4">
              <w:t>zoledronic</w:t>
            </w:r>
            <w:r w:rsidRPr="00DF3068">
              <w:t xml:space="preserve"> acid</w:t>
            </w:r>
          </w:p>
          <w:p w:rsidR="00794E87" w:rsidRPr="005A2647" w:rsidRDefault="00794E87" w:rsidP="00200449">
            <w:pPr>
              <w:pStyle w:val="TableText"/>
            </w:pPr>
            <w:r w:rsidRPr="00DF3068">
              <w:t xml:space="preserve">Delayed </w:t>
            </w:r>
            <w:r w:rsidR="006232A4">
              <w:t>zoledronic</w:t>
            </w:r>
            <w:r w:rsidRPr="00DF3068">
              <w:t xml:space="preserve"> acid (</w:t>
            </w:r>
            <w:r>
              <w:t xml:space="preserve"> when </w:t>
            </w:r>
            <w:r w:rsidRPr="00DF3068">
              <w:t>T score LS -&lt;2.0)</w:t>
            </w:r>
          </w:p>
        </w:tc>
      </w:tr>
      <w:tr w:rsidR="00200449" w:rsidRPr="0080730E" w:rsidTr="00192A3B">
        <w:tc>
          <w:tcPr>
            <w:tcW w:w="461" w:type="pct"/>
          </w:tcPr>
          <w:p w:rsidR="00794E87" w:rsidRPr="0080730E" w:rsidRDefault="00794E87" w:rsidP="00200449">
            <w:pPr>
              <w:pStyle w:val="TableText"/>
            </w:pPr>
            <w:r>
              <w:t>Lester 2012 ARIBON</w:t>
            </w:r>
          </w:p>
        </w:tc>
        <w:tc>
          <w:tcPr>
            <w:tcW w:w="340" w:type="pct"/>
          </w:tcPr>
          <w:p w:rsidR="00794E87" w:rsidRPr="0080730E" w:rsidRDefault="00794E87" w:rsidP="00200449">
            <w:pPr>
              <w:pStyle w:val="TableText"/>
            </w:pPr>
            <w:r>
              <w:t>131</w:t>
            </w:r>
          </w:p>
        </w:tc>
        <w:tc>
          <w:tcPr>
            <w:tcW w:w="533" w:type="pct"/>
          </w:tcPr>
          <w:p w:rsidR="00794E87" w:rsidRPr="0080730E" w:rsidRDefault="00794E87" w:rsidP="00200449">
            <w:pPr>
              <w:pStyle w:val="TableText"/>
            </w:pPr>
            <w:r>
              <w:t>UK (2 centres)</w:t>
            </w:r>
          </w:p>
        </w:tc>
        <w:tc>
          <w:tcPr>
            <w:tcW w:w="554" w:type="pct"/>
          </w:tcPr>
          <w:p w:rsidR="00794E87" w:rsidRPr="0080730E" w:rsidRDefault="00794E87" w:rsidP="00200449">
            <w:pPr>
              <w:pStyle w:val="TableText"/>
            </w:pPr>
            <w:r>
              <w:t>Randomized phase III open-label trial</w:t>
            </w:r>
          </w:p>
        </w:tc>
        <w:tc>
          <w:tcPr>
            <w:tcW w:w="235" w:type="pct"/>
          </w:tcPr>
          <w:p w:rsidR="00794E87" w:rsidRPr="0080730E" w:rsidRDefault="00794E87" w:rsidP="00200449">
            <w:pPr>
              <w:pStyle w:val="TableText"/>
            </w:pPr>
            <w:r>
              <w:t>62</w:t>
            </w:r>
          </w:p>
        </w:tc>
        <w:tc>
          <w:tcPr>
            <w:tcW w:w="694" w:type="pct"/>
          </w:tcPr>
          <w:p w:rsidR="00794E87" w:rsidRDefault="00200CF4" w:rsidP="00200449">
            <w:pPr>
              <w:pStyle w:val="TableText"/>
            </w:pPr>
            <w:r>
              <w:t>Anastrozole</w:t>
            </w:r>
            <w:r w:rsidR="00794E87">
              <w:t xml:space="preserve"> </w:t>
            </w:r>
          </w:p>
          <w:p w:rsidR="00794E87" w:rsidRPr="0080730E" w:rsidRDefault="00794E87" w:rsidP="00200449">
            <w:pPr>
              <w:pStyle w:val="TableText"/>
            </w:pPr>
            <w:r>
              <w:t>1 mg daily</w:t>
            </w:r>
          </w:p>
        </w:tc>
        <w:tc>
          <w:tcPr>
            <w:tcW w:w="944" w:type="pct"/>
          </w:tcPr>
          <w:p w:rsidR="00794E87" w:rsidRDefault="00794E87" w:rsidP="00200449">
            <w:pPr>
              <w:pStyle w:val="TableText"/>
            </w:pPr>
            <w:r>
              <w:t>Ibandronate (oral monthly 150 mg for 5 years)</w:t>
            </w:r>
          </w:p>
          <w:p w:rsidR="00794E87" w:rsidRPr="0080730E" w:rsidRDefault="00794E87" w:rsidP="00200449">
            <w:pPr>
              <w:pStyle w:val="TableText"/>
            </w:pPr>
            <w:r>
              <w:t>Calcium 500 mg and vitamin D 400 IU daily</w:t>
            </w:r>
          </w:p>
        </w:tc>
        <w:tc>
          <w:tcPr>
            <w:tcW w:w="1239" w:type="pct"/>
          </w:tcPr>
          <w:p w:rsidR="00794E87" w:rsidRPr="00E33CDC" w:rsidRDefault="00794E87" w:rsidP="00200449">
            <w:pPr>
              <w:pStyle w:val="TableText"/>
            </w:pPr>
            <w:r w:rsidRPr="00E33CDC">
              <w:t xml:space="preserve">Osteoporosis - ibandronate </w:t>
            </w:r>
          </w:p>
          <w:p w:rsidR="00794E87" w:rsidRPr="00E33CDC" w:rsidRDefault="00794E87" w:rsidP="00200449">
            <w:pPr>
              <w:pStyle w:val="TableText"/>
            </w:pPr>
            <w:r w:rsidRPr="00E33CDC">
              <w:t>Osteopenia - ibandronate</w:t>
            </w:r>
          </w:p>
          <w:p w:rsidR="00794E87" w:rsidRPr="00E33CDC" w:rsidRDefault="00794E87" w:rsidP="00200449">
            <w:pPr>
              <w:pStyle w:val="TableText"/>
            </w:pPr>
            <w:r w:rsidRPr="00E33CDC">
              <w:t>Osteopenia - placebo</w:t>
            </w:r>
          </w:p>
          <w:p w:rsidR="00794E87" w:rsidRPr="00E33CDC" w:rsidRDefault="00794E87" w:rsidP="00200449">
            <w:pPr>
              <w:pStyle w:val="TableText"/>
            </w:pPr>
            <w:r w:rsidRPr="00E33CDC">
              <w:t>Normal BMD – no bone tx</w:t>
            </w:r>
          </w:p>
        </w:tc>
      </w:tr>
      <w:tr w:rsidR="00200449" w:rsidRPr="0080730E" w:rsidTr="00192A3B">
        <w:tc>
          <w:tcPr>
            <w:tcW w:w="461" w:type="pct"/>
          </w:tcPr>
          <w:p w:rsidR="00794E87" w:rsidRDefault="00794E87" w:rsidP="00200449">
            <w:pPr>
              <w:pStyle w:val="TableText"/>
            </w:pPr>
            <w:r>
              <w:t>Markopoulos 2010 ARBI</w:t>
            </w:r>
          </w:p>
        </w:tc>
        <w:tc>
          <w:tcPr>
            <w:tcW w:w="340" w:type="pct"/>
          </w:tcPr>
          <w:p w:rsidR="00794E87" w:rsidRDefault="00794E87" w:rsidP="00200449">
            <w:pPr>
              <w:pStyle w:val="TableText"/>
            </w:pPr>
            <w:r>
              <w:t>213</w:t>
            </w:r>
          </w:p>
        </w:tc>
        <w:tc>
          <w:tcPr>
            <w:tcW w:w="533" w:type="pct"/>
          </w:tcPr>
          <w:p w:rsidR="00794E87" w:rsidRDefault="00794E87" w:rsidP="00200449">
            <w:pPr>
              <w:pStyle w:val="TableText"/>
            </w:pPr>
            <w:r>
              <w:t>Greece</w:t>
            </w:r>
          </w:p>
        </w:tc>
        <w:tc>
          <w:tcPr>
            <w:tcW w:w="554" w:type="pct"/>
          </w:tcPr>
          <w:p w:rsidR="00794E87" w:rsidRDefault="00794E87" w:rsidP="00200449">
            <w:pPr>
              <w:pStyle w:val="TableText"/>
            </w:pPr>
            <w:r>
              <w:t xml:space="preserve">Phase II, open-label and double-blind </w:t>
            </w:r>
          </w:p>
        </w:tc>
        <w:tc>
          <w:tcPr>
            <w:tcW w:w="235" w:type="pct"/>
          </w:tcPr>
          <w:p w:rsidR="00794E87" w:rsidRDefault="00794E87" w:rsidP="00200449">
            <w:pPr>
              <w:pStyle w:val="TableText"/>
            </w:pPr>
            <w:r>
              <w:t>24</w:t>
            </w:r>
          </w:p>
        </w:tc>
        <w:tc>
          <w:tcPr>
            <w:tcW w:w="694" w:type="pct"/>
          </w:tcPr>
          <w:p w:rsidR="00794E87" w:rsidRDefault="00200CF4" w:rsidP="00200449">
            <w:pPr>
              <w:pStyle w:val="TableText"/>
            </w:pPr>
            <w:r>
              <w:t>Anastrozole</w:t>
            </w:r>
            <w:r w:rsidR="00794E87">
              <w:t xml:space="preserve"> 1 mg daily</w:t>
            </w:r>
          </w:p>
        </w:tc>
        <w:tc>
          <w:tcPr>
            <w:tcW w:w="944" w:type="pct"/>
          </w:tcPr>
          <w:p w:rsidR="00794E87" w:rsidRDefault="00794E87" w:rsidP="00200449">
            <w:pPr>
              <w:pStyle w:val="TableText"/>
            </w:pPr>
            <w:r>
              <w:t>Risedronate (oral 35 mg/week)</w:t>
            </w:r>
          </w:p>
          <w:p w:rsidR="00794E87" w:rsidRDefault="00794E87" w:rsidP="00200449">
            <w:pPr>
              <w:pStyle w:val="TableText"/>
            </w:pPr>
            <w:r>
              <w:t>Calcium 1000 mg and vitamin D 400 IU daily</w:t>
            </w:r>
          </w:p>
        </w:tc>
        <w:tc>
          <w:tcPr>
            <w:tcW w:w="1239" w:type="pct"/>
          </w:tcPr>
          <w:p w:rsidR="00794E87" w:rsidRPr="00E33CDC" w:rsidRDefault="00794E87" w:rsidP="00200449">
            <w:pPr>
              <w:pStyle w:val="TableText"/>
            </w:pPr>
            <w:r w:rsidRPr="00E33CDC">
              <w:t>High risk – risedronate</w:t>
            </w:r>
          </w:p>
          <w:p w:rsidR="00794E87" w:rsidRPr="00E33CDC" w:rsidRDefault="00794E87" w:rsidP="00200449">
            <w:pPr>
              <w:pStyle w:val="TableText"/>
            </w:pPr>
            <w:r w:rsidRPr="00E33CDC">
              <w:t>Med risk – risedronate</w:t>
            </w:r>
          </w:p>
          <w:p w:rsidR="00794E87" w:rsidRPr="00E33CDC" w:rsidRDefault="00794E87" w:rsidP="00200449">
            <w:pPr>
              <w:pStyle w:val="TableText"/>
            </w:pPr>
            <w:r w:rsidRPr="00E33CDC">
              <w:t>Med risk – placebo</w:t>
            </w:r>
          </w:p>
          <w:p w:rsidR="00794E87" w:rsidRPr="00E33CDC" w:rsidRDefault="00794E87" w:rsidP="00200449">
            <w:pPr>
              <w:pStyle w:val="TableText"/>
            </w:pPr>
            <w:r w:rsidRPr="00E33CDC">
              <w:t>Low risk– no bone tx</w:t>
            </w:r>
          </w:p>
        </w:tc>
      </w:tr>
      <w:tr w:rsidR="00200449" w:rsidRPr="0080730E" w:rsidTr="00192A3B">
        <w:tc>
          <w:tcPr>
            <w:tcW w:w="461" w:type="pct"/>
          </w:tcPr>
          <w:p w:rsidR="00794E87" w:rsidRDefault="00794E87" w:rsidP="00200449">
            <w:pPr>
              <w:pStyle w:val="TableText"/>
            </w:pPr>
            <w:r>
              <w:lastRenderedPageBreak/>
              <w:t>Rhee 2013</w:t>
            </w:r>
          </w:p>
          <w:p w:rsidR="00794E87" w:rsidRDefault="00794E87" w:rsidP="00200449">
            <w:pPr>
              <w:pStyle w:val="TableText"/>
            </w:pPr>
          </w:p>
          <w:p w:rsidR="00794E87" w:rsidRDefault="00794E87" w:rsidP="00200449">
            <w:pPr>
              <w:pStyle w:val="TableText"/>
            </w:pPr>
          </w:p>
          <w:p w:rsidR="00794E87" w:rsidRDefault="00794E87" w:rsidP="00200449">
            <w:pPr>
              <w:pStyle w:val="TableText"/>
            </w:pPr>
          </w:p>
        </w:tc>
        <w:tc>
          <w:tcPr>
            <w:tcW w:w="340" w:type="pct"/>
          </w:tcPr>
          <w:p w:rsidR="00794E87" w:rsidRDefault="00794E87" w:rsidP="00200449">
            <w:pPr>
              <w:pStyle w:val="TableText"/>
            </w:pPr>
            <w:r>
              <w:t>98</w:t>
            </w:r>
          </w:p>
        </w:tc>
        <w:tc>
          <w:tcPr>
            <w:tcW w:w="533" w:type="pct"/>
          </w:tcPr>
          <w:p w:rsidR="00794E87" w:rsidRDefault="00794E87" w:rsidP="00200449">
            <w:pPr>
              <w:pStyle w:val="TableText"/>
            </w:pPr>
            <w:r>
              <w:t>Korea</w:t>
            </w:r>
          </w:p>
        </w:tc>
        <w:tc>
          <w:tcPr>
            <w:tcW w:w="554" w:type="pct"/>
          </w:tcPr>
          <w:p w:rsidR="00794E87" w:rsidRDefault="00794E87" w:rsidP="00200449">
            <w:pPr>
              <w:pStyle w:val="TableText"/>
            </w:pPr>
            <w:r>
              <w:t>Randomized placebo-controlled double-blind</w:t>
            </w:r>
          </w:p>
        </w:tc>
        <w:tc>
          <w:tcPr>
            <w:tcW w:w="235" w:type="pct"/>
          </w:tcPr>
          <w:p w:rsidR="00794E87" w:rsidRDefault="00794E87" w:rsidP="00200449">
            <w:pPr>
              <w:pStyle w:val="TableText"/>
            </w:pPr>
            <w:r>
              <w:t>6 mth (24 wks)</w:t>
            </w:r>
          </w:p>
        </w:tc>
        <w:tc>
          <w:tcPr>
            <w:tcW w:w="694" w:type="pct"/>
          </w:tcPr>
          <w:p w:rsidR="00794E87" w:rsidRDefault="00200CF4" w:rsidP="00200449">
            <w:pPr>
              <w:pStyle w:val="TableText"/>
            </w:pPr>
            <w:r>
              <w:t>Anastrozole</w:t>
            </w:r>
            <w:r w:rsidR="00794E87">
              <w:t xml:space="preserve"> or letrozole</w:t>
            </w:r>
          </w:p>
        </w:tc>
        <w:tc>
          <w:tcPr>
            <w:tcW w:w="944" w:type="pct"/>
          </w:tcPr>
          <w:p w:rsidR="00794E87" w:rsidRDefault="00794E87" w:rsidP="00200449">
            <w:pPr>
              <w:pStyle w:val="TableText"/>
            </w:pPr>
            <w:r>
              <w:t xml:space="preserve">Low dose alendronate + vitamin D3, </w:t>
            </w:r>
          </w:p>
          <w:p w:rsidR="00794E87" w:rsidRDefault="00794E87" w:rsidP="00200449">
            <w:pPr>
              <w:pStyle w:val="TableText"/>
            </w:pPr>
            <w:r>
              <w:t>All pts 500 mg calcium &amp; 400 vitamin D, 24 weeks treatment</w:t>
            </w:r>
          </w:p>
        </w:tc>
        <w:tc>
          <w:tcPr>
            <w:tcW w:w="1239" w:type="pct"/>
          </w:tcPr>
          <w:p w:rsidR="00794E87" w:rsidRDefault="00794E87" w:rsidP="00200449">
            <w:pPr>
              <w:pStyle w:val="TableText"/>
            </w:pPr>
            <w:r w:rsidRPr="00E33CDC">
              <w:t xml:space="preserve">Alendronate and calcitrol </w:t>
            </w:r>
          </w:p>
          <w:p w:rsidR="00794E87" w:rsidRPr="00E33CDC" w:rsidRDefault="00794E87" w:rsidP="00200449">
            <w:pPr>
              <w:pStyle w:val="TableText"/>
            </w:pPr>
            <w:r>
              <w:t>P</w:t>
            </w:r>
            <w:r w:rsidRPr="00E33CDC">
              <w:t>lacebo</w:t>
            </w:r>
          </w:p>
        </w:tc>
      </w:tr>
      <w:tr w:rsidR="00200449" w:rsidRPr="0080730E" w:rsidTr="00192A3B">
        <w:tc>
          <w:tcPr>
            <w:tcW w:w="461" w:type="pct"/>
          </w:tcPr>
          <w:p w:rsidR="00794E87" w:rsidRDefault="00794E87" w:rsidP="00200449">
            <w:pPr>
              <w:pStyle w:val="TableText"/>
            </w:pPr>
            <w:r>
              <w:t>Van Poznak 2010 SABRE</w:t>
            </w:r>
          </w:p>
          <w:p w:rsidR="00794E87" w:rsidRDefault="00794E87" w:rsidP="00200449">
            <w:pPr>
              <w:pStyle w:val="TableText"/>
            </w:pPr>
          </w:p>
        </w:tc>
        <w:tc>
          <w:tcPr>
            <w:tcW w:w="340" w:type="pct"/>
          </w:tcPr>
          <w:p w:rsidR="00794E87" w:rsidRDefault="00794E87" w:rsidP="00200449">
            <w:pPr>
              <w:pStyle w:val="TableText"/>
            </w:pPr>
            <w:r>
              <w:t>234</w:t>
            </w:r>
          </w:p>
        </w:tc>
        <w:tc>
          <w:tcPr>
            <w:tcW w:w="533" w:type="pct"/>
          </w:tcPr>
          <w:p w:rsidR="00794E87" w:rsidRDefault="00794E87" w:rsidP="00200449">
            <w:pPr>
              <w:pStyle w:val="TableText"/>
            </w:pPr>
            <w:r>
              <w:t>US</w:t>
            </w:r>
          </w:p>
        </w:tc>
        <w:tc>
          <w:tcPr>
            <w:tcW w:w="554" w:type="pct"/>
          </w:tcPr>
          <w:p w:rsidR="00794E87" w:rsidRDefault="00794E87" w:rsidP="00200449">
            <w:pPr>
              <w:pStyle w:val="TableText"/>
            </w:pPr>
            <w:r>
              <w:t>Open-label high risk, randomized med risk, double-blind, phase III/IV</w:t>
            </w:r>
          </w:p>
        </w:tc>
        <w:tc>
          <w:tcPr>
            <w:tcW w:w="235" w:type="pct"/>
          </w:tcPr>
          <w:p w:rsidR="00794E87" w:rsidRDefault="00794E87" w:rsidP="00200449">
            <w:pPr>
              <w:pStyle w:val="TableText"/>
            </w:pPr>
            <w:r>
              <w:t>24</w:t>
            </w:r>
          </w:p>
        </w:tc>
        <w:tc>
          <w:tcPr>
            <w:tcW w:w="694" w:type="pct"/>
          </w:tcPr>
          <w:p w:rsidR="00794E87" w:rsidRDefault="00200CF4" w:rsidP="00200449">
            <w:pPr>
              <w:pStyle w:val="TableText"/>
            </w:pPr>
            <w:r>
              <w:t>Anastrozole</w:t>
            </w:r>
            <w:r w:rsidR="00794E87">
              <w:t xml:space="preserve"> 1 mg/day</w:t>
            </w:r>
          </w:p>
          <w:p w:rsidR="00794E87" w:rsidRDefault="00794E87" w:rsidP="00200449">
            <w:pPr>
              <w:pStyle w:val="TableText"/>
            </w:pPr>
            <w:r>
              <w:t>(37% prior Tamoxifen)</w:t>
            </w:r>
          </w:p>
        </w:tc>
        <w:tc>
          <w:tcPr>
            <w:tcW w:w="944" w:type="pct"/>
          </w:tcPr>
          <w:p w:rsidR="00794E87" w:rsidRDefault="00794E87" w:rsidP="00200449">
            <w:pPr>
              <w:pStyle w:val="TableText"/>
            </w:pPr>
            <w:r>
              <w:t>Risedronate 35 mg/wk oral</w:t>
            </w:r>
          </w:p>
          <w:p w:rsidR="00794E87" w:rsidRDefault="00794E87" w:rsidP="00200449">
            <w:pPr>
              <w:pStyle w:val="TableText"/>
            </w:pPr>
            <w:r>
              <w:t>Calcium 1000 mg/day + vitamin D 400 IU/day</w:t>
            </w:r>
          </w:p>
        </w:tc>
        <w:tc>
          <w:tcPr>
            <w:tcW w:w="1239" w:type="pct"/>
          </w:tcPr>
          <w:p w:rsidR="00794E87" w:rsidRPr="00E33CDC" w:rsidRDefault="00794E87" w:rsidP="00200449">
            <w:pPr>
              <w:pStyle w:val="TableText"/>
            </w:pPr>
            <w:r w:rsidRPr="00E33CDC">
              <w:t>High risk – risedronate</w:t>
            </w:r>
          </w:p>
          <w:p w:rsidR="00794E87" w:rsidRPr="00E33CDC" w:rsidRDefault="00794E87" w:rsidP="00200449">
            <w:pPr>
              <w:pStyle w:val="TableText"/>
            </w:pPr>
            <w:r w:rsidRPr="00E33CDC">
              <w:t>Med risk – risedronate</w:t>
            </w:r>
          </w:p>
          <w:p w:rsidR="00794E87" w:rsidRPr="00E33CDC" w:rsidRDefault="00794E87" w:rsidP="00200449">
            <w:pPr>
              <w:pStyle w:val="TableText"/>
            </w:pPr>
            <w:r w:rsidRPr="00E33CDC">
              <w:t>Med risk – placebo</w:t>
            </w:r>
          </w:p>
          <w:p w:rsidR="00794E87" w:rsidRPr="00E33CDC" w:rsidRDefault="00794E87" w:rsidP="00200449">
            <w:pPr>
              <w:pStyle w:val="TableText"/>
            </w:pPr>
            <w:r w:rsidRPr="00E33CDC">
              <w:t>Low risk– no bone tx</w:t>
            </w:r>
          </w:p>
        </w:tc>
      </w:tr>
      <w:tr w:rsidR="00200449" w:rsidRPr="0080730E" w:rsidTr="00192A3B">
        <w:tc>
          <w:tcPr>
            <w:tcW w:w="461" w:type="pct"/>
          </w:tcPr>
          <w:p w:rsidR="00794E87" w:rsidRDefault="00794E87" w:rsidP="00200449">
            <w:pPr>
              <w:pStyle w:val="TableText"/>
            </w:pPr>
            <w:r>
              <w:t>Ellis 2009</w:t>
            </w:r>
          </w:p>
          <w:p w:rsidR="00794E87" w:rsidRDefault="00794E87" w:rsidP="00200449">
            <w:pPr>
              <w:pStyle w:val="TableText"/>
            </w:pPr>
          </w:p>
          <w:p w:rsidR="00794E87" w:rsidRDefault="00794E87" w:rsidP="00200449">
            <w:pPr>
              <w:pStyle w:val="TableText"/>
            </w:pPr>
          </w:p>
          <w:p w:rsidR="00794E87" w:rsidRDefault="00794E87" w:rsidP="00200449">
            <w:pPr>
              <w:pStyle w:val="TableText"/>
            </w:pPr>
          </w:p>
        </w:tc>
        <w:tc>
          <w:tcPr>
            <w:tcW w:w="340" w:type="pct"/>
          </w:tcPr>
          <w:p w:rsidR="00794E87" w:rsidRDefault="00794E87" w:rsidP="00200449">
            <w:pPr>
              <w:pStyle w:val="TableText"/>
            </w:pPr>
            <w:r>
              <w:t>302</w:t>
            </w:r>
          </w:p>
        </w:tc>
        <w:tc>
          <w:tcPr>
            <w:tcW w:w="533" w:type="pct"/>
          </w:tcPr>
          <w:p w:rsidR="00794E87" w:rsidRDefault="00794E87" w:rsidP="00200449">
            <w:pPr>
              <w:pStyle w:val="TableText"/>
            </w:pPr>
            <w:r>
              <w:t>US + Canada (53 sites)</w:t>
            </w:r>
          </w:p>
        </w:tc>
        <w:tc>
          <w:tcPr>
            <w:tcW w:w="554" w:type="pct"/>
          </w:tcPr>
          <w:p w:rsidR="00794E87" w:rsidRDefault="00794E87" w:rsidP="00200449">
            <w:pPr>
              <w:pStyle w:val="TableText"/>
            </w:pPr>
            <w:r>
              <w:t>Randomized phase III open-label trial</w:t>
            </w:r>
          </w:p>
        </w:tc>
        <w:tc>
          <w:tcPr>
            <w:tcW w:w="235" w:type="pct"/>
          </w:tcPr>
          <w:p w:rsidR="00794E87" w:rsidRDefault="00794E87" w:rsidP="00200449">
            <w:pPr>
              <w:pStyle w:val="TableText"/>
            </w:pPr>
            <w:r>
              <w:t>24</w:t>
            </w:r>
          </w:p>
        </w:tc>
        <w:tc>
          <w:tcPr>
            <w:tcW w:w="694" w:type="pct"/>
          </w:tcPr>
          <w:p w:rsidR="00794E87" w:rsidRDefault="00794E87" w:rsidP="00200449">
            <w:pPr>
              <w:pStyle w:val="TableText"/>
            </w:pPr>
            <w:r>
              <w:t xml:space="preserve">Letrozole or </w:t>
            </w:r>
            <w:r w:rsidR="00200CF4">
              <w:t>Anastrozole</w:t>
            </w:r>
            <w:r>
              <w:t xml:space="preserve"> (in 73%), Exemestane (in 11%)</w:t>
            </w:r>
          </w:p>
        </w:tc>
        <w:tc>
          <w:tcPr>
            <w:tcW w:w="944" w:type="pct"/>
          </w:tcPr>
          <w:p w:rsidR="00794E87" w:rsidRDefault="00794E87" w:rsidP="00200449">
            <w:pPr>
              <w:pStyle w:val="TableText"/>
            </w:pPr>
            <w:r>
              <w:t>Denosumab (subcutaneous 60 mg, 6 mths, 4 doses)</w:t>
            </w:r>
          </w:p>
          <w:p w:rsidR="00794E87" w:rsidRDefault="00794E87" w:rsidP="00200449">
            <w:pPr>
              <w:pStyle w:val="TableText"/>
            </w:pPr>
            <w:r>
              <w:t>Calcium + Vitamin D 400 IU/day</w:t>
            </w:r>
          </w:p>
        </w:tc>
        <w:tc>
          <w:tcPr>
            <w:tcW w:w="1239" w:type="pct"/>
          </w:tcPr>
          <w:p w:rsidR="00794E87" w:rsidRPr="00E33CDC" w:rsidRDefault="00794E87" w:rsidP="00200449">
            <w:pPr>
              <w:pStyle w:val="TableText"/>
            </w:pPr>
            <w:r w:rsidRPr="00E33CDC">
              <w:t>Denosumab</w:t>
            </w:r>
          </w:p>
          <w:p w:rsidR="00794E87" w:rsidRPr="00E33CDC" w:rsidRDefault="00794E87" w:rsidP="00200449">
            <w:pPr>
              <w:pStyle w:val="TableText"/>
            </w:pPr>
            <w:r w:rsidRPr="00E33CDC">
              <w:t>Placebo</w:t>
            </w:r>
          </w:p>
        </w:tc>
      </w:tr>
      <w:tr w:rsidR="00200449" w:rsidRPr="0080730E" w:rsidTr="00192A3B">
        <w:tc>
          <w:tcPr>
            <w:tcW w:w="461" w:type="pct"/>
          </w:tcPr>
          <w:p w:rsidR="00794E87" w:rsidRDefault="00794E87" w:rsidP="00200449">
            <w:pPr>
              <w:pStyle w:val="TableText"/>
            </w:pPr>
          </w:p>
          <w:p w:rsidR="00794E87" w:rsidRDefault="00794E87" w:rsidP="00200449">
            <w:pPr>
              <w:pStyle w:val="TableText"/>
            </w:pPr>
            <w:r>
              <w:t>Rastelli 2011</w:t>
            </w:r>
          </w:p>
          <w:p w:rsidR="00794E87" w:rsidRDefault="00794E87" w:rsidP="00200449">
            <w:pPr>
              <w:pStyle w:val="TableText"/>
            </w:pPr>
          </w:p>
          <w:p w:rsidR="00794E87" w:rsidRDefault="00794E87" w:rsidP="00200449">
            <w:pPr>
              <w:pStyle w:val="TableText"/>
            </w:pPr>
          </w:p>
        </w:tc>
        <w:tc>
          <w:tcPr>
            <w:tcW w:w="340" w:type="pct"/>
          </w:tcPr>
          <w:p w:rsidR="00794E87" w:rsidRDefault="00794E87" w:rsidP="00200449">
            <w:pPr>
              <w:pStyle w:val="TableText"/>
            </w:pPr>
            <w:r>
              <w:t>60</w:t>
            </w:r>
          </w:p>
        </w:tc>
        <w:tc>
          <w:tcPr>
            <w:tcW w:w="533" w:type="pct"/>
          </w:tcPr>
          <w:p w:rsidR="00794E87" w:rsidRDefault="00794E87" w:rsidP="00200449">
            <w:pPr>
              <w:pStyle w:val="TableText"/>
            </w:pPr>
            <w:r>
              <w:t>US</w:t>
            </w:r>
          </w:p>
        </w:tc>
        <w:tc>
          <w:tcPr>
            <w:tcW w:w="554" w:type="pct"/>
          </w:tcPr>
          <w:p w:rsidR="00794E87" w:rsidRDefault="00794E87" w:rsidP="00200449">
            <w:pPr>
              <w:pStyle w:val="TableText"/>
            </w:pPr>
            <w:r>
              <w:t>Phase II, randomized, double-blind, placebo-controlled</w:t>
            </w:r>
          </w:p>
        </w:tc>
        <w:tc>
          <w:tcPr>
            <w:tcW w:w="235" w:type="pct"/>
          </w:tcPr>
          <w:p w:rsidR="00794E87" w:rsidRDefault="00794E87" w:rsidP="00200449">
            <w:pPr>
              <w:pStyle w:val="TableText"/>
            </w:pPr>
            <w:r>
              <w:t>6</w:t>
            </w:r>
          </w:p>
        </w:tc>
        <w:tc>
          <w:tcPr>
            <w:tcW w:w="694" w:type="pct"/>
          </w:tcPr>
          <w:p w:rsidR="00794E87" w:rsidRDefault="00200CF4" w:rsidP="00200449">
            <w:pPr>
              <w:pStyle w:val="TableText"/>
            </w:pPr>
            <w:r>
              <w:t>Anastrozole</w:t>
            </w:r>
            <w:r w:rsidR="00794E87">
              <w:t xml:space="preserve"> (already on for 15-21 months)</w:t>
            </w:r>
          </w:p>
        </w:tc>
        <w:tc>
          <w:tcPr>
            <w:tcW w:w="944" w:type="pct"/>
          </w:tcPr>
          <w:p w:rsidR="00794E87" w:rsidRDefault="00794E87" w:rsidP="00200449">
            <w:pPr>
              <w:pStyle w:val="TableText"/>
            </w:pPr>
            <w:r>
              <w:t>Vitamin D2 high dose 50,000 IU every 8 or 16 weeks, 24 weeks treatment</w:t>
            </w:r>
          </w:p>
        </w:tc>
        <w:tc>
          <w:tcPr>
            <w:tcW w:w="1239" w:type="pct"/>
          </w:tcPr>
          <w:p w:rsidR="00794E87" w:rsidRDefault="00794E87" w:rsidP="00200449">
            <w:pPr>
              <w:pStyle w:val="TableText"/>
            </w:pPr>
            <w:r>
              <w:t>High dose vitamin D2</w:t>
            </w:r>
            <w:r w:rsidRPr="00E33CDC">
              <w:t xml:space="preserve"> </w:t>
            </w:r>
          </w:p>
          <w:p w:rsidR="00794E87" w:rsidRPr="00E33CDC" w:rsidRDefault="00794E87" w:rsidP="00200449">
            <w:pPr>
              <w:pStyle w:val="TableText"/>
            </w:pPr>
            <w:r>
              <w:t>P</w:t>
            </w:r>
            <w:r w:rsidRPr="00E33CDC">
              <w:t>lacebo</w:t>
            </w:r>
          </w:p>
        </w:tc>
      </w:tr>
      <w:tr w:rsidR="00E8223D" w:rsidRPr="0080730E" w:rsidTr="00192A3B">
        <w:tc>
          <w:tcPr>
            <w:tcW w:w="461" w:type="pct"/>
          </w:tcPr>
          <w:p w:rsidR="00E8223D" w:rsidRDefault="00E8223D" w:rsidP="000F450C">
            <w:pPr>
              <w:pStyle w:val="TableText"/>
            </w:pPr>
            <w:r>
              <w:t>Martyn St James 200</w:t>
            </w:r>
            <w:r w:rsidR="000F450C">
              <w:t>9</w:t>
            </w:r>
          </w:p>
        </w:tc>
        <w:tc>
          <w:tcPr>
            <w:tcW w:w="340" w:type="pct"/>
          </w:tcPr>
          <w:p w:rsidR="00E8223D" w:rsidRDefault="00E8223D" w:rsidP="00200449">
            <w:pPr>
              <w:pStyle w:val="TableText"/>
            </w:pPr>
            <w:r>
              <w:t>442</w:t>
            </w:r>
          </w:p>
        </w:tc>
        <w:tc>
          <w:tcPr>
            <w:tcW w:w="533" w:type="pct"/>
          </w:tcPr>
          <w:p w:rsidR="00E8223D" w:rsidRDefault="00E8223D" w:rsidP="00200449">
            <w:pPr>
              <w:pStyle w:val="TableText"/>
            </w:pPr>
            <w:r>
              <w:t>UK</w:t>
            </w:r>
          </w:p>
        </w:tc>
        <w:tc>
          <w:tcPr>
            <w:tcW w:w="554" w:type="pct"/>
          </w:tcPr>
          <w:p w:rsidR="00E8223D" w:rsidRDefault="00E8223D" w:rsidP="00200449">
            <w:pPr>
              <w:pStyle w:val="TableText"/>
            </w:pPr>
            <w:r>
              <w:t>Meta-analysis of RCTs</w:t>
            </w:r>
          </w:p>
        </w:tc>
        <w:tc>
          <w:tcPr>
            <w:tcW w:w="235" w:type="pct"/>
          </w:tcPr>
          <w:p w:rsidR="00E8223D" w:rsidRDefault="00E8223D" w:rsidP="00200449">
            <w:pPr>
              <w:pStyle w:val="TableText"/>
            </w:pPr>
            <w:r>
              <w:t>varied</w:t>
            </w:r>
          </w:p>
        </w:tc>
        <w:tc>
          <w:tcPr>
            <w:tcW w:w="694" w:type="pct"/>
          </w:tcPr>
          <w:p w:rsidR="00E8223D" w:rsidRDefault="00E8223D" w:rsidP="00200449">
            <w:pPr>
              <w:pStyle w:val="TableText"/>
            </w:pPr>
            <w:r>
              <w:t>Not applicable. Sedentary post-menopausal women.</w:t>
            </w:r>
          </w:p>
        </w:tc>
        <w:tc>
          <w:tcPr>
            <w:tcW w:w="944" w:type="pct"/>
          </w:tcPr>
          <w:p w:rsidR="00E8223D" w:rsidRDefault="00E8223D" w:rsidP="00200449">
            <w:pPr>
              <w:pStyle w:val="TableText"/>
            </w:pPr>
            <w:r>
              <w:t>Exercise protocol that included</w:t>
            </w:r>
            <w:r w:rsidR="005A149C">
              <w:t xml:space="preserve"> any running or jumping movements with or without resistance training</w:t>
            </w:r>
          </w:p>
        </w:tc>
        <w:tc>
          <w:tcPr>
            <w:tcW w:w="1239" w:type="pct"/>
          </w:tcPr>
          <w:p w:rsidR="00E8223D" w:rsidRDefault="005A149C" w:rsidP="00200449">
            <w:pPr>
              <w:pStyle w:val="TableText"/>
            </w:pPr>
            <w:r>
              <w:t>Exercise group</w:t>
            </w:r>
          </w:p>
          <w:p w:rsidR="005A149C" w:rsidRDefault="005A149C" w:rsidP="00200449">
            <w:pPr>
              <w:pStyle w:val="TableText"/>
            </w:pPr>
            <w:r>
              <w:t>Control</w:t>
            </w:r>
          </w:p>
        </w:tc>
      </w:tr>
    </w:tbl>
    <w:p w:rsidR="00794E87" w:rsidRDefault="00794E87">
      <w:pPr>
        <w:spacing w:after="0"/>
        <w:ind w:left="0"/>
      </w:pPr>
    </w:p>
    <w:p w:rsidR="006339AA" w:rsidRDefault="006339AA" w:rsidP="00201ECF"/>
    <w:p w:rsidR="00794E87" w:rsidRDefault="00794E87">
      <w:pPr>
        <w:spacing w:after="0"/>
        <w:ind w:left="0"/>
        <w:rPr>
          <w:rFonts w:ascii="Arial Narrow" w:hAnsi="Arial Narrow"/>
          <w:b/>
          <w:sz w:val="18"/>
        </w:rPr>
      </w:pPr>
      <w:r>
        <w:rPr>
          <w:b/>
        </w:rPr>
        <w:br w:type="page"/>
      </w:r>
    </w:p>
    <w:p w:rsidR="00794E87" w:rsidRDefault="00794E87" w:rsidP="002F443F">
      <w:pPr>
        <w:pStyle w:val="TableText"/>
        <w:ind w:left="567"/>
        <w:rPr>
          <w:b/>
        </w:rPr>
        <w:sectPr w:rsidR="00794E87" w:rsidSect="00794E87">
          <w:pgSz w:w="16838" w:h="11906" w:orient="landscape"/>
          <w:pgMar w:top="1440" w:right="1440" w:bottom="1440" w:left="1440" w:header="720" w:footer="720" w:gutter="0"/>
          <w:paperSrc w:first="2" w:other="2"/>
          <w:cols w:space="720"/>
          <w:docGrid w:linePitch="326"/>
        </w:sectPr>
      </w:pPr>
    </w:p>
    <w:p w:rsidR="00232A32" w:rsidRDefault="00232A32" w:rsidP="00232A32">
      <w:r>
        <w:lastRenderedPageBreak/>
        <w:t>Stratified analyses were undertaken in many of the studies for:</w:t>
      </w:r>
    </w:p>
    <w:p w:rsidR="00232A32" w:rsidRPr="002F443F" w:rsidRDefault="00232A32" w:rsidP="00534D10">
      <w:pPr>
        <w:pStyle w:val="ListParagraph"/>
        <w:numPr>
          <w:ilvl w:val="0"/>
          <w:numId w:val="40"/>
        </w:numPr>
      </w:pPr>
      <w:r w:rsidRPr="002F443F">
        <w:t>Prior chemotherapy</w:t>
      </w:r>
      <w:r>
        <w:t xml:space="preserve"> (yes/no)</w:t>
      </w:r>
    </w:p>
    <w:p w:rsidR="00232A32" w:rsidRDefault="00232A32" w:rsidP="00534D10">
      <w:pPr>
        <w:pStyle w:val="ListParagraph"/>
        <w:numPr>
          <w:ilvl w:val="0"/>
          <w:numId w:val="40"/>
        </w:numPr>
      </w:pPr>
      <w:r w:rsidRPr="002F443F">
        <w:t>Time since menopause</w:t>
      </w:r>
    </w:p>
    <w:p w:rsidR="00232A32" w:rsidRDefault="00232A32" w:rsidP="00534D10">
      <w:pPr>
        <w:pStyle w:val="ListParagraph"/>
        <w:numPr>
          <w:ilvl w:val="0"/>
          <w:numId w:val="40"/>
        </w:numPr>
      </w:pPr>
      <w:r>
        <w:t>BMD status: normal, osteopenia, osteoporosis (by T-score)</w:t>
      </w:r>
    </w:p>
    <w:p w:rsidR="00232A32" w:rsidRPr="002F443F" w:rsidRDefault="00232A32" w:rsidP="00534D10">
      <w:pPr>
        <w:pStyle w:val="ListParagraph"/>
        <w:numPr>
          <w:ilvl w:val="0"/>
          <w:numId w:val="40"/>
        </w:numPr>
      </w:pPr>
      <w:r>
        <w:t>Prior tamoxifen before aromatase inhibitor</w:t>
      </w:r>
    </w:p>
    <w:p w:rsidR="00232A32" w:rsidRDefault="00232A32" w:rsidP="00232A32">
      <w:pPr>
        <w:spacing w:after="0"/>
      </w:pPr>
    </w:p>
    <w:p w:rsidR="00486784" w:rsidRDefault="00232A32" w:rsidP="00232A32">
      <w:pPr>
        <w:spacing w:after="0"/>
      </w:pPr>
      <w:r>
        <w:t xml:space="preserve">Figures </w:t>
      </w:r>
      <w:r w:rsidR="00700BEE">
        <w:t>7</w:t>
      </w:r>
      <w:r>
        <w:t>-</w:t>
      </w:r>
      <w:r w:rsidR="00700BEE">
        <w:t>10</w:t>
      </w:r>
      <w:r>
        <w:t xml:space="preserve"> present the results of the study findings for </w:t>
      </w:r>
      <w:r w:rsidR="0057339A">
        <w:t xml:space="preserve">a </w:t>
      </w:r>
      <w:r>
        <w:t>% change in BMD lumbar spine and total hip.</w:t>
      </w:r>
      <w:r w:rsidR="005F1F44">
        <w:t xml:space="preserve"> </w:t>
      </w:r>
      <w:r w:rsidR="0057339A">
        <w:t xml:space="preserve">As shown in Figures </w:t>
      </w:r>
      <w:r w:rsidR="00700BEE">
        <w:t>7</w:t>
      </w:r>
      <w:r w:rsidR="0057339A">
        <w:t xml:space="preserve"> and </w:t>
      </w:r>
      <w:r w:rsidR="00700BEE">
        <w:t>8</w:t>
      </w:r>
      <w:r w:rsidR="0057339A">
        <w:t>, the treatment arms of upfront zoledronic acid, other bisphosphonates and denosumab consistently show positive % change in BMD measures while the placebo or other com</w:t>
      </w:r>
      <w:r w:rsidR="005F1F44">
        <w:t xml:space="preserve">parators show declines in BMD. </w:t>
      </w:r>
      <w:r w:rsidR="00486784">
        <w:t xml:space="preserve">Two exceptions were Safra and Hines where the placebo arms had positive change but </w:t>
      </w:r>
      <w:r w:rsidR="005F1F44">
        <w:t>were</w:t>
      </w:r>
      <w:r w:rsidR="00486784">
        <w:t xml:space="preserve"> lower than the intervention arms in BMD lumbar spine. </w:t>
      </w:r>
      <w:r w:rsidR="008752C9" w:rsidRPr="007652CB">
        <w:rPr>
          <w:lang w:val="en-GB"/>
        </w:rPr>
        <w:t>No clinical trials have directly compared</w:t>
      </w:r>
      <w:r w:rsidR="008752C9">
        <w:rPr>
          <w:lang w:val="en-GB"/>
        </w:rPr>
        <w:t xml:space="preserve"> </w:t>
      </w:r>
      <w:r w:rsidR="008752C9" w:rsidRPr="007652CB">
        <w:rPr>
          <w:lang w:val="en-GB"/>
        </w:rPr>
        <w:t>oral versus intravenous bisphosphonates in</w:t>
      </w:r>
      <w:r w:rsidR="008752C9">
        <w:rPr>
          <w:lang w:val="en-GB"/>
        </w:rPr>
        <w:t xml:space="preserve"> </w:t>
      </w:r>
      <w:r w:rsidR="008752C9" w:rsidRPr="007652CB">
        <w:rPr>
          <w:lang w:val="en-GB"/>
        </w:rPr>
        <w:t>this setting.</w:t>
      </w:r>
    </w:p>
    <w:p w:rsidR="00486784" w:rsidRDefault="00486784" w:rsidP="00232A32">
      <w:pPr>
        <w:spacing w:after="0"/>
      </w:pPr>
    </w:p>
    <w:p w:rsidR="00232A32" w:rsidRDefault="003E05D0" w:rsidP="00232A32">
      <w:pPr>
        <w:spacing w:after="0"/>
      </w:pPr>
      <w:r>
        <w:t xml:space="preserve">Although zoledronic acid studies dominated, collectively most studies with </w:t>
      </w:r>
      <w:r w:rsidR="0057339A">
        <w:t xml:space="preserve">the </w:t>
      </w:r>
      <w:r w:rsidR="00DD6169">
        <w:t xml:space="preserve">various </w:t>
      </w:r>
      <w:r w:rsidR="0057339A">
        <w:t>bone agents</w:t>
      </w:r>
      <w:r w:rsidR="00486784">
        <w:t xml:space="preserve"> </w:t>
      </w:r>
      <w:r>
        <w:t>had</w:t>
      </w:r>
      <w:r w:rsidR="00486784">
        <w:t xml:space="preserve"> between </w:t>
      </w:r>
      <w:r>
        <w:t>2-6</w:t>
      </w:r>
      <w:r w:rsidR="00486784">
        <w:t>% in BMD lumbar</w:t>
      </w:r>
      <w:r>
        <w:t xml:space="preserve"> spine and ~2% in total hip BMD. </w:t>
      </w:r>
      <w:r w:rsidR="0057339A">
        <w:t xml:space="preserve">The % change </w:t>
      </w:r>
      <w:r w:rsidR="00486784">
        <w:t xml:space="preserve">tended to </w:t>
      </w:r>
      <w:r w:rsidR="00D2612D">
        <w:t>be higher with longer follow-up</w:t>
      </w:r>
      <w:r w:rsidR="0057339A">
        <w:t xml:space="preserve"> as indicated by the 60 month studies </w:t>
      </w:r>
      <w:r w:rsidR="00D2612D">
        <w:t xml:space="preserve">which showed linear increases at each yearly follow-up </w:t>
      </w:r>
      <w:r w:rsidR="00DC4F15">
        <w:t>measurement</w:t>
      </w:r>
      <w:r>
        <w:t xml:space="preserve"> </w:t>
      </w:r>
      <w:r>
        <w:fldChar w:fldCharType="begin">
          <w:fldData xml:space="preserve">PEVuZE5vdGU+PENpdGU+PEF1dGhvcj5CcnVmc2t5PC9BdXRob3I+PFllYXI+MjAxMjwvWWVhcj48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</w:fldData>
        </w:fldChar>
      </w:r>
      <w:r>
        <w:instrText xml:space="preserve"> ADDIN EN.CITE </w:instrText>
      </w:r>
      <w:r>
        <w:fldChar w:fldCharType="begin">
          <w:fldData xml:space="preserve">PEVuZE5vdGU+PENpdGU+PEF1dGhvcj5CcnVmc2t5PC9BdXRob3I+PFllYXI+MjAxMjwvWWVhcj48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</w:fldData>
        </w:fldChar>
      </w:r>
      <w:r>
        <w:instrText xml:space="preserve"> ADDIN EN.CITE.DATA </w:instrText>
      </w:r>
      <w:r>
        <w:fldChar w:fldCharType="end"/>
      </w:r>
      <w:r>
        <w:fldChar w:fldCharType="separate"/>
      </w:r>
      <w:r>
        <w:rPr>
          <w:noProof/>
        </w:rPr>
        <w:t>(</w:t>
      </w:r>
      <w:hyperlink w:anchor="_ENREF_10" w:tooltip="Brufsky, 2012 #166" w:history="1">
        <w:r>
          <w:rPr>
            <w:noProof/>
          </w:rPr>
          <w:t>Brufsky, Harker et al. 2012</w:t>
        </w:r>
      </w:hyperlink>
      <w:r>
        <w:rPr>
          <w:noProof/>
        </w:rPr>
        <w:t xml:space="preserve">, </w:t>
      </w:r>
      <w:hyperlink w:anchor="_ENREF_36" w:tooltip="Llombart, 2012 #72" w:history="1">
        <w:r>
          <w:rPr>
            <w:noProof/>
          </w:rPr>
          <w:t>Llombart, Frassoldati et al. 2012</w:t>
        </w:r>
      </w:hyperlink>
      <w:r>
        <w:rPr>
          <w:noProof/>
        </w:rPr>
        <w:t>)</w:t>
      </w:r>
      <w:r>
        <w:fldChar w:fldCharType="end"/>
      </w:r>
      <w:r w:rsidRPr="00156EBE">
        <w:t>.</w:t>
      </w:r>
      <w:r w:rsidR="00D2612D">
        <w:t xml:space="preserve"> However, studies with shorter duration also showed similar % change as the 60 month studies and therefore no strong pattern emerged from these studies.</w:t>
      </w:r>
    </w:p>
    <w:p w:rsidR="00D2612D" w:rsidRDefault="00D2612D" w:rsidP="00232A32">
      <w:pPr>
        <w:spacing w:after="0"/>
      </w:pPr>
    </w:p>
    <w:p w:rsidR="000F450C" w:rsidRDefault="000F450C" w:rsidP="000F450C">
      <w:pPr>
        <w:spacing w:after="0"/>
      </w:pPr>
      <w:r>
        <w:t xml:space="preserve">Studies that stratified their analyses and provided results by ‘prior chemotherapy (yes/no)’, prior tamoxifen (yes/no)’or by BMD status showed no significant differences in % change in BMD </w:t>
      </w:r>
      <w:r>
        <w:fldChar w:fldCharType="begin">
          <w:fldData xml:space="preserve">PEVuZE5vdGU+PENpdGU+PEF1dGhvcj5CcnVmc2t5PC9BdXRob3I+PFllYXI+MjAxMjwvWWVhcj48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</w:fldData>
        </w:fldChar>
      </w:r>
      <w:r>
        <w:instrText xml:space="preserve"> ADDIN EN.CITE </w:instrText>
      </w:r>
      <w:r>
        <w:fldChar w:fldCharType="begin">
          <w:fldData xml:space="preserve">PEVuZE5vdGU+PENpdGU+PEF1dGhvcj5CcnVmc2t5PC9BdXRob3I+PFllYXI+MjAxMjwvWWVhcj48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</w:fldData>
        </w:fldChar>
      </w:r>
      <w:r>
        <w:instrText xml:space="preserve"> ADDIN EN.CITE.DATA </w:instrText>
      </w:r>
      <w:r>
        <w:fldChar w:fldCharType="end"/>
      </w:r>
      <w:r>
        <w:fldChar w:fldCharType="separate"/>
      </w:r>
      <w:r>
        <w:rPr>
          <w:noProof/>
        </w:rPr>
        <w:t>(</w:t>
      </w:r>
      <w:hyperlink w:anchor="_ENREF_10" w:tooltip="Brufsky, 2012 #166" w:history="1">
        <w:r>
          <w:rPr>
            <w:noProof/>
          </w:rPr>
          <w:t>Brufsky, Harker et al. 2012</w:t>
        </w:r>
      </w:hyperlink>
      <w:r>
        <w:rPr>
          <w:noProof/>
        </w:rPr>
        <w:t xml:space="preserve">, </w:t>
      </w:r>
      <w:hyperlink w:anchor="_ENREF_36" w:tooltip="Llombart, 2012 #72" w:history="1">
        <w:r>
          <w:rPr>
            <w:noProof/>
          </w:rPr>
          <w:t>Llombart, Frassoldati et al. 2012</w:t>
        </w:r>
      </w:hyperlink>
      <w:r>
        <w:rPr>
          <w:noProof/>
        </w:rPr>
        <w:t>)</w:t>
      </w:r>
      <w:r>
        <w:fldChar w:fldCharType="end"/>
      </w:r>
      <w:r w:rsidRPr="00156EBE">
        <w:t>.</w:t>
      </w:r>
    </w:p>
    <w:p w:rsidR="000F450C" w:rsidRDefault="000F450C" w:rsidP="000F450C">
      <w:pPr>
        <w:spacing w:after="0"/>
      </w:pPr>
    </w:p>
    <w:p w:rsidR="00D2612D" w:rsidRDefault="00D2612D" w:rsidP="00232A32">
      <w:pPr>
        <w:spacing w:after="0"/>
      </w:pPr>
      <w:r>
        <w:t xml:space="preserve">Rastelli </w:t>
      </w:r>
      <w:r w:rsidRPr="00D2612D">
        <w:rPr>
          <w:i/>
        </w:rPr>
        <w:t>et al.</w:t>
      </w:r>
      <w:r>
        <w:t xml:space="preserve"> (2011) was the only vitamin D study and involved a short 6 month duration. The % change in BMD measures were positive, small, and significant </w:t>
      </w:r>
      <w:r w:rsidR="00C41496">
        <w:t>in</w:t>
      </w:r>
      <w:r>
        <w:t xml:space="preserve"> those taking vitamin D treatment compared with small declines in the placebo arm. </w:t>
      </w:r>
    </w:p>
    <w:p w:rsidR="00D2612D" w:rsidRDefault="00D2612D" w:rsidP="00232A32">
      <w:pPr>
        <w:spacing w:after="0"/>
      </w:pPr>
    </w:p>
    <w:p w:rsidR="000F450C" w:rsidRDefault="000F450C" w:rsidP="000F450C">
      <w:pPr>
        <w:rPr>
          <w:b/>
          <w:bCs/>
        </w:rPr>
      </w:pPr>
      <w:r>
        <w:t>In the meta-analysis by Martyn St James (2009) of 15 exercise interventions for post-menopausal women, the authors found that i</w:t>
      </w:r>
      <w:r>
        <w:rPr>
          <w:shd w:val="clear" w:color="auto" w:fill="FFFFFF"/>
        </w:rPr>
        <w:t>mpact protocols that included jogging mixed with walking and stair climbing, and protocols that incorporated impact exercise with high-magnitude loading (resistance exercises), were effective at lumbar spine (weighted mean difference (random effects) 0.025 g/cm(2) 95% CI (0.004 to 0.046) and 0.016 g/cm(2) 95% CI (0.005 to 0.027); p = 0.02 and p = 0.005 respectively). However, study heterogeneity was evident (I</w:t>
      </w:r>
      <w:r w:rsidR="00C41496">
        <w:rPr>
          <w:shd w:val="clear" w:color="auto" w:fill="FFFFFF"/>
          <w:vertAlign w:val="superscript"/>
        </w:rPr>
        <w:t>2</w:t>
      </w:r>
      <w:r>
        <w:rPr>
          <w:shd w:val="clear" w:color="auto" w:fill="FFFFFF"/>
        </w:rPr>
        <w:t xml:space="preserve"> = 88% and I</w:t>
      </w:r>
      <w:r w:rsidR="00C41496" w:rsidRPr="00C41496">
        <w:rPr>
          <w:shd w:val="clear" w:color="auto" w:fill="FFFFFF"/>
          <w:vertAlign w:val="superscript"/>
        </w:rPr>
        <w:t>2</w:t>
      </w:r>
      <w:r>
        <w:rPr>
          <w:shd w:val="clear" w:color="auto" w:fill="FFFFFF"/>
        </w:rPr>
        <w:t xml:space="preserve"> = 73%, where I</w:t>
      </w:r>
      <w:r w:rsidR="00C41496">
        <w:rPr>
          <w:shd w:val="clear" w:color="auto" w:fill="FFFFFF"/>
          <w:vertAlign w:val="superscript"/>
        </w:rPr>
        <w:t>2</w:t>
      </w:r>
      <w:r>
        <w:rPr>
          <w:shd w:val="clear" w:color="auto" w:fill="FFFFFF"/>
        </w:rPr>
        <w:t xml:space="preserve"> measures the extent of inconsistency among the trials). Effects on femoral neck BMD following these types of protocols were also significant. High-impact only and odd-impact only protocols were ineffective in increasing BMD at any site.</w:t>
      </w:r>
    </w:p>
    <w:p w:rsidR="00F35939" w:rsidRDefault="00156EBE" w:rsidP="00B2159B">
      <w:pPr>
        <w:spacing w:after="0"/>
        <w:rPr>
          <w:b/>
        </w:rPr>
      </w:pPr>
      <w:r>
        <w:t>In the meta-analysis for BMD lumbar spine</w:t>
      </w:r>
      <w:r w:rsidR="000F450C">
        <w:t xml:space="preserve"> undertaken during this assessment</w:t>
      </w:r>
      <w:r>
        <w:t xml:space="preserve"> (Figure </w:t>
      </w:r>
      <w:r w:rsidR="00700BEE">
        <w:t>9</w:t>
      </w:r>
      <w:r>
        <w:t>), the standardised mean difference between the intervention and comparator arms were 1.</w:t>
      </w:r>
      <w:r w:rsidR="00F82324">
        <w:t>46</w:t>
      </w:r>
      <w:r>
        <w:t>% (95%CI: 1.</w:t>
      </w:r>
      <w:r w:rsidR="00F82324">
        <w:t>09</w:t>
      </w:r>
      <w:r>
        <w:t>%, 1.</w:t>
      </w:r>
      <w:r w:rsidR="00F82324">
        <w:t>83</w:t>
      </w:r>
      <w:r>
        <w:t>%). However, study heterogeneity was problematic and high at 93.</w:t>
      </w:r>
      <w:r w:rsidR="00F82324">
        <w:t>7</w:t>
      </w:r>
      <w:r>
        <w:t xml:space="preserve">%. Similarly, for BMD total hip (Figure </w:t>
      </w:r>
      <w:r w:rsidR="00700BEE">
        <w:t>10</w:t>
      </w:r>
      <w:r>
        <w:t>), the mean difference was 1.</w:t>
      </w:r>
      <w:r w:rsidR="00F82324">
        <w:t>48</w:t>
      </w:r>
      <w:r>
        <w:t>% (95%CI: 1.1</w:t>
      </w:r>
      <w:r w:rsidR="00F82324">
        <w:t>6</w:t>
      </w:r>
      <w:r>
        <w:t>%, 1.</w:t>
      </w:r>
      <w:r w:rsidR="00F82324">
        <w:t>81</w:t>
      </w:r>
      <w:r>
        <w:t xml:space="preserve">%) with high study heterogeneity of </w:t>
      </w:r>
      <w:r w:rsidR="00F82324">
        <w:t>90.0</w:t>
      </w:r>
      <w:r>
        <w:t>%.  No study dominated these results as they equally contributed to the final results (between 9-12%).</w:t>
      </w:r>
    </w:p>
    <w:p w:rsidR="002F443F" w:rsidRDefault="00200449" w:rsidP="00DC7184">
      <w:pPr>
        <w:pStyle w:val="Figures"/>
      </w:pPr>
      <w:bookmarkStart w:id="106" w:name="_Toc386112710"/>
      <w:r>
        <w:lastRenderedPageBreak/>
        <w:t>Figure</w:t>
      </w:r>
      <w:r w:rsidR="002F443F" w:rsidRPr="006339AA">
        <w:t xml:space="preserve"> </w:t>
      </w:r>
      <w:r w:rsidR="00700BEE">
        <w:t>7</w:t>
      </w:r>
      <w:r w:rsidR="002F443F" w:rsidRPr="006339AA">
        <w:t xml:space="preserve">: </w:t>
      </w:r>
      <w:r>
        <w:t xml:space="preserve">% change in BMD </w:t>
      </w:r>
      <w:r w:rsidRPr="005A4220">
        <w:rPr>
          <w:u w:val="single"/>
        </w:rPr>
        <w:t>lumber spine</w:t>
      </w:r>
      <w:r>
        <w:t xml:space="preserve"> </w:t>
      </w:r>
      <w:r w:rsidR="002F443F" w:rsidRPr="006339AA">
        <w:t xml:space="preserve">of studies on treatments for </w:t>
      </w:r>
      <w:r w:rsidR="002404CD">
        <w:t>AI</w:t>
      </w:r>
      <w:r w:rsidR="002F443F" w:rsidRPr="006339AA">
        <w:t>-associated bone loss</w:t>
      </w:r>
      <w:bookmarkEnd w:id="106"/>
      <w:r w:rsidR="002F443F" w:rsidRPr="006339AA">
        <w:t xml:space="preserve"> </w:t>
      </w:r>
    </w:p>
    <w:p w:rsidR="005A4220" w:rsidRPr="006339AA" w:rsidRDefault="005A4220" w:rsidP="002F443F">
      <w:pPr>
        <w:pStyle w:val="TableText"/>
        <w:ind w:left="567"/>
        <w:rPr>
          <w:b/>
        </w:rPr>
      </w:pPr>
    </w:p>
    <w:p w:rsidR="00F35939" w:rsidRDefault="004167E9" w:rsidP="005A4220">
      <w:pPr>
        <w:pStyle w:val="TableText"/>
        <w:rPr>
          <w:b/>
        </w:rPr>
      </w:pPr>
      <w:r>
        <w:rPr>
          <w:b/>
          <w:noProof/>
        </w:rPr>
        <w:drawing>
          <wp:inline distT="0" distB="0" distL="0" distR="0" wp14:anchorId="72907C84" wp14:editId="2C05D74E">
            <wp:extent cx="5835650" cy="3263900"/>
            <wp:effectExtent l="0" t="0" r="0" b="0"/>
            <wp:docPr id="4" name="Picture 4" title="Fig 7 % change in BMD lumbar spine in AI and bone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35650" cy="3263900"/>
                    </a:xfrm>
                    <a:prstGeom prst="rect">
                      <a:avLst/>
                    </a:prstGeom>
                    <a:noFill/>
                    <a:ln>
                      <a:noFill/>
                    </a:ln>
                  </pic:spPr>
                </pic:pic>
              </a:graphicData>
            </a:graphic>
          </wp:inline>
        </w:drawing>
      </w:r>
    </w:p>
    <w:p w:rsidR="005A4220" w:rsidRDefault="005A4220" w:rsidP="00200449">
      <w:pPr>
        <w:pStyle w:val="TableText"/>
        <w:ind w:left="567"/>
        <w:rPr>
          <w:b/>
        </w:rPr>
      </w:pPr>
    </w:p>
    <w:p w:rsidR="005A4220" w:rsidRDefault="005A4220" w:rsidP="00B2159B">
      <w:pPr>
        <w:pStyle w:val="TableText"/>
        <w:spacing w:after="480"/>
        <w:ind w:left="567"/>
        <w:rPr>
          <w:b/>
        </w:rPr>
      </w:pPr>
      <w:r w:rsidRPr="00DF4768">
        <w:t xml:space="preserve">NB: Control group for Bruksky, Coleman, Llombart, Hines and Takahashi is ‘delayed </w:t>
      </w:r>
      <w:r w:rsidR="006232A4" w:rsidRPr="002404CD">
        <w:t>zoledronic</w:t>
      </w:r>
      <w:r w:rsidRPr="00DF4768">
        <w:t xml:space="preserve"> acid’ not placebo.</w:t>
      </w:r>
      <w:r w:rsidR="00B2159B">
        <w:rPr>
          <w:b/>
        </w:rPr>
        <w:t xml:space="preserve"> </w:t>
      </w:r>
    </w:p>
    <w:p w:rsidR="00200449" w:rsidRDefault="00200449" w:rsidP="00DC7184">
      <w:pPr>
        <w:pStyle w:val="Figures"/>
      </w:pPr>
      <w:bookmarkStart w:id="107" w:name="_Toc386112711"/>
      <w:r>
        <w:t>Figure</w:t>
      </w:r>
      <w:r w:rsidRPr="006339AA">
        <w:t xml:space="preserve"> </w:t>
      </w:r>
      <w:r w:rsidR="00700BEE">
        <w:t>8</w:t>
      </w:r>
      <w:r w:rsidRPr="006339AA">
        <w:t xml:space="preserve">: </w:t>
      </w:r>
      <w:r>
        <w:t xml:space="preserve">% change in BMD total hip </w:t>
      </w:r>
      <w:r w:rsidRPr="006339AA">
        <w:t xml:space="preserve">of studies on treatments for </w:t>
      </w:r>
      <w:r w:rsidR="002404CD">
        <w:t>AI</w:t>
      </w:r>
      <w:r w:rsidRPr="006339AA">
        <w:t>-associated bone loss</w:t>
      </w:r>
      <w:bookmarkEnd w:id="107"/>
      <w:r w:rsidRPr="006339AA">
        <w:t xml:space="preserve"> </w:t>
      </w:r>
    </w:p>
    <w:p w:rsidR="00DF4768" w:rsidRPr="006339AA" w:rsidRDefault="003E05D0" w:rsidP="00D316A8">
      <w:pPr>
        <w:pStyle w:val="TableText"/>
        <w:ind w:left="153"/>
        <w:rPr>
          <w:b/>
        </w:rPr>
      </w:pPr>
      <w:r>
        <w:rPr>
          <w:b/>
          <w:noProof/>
        </w:rPr>
        <w:drawing>
          <wp:inline distT="0" distB="0" distL="0" distR="0" wp14:anchorId="77218ED8" wp14:editId="5D71E78F">
            <wp:extent cx="5834380" cy="3309620"/>
            <wp:effectExtent l="0" t="0" r="0" b="5080"/>
            <wp:docPr id="13" name="Picture 13" title="Fig 8 % change in BMD total hip in AI and bone trea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34380" cy="3309620"/>
                    </a:xfrm>
                    <a:prstGeom prst="rect">
                      <a:avLst/>
                    </a:prstGeom>
                    <a:noFill/>
                    <a:ln>
                      <a:noFill/>
                    </a:ln>
                  </pic:spPr>
                </pic:pic>
              </a:graphicData>
            </a:graphic>
          </wp:inline>
        </w:drawing>
      </w:r>
    </w:p>
    <w:p w:rsidR="00E57DE4" w:rsidRDefault="00DF4768" w:rsidP="00B2159B">
      <w:pPr>
        <w:pStyle w:val="TableText"/>
        <w:spacing w:after="1560"/>
        <w:ind w:left="567"/>
      </w:pPr>
      <w:r w:rsidRPr="00DF4768">
        <w:t xml:space="preserve">NB: Control group for Bruksky, Coleman, Llombart, Hines and Takahashi is ‘delayed </w:t>
      </w:r>
      <w:r w:rsidR="006232A4">
        <w:t>zoledronic</w:t>
      </w:r>
      <w:r w:rsidRPr="00DF4768">
        <w:t xml:space="preserve"> acid’ not placebo.</w:t>
      </w:r>
      <w:r w:rsidR="00B2159B">
        <w:t xml:space="preserve"> </w:t>
      </w:r>
    </w:p>
    <w:p w:rsidR="00C314B8" w:rsidRDefault="00C314B8" w:rsidP="00F82324">
      <w:pPr>
        <w:pStyle w:val="Figures"/>
        <w:ind w:left="720"/>
      </w:pPr>
      <w:bookmarkStart w:id="108" w:name="_Toc386112712"/>
      <w:r>
        <w:lastRenderedPageBreak/>
        <w:t xml:space="preserve">Figure </w:t>
      </w:r>
      <w:r w:rsidR="00700BEE">
        <w:t>9</w:t>
      </w:r>
      <w:r>
        <w:t xml:space="preserve">: </w:t>
      </w:r>
      <w:r w:rsidR="00F523DA">
        <w:t>Funnel plot of standardized mean difference in %BMD (</w:t>
      </w:r>
      <w:r>
        <w:t xml:space="preserve">Lumbar </w:t>
      </w:r>
      <w:r w:rsidR="00F523DA">
        <w:t>s</w:t>
      </w:r>
      <w:r>
        <w:t>pine</w:t>
      </w:r>
      <w:r w:rsidR="00F523DA">
        <w:t>)</w:t>
      </w:r>
      <w:bookmarkEnd w:id="108"/>
      <w:r w:rsidR="00F523DA">
        <w:t xml:space="preserve">  </w:t>
      </w:r>
    </w:p>
    <w:p w:rsidR="00F82324" w:rsidRDefault="00F82324" w:rsidP="00F82324">
      <w:pPr>
        <w:pStyle w:val="Figures"/>
        <w:ind w:left="720"/>
      </w:pPr>
      <w:r>
        <w:rPr>
          <w:noProof/>
        </w:rPr>
        <w:drawing>
          <wp:inline distT="0" distB="0" distL="0" distR="0" wp14:anchorId="75CD32C9" wp14:editId="5C22410E">
            <wp:extent cx="5558726" cy="3623941"/>
            <wp:effectExtent l="0" t="0" r="4445" b="0"/>
            <wp:docPr id="11" name="Picture 11" title="Fig 9 Funnel plot of mean difference %BMD lumbar sp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BEBA8EAE-BF5A-486C-A8C5-ECC9F3942E4B}">
                          <a14:imgProps xmlns:a14="http://schemas.microsoft.com/office/drawing/2010/main">
                            <a14:imgLayer r:embed="rId53">
                              <a14:imgEffect>
                                <a14:sharpenSoften amount="11000"/>
                              </a14:imgEffect>
                            </a14:imgLayer>
                          </a14:imgProps>
                        </a:ext>
                        <a:ext uri="{28A0092B-C50C-407E-A947-70E740481C1C}">
                          <a14:useLocalDpi xmlns:a14="http://schemas.microsoft.com/office/drawing/2010/main" val="0"/>
                        </a:ext>
                      </a:extLst>
                    </a:blip>
                    <a:srcRect/>
                    <a:stretch>
                      <a:fillRect/>
                    </a:stretch>
                  </pic:blipFill>
                  <pic:spPr bwMode="auto">
                    <a:xfrm>
                      <a:off x="0" y="0"/>
                      <a:ext cx="5559010" cy="3624126"/>
                    </a:xfrm>
                    <a:prstGeom prst="rect">
                      <a:avLst/>
                    </a:prstGeom>
                    <a:noFill/>
                    <a:ln>
                      <a:noFill/>
                    </a:ln>
                  </pic:spPr>
                </pic:pic>
              </a:graphicData>
            </a:graphic>
          </wp:inline>
        </w:drawing>
      </w:r>
      <w:bookmarkStart w:id="109" w:name="_Toc386112713"/>
    </w:p>
    <w:p w:rsidR="00F82324" w:rsidRDefault="00F82324" w:rsidP="00F82324">
      <w:pPr>
        <w:pStyle w:val="Figures"/>
        <w:ind w:left="720"/>
      </w:pPr>
    </w:p>
    <w:p w:rsidR="00F82324" w:rsidRDefault="00F82324" w:rsidP="00F82324">
      <w:pPr>
        <w:pStyle w:val="Figures"/>
        <w:ind w:left="720"/>
      </w:pPr>
    </w:p>
    <w:p w:rsidR="00F523DA" w:rsidRDefault="00F523DA" w:rsidP="00F82324">
      <w:pPr>
        <w:pStyle w:val="Figures"/>
        <w:ind w:left="720"/>
      </w:pPr>
      <w:r>
        <w:t xml:space="preserve">Figure </w:t>
      </w:r>
      <w:r w:rsidR="00700BEE">
        <w:t>10</w:t>
      </w:r>
      <w:r>
        <w:t>: Funnel plot of standardized mean difference in %BMD (Total hip)</w:t>
      </w:r>
      <w:bookmarkEnd w:id="109"/>
      <w:r>
        <w:t xml:space="preserve">  </w:t>
      </w:r>
    </w:p>
    <w:p w:rsidR="00C314B8" w:rsidRDefault="00F82324" w:rsidP="00C314B8">
      <w:pPr>
        <w:ind w:left="0"/>
      </w:pPr>
      <w:r>
        <w:rPr>
          <w:noProof/>
        </w:rPr>
        <w:drawing>
          <wp:inline distT="0" distB="0" distL="0" distR="0" wp14:anchorId="29268F7A" wp14:editId="475B098C">
            <wp:extent cx="5834380" cy="3702685"/>
            <wp:effectExtent l="0" t="0" r="0" b="0"/>
            <wp:docPr id="14" name="Picture 14" title="Fig 10 Funnel plot of mean diff in %BMD total 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34380" cy="3702685"/>
                    </a:xfrm>
                    <a:prstGeom prst="rect">
                      <a:avLst/>
                    </a:prstGeom>
                    <a:noFill/>
                    <a:ln>
                      <a:noFill/>
                    </a:ln>
                  </pic:spPr>
                </pic:pic>
              </a:graphicData>
            </a:graphic>
          </wp:inline>
        </w:drawing>
      </w:r>
    </w:p>
    <w:p w:rsidR="00F82324" w:rsidRDefault="00F82324" w:rsidP="000F23BC">
      <w:pPr>
        <w:pStyle w:val="Heading4"/>
      </w:pPr>
    </w:p>
    <w:p w:rsidR="00F82324" w:rsidRDefault="00F82324" w:rsidP="000F23BC">
      <w:pPr>
        <w:pStyle w:val="Heading4"/>
      </w:pPr>
    </w:p>
    <w:p w:rsidR="000F23BC" w:rsidRDefault="000F23BC" w:rsidP="000F23BC">
      <w:pPr>
        <w:pStyle w:val="Heading4"/>
      </w:pPr>
      <w:r>
        <w:lastRenderedPageBreak/>
        <w:t>Evidence for fracture prevention</w:t>
      </w:r>
    </w:p>
    <w:p w:rsidR="000F23BC" w:rsidRDefault="000F23BC" w:rsidP="00486EC9">
      <w:pPr>
        <w:ind w:left="737"/>
      </w:pPr>
      <w:r>
        <w:t>Most studies</w:t>
      </w:r>
      <w:r w:rsidRPr="000F23BC">
        <w:t xml:space="preserve"> </w:t>
      </w:r>
      <w:r>
        <w:t>in this assessment, including the large Z-FAST, ZO-FA</w:t>
      </w:r>
      <w:r w:rsidR="00C41496">
        <w:t>ST and E-ZO-FAST studies with 5-</w:t>
      </w:r>
      <w:r>
        <w:t xml:space="preserve">year follow-ups, were not powered to detect </w:t>
      </w:r>
      <w:r w:rsidR="00F35939">
        <w:t xml:space="preserve">bone </w:t>
      </w:r>
      <w:r w:rsidR="00C41496">
        <w:t xml:space="preserve">fractures as their endpoints. </w:t>
      </w:r>
      <w:r>
        <w:t>Nevertheless</w:t>
      </w:r>
      <w:r w:rsidR="00F35939">
        <w:t xml:space="preserve">, many did report fracture rates and </w:t>
      </w:r>
      <w:r w:rsidR="00273D65">
        <w:t>six</w:t>
      </w:r>
      <w:r w:rsidR="00F35939">
        <w:t xml:space="preserve"> studies reported no fractures in either treatment arms (Table </w:t>
      </w:r>
      <w:r w:rsidR="00232A32">
        <w:t>19</w:t>
      </w:r>
      <w:r w:rsidR="00F35939">
        <w:t xml:space="preserve">). </w:t>
      </w:r>
    </w:p>
    <w:p w:rsidR="00F35939" w:rsidRPr="00DC7184" w:rsidRDefault="00F35939" w:rsidP="00DC7184">
      <w:pPr>
        <w:pStyle w:val="TableName"/>
      </w:pPr>
      <w:bookmarkStart w:id="110" w:name="_Toc386112688"/>
      <w:r w:rsidRPr="001D03CD">
        <w:t xml:space="preserve">Table </w:t>
      </w:r>
      <w:r w:rsidR="00232A32" w:rsidRPr="001D03CD">
        <w:t>19</w:t>
      </w:r>
      <w:r w:rsidRPr="001D03CD">
        <w:t xml:space="preserve">: Summary of key results </w:t>
      </w:r>
      <w:r w:rsidR="004B4974" w:rsidRPr="004B4974">
        <w:t>%change (95%CI or SD)</w:t>
      </w:r>
      <w:r w:rsidR="004B4974">
        <w:rPr>
          <w:b w:val="0"/>
        </w:rPr>
        <w:t xml:space="preserve"> </w:t>
      </w:r>
      <w:r w:rsidRPr="001D03CD">
        <w:t>and quality of studies</w:t>
      </w:r>
      <w:bookmarkEnd w:id="110"/>
      <w:r w:rsidR="004167E9">
        <w:rPr>
          <w:vertAlign w:val="superscript"/>
        </w:rPr>
        <w:t>1</w:t>
      </w:r>
      <w:r w:rsidRPr="00DC7184">
        <w:t xml:space="preserve"> </w:t>
      </w:r>
    </w:p>
    <w:tbl>
      <w:tblPr>
        <w:tblStyle w:val="TableGrid"/>
        <w:tblW w:w="5111" w:type="pct"/>
        <w:tblInd w:w="567" w:type="dxa"/>
        <w:tblCellMar>
          <w:left w:w="57" w:type="dxa"/>
          <w:right w:w="0" w:type="dxa"/>
        </w:tblCellMar>
        <w:tblLook w:val="04A0" w:firstRow="1" w:lastRow="0" w:firstColumn="1" w:lastColumn="0" w:noHBand="0" w:noVBand="1"/>
        <w:tblCaption w:val="Table 19 Summary of key results and quality of studies"/>
      </w:tblPr>
      <w:tblGrid>
        <w:gridCol w:w="1217"/>
        <w:gridCol w:w="2406"/>
        <w:gridCol w:w="2493"/>
        <w:gridCol w:w="1652"/>
        <w:gridCol w:w="1691"/>
      </w:tblGrid>
      <w:tr w:rsidR="00486EC9" w:rsidRPr="00486EC9" w:rsidTr="004B4974">
        <w:trPr>
          <w:tblHeader/>
        </w:trPr>
        <w:tc>
          <w:tcPr>
            <w:tcW w:w="643" w:type="pct"/>
          </w:tcPr>
          <w:p w:rsidR="0065558B" w:rsidRPr="00486EC9" w:rsidRDefault="004B4974" w:rsidP="00486EC9">
            <w:pPr>
              <w:pStyle w:val="TableText"/>
              <w:rPr>
                <w:b/>
              </w:rPr>
            </w:pPr>
            <w:r>
              <w:rPr>
                <w:b/>
              </w:rPr>
              <w:t>Study</w:t>
            </w:r>
          </w:p>
        </w:tc>
        <w:tc>
          <w:tcPr>
            <w:tcW w:w="1272" w:type="pct"/>
          </w:tcPr>
          <w:p w:rsidR="0065558B" w:rsidRPr="00486EC9" w:rsidRDefault="0065558B" w:rsidP="00486EC9">
            <w:pPr>
              <w:pStyle w:val="TableText"/>
              <w:rPr>
                <w:b/>
              </w:rPr>
            </w:pPr>
            <w:r w:rsidRPr="00486EC9">
              <w:rPr>
                <w:b/>
              </w:rPr>
              <w:t>BMD -Total hip</w:t>
            </w:r>
          </w:p>
        </w:tc>
        <w:tc>
          <w:tcPr>
            <w:tcW w:w="1318" w:type="pct"/>
          </w:tcPr>
          <w:p w:rsidR="0065558B" w:rsidRPr="00486EC9" w:rsidRDefault="0065558B" w:rsidP="00486EC9">
            <w:pPr>
              <w:pStyle w:val="TableText"/>
              <w:rPr>
                <w:b/>
              </w:rPr>
            </w:pPr>
            <w:r w:rsidRPr="00486EC9">
              <w:rPr>
                <w:b/>
              </w:rPr>
              <w:t>BMD -Lumbar Spine</w:t>
            </w:r>
          </w:p>
        </w:tc>
        <w:tc>
          <w:tcPr>
            <w:tcW w:w="873" w:type="pct"/>
          </w:tcPr>
          <w:p w:rsidR="0065558B" w:rsidRPr="00486EC9" w:rsidRDefault="0065558B" w:rsidP="00486EC9">
            <w:pPr>
              <w:pStyle w:val="TableText"/>
              <w:rPr>
                <w:b/>
              </w:rPr>
            </w:pPr>
            <w:r w:rsidRPr="00486EC9">
              <w:rPr>
                <w:b/>
              </w:rPr>
              <w:t>Fractures</w:t>
            </w:r>
          </w:p>
        </w:tc>
        <w:tc>
          <w:tcPr>
            <w:tcW w:w="894" w:type="pct"/>
          </w:tcPr>
          <w:p w:rsidR="0065558B" w:rsidRPr="00486EC9" w:rsidRDefault="004B4974" w:rsidP="00486EC9">
            <w:pPr>
              <w:pStyle w:val="TableText"/>
              <w:rPr>
                <w:b/>
              </w:rPr>
            </w:pPr>
            <w:r w:rsidRPr="00486EC9">
              <w:rPr>
                <w:b/>
              </w:rPr>
              <w:t>Quality Assessment</w:t>
            </w:r>
          </w:p>
        </w:tc>
      </w:tr>
      <w:tr w:rsidR="00486EC9" w:rsidRPr="0080730E" w:rsidTr="004B4974">
        <w:trPr>
          <w:tblHeader/>
        </w:trPr>
        <w:tc>
          <w:tcPr>
            <w:tcW w:w="643" w:type="pct"/>
          </w:tcPr>
          <w:p w:rsidR="0065558B" w:rsidRDefault="0065558B" w:rsidP="00486EC9">
            <w:pPr>
              <w:pStyle w:val="TableText"/>
            </w:pPr>
            <w:r>
              <w:t xml:space="preserve">Brufsky 2012 </w:t>
            </w:r>
          </w:p>
          <w:p w:rsidR="00AC6A13" w:rsidRPr="0080730E" w:rsidRDefault="00AC6A13" w:rsidP="00486EC9">
            <w:pPr>
              <w:pStyle w:val="TableText"/>
            </w:pPr>
          </w:p>
        </w:tc>
        <w:tc>
          <w:tcPr>
            <w:tcW w:w="1272" w:type="pct"/>
          </w:tcPr>
          <w:p w:rsidR="008068E8" w:rsidRPr="0080730E" w:rsidRDefault="00AC6A13" w:rsidP="00AC6A13">
            <w:pPr>
              <w:pStyle w:val="TableText"/>
            </w:pPr>
            <w:r>
              <w:t>MD</w:t>
            </w:r>
            <w:r w:rsidR="0065558B">
              <w:t>: +6.7</w:t>
            </w:r>
            <w:r w:rsidR="008068E8">
              <w:t>, 2.</w:t>
            </w:r>
            <w:r>
              <w:t>6%±4.9 (upfront),-4.1% ±6.1</w:t>
            </w:r>
            <w:r w:rsidR="008068E8">
              <w:t xml:space="preserve"> (delayed)</w:t>
            </w:r>
          </w:p>
        </w:tc>
        <w:tc>
          <w:tcPr>
            <w:tcW w:w="1318" w:type="pct"/>
          </w:tcPr>
          <w:p w:rsidR="0065558B" w:rsidRPr="0080730E" w:rsidRDefault="00AC6A13" w:rsidP="00AC6A13">
            <w:pPr>
              <w:pStyle w:val="TableText"/>
            </w:pPr>
            <w:r>
              <w:t>MD</w:t>
            </w:r>
            <w:r w:rsidR="0065558B">
              <w:t>: +8.9% (7.4-8.0)</w:t>
            </w:r>
            <w:r w:rsidR="008068E8">
              <w:t>, 6.</w:t>
            </w:r>
            <w:r>
              <w:t>2%</w:t>
            </w:r>
            <w:r w:rsidR="008068E8">
              <w:t>±5.97 (upfront),-2.4</w:t>
            </w:r>
            <w:r>
              <w:t>%</w:t>
            </w:r>
            <w:r w:rsidR="008068E8">
              <w:t>±7.45 (delayed)</w:t>
            </w:r>
          </w:p>
        </w:tc>
        <w:tc>
          <w:tcPr>
            <w:tcW w:w="873" w:type="pct"/>
          </w:tcPr>
          <w:p w:rsidR="0065558B" w:rsidRDefault="0065558B" w:rsidP="00486EC9">
            <w:pPr>
              <w:pStyle w:val="TableText"/>
            </w:pPr>
            <w:r>
              <w:t xml:space="preserve">28 (9.3%) upfront </w:t>
            </w:r>
          </w:p>
          <w:p w:rsidR="0065558B" w:rsidRPr="0080730E" w:rsidRDefault="0065558B" w:rsidP="00486EC9">
            <w:pPr>
              <w:pStyle w:val="TableText"/>
            </w:pPr>
            <w:r>
              <w:t>33</w:t>
            </w:r>
            <w:r w:rsidR="00A3703E">
              <w:t xml:space="preserve"> </w:t>
            </w:r>
            <w:r>
              <w:t>(11%) p=0.380</w:t>
            </w:r>
          </w:p>
        </w:tc>
        <w:tc>
          <w:tcPr>
            <w:tcW w:w="894" w:type="pct"/>
          </w:tcPr>
          <w:p w:rsidR="0065558B" w:rsidRDefault="0065558B" w:rsidP="00486EC9">
            <w:pPr>
              <w:pStyle w:val="TableText"/>
            </w:pPr>
            <w:r>
              <w:t>NHMRC Level II</w:t>
            </w:r>
          </w:p>
          <w:p w:rsidR="0065558B" w:rsidRDefault="00486EC9" w:rsidP="00486EC9">
            <w:pPr>
              <w:pStyle w:val="TableText"/>
            </w:pPr>
            <w:r>
              <w:t xml:space="preserve">C1, P1, </w:t>
            </w:r>
            <w:r w:rsidR="0065558B">
              <w:t xml:space="preserve">Q2 </w:t>
            </w:r>
            <w:r>
              <w:t xml:space="preserve"> Medium</w:t>
            </w:r>
          </w:p>
        </w:tc>
      </w:tr>
      <w:tr w:rsidR="00486EC9" w:rsidRPr="0080730E" w:rsidTr="004B4974">
        <w:trPr>
          <w:tblHeader/>
        </w:trPr>
        <w:tc>
          <w:tcPr>
            <w:tcW w:w="643" w:type="pct"/>
          </w:tcPr>
          <w:p w:rsidR="0065558B" w:rsidRDefault="0065558B" w:rsidP="00486EC9">
            <w:pPr>
              <w:pStyle w:val="TableText"/>
            </w:pPr>
            <w:r>
              <w:t xml:space="preserve">Coleman 2013 </w:t>
            </w:r>
          </w:p>
          <w:p w:rsidR="00AC6A13" w:rsidRPr="0080730E" w:rsidRDefault="00AC6A13" w:rsidP="00486EC9">
            <w:pPr>
              <w:pStyle w:val="TableText"/>
            </w:pPr>
          </w:p>
        </w:tc>
        <w:tc>
          <w:tcPr>
            <w:tcW w:w="1272" w:type="pct"/>
          </w:tcPr>
          <w:p w:rsidR="0065558B" w:rsidRDefault="0065558B" w:rsidP="00486EC9">
            <w:pPr>
              <w:pStyle w:val="TableText"/>
            </w:pPr>
            <w:r>
              <w:t>+1.6%</w:t>
            </w:r>
            <w:r w:rsidR="00AC6A13">
              <w:t xml:space="preserve"> </w:t>
            </w:r>
            <w:r w:rsidR="008068E8">
              <w:t>±3.7</w:t>
            </w:r>
            <w:r>
              <w:t xml:space="preserve"> (upfront)</w:t>
            </w:r>
          </w:p>
          <w:p w:rsidR="0065558B" w:rsidRPr="0080730E" w:rsidRDefault="00486EC9" w:rsidP="00AC6A13">
            <w:pPr>
              <w:pStyle w:val="TableText"/>
            </w:pPr>
            <w:r>
              <w:t>-4.2%</w:t>
            </w:r>
            <w:r w:rsidR="00AC6A13">
              <w:t xml:space="preserve"> </w:t>
            </w:r>
            <w:r w:rsidR="008068E8">
              <w:t>±6.0</w:t>
            </w:r>
            <w:r>
              <w:t xml:space="preserve"> (delayed)*</w:t>
            </w:r>
          </w:p>
        </w:tc>
        <w:tc>
          <w:tcPr>
            <w:tcW w:w="1318" w:type="pct"/>
          </w:tcPr>
          <w:p w:rsidR="0065558B" w:rsidRDefault="0065558B" w:rsidP="00486EC9">
            <w:pPr>
              <w:pStyle w:val="TableText"/>
            </w:pPr>
            <w:r>
              <w:t>+4.3%</w:t>
            </w:r>
            <w:r w:rsidR="004167E9">
              <w:t xml:space="preserve"> </w:t>
            </w:r>
            <w:r w:rsidR="008068E8">
              <w:t>±6.0</w:t>
            </w:r>
            <w:r>
              <w:t xml:space="preserve"> (upfront)</w:t>
            </w:r>
          </w:p>
          <w:p w:rsidR="0065558B" w:rsidRPr="0080730E" w:rsidRDefault="00486EC9" w:rsidP="00AC6A13">
            <w:pPr>
              <w:pStyle w:val="TableText"/>
            </w:pPr>
            <w:r>
              <w:t>-5.4%</w:t>
            </w:r>
            <w:r w:rsidR="004167E9">
              <w:t xml:space="preserve"> </w:t>
            </w:r>
            <w:r w:rsidR="008068E8">
              <w:t>±7.6</w:t>
            </w:r>
            <w:r>
              <w:t xml:space="preserve"> (delayed)*</w:t>
            </w:r>
          </w:p>
        </w:tc>
        <w:tc>
          <w:tcPr>
            <w:tcW w:w="873" w:type="pct"/>
          </w:tcPr>
          <w:p w:rsidR="0065558B" w:rsidRPr="0080730E" w:rsidRDefault="008068E8" w:rsidP="00486EC9">
            <w:pPr>
              <w:pStyle w:val="TableText"/>
            </w:pPr>
            <w:r>
              <w:t>0.6% upfront, 1.5% delayed</w:t>
            </w:r>
          </w:p>
        </w:tc>
        <w:tc>
          <w:tcPr>
            <w:tcW w:w="894" w:type="pct"/>
          </w:tcPr>
          <w:p w:rsidR="00486EC9" w:rsidRDefault="00486EC9" w:rsidP="00486EC9">
            <w:pPr>
              <w:pStyle w:val="TableText"/>
            </w:pPr>
            <w:r>
              <w:t>NHMRC Level II</w:t>
            </w:r>
          </w:p>
          <w:p w:rsidR="0065558B" w:rsidRDefault="00486EC9" w:rsidP="00486EC9">
            <w:pPr>
              <w:pStyle w:val="TableText"/>
            </w:pPr>
            <w:r>
              <w:t>C1, P1, Q2  Medium</w:t>
            </w:r>
          </w:p>
        </w:tc>
      </w:tr>
      <w:tr w:rsidR="00486EC9" w:rsidRPr="0080730E" w:rsidTr="004B4974">
        <w:trPr>
          <w:tblHeader/>
        </w:trPr>
        <w:tc>
          <w:tcPr>
            <w:tcW w:w="643" w:type="pct"/>
          </w:tcPr>
          <w:p w:rsidR="0065558B" w:rsidRDefault="0065558B" w:rsidP="00486EC9">
            <w:pPr>
              <w:pStyle w:val="TableText"/>
            </w:pPr>
            <w:r w:rsidRPr="0080730E">
              <w:t>Llombart 2012</w:t>
            </w:r>
          </w:p>
          <w:p w:rsidR="00AC6A13" w:rsidRPr="0080730E" w:rsidRDefault="00AC6A13" w:rsidP="00486EC9">
            <w:pPr>
              <w:pStyle w:val="TableText"/>
            </w:pPr>
          </w:p>
        </w:tc>
        <w:tc>
          <w:tcPr>
            <w:tcW w:w="1272" w:type="pct"/>
          </w:tcPr>
          <w:p w:rsidR="008068E8" w:rsidRPr="0080730E" w:rsidRDefault="00AC6A13" w:rsidP="008068E8">
            <w:pPr>
              <w:pStyle w:val="TableText"/>
            </w:pPr>
            <w:r>
              <w:t>+2.8% ±3.8</w:t>
            </w:r>
            <w:r w:rsidR="008068E8" w:rsidRPr="0080730E">
              <w:t xml:space="preserve"> (</w:t>
            </w:r>
            <w:r w:rsidR="008068E8">
              <w:t>upfront</w:t>
            </w:r>
            <w:r w:rsidR="008068E8" w:rsidRPr="0080730E">
              <w:t>)</w:t>
            </w:r>
          </w:p>
          <w:p w:rsidR="0065558B" w:rsidRPr="0080730E" w:rsidRDefault="008068E8" w:rsidP="00486EC9">
            <w:pPr>
              <w:pStyle w:val="TableText"/>
            </w:pPr>
            <w:r w:rsidRPr="0080730E">
              <w:t>-</w:t>
            </w:r>
            <w:r w:rsidR="00AC6A13">
              <w:t>4.0% ±5.1</w:t>
            </w:r>
            <w:r w:rsidRPr="0080730E">
              <w:t xml:space="preserve"> (delayed)</w:t>
            </w:r>
            <w:r>
              <w:t>*</w:t>
            </w:r>
          </w:p>
        </w:tc>
        <w:tc>
          <w:tcPr>
            <w:tcW w:w="1318" w:type="pct"/>
          </w:tcPr>
          <w:p w:rsidR="008068E8" w:rsidRDefault="00AC6A13" w:rsidP="008068E8">
            <w:pPr>
              <w:pStyle w:val="TableText"/>
            </w:pPr>
            <w:r>
              <w:t>+6.0%</w:t>
            </w:r>
            <w:r w:rsidR="004167E9">
              <w:t xml:space="preserve"> </w:t>
            </w:r>
            <w:r>
              <w:t>±5.4</w:t>
            </w:r>
            <w:r w:rsidR="008068E8">
              <w:t xml:space="preserve"> (upfront)</w:t>
            </w:r>
            <w:r w:rsidR="008068E8" w:rsidRPr="0080730E">
              <w:t xml:space="preserve"> </w:t>
            </w:r>
          </w:p>
          <w:p w:rsidR="0065558B" w:rsidRPr="0080730E" w:rsidRDefault="008068E8" w:rsidP="00AC6A13">
            <w:pPr>
              <w:pStyle w:val="TableText"/>
            </w:pPr>
            <w:r>
              <w:t>-1.</w:t>
            </w:r>
            <w:r w:rsidR="00AC6A13">
              <w:t>6</w:t>
            </w:r>
            <w:r>
              <w:t>%</w:t>
            </w:r>
            <w:r w:rsidR="004167E9">
              <w:t xml:space="preserve"> </w:t>
            </w:r>
            <w:r>
              <w:t>±6.</w:t>
            </w:r>
            <w:r w:rsidR="00AC6A13">
              <w:t>2</w:t>
            </w:r>
            <w:r>
              <w:t xml:space="preserve"> (delayed)*</w:t>
            </w:r>
          </w:p>
        </w:tc>
        <w:tc>
          <w:tcPr>
            <w:tcW w:w="873" w:type="pct"/>
          </w:tcPr>
          <w:p w:rsidR="0065558B" w:rsidRDefault="004167E9" w:rsidP="00486EC9">
            <w:pPr>
              <w:pStyle w:val="TableText"/>
            </w:pPr>
            <w:r>
              <w:t>At</w:t>
            </w:r>
            <w:r w:rsidR="00AC6A13">
              <w:t xml:space="preserve"> 3 yrs; </w:t>
            </w:r>
            <w:r w:rsidR="0065558B">
              <w:t>2</w:t>
            </w:r>
            <w:r w:rsidR="008068E8">
              <w:t>.</w:t>
            </w:r>
            <w:r w:rsidR="006E638D">
              <w:t>4</w:t>
            </w:r>
            <w:r w:rsidR="008068E8">
              <w:t xml:space="preserve">% </w:t>
            </w:r>
            <w:r w:rsidR="0065558B">
              <w:t>(upfront)</w:t>
            </w:r>
          </w:p>
          <w:p w:rsidR="0065558B" w:rsidRPr="0080730E" w:rsidRDefault="008068E8" w:rsidP="00AC6A13">
            <w:pPr>
              <w:pStyle w:val="TableText"/>
            </w:pPr>
            <w:r>
              <w:t>3.3</w:t>
            </w:r>
            <w:r w:rsidR="0065558B">
              <w:t>% (delayed)</w:t>
            </w:r>
            <w:r>
              <w:t xml:space="preserve"> </w:t>
            </w:r>
          </w:p>
        </w:tc>
        <w:tc>
          <w:tcPr>
            <w:tcW w:w="894" w:type="pct"/>
          </w:tcPr>
          <w:p w:rsidR="00486EC9" w:rsidRDefault="00486EC9" w:rsidP="00486EC9">
            <w:pPr>
              <w:pStyle w:val="TableText"/>
            </w:pPr>
            <w:r>
              <w:t>NHMRC Level II</w:t>
            </w:r>
          </w:p>
          <w:p w:rsidR="0065558B" w:rsidRDefault="00486EC9" w:rsidP="00486EC9">
            <w:pPr>
              <w:pStyle w:val="TableText"/>
            </w:pPr>
            <w:r>
              <w:t>C1, P1, Q2  Medium</w:t>
            </w:r>
          </w:p>
        </w:tc>
      </w:tr>
      <w:tr w:rsidR="00486EC9" w:rsidRPr="0080730E" w:rsidTr="004B4974">
        <w:trPr>
          <w:tblHeader/>
        </w:trPr>
        <w:tc>
          <w:tcPr>
            <w:tcW w:w="643" w:type="pct"/>
          </w:tcPr>
          <w:p w:rsidR="0065558B" w:rsidRDefault="00486EC9" w:rsidP="00486EC9">
            <w:pPr>
              <w:pStyle w:val="TableText"/>
            </w:pPr>
            <w:r>
              <w:t>Takahashi 2012</w:t>
            </w:r>
          </w:p>
          <w:p w:rsidR="00AC6A13" w:rsidRDefault="00AC6A13" w:rsidP="00486EC9">
            <w:pPr>
              <w:pStyle w:val="TableText"/>
            </w:pPr>
          </w:p>
        </w:tc>
        <w:tc>
          <w:tcPr>
            <w:tcW w:w="1272" w:type="pct"/>
          </w:tcPr>
          <w:p w:rsidR="0065558B" w:rsidRDefault="0065558B" w:rsidP="00486EC9">
            <w:pPr>
              <w:pStyle w:val="TableText"/>
            </w:pPr>
            <w:r>
              <w:t>Delay: -2.4</w:t>
            </w:r>
            <w:r w:rsidR="00637F48">
              <w:t>%</w:t>
            </w:r>
            <w:r w:rsidR="00AC6A13">
              <w:t xml:space="preserve"> ±2.0%</w:t>
            </w:r>
          </w:p>
          <w:p w:rsidR="0065558B" w:rsidRDefault="0065558B" w:rsidP="00AC6A13">
            <w:pPr>
              <w:pStyle w:val="TableText"/>
            </w:pPr>
            <w:r>
              <w:t>Upfront: 4.4</w:t>
            </w:r>
            <w:r w:rsidR="00AC6A13">
              <w:t>%</w:t>
            </w:r>
            <w:r>
              <w:t>*</w:t>
            </w:r>
            <w:r w:rsidR="00AC6A13">
              <w:t>±</w:t>
            </w:r>
            <w:r w:rsidR="001D03CD">
              <w:t xml:space="preserve"> </w:t>
            </w:r>
            <w:r w:rsidR="00AC6A13">
              <w:t>5.5%</w:t>
            </w:r>
          </w:p>
        </w:tc>
        <w:tc>
          <w:tcPr>
            <w:tcW w:w="1318" w:type="pct"/>
          </w:tcPr>
          <w:p w:rsidR="0065558B" w:rsidRDefault="0065558B" w:rsidP="00486EC9">
            <w:pPr>
              <w:pStyle w:val="TableText"/>
            </w:pPr>
            <w:r>
              <w:t>Delay: -2.4</w:t>
            </w:r>
            <w:r w:rsidR="00AC6A13">
              <w:t xml:space="preserve"> ±2.0%</w:t>
            </w:r>
          </w:p>
          <w:p w:rsidR="0065558B" w:rsidRDefault="0065558B" w:rsidP="00AC6A13">
            <w:pPr>
              <w:pStyle w:val="TableText"/>
            </w:pPr>
            <w:r>
              <w:t>Upfront: 5.6</w:t>
            </w:r>
            <w:r w:rsidR="00AC6A13">
              <w:t>%</w:t>
            </w:r>
            <w:r>
              <w:t>*</w:t>
            </w:r>
            <w:r w:rsidR="00AC6A13">
              <w:t>± 5.0%</w:t>
            </w:r>
          </w:p>
        </w:tc>
        <w:tc>
          <w:tcPr>
            <w:tcW w:w="873" w:type="pct"/>
          </w:tcPr>
          <w:p w:rsidR="004D7CCF" w:rsidRDefault="004D7CCF" w:rsidP="004D7CCF">
            <w:pPr>
              <w:pStyle w:val="TableText"/>
            </w:pPr>
            <w:r>
              <w:t>1</w:t>
            </w:r>
            <w:r w:rsidR="001D03CD">
              <w:t>%</w:t>
            </w:r>
            <w:r>
              <w:t xml:space="preserve"> (1.0%) (upfront)</w:t>
            </w:r>
          </w:p>
          <w:p w:rsidR="0065558B" w:rsidRDefault="004D7CCF" w:rsidP="004D7CCF">
            <w:pPr>
              <w:pStyle w:val="TableText"/>
            </w:pPr>
            <w:r>
              <w:t>4</w:t>
            </w:r>
            <w:r w:rsidR="001D03CD">
              <w:t>%</w:t>
            </w:r>
            <w:r>
              <w:t xml:space="preserve"> (4.1%) (delayed)</w:t>
            </w:r>
          </w:p>
        </w:tc>
        <w:tc>
          <w:tcPr>
            <w:tcW w:w="894" w:type="pct"/>
          </w:tcPr>
          <w:p w:rsidR="00486EC9" w:rsidRDefault="00486EC9" w:rsidP="00486EC9">
            <w:pPr>
              <w:pStyle w:val="TableText"/>
            </w:pPr>
            <w:r>
              <w:t>NHMRC Level II</w:t>
            </w:r>
          </w:p>
          <w:p w:rsidR="0065558B" w:rsidRDefault="00486EC9" w:rsidP="00486EC9">
            <w:pPr>
              <w:pStyle w:val="TableText"/>
            </w:pPr>
            <w:r>
              <w:t>C1, P1, Q2  Medium</w:t>
            </w:r>
          </w:p>
        </w:tc>
      </w:tr>
      <w:tr w:rsidR="00486EC9" w:rsidRPr="0080730E" w:rsidTr="004B4974">
        <w:trPr>
          <w:tblHeader/>
        </w:trPr>
        <w:tc>
          <w:tcPr>
            <w:tcW w:w="643" w:type="pct"/>
          </w:tcPr>
          <w:p w:rsidR="0065558B" w:rsidRDefault="0065558B" w:rsidP="00486EC9">
            <w:pPr>
              <w:pStyle w:val="TableText"/>
            </w:pPr>
          </w:p>
          <w:p w:rsidR="0065558B" w:rsidRDefault="007E3565" w:rsidP="007E3565">
            <w:pPr>
              <w:pStyle w:val="TableText"/>
            </w:pPr>
            <w:r>
              <w:t xml:space="preserve">Nuzzo </w:t>
            </w:r>
            <w:r w:rsidR="00486EC9">
              <w:t xml:space="preserve">2012 </w:t>
            </w:r>
          </w:p>
        </w:tc>
        <w:tc>
          <w:tcPr>
            <w:tcW w:w="1272" w:type="pct"/>
          </w:tcPr>
          <w:p w:rsidR="0065558B" w:rsidRDefault="0065558B" w:rsidP="00486EC9">
            <w:pPr>
              <w:pStyle w:val="TableText"/>
            </w:pPr>
            <w:r>
              <w:t>NR</w:t>
            </w:r>
          </w:p>
        </w:tc>
        <w:tc>
          <w:tcPr>
            <w:tcW w:w="1318" w:type="pct"/>
          </w:tcPr>
          <w:p w:rsidR="0065558B" w:rsidRDefault="0065558B" w:rsidP="00486EC9">
            <w:pPr>
              <w:pStyle w:val="TableText"/>
            </w:pPr>
            <w:r>
              <w:t>Letrozole: -0.57</w:t>
            </w:r>
            <w:r w:rsidR="004167E9">
              <w:t>%</w:t>
            </w:r>
            <w:r>
              <w:t xml:space="preserve"> (0.66)</w:t>
            </w:r>
          </w:p>
          <w:p w:rsidR="0065558B" w:rsidRDefault="0065558B" w:rsidP="00486EC9">
            <w:pPr>
              <w:pStyle w:val="TableText"/>
            </w:pPr>
            <w:r>
              <w:t>Let</w:t>
            </w:r>
            <w:r w:rsidR="004167E9">
              <w:t>rozole</w:t>
            </w:r>
            <w:r>
              <w:t xml:space="preserve"> + Zol 0.02</w:t>
            </w:r>
            <w:r w:rsidR="004167E9">
              <w:t>%</w:t>
            </w:r>
            <w:r>
              <w:t xml:space="preserve"> (0.59)</w:t>
            </w:r>
          </w:p>
          <w:p w:rsidR="0065558B" w:rsidRDefault="004167E9" w:rsidP="00486EC9">
            <w:pPr>
              <w:pStyle w:val="TableText"/>
            </w:pPr>
            <w:r>
              <w:t xml:space="preserve">MD </w:t>
            </w:r>
            <w:r w:rsidR="0065558B">
              <w:t>0.60</w:t>
            </w:r>
            <w:r>
              <w:t>%</w:t>
            </w:r>
            <w:r w:rsidR="0065558B">
              <w:t xml:space="preserve"> (0.46, 0.77)*</w:t>
            </w:r>
          </w:p>
        </w:tc>
        <w:tc>
          <w:tcPr>
            <w:tcW w:w="873" w:type="pct"/>
          </w:tcPr>
          <w:p w:rsidR="0065558B" w:rsidRDefault="0065558B" w:rsidP="00486EC9">
            <w:pPr>
              <w:pStyle w:val="TableText"/>
            </w:pPr>
            <w:r>
              <w:t>Nil</w:t>
            </w:r>
          </w:p>
        </w:tc>
        <w:tc>
          <w:tcPr>
            <w:tcW w:w="894" w:type="pct"/>
          </w:tcPr>
          <w:p w:rsidR="00486EC9" w:rsidRDefault="00486EC9" w:rsidP="00486EC9">
            <w:pPr>
              <w:pStyle w:val="TableText"/>
            </w:pPr>
            <w:r>
              <w:t>NHMRC Level II</w:t>
            </w:r>
          </w:p>
          <w:p w:rsidR="0065558B" w:rsidRDefault="00486EC9" w:rsidP="00486EC9">
            <w:pPr>
              <w:pStyle w:val="TableText"/>
            </w:pPr>
            <w:r>
              <w:t>C1, P1, Q2  Medium</w:t>
            </w:r>
          </w:p>
        </w:tc>
      </w:tr>
      <w:tr w:rsidR="00486EC9" w:rsidRPr="0080730E" w:rsidTr="004B4974">
        <w:trPr>
          <w:tblHeader/>
        </w:trPr>
        <w:tc>
          <w:tcPr>
            <w:tcW w:w="643" w:type="pct"/>
          </w:tcPr>
          <w:p w:rsidR="0065558B" w:rsidRDefault="0065558B" w:rsidP="00486EC9">
            <w:pPr>
              <w:pStyle w:val="TableText"/>
            </w:pPr>
            <w:r>
              <w:t>Safra 2011</w:t>
            </w:r>
          </w:p>
          <w:p w:rsidR="0065558B" w:rsidRDefault="0065558B" w:rsidP="00486EC9">
            <w:pPr>
              <w:pStyle w:val="TableText"/>
            </w:pPr>
          </w:p>
        </w:tc>
        <w:tc>
          <w:tcPr>
            <w:tcW w:w="1272" w:type="pct"/>
          </w:tcPr>
          <w:p w:rsidR="0065558B" w:rsidRDefault="0065558B" w:rsidP="00486EC9">
            <w:pPr>
              <w:pStyle w:val="TableText"/>
            </w:pPr>
            <w:r>
              <w:t>NR</w:t>
            </w:r>
          </w:p>
        </w:tc>
        <w:tc>
          <w:tcPr>
            <w:tcW w:w="1318" w:type="pct"/>
          </w:tcPr>
          <w:p w:rsidR="0065558B" w:rsidRDefault="004167E9" w:rsidP="00486EC9">
            <w:pPr>
              <w:pStyle w:val="TableText"/>
            </w:pPr>
            <w:r>
              <w:t xml:space="preserve">At </w:t>
            </w:r>
            <w:r w:rsidR="0065558B">
              <w:t>48 mth</w:t>
            </w:r>
            <w:r>
              <w:t xml:space="preserve">s: </w:t>
            </w:r>
            <w:r w:rsidR="0065558B">
              <w:t>Zol: +0.27%</w:t>
            </w:r>
          </w:p>
          <w:p w:rsidR="0065558B" w:rsidRDefault="0065558B" w:rsidP="00486EC9">
            <w:pPr>
              <w:pStyle w:val="TableText"/>
            </w:pPr>
            <w:r>
              <w:t>Pbo: 0.07%</w:t>
            </w:r>
          </w:p>
        </w:tc>
        <w:tc>
          <w:tcPr>
            <w:tcW w:w="873" w:type="pct"/>
          </w:tcPr>
          <w:p w:rsidR="004D7CCF" w:rsidRDefault="004D7CCF" w:rsidP="00486EC9">
            <w:pPr>
              <w:pStyle w:val="TableText"/>
            </w:pPr>
            <w:r>
              <w:t>Nil</w:t>
            </w:r>
          </w:p>
        </w:tc>
        <w:tc>
          <w:tcPr>
            <w:tcW w:w="894" w:type="pct"/>
          </w:tcPr>
          <w:p w:rsidR="00486EC9" w:rsidRDefault="00486EC9" w:rsidP="00486EC9">
            <w:pPr>
              <w:pStyle w:val="TableText"/>
            </w:pPr>
            <w:r>
              <w:t>NHMRC Level II</w:t>
            </w:r>
          </w:p>
          <w:p w:rsidR="0065558B" w:rsidRDefault="00486EC9" w:rsidP="00486EC9">
            <w:pPr>
              <w:pStyle w:val="TableText"/>
            </w:pPr>
            <w:r>
              <w:t>C1, P1, Q2  Medium</w:t>
            </w:r>
          </w:p>
        </w:tc>
      </w:tr>
      <w:tr w:rsidR="00486EC9" w:rsidRPr="0080730E" w:rsidTr="004B4974">
        <w:trPr>
          <w:tblHeader/>
        </w:trPr>
        <w:tc>
          <w:tcPr>
            <w:tcW w:w="643" w:type="pct"/>
          </w:tcPr>
          <w:p w:rsidR="0065558B" w:rsidRDefault="0065558B" w:rsidP="00486EC9">
            <w:pPr>
              <w:pStyle w:val="TableText"/>
            </w:pPr>
            <w:r>
              <w:t>Lee</w:t>
            </w:r>
          </w:p>
          <w:p w:rsidR="0065558B" w:rsidRDefault="0065558B" w:rsidP="00486EC9">
            <w:pPr>
              <w:pStyle w:val="TableText"/>
            </w:pPr>
            <w:r>
              <w:t>2011</w:t>
            </w:r>
          </w:p>
        </w:tc>
        <w:tc>
          <w:tcPr>
            <w:tcW w:w="1272" w:type="pct"/>
          </w:tcPr>
          <w:p w:rsidR="0065558B" w:rsidRDefault="0065558B" w:rsidP="00486EC9">
            <w:pPr>
              <w:pStyle w:val="TableText"/>
            </w:pPr>
            <w:r>
              <w:t>Zol: +1.8%*</w:t>
            </w:r>
            <w:r w:rsidR="001D03CD">
              <w:t xml:space="preserve"> </w:t>
            </w:r>
            <w:r w:rsidR="00AC6A13">
              <w:t>± 5.1%</w:t>
            </w:r>
          </w:p>
          <w:p w:rsidR="0065558B" w:rsidRDefault="0065558B" w:rsidP="00AC6A13">
            <w:pPr>
              <w:pStyle w:val="TableText"/>
            </w:pPr>
            <w:r>
              <w:t>Pbo: -6.82%*</w:t>
            </w:r>
            <w:r w:rsidR="001D03CD">
              <w:t xml:space="preserve"> </w:t>
            </w:r>
            <w:r w:rsidR="00AC6A13">
              <w:t>± 5.1%</w:t>
            </w:r>
          </w:p>
        </w:tc>
        <w:tc>
          <w:tcPr>
            <w:tcW w:w="1318" w:type="pct"/>
          </w:tcPr>
          <w:p w:rsidR="0065558B" w:rsidRDefault="0065558B" w:rsidP="00486EC9">
            <w:pPr>
              <w:pStyle w:val="TableText"/>
            </w:pPr>
            <w:r>
              <w:t>Zol: +</w:t>
            </w:r>
            <w:r w:rsidR="001D03CD">
              <w:t>2.98</w:t>
            </w:r>
            <w:r>
              <w:t>%*</w:t>
            </w:r>
            <w:r w:rsidR="001D03CD">
              <w:t xml:space="preserve"> </w:t>
            </w:r>
            <w:r w:rsidR="00AC6A13">
              <w:t>± 9.4%</w:t>
            </w:r>
          </w:p>
          <w:p w:rsidR="0065558B" w:rsidRDefault="0065558B" w:rsidP="00AC6A13">
            <w:pPr>
              <w:pStyle w:val="TableText"/>
            </w:pPr>
            <w:r>
              <w:t>Pbo: -8.17% (adjusted)*</w:t>
            </w:r>
            <w:r w:rsidR="001D03CD">
              <w:t xml:space="preserve"> </w:t>
            </w:r>
            <w:r w:rsidR="00AC6A13">
              <w:t>± 9.5%</w:t>
            </w:r>
          </w:p>
        </w:tc>
        <w:tc>
          <w:tcPr>
            <w:tcW w:w="873" w:type="pct"/>
          </w:tcPr>
          <w:p w:rsidR="0065558B" w:rsidRDefault="0065558B" w:rsidP="00486EC9">
            <w:pPr>
              <w:pStyle w:val="TableText"/>
            </w:pPr>
            <w:r>
              <w:t>Nil</w:t>
            </w:r>
          </w:p>
        </w:tc>
        <w:tc>
          <w:tcPr>
            <w:tcW w:w="894" w:type="pct"/>
          </w:tcPr>
          <w:p w:rsidR="00486EC9" w:rsidRDefault="00486EC9" w:rsidP="00486EC9">
            <w:pPr>
              <w:pStyle w:val="TableText"/>
            </w:pPr>
            <w:r>
              <w:t>NHMRC Level II</w:t>
            </w:r>
          </w:p>
          <w:p w:rsidR="0065558B" w:rsidRDefault="00486EC9" w:rsidP="00486EC9">
            <w:pPr>
              <w:pStyle w:val="TableText"/>
            </w:pPr>
            <w:r>
              <w:t>C1, P1, Q2  Medium</w:t>
            </w:r>
          </w:p>
        </w:tc>
      </w:tr>
      <w:tr w:rsidR="00486EC9" w:rsidRPr="0080730E" w:rsidTr="004B4974">
        <w:trPr>
          <w:tblHeader/>
        </w:trPr>
        <w:tc>
          <w:tcPr>
            <w:tcW w:w="643" w:type="pct"/>
          </w:tcPr>
          <w:p w:rsidR="0065558B" w:rsidRDefault="0065558B" w:rsidP="00486EC9">
            <w:pPr>
              <w:pStyle w:val="TableText"/>
            </w:pPr>
            <w:r>
              <w:t>Hines 2009</w:t>
            </w:r>
          </w:p>
          <w:p w:rsidR="0065558B" w:rsidRDefault="0065558B" w:rsidP="00486EC9">
            <w:pPr>
              <w:pStyle w:val="TableText"/>
            </w:pPr>
          </w:p>
        </w:tc>
        <w:tc>
          <w:tcPr>
            <w:tcW w:w="1272" w:type="pct"/>
          </w:tcPr>
          <w:p w:rsidR="0065558B" w:rsidRDefault="00AC6A13" w:rsidP="00486EC9">
            <w:pPr>
              <w:pStyle w:val="TableText"/>
            </w:pPr>
            <w:r>
              <w:t>Upfront: +1.2</w:t>
            </w:r>
            <w:r w:rsidR="0065558B">
              <w:t>%</w:t>
            </w:r>
          </w:p>
          <w:p w:rsidR="0065558B" w:rsidRDefault="0065558B" w:rsidP="00486EC9">
            <w:pPr>
              <w:pStyle w:val="TableText"/>
            </w:pPr>
            <w:r>
              <w:t>Delayed</w:t>
            </w:r>
            <w:r w:rsidR="00AC6A13">
              <w:t>: -3.3</w:t>
            </w:r>
            <w:r>
              <w:t>%*</w:t>
            </w:r>
          </w:p>
        </w:tc>
        <w:tc>
          <w:tcPr>
            <w:tcW w:w="1318" w:type="pct"/>
          </w:tcPr>
          <w:p w:rsidR="0065558B" w:rsidRDefault="0065558B" w:rsidP="00486EC9">
            <w:pPr>
              <w:pStyle w:val="TableText"/>
            </w:pPr>
            <w:r>
              <w:t>Upfront: +4.9</w:t>
            </w:r>
            <w:r w:rsidR="00AC6A13">
              <w:t>6</w:t>
            </w:r>
            <w:r>
              <w:t>%</w:t>
            </w:r>
          </w:p>
          <w:p w:rsidR="0065558B" w:rsidRDefault="00AC6A13" w:rsidP="00486EC9">
            <w:pPr>
              <w:pStyle w:val="TableText"/>
            </w:pPr>
            <w:r>
              <w:t>Delayed: -2.3</w:t>
            </w:r>
            <w:r w:rsidR="0065558B">
              <w:t>%*</w:t>
            </w:r>
          </w:p>
        </w:tc>
        <w:tc>
          <w:tcPr>
            <w:tcW w:w="873" w:type="pct"/>
          </w:tcPr>
          <w:p w:rsidR="0065558B" w:rsidRDefault="0065558B" w:rsidP="00486EC9">
            <w:pPr>
              <w:pStyle w:val="TableText"/>
            </w:pPr>
            <w:r>
              <w:t>Nil</w:t>
            </w:r>
          </w:p>
        </w:tc>
        <w:tc>
          <w:tcPr>
            <w:tcW w:w="894" w:type="pct"/>
          </w:tcPr>
          <w:p w:rsidR="00486EC9" w:rsidRDefault="00486EC9" w:rsidP="00486EC9">
            <w:pPr>
              <w:pStyle w:val="TableText"/>
            </w:pPr>
            <w:r>
              <w:t>NHMRC Level II</w:t>
            </w:r>
          </w:p>
          <w:p w:rsidR="0065558B" w:rsidRDefault="00486EC9" w:rsidP="00486EC9">
            <w:pPr>
              <w:pStyle w:val="TableText"/>
            </w:pPr>
            <w:r>
              <w:t>C1, P1, Q2  Medium</w:t>
            </w:r>
          </w:p>
        </w:tc>
      </w:tr>
      <w:tr w:rsidR="00486EC9" w:rsidRPr="0080730E" w:rsidTr="004B4974">
        <w:trPr>
          <w:tblHeader/>
        </w:trPr>
        <w:tc>
          <w:tcPr>
            <w:tcW w:w="643" w:type="pct"/>
          </w:tcPr>
          <w:p w:rsidR="0065558B" w:rsidRPr="0080730E" w:rsidRDefault="0065558B" w:rsidP="00486EC9">
            <w:pPr>
              <w:pStyle w:val="TableText"/>
            </w:pPr>
            <w:r>
              <w:t xml:space="preserve">Lester 2012 </w:t>
            </w:r>
          </w:p>
        </w:tc>
        <w:tc>
          <w:tcPr>
            <w:tcW w:w="1272" w:type="pct"/>
          </w:tcPr>
          <w:p w:rsidR="0065558B" w:rsidRDefault="0065558B" w:rsidP="00486EC9">
            <w:pPr>
              <w:pStyle w:val="TableText"/>
            </w:pPr>
            <w:r>
              <w:t>Osteoporosis:+2.72% (-4.0, +9.6)</w:t>
            </w:r>
          </w:p>
          <w:p w:rsidR="0065558B" w:rsidRPr="0080730E" w:rsidRDefault="0065558B" w:rsidP="004167E9">
            <w:pPr>
              <w:pStyle w:val="TableText"/>
            </w:pPr>
            <w:r>
              <w:t>Osteopenic:-6.07% (-8.9, -3.7)</w:t>
            </w:r>
          </w:p>
        </w:tc>
        <w:tc>
          <w:tcPr>
            <w:tcW w:w="1318" w:type="pct"/>
          </w:tcPr>
          <w:p w:rsidR="0065558B" w:rsidRDefault="0065558B" w:rsidP="00486EC9">
            <w:pPr>
              <w:pStyle w:val="TableText"/>
            </w:pPr>
            <w:r>
              <w:t>Osteoporosis:+9.65% (+4.9, +18.9)</w:t>
            </w:r>
          </w:p>
          <w:p w:rsidR="0065558B" w:rsidRPr="0080730E" w:rsidRDefault="0065558B" w:rsidP="004167E9">
            <w:pPr>
              <w:pStyle w:val="TableText"/>
            </w:pPr>
            <w:r>
              <w:t>Osteopenic:+2.60% (-7.8, +18.4)</w:t>
            </w:r>
          </w:p>
        </w:tc>
        <w:tc>
          <w:tcPr>
            <w:tcW w:w="873" w:type="pct"/>
          </w:tcPr>
          <w:p w:rsidR="0065558B" w:rsidRPr="0080730E" w:rsidRDefault="00AC6A13" w:rsidP="00486EC9">
            <w:pPr>
              <w:pStyle w:val="TableText"/>
            </w:pPr>
            <w:r>
              <w:t>10 patients, 4 ibandronate, 3 placebo, 3 osteoporotic groups</w:t>
            </w:r>
          </w:p>
        </w:tc>
        <w:tc>
          <w:tcPr>
            <w:tcW w:w="894" w:type="pct"/>
          </w:tcPr>
          <w:p w:rsidR="00486EC9" w:rsidRDefault="00486EC9" w:rsidP="00486EC9">
            <w:pPr>
              <w:pStyle w:val="TableText"/>
            </w:pPr>
            <w:r>
              <w:t>NHMRC Level II</w:t>
            </w:r>
          </w:p>
          <w:p w:rsidR="0065558B" w:rsidRDefault="00486EC9" w:rsidP="00486EC9">
            <w:pPr>
              <w:pStyle w:val="TableText"/>
            </w:pPr>
            <w:r>
              <w:t>C1, P1, Q2  Medium</w:t>
            </w:r>
          </w:p>
        </w:tc>
      </w:tr>
      <w:tr w:rsidR="00486EC9" w:rsidRPr="0080730E" w:rsidTr="004B4974">
        <w:trPr>
          <w:tblHeader/>
        </w:trPr>
        <w:tc>
          <w:tcPr>
            <w:tcW w:w="643" w:type="pct"/>
          </w:tcPr>
          <w:p w:rsidR="0065558B" w:rsidRDefault="0065558B" w:rsidP="00486EC9">
            <w:pPr>
              <w:pStyle w:val="TableText"/>
            </w:pPr>
            <w:r>
              <w:t xml:space="preserve">Markopoulos 2010 </w:t>
            </w:r>
          </w:p>
        </w:tc>
        <w:tc>
          <w:tcPr>
            <w:tcW w:w="1272" w:type="pct"/>
          </w:tcPr>
          <w:p w:rsidR="0065558B" w:rsidRPr="00C46FCC" w:rsidRDefault="0065558B" w:rsidP="00486EC9">
            <w:pPr>
              <w:pStyle w:val="TableText"/>
              <w:rPr>
                <w:vertAlign w:val="superscript"/>
              </w:rPr>
            </w:pPr>
            <w:r>
              <w:t xml:space="preserve">Med rised </w:t>
            </w:r>
            <w:r w:rsidR="001D03CD">
              <w:t>3.0</w:t>
            </w:r>
            <w:r>
              <w:t>%</w:t>
            </w:r>
            <w:r w:rsidR="001D03CD">
              <w:t xml:space="preserve"> (SD 12)</w:t>
            </w:r>
            <w:r>
              <w:rPr>
                <w:vertAlign w:val="superscript"/>
              </w:rPr>
              <w:t>1</w:t>
            </w:r>
          </w:p>
          <w:p w:rsidR="0065558B" w:rsidRPr="001D03CD" w:rsidRDefault="0065558B" w:rsidP="00486EC9">
            <w:pPr>
              <w:pStyle w:val="TableText"/>
            </w:pPr>
            <w:r>
              <w:t>Med pbo -</w:t>
            </w:r>
            <w:r w:rsidR="001D03CD">
              <w:t>4.3</w:t>
            </w:r>
            <w:r>
              <w:t>%*</w:t>
            </w:r>
            <w:r>
              <w:rPr>
                <w:vertAlign w:val="superscript"/>
              </w:rPr>
              <w:t>1</w:t>
            </w:r>
            <w:r w:rsidR="001D03CD">
              <w:t xml:space="preserve"> (SD 11)</w:t>
            </w:r>
          </w:p>
          <w:p w:rsidR="0065558B" w:rsidRPr="00C46FCC" w:rsidRDefault="0065558B" w:rsidP="001D03CD">
            <w:pPr>
              <w:pStyle w:val="TableText"/>
            </w:pPr>
            <w:r>
              <w:t>High risk -</w:t>
            </w:r>
            <w:r w:rsidR="001D03CD">
              <w:t>2.5</w:t>
            </w:r>
            <w:r>
              <w:t>%*</w:t>
            </w:r>
            <w:r w:rsidR="001D03CD">
              <w:t xml:space="preserve"> (SD 16)</w:t>
            </w:r>
          </w:p>
        </w:tc>
        <w:tc>
          <w:tcPr>
            <w:tcW w:w="1318" w:type="pct"/>
          </w:tcPr>
          <w:p w:rsidR="0065558B" w:rsidRPr="001D03CD" w:rsidRDefault="0065558B" w:rsidP="00486EC9">
            <w:pPr>
              <w:pStyle w:val="TableText"/>
            </w:pPr>
            <w:r>
              <w:t xml:space="preserve">Med rised </w:t>
            </w:r>
            <w:r w:rsidR="001D03CD">
              <w:t>7.0</w:t>
            </w:r>
            <w:r>
              <w:t>%*</w:t>
            </w:r>
            <w:r>
              <w:rPr>
                <w:vertAlign w:val="superscript"/>
              </w:rPr>
              <w:t>1</w:t>
            </w:r>
            <w:r w:rsidR="001D03CD">
              <w:t xml:space="preserve"> (SD 14)</w:t>
            </w:r>
          </w:p>
          <w:p w:rsidR="0065558B" w:rsidRDefault="0065558B" w:rsidP="00486EC9">
            <w:pPr>
              <w:pStyle w:val="TableText"/>
              <w:rPr>
                <w:vertAlign w:val="superscript"/>
              </w:rPr>
            </w:pPr>
            <w:r>
              <w:t>Med pbo -</w:t>
            </w:r>
            <w:r w:rsidR="001D03CD">
              <w:t>2.6</w:t>
            </w:r>
            <w:r>
              <w:t>%</w:t>
            </w:r>
            <w:r>
              <w:rPr>
                <w:vertAlign w:val="superscript"/>
              </w:rPr>
              <w:t>1</w:t>
            </w:r>
            <w:r w:rsidR="001D03CD">
              <w:rPr>
                <w:vertAlign w:val="superscript"/>
              </w:rPr>
              <w:t xml:space="preserve"> </w:t>
            </w:r>
            <w:r w:rsidR="001D03CD">
              <w:t>(SD 9.3)</w:t>
            </w:r>
          </w:p>
          <w:p w:rsidR="0065558B" w:rsidRPr="00C46FCC" w:rsidRDefault="0065558B" w:rsidP="001D03CD">
            <w:pPr>
              <w:pStyle w:val="TableText"/>
              <w:rPr>
                <w:vertAlign w:val="superscript"/>
              </w:rPr>
            </w:pPr>
            <w:r>
              <w:t xml:space="preserve">High risk </w:t>
            </w:r>
            <w:r w:rsidR="001D03CD">
              <w:t>8.0</w:t>
            </w:r>
            <w:r>
              <w:t>%*</w:t>
            </w:r>
            <w:r w:rsidR="001D03CD">
              <w:t>(SD 13)</w:t>
            </w:r>
          </w:p>
        </w:tc>
        <w:tc>
          <w:tcPr>
            <w:tcW w:w="873" w:type="pct"/>
          </w:tcPr>
          <w:p w:rsidR="0065558B" w:rsidRDefault="0065558B" w:rsidP="00486EC9">
            <w:pPr>
              <w:pStyle w:val="TableText"/>
            </w:pPr>
            <w:r>
              <w:t>Nil</w:t>
            </w:r>
          </w:p>
        </w:tc>
        <w:tc>
          <w:tcPr>
            <w:tcW w:w="894" w:type="pct"/>
          </w:tcPr>
          <w:p w:rsidR="00486EC9" w:rsidRDefault="00486EC9" w:rsidP="00486EC9">
            <w:pPr>
              <w:pStyle w:val="TableText"/>
            </w:pPr>
            <w:r>
              <w:t>NHMRC Level II</w:t>
            </w:r>
          </w:p>
          <w:p w:rsidR="0065558B" w:rsidRDefault="00486EC9" w:rsidP="00486EC9">
            <w:pPr>
              <w:pStyle w:val="TableText"/>
            </w:pPr>
            <w:r>
              <w:t>C1, P1, Q2  Medium</w:t>
            </w:r>
          </w:p>
        </w:tc>
      </w:tr>
      <w:tr w:rsidR="00486EC9" w:rsidRPr="0080730E" w:rsidTr="004B4974">
        <w:trPr>
          <w:tblHeader/>
        </w:trPr>
        <w:tc>
          <w:tcPr>
            <w:tcW w:w="643" w:type="pct"/>
          </w:tcPr>
          <w:p w:rsidR="0065558B" w:rsidRDefault="0065558B" w:rsidP="00486EC9">
            <w:pPr>
              <w:pStyle w:val="TableText"/>
            </w:pPr>
            <w:r>
              <w:t>Rhee 2013</w:t>
            </w:r>
          </w:p>
          <w:p w:rsidR="0065558B" w:rsidRDefault="0065558B" w:rsidP="00486EC9">
            <w:pPr>
              <w:pStyle w:val="TableText"/>
            </w:pPr>
          </w:p>
        </w:tc>
        <w:tc>
          <w:tcPr>
            <w:tcW w:w="1272" w:type="pct"/>
          </w:tcPr>
          <w:p w:rsidR="0065558B" w:rsidRDefault="0065558B" w:rsidP="00486EC9">
            <w:pPr>
              <w:pStyle w:val="TableText"/>
            </w:pPr>
            <w:r>
              <w:t>Alen</w:t>
            </w:r>
            <w:r w:rsidR="004167E9">
              <w:t>dronate</w:t>
            </w:r>
            <w:r>
              <w:t>: -0.5 (±0.40)</w:t>
            </w:r>
          </w:p>
          <w:p w:rsidR="0065558B" w:rsidRDefault="0065558B" w:rsidP="00486EC9">
            <w:pPr>
              <w:pStyle w:val="TableText"/>
            </w:pPr>
            <w:r>
              <w:t>Pbo: -1.3 (±0.50)</w:t>
            </w:r>
          </w:p>
        </w:tc>
        <w:tc>
          <w:tcPr>
            <w:tcW w:w="1318" w:type="pct"/>
          </w:tcPr>
          <w:p w:rsidR="0065558B" w:rsidRDefault="0065558B" w:rsidP="00486EC9">
            <w:pPr>
              <w:pStyle w:val="TableText"/>
            </w:pPr>
            <w:r>
              <w:t>Alen</w:t>
            </w:r>
            <w:r w:rsidR="004167E9">
              <w:t>dronate</w:t>
            </w:r>
            <w:r>
              <w:t>: -0.5 (±0.60)</w:t>
            </w:r>
          </w:p>
          <w:p w:rsidR="0065558B" w:rsidRDefault="0065558B" w:rsidP="00486EC9">
            <w:pPr>
              <w:pStyle w:val="TableText"/>
            </w:pPr>
            <w:r>
              <w:t>Pbo: -3.5 (±0.60)</w:t>
            </w:r>
          </w:p>
        </w:tc>
        <w:tc>
          <w:tcPr>
            <w:tcW w:w="873" w:type="pct"/>
          </w:tcPr>
          <w:p w:rsidR="0065558B" w:rsidRDefault="0065558B" w:rsidP="00486EC9">
            <w:pPr>
              <w:pStyle w:val="TableText"/>
            </w:pPr>
            <w:r>
              <w:t>NR</w:t>
            </w:r>
          </w:p>
        </w:tc>
        <w:tc>
          <w:tcPr>
            <w:tcW w:w="894" w:type="pct"/>
          </w:tcPr>
          <w:p w:rsidR="00486EC9" w:rsidRDefault="00486EC9" w:rsidP="00486EC9">
            <w:pPr>
              <w:pStyle w:val="TableText"/>
            </w:pPr>
            <w:r>
              <w:t>NHMRC Level II</w:t>
            </w:r>
          </w:p>
          <w:p w:rsidR="0065558B" w:rsidRDefault="00486EC9" w:rsidP="00486EC9">
            <w:pPr>
              <w:pStyle w:val="TableText"/>
            </w:pPr>
            <w:r>
              <w:t>C1, P1, Q3 Poor</w:t>
            </w:r>
          </w:p>
        </w:tc>
      </w:tr>
      <w:tr w:rsidR="00486EC9" w:rsidRPr="0080730E" w:rsidTr="004B4974">
        <w:trPr>
          <w:tblHeader/>
        </w:trPr>
        <w:tc>
          <w:tcPr>
            <w:tcW w:w="643" w:type="pct"/>
          </w:tcPr>
          <w:p w:rsidR="0065558B" w:rsidRDefault="0065558B" w:rsidP="00486EC9">
            <w:pPr>
              <w:pStyle w:val="TableText"/>
            </w:pPr>
            <w:r>
              <w:t xml:space="preserve">Van Poznak 2010 </w:t>
            </w:r>
          </w:p>
          <w:p w:rsidR="0065558B" w:rsidRDefault="0065558B" w:rsidP="00486EC9">
            <w:pPr>
              <w:pStyle w:val="TableText"/>
            </w:pPr>
          </w:p>
        </w:tc>
        <w:tc>
          <w:tcPr>
            <w:tcW w:w="1272" w:type="pct"/>
          </w:tcPr>
          <w:p w:rsidR="0065558B" w:rsidRDefault="0065558B" w:rsidP="00486EC9">
            <w:pPr>
              <w:pStyle w:val="TableText"/>
            </w:pPr>
            <w:r>
              <w:t>High risk</w:t>
            </w:r>
            <w:r w:rsidR="004167E9">
              <w:t>:</w:t>
            </w:r>
            <w:r>
              <w:t xml:space="preserve"> rised 2.0</w:t>
            </w:r>
            <w:r w:rsidR="00AC6A13">
              <w:t>%</w:t>
            </w:r>
            <w:r>
              <w:t xml:space="preserve"> (0.49, 3.44)</w:t>
            </w:r>
          </w:p>
          <w:p w:rsidR="0065558B" w:rsidRDefault="0065558B" w:rsidP="00486EC9">
            <w:pPr>
              <w:pStyle w:val="TableText"/>
            </w:pPr>
            <w:r>
              <w:t>Med risk</w:t>
            </w:r>
            <w:r w:rsidR="004167E9">
              <w:t>:</w:t>
            </w:r>
            <w:r>
              <w:t xml:space="preserve"> rised 1.8</w:t>
            </w:r>
            <w:r w:rsidR="00AC6A13">
              <w:t>%</w:t>
            </w:r>
            <w:r>
              <w:t xml:space="preserve"> (0.78, 2.86)</w:t>
            </w:r>
          </w:p>
          <w:p w:rsidR="0065558B" w:rsidRDefault="0065558B" w:rsidP="00486EC9">
            <w:pPr>
              <w:pStyle w:val="TableText"/>
            </w:pPr>
            <w:r>
              <w:t>Med risk</w:t>
            </w:r>
            <w:r w:rsidR="004167E9">
              <w:t>:</w:t>
            </w:r>
            <w:r>
              <w:t xml:space="preserve"> pbo -1.1</w:t>
            </w:r>
            <w:r w:rsidR="00AC6A13">
              <w:t>%</w:t>
            </w:r>
            <w:r>
              <w:t xml:space="preserve"> (-2.14, -0.10)*</w:t>
            </w:r>
          </w:p>
          <w:p w:rsidR="0065558B" w:rsidRDefault="0065558B" w:rsidP="00486EC9">
            <w:pPr>
              <w:pStyle w:val="TableText"/>
            </w:pPr>
            <w:r>
              <w:t>-0.4</w:t>
            </w:r>
            <w:r w:rsidR="00AC6A13">
              <w:t>%</w:t>
            </w:r>
            <w:r>
              <w:t xml:space="preserve"> (-2.10, -1.26)</w:t>
            </w:r>
          </w:p>
        </w:tc>
        <w:tc>
          <w:tcPr>
            <w:tcW w:w="1318" w:type="pct"/>
          </w:tcPr>
          <w:p w:rsidR="0065558B" w:rsidRDefault="0065558B" w:rsidP="00486EC9">
            <w:pPr>
              <w:pStyle w:val="TableText"/>
            </w:pPr>
            <w:r>
              <w:t>High risk</w:t>
            </w:r>
            <w:r w:rsidR="004167E9">
              <w:t>:</w:t>
            </w:r>
            <w:r>
              <w:t xml:space="preserve"> rised 3.0</w:t>
            </w:r>
            <w:r w:rsidR="00AC6A13">
              <w:t>%</w:t>
            </w:r>
            <w:r>
              <w:t xml:space="preserve"> (1.4, 4.67)*</w:t>
            </w:r>
          </w:p>
          <w:p w:rsidR="0065558B" w:rsidRDefault="0065558B" w:rsidP="00486EC9">
            <w:pPr>
              <w:pStyle w:val="TableText"/>
            </w:pPr>
            <w:r>
              <w:t>Med risk</w:t>
            </w:r>
            <w:r w:rsidR="004167E9">
              <w:t xml:space="preserve">: </w:t>
            </w:r>
            <w:r>
              <w:t>rised 2.2</w:t>
            </w:r>
            <w:r w:rsidR="00AC6A13">
              <w:t>%</w:t>
            </w:r>
            <w:r>
              <w:t xml:space="preserve"> (0.73, 3.76)</w:t>
            </w:r>
          </w:p>
          <w:p w:rsidR="0065558B" w:rsidRDefault="0065558B" w:rsidP="00486EC9">
            <w:pPr>
              <w:pStyle w:val="TableText"/>
            </w:pPr>
            <w:r>
              <w:t>Med risk</w:t>
            </w:r>
            <w:r w:rsidR="004167E9">
              <w:t>:</w:t>
            </w:r>
            <w:r>
              <w:t xml:space="preserve"> pbo -1.8</w:t>
            </w:r>
            <w:r w:rsidR="00AC6A13">
              <w:t>%</w:t>
            </w:r>
            <w:r>
              <w:t xml:space="preserve"> (-3.25, 0.25)*</w:t>
            </w:r>
          </w:p>
          <w:p w:rsidR="0065558B" w:rsidRDefault="0065558B" w:rsidP="00486EC9">
            <w:pPr>
              <w:pStyle w:val="TableText"/>
            </w:pPr>
            <w:r>
              <w:t>Low risk</w:t>
            </w:r>
            <w:r w:rsidR="004167E9">
              <w:t>:</w:t>
            </w:r>
            <w:r>
              <w:t xml:space="preserve"> -2.1</w:t>
            </w:r>
            <w:r w:rsidR="00AC6A13">
              <w:t>%</w:t>
            </w:r>
            <w:r>
              <w:t xml:space="preserve"> (-3.6, -0.53)*</w:t>
            </w:r>
          </w:p>
        </w:tc>
        <w:tc>
          <w:tcPr>
            <w:tcW w:w="873" w:type="pct"/>
          </w:tcPr>
          <w:p w:rsidR="0065558B" w:rsidRDefault="00A3703E" w:rsidP="00A3703E">
            <w:pPr>
              <w:pStyle w:val="TableText"/>
            </w:pPr>
            <w:r>
              <w:t xml:space="preserve"> </w:t>
            </w:r>
            <w:r w:rsidR="0065558B">
              <w:t>(5 patients 2.1%)</w:t>
            </w:r>
          </w:p>
        </w:tc>
        <w:tc>
          <w:tcPr>
            <w:tcW w:w="894" w:type="pct"/>
          </w:tcPr>
          <w:p w:rsidR="00486EC9" w:rsidRDefault="00486EC9" w:rsidP="00486EC9">
            <w:pPr>
              <w:pStyle w:val="TableText"/>
            </w:pPr>
            <w:r>
              <w:t>NHMRC Level II</w:t>
            </w:r>
          </w:p>
          <w:p w:rsidR="0065558B" w:rsidRDefault="00486EC9" w:rsidP="00486EC9">
            <w:pPr>
              <w:pStyle w:val="TableText"/>
            </w:pPr>
            <w:r>
              <w:t>C1, P1, Q2  Medium</w:t>
            </w:r>
          </w:p>
        </w:tc>
      </w:tr>
      <w:tr w:rsidR="00486EC9" w:rsidRPr="0080730E" w:rsidTr="004B4974">
        <w:trPr>
          <w:tblHeader/>
        </w:trPr>
        <w:tc>
          <w:tcPr>
            <w:tcW w:w="643" w:type="pct"/>
          </w:tcPr>
          <w:p w:rsidR="0065558B" w:rsidRDefault="0065558B" w:rsidP="00486EC9">
            <w:pPr>
              <w:pStyle w:val="TableText"/>
            </w:pPr>
            <w:r>
              <w:t>Ellis 2009</w:t>
            </w:r>
          </w:p>
          <w:p w:rsidR="0065558B" w:rsidRDefault="0065558B" w:rsidP="00486EC9">
            <w:pPr>
              <w:pStyle w:val="TableText"/>
            </w:pPr>
          </w:p>
        </w:tc>
        <w:tc>
          <w:tcPr>
            <w:tcW w:w="1272" w:type="pct"/>
          </w:tcPr>
          <w:p w:rsidR="0065558B" w:rsidRDefault="00AC6A13" w:rsidP="00486EC9">
            <w:pPr>
              <w:pStyle w:val="TableText"/>
            </w:pPr>
            <w:r>
              <w:t>MD</w:t>
            </w:r>
            <w:r w:rsidR="0065558B">
              <w:t>: denosumab/pbo</w:t>
            </w:r>
          </w:p>
          <w:p w:rsidR="0065558B" w:rsidRDefault="0065558B" w:rsidP="00486EC9">
            <w:pPr>
              <w:pStyle w:val="TableText"/>
            </w:pPr>
            <w:r>
              <w:t xml:space="preserve"> +4.5 (± 0.5%)*</w:t>
            </w:r>
          </w:p>
        </w:tc>
        <w:tc>
          <w:tcPr>
            <w:tcW w:w="1318" w:type="pct"/>
          </w:tcPr>
          <w:p w:rsidR="0065558B" w:rsidRDefault="00AC6A13" w:rsidP="00486EC9">
            <w:pPr>
              <w:pStyle w:val="TableText"/>
            </w:pPr>
            <w:r>
              <w:t>MD</w:t>
            </w:r>
            <w:r w:rsidR="0065558B">
              <w:t xml:space="preserve">: denosumab/pbo +7.5% (± 1.0%)* </w:t>
            </w:r>
          </w:p>
        </w:tc>
        <w:tc>
          <w:tcPr>
            <w:tcW w:w="873" w:type="pct"/>
          </w:tcPr>
          <w:p w:rsidR="0065558B" w:rsidRDefault="0065558B" w:rsidP="00486EC9">
            <w:pPr>
              <w:pStyle w:val="TableText"/>
            </w:pPr>
            <w:r>
              <w:t>NR</w:t>
            </w:r>
          </w:p>
        </w:tc>
        <w:tc>
          <w:tcPr>
            <w:tcW w:w="894" w:type="pct"/>
          </w:tcPr>
          <w:p w:rsidR="00486EC9" w:rsidRDefault="00486EC9" w:rsidP="00486EC9">
            <w:pPr>
              <w:pStyle w:val="TableText"/>
            </w:pPr>
            <w:r>
              <w:t>NHMRC Level II</w:t>
            </w:r>
          </w:p>
          <w:p w:rsidR="0065558B" w:rsidRDefault="00486EC9" w:rsidP="00486EC9">
            <w:pPr>
              <w:pStyle w:val="TableText"/>
            </w:pPr>
            <w:r>
              <w:t>C1, P1, Q2  Medium</w:t>
            </w:r>
          </w:p>
        </w:tc>
      </w:tr>
      <w:tr w:rsidR="00486EC9" w:rsidRPr="0080730E" w:rsidTr="004B4974">
        <w:trPr>
          <w:tblHeader/>
        </w:trPr>
        <w:tc>
          <w:tcPr>
            <w:tcW w:w="643" w:type="pct"/>
          </w:tcPr>
          <w:p w:rsidR="0065558B" w:rsidRDefault="0065558B" w:rsidP="00486EC9">
            <w:pPr>
              <w:pStyle w:val="TableText"/>
            </w:pPr>
          </w:p>
          <w:p w:rsidR="0065558B" w:rsidRDefault="0065558B" w:rsidP="00486EC9">
            <w:pPr>
              <w:pStyle w:val="TableText"/>
            </w:pPr>
            <w:r>
              <w:t>Rastelli 2011</w:t>
            </w:r>
          </w:p>
          <w:p w:rsidR="0065558B" w:rsidRDefault="0065558B" w:rsidP="00486EC9">
            <w:pPr>
              <w:pStyle w:val="TableText"/>
            </w:pPr>
          </w:p>
          <w:p w:rsidR="0065558B" w:rsidRDefault="0065558B" w:rsidP="00486EC9">
            <w:pPr>
              <w:pStyle w:val="TableText"/>
            </w:pPr>
          </w:p>
        </w:tc>
        <w:tc>
          <w:tcPr>
            <w:tcW w:w="1272" w:type="pct"/>
          </w:tcPr>
          <w:p w:rsidR="0065558B" w:rsidRPr="003C6AE5" w:rsidRDefault="0065558B" w:rsidP="00486EC9">
            <w:pPr>
              <w:pStyle w:val="TableText"/>
            </w:pPr>
            <w:r w:rsidRPr="003C6AE5">
              <w:t xml:space="preserve">High dose vitamin D2 </w:t>
            </w:r>
          </w:p>
          <w:p w:rsidR="0065558B" w:rsidRDefault="0065558B" w:rsidP="00486EC9">
            <w:pPr>
              <w:pStyle w:val="TableText"/>
            </w:pPr>
            <w:r>
              <w:t>BMD total hip - NR</w:t>
            </w:r>
          </w:p>
          <w:p w:rsidR="0065558B" w:rsidRDefault="00486EC9" w:rsidP="00486EC9">
            <w:pPr>
              <w:pStyle w:val="TableText"/>
            </w:pPr>
            <w:r>
              <w:t>BMD fem</w:t>
            </w:r>
            <w:r w:rsidR="0065558B">
              <w:t xml:space="preserve"> neck: Vit D: +0.45 (±0.72), Placebo: -1.39 (±0.66)</w:t>
            </w:r>
          </w:p>
        </w:tc>
        <w:tc>
          <w:tcPr>
            <w:tcW w:w="1318" w:type="pct"/>
          </w:tcPr>
          <w:p w:rsidR="0065558B" w:rsidRDefault="0065558B" w:rsidP="00486EC9">
            <w:pPr>
              <w:pStyle w:val="TableText"/>
            </w:pPr>
            <w:r>
              <w:t>Vit D: 0.12% (± 0.82)</w:t>
            </w:r>
          </w:p>
          <w:p w:rsidR="0065558B" w:rsidRDefault="0065558B" w:rsidP="00486EC9">
            <w:pPr>
              <w:pStyle w:val="TableText"/>
            </w:pPr>
            <w:r>
              <w:t>Placebo: -0.36 (±0.75)</w:t>
            </w:r>
          </w:p>
        </w:tc>
        <w:tc>
          <w:tcPr>
            <w:tcW w:w="873" w:type="pct"/>
          </w:tcPr>
          <w:p w:rsidR="0065558B" w:rsidRDefault="0065558B" w:rsidP="00486EC9">
            <w:pPr>
              <w:pStyle w:val="TableText"/>
            </w:pPr>
            <w:r>
              <w:t>Nil</w:t>
            </w:r>
          </w:p>
        </w:tc>
        <w:tc>
          <w:tcPr>
            <w:tcW w:w="894" w:type="pct"/>
          </w:tcPr>
          <w:p w:rsidR="00486EC9" w:rsidRDefault="00486EC9" w:rsidP="00486EC9">
            <w:pPr>
              <w:pStyle w:val="TableText"/>
            </w:pPr>
            <w:r>
              <w:t>NHMRC Level II</w:t>
            </w:r>
          </w:p>
          <w:p w:rsidR="0065558B" w:rsidRDefault="00486EC9" w:rsidP="00486EC9">
            <w:pPr>
              <w:pStyle w:val="TableText"/>
            </w:pPr>
            <w:r>
              <w:t>C1, P1, Q2  Medium</w:t>
            </w:r>
          </w:p>
        </w:tc>
      </w:tr>
    </w:tbl>
    <w:p w:rsidR="004167E9" w:rsidRDefault="004167E9" w:rsidP="004167E9">
      <w:pPr>
        <w:pStyle w:val="TableText"/>
        <w:numPr>
          <w:ilvl w:val="0"/>
          <w:numId w:val="47"/>
        </w:numPr>
      </w:pPr>
      <w:r>
        <w:t>Results extracted from publications, clinicaltrials.gov or emailed authors for additional information</w:t>
      </w:r>
    </w:p>
    <w:p w:rsidR="0065558B" w:rsidRDefault="004167E9" w:rsidP="004167E9">
      <w:pPr>
        <w:pStyle w:val="TableText"/>
        <w:ind w:left="567"/>
      </w:pPr>
      <w:r>
        <w:t xml:space="preserve"> *p&lt;0.05</w:t>
      </w:r>
    </w:p>
    <w:p w:rsidR="004B4974" w:rsidRDefault="004167E9" w:rsidP="00B2159B">
      <w:pPr>
        <w:pStyle w:val="TableText"/>
        <w:ind w:left="567"/>
      </w:pPr>
      <w:r>
        <w:t>AEs =Adverse events, BMD = bone mineral density; MD = mean difference; NHMRC = National Health and Medical Research Council; NR = not reported; pbo = placebo, pt = patients, Zol = zoledronic acid</w:t>
      </w:r>
    </w:p>
    <w:p w:rsidR="002F443F" w:rsidRDefault="00317185" w:rsidP="009406A8">
      <w:pPr>
        <w:pStyle w:val="Heading4"/>
      </w:pPr>
      <w:r>
        <w:t>Quality of studies on treatments for aromatase-inhibitor-associated bone loss</w:t>
      </w:r>
    </w:p>
    <w:p w:rsidR="00317185" w:rsidRDefault="009406A8" w:rsidP="00BD1164">
      <w:r>
        <w:t xml:space="preserve">Most studies were either phase II or open-label phase III studies.  Several studies had open-label treatment for women with osteoporosis and double-blinded placebo controlled </w:t>
      </w:r>
      <w:r>
        <w:lastRenderedPageBreak/>
        <w:t xml:space="preserve">randomisation for medium-risk (or osteopenic) women.  All studies had relevant direct comparators for this assessment because in the placebo treatment arms, women received vitamin D and calcium supplements. Rastelli </w:t>
      </w:r>
      <w:r w:rsidR="007F6C11" w:rsidRPr="007F6C11">
        <w:rPr>
          <w:i/>
        </w:rPr>
        <w:t>et al.</w:t>
      </w:r>
      <w:r w:rsidR="007F6C11">
        <w:t xml:space="preserve"> (</w:t>
      </w:r>
      <w:r>
        <w:t>2011</w:t>
      </w:r>
      <w:r w:rsidR="007F6C11">
        <w:t>)</w:t>
      </w:r>
      <w:r>
        <w:t xml:space="preserve"> was the exception where high-dose vitamin D was the intervention group and </w:t>
      </w:r>
      <w:r w:rsidR="00CF00E4">
        <w:t>placebo (without vitamin D/calcium supplements) was</w:t>
      </w:r>
      <w:r>
        <w:t xml:space="preserve"> used.</w:t>
      </w:r>
    </w:p>
    <w:p w:rsidR="009406A8" w:rsidRDefault="009406A8" w:rsidP="00BD1164">
      <w:r>
        <w:t xml:space="preserve">Most studies were assessed as ‘medium’ </w:t>
      </w:r>
      <w:r w:rsidR="00DC4F15">
        <w:t xml:space="preserve">quality with some risk of bias </w:t>
      </w:r>
      <w:r>
        <w:t>or ‘poor’ quality where there was insufficient data to judge risk of bias.</w:t>
      </w:r>
    </w:p>
    <w:p w:rsidR="009406A8" w:rsidRDefault="009406A8" w:rsidP="00BD1164">
      <w:r>
        <w:t>Limitations of the studies included:</w:t>
      </w:r>
    </w:p>
    <w:p w:rsidR="003E7241" w:rsidRPr="003E7241" w:rsidRDefault="003E7241" w:rsidP="00534D10">
      <w:pPr>
        <w:pStyle w:val="ListParagraph"/>
        <w:numPr>
          <w:ilvl w:val="0"/>
          <w:numId w:val="41"/>
        </w:numPr>
      </w:pPr>
      <w:r w:rsidRPr="003E7241">
        <w:t>Some studies did not report whether the BMD analyses were independent (blinded) to study investigators and study group allocation</w:t>
      </w:r>
      <w:r w:rsidR="00F523DA">
        <w:t>;</w:t>
      </w:r>
    </w:p>
    <w:p w:rsidR="003E7241" w:rsidRPr="003E7241" w:rsidRDefault="003E7241" w:rsidP="00534D10">
      <w:pPr>
        <w:pStyle w:val="ListParagraph"/>
        <w:numPr>
          <w:ilvl w:val="0"/>
          <w:numId w:val="41"/>
        </w:numPr>
      </w:pPr>
      <w:r w:rsidRPr="003E7241">
        <w:t>Reports using ‘mean difference’ between treatment groups did not enable direct comparison across studies with absolute change within each group</w:t>
      </w:r>
      <w:r w:rsidR="00F523DA">
        <w:t>;</w:t>
      </w:r>
    </w:p>
    <w:p w:rsidR="003E7241" w:rsidRPr="003E7241" w:rsidRDefault="003E7241" w:rsidP="00534D10">
      <w:pPr>
        <w:pStyle w:val="ListParagraph"/>
        <w:numPr>
          <w:ilvl w:val="0"/>
          <w:numId w:val="41"/>
        </w:numPr>
      </w:pPr>
      <w:r w:rsidRPr="003E7241">
        <w:t>Most studies did not state what they considered to be clinically meaningful change in BMD across time</w:t>
      </w:r>
      <w:r w:rsidR="00F523DA">
        <w:t>;</w:t>
      </w:r>
    </w:p>
    <w:p w:rsidR="003E7241" w:rsidRPr="003E7241" w:rsidRDefault="003E7241" w:rsidP="00534D10">
      <w:pPr>
        <w:pStyle w:val="ListParagraph"/>
        <w:numPr>
          <w:ilvl w:val="0"/>
          <w:numId w:val="41"/>
        </w:numPr>
      </w:pPr>
      <w:r w:rsidRPr="003E7241">
        <w:t xml:space="preserve">High patient </w:t>
      </w:r>
      <w:r w:rsidR="00874A7F">
        <w:t>withdrawal</w:t>
      </w:r>
      <w:r w:rsidRPr="003E7241">
        <w:t xml:space="preserve"> in some studies were not fully explained</w:t>
      </w:r>
      <w:r w:rsidR="00F523DA">
        <w:t>;</w:t>
      </w:r>
      <w:r w:rsidRPr="003E7241">
        <w:t xml:space="preserve"> </w:t>
      </w:r>
    </w:p>
    <w:p w:rsidR="003E7241" w:rsidRDefault="003E7241" w:rsidP="00534D10">
      <w:pPr>
        <w:pStyle w:val="ListParagraph"/>
        <w:numPr>
          <w:ilvl w:val="0"/>
          <w:numId w:val="41"/>
        </w:numPr>
      </w:pPr>
      <w:r w:rsidRPr="003E7241">
        <w:t>Compliance and adherence to bone resorptives or vitam</w:t>
      </w:r>
      <w:r w:rsidR="00F523DA">
        <w:t>in supplements was not reported; and</w:t>
      </w:r>
    </w:p>
    <w:p w:rsidR="00BD1164" w:rsidRPr="00816F71" w:rsidRDefault="009406A8" w:rsidP="00534D10">
      <w:pPr>
        <w:pStyle w:val="ListParagraph"/>
        <w:numPr>
          <w:ilvl w:val="0"/>
          <w:numId w:val="41"/>
        </w:numPr>
      </w:pPr>
      <w:r w:rsidRPr="00816F71">
        <w:t xml:space="preserve">The statistical precision of </w:t>
      </w:r>
      <w:r w:rsidR="003E7241" w:rsidRPr="00816F71">
        <w:t>BMD change outcomes</w:t>
      </w:r>
      <w:r w:rsidRPr="00816F71">
        <w:t xml:space="preserve"> was not uniformly reported across </w:t>
      </w:r>
      <w:r w:rsidR="003E7241" w:rsidRPr="00816F71">
        <w:t xml:space="preserve">studies. </w:t>
      </w:r>
      <w:r w:rsidR="007F6C11">
        <w:t>Studies</w:t>
      </w:r>
      <w:r w:rsidRPr="00816F71">
        <w:t xml:space="preserve"> by </w:t>
      </w:r>
      <w:r w:rsidR="00F523DA">
        <w:t>Ellis, Safra, Hines</w:t>
      </w:r>
      <w:r w:rsidRPr="00816F71">
        <w:t xml:space="preserve"> </w:t>
      </w:r>
      <w:r w:rsidR="003E7241" w:rsidRPr="00816F71">
        <w:t>did not provide</w:t>
      </w:r>
      <w:r w:rsidRPr="00816F71">
        <w:t xml:space="preserve"> 95% confidence intervals or standard deviations/errors.</w:t>
      </w:r>
      <w:r w:rsidR="003E7241" w:rsidRPr="00816F71">
        <w:t xml:space="preserve"> </w:t>
      </w:r>
    </w:p>
    <w:p w:rsidR="00816F71" w:rsidRDefault="00816F71" w:rsidP="00201ECF">
      <w:pPr>
        <w:pStyle w:val="Heading4"/>
      </w:pPr>
    </w:p>
    <w:p w:rsidR="00874A7F" w:rsidRDefault="00201ECF" w:rsidP="00874A7F">
      <w:pPr>
        <w:pStyle w:val="Heading4"/>
      </w:pPr>
      <w:r>
        <w:t>Safety</w:t>
      </w:r>
      <w:r w:rsidR="00874A7F">
        <w:t xml:space="preserve"> of treatments for aromatase-inhibitor-associated bone loss</w:t>
      </w:r>
    </w:p>
    <w:p w:rsidR="00201ECF" w:rsidRDefault="00BD1164" w:rsidP="00BD1164">
      <w:r>
        <w:t xml:space="preserve">A summary of the main adverse events for anti-resorptives and vitamin D is provided in Table </w:t>
      </w:r>
      <w:r w:rsidR="007D3251">
        <w:t>20</w:t>
      </w:r>
      <w:r>
        <w:t>.</w:t>
      </w:r>
      <w:r w:rsidR="003E7241">
        <w:t xml:space="preserve"> The reporting of adverse events was not uniform across the studies. </w:t>
      </w:r>
      <w:r w:rsidR="000F23BC">
        <w:t xml:space="preserve"> </w:t>
      </w:r>
    </w:p>
    <w:p w:rsidR="000E0468" w:rsidRDefault="003E05D0" w:rsidP="000E0468">
      <w:r>
        <w:t>Osteonecrosis of the jaw (ONJ) is an area of exposed bone (not covered by gum) in the jaw region that does not heal within 8 weeks of identification. The cause of ONJ is unknown but</w:t>
      </w:r>
      <w:r w:rsidR="00273D65">
        <w:t xml:space="preserve"> use of high-dose zoledronic acid and people suffering cancer are among the risk factors. The symptoms are severe jaw pain, numbness, swelling, infection and loosening of teeth. ONJ</w:t>
      </w:r>
      <w:r>
        <w:t xml:space="preserve">  </w:t>
      </w:r>
      <w:r w:rsidR="000F23BC">
        <w:t>was not a common adverse event across the studies</w:t>
      </w:r>
      <w:r w:rsidR="00273D65">
        <w:t>, in most studies</w:t>
      </w:r>
      <w:r w:rsidR="000F23BC">
        <w:t xml:space="preserve"> occurring in no patients</w:t>
      </w:r>
      <w:r w:rsidR="000C36C3">
        <w:t>,</w:t>
      </w:r>
      <w:r w:rsidR="000F23BC">
        <w:t xml:space="preserve"> in </w:t>
      </w:r>
      <w:r w:rsidR="003E50DD" w:rsidRPr="00AA1440">
        <w:t>2/300 (0.67%) upfront patients in Z-FAST and 0.04%</w:t>
      </w:r>
      <w:r w:rsidR="000F23BC" w:rsidRPr="00AA1440">
        <w:t xml:space="preserve"> patient</w:t>
      </w:r>
      <w:r w:rsidR="003E50DD" w:rsidRPr="00AA1440">
        <w:t>s</w:t>
      </w:r>
      <w:r w:rsidR="000F23BC" w:rsidRPr="00AA1440">
        <w:t xml:space="preserve"> in </w:t>
      </w:r>
      <w:r w:rsidR="003E50DD" w:rsidRPr="00AA1440">
        <w:t>the E-ZO-FAST</w:t>
      </w:r>
      <w:r w:rsidR="000F23BC" w:rsidRPr="00AA1440">
        <w:t xml:space="preserve"> study.</w:t>
      </w:r>
      <w:r w:rsidR="000F23BC">
        <w:t xml:space="preserve"> </w:t>
      </w:r>
      <w:r w:rsidR="00273D65">
        <w:t>In the ZO-FAST study, 7 patients were suspected of ONJ but 3 patients were confirmed with the condition.P</w:t>
      </w:r>
      <w:r w:rsidR="000F23BC">
        <w:t xml:space="preserve">atients with this event would have </w:t>
      </w:r>
      <w:r w:rsidR="00273D65">
        <w:t xml:space="preserve">permanently </w:t>
      </w:r>
      <w:r w:rsidR="000F23BC">
        <w:t xml:space="preserve">discontinued from the study and the reports (in </w:t>
      </w:r>
      <w:r w:rsidR="000C36C3">
        <w:t>participant</w:t>
      </w:r>
      <w:r w:rsidR="000F23BC">
        <w:t xml:space="preserve"> flow charts) did not document any patients who discontinued for this reason. Other studies did not report adverse events at all or in sufficient detail to be assessed (</w:t>
      </w:r>
      <w:r w:rsidR="007D3251">
        <w:t>Lee 2011, Markopoulos 2010, Rhee 2013, Ellis 2009</w:t>
      </w:r>
      <w:r w:rsidR="000F23BC">
        <w:t>).</w:t>
      </w:r>
    </w:p>
    <w:p w:rsidR="007D3251" w:rsidRDefault="007D3251" w:rsidP="000E0468">
      <w:r>
        <w:t xml:space="preserve">The common adverse events for women on anti-resorptive treatments were arthralgia, hot flushes, fatigue, myalgia, bone pain and fever. The proportions in Table 20 are for all severity levels of adverse events.  Fever, hot flushes and fatigue are also symptoms common for AIs. There were no significant differences in the adverse event profiles for those in the treatment and no treatment arms. The exceptions were significantly higher fever </w:t>
      </w:r>
      <w:r w:rsidR="00801146">
        <w:t xml:space="preserve">experienced </w:t>
      </w:r>
      <w:r>
        <w:t>in</w:t>
      </w:r>
      <w:r w:rsidR="00801146">
        <w:t xml:space="preserve"> participants of the</w:t>
      </w:r>
      <w:r>
        <w:t xml:space="preserve"> Takahashi 2012</w:t>
      </w:r>
      <w:r w:rsidR="00801146">
        <w:t xml:space="preserve"> study and across most adverse events in Hines 200</w:t>
      </w:r>
      <w:r w:rsidR="008B5C9C">
        <w:t>9</w:t>
      </w:r>
      <w:r w:rsidR="00801146">
        <w:t>.</w:t>
      </w:r>
    </w:p>
    <w:p w:rsidR="00A158A3" w:rsidRPr="00DC7184" w:rsidRDefault="007C5F86" w:rsidP="00DC7184">
      <w:pPr>
        <w:pStyle w:val="TableName"/>
      </w:pPr>
      <w:bookmarkStart w:id="111" w:name="_Toc386112689"/>
      <w:r w:rsidRPr="00DC7184">
        <w:lastRenderedPageBreak/>
        <w:t>Table</w:t>
      </w:r>
      <w:r w:rsidR="00FB5809" w:rsidRPr="00DC7184">
        <w:t xml:space="preserve"> </w:t>
      </w:r>
      <w:r w:rsidR="007D3251" w:rsidRPr="00DC7184">
        <w:t>20</w:t>
      </w:r>
      <w:r w:rsidR="008F61F3" w:rsidRPr="00DC7184">
        <w:t xml:space="preserve">: </w:t>
      </w:r>
      <w:r w:rsidR="004B4974">
        <w:t>C</w:t>
      </w:r>
      <w:r w:rsidR="008F61F3" w:rsidRPr="00DC7184">
        <w:t xml:space="preserve">ommon adverse events </w:t>
      </w:r>
      <w:r w:rsidR="003E50DD" w:rsidRPr="00DC7184">
        <w:t>for</w:t>
      </w:r>
      <w:r w:rsidR="008F61F3" w:rsidRPr="00DC7184">
        <w:t xml:space="preserve"> </w:t>
      </w:r>
      <w:r w:rsidR="003E50DD" w:rsidRPr="00DC7184">
        <w:t>women</w:t>
      </w:r>
      <w:r w:rsidR="002571D9" w:rsidRPr="00DC7184">
        <w:t xml:space="preserve"> on </w:t>
      </w:r>
      <w:r w:rsidR="007D3251" w:rsidRPr="00DC7184">
        <w:t>BMD management</w:t>
      </w:r>
      <w:bookmarkEnd w:id="111"/>
      <w:r w:rsidR="004B4974">
        <w:t xml:space="preserve"> </w:t>
      </w:r>
      <w:r w:rsidR="004B4974">
        <w:rPr>
          <w:bCs/>
        </w:rPr>
        <w:t>(%) Intvn/Comparator</w:t>
      </w:r>
    </w:p>
    <w:tbl>
      <w:tblPr>
        <w:tblW w:w="4187" w:type="pct"/>
        <w:tblInd w:w="72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Caption w:val="Table 20 Summary of most common adverse events BMD management"/>
      </w:tblPr>
      <w:tblGrid>
        <w:gridCol w:w="1728"/>
        <w:gridCol w:w="1007"/>
        <w:gridCol w:w="1123"/>
        <w:gridCol w:w="1007"/>
        <w:gridCol w:w="1007"/>
        <w:gridCol w:w="1007"/>
        <w:gridCol w:w="999"/>
      </w:tblGrid>
      <w:tr w:rsidR="00874A7F" w:rsidRPr="005442FD" w:rsidTr="00192A3B">
        <w:trPr>
          <w:tblHeader/>
        </w:trPr>
        <w:tc>
          <w:tcPr>
            <w:tcW w:w="1097" w:type="pct"/>
            <w:tcBorders>
              <w:right w:val="single" w:sz="4" w:space="0" w:color="auto"/>
            </w:tcBorders>
            <w:shd w:val="clear" w:color="auto" w:fill="auto"/>
          </w:tcPr>
          <w:p w:rsidR="00874A7F" w:rsidRPr="004B4974" w:rsidRDefault="004B4974" w:rsidP="008F61F3">
            <w:pPr>
              <w:pStyle w:val="TableText"/>
              <w:rPr>
                <w:b/>
              </w:rPr>
            </w:pPr>
            <w:r w:rsidRPr="004B4974">
              <w:rPr>
                <w:b/>
                <w:bCs/>
              </w:rPr>
              <w:t>Study</w:t>
            </w:r>
          </w:p>
        </w:tc>
        <w:tc>
          <w:tcPr>
            <w:tcW w:w="639" w:type="pct"/>
            <w:tcBorders>
              <w:left w:val="single" w:sz="4" w:space="0" w:color="auto"/>
            </w:tcBorders>
            <w:shd w:val="clear" w:color="auto" w:fill="auto"/>
          </w:tcPr>
          <w:p w:rsidR="00874A7F" w:rsidRPr="00C9782D" w:rsidRDefault="00874A7F" w:rsidP="002B7FBA">
            <w:pPr>
              <w:pStyle w:val="TableText"/>
              <w:jc w:val="center"/>
              <w:rPr>
                <w:b/>
              </w:rPr>
            </w:pPr>
            <w:r>
              <w:rPr>
                <w:b/>
              </w:rPr>
              <w:t>Arthralgia</w:t>
            </w:r>
          </w:p>
        </w:tc>
        <w:tc>
          <w:tcPr>
            <w:tcW w:w="713" w:type="pct"/>
            <w:tcBorders>
              <w:left w:val="single" w:sz="4" w:space="0" w:color="auto"/>
            </w:tcBorders>
          </w:tcPr>
          <w:p w:rsidR="00874A7F" w:rsidRPr="00C9782D" w:rsidRDefault="00874A7F" w:rsidP="002B7FBA">
            <w:pPr>
              <w:pStyle w:val="TableText"/>
              <w:jc w:val="center"/>
              <w:rPr>
                <w:b/>
              </w:rPr>
            </w:pPr>
            <w:r>
              <w:rPr>
                <w:b/>
              </w:rPr>
              <w:t>Hot flushes</w:t>
            </w:r>
          </w:p>
        </w:tc>
        <w:tc>
          <w:tcPr>
            <w:tcW w:w="639" w:type="pct"/>
            <w:tcBorders>
              <w:left w:val="single" w:sz="4" w:space="0" w:color="auto"/>
            </w:tcBorders>
          </w:tcPr>
          <w:p w:rsidR="00874A7F" w:rsidRPr="00C9782D" w:rsidRDefault="00874A7F" w:rsidP="002B7FBA">
            <w:pPr>
              <w:pStyle w:val="TableText"/>
              <w:jc w:val="center"/>
              <w:rPr>
                <w:b/>
              </w:rPr>
            </w:pPr>
            <w:r>
              <w:rPr>
                <w:b/>
              </w:rPr>
              <w:t>Fatigue</w:t>
            </w:r>
          </w:p>
        </w:tc>
        <w:tc>
          <w:tcPr>
            <w:tcW w:w="639" w:type="pct"/>
            <w:tcBorders>
              <w:left w:val="single" w:sz="4" w:space="0" w:color="auto"/>
            </w:tcBorders>
          </w:tcPr>
          <w:p w:rsidR="00874A7F" w:rsidRPr="00C9782D" w:rsidRDefault="00874A7F" w:rsidP="002B7FBA">
            <w:pPr>
              <w:pStyle w:val="TableText"/>
              <w:jc w:val="center"/>
              <w:rPr>
                <w:b/>
              </w:rPr>
            </w:pPr>
            <w:r>
              <w:rPr>
                <w:b/>
              </w:rPr>
              <w:t>Myalgia</w:t>
            </w:r>
          </w:p>
        </w:tc>
        <w:tc>
          <w:tcPr>
            <w:tcW w:w="639" w:type="pct"/>
            <w:tcBorders>
              <w:left w:val="single" w:sz="4" w:space="0" w:color="auto"/>
            </w:tcBorders>
          </w:tcPr>
          <w:p w:rsidR="00874A7F" w:rsidRPr="00C9782D" w:rsidRDefault="00874A7F" w:rsidP="002B7FBA">
            <w:pPr>
              <w:pStyle w:val="TableText"/>
              <w:jc w:val="center"/>
              <w:rPr>
                <w:b/>
              </w:rPr>
            </w:pPr>
            <w:r>
              <w:rPr>
                <w:b/>
              </w:rPr>
              <w:t>Bone pain</w:t>
            </w:r>
          </w:p>
        </w:tc>
        <w:tc>
          <w:tcPr>
            <w:tcW w:w="634" w:type="pct"/>
            <w:tcBorders>
              <w:left w:val="single" w:sz="4" w:space="0" w:color="auto"/>
            </w:tcBorders>
          </w:tcPr>
          <w:p w:rsidR="00874A7F" w:rsidRPr="00C9782D" w:rsidRDefault="00874A7F" w:rsidP="002B7FBA">
            <w:pPr>
              <w:pStyle w:val="TableText"/>
              <w:jc w:val="center"/>
              <w:rPr>
                <w:b/>
              </w:rPr>
            </w:pPr>
            <w:r>
              <w:rPr>
                <w:b/>
              </w:rPr>
              <w:t>Fever</w:t>
            </w:r>
          </w:p>
        </w:tc>
      </w:tr>
      <w:tr w:rsidR="00874A7F" w:rsidRPr="005442FD" w:rsidTr="00192A3B">
        <w:trPr>
          <w:tblHeader/>
        </w:trPr>
        <w:tc>
          <w:tcPr>
            <w:tcW w:w="1097" w:type="pct"/>
            <w:tcBorders>
              <w:right w:val="single" w:sz="4" w:space="0" w:color="auto"/>
            </w:tcBorders>
            <w:shd w:val="clear" w:color="auto" w:fill="auto"/>
          </w:tcPr>
          <w:p w:rsidR="00874A7F" w:rsidRPr="0080730E" w:rsidRDefault="00874A7F" w:rsidP="00037706">
            <w:pPr>
              <w:pStyle w:val="TableText"/>
            </w:pPr>
            <w:r>
              <w:t xml:space="preserve">Brufsky 2012 </w:t>
            </w:r>
          </w:p>
        </w:tc>
        <w:tc>
          <w:tcPr>
            <w:tcW w:w="639" w:type="pct"/>
            <w:tcBorders>
              <w:left w:val="single" w:sz="4" w:space="0" w:color="auto"/>
            </w:tcBorders>
            <w:shd w:val="clear" w:color="auto" w:fill="auto"/>
          </w:tcPr>
          <w:p w:rsidR="00874A7F" w:rsidRPr="008F61F3" w:rsidRDefault="00874A7F" w:rsidP="002B7FBA">
            <w:pPr>
              <w:pStyle w:val="TableText"/>
              <w:jc w:val="center"/>
            </w:pPr>
            <w:r w:rsidRPr="008F61F3">
              <w:t>47.0</w:t>
            </w:r>
            <w:r>
              <w:t>/45.3</w:t>
            </w:r>
          </w:p>
        </w:tc>
        <w:tc>
          <w:tcPr>
            <w:tcW w:w="713" w:type="pct"/>
            <w:tcBorders>
              <w:left w:val="single" w:sz="4" w:space="0" w:color="auto"/>
            </w:tcBorders>
          </w:tcPr>
          <w:p w:rsidR="00874A7F" w:rsidRPr="008F61F3" w:rsidRDefault="00874A7F" w:rsidP="002B7FBA">
            <w:pPr>
              <w:pStyle w:val="TableText"/>
              <w:jc w:val="center"/>
            </w:pPr>
            <w:r>
              <w:t>40.7/39.3</w:t>
            </w:r>
          </w:p>
        </w:tc>
        <w:tc>
          <w:tcPr>
            <w:tcW w:w="639" w:type="pct"/>
            <w:tcBorders>
              <w:left w:val="single" w:sz="4" w:space="0" w:color="auto"/>
            </w:tcBorders>
          </w:tcPr>
          <w:p w:rsidR="00874A7F" w:rsidRPr="008F61F3" w:rsidRDefault="00874A7F" w:rsidP="002B7FBA">
            <w:pPr>
              <w:pStyle w:val="TableText"/>
              <w:jc w:val="center"/>
            </w:pPr>
            <w:r>
              <w:t>33.7/29.3</w:t>
            </w:r>
          </w:p>
        </w:tc>
        <w:tc>
          <w:tcPr>
            <w:tcW w:w="639" w:type="pct"/>
            <w:tcBorders>
              <w:left w:val="single" w:sz="4" w:space="0" w:color="auto"/>
            </w:tcBorders>
          </w:tcPr>
          <w:p w:rsidR="00874A7F" w:rsidRPr="008F61F3" w:rsidRDefault="00874A7F" w:rsidP="002B7FBA">
            <w:pPr>
              <w:pStyle w:val="TableText"/>
              <w:jc w:val="center"/>
            </w:pPr>
            <w:r>
              <w:t>20.3/15.7</w:t>
            </w:r>
          </w:p>
        </w:tc>
        <w:tc>
          <w:tcPr>
            <w:tcW w:w="639" w:type="pct"/>
            <w:tcBorders>
              <w:left w:val="single" w:sz="4" w:space="0" w:color="auto"/>
            </w:tcBorders>
          </w:tcPr>
          <w:p w:rsidR="00874A7F" w:rsidRPr="008F61F3" w:rsidRDefault="00874A7F" w:rsidP="002B7FBA">
            <w:pPr>
              <w:pStyle w:val="TableText"/>
              <w:jc w:val="center"/>
            </w:pPr>
            <w:r>
              <w:t>16.0/8.0</w:t>
            </w:r>
          </w:p>
        </w:tc>
        <w:tc>
          <w:tcPr>
            <w:tcW w:w="634" w:type="pct"/>
            <w:tcBorders>
              <w:left w:val="single" w:sz="4" w:space="0" w:color="auto"/>
            </w:tcBorders>
          </w:tcPr>
          <w:p w:rsidR="00874A7F" w:rsidRPr="008F61F3" w:rsidRDefault="000E0468" w:rsidP="002B7FBA">
            <w:pPr>
              <w:pStyle w:val="TableText"/>
              <w:jc w:val="center"/>
            </w:pPr>
            <w:r>
              <w:t>-</w:t>
            </w:r>
          </w:p>
        </w:tc>
      </w:tr>
      <w:tr w:rsidR="00874A7F" w:rsidRPr="005442FD" w:rsidTr="00192A3B">
        <w:trPr>
          <w:tblHeader/>
        </w:trPr>
        <w:tc>
          <w:tcPr>
            <w:tcW w:w="1097" w:type="pct"/>
            <w:tcBorders>
              <w:right w:val="single" w:sz="4" w:space="0" w:color="auto"/>
            </w:tcBorders>
            <w:shd w:val="clear" w:color="auto" w:fill="auto"/>
          </w:tcPr>
          <w:p w:rsidR="00874A7F" w:rsidRPr="0080730E" w:rsidRDefault="00874A7F" w:rsidP="00037706">
            <w:pPr>
              <w:pStyle w:val="TableText"/>
            </w:pPr>
            <w:r>
              <w:t xml:space="preserve">Coleman 2013 </w:t>
            </w:r>
          </w:p>
        </w:tc>
        <w:tc>
          <w:tcPr>
            <w:tcW w:w="639" w:type="pct"/>
            <w:tcBorders>
              <w:left w:val="single" w:sz="4" w:space="0" w:color="auto"/>
            </w:tcBorders>
            <w:shd w:val="clear" w:color="auto" w:fill="auto"/>
          </w:tcPr>
          <w:p w:rsidR="00874A7F" w:rsidRPr="008F61F3" w:rsidRDefault="00874A7F" w:rsidP="002B7FBA">
            <w:pPr>
              <w:pStyle w:val="TableText"/>
              <w:jc w:val="center"/>
            </w:pPr>
            <w:r w:rsidRPr="008F61F3">
              <w:t>49.0</w:t>
            </w:r>
            <w:r>
              <w:t>/</w:t>
            </w:r>
            <w:r w:rsidRPr="008F61F3">
              <w:t>46.9</w:t>
            </w:r>
          </w:p>
        </w:tc>
        <w:tc>
          <w:tcPr>
            <w:tcW w:w="713" w:type="pct"/>
            <w:tcBorders>
              <w:left w:val="single" w:sz="4" w:space="0" w:color="auto"/>
            </w:tcBorders>
          </w:tcPr>
          <w:p w:rsidR="00874A7F" w:rsidRPr="008F61F3" w:rsidRDefault="000E0468" w:rsidP="002B7FBA">
            <w:pPr>
              <w:pStyle w:val="TableText"/>
              <w:jc w:val="center"/>
            </w:pPr>
            <w:r>
              <w:t>-</w:t>
            </w:r>
          </w:p>
        </w:tc>
        <w:tc>
          <w:tcPr>
            <w:tcW w:w="639" w:type="pct"/>
            <w:tcBorders>
              <w:left w:val="single" w:sz="4" w:space="0" w:color="auto"/>
            </w:tcBorders>
          </w:tcPr>
          <w:p w:rsidR="00874A7F" w:rsidRPr="008F61F3" w:rsidRDefault="00874A7F" w:rsidP="002B7FBA">
            <w:pPr>
              <w:pStyle w:val="TableText"/>
              <w:jc w:val="center"/>
            </w:pPr>
            <w:r>
              <w:t>17.7/17.8</w:t>
            </w:r>
          </w:p>
        </w:tc>
        <w:tc>
          <w:tcPr>
            <w:tcW w:w="639" w:type="pct"/>
            <w:tcBorders>
              <w:left w:val="single" w:sz="4" w:space="0" w:color="auto"/>
            </w:tcBorders>
          </w:tcPr>
          <w:p w:rsidR="00874A7F" w:rsidRPr="008F61F3" w:rsidRDefault="00874A7F" w:rsidP="002B7FBA">
            <w:pPr>
              <w:pStyle w:val="TableText"/>
              <w:jc w:val="center"/>
            </w:pPr>
            <w:r>
              <w:t>13.0/13.3</w:t>
            </w:r>
          </w:p>
        </w:tc>
        <w:tc>
          <w:tcPr>
            <w:tcW w:w="639" w:type="pct"/>
            <w:tcBorders>
              <w:left w:val="single" w:sz="4" w:space="0" w:color="auto"/>
            </w:tcBorders>
          </w:tcPr>
          <w:p w:rsidR="00874A7F" w:rsidRPr="008F61F3" w:rsidRDefault="00874A7F" w:rsidP="002B7FBA">
            <w:pPr>
              <w:pStyle w:val="TableText"/>
              <w:jc w:val="center"/>
            </w:pPr>
            <w:r>
              <w:t>18.5/12.1</w:t>
            </w:r>
          </w:p>
        </w:tc>
        <w:tc>
          <w:tcPr>
            <w:tcW w:w="634" w:type="pct"/>
            <w:tcBorders>
              <w:left w:val="single" w:sz="4" w:space="0" w:color="auto"/>
            </w:tcBorders>
          </w:tcPr>
          <w:p w:rsidR="00874A7F" w:rsidRPr="008F61F3" w:rsidRDefault="00874A7F" w:rsidP="002B7FBA">
            <w:pPr>
              <w:pStyle w:val="TableText"/>
              <w:jc w:val="center"/>
            </w:pPr>
            <w:r>
              <w:t>15.2/3.6</w:t>
            </w:r>
          </w:p>
        </w:tc>
      </w:tr>
      <w:tr w:rsidR="00874A7F" w:rsidRPr="005442FD" w:rsidTr="00192A3B">
        <w:trPr>
          <w:tblHeader/>
        </w:trPr>
        <w:tc>
          <w:tcPr>
            <w:tcW w:w="1097" w:type="pct"/>
            <w:tcBorders>
              <w:right w:val="single" w:sz="4" w:space="0" w:color="auto"/>
            </w:tcBorders>
            <w:shd w:val="clear" w:color="auto" w:fill="auto"/>
          </w:tcPr>
          <w:p w:rsidR="00874A7F" w:rsidRPr="0080730E" w:rsidRDefault="00874A7F" w:rsidP="000E0468">
            <w:pPr>
              <w:pStyle w:val="TableText"/>
            </w:pPr>
            <w:r w:rsidRPr="0080730E">
              <w:t xml:space="preserve">Llombart 2012 </w:t>
            </w:r>
          </w:p>
        </w:tc>
        <w:tc>
          <w:tcPr>
            <w:tcW w:w="639" w:type="pct"/>
            <w:tcBorders>
              <w:left w:val="single" w:sz="4" w:space="0" w:color="auto"/>
            </w:tcBorders>
            <w:shd w:val="clear" w:color="auto" w:fill="auto"/>
          </w:tcPr>
          <w:p w:rsidR="00874A7F" w:rsidRPr="008F61F3" w:rsidRDefault="00874A7F" w:rsidP="002B7FBA">
            <w:pPr>
              <w:pStyle w:val="TableText"/>
              <w:jc w:val="center"/>
            </w:pPr>
            <w:r>
              <w:t>35.7/38.9</w:t>
            </w:r>
          </w:p>
        </w:tc>
        <w:tc>
          <w:tcPr>
            <w:tcW w:w="713" w:type="pct"/>
            <w:tcBorders>
              <w:left w:val="single" w:sz="4" w:space="0" w:color="auto"/>
            </w:tcBorders>
          </w:tcPr>
          <w:p w:rsidR="00874A7F" w:rsidRPr="008F61F3" w:rsidRDefault="00874A7F" w:rsidP="002B7FBA">
            <w:pPr>
              <w:pStyle w:val="TableText"/>
              <w:jc w:val="center"/>
            </w:pPr>
            <w:r>
              <w:t>22.6/31.5</w:t>
            </w:r>
          </w:p>
        </w:tc>
        <w:tc>
          <w:tcPr>
            <w:tcW w:w="639" w:type="pct"/>
            <w:tcBorders>
              <w:left w:val="single" w:sz="4" w:space="0" w:color="auto"/>
            </w:tcBorders>
          </w:tcPr>
          <w:p w:rsidR="00874A7F" w:rsidRPr="008F61F3" w:rsidRDefault="00874A7F" w:rsidP="002B7FBA">
            <w:pPr>
              <w:pStyle w:val="TableText"/>
              <w:jc w:val="center"/>
            </w:pPr>
            <w:r>
              <w:t>15.1/18.5</w:t>
            </w:r>
          </w:p>
        </w:tc>
        <w:tc>
          <w:tcPr>
            <w:tcW w:w="639" w:type="pct"/>
            <w:tcBorders>
              <w:left w:val="single" w:sz="4" w:space="0" w:color="auto"/>
            </w:tcBorders>
          </w:tcPr>
          <w:p w:rsidR="00874A7F" w:rsidRPr="008F61F3" w:rsidRDefault="00874A7F" w:rsidP="002B7FBA">
            <w:pPr>
              <w:pStyle w:val="TableText"/>
              <w:jc w:val="center"/>
            </w:pPr>
            <w:r>
              <w:t>11.1/10.4</w:t>
            </w:r>
          </w:p>
        </w:tc>
        <w:tc>
          <w:tcPr>
            <w:tcW w:w="639" w:type="pct"/>
            <w:tcBorders>
              <w:left w:val="single" w:sz="4" w:space="0" w:color="auto"/>
            </w:tcBorders>
          </w:tcPr>
          <w:p w:rsidR="00874A7F" w:rsidRPr="008F61F3" w:rsidRDefault="00874A7F" w:rsidP="002B7FBA">
            <w:pPr>
              <w:pStyle w:val="TableText"/>
              <w:jc w:val="center"/>
            </w:pPr>
            <w:r>
              <w:t>8.3/4.1</w:t>
            </w:r>
          </w:p>
        </w:tc>
        <w:tc>
          <w:tcPr>
            <w:tcW w:w="634" w:type="pct"/>
            <w:tcBorders>
              <w:left w:val="single" w:sz="4" w:space="0" w:color="auto"/>
            </w:tcBorders>
          </w:tcPr>
          <w:p w:rsidR="00874A7F" w:rsidRPr="008F61F3" w:rsidRDefault="00874A7F" w:rsidP="002B7FBA">
            <w:pPr>
              <w:pStyle w:val="TableText"/>
              <w:jc w:val="center"/>
            </w:pPr>
            <w:r>
              <w:t>6.7/0.0</w:t>
            </w:r>
          </w:p>
        </w:tc>
      </w:tr>
      <w:tr w:rsidR="00874A7F" w:rsidRPr="005442FD" w:rsidTr="00192A3B">
        <w:trPr>
          <w:trHeight w:val="227"/>
          <w:tblHeader/>
        </w:trPr>
        <w:tc>
          <w:tcPr>
            <w:tcW w:w="1097" w:type="pct"/>
            <w:tcBorders>
              <w:right w:val="single" w:sz="4" w:space="0" w:color="auto"/>
            </w:tcBorders>
            <w:shd w:val="clear" w:color="auto" w:fill="auto"/>
          </w:tcPr>
          <w:p w:rsidR="00874A7F" w:rsidRDefault="00874A7F" w:rsidP="000E0468">
            <w:pPr>
              <w:pStyle w:val="TableText"/>
            </w:pPr>
            <w:r>
              <w:t>Takahashi 2012</w:t>
            </w:r>
            <w:r w:rsidR="000E0468">
              <w:t xml:space="preserve"> </w:t>
            </w:r>
          </w:p>
        </w:tc>
        <w:tc>
          <w:tcPr>
            <w:tcW w:w="639" w:type="pct"/>
            <w:tcBorders>
              <w:left w:val="single" w:sz="4" w:space="0" w:color="auto"/>
            </w:tcBorders>
            <w:shd w:val="clear" w:color="auto" w:fill="auto"/>
          </w:tcPr>
          <w:p w:rsidR="00874A7F" w:rsidRPr="008F61F3" w:rsidRDefault="00874A7F" w:rsidP="002B7FBA">
            <w:pPr>
              <w:pStyle w:val="TableText"/>
              <w:jc w:val="center"/>
            </w:pPr>
            <w:r>
              <w:t>51.6/48.5</w:t>
            </w:r>
          </w:p>
        </w:tc>
        <w:tc>
          <w:tcPr>
            <w:tcW w:w="713" w:type="pct"/>
            <w:tcBorders>
              <w:left w:val="single" w:sz="4" w:space="0" w:color="auto"/>
            </w:tcBorders>
          </w:tcPr>
          <w:p w:rsidR="00874A7F" w:rsidRPr="008F61F3" w:rsidRDefault="00874A7F" w:rsidP="002B7FBA">
            <w:pPr>
              <w:pStyle w:val="TableText"/>
              <w:jc w:val="center"/>
            </w:pPr>
            <w:r>
              <w:t>13.7/9.3</w:t>
            </w:r>
          </w:p>
        </w:tc>
        <w:tc>
          <w:tcPr>
            <w:tcW w:w="639" w:type="pct"/>
            <w:tcBorders>
              <w:left w:val="single" w:sz="4" w:space="0" w:color="auto"/>
            </w:tcBorders>
          </w:tcPr>
          <w:p w:rsidR="00874A7F" w:rsidRPr="008F61F3" w:rsidRDefault="000E0468" w:rsidP="002B7FBA">
            <w:pPr>
              <w:pStyle w:val="TableText"/>
              <w:jc w:val="center"/>
            </w:pPr>
            <w:r>
              <w:t>-</w:t>
            </w:r>
          </w:p>
        </w:tc>
        <w:tc>
          <w:tcPr>
            <w:tcW w:w="639" w:type="pct"/>
            <w:tcBorders>
              <w:left w:val="single" w:sz="4" w:space="0" w:color="auto"/>
            </w:tcBorders>
          </w:tcPr>
          <w:p w:rsidR="00874A7F" w:rsidRPr="008F61F3" w:rsidRDefault="00874A7F" w:rsidP="002B7FBA">
            <w:pPr>
              <w:pStyle w:val="TableText"/>
              <w:jc w:val="center"/>
            </w:pPr>
            <w:r>
              <w:t>6.4/6.2</w:t>
            </w:r>
          </w:p>
        </w:tc>
        <w:tc>
          <w:tcPr>
            <w:tcW w:w="639" w:type="pct"/>
            <w:tcBorders>
              <w:left w:val="single" w:sz="4" w:space="0" w:color="auto"/>
            </w:tcBorders>
          </w:tcPr>
          <w:p w:rsidR="00874A7F" w:rsidRPr="008F61F3" w:rsidRDefault="000E0468" w:rsidP="002B7FBA">
            <w:pPr>
              <w:pStyle w:val="TableText"/>
              <w:jc w:val="center"/>
            </w:pPr>
            <w:r>
              <w:t>-</w:t>
            </w:r>
          </w:p>
        </w:tc>
        <w:tc>
          <w:tcPr>
            <w:tcW w:w="634" w:type="pct"/>
            <w:tcBorders>
              <w:left w:val="single" w:sz="4" w:space="0" w:color="auto"/>
            </w:tcBorders>
          </w:tcPr>
          <w:p w:rsidR="00874A7F" w:rsidRPr="002B7FBA" w:rsidRDefault="002B7FBA" w:rsidP="002B7FBA">
            <w:pPr>
              <w:pStyle w:val="TableText"/>
              <w:jc w:val="center"/>
              <w:rPr>
                <w:b/>
              </w:rPr>
            </w:pPr>
            <w:r w:rsidRPr="002B7FBA">
              <w:rPr>
                <w:b/>
              </w:rPr>
              <w:t>23.0/3.1</w:t>
            </w:r>
          </w:p>
        </w:tc>
      </w:tr>
      <w:tr w:rsidR="00874A7F" w:rsidRPr="005442FD" w:rsidTr="00192A3B">
        <w:trPr>
          <w:tblHeader/>
        </w:trPr>
        <w:tc>
          <w:tcPr>
            <w:tcW w:w="1097" w:type="pct"/>
            <w:tcBorders>
              <w:right w:val="single" w:sz="4" w:space="0" w:color="auto"/>
            </w:tcBorders>
            <w:shd w:val="clear" w:color="auto" w:fill="auto"/>
          </w:tcPr>
          <w:p w:rsidR="00874A7F" w:rsidRDefault="00874A7F" w:rsidP="00037706">
            <w:pPr>
              <w:pStyle w:val="TableText"/>
            </w:pPr>
            <w:r>
              <w:t xml:space="preserve">Nuzzo 2012 </w:t>
            </w:r>
          </w:p>
        </w:tc>
        <w:tc>
          <w:tcPr>
            <w:tcW w:w="639" w:type="pct"/>
            <w:tcBorders>
              <w:left w:val="single" w:sz="4" w:space="0" w:color="auto"/>
            </w:tcBorders>
            <w:shd w:val="clear" w:color="auto" w:fill="auto"/>
          </w:tcPr>
          <w:p w:rsidR="00874A7F" w:rsidRPr="008F61F3" w:rsidRDefault="00874A7F" w:rsidP="002B7FBA">
            <w:pPr>
              <w:pStyle w:val="TableText"/>
              <w:jc w:val="center"/>
            </w:pPr>
            <w:r>
              <w:t>13.0/3.0</w:t>
            </w:r>
          </w:p>
        </w:tc>
        <w:tc>
          <w:tcPr>
            <w:tcW w:w="713" w:type="pct"/>
            <w:tcBorders>
              <w:left w:val="single" w:sz="4" w:space="0" w:color="auto"/>
            </w:tcBorders>
          </w:tcPr>
          <w:p w:rsidR="00874A7F" w:rsidRPr="008F61F3" w:rsidRDefault="00874A7F" w:rsidP="002B7FBA">
            <w:pPr>
              <w:pStyle w:val="TableText"/>
              <w:jc w:val="center"/>
            </w:pPr>
            <w:r>
              <w:t>28.0/32.0</w:t>
            </w:r>
          </w:p>
        </w:tc>
        <w:tc>
          <w:tcPr>
            <w:tcW w:w="639" w:type="pct"/>
            <w:tcBorders>
              <w:left w:val="single" w:sz="4" w:space="0" w:color="auto"/>
            </w:tcBorders>
          </w:tcPr>
          <w:p w:rsidR="00874A7F" w:rsidRPr="008F61F3" w:rsidRDefault="00874A7F" w:rsidP="002B7FBA">
            <w:pPr>
              <w:pStyle w:val="TableText"/>
              <w:jc w:val="center"/>
            </w:pPr>
            <w:r>
              <w:t>10.0/11.0</w:t>
            </w:r>
          </w:p>
        </w:tc>
        <w:tc>
          <w:tcPr>
            <w:tcW w:w="639" w:type="pct"/>
            <w:tcBorders>
              <w:left w:val="single" w:sz="4" w:space="0" w:color="auto"/>
            </w:tcBorders>
          </w:tcPr>
          <w:p w:rsidR="00874A7F" w:rsidRPr="008F61F3" w:rsidRDefault="000E0468" w:rsidP="002B7FBA">
            <w:pPr>
              <w:pStyle w:val="TableText"/>
              <w:jc w:val="center"/>
            </w:pPr>
            <w:r>
              <w:t>-</w:t>
            </w:r>
          </w:p>
        </w:tc>
        <w:tc>
          <w:tcPr>
            <w:tcW w:w="639" w:type="pct"/>
            <w:tcBorders>
              <w:left w:val="single" w:sz="4" w:space="0" w:color="auto"/>
            </w:tcBorders>
          </w:tcPr>
          <w:p w:rsidR="00874A7F" w:rsidRPr="008F61F3" w:rsidRDefault="00874A7F" w:rsidP="002B7FBA">
            <w:pPr>
              <w:pStyle w:val="TableText"/>
              <w:jc w:val="center"/>
            </w:pPr>
            <w:r>
              <w:t>13.0/5.0</w:t>
            </w:r>
          </w:p>
        </w:tc>
        <w:tc>
          <w:tcPr>
            <w:tcW w:w="634" w:type="pct"/>
            <w:tcBorders>
              <w:left w:val="single" w:sz="4" w:space="0" w:color="auto"/>
            </w:tcBorders>
          </w:tcPr>
          <w:p w:rsidR="00874A7F" w:rsidRPr="008F61F3" w:rsidRDefault="00874A7F" w:rsidP="002B7FBA">
            <w:pPr>
              <w:pStyle w:val="TableText"/>
              <w:jc w:val="center"/>
            </w:pPr>
            <w:r>
              <w:t>18.0/0.0</w:t>
            </w:r>
          </w:p>
        </w:tc>
      </w:tr>
      <w:tr w:rsidR="00874A7F" w:rsidRPr="002B7FBA" w:rsidTr="00192A3B">
        <w:trPr>
          <w:tblHeader/>
        </w:trPr>
        <w:tc>
          <w:tcPr>
            <w:tcW w:w="1097" w:type="pct"/>
            <w:tcBorders>
              <w:right w:val="single" w:sz="4" w:space="0" w:color="auto"/>
            </w:tcBorders>
            <w:shd w:val="clear" w:color="auto" w:fill="auto"/>
          </w:tcPr>
          <w:p w:rsidR="00874A7F" w:rsidRPr="002B7FBA" w:rsidRDefault="00874A7F" w:rsidP="001F3B60">
            <w:pPr>
              <w:pStyle w:val="TableText"/>
            </w:pPr>
            <w:r w:rsidRPr="002B7FBA">
              <w:t>Hines 2009</w:t>
            </w:r>
          </w:p>
        </w:tc>
        <w:tc>
          <w:tcPr>
            <w:tcW w:w="639" w:type="pct"/>
            <w:tcBorders>
              <w:left w:val="single" w:sz="4" w:space="0" w:color="auto"/>
            </w:tcBorders>
            <w:shd w:val="clear" w:color="auto" w:fill="auto"/>
          </w:tcPr>
          <w:p w:rsidR="00874A7F" w:rsidRPr="002B7FBA" w:rsidRDefault="002B7FBA" w:rsidP="002B7FBA">
            <w:pPr>
              <w:pStyle w:val="TableText"/>
              <w:jc w:val="center"/>
              <w:rPr>
                <w:b/>
              </w:rPr>
            </w:pPr>
            <w:r w:rsidRPr="002B7FBA">
              <w:rPr>
                <w:b/>
              </w:rPr>
              <w:t>13.0/11.0</w:t>
            </w:r>
          </w:p>
        </w:tc>
        <w:tc>
          <w:tcPr>
            <w:tcW w:w="713" w:type="pct"/>
            <w:tcBorders>
              <w:left w:val="single" w:sz="4" w:space="0" w:color="auto"/>
            </w:tcBorders>
          </w:tcPr>
          <w:p w:rsidR="00874A7F" w:rsidRPr="002B7FBA" w:rsidRDefault="00874A7F" w:rsidP="002B7FBA">
            <w:pPr>
              <w:pStyle w:val="TableText"/>
              <w:jc w:val="center"/>
            </w:pPr>
            <w:r w:rsidRPr="002B7FBA">
              <w:t>8.0/10.0</w:t>
            </w:r>
          </w:p>
        </w:tc>
        <w:tc>
          <w:tcPr>
            <w:tcW w:w="639" w:type="pct"/>
            <w:tcBorders>
              <w:left w:val="single" w:sz="4" w:space="0" w:color="auto"/>
            </w:tcBorders>
          </w:tcPr>
          <w:p w:rsidR="00874A7F" w:rsidRPr="002B7FBA" w:rsidRDefault="002B7FBA" w:rsidP="002B7FBA">
            <w:pPr>
              <w:pStyle w:val="TableText"/>
              <w:jc w:val="center"/>
              <w:rPr>
                <w:b/>
              </w:rPr>
            </w:pPr>
            <w:r w:rsidRPr="002B7FBA">
              <w:rPr>
                <w:b/>
              </w:rPr>
              <w:t>5.0/2.0</w:t>
            </w:r>
          </w:p>
        </w:tc>
        <w:tc>
          <w:tcPr>
            <w:tcW w:w="639" w:type="pct"/>
            <w:tcBorders>
              <w:left w:val="single" w:sz="4" w:space="0" w:color="auto"/>
            </w:tcBorders>
          </w:tcPr>
          <w:p w:rsidR="00874A7F" w:rsidRPr="002B7FBA" w:rsidRDefault="002B7FBA" w:rsidP="002B7FBA">
            <w:pPr>
              <w:pStyle w:val="TableText"/>
              <w:jc w:val="center"/>
              <w:rPr>
                <w:b/>
              </w:rPr>
            </w:pPr>
            <w:r w:rsidRPr="002B7FBA">
              <w:rPr>
                <w:b/>
              </w:rPr>
              <w:t>7.0/5.0</w:t>
            </w:r>
          </w:p>
        </w:tc>
        <w:tc>
          <w:tcPr>
            <w:tcW w:w="639" w:type="pct"/>
            <w:tcBorders>
              <w:left w:val="single" w:sz="4" w:space="0" w:color="auto"/>
            </w:tcBorders>
          </w:tcPr>
          <w:p w:rsidR="00874A7F" w:rsidRPr="002B7FBA" w:rsidRDefault="000E0468" w:rsidP="002B7FBA">
            <w:pPr>
              <w:pStyle w:val="TableText"/>
              <w:jc w:val="center"/>
              <w:rPr>
                <w:b/>
              </w:rPr>
            </w:pPr>
            <w:r w:rsidRPr="002B7FBA">
              <w:rPr>
                <w:b/>
              </w:rPr>
              <w:t>-</w:t>
            </w:r>
          </w:p>
        </w:tc>
        <w:tc>
          <w:tcPr>
            <w:tcW w:w="634" w:type="pct"/>
            <w:tcBorders>
              <w:left w:val="single" w:sz="4" w:space="0" w:color="auto"/>
            </w:tcBorders>
          </w:tcPr>
          <w:p w:rsidR="00874A7F" w:rsidRPr="002B7FBA" w:rsidRDefault="002B7FBA" w:rsidP="002B7FBA">
            <w:pPr>
              <w:pStyle w:val="TableText"/>
              <w:jc w:val="center"/>
              <w:rPr>
                <w:b/>
              </w:rPr>
            </w:pPr>
            <w:r w:rsidRPr="002B7FBA">
              <w:rPr>
                <w:b/>
              </w:rPr>
              <w:t>6.0/0.0</w:t>
            </w:r>
          </w:p>
        </w:tc>
      </w:tr>
      <w:tr w:rsidR="00874A7F" w:rsidRPr="005442FD" w:rsidTr="00192A3B">
        <w:trPr>
          <w:tblHeader/>
        </w:trPr>
        <w:tc>
          <w:tcPr>
            <w:tcW w:w="1097" w:type="pct"/>
            <w:tcBorders>
              <w:right w:val="single" w:sz="4" w:space="0" w:color="auto"/>
            </w:tcBorders>
            <w:shd w:val="clear" w:color="auto" w:fill="auto"/>
          </w:tcPr>
          <w:p w:rsidR="00874A7F" w:rsidRDefault="000E0468" w:rsidP="008F61F3">
            <w:pPr>
              <w:pStyle w:val="TableText"/>
            </w:pPr>
            <w:r>
              <w:t>Safra 2011</w:t>
            </w:r>
          </w:p>
        </w:tc>
        <w:tc>
          <w:tcPr>
            <w:tcW w:w="639" w:type="pct"/>
            <w:tcBorders>
              <w:left w:val="single" w:sz="4" w:space="0" w:color="auto"/>
            </w:tcBorders>
            <w:shd w:val="clear" w:color="auto" w:fill="auto"/>
          </w:tcPr>
          <w:p w:rsidR="00874A7F" w:rsidRPr="008F61F3" w:rsidRDefault="00874A7F" w:rsidP="002B7FBA">
            <w:pPr>
              <w:pStyle w:val="TableText"/>
              <w:jc w:val="center"/>
            </w:pPr>
            <w:r>
              <w:t>26.0/21.0</w:t>
            </w:r>
          </w:p>
        </w:tc>
        <w:tc>
          <w:tcPr>
            <w:tcW w:w="713" w:type="pct"/>
            <w:tcBorders>
              <w:left w:val="single" w:sz="4" w:space="0" w:color="auto"/>
            </w:tcBorders>
          </w:tcPr>
          <w:p w:rsidR="00874A7F" w:rsidRPr="008F61F3" w:rsidRDefault="00874A7F" w:rsidP="002B7FBA">
            <w:pPr>
              <w:pStyle w:val="TableText"/>
              <w:jc w:val="center"/>
            </w:pPr>
            <w:r>
              <w:t>4.0/21.0</w:t>
            </w:r>
          </w:p>
        </w:tc>
        <w:tc>
          <w:tcPr>
            <w:tcW w:w="639" w:type="pct"/>
            <w:tcBorders>
              <w:left w:val="single" w:sz="4" w:space="0" w:color="auto"/>
            </w:tcBorders>
          </w:tcPr>
          <w:p w:rsidR="00874A7F" w:rsidRPr="008F61F3" w:rsidRDefault="00874A7F" w:rsidP="002B7FBA">
            <w:pPr>
              <w:pStyle w:val="TableText"/>
              <w:jc w:val="center"/>
            </w:pPr>
            <w:r>
              <w:t>17.0/8/0</w:t>
            </w:r>
          </w:p>
        </w:tc>
        <w:tc>
          <w:tcPr>
            <w:tcW w:w="639" w:type="pct"/>
            <w:tcBorders>
              <w:left w:val="single" w:sz="4" w:space="0" w:color="auto"/>
            </w:tcBorders>
          </w:tcPr>
          <w:p w:rsidR="00874A7F" w:rsidRPr="008F61F3" w:rsidRDefault="00874A7F" w:rsidP="002B7FBA">
            <w:pPr>
              <w:pStyle w:val="TableText"/>
              <w:jc w:val="center"/>
            </w:pPr>
            <w:r>
              <w:t>-</w:t>
            </w:r>
          </w:p>
        </w:tc>
        <w:tc>
          <w:tcPr>
            <w:tcW w:w="639" w:type="pct"/>
            <w:tcBorders>
              <w:left w:val="single" w:sz="4" w:space="0" w:color="auto"/>
            </w:tcBorders>
          </w:tcPr>
          <w:p w:rsidR="00874A7F" w:rsidRPr="008F61F3" w:rsidRDefault="00874A7F" w:rsidP="002B7FBA">
            <w:pPr>
              <w:pStyle w:val="TableText"/>
              <w:jc w:val="center"/>
            </w:pPr>
            <w:r>
              <w:t>-</w:t>
            </w:r>
          </w:p>
        </w:tc>
        <w:tc>
          <w:tcPr>
            <w:tcW w:w="634" w:type="pct"/>
            <w:tcBorders>
              <w:left w:val="single" w:sz="4" w:space="0" w:color="auto"/>
            </w:tcBorders>
          </w:tcPr>
          <w:p w:rsidR="00874A7F" w:rsidRPr="008F61F3" w:rsidRDefault="00874A7F" w:rsidP="002B7FBA">
            <w:pPr>
              <w:pStyle w:val="TableText"/>
              <w:jc w:val="center"/>
            </w:pPr>
            <w:r>
              <w:t>34.0/0.0</w:t>
            </w:r>
          </w:p>
        </w:tc>
      </w:tr>
    </w:tbl>
    <w:p w:rsidR="00572C77" w:rsidRDefault="002B7FBA" w:rsidP="00FD26FB">
      <w:pPr>
        <w:pStyle w:val="TableText"/>
        <w:ind w:left="567"/>
      </w:pPr>
      <w:r>
        <w:t>p</w:t>
      </w:r>
      <w:r w:rsidR="00572C77">
        <w:t>t = patients, AEs =Adverse events, BMD = bone mineral density</w:t>
      </w:r>
    </w:p>
    <w:p w:rsidR="002B7FBA" w:rsidRDefault="002B7FBA" w:rsidP="002B7FBA">
      <w:pPr>
        <w:pStyle w:val="TableText"/>
        <w:ind w:left="567"/>
      </w:pPr>
      <w:r w:rsidRPr="004B4974">
        <w:rPr>
          <w:b/>
        </w:rPr>
        <w:t>Bolded</w:t>
      </w:r>
      <w:r>
        <w:t>= significant at p&lt;0.001</w:t>
      </w:r>
    </w:p>
    <w:p w:rsidR="002B7FBA" w:rsidRDefault="002B7FBA" w:rsidP="00FD26FB">
      <w:pPr>
        <w:pStyle w:val="TableText"/>
        <w:ind w:left="567"/>
      </w:pPr>
    </w:p>
    <w:p w:rsidR="001D03CD" w:rsidRDefault="001D03CD" w:rsidP="001D03CD">
      <w:r>
        <w:t>The remaining studies either did not report adverse events or reported them with little detail as follows:</w:t>
      </w:r>
    </w:p>
    <w:p w:rsidR="001D03CD" w:rsidRPr="008F61F3" w:rsidRDefault="001D03CD" w:rsidP="00534D10">
      <w:pPr>
        <w:pStyle w:val="ListParagraph"/>
        <w:numPr>
          <w:ilvl w:val="0"/>
          <w:numId w:val="45"/>
        </w:numPr>
      </w:pPr>
      <w:r>
        <w:t>Lee 2011: Not reported</w:t>
      </w:r>
    </w:p>
    <w:p w:rsidR="001D03CD" w:rsidRPr="008F61F3" w:rsidRDefault="001D03CD" w:rsidP="00534D10">
      <w:pPr>
        <w:pStyle w:val="ListParagraph"/>
        <w:numPr>
          <w:ilvl w:val="0"/>
          <w:numId w:val="45"/>
        </w:numPr>
      </w:pPr>
      <w:r>
        <w:t>Lester 2012: Nausea and indigestion reported in 4 (16%) of patients taking ibandronate</w:t>
      </w:r>
    </w:p>
    <w:p w:rsidR="001D03CD" w:rsidRPr="008F61F3" w:rsidRDefault="001D03CD" w:rsidP="00534D10">
      <w:pPr>
        <w:pStyle w:val="ListParagraph"/>
        <w:numPr>
          <w:ilvl w:val="0"/>
          <w:numId w:val="45"/>
        </w:numPr>
      </w:pPr>
      <w:r>
        <w:t xml:space="preserve">Markopoulos 2010: </w:t>
      </w:r>
      <w:r>
        <w:tab/>
        <w:t>2 patients had arthralgia with medium risk</w:t>
      </w:r>
    </w:p>
    <w:p w:rsidR="001D03CD" w:rsidRPr="008F61F3" w:rsidRDefault="001D03CD" w:rsidP="00534D10">
      <w:pPr>
        <w:pStyle w:val="ListParagraph"/>
        <w:numPr>
          <w:ilvl w:val="0"/>
          <w:numId w:val="45"/>
        </w:numPr>
      </w:pPr>
      <w:r>
        <w:t>Rhee 2013: 1 patient had epigastric pain, 1 had hemoptysis, 1 had bone pain and 1 patient had fever</w:t>
      </w:r>
      <w:r w:rsidRPr="008F61F3">
        <w:tab/>
      </w:r>
    </w:p>
    <w:p w:rsidR="001D03CD" w:rsidRPr="008F61F3" w:rsidRDefault="001D03CD" w:rsidP="00534D10">
      <w:pPr>
        <w:pStyle w:val="ListParagraph"/>
        <w:numPr>
          <w:ilvl w:val="0"/>
          <w:numId w:val="45"/>
        </w:numPr>
      </w:pPr>
      <w:r>
        <w:t>Van Poznak 2010:Total adverse events were not reported –AEs leading to discontinuation are reported in the paper.</w:t>
      </w:r>
    </w:p>
    <w:p w:rsidR="001D03CD" w:rsidRPr="008F61F3" w:rsidRDefault="001D03CD" w:rsidP="00534D10">
      <w:pPr>
        <w:pStyle w:val="ListParagraph"/>
        <w:numPr>
          <w:ilvl w:val="0"/>
          <w:numId w:val="45"/>
        </w:numPr>
      </w:pPr>
      <w:r>
        <w:t>Ellis 2009</w:t>
      </w:r>
      <w:r>
        <w:rPr>
          <w:vertAlign w:val="superscript"/>
        </w:rPr>
        <w:t xml:space="preserve">: </w:t>
      </w:r>
      <w:r>
        <w:t>Authors stated ‘Arthralgia, pain in extremity, back pain and fatigue were most common adverse events.</w:t>
      </w:r>
    </w:p>
    <w:p w:rsidR="001D03CD" w:rsidRPr="008F61F3" w:rsidRDefault="001D03CD" w:rsidP="00534D10">
      <w:pPr>
        <w:pStyle w:val="ListParagraph"/>
        <w:numPr>
          <w:ilvl w:val="0"/>
          <w:numId w:val="45"/>
        </w:numPr>
      </w:pPr>
      <w:r>
        <w:t>Rastelli 2011:</w:t>
      </w:r>
      <w:r>
        <w:tab/>
        <w:t>5 patients in the Vitamin D intervention group had hypercalcuria compared with 1 patient in the placebo group</w:t>
      </w:r>
    </w:p>
    <w:p w:rsidR="006E638D" w:rsidRDefault="006E638D" w:rsidP="00AA1440">
      <w:pPr>
        <w:autoSpaceDE w:val="0"/>
        <w:autoSpaceDN w:val="0"/>
        <w:adjustRightInd w:val="0"/>
        <w:spacing w:after="0"/>
        <w:ind w:left="567"/>
        <w:rPr>
          <w:highlight w:val="yellow"/>
        </w:rPr>
      </w:pPr>
    </w:p>
    <w:p w:rsidR="006E638D" w:rsidRPr="008752C9" w:rsidRDefault="006E638D" w:rsidP="00AA1440">
      <w:pPr>
        <w:autoSpaceDE w:val="0"/>
        <w:autoSpaceDN w:val="0"/>
        <w:adjustRightInd w:val="0"/>
        <w:spacing w:after="0"/>
        <w:ind w:left="567"/>
        <w:rPr>
          <w:highlight w:val="yellow"/>
        </w:rPr>
      </w:pPr>
    </w:p>
    <w:p w:rsidR="008752C9" w:rsidRDefault="008752C9" w:rsidP="008752C9">
      <w:pPr>
        <w:pStyle w:val="Heading3"/>
        <w:rPr>
          <w:lang w:eastAsia="ja-JP"/>
        </w:rPr>
      </w:pPr>
      <w:bookmarkStart w:id="112" w:name="_Toc386093708"/>
      <w:r>
        <w:rPr>
          <w:lang w:eastAsia="ja-JP"/>
        </w:rPr>
        <w:t>Summary of clinical evidence</w:t>
      </w:r>
      <w:bookmarkEnd w:id="112"/>
    </w:p>
    <w:p w:rsidR="008752C9" w:rsidRDefault="008752C9" w:rsidP="008752C9">
      <w:pPr>
        <w:rPr>
          <w:lang w:eastAsia="ja-JP"/>
        </w:rPr>
      </w:pPr>
      <w:r>
        <w:rPr>
          <w:lang w:eastAsia="ja-JP"/>
        </w:rPr>
        <w:t>A summary of the evidence for the effectiveness and safety of DXA and management of bone loss for women with breast cancer taking aromatase inhibitors is presented in Table 21.</w:t>
      </w:r>
    </w:p>
    <w:p w:rsidR="008752C9" w:rsidRPr="00DC7184" w:rsidRDefault="008752C9" w:rsidP="00DC7184">
      <w:pPr>
        <w:pStyle w:val="TableName"/>
      </w:pPr>
      <w:bookmarkStart w:id="113" w:name="_Toc386112690"/>
      <w:r w:rsidRPr="00DC7184">
        <w:t>Table 21: Summary of the clinical evidence of the main intervention</w:t>
      </w:r>
      <w:bookmarkEnd w:id="113"/>
    </w:p>
    <w:tbl>
      <w:tblPr>
        <w:tblStyle w:val="TableGrid"/>
        <w:tblW w:w="0" w:type="auto"/>
        <w:tblInd w:w="720" w:type="dxa"/>
        <w:tblLook w:val="04A0" w:firstRow="1" w:lastRow="0" w:firstColumn="1" w:lastColumn="0" w:noHBand="0" w:noVBand="1"/>
        <w:tblCaption w:val="Table 21 Summary of clinical evidence of main intervention"/>
      </w:tblPr>
      <w:tblGrid>
        <w:gridCol w:w="1231"/>
        <w:gridCol w:w="1276"/>
        <w:gridCol w:w="1417"/>
        <w:gridCol w:w="1418"/>
        <w:gridCol w:w="1352"/>
        <w:gridCol w:w="1148"/>
      </w:tblGrid>
      <w:tr w:rsidR="004B4974" w:rsidRPr="00DF3F71" w:rsidTr="00D1533C">
        <w:trPr>
          <w:tblHeader/>
        </w:trPr>
        <w:tc>
          <w:tcPr>
            <w:tcW w:w="1231" w:type="dxa"/>
          </w:tcPr>
          <w:p w:rsidR="004B4974" w:rsidRPr="00DF3F71" w:rsidRDefault="004B4974" w:rsidP="00AC44D8">
            <w:pPr>
              <w:pStyle w:val="TableText"/>
              <w:rPr>
                <w:b/>
                <w:lang w:eastAsia="ja-JP"/>
              </w:rPr>
            </w:pPr>
            <w:r w:rsidRPr="00DF3F71">
              <w:rPr>
                <w:b/>
                <w:lang w:eastAsia="ja-JP"/>
              </w:rPr>
              <w:t>Intervention</w:t>
            </w:r>
          </w:p>
        </w:tc>
        <w:tc>
          <w:tcPr>
            <w:tcW w:w="1276" w:type="dxa"/>
          </w:tcPr>
          <w:p w:rsidR="004B4974" w:rsidRPr="00DF3F71" w:rsidRDefault="004B4974" w:rsidP="00AC44D8">
            <w:pPr>
              <w:pStyle w:val="TableText"/>
              <w:rPr>
                <w:b/>
                <w:lang w:eastAsia="ja-JP"/>
              </w:rPr>
            </w:pPr>
            <w:r w:rsidRPr="00DF3F71">
              <w:rPr>
                <w:b/>
                <w:lang w:eastAsia="ja-JP"/>
              </w:rPr>
              <w:t>Comparator</w:t>
            </w:r>
          </w:p>
        </w:tc>
        <w:tc>
          <w:tcPr>
            <w:tcW w:w="1417" w:type="dxa"/>
          </w:tcPr>
          <w:p w:rsidR="004B4974" w:rsidRPr="00DF3F71" w:rsidRDefault="004B4974" w:rsidP="00AC44D8">
            <w:pPr>
              <w:pStyle w:val="TableText"/>
              <w:rPr>
                <w:b/>
                <w:lang w:eastAsia="ja-JP"/>
              </w:rPr>
            </w:pPr>
            <w:r w:rsidRPr="00DF3F71">
              <w:rPr>
                <w:b/>
                <w:lang w:eastAsia="ja-JP"/>
              </w:rPr>
              <w:t>Comparative effectiveness outcomes</w:t>
            </w:r>
          </w:p>
        </w:tc>
        <w:tc>
          <w:tcPr>
            <w:tcW w:w="1418" w:type="dxa"/>
          </w:tcPr>
          <w:p w:rsidR="004B4974" w:rsidRPr="00DF3F71" w:rsidRDefault="004B4974" w:rsidP="00AC44D8">
            <w:pPr>
              <w:pStyle w:val="TableText"/>
              <w:rPr>
                <w:b/>
                <w:lang w:eastAsia="ja-JP"/>
              </w:rPr>
            </w:pPr>
          </w:p>
        </w:tc>
        <w:tc>
          <w:tcPr>
            <w:tcW w:w="1352" w:type="dxa"/>
          </w:tcPr>
          <w:p w:rsidR="004B4974" w:rsidRPr="00DF3F71" w:rsidRDefault="004B4974" w:rsidP="00AC44D8">
            <w:pPr>
              <w:pStyle w:val="TableText"/>
              <w:rPr>
                <w:b/>
                <w:lang w:eastAsia="ja-JP"/>
              </w:rPr>
            </w:pPr>
          </w:p>
        </w:tc>
        <w:tc>
          <w:tcPr>
            <w:tcW w:w="1148" w:type="dxa"/>
          </w:tcPr>
          <w:p w:rsidR="004B4974" w:rsidRPr="00DF3F71" w:rsidRDefault="004B4974" w:rsidP="00AC44D8">
            <w:pPr>
              <w:pStyle w:val="TableText"/>
              <w:rPr>
                <w:b/>
                <w:lang w:eastAsia="ja-JP"/>
              </w:rPr>
            </w:pPr>
            <w:r w:rsidRPr="00DF3F71">
              <w:rPr>
                <w:b/>
                <w:lang w:eastAsia="ja-JP"/>
              </w:rPr>
              <w:t>Safety</w:t>
            </w:r>
          </w:p>
        </w:tc>
      </w:tr>
      <w:tr w:rsidR="008752C9" w:rsidRPr="00DF3F71" w:rsidTr="00D1533C">
        <w:trPr>
          <w:tblHeader/>
        </w:trPr>
        <w:tc>
          <w:tcPr>
            <w:tcW w:w="1231" w:type="dxa"/>
          </w:tcPr>
          <w:p w:rsidR="008752C9" w:rsidRPr="00DF3F71" w:rsidRDefault="004B4974" w:rsidP="00AC44D8">
            <w:pPr>
              <w:pStyle w:val="TableText"/>
              <w:rPr>
                <w:b/>
                <w:lang w:eastAsia="ja-JP"/>
              </w:rPr>
            </w:pPr>
            <w:r>
              <w:rPr>
                <w:b/>
                <w:lang w:eastAsia="ja-JP"/>
              </w:rPr>
              <w:t>-</w:t>
            </w:r>
          </w:p>
        </w:tc>
        <w:tc>
          <w:tcPr>
            <w:tcW w:w="1276" w:type="dxa"/>
          </w:tcPr>
          <w:p w:rsidR="008752C9" w:rsidRPr="00DF3F71" w:rsidRDefault="004B4974" w:rsidP="00AC44D8">
            <w:pPr>
              <w:pStyle w:val="TableText"/>
              <w:rPr>
                <w:b/>
                <w:lang w:eastAsia="ja-JP"/>
              </w:rPr>
            </w:pPr>
            <w:r>
              <w:rPr>
                <w:b/>
                <w:lang w:eastAsia="ja-JP"/>
              </w:rPr>
              <w:t>-</w:t>
            </w:r>
          </w:p>
        </w:tc>
        <w:tc>
          <w:tcPr>
            <w:tcW w:w="1417" w:type="dxa"/>
          </w:tcPr>
          <w:p w:rsidR="008752C9" w:rsidRPr="00DF3F71" w:rsidRDefault="008752C9" w:rsidP="00AC44D8">
            <w:pPr>
              <w:pStyle w:val="TableText"/>
              <w:rPr>
                <w:b/>
                <w:lang w:eastAsia="ja-JP"/>
              </w:rPr>
            </w:pPr>
            <w:r w:rsidRPr="00DF3F71">
              <w:rPr>
                <w:b/>
                <w:lang w:eastAsia="ja-JP"/>
              </w:rPr>
              <w:t>Minimal bone trauma fractures</w:t>
            </w:r>
          </w:p>
        </w:tc>
        <w:tc>
          <w:tcPr>
            <w:tcW w:w="1418" w:type="dxa"/>
          </w:tcPr>
          <w:p w:rsidR="008752C9" w:rsidRPr="00DF3F71" w:rsidRDefault="008752C9" w:rsidP="00AC44D8">
            <w:pPr>
              <w:pStyle w:val="TableText"/>
              <w:rPr>
                <w:b/>
                <w:lang w:eastAsia="ja-JP"/>
              </w:rPr>
            </w:pPr>
            <w:r w:rsidRPr="00DF3F71">
              <w:rPr>
                <w:b/>
                <w:lang w:eastAsia="ja-JP"/>
              </w:rPr>
              <w:t>Bone loss (BMD) lumbar spine</w:t>
            </w:r>
          </w:p>
        </w:tc>
        <w:tc>
          <w:tcPr>
            <w:tcW w:w="1352" w:type="dxa"/>
          </w:tcPr>
          <w:p w:rsidR="008752C9" w:rsidRPr="00DF3F71" w:rsidRDefault="008752C9" w:rsidP="00AC44D8">
            <w:pPr>
              <w:pStyle w:val="TableText"/>
              <w:rPr>
                <w:b/>
                <w:lang w:eastAsia="ja-JP"/>
              </w:rPr>
            </w:pPr>
            <w:r w:rsidRPr="00DF3F71">
              <w:rPr>
                <w:b/>
                <w:lang w:eastAsia="ja-JP"/>
              </w:rPr>
              <w:t>Bone loss (BMD) total hip</w:t>
            </w:r>
          </w:p>
        </w:tc>
        <w:tc>
          <w:tcPr>
            <w:tcW w:w="1148" w:type="dxa"/>
          </w:tcPr>
          <w:p w:rsidR="008752C9" w:rsidRPr="00DF3F71" w:rsidRDefault="004B4974" w:rsidP="00AC44D8">
            <w:pPr>
              <w:pStyle w:val="TableText"/>
              <w:rPr>
                <w:b/>
                <w:lang w:eastAsia="ja-JP"/>
              </w:rPr>
            </w:pPr>
            <w:r>
              <w:rPr>
                <w:b/>
                <w:lang w:eastAsia="ja-JP"/>
              </w:rPr>
              <w:t>-</w:t>
            </w:r>
          </w:p>
        </w:tc>
      </w:tr>
      <w:tr w:rsidR="008752C9" w:rsidTr="00D1533C">
        <w:trPr>
          <w:tblHeader/>
        </w:trPr>
        <w:tc>
          <w:tcPr>
            <w:tcW w:w="1231" w:type="dxa"/>
          </w:tcPr>
          <w:p w:rsidR="008752C9" w:rsidRPr="00DF3F71" w:rsidRDefault="008752C9" w:rsidP="00AC44D8">
            <w:pPr>
              <w:pStyle w:val="TableText"/>
              <w:rPr>
                <w:vertAlign w:val="superscript"/>
                <w:lang w:eastAsia="ja-JP"/>
              </w:rPr>
            </w:pPr>
            <w:r>
              <w:rPr>
                <w:lang w:eastAsia="ja-JP"/>
              </w:rPr>
              <w:t>DXA and anti-resorptives</w:t>
            </w:r>
          </w:p>
        </w:tc>
        <w:tc>
          <w:tcPr>
            <w:tcW w:w="1276" w:type="dxa"/>
          </w:tcPr>
          <w:p w:rsidR="008752C9" w:rsidRDefault="008752C9" w:rsidP="00AC44D8">
            <w:pPr>
              <w:pStyle w:val="TableText"/>
              <w:rPr>
                <w:lang w:eastAsia="ja-JP"/>
              </w:rPr>
            </w:pPr>
            <w:r>
              <w:rPr>
                <w:lang w:eastAsia="ja-JP"/>
              </w:rPr>
              <w:t>No DXA and lifestyle advice</w:t>
            </w:r>
          </w:p>
        </w:tc>
        <w:tc>
          <w:tcPr>
            <w:tcW w:w="1417" w:type="dxa"/>
          </w:tcPr>
          <w:p w:rsidR="008752C9" w:rsidRDefault="008752C9" w:rsidP="00AC44D8">
            <w:pPr>
              <w:pStyle w:val="TableText"/>
              <w:rPr>
                <w:lang w:eastAsia="ja-JP"/>
              </w:rPr>
            </w:pPr>
            <w:r>
              <w:rPr>
                <w:lang w:eastAsia="ja-JP"/>
              </w:rPr>
              <w:t>No evidence</w:t>
            </w:r>
          </w:p>
        </w:tc>
        <w:tc>
          <w:tcPr>
            <w:tcW w:w="1418" w:type="dxa"/>
          </w:tcPr>
          <w:p w:rsidR="008752C9" w:rsidRDefault="008752C9" w:rsidP="00AC44D8">
            <w:pPr>
              <w:pStyle w:val="TableText"/>
              <w:rPr>
                <w:lang w:eastAsia="ja-JP"/>
              </w:rPr>
            </w:pPr>
            <w:r>
              <w:rPr>
                <w:lang w:eastAsia="ja-JP"/>
              </w:rPr>
              <w:t>No evidence</w:t>
            </w:r>
          </w:p>
        </w:tc>
        <w:tc>
          <w:tcPr>
            <w:tcW w:w="1352" w:type="dxa"/>
          </w:tcPr>
          <w:p w:rsidR="008752C9" w:rsidRDefault="008752C9" w:rsidP="00AC44D8">
            <w:pPr>
              <w:pStyle w:val="TableText"/>
              <w:rPr>
                <w:lang w:eastAsia="ja-JP"/>
              </w:rPr>
            </w:pPr>
            <w:r>
              <w:rPr>
                <w:lang w:eastAsia="ja-JP"/>
              </w:rPr>
              <w:t>No evidence</w:t>
            </w:r>
          </w:p>
        </w:tc>
        <w:tc>
          <w:tcPr>
            <w:tcW w:w="1148" w:type="dxa"/>
          </w:tcPr>
          <w:p w:rsidR="008752C9" w:rsidRDefault="008752C9" w:rsidP="00AC44D8">
            <w:pPr>
              <w:pStyle w:val="TableText"/>
              <w:rPr>
                <w:lang w:eastAsia="ja-JP"/>
              </w:rPr>
            </w:pPr>
            <w:r>
              <w:rPr>
                <w:lang w:eastAsia="ja-JP"/>
              </w:rPr>
              <w:t>No evidence</w:t>
            </w:r>
          </w:p>
        </w:tc>
      </w:tr>
      <w:tr w:rsidR="008752C9" w:rsidTr="00D1533C">
        <w:trPr>
          <w:tblHeader/>
        </w:trPr>
        <w:tc>
          <w:tcPr>
            <w:tcW w:w="1231" w:type="dxa"/>
          </w:tcPr>
          <w:p w:rsidR="008752C9" w:rsidRDefault="008752C9" w:rsidP="00AC44D8">
            <w:pPr>
              <w:pStyle w:val="TableText"/>
              <w:rPr>
                <w:lang w:eastAsia="ja-JP"/>
              </w:rPr>
            </w:pPr>
            <w:r>
              <w:rPr>
                <w:lang w:eastAsia="ja-JP"/>
              </w:rPr>
              <w:t>DXA and anti-resorptives</w:t>
            </w:r>
          </w:p>
        </w:tc>
        <w:tc>
          <w:tcPr>
            <w:tcW w:w="1276" w:type="dxa"/>
          </w:tcPr>
          <w:p w:rsidR="008752C9" w:rsidRDefault="008752C9" w:rsidP="00AC44D8">
            <w:pPr>
              <w:pStyle w:val="TableText"/>
              <w:rPr>
                <w:lang w:eastAsia="ja-JP"/>
              </w:rPr>
            </w:pPr>
            <w:r>
              <w:rPr>
                <w:lang w:eastAsia="ja-JP"/>
              </w:rPr>
              <w:t>Placebo</w:t>
            </w:r>
          </w:p>
        </w:tc>
        <w:tc>
          <w:tcPr>
            <w:tcW w:w="1417" w:type="dxa"/>
          </w:tcPr>
          <w:p w:rsidR="008752C9" w:rsidRDefault="008752C9" w:rsidP="00AC44D8">
            <w:pPr>
              <w:pStyle w:val="TableText"/>
              <w:rPr>
                <w:lang w:eastAsia="ja-JP"/>
              </w:rPr>
            </w:pPr>
            <w:r>
              <w:rPr>
                <w:lang w:eastAsia="ja-JP"/>
              </w:rPr>
              <w:t>Superior</w:t>
            </w:r>
            <w:r>
              <w:rPr>
                <w:vertAlign w:val="superscript"/>
                <w:lang w:eastAsia="ja-JP"/>
              </w:rPr>
              <w:t>1</w:t>
            </w:r>
          </w:p>
        </w:tc>
        <w:tc>
          <w:tcPr>
            <w:tcW w:w="1418" w:type="dxa"/>
          </w:tcPr>
          <w:p w:rsidR="008752C9" w:rsidRDefault="008752C9" w:rsidP="00AC44D8">
            <w:pPr>
              <w:pStyle w:val="TableText"/>
              <w:rPr>
                <w:lang w:eastAsia="ja-JP"/>
              </w:rPr>
            </w:pPr>
            <w:r>
              <w:rPr>
                <w:lang w:eastAsia="ja-JP"/>
              </w:rPr>
              <w:t>Superior</w:t>
            </w:r>
            <w:r>
              <w:rPr>
                <w:vertAlign w:val="superscript"/>
                <w:lang w:eastAsia="ja-JP"/>
              </w:rPr>
              <w:t>1</w:t>
            </w:r>
          </w:p>
        </w:tc>
        <w:tc>
          <w:tcPr>
            <w:tcW w:w="1352" w:type="dxa"/>
          </w:tcPr>
          <w:p w:rsidR="008752C9" w:rsidRDefault="008752C9" w:rsidP="00AC44D8">
            <w:pPr>
              <w:pStyle w:val="TableText"/>
              <w:rPr>
                <w:lang w:eastAsia="ja-JP"/>
              </w:rPr>
            </w:pPr>
            <w:r>
              <w:rPr>
                <w:lang w:eastAsia="ja-JP"/>
              </w:rPr>
              <w:t>Superior</w:t>
            </w:r>
            <w:r>
              <w:rPr>
                <w:vertAlign w:val="superscript"/>
                <w:lang w:eastAsia="ja-JP"/>
              </w:rPr>
              <w:t>1</w:t>
            </w:r>
          </w:p>
        </w:tc>
        <w:tc>
          <w:tcPr>
            <w:tcW w:w="1148" w:type="dxa"/>
          </w:tcPr>
          <w:p w:rsidR="008752C9" w:rsidRDefault="008752C9" w:rsidP="00AC44D8">
            <w:pPr>
              <w:pStyle w:val="TableText"/>
              <w:rPr>
                <w:lang w:eastAsia="ja-JP"/>
              </w:rPr>
            </w:pPr>
            <w:r>
              <w:rPr>
                <w:lang w:eastAsia="ja-JP"/>
              </w:rPr>
              <w:t>Equivalent</w:t>
            </w:r>
          </w:p>
        </w:tc>
      </w:tr>
      <w:tr w:rsidR="008752C9" w:rsidTr="00D1533C">
        <w:trPr>
          <w:tblHeader/>
        </w:trPr>
        <w:tc>
          <w:tcPr>
            <w:tcW w:w="1231" w:type="dxa"/>
          </w:tcPr>
          <w:p w:rsidR="008752C9" w:rsidRDefault="008752C9" w:rsidP="00AC44D8">
            <w:pPr>
              <w:pStyle w:val="TableText"/>
              <w:rPr>
                <w:lang w:eastAsia="ja-JP"/>
              </w:rPr>
            </w:pPr>
            <w:r>
              <w:rPr>
                <w:lang w:eastAsia="ja-JP"/>
              </w:rPr>
              <w:t xml:space="preserve">No DXA and lifestyle advice </w:t>
            </w:r>
          </w:p>
        </w:tc>
        <w:tc>
          <w:tcPr>
            <w:tcW w:w="1276" w:type="dxa"/>
          </w:tcPr>
          <w:p w:rsidR="008752C9" w:rsidRDefault="008752C9" w:rsidP="00AC44D8">
            <w:pPr>
              <w:pStyle w:val="TableText"/>
              <w:rPr>
                <w:lang w:eastAsia="ja-JP"/>
              </w:rPr>
            </w:pPr>
            <w:r>
              <w:rPr>
                <w:lang w:eastAsia="ja-JP"/>
              </w:rPr>
              <w:t>Placebo</w:t>
            </w:r>
          </w:p>
        </w:tc>
        <w:tc>
          <w:tcPr>
            <w:tcW w:w="1417" w:type="dxa"/>
          </w:tcPr>
          <w:p w:rsidR="008752C9" w:rsidRDefault="008752C9" w:rsidP="00AC44D8">
            <w:pPr>
              <w:pStyle w:val="TableText"/>
              <w:rPr>
                <w:lang w:eastAsia="ja-JP"/>
              </w:rPr>
            </w:pPr>
            <w:r>
              <w:rPr>
                <w:lang w:eastAsia="ja-JP"/>
              </w:rPr>
              <w:t>No evidence</w:t>
            </w:r>
          </w:p>
        </w:tc>
        <w:tc>
          <w:tcPr>
            <w:tcW w:w="1418" w:type="dxa"/>
          </w:tcPr>
          <w:p w:rsidR="008752C9" w:rsidRDefault="008752C9" w:rsidP="00AC44D8">
            <w:pPr>
              <w:pStyle w:val="TableText"/>
              <w:rPr>
                <w:lang w:eastAsia="ja-JP"/>
              </w:rPr>
            </w:pPr>
            <w:r>
              <w:rPr>
                <w:lang w:eastAsia="ja-JP"/>
              </w:rPr>
              <w:t>Insufficient evidence</w:t>
            </w:r>
            <w:r>
              <w:rPr>
                <w:vertAlign w:val="superscript"/>
                <w:lang w:eastAsia="ja-JP"/>
              </w:rPr>
              <w:t>2</w:t>
            </w:r>
          </w:p>
        </w:tc>
        <w:tc>
          <w:tcPr>
            <w:tcW w:w="1352" w:type="dxa"/>
          </w:tcPr>
          <w:p w:rsidR="008752C9" w:rsidRDefault="008752C9" w:rsidP="00AC44D8">
            <w:pPr>
              <w:pStyle w:val="TableText"/>
              <w:rPr>
                <w:lang w:eastAsia="ja-JP"/>
              </w:rPr>
            </w:pPr>
            <w:r>
              <w:rPr>
                <w:lang w:eastAsia="ja-JP"/>
              </w:rPr>
              <w:t>Insufficient evidence</w:t>
            </w:r>
            <w:r>
              <w:rPr>
                <w:vertAlign w:val="superscript"/>
                <w:lang w:eastAsia="ja-JP"/>
              </w:rPr>
              <w:t>2</w:t>
            </w:r>
          </w:p>
        </w:tc>
        <w:tc>
          <w:tcPr>
            <w:tcW w:w="1148" w:type="dxa"/>
          </w:tcPr>
          <w:p w:rsidR="008752C9" w:rsidRDefault="008752C9" w:rsidP="00AC44D8">
            <w:pPr>
              <w:pStyle w:val="TableText"/>
              <w:rPr>
                <w:lang w:eastAsia="ja-JP"/>
              </w:rPr>
            </w:pPr>
            <w:r>
              <w:rPr>
                <w:lang w:eastAsia="ja-JP"/>
              </w:rPr>
              <w:t>Insufficient evidence</w:t>
            </w:r>
            <w:r>
              <w:rPr>
                <w:vertAlign w:val="superscript"/>
                <w:lang w:eastAsia="ja-JP"/>
              </w:rPr>
              <w:t>2</w:t>
            </w:r>
          </w:p>
        </w:tc>
      </w:tr>
    </w:tbl>
    <w:p w:rsidR="008752C9" w:rsidRDefault="008752C9" w:rsidP="00534D10">
      <w:pPr>
        <w:pStyle w:val="TableText"/>
        <w:numPr>
          <w:ilvl w:val="0"/>
          <w:numId w:val="28"/>
        </w:numPr>
        <w:rPr>
          <w:lang w:eastAsia="ja-JP"/>
        </w:rPr>
      </w:pPr>
      <w:r>
        <w:rPr>
          <w:lang w:eastAsia="ja-JP"/>
        </w:rPr>
        <w:t>Based on large trials with zoledronic acid, bisphosphonates, denosumab</w:t>
      </w:r>
    </w:p>
    <w:p w:rsidR="008752C9" w:rsidRDefault="008752C9" w:rsidP="00534D10">
      <w:pPr>
        <w:pStyle w:val="TableText"/>
        <w:numPr>
          <w:ilvl w:val="0"/>
          <w:numId w:val="28"/>
        </w:numPr>
        <w:rPr>
          <w:lang w:eastAsia="ja-JP"/>
        </w:rPr>
      </w:pPr>
      <w:r>
        <w:rPr>
          <w:lang w:eastAsia="ja-JP"/>
        </w:rPr>
        <w:t>Based on one small pilot trial of high dose vitamin D</w:t>
      </w:r>
    </w:p>
    <w:p w:rsidR="008752C9" w:rsidRDefault="008752C9" w:rsidP="008752C9">
      <w:pPr>
        <w:pStyle w:val="ListParagraph"/>
        <w:ind w:left="1080"/>
        <w:rPr>
          <w:lang w:eastAsia="ja-JP"/>
        </w:rPr>
      </w:pPr>
    </w:p>
    <w:p w:rsidR="003E61DB" w:rsidRDefault="003E61DB" w:rsidP="00A158A3">
      <w:pPr>
        <w:pStyle w:val="Heading2"/>
      </w:pPr>
      <w:bookmarkStart w:id="114" w:name="_Toc386092525"/>
      <w:bookmarkStart w:id="115" w:name="_Toc386093163"/>
      <w:bookmarkStart w:id="116" w:name="_Toc386093660"/>
      <w:bookmarkStart w:id="117" w:name="_Toc386093709"/>
      <w:r w:rsidRPr="00C9782D">
        <w:lastRenderedPageBreak/>
        <w:t>Other relevant considerations</w:t>
      </w:r>
      <w:bookmarkEnd w:id="114"/>
      <w:bookmarkEnd w:id="115"/>
      <w:bookmarkEnd w:id="116"/>
      <w:bookmarkEnd w:id="117"/>
    </w:p>
    <w:p w:rsidR="003E61DB" w:rsidRPr="00C9782D" w:rsidRDefault="003E61DB" w:rsidP="00C33B0E">
      <w:pPr>
        <w:pStyle w:val="Heading3"/>
      </w:pPr>
      <w:bookmarkStart w:id="118" w:name="_Toc386093710"/>
      <w:r w:rsidRPr="00C9782D">
        <w:t>Expert opinion</w:t>
      </w:r>
      <w:bookmarkEnd w:id="118"/>
    </w:p>
    <w:p w:rsidR="00050A48" w:rsidRDefault="00050A48" w:rsidP="003E61DB">
      <w:r>
        <w:t>HESP experts have advised that clinicians in Australia would not favour one fracture risk tool over another. They use various fracture risk tools and there is no standardization in terms of which tool is used. Two commonly used tools are the FRAX</w:t>
      </w:r>
      <w:r w:rsidR="00656AA7">
        <w:t>™</w:t>
      </w:r>
      <w:r>
        <w:t xml:space="preserve"> and the Garvan fracture risk calculator. Few BMD practices would quote a 5 or 10 year probability of fracture in their reports. Although clinical risk factors would be considered in routine practice, importance would be placed on BMD for early detection of low bone density for treatment. However, there is no standard uniformity in BMD reporting despite </w:t>
      </w:r>
      <w:r w:rsidR="005C28E9">
        <w:t>guidelines available by various organisations.</w:t>
      </w:r>
    </w:p>
    <w:p w:rsidR="00050A48" w:rsidRDefault="00050A48" w:rsidP="003E61DB">
      <w:r>
        <w:t>HESP experts further state that DXA densitometers are widely available in Australia and some States have mobile units serving remote towns. The densitometers may be under- utilised given that patients are still unassessed and untreated for minimal trauma fractures.</w:t>
      </w:r>
    </w:p>
    <w:p w:rsidR="00050A48" w:rsidRDefault="00050A48" w:rsidP="003E61DB">
      <w:r>
        <w:t xml:space="preserve">The older machines in Australia may be ageing but these are likely to remain accurate. Newer machines have faster acquisition and analysis times, and improved bone edge detection and display. The main issue is maintaining regular quality control with protocols in place to ensure system stability. </w:t>
      </w:r>
    </w:p>
    <w:p w:rsidR="005C28E9" w:rsidRDefault="005C28E9" w:rsidP="003E61DB">
      <w:r>
        <w:t xml:space="preserve">Oncologists would generally make the fracture risk assessment </w:t>
      </w:r>
      <w:r w:rsidR="00656AA7">
        <w:t xml:space="preserve">aided by the DXA report </w:t>
      </w:r>
      <w:r>
        <w:t xml:space="preserve">in situations where </w:t>
      </w:r>
      <w:r w:rsidR="00656AA7">
        <w:t>aromatase inhibitors are involved</w:t>
      </w:r>
      <w:r>
        <w:t>. Over the longer period, fracture risk assessment and DXA ordering may be continued by a general practitioner.</w:t>
      </w:r>
    </w:p>
    <w:p w:rsidR="00656AA7" w:rsidRDefault="00656AA7" w:rsidP="003E61DB">
      <w:r>
        <w:t>On the issue of the magnitude of change in BMD which is likely to be true change, the least significant change (LSC) value will depend on the precision or reproducibility of the BMD measurement. The LSCs are usually 0.05 g/cm</w:t>
      </w:r>
      <w:r>
        <w:rPr>
          <w:vertAlign w:val="superscript"/>
        </w:rPr>
        <w:t>2</w:t>
      </w:r>
      <w:r>
        <w:t xml:space="preserve"> for spine total hip and radius and 0.07 g/cm</w:t>
      </w:r>
      <w:r>
        <w:rPr>
          <w:vertAlign w:val="superscript"/>
        </w:rPr>
        <w:t>2</w:t>
      </w:r>
      <w:r>
        <w:t xml:space="preserve"> for the femoral neck.  In group research, these values are less relevant than for individuals returning for repeat DXA measurement because smaller change is statistically significant with larger sample sizes.</w:t>
      </w:r>
    </w:p>
    <w:p w:rsidR="00005041" w:rsidRPr="00656AA7" w:rsidRDefault="00005041" w:rsidP="003E61DB">
      <w:r>
        <w:rPr>
          <w:szCs w:val="24"/>
        </w:rPr>
        <w:t xml:space="preserve">Finally, on the issue of who should perform the BMD measurement, currently, a BMD is required to be personally performed by a specialist physician as per clause G12.1 in the MBS. This requirement is opposed by the ANZBMS, Osteoporosis Australia, Royal Australia and New Zealand College of Radiologists (RANZCR) and others. They believe that there should not be any issue with an appropriately certified BMD operator performing BMD measurement under the supervision of a specialist physician. However, the specialist physician needs to review and interpret the study and report the results.  The test is relatively simple compared with other Category 2 tests (ECG, EEG, more complicated audiology tests, opthalmology etc) and can be delegated without the need for personal onsite attendance of the specialist physician. </w:t>
      </w:r>
      <w:r>
        <w:rPr>
          <w:lang w:val="en-US"/>
        </w:rPr>
        <w:t xml:space="preserve">It is argued, in addition, diagnostic imaging items in the MBS including radiology, nuclear medicine, MRI and ultrasound can all be performed under supervision by radiographers and nuclear medicine technologists. Many of these other tests which are able to be delegated to non-medical personnel to perform can be critical in helping to diagnose acute medical conditions requiring urgent medical intervention. Yet, BMD measurement used for the diagnosis of osteoporosis which is a chronic condition and where the treatment effect takes months require a </w:t>
      </w:r>
      <w:r>
        <w:rPr>
          <w:lang w:val="en-US"/>
        </w:rPr>
        <w:lastRenderedPageBreak/>
        <w:t xml:space="preserve">specialist physician to personally perform according to the MBS. In the opinion of the HESP advisor, this situation is illogical, counterintuitive and inefficient. </w:t>
      </w:r>
    </w:p>
    <w:p w:rsidR="003E61DB" w:rsidRDefault="003E61DB" w:rsidP="00C33B0E">
      <w:pPr>
        <w:pStyle w:val="Heading3"/>
      </w:pPr>
      <w:bookmarkStart w:id="119" w:name="_Toc386093711"/>
      <w:r w:rsidRPr="00C9782D">
        <w:t>Consumer implications and other considerations</w:t>
      </w:r>
      <w:bookmarkEnd w:id="119"/>
    </w:p>
    <w:p w:rsidR="000C36C3" w:rsidRDefault="00EC7104" w:rsidP="000C36C3">
      <w:r>
        <w:t xml:space="preserve">On 8 November 2012, the Breast Cancer Network Australia (BCNA) provided feedback on MSAC application 1313. </w:t>
      </w:r>
      <w:r w:rsidR="000C36C3">
        <w:t>BCNA is a consumer advocacy group, representing the views of people affected by breast cancer</w:t>
      </w:r>
      <w:r>
        <w:t>. The BCNA welcomes and supports this application. They state:</w:t>
      </w:r>
    </w:p>
    <w:p w:rsidR="00EC7104" w:rsidRDefault="00EC7104" w:rsidP="00EC7104">
      <w:pPr>
        <w:pStyle w:val="Quote"/>
        <w:spacing w:after="0"/>
      </w:pPr>
      <w:r>
        <w:t xml:space="preserve">BCNA supports the introduction of a Medicare rebate for women </w:t>
      </w:r>
    </w:p>
    <w:p w:rsidR="00EC7104" w:rsidRDefault="00EC7104" w:rsidP="00EC7104">
      <w:pPr>
        <w:pStyle w:val="Quote"/>
        <w:spacing w:after="0"/>
      </w:pPr>
      <w:r>
        <w:t xml:space="preserve">diagnosed with breast cancer who require a DXA test in conjunction with </w:t>
      </w:r>
    </w:p>
    <w:p w:rsidR="00EC7104" w:rsidRDefault="00EC7104" w:rsidP="00EC7104">
      <w:pPr>
        <w:pStyle w:val="Quote"/>
        <w:spacing w:after="0"/>
      </w:pPr>
      <w:r>
        <w:t xml:space="preserve">their aromatase inhibitor treatment. We are aware that these tests are an </w:t>
      </w:r>
    </w:p>
    <w:p w:rsidR="00EC7104" w:rsidRDefault="00EC7104" w:rsidP="00EC7104">
      <w:pPr>
        <w:pStyle w:val="Quote"/>
        <w:spacing w:after="0"/>
      </w:pPr>
      <w:r>
        <w:t xml:space="preserve">important adjunct for women being treated with aromatase inhibitors, and we </w:t>
      </w:r>
    </w:p>
    <w:p w:rsidR="00EC7104" w:rsidRDefault="00EC7104" w:rsidP="00EC7104">
      <w:pPr>
        <w:pStyle w:val="Quote"/>
        <w:spacing w:after="0"/>
      </w:pPr>
      <w:r>
        <w:t xml:space="preserve">are keen to see a Medicare rebate available in order to assist these women </w:t>
      </w:r>
    </w:p>
    <w:p w:rsidR="00EC7104" w:rsidRDefault="00EC7104" w:rsidP="00EC7104">
      <w:pPr>
        <w:pStyle w:val="Quote"/>
        <w:spacing w:after="0"/>
      </w:pPr>
      <w:r>
        <w:t xml:space="preserve">with the significant financial burden associated with their diagnosis, treatment </w:t>
      </w:r>
    </w:p>
    <w:p w:rsidR="00EC7104" w:rsidRDefault="00EC7104" w:rsidP="00EC7104">
      <w:pPr>
        <w:pStyle w:val="Quote"/>
        <w:spacing w:after="0"/>
      </w:pPr>
      <w:r>
        <w:t xml:space="preserve">and care. </w:t>
      </w:r>
    </w:p>
    <w:p w:rsidR="00EC7104" w:rsidRDefault="00EC7104" w:rsidP="00EC7104">
      <w:pPr>
        <w:pStyle w:val="Quote"/>
        <w:spacing w:after="0"/>
        <w:ind w:left="0"/>
      </w:pPr>
    </w:p>
    <w:p w:rsidR="00EC7104" w:rsidRPr="00EC7104" w:rsidRDefault="00EC7104" w:rsidP="00EC7104">
      <w:pPr>
        <w:pStyle w:val="Quote"/>
        <w:spacing w:after="0"/>
      </w:pPr>
      <w:r w:rsidRPr="00EC7104">
        <w:t xml:space="preserve">BCNA is aware that the cost of DXA tests can be significant for women and, </w:t>
      </w:r>
    </w:p>
    <w:p w:rsidR="00EC7104" w:rsidRPr="00EC7104" w:rsidRDefault="00EC7104" w:rsidP="00EC7104">
      <w:pPr>
        <w:pStyle w:val="Quote"/>
        <w:spacing w:after="0"/>
      </w:pPr>
      <w:r w:rsidRPr="00EC7104">
        <w:t xml:space="preserve">for many women, this cost can be ongoing. In May this year, BCNA surveyed </w:t>
      </w:r>
    </w:p>
    <w:p w:rsidR="00EC7104" w:rsidRPr="00EC7104" w:rsidRDefault="00EC7104" w:rsidP="00EC7104">
      <w:pPr>
        <w:pStyle w:val="Quote"/>
        <w:spacing w:after="0"/>
      </w:pPr>
      <w:r w:rsidRPr="00EC7104">
        <w:t xml:space="preserve">women in our Review &amp; Survey Group to investigate their experiences with </w:t>
      </w:r>
    </w:p>
    <w:p w:rsidR="00EC7104" w:rsidRPr="00EC7104" w:rsidRDefault="00EC7104" w:rsidP="00EC7104">
      <w:pPr>
        <w:pStyle w:val="Quote"/>
        <w:spacing w:after="0"/>
      </w:pPr>
      <w:r w:rsidRPr="00EC7104">
        <w:t xml:space="preserve">DXA tests. Of the 114 women treated with an aromatase inhibitor who </w:t>
      </w:r>
    </w:p>
    <w:p w:rsidR="00EC7104" w:rsidRPr="00EC7104" w:rsidRDefault="00EC7104" w:rsidP="00EC7104">
      <w:pPr>
        <w:pStyle w:val="Quote"/>
        <w:spacing w:after="0"/>
      </w:pPr>
      <w:r w:rsidRPr="00EC7104">
        <w:t xml:space="preserve">incurred a fee for their last test, we found that more than a third incurred a cost </w:t>
      </w:r>
    </w:p>
    <w:p w:rsidR="00B2159B" w:rsidRDefault="00EC7104" w:rsidP="00B2159B">
      <w:pPr>
        <w:pStyle w:val="Quote"/>
        <w:spacing w:after="0"/>
      </w:pPr>
      <w:r w:rsidRPr="00EC7104">
        <w:t>of more than $100.</w:t>
      </w:r>
    </w:p>
    <w:p w:rsidR="00EC7104" w:rsidRPr="00EC7104" w:rsidRDefault="00EC7104" w:rsidP="00B2159B">
      <w:pPr>
        <w:pStyle w:val="Quote"/>
        <w:spacing w:after="0"/>
      </w:pPr>
      <w:r w:rsidRPr="00EC7104">
        <w:t xml:space="preserve"> </w:t>
      </w:r>
    </w:p>
    <w:p w:rsidR="00EC7104" w:rsidRPr="00EC7104" w:rsidRDefault="00EC7104" w:rsidP="00EC7104">
      <w:pPr>
        <w:pStyle w:val="Quote"/>
        <w:spacing w:after="0"/>
      </w:pPr>
      <w:r w:rsidRPr="00EC7104">
        <w:t xml:space="preserve">The survey results also highlighted that many women were required to have </w:t>
      </w:r>
    </w:p>
    <w:p w:rsidR="00EC7104" w:rsidRPr="00EC7104" w:rsidRDefault="00EC7104" w:rsidP="00EC7104">
      <w:pPr>
        <w:pStyle w:val="Quote"/>
        <w:spacing w:after="0"/>
      </w:pPr>
      <w:r w:rsidRPr="00EC7104">
        <w:t xml:space="preserve">more than one test in conjunction with their aromatase inhibitor treatment, </w:t>
      </w:r>
    </w:p>
    <w:p w:rsidR="00EC7104" w:rsidRPr="00EC7104" w:rsidRDefault="00EC7104" w:rsidP="00EC7104">
      <w:pPr>
        <w:pStyle w:val="Quote"/>
        <w:spacing w:after="0"/>
      </w:pPr>
      <w:r w:rsidRPr="00EC7104">
        <w:t xml:space="preserve">further contributing to the significant financial burden of their breast cancer </w:t>
      </w:r>
    </w:p>
    <w:p w:rsidR="00EC7104" w:rsidRPr="00EC7104" w:rsidRDefault="00EC7104" w:rsidP="00EC7104">
      <w:pPr>
        <w:pStyle w:val="Quote"/>
        <w:spacing w:after="0"/>
      </w:pPr>
      <w:r w:rsidRPr="00EC7104">
        <w:t xml:space="preserve">diagnosis, treatment and care. Thirty per cent of women had a test every </w:t>
      </w:r>
    </w:p>
    <w:p w:rsidR="00EC7104" w:rsidRPr="00EC7104" w:rsidRDefault="00637F48" w:rsidP="00EC7104">
      <w:pPr>
        <w:pStyle w:val="Quote"/>
        <w:spacing w:after="0"/>
      </w:pPr>
      <w:r>
        <w:t>twelve</w:t>
      </w:r>
      <w:r w:rsidR="00EC7104" w:rsidRPr="00EC7104">
        <w:t xml:space="preserve"> months, and almost 30% every two years. Some women reported </w:t>
      </w:r>
    </w:p>
    <w:p w:rsidR="00EC7104" w:rsidRPr="00EC7104" w:rsidRDefault="00EC7104" w:rsidP="00EC7104">
      <w:pPr>
        <w:pStyle w:val="Quote"/>
        <w:spacing w:after="0"/>
      </w:pPr>
      <w:r w:rsidRPr="00EC7104">
        <w:t xml:space="preserve">having up to six DXA tests in conjunction with their aromatase inhibitor </w:t>
      </w:r>
    </w:p>
    <w:p w:rsidR="00EC7104" w:rsidRDefault="00EC7104" w:rsidP="00EC7104">
      <w:pPr>
        <w:pStyle w:val="Quote"/>
        <w:spacing w:after="0"/>
      </w:pPr>
      <w:r>
        <w:t xml:space="preserve">treatment. </w:t>
      </w:r>
    </w:p>
    <w:p w:rsidR="00EC7104" w:rsidRDefault="00EC7104" w:rsidP="00EC7104">
      <w:pPr>
        <w:pStyle w:val="Quote"/>
        <w:spacing w:after="0"/>
        <w:ind w:left="0"/>
      </w:pPr>
    </w:p>
    <w:p w:rsidR="00EC7104" w:rsidRPr="00120368" w:rsidRDefault="00EC7104" w:rsidP="00EC7104">
      <w:r>
        <w:t xml:space="preserve">The full letter is available at: </w:t>
      </w:r>
      <w:hyperlink r:id="rId55" w:tooltip="This link goes to the letter by BCNA supporting DXA listing on MBS" w:history="1">
        <w:r w:rsidRPr="002472DA">
          <w:rPr>
            <w:rStyle w:val="Hyperlink"/>
          </w:rPr>
          <w:t>https://www.bcna.org.au/about-bcna/advocacy/submissions-and-reviews/submission-dxa-scan-rebates</w:t>
        </w:r>
      </w:hyperlink>
      <w:r>
        <w:t xml:space="preserve"> </w:t>
      </w:r>
    </w:p>
    <w:p w:rsidR="003E61DB" w:rsidRPr="00C9782D" w:rsidRDefault="003E61DB" w:rsidP="00A158A3">
      <w:pPr>
        <w:pStyle w:val="Heading2"/>
      </w:pPr>
      <w:bookmarkStart w:id="120" w:name="_Toc386092526"/>
      <w:bookmarkStart w:id="121" w:name="_Toc386093164"/>
      <w:bookmarkStart w:id="122" w:name="_Toc386093661"/>
      <w:bookmarkStart w:id="123" w:name="_Toc386093712"/>
      <w:r w:rsidRPr="00C9782D">
        <w:lastRenderedPageBreak/>
        <w:t>What are the economic considerations?</w:t>
      </w:r>
      <w:bookmarkEnd w:id="120"/>
      <w:bookmarkEnd w:id="121"/>
      <w:bookmarkEnd w:id="122"/>
      <w:bookmarkEnd w:id="123"/>
      <w:r w:rsidRPr="00C9782D">
        <w:t xml:space="preserve"> </w:t>
      </w:r>
    </w:p>
    <w:p w:rsidR="00BE4E67" w:rsidRDefault="00BE4E67" w:rsidP="00C33B0E">
      <w:pPr>
        <w:pStyle w:val="Heading3"/>
      </w:pPr>
      <w:bookmarkStart w:id="124" w:name="_Toc386093713"/>
      <w:r>
        <w:t>Economic research questions</w:t>
      </w:r>
      <w:bookmarkEnd w:id="124"/>
    </w:p>
    <w:p w:rsidR="002571D9" w:rsidRDefault="002571D9" w:rsidP="00BE4E67">
      <w:r>
        <w:t xml:space="preserve">The </w:t>
      </w:r>
      <w:r w:rsidR="006E0C8D">
        <w:t>Protocol</w:t>
      </w:r>
      <w:r>
        <w:t xml:space="preserve"> </w:t>
      </w:r>
      <w:r w:rsidR="00637F48">
        <w:t>states</w:t>
      </w:r>
      <w:r>
        <w:t xml:space="preserve"> the following economic research questions </w:t>
      </w:r>
      <w:r w:rsidR="00637F48">
        <w:t>to be</w:t>
      </w:r>
      <w:r>
        <w:t xml:space="preserve"> covered in this assessment: </w:t>
      </w:r>
    </w:p>
    <w:p w:rsidR="00BE4E67" w:rsidRDefault="00BE4E67" w:rsidP="00534D10">
      <w:pPr>
        <w:pStyle w:val="ListParagraph"/>
        <w:numPr>
          <w:ilvl w:val="0"/>
          <w:numId w:val="24"/>
        </w:numPr>
        <w:rPr>
          <w:rFonts w:ascii="Garamond" w:hAnsi="Garamond"/>
        </w:rPr>
      </w:pPr>
      <w:r w:rsidRPr="002571D9">
        <w:rPr>
          <w:rFonts w:ascii="Garamond" w:hAnsi="Garamond"/>
        </w:rPr>
        <w:t xml:space="preserve">What is the cost-effectiveness of DXA plus anti-resorptive therapies compared to no DXA and no anti-resorptive therapies? </w:t>
      </w:r>
    </w:p>
    <w:p w:rsidR="002571D9" w:rsidRPr="002571D9" w:rsidRDefault="002571D9" w:rsidP="002571D9">
      <w:pPr>
        <w:pStyle w:val="ListParagraph"/>
        <w:ind w:left="1440"/>
        <w:rPr>
          <w:rFonts w:ascii="Garamond" w:hAnsi="Garamond"/>
        </w:rPr>
      </w:pPr>
    </w:p>
    <w:p w:rsidR="002571D9" w:rsidRPr="002571D9" w:rsidRDefault="00BE4E67" w:rsidP="00534D10">
      <w:pPr>
        <w:pStyle w:val="ListParagraph"/>
        <w:numPr>
          <w:ilvl w:val="0"/>
          <w:numId w:val="24"/>
        </w:numPr>
        <w:rPr>
          <w:rFonts w:ascii="Garamond" w:hAnsi="Garamond"/>
          <w:lang w:eastAsia="ja-JP"/>
        </w:rPr>
      </w:pPr>
      <w:r w:rsidRPr="002571D9">
        <w:rPr>
          <w:rFonts w:ascii="Garamond" w:hAnsi="Garamond"/>
          <w:lang w:eastAsia="ja-JP"/>
        </w:rPr>
        <w:t xml:space="preserve">What is the impact on cost-effectiveness of </w:t>
      </w:r>
      <w:r w:rsidR="002571D9">
        <w:rPr>
          <w:rFonts w:ascii="Garamond" w:hAnsi="Garamond"/>
          <w:lang w:eastAsia="ja-JP"/>
        </w:rPr>
        <w:t xml:space="preserve">varied </w:t>
      </w:r>
      <w:r w:rsidRPr="002571D9">
        <w:rPr>
          <w:rFonts w:ascii="Garamond" w:hAnsi="Garamond"/>
          <w:lang w:eastAsia="ja-JP"/>
        </w:rPr>
        <w:t>ages and eligibility criteria</w:t>
      </w:r>
      <w:r w:rsidR="002571D9">
        <w:rPr>
          <w:rFonts w:ascii="Garamond" w:hAnsi="Garamond"/>
          <w:lang w:eastAsia="ja-JP"/>
        </w:rPr>
        <w:t>,</w:t>
      </w:r>
      <w:r w:rsidRPr="002571D9">
        <w:rPr>
          <w:rFonts w:ascii="Garamond" w:hAnsi="Garamond"/>
          <w:lang w:eastAsia="ja-JP"/>
        </w:rPr>
        <w:t xml:space="preserve"> as specified in the proposal?</w:t>
      </w:r>
    </w:p>
    <w:p w:rsidR="002571D9" w:rsidRDefault="002571D9" w:rsidP="002571D9">
      <w:pPr>
        <w:pStyle w:val="ListParagraph"/>
        <w:ind w:left="1440"/>
        <w:rPr>
          <w:rFonts w:ascii="Garamond" w:hAnsi="Garamond"/>
          <w:lang w:eastAsia="ja-JP"/>
        </w:rPr>
      </w:pPr>
    </w:p>
    <w:p w:rsidR="00BE4E67" w:rsidRPr="002571D9" w:rsidRDefault="00BE4E67" w:rsidP="00534D10">
      <w:pPr>
        <w:pStyle w:val="ListParagraph"/>
        <w:numPr>
          <w:ilvl w:val="0"/>
          <w:numId w:val="24"/>
        </w:numPr>
        <w:rPr>
          <w:rFonts w:ascii="Garamond" w:hAnsi="Garamond"/>
          <w:lang w:eastAsia="ja-JP"/>
        </w:rPr>
      </w:pPr>
      <w:r w:rsidRPr="002571D9">
        <w:rPr>
          <w:rFonts w:ascii="Garamond" w:hAnsi="Garamond"/>
          <w:lang w:eastAsia="ja-JP"/>
        </w:rPr>
        <w:t xml:space="preserve">What impact does treatment with aromatase inhibitors have on bone mineral density as a surrogate for minimal trauma fracture? This should include a consideration of the effect of other possible prognostic factors including age and previous treatment with tamoxifen. </w:t>
      </w:r>
    </w:p>
    <w:p w:rsidR="002571D9" w:rsidRDefault="002571D9" w:rsidP="002571D9">
      <w:pPr>
        <w:pStyle w:val="ListParagraph"/>
        <w:ind w:left="1440"/>
        <w:rPr>
          <w:rFonts w:ascii="Garamond" w:hAnsi="Garamond"/>
          <w:lang w:eastAsia="ja-JP"/>
        </w:rPr>
      </w:pPr>
    </w:p>
    <w:p w:rsidR="00BE4E67" w:rsidRPr="002571D9" w:rsidRDefault="00BE4E67" w:rsidP="00534D10">
      <w:pPr>
        <w:pStyle w:val="ListParagraph"/>
        <w:numPr>
          <w:ilvl w:val="0"/>
          <w:numId w:val="24"/>
        </w:numPr>
        <w:rPr>
          <w:rFonts w:ascii="Garamond" w:hAnsi="Garamond"/>
          <w:lang w:eastAsia="ja-JP"/>
        </w:rPr>
      </w:pPr>
      <w:r w:rsidRPr="002571D9">
        <w:rPr>
          <w:rFonts w:ascii="Garamond" w:hAnsi="Garamond"/>
          <w:lang w:eastAsia="ja-JP"/>
        </w:rPr>
        <w:t>What is the impact of different thresholds for therapy as advised by the available evidence?</w:t>
      </w:r>
    </w:p>
    <w:p w:rsidR="002571D9" w:rsidRDefault="002571D9" w:rsidP="002571D9">
      <w:pPr>
        <w:pStyle w:val="ListParagraph"/>
        <w:ind w:left="1440"/>
        <w:rPr>
          <w:lang w:eastAsia="ja-JP"/>
        </w:rPr>
      </w:pPr>
    </w:p>
    <w:p w:rsidR="00DF3F71" w:rsidRDefault="00DF3F71" w:rsidP="004F1B11">
      <w:pPr>
        <w:rPr>
          <w:lang w:eastAsia="ja-JP"/>
        </w:rPr>
      </w:pPr>
      <w:r>
        <w:rPr>
          <w:lang w:eastAsia="ja-JP"/>
        </w:rPr>
        <w:t xml:space="preserve">On the basis of the evidence </w:t>
      </w:r>
      <w:r w:rsidR="00265997">
        <w:rPr>
          <w:lang w:eastAsia="ja-JP"/>
        </w:rPr>
        <w:t xml:space="preserve">that </w:t>
      </w:r>
      <w:r>
        <w:rPr>
          <w:lang w:eastAsia="ja-JP"/>
        </w:rPr>
        <w:t>show</w:t>
      </w:r>
      <w:r w:rsidR="00265997">
        <w:rPr>
          <w:lang w:eastAsia="ja-JP"/>
        </w:rPr>
        <w:t>ed</w:t>
      </w:r>
      <w:r>
        <w:rPr>
          <w:lang w:eastAsia="ja-JP"/>
        </w:rPr>
        <w:t xml:space="preserve"> </w:t>
      </w:r>
      <w:r w:rsidR="00265997">
        <w:rPr>
          <w:lang w:eastAsia="ja-JP"/>
        </w:rPr>
        <w:t>‘</w:t>
      </w:r>
      <w:r>
        <w:rPr>
          <w:lang w:eastAsia="ja-JP"/>
        </w:rPr>
        <w:t>DXA and anti-resorptives</w:t>
      </w:r>
      <w:r w:rsidR="00265997">
        <w:rPr>
          <w:lang w:eastAsia="ja-JP"/>
        </w:rPr>
        <w:t>’</w:t>
      </w:r>
      <w:r>
        <w:rPr>
          <w:lang w:eastAsia="ja-JP"/>
        </w:rPr>
        <w:t xml:space="preserve"> </w:t>
      </w:r>
      <w:r w:rsidR="00265997">
        <w:rPr>
          <w:lang w:eastAsia="ja-JP"/>
        </w:rPr>
        <w:t>were</w:t>
      </w:r>
      <w:r>
        <w:rPr>
          <w:lang w:eastAsia="ja-JP"/>
        </w:rPr>
        <w:t xml:space="preserve"> superior to placebo for reversing bone loss in women taking aromatase inhibitors, a cost-utility </w:t>
      </w:r>
      <w:r w:rsidR="00265997">
        <w:rPr>
          <w:lang w:eastAsia="ja-JP"/>
        </w:rPr>
        <w:t>was</w:t>
      </w:r>
      <w:r>
        <w:rPr>
          <w:lang w:eastAsia="ja-JP"/>
        </w:rPr>
        <w:t xml:space="preserve"> </w:t>
      </w:r>
      <w:r w:rsidR="0037671E">
        <w:rPr>
          <w:lang w:eastAsia="ja-JP"/>
        </w:rPr>
        <w:t>performed</w:t>
      </w:r>
      <w:r>
        <w:rPr>
          <w:lang w:eastAsia="ja-JP"/>
        </w:rPr>
        <w:t xml:space="preserve">.  </w:t>
      </w:r>
      <w:r w:rsidR="0037671E">
        <w:rPr>
          <w:lang w:eastAsia="ja-JP"/>
        </w:rPr>
        <w:t xml:space="preserve">Although this does not represent a direct comparison with lifestyle advice/vitamin D/calcium, many women in the placebo arm of the anti-resorptive trials were provided with or allowed vitamin D/calcium supplements. </w:t>
      </w:r>
      <w:r>
        <w:rPr>
          <w:lang w:eastAsia="ja-JP"/>
        </w:rPr>
        <w:t>An indirect comparison of the DXA and anti-</w:t>
      </w:r>
      <w:r w:rsidR="00C0786F">
        <w:rPr>
          <w:lang w:eastAsia="ja-JP"/>
        </w:rPr>
        <w:t>resorptives</w:t>
      </w:r>
      <w:r>
        <w:rPr>
          <w:lang w:eastAsia="ja-JP"/>
        </w:rPr>
        <w:t xml:space="preserve"> and no DXA and lifestyle advice, using placebo as the common comparator, was not considered </w:t>
      </w:r>
      <w:r w:rsidR="008C031D">
        <w:rPr>
          <w:lang w:eastAsia="ja-JP"/>
        </w:rPr>
        <w:t xml:space="preserve">appropriate </w:t>
      </w:r>
      <w:r>
        <w:rPr>
          <w:lang w:eastAsia="ja-JP"/>
        </w:rPr>
        <w:t>as the latter relie</w:t>
      </w:r>
      <w:r w:rsidR="00265997">
        <w:rPr>
          <w:lang w:eastAsia="ja-JP"/>
        </w:rPr>
        <w:t>d</w:t>
      </w:r>
      <w:r>
        <w:rPr>
          <w:lang w:eastAsia="ja-JP"/>
        </w:rPr>
        <w:t xml:space="preserve"> o</w:t>
      </w:r>
      <w:r w:rsidR="008752C9">
        <w:rPr>
          <w:lang w:eastAsia="ja-JP"/>
        </w:rPr>
        <w:t>n one small trial with only</w:t>
      </w:r>
      <w:r w:rsidR="0037671E">
        <w:rPr>
          <w:lang w:eastAsia="ja-JP"/>
        </w:rPr>
        <w:t xml:space="preserve"> 6-</w:t>
      </w:r>
      <w:r>
        <w:rPr>
          <w:lang w:eastAsia="ja-JP"/>
        </w:rPr>
        <w:t>month duration</w:t>
      </w:r>
      <w:r w:rsidR="008C031D">
        <w:rPr>
          <w:lang w:eastAsia="ja-JP"/>
        </w:rPr>
        <w:t>.</w:t>
      </w:r>
      <w:r w:rsidR="00265997">
        <w:rPr>
          <w:lang w:eastAsia="ja-JP"/>
        </w:rPr>
        <w:t xml:space="preserve"> </w:t>
      </w:r>
    </w:p>
    <w:p w:rsidR="00BE4E67" w:rsidRDefault="00BE4E67" w:rsidP="00BE4E67">
      <w:pPr>
        <w:pStyle w:val="Heading3"/>
        <w:rPr>
          <w:lang w:eastAsia="ja-JP"/>
        </w:rPr>
      </w:pPr>
      <w:bookmarkStart w:id="125" w:name="_Toc386093714"/>
      <w:r>
        <w:rPr>
          <w:lang w:eastAsia="ja-JP"/>
        </w:rPr>
        <w:t>Existing economic studies</w:t>
      </w:r>
      <w:bookmarkEnd w:id="125"/>
    </w:p>
    <w:p w:rsidR="00BE4E67" w:rsidRDefault="008C031D" w:rsidP="0037671E">
      <w:pPr>
        <w:spacing w:after="0"/>
        <w:rPr>
          <w:lang w:eastAsia="ja-JP"/>
        </w:rPr>
      </w:pPr>
      <w:r>
        <w:rPr>
          <w:lang w:eastAsia="ja-JP"/>
        </w:rPr>
        <w:t xml:space="preserve">In order to inform the cost-utility analysis, Search 4 identified </w:t>
      </w:r>
      <w:r w:rsidR="002571D9">
        <w:rPr>
          <w:lang w:eastAsia="ja-JP"/>
        </w:rPr>
        <w:t>three studies considered relevant to this economic assessment;</w:t>
      </w:r>
      <w:r w:rsidR="002571D9" w:rsidRPr="002571D9">
        <w:t xml:space="preserve"> </w:t>
      </w:r>
      <w:r w:rsidR="002571D9">
        <w:t xml:space="preserve">Ito 2012, Logman 2010, </w:t>
      </w:r>
      <w:r w:rsidR="00184717">
        <w:t>Mueller 2009.</w:t>
      </w:r>
      <w:r w:rsidR="0037671E">
        <w:t xml:space="preserve"> </w:t>
      </w:r>
      <w:r w:rsidR="00A7492E">
        <w:rPr>
          <w:lang w:eastAsia="ja-JP"/>
        </w:rPr>
        <w:t xml:space="preserve">Studies by Logman and Ito specifically </w:t>
      </w:r>
      <w:r w:rsidR="00952ED3">
        <w:rPr>
          <w:lang w:eastAsia="ja-JP"/>
        </w:rPr>
        <w:t>analysed interventions for</w:t>
      </w:r>
      <w:r w:rsidR="00A7492E">
        <w:rPr>
          <w:lang w:eastAsia="ja-JP"/>
        </w:rPr>
        <w:t xml:space="preserve"> women on aromatase inhibitors while Mueller et al. 2009 undertook a cost-utility analysis comparing clinical risk factor</w:t>
      </w:r>
      <w:r w:rsidR="00952ED3">
        <w:rPr>
          <w:lang w:eastAsia="ja-JP"/>
        </w:rPr>
        <w:t xml:space="preserve"> assessment</w:t>
      </w:r>
      <w:r w:rsidR="00A7492E">
        <w:rPr>
          <w:lang w:eastAsia="ja-JP"/>
        </w:rPr>
        <w:t xml:space="preserve"> with or without DXA in high-risk women for osteoporosis screening. </w:t>
      </w:r>
    </w:p>
    <w:p w:rsidR="0037671E" w:rsidRDefault="0037671E" w:rsidP="0037671E">
      <w:pPr>
        <w:spacing w:after="0"/>
        <w:rPr>
          <w:lang w:eastAsia="ja-JP"/>
        </w:rPr>
      </w:pPr>
    </w:p>
    <w:p w:rsidR="00952ED3" w:rsidRDefault="00952ED3" w:rsidP="00952ED3">
      <w:pPr>
        <w:rPr>
          <w:lang w:eastAsia="ja-JP"/>
        </w:rPr>
      </w:pPr>
      <w:r>
        <w:rPr>
          <w:lang w:eastAsia="ja-JP"/>
        </w:rPr>
        <w:t xml:space="preserve">All studies undertook </w:t>
      </w:r>
      <w:r w:rsidR="00AA3B20">
        <w:rPr>
          <w:lang w:eastAsia="ja-JP"/>
        </w:rPr>
        <w:t xml:space="preserve">a Markov </w:t>
      </w:r>
      <w:r>
        <w:rPr>
          <w:lang w:eastAsia="ja-JP"/>
        </w:rPr>
        <w:t>modelling technique</w:t>
      </w:r>
      <w:r w:rsidR="00AA3B20">
        <w:rPr>
          <w:lang w:eastAsia="ja-JP"/>
        </w:rPr>
        <w:t xml:space="preserve"> and all were judged as having a high standard of reporting quality according to the CHEERS statement</w:t>
      </w:r>
      <w:r>
        <w:rPr>
          <w:lang w:eastAsia="ja-JP"/>
        </w:rPr>
        <w:t xml:space="preserve">. Other features </w:t>
      </w:r>
      <w:r w:rsidR="00B57261">
        <w:rPr>
          <w:lang w:eastAsia="ja-JP"/>
        </w:rPr>
        <w:t xml:space="preserve">and key results </w:t>
      </w:r>
      <w:r>
        <w:rPr>
          <w:lang w:eastAsia="ja-JP"/>
        </w:rPr>
        <w:t xml:space="preserve">of the models are listed in Table </w:t>
      </w:r>
      <w:r w:rsidR="0037671E">
        <w:rPr>
          <w:lang w:eastAsia="ja-JP"/>
        </w:rPr>
        <w:t>22</w:t>
      </w:r>
      <w:r>
        <w:rPr>
          <w:lang w:eastAsia="ja-JP"/>
        </w:rPr>
        <w:t>.</w:t>
      </w:r>
    </w:p>
    <w:p w:rsidR="00952ED3" w:rsidRPr="00DC7184" w:rsidRDefault="00952ED3" w:rsidP="00DC7184">
      <w:pPr>
        <w:pStyle w:val="TableName"/>
      </w:pPr>
      <w:bookmarkStart w:id="126" w:name="_Toc386112691"/>
      <w:r w:rsidRPr="00DC7184">
        <w:lastRenderedPageBreak/>
        <w:t xml:space="preserve">Table </w:t>
      </w:r>
      <w:r w:rsidR="0037671E" w:rsidRPr="00DC7184">
        <w:t>22:</w:t>
      </w:r>
      <w:r w:rsidR="00DC7184" w:rsidRPr="00DC7184">
        <w:t xml:space="preserve"> </w:t>
      </w:r>
      <w:r w:rsidR="00B57261" w:rsidRPr="00DC7184">
        <w:t>Comparison of cost-effectiveness studies relevant to this assessment</w:t>
      </w:r>
      <w:bookmarkEnd w:id="126"/>
    </w:p>
    <w:tbl>
      <w:tblPr>
        <w:tblStyle w:val="TableGrid"/>
        <w:tblW w:w="0" w:type="auto"/>
        <w:tblInd w:w="720" w:type="dxa"/>
        <w:tblLook w:val="04A0" w:firstRow="1" w:lastRow="0" w:firstColumn="1" w:lastColumn="0" w:noHBand="0" w:noVBand="1"/>
        <w:tblCaption w:val="Table 22 Cost-effectiveness studies relevant to this assessment"/>
      </w:tblPr>
      <w:tblGrid>
        <w:gridCol w:w="1798"/>
        <w:gridCol w:w="1985"/>
        <w:gridCol w:w="2630"/>
        <w:gridCol w:w="2109"/>
      </w:tblGrid>
      <w:tr w:rsidR="0053614E" w:rsidRPr="00B57261" w:rsidTr="00D1533C">
        <w:trPr>
          <w:tblHeader/>
        </w:trPr>
        <w:tc>
          <w:tcPr>
            <w:tcW w:w="1798" w:type="dxa"/>
          </w:tcPr>
          <w:p w:rsidR="00952ED3" w:rsidRPr="00AA3B20" w:rsidRDefault="004B4974" w:rsidP="00B57261">
            <w:pPr>
              <w:pStyle w:val="TableText"/>
              <w:rPr>
                <w:b/>
                <w:lang w:eastAsia="ja-JP"/>
              </w:rPr>
            </w:pPr>
            <w:r>
              <w:rPr>
                <w:b/>
                <w:lang w:eastAsia="ja-JP"/>
              </w:rPr>
              <w:t>-</w:t>
            </w:r>
          </w:p>
        </w:tc>
        <w:tc>
          <w:tcPr>
            <w:tcW w:w="1985" w:type="dxa"/>
          </w:tcPr>
          <w:p w:rsidR="00952ED3" w:rsidRPr="00B57261" w:rsidRDefault="00952ED3" w:rsidP="00B57261">
            <w:pPr>
              <w:pStyle w:val="TableText"/>
              <w:rPr>
                <w:b/>
                <w:lang w:eastAsia="ja-JP"/>
              </w:rPr>
            </w:pPr>
            <w:r w:rsidRPr="00B57261">
              <w:rPr>
                <w:b/>
                <w:lang w:eastAsia="ja-JP"/>
              </w:rPr>
              <w:t>Logman 2010</w:t>
            </w:r>
          </w:p>
        </w:tc>
        <w:tc>
          <w:tcPr>
            <w:tcW w:w="2630" w:type="dxa"/>
          </w:tcPr>
          <w:p w:rsidR="00952ED3" w:rsidRPr="00B57261" w:rsidRDefault="00952ED3" w:rsidP="00B57261">
            <w:pPr>
              <w:pStyle w:val="TableText"/>
              <w:rPr>
                <w:b/>
                <w:lang w:eastAsia="ja-JP"/>
              </w:rPr>
            </w:pPr>
            <w:r w:rsidRPr="00B57261">
              <w:rPr>
                <w:b/>
                <w:lang w:eastAsia="ja-JP"/>
              </w:rPr>
              <w:t>Ito 2012</w:t>
            </w:r>
          </w:p>
        </w:tc>
        <w:tc>
          <w:tcPr>
            <w:tcW w:w="2109" w:type="dxa"/>
          </w:tcPr>
          <w:p w:rsidR="00952ED3" w:rsidRPr="00B57261" w:rsidRDefault="00952ED3" w:rsidP="00B57261">
            <w:pPr>
              <w:pStyle w:val="TableText"/>
              <w:rPr>
                <w:b/>
                <w:lang w:eastAsia="ja-JP"/>
              </w:rPr>
            </w:pPr>
            <w:r w:rsidRPr="00B57261">
              <w:rPr>
                <w:b/>
                <w:lang w:eastAsia="ja-JP"/>
              </w:rPr>
              <w:t>Mueller 2009</w:t>
            </w:r>
          </w:p>
        </w:tc>
      </w:tr>
      <w:tr w:rsidR="00CD255C" w:rsidTr="00D1533C">
        <w:trPr>
          <w:tblHeader/>
        </w:trPr>
        <w:tc>
          <w:tcPr>
            <w:tcW w:w="1798" w:type="dxa"/>
          </w:tcPr>
          <w:p w:rsidR="00C26D1E" w:rsidRPr="00AA3B20" w:rsidRDefault="00C26D1E" w:rsidP="00B57261">
            <w:pPr>
              <w:pStyle w:val="TableText"/>
              <w:rPr>
                <w:b/>
                <w:lang w:eastAsia="ja-JP"/>
              </w:rPr>
            </w:pPr>
            <w:r w:rsidRPr="00AA3B20">
              <w:rPr>
                <w:b/>
                <w:lang w:eastAsia="ja-JP"/>
              </w:rPr>
              <w:t>Population</w:t>
            </w:r>
          </w:p>
        </w:tc>
        <w:tc>
          <w:tcPr>
            <w:tcW w:w="1985" w:type="dxa"/>
          </w:tcPr>
          <w:p w:rsidR="00C26D1E" w:rsidRDefault="00087D9D" w:rsidP="00B57261">
            <w:pPr>
              <w:pStyle w:val="TableText"/>
              <w:rPr>
                <w:lang w:eastAsia="ja-JP"/>
              </w:rPr>
            </w:pPr>
            <w:r>
              <w:rPr>
                <w:lang w:eastAsia="ja-JP"/>
              </w:rPr>
              <w:t>Early stage breast cancer on aromatase inhibitors</w:t>
            </w:r>
          </w:p>
        </w:tc>
        <w:tc>
          <w:tcPr>
            <w:tcW w:w="2630" w:type="dxa"/>
          </w:tcPr>
          <w:p w:rsidR="00C26D1E" w:rsidRDefault="00CD255C" w:rsidP="00B57261">
            <w:pPr>
              <w:pStyle w:val="TableText"/>
              <w:rPr>
                <w:lang w:eastAsia="ja-JP"/>
              </w:rPr>
            </w:pPr>
            <w:r>
              <w:rPr>
                <w:lang w:eastAsia="ja-JP"/>
              </w:rPr>
              <w:t xml:space="preserve">Stage I, II, IIIa breast cancer, </w:t>
            </w:r>
            <w:r w:rsidR="007A119D">
              <w:rPr>
                <w:lang w:eastAsia="ja-JP"/>
              </w:rPr>
              <w:t>post-menopaus</w:t>
            </w:r>
            <w:r>
              <w:rPr>
                <w:lang w:eastAsia="ja-JP"/>
              </w:rPr>
              <w:t>al, aromatase inhibitors</w:t>
            </w:r>
          </w:p>
        </w:tc>
        <w:tc>
          <w:tcPr>
            <w:tcW w:w="2109" w:type="dxa"/>
          </w:tcPr>
          <w:p w:rsidR="00C26D1E" w:rsidRDefault="00C26D1E" w:rsidP="00B57261">
            <w:pPr>
              <w:pStyle w:val="TableText"/>
              <w:rPr>
                <w:lang w:eastAsia="ja-JP"/>
              </w:rPr>
            </w:pPr>
            <w:r>
              <w:rPr>
                <w:lang w:eastAsia="ja-JP"/>
              </w:rPr>
              <w:t>High risk women</w:t>
            </w:r>
          </w:p>
        </w:tc>
      </w:tr>
      <w:tr w:rsidR="0053614E" w:rsidTr="00D1533C">
        <w:trPr>
          <w:tblHeader/>
        </w:trPr>
        <w:tc>
          <w:tcPr>
            <w:tcW w:w="1798" w:type="dxa"/>
          </w:tcPr>
          <w:p w:rsidR="00952ED3" w:rsidRPr="00AA3B20" w:rsidRDefault="00952ED3" w:rsidP="00B57261">
            <w:pPr>
              <w:pStyle w:val="TableText"/>
              <w:rPr>
                <w:b/>
                <w:lang w:eastAsia="ja-JP"/>
              </w:rPr>
            </w:pPr>
            <w:r w:rsidRPr="00AA3B20">
              <w:rPr>
                <w:b/>
                <w:lang w:eastAsia="ja-JP"/>
              </w:rPr>
              <w:t>In</w:t>
            </w:r>
            <w:r w:rsidR="00B57261" w:rsidRPr="00AA3B20">
              <w:rPr>
                <w:b/>
                <w:lang w:eastAsia="ja-JP"/>
              </w:rPr>
              <w:t>tervention</w:t>
            </w:r>
            <w:r w:rsidR="00CD255C" w:rsidRPr="00AA3B20">
              <w:rPr>
                <w:b/>
                <w:lang w:eastAsia="ja-JP"/>
              </w:rPr>
              <w:t xml:space="preserve"> (s)</w:t>
            </w:r>
          </w:p>
        </w:tc>
        <w:tc>
          <w:tcPr>
            <w:tcW w:w="1985" w:type="dxa"/>
          </w:tcPr>
          <w:p w:rsidR="00952ED3" w:rsidRDefault="00087D9D" w:rsidP="00B57261">
            <w:pPr>
              <w:pStyle w:val="TableText"/>
              <w:rPr>
                <w:lang w:eastAsia="ja-JP"/>
              </w:rPr>
            </w:pPr>
            <w:r>
              <w:rPr>
                <w:lang w:eastAsia="ja-JP"/>
              </w:rPr>
              <w:t>Upfront zoledronic acid</w:t>
            </w:r>
          </w:p>
        </w:tc>
        <w:tc>
          <w:tcPr>
            <w:tcW w:w="2630" w:type="dxa"/>
          </w:tcPr>
          <w:p w:rsidR="00CD255C" w:rsidRDefault="00CD255C" w:rsidP="00B57261">
            <w:pPr>
              <w:pStyle w:val="TableText"/>
              <w:rPr>
                <w:lang w:eastAsia="ja-JP"/>
              </w:rPr>
            </w:pPr>
            <w:r>
              <w:rPr>
                <w:lang w:eastAsia="ja-JP"/>
              </w:rPr>
              <w:t xml:space="preserve">Annual or one time DXA screening + </w:t>
            </w:r>
            <w:r w:rsidR="0053614E">
              <w:rPr>
                <w:lang w:eastAsia="ja-JP"/>
              </w:rPr>
              <w:t xml:space="preserve">oral </w:t>
            </w:r>
            <w:r>
              <w:rPr>
                <w:lang w:eastAsia="ja-JP"/>
              </w:rPr>
              <w:t>bisphosphonates for either osteoporosis or osteopenia</w:t>
            </w:r>
          </w:p>
          <w:p w:rsidR="00952ED3" w:rsidRDefault="00CD255C" w:rsidP="00B57261">
            <w:pPr>
              <w:pStyle w:val="TableText"/>
              <w:rPr>
                <w:lang w:eastAsia="ja-JP"/>
              </w:rPr>
            </w:pPr>
            <w:r>
              <w:rPr>
                <w:lang w:eastAsia="ja-JP"/>
              </w:rPr>
              <w:t xml:space="preserve">Universal bisphosphonates </w:t>
            </w:r>
          </w:p>
        </w:tc>
        <w:tc>
          <w:tcPr>
            <w:tcW w:w="2109" w:type="dxa"/>
          </w:tcPr>
          <w:p w:rsidR="00952ED3" w:rsidRDefault="00C26D1E" w:rsidP="00B57261">
            <w:pPr>
              <w:pStyle w:val="TableText"/>
              <w:rPr>
                <w:lang w:eastAsia="ja-JP"/>
              </w:rPr>
            </w:pPr>
            <w:r>
              <w:rPr>
                <w:lang w:eastAsia="ja-JP"/>
              </w:rPr>
              <w:t>Clinical risk factors + DXA</w:t>
            </w:r>
          </w:p>
          <w:p w:rsidR="00C26D1E" w:rsidRDefault="00C26D1E" w:rsidP="00B57261">
            <w:pPr>
              <w:pStyle w:val="TableText"/>
              <w:rPr>
                <w:lang w:eastAsia="ja-JP"/>
              </w:rPr>
            </w:pPr>
            <w:r>
              <w:rPr>
                <w:lang w:eastAsia="ja-JP"/>
              </w:rPr>
              <w:t>(alendronate for osteoporosis</w:t>
            </w:r>
          </w:p>
        </w:tc>
      </w:tr>
      <w:tr w:rsidR="0053614E" w:rsidTr="00D1533C">
        <w:trPr>
          <w:tblHeader/>
        </w:trPr>
        <w:tc>
          <w:tcPr>
            <w:tcW w:w="1798" w:type="dxa"/>
          </w:tcPr>
          <w:p w:rsidR="00952ED3" w:rsidRPr="00AA3B20" w:rsidRDefault="00B57261" w:rsidP="00B57261">
            <w:pPr>
              <w:pStyle w:val="TableText"/>
              <w:rPr>
                <w:b/>
                <w:lang w:eastAsia="ja-JP"/>
              </w:rPr>
            </w:pPr>
            <w:r w:rsidRPr="00AA3B20">
              <w:rPr>
                <w:b/>
                <w:lang w:eastAsia="ja-JP"/>
              </w:rPr>
              <w:t>Comparator</w:t>
            </w:r>
          </w:p>
        </w:tc>
        <w:tc>
          <w:tcPr>
            <w:tcW w:w="1985" w:type="dxa"/>
          </w:tcPr>
          <w:p w:rsidR="00952ED3" w:rsidRDefault="00087D9D" w:rsidP="00B57261">
            <w:pPr>
              <w:pStyle w:val="TableText"/>
              <w:rPr>
                <w:lang w:eastAsia="ja-JP"/>
              </w:rPr>
            </w:pPr>
            <w:r>
              <w:rPr>
                <w:lang w:eastAsia="ja-JP"/>
              </w:rPr>
              <w:t>Delayed zoledronic acid</w:t>
            </w:r>
          </w:p>
        </w:tc>
        <w:tc>
          <w:tcPr>
            <w:tcW w:w="2630" w:type="dxa"/>
          </w:tcPr>
          <w:p w:rsidR="00952ED3" w:rsidRDefault="00CD255C" w:rsidP="00B57261">
            <w:pPr>
              <w:pStyle w:val="TableText"/>
              <w:rPr>
                <w:lang w:eastAsia="ja-JP"/>
              </w:rPr>
            </w:pPr>
            <w:r>
              <w:rPr>
                <w:lang w:eastAsia="ja-JP"/>
              </w:rPr>
              <w:t>No intervention</w:t>
            </w:r>
          </w:p>
        </w:tc>
        <w:tc>
          <w:tcPr>
            <w:tcW w:w="2109" w:type="dxa"/>
          </w:tcPr>
          <w:p w:rsidR="00952ED3" w:rsidRDefault="00C26D1E" w:rsidP="00B57261">
            <w:pPr>
              <w:pStyle w:val="TableText"/>
              <w:rPr>
                <w:lang w:eastAsia="ja-JP"/>
              </w:rPr>
            </w:pPr>
            <w:r>
              <w:rPr>
                <w:lang w:eastAsia="ja-JP"/>
              </w:rPr>
              <w:t>Clinical risk factors</w:t>
            </w:r>
            <w:r w:rsidR="00087D9D">
              <w:rPr>
                <w:lang w:eastAsia="ja-JP"/>
              </w:rPr>
              <w:t xml:space="preserve"> alone</w:t>
            </w:r>
          </w:p>
        </w:tc>
      </w:tr>
      <w:tr w:rsidR="0053614E" w:rsidTr="00D1533C">
        <w:trPr>
          <w:tblHeader/>
        </w:trPr>
        <w:tc>
          <w:tcPr>
            <w:tcW w:w="1798" w:type="dxa"/>
          </w:tcPr>
          <w:p w:rsidR="00952ED3" w:rsidRPr="00AA3B20" w:rsidRDefault="00B57261" w:rsidP="00B57261">
            <w:pPr>
              <w:pStyle w:val="TableText"/>
              <w:rPr>
                <w:b/>
                <w:lang w:eastAsia="ja-JP"/>
              </w:rPr>
            </w:pPr>
            <w:r w:rsidRPr="00AA3B20">
              <w:rPr>
                <w:b/>
                <w:lang w:eastAsia="ja-JP"/>
              </w:rPr>
              <w:t>Model type</w:t>
            </w:r>
          </w:p>
        </w:tc>
        <w:tc>
          <w:tcPr>
            <w:tcW w:w="1985" w:type="dxa"/>
          </w:tcPr>
          <w:p w:rsidR="00952ED3" w:rsidRDefault="00087D9D" w:rsidP="00B57261">
            <w:pPr>
              <w:pStyle w:val="TableText"/>
              <w:rPr>
                <w:lang w:eastAsia="ja-JP"/>
              </w:rPr>
            </w:pPr>
            <w:r>
              <w:rPr>
                <w:lang w:eastAsia="ja-JP"/>
              </w:rPr>
              <w:t>Markov</w:t>
            </w:r>
          </w:p>
        </w:tc>
        <w:tc>
          <w:tcPr>
            <w:tcW w:w="2630" w:type="dxa"/>
          </w:tcPr>
          <w:p w:rsidR="00952ED3" w:rsidRDefault="00CD255C" w:rsidP="00B57261">
            <w:pPr>
              <w:pStyle w:val="TableText"/>
              <w:rPr>
                <w:lang w:eastAsia="ja-JP"/>
              </w:rPr>
            </w:pPr>
            <w:r>
              <w:rPr>
                <w:lang w:eastAsia="ja-JP"/>
              </w:rPr>
              <w:t>Markov</w:t>
            </w:r>
          </w:p>
        </w:tc>
        <w:tc>
          <w:tcPr>
            <w:tcW w:w="2109" w:type="dxa"/>
          </w:tcPr>
          <w:p w:rsidR="00952ED3" w:rsidRDefault="00C26D1E" w:rsidP="00B57261">
            <w:pPr>
              <w:pStyle w:val="TableText"/>
              <w:rPr>
                <w:lang w:eastAsia="ja-JP"/>
              </w:rPr>
            </w:pPr>
            <w:r>
              <w:rPr>
                <w:lang w:eastAsia="ja-JP"/>
              </w:rPr>
              <w:t>Markov</w:t>
            </w:r>
          </w:p>
        </w:tc>
      </w:tr>
      <w:tr w:rsidR="0053614E" w:rsidTr="00D1533C">
        <w:trPr>
          <w:tblHeader/>
        </w:trPr>
        <w:tc>
          <w:tcPr>
            <w:tcW w:w="1798" w:type="dxa"/>
          </w:tcPr>
          <w:p w:rsidR="00952ED3" w:rsidRPr="00AA3B20" w:rsidRDefault="00B57261" w:rsidP="00B57261">
            <w:pPr>
              <w:pStyle w:val="TableText"/>
              <w:rPr>
                <w:b/>
                <w:lang w:eastAsia="ja-JP"/>
              </w:rPr>
            </w:pPr>
            <w:r w:rsidRPr="00AA3B20">
              <w:rPr>
                <w:b/>
                <w:lang w:eastAsia="ja-JP"/>
              </w:rPr>
              <w:t>Model duration</w:t>
            </w:r>
          </w:p>
        </w:tc>
        <w:tc>
          <w:tcPr>
            <w:tcW w:w="1985" w:type="dxa"/>
          </w:tcPr>
          <w:p w:rsidR="00952ED3" w:rsidRDefault="00087D9D" w:rsidP="00B57261">
            <w:pPr>
              <w:pStyle w:val="TableText"/>
              <w:rPr>
                <w:lang w:eastAsia="ja-JP"/>
              </w:rPr>
            </w:pPr>
            <w:r>
              <w:rPr>
                <w:lang w:eastAsia="ja-JP"/>
              </w:rPr>
              <w:t>Lifetime</w:t>
            </w:r>
          </w:p>
        </w:tc>
        <w:tc>
          <w:tcPr>
            <w:tcW w:w="2630" w:type="dxa"/>
          </w:tcPr>
          <w:p w:rsidR="00952ED3" w:rsidRDefault="00CD255C" w:rsidP="00B57261">
            <w:pPr>
              <w:pStyle w:val="TableText"/>
              <w:rPr>
                <w:lang w:eastAsia="ja-JP"/>
              </w:rPr>
            </w:pPr>
            <w:r>
              <w:rPr>
                <w:lang w:eastAsia="ja-JP"/>
              </w:rPr>
              <w:t>Lifetime (until age 100)</w:t>
            </w:r>
          </w:p>
        </w:tc>
        <w:tc>
          <w:tcPr>
            <w:tcW w:w="2109" w:type="dxa"/>
          </w:tcPr>
          <w:p w:rsidR="00952ED3" w:rsidRDefault="00C26D1E" w:rsidP="00B57261">
            <w:pPr>
              <w:pStyle w:val="TableText"/>
              <w:rPr>
                <w:lang w:eastAsia="ja-JP"/>
              </w:rPr>
            </w:pPr>
            <w:r>
              <w:rPr>
                <w:lang w:eastAsia="ja-JP"/>
              </w:rPr>
              <w:t>Lifetime (until age 100)</w:t>
            </w:r>
          </w:p>
        </w:tc>
      </w:tr>
      <w:tr w:rsidR="00CD255C" w:rsidTr="00D1533C">
        <w:trPr>
          <w:tblHeader/>
        </w:trPr>
        <w:tc>
          <w:tcPr>
            <w:tcW w:w="1798" w:type="dxa"/>
          </w:tcPr>
          <w:p w:rsidR="00B57261" w:rsidRPr="00AA3B20" w:rsidRDefault="00B57261" w:rsidP="00B57261">
            <w:pPr>
              <w:pStyle w:val="TableText"/>
              <w:rPr>
                <w:b/>
                <w:lang w:eastAsia="ja-JP"/>
              </w:rPr>
            </w:pPr>
            <w:r w:rsidRPr="00AA3B20">
              <w:rPr>
                <w:b/>
                <w:lang w:eastAsia="ja-JP"/>
              </w:rPr>
              <w:t>Model cycles</w:t>
            </w:r>
          </w:p>
        </w:tc>
        <w:tc>
          <w:tcPr>
            <w:tcW w:w="1985" w:type="dxa"/>
          </w:tcPr>
          <w:p w:rsidR="00B57261" w:rsidRDefault="00087D9D" w:rsidP="00B57261">
            <w:pPr>
              <w:pStyle w:val="TableText"/>
              <w:rPr>
                <w:lang w:eastAsia="ja-JP"/>
              </w:rPr>
            </w:pPr>
            <w:r>
              <w:rPr>
                <w:lang w:eastAsia="ja-JP"/>
              </w:rPr>
              <w:t>1 year</w:t>
            </w:r>
          </w:p>
        </w:tc>
        <w:tc>
          <w:tcPr>
            <w:tcW w:w="2630" w:type="dxa"/>
          </w:tcPr>
          <w:p w:rsidR="00B57261" w:rsidRDefault="00CD255C" w:rsidP="00B57261">
            <w:pPr>
              <w:pStyle w:val="TableText"/>
              <w:rPr>
                <w:lang w:eastAsia="ja-JP"/>
              </w:rPr>
            </w:pPr>
            <w:r>
              <w:rPr>
                <w:lang w:eastAsia="ja-JP"/>
              </w:rPr>
              <w:t>1 year</w:t>
            </w:r>
          </w:p>
        </w:tc>
        <w:tc>
          <w:tcPr>
            <w:tcW w:w="2109" w:type="dxa"/>
          </w:tcPr>
          <w:p w:rsidR="00B57261" w:rsidRDefault="00C26D1E" w:rsidP="00B57261">
            <w:pPr>
              <w:pStyle w:val="TableText"/>
              <w:rPr>
                <w:lang w:eastAsia="ja-JP"/>
              </w:rPr>
            </w:pPr>
            <w:r>
              <w:rPr>
                <w:lang w:eastAsia="ja-JP"/>
              </w:rPr>
              <w:t>1 year</w:t>
            </w:r>
          </w:p>
        </w:tc>
      </w:tr>
      <w:tr w:rsidR="00CD255C" w:rsidTr="00D1533C">
        <w:trPr>
          <w:tblHeader/>
        </w:trPr>
        <w:tc>
          <w:tcPr>
            <w:tcW w:w="1798" w:type="dxa"/>
          </w:tcPr>
          <w:p w:rsidR="00B57261" w:rsidRPr="00AA3B20" w:rsidRDefault="00B57261" w:rsidP="00B57261">
            <w:pPr>
              <w:pStyle w:val="TableText"/>
              <w:rPr>
                <w:b/>
                <w:lang w:eastAsia="ja-JP"/>
              </w:rPr>
            </w:pPr>
            <w:r w:rsidRPr="00AA3B20">
              <w:rPr>
                <w:b/>
                <w:lang w:eastAsia="ja-JP"/>
              </w:rPr>
              <w:t>Main clinical outcomes</w:t>
            </w:r>
          </w:p>
        </w:tc>
        <w:tc>
          <w:tcPr>
            <w:tcW w:w="1985" w:type="dxa"/>
          </w:tcPr>
          <w:p w:rsidR="00B57261" w:rsidRDefault="00CD255C" w:rsidP="00CD255C">
            <w:pPr>
              <w:pStyle w:val="TableText"/>
              <w:rPr>
                <w:lang w:eastAsia="ja-JP"/>
              </w:rPr>
            </w:pPr>
            <w:r>
              <w:rPr>
                <w:lang w:eastAsia="ja-JP"/>
              </w:rPr>
              <w:t>Cumulative f</w:t>
            </w:r>
            <w:r w:rsidR="00087D9D">
              <w:rPr>
                <w:lang w:eastAsia="ja-JP"/>
              </w:rPr>
              <w:t>irst fractures per 1000</w:t>
            </w:r>
            <w:r>
              <w:rPr>
                <w:lang w:eastAsia="ja-JP"/>
              </w:rPr>
              <w:t xml:space="preserve"> women</w:t>
            </w:r>
          </w:p>
        </w:tc>
        <w:tc>
          <w:tcPr>
            <w:tcW w:w="2630" w:type="dxa"/>
          </w:tcPr>
          <w:p w:rsidR="00B57261" w:rsidRDefault="00CD255C" w:rsidP="00B57261">
            <w:pPr>
              <w:pStyle w:val="TableText"/>
              <w:rPr>
                <w:lang w:eastAsia="ja-JP"/>
              </w:rPr>
            </w:pPr>
            <w:r>
              <w:rPr>
                <w:lang w:eastAsia="ja-JP"/>
              </w:rPr>
              <w:t>Cumulative hip and all fractures per 100 women</w:t>
            </w:r>
          </w:p>
        </w:tc>
        <w:tc>
          <w:tcPr>
            <w:tcW w:w="2109" w:type="dxa"/>
          </w:tcPr>
          <w:p w:rsidR="00B57261" w:rsidRDefault="00C26D1E" w:rsidP="00B57261">
            <w:pPr>
              <w:pStyle w:val="TableText"/>
              <w:rPr>
                <w:lang w:eastAsia="ja-JP"/>
              </w:rPr>
            </w:pPr>
            <w:r>
              <w:rPr>
                <w:lang w:eastAsia="ja-JP"/>
              </w:rPr>
              <w:t>Vertebral or hip fractures</w:t>
            </w:r>
          </w:p>
        </w:tc>
      </w:tr>
      <w:tr w:rsidR="00CD255C" w:rsidTr="00D1533C">
        <w:trPr>
          <w:tblHeader/>
        </w:trPr>
        <w:tc>
          <w:tcPr>
            <w:tcW w:w="1798" w:type="dxa"/>
          </w:tcPr>
          <w:p w:rsidR="00B57261" w:rsidRPr="00AA3B20" w:rsidRDefault="00B57261" w:rsidP="00B57261">
            <w:pPr>
              <w:pStyle w:val="TableText"/>
              <w:rPr>
                <w:b/>
                <w:lang w:eastAsia="ja-JP"/>
              </w:rPr>
            </w:pPr>
            <w:r w:rsidRPr="00AA3B20">
              <w:rPr>
                <w:b/>
                <w:lang w:eastAsia="ja-JP"/>
              </w:rPr>
              <w:t>Measure of benefit</w:t>
            </w:r>
          </w:p>
        </w:tc>
        <w:tc>
          <w:tcPr>
            <w:tcW w:w="1985" w:type="dxa"/>
          </w:tcPr>
          <w:p w:rsidR="00B57261" w:rsidRDefault="00C26D1E" w:rsidP="00B57261">
            <w:pPr>
              <w:pStyle w:val="TableText"/>
              <w:rPr>
                <w:lang w:eastAsia="ja-JP"/>
              </w:rPr>
            </w:pPr>
            <w:r>
              <w:rPr>
                <w:lang w:eastAsia="ja-JP"/>
              </w:rPr>
              <w:t>QALY</w:t>
            </w:r>
          </w:p>
        </w:tc>
        <w:tc>
          <w:tcPr>
            <w:tcW w:w="2630" w:type="dxa"/>
          </w:tcPr>
          <w:p w:rsidR="00B57261" w:rsidRDefault="00CD255C" w:rsidP="00B57261">
            <w:pPr>
              <w:pStyle w:val="TableText"/>
              <w:rPr>
                <w:lang w:eastAsia="ja-JP"/>
              </w:rPr>
            </w:pPr>
            <w:r>
              <w:rPr>
                <w:lang w:eastAsia="ja-JP"/>
              </w:rPr>
              <w:t>QALY</w:t>
            </w:r>
          </w:p>
        </w:tc>
        <w:tc>
          <w:tcPr>
            <w:tcW w:w="2109" w:type="dxa"/>
          </w:tcPr>
          <w:p w:rsidR="00B57261" w:rsidRDefault="00C26D1E" w:rsidP="00B57261">
            <w:pPr>
              <w:pStyle w:val="TableText"/>
              <w:rPr>
                <w:lang w:eastAsia="ja-JP"/>
              </w:rPr>
            </w:pPr>
            <w:r>
              <w:rPr>
                <w:lang w:eastAsia="ja-JP"/>
              </w:rPr>
              <w:t>QALY</w:t>
            </w:r>
          </w:p>
        </w:tc>
      </w:tr>
      <w:tr w:rsidR="00CD255C" w:rsidTr="00D1533C">
        <w:trPr>
          <w:tblHeader/>
        </w:trPr>
        <w:tc>
          <w:tcPr>
            <w:tcW w:w="1798" w:type="dxa"/>
          </w:tcPr>
          <w:p w:rsidR="00B57261" w:rsidRPr="00AA3B20" w:rsidRDefault="00B57261" w:rsidP="00B57261">
            <w:pPr>
              <w:pStyle w:val="TableText"/>
              <w:rPr>
                <w:b/>
                <w:lang w:eastAsia="ja-JP"/>
              </w:rPr>
            </w:pPr>
            <w:r w:rsidRPr="00AA3B20">
              <w:rPr>
                <w:b/>
                <w:lang w:eastAsia="ja-JP"/>
              </w:rPr>
              <w:t>Key results</w:t>
            </w:r>
            <w:r w:rsidR="0053614E" w:rsidRPr="00AA3B20">
              <w:rPr>
                <w:b/>
                <w:lang w:eastAsia="ja-JP"/>
              </w:rPr>
              <w:t xml:space="preserve"> (ICERs)</w:t>
            </w:r>
          </w:p>
        </w:tc>
        <w:tc>
          <w:tcPr>
            <w:tcW w:w="1985" w:type="dxa"/>
          </w:tcPr>
          <w:p w:rsidR="00B57261" w:rsidRDefault="00CD255C" w:rsidP="00B57261">
            <w:pPr>
              <w:pStyle w:val="TableText"/>
              <w:rPr>
                <w:lang w:eastAsia="ja-JP"/>
              </w:rPr>
            </w:pPr>
            <w:r>
              <w:rPr>
                <w:lang w:eastAsia="ja-JP"/>
              </w:rPr>
              <w:t>£24,868 per QALY, 60 years, 2007</w:t>
            </w:r>
          </w:p>
          <w:p w:rsidR="00CD255C" w:rsidRDefault="00CD255C" w:rsidP="00B57261">
            <w:pPr>
              <w:pStyle w:val="TableText"/>
              <w:rPr>
                <w:lang w:eastAsia="ja-JP"/>
              </w:rPr>
            </w:pPr>
            <w:r>
              <w:rPr>
                <w:lang w:eastAsia="ja-JP"/>
              </w:rPr>
              <w:t>Upfront = -40 fractures per 1000</w:t>
            </w:r>
          </w:p>
        </w:tc>
        <w:tc>
          <w:tcPr>
            <w:tcW w:w="2630" w:type="dxa"/>
          </w:tcPr>
          <w:p w:rsidR="0053614E" w:rsidRDefault="00CD255C" w:rsidP="0053614E">
            <w:pPr>
              <w:pStyle w:val="TableText"/>
              <w:rPr>
                <w:lang w:eastAsia="ja-JP"/>
              </w:rPr>
            </w:pPr>
            <w:r>
              <w:rPr>
                <w:lang w:eastAsia="ja-JP"/>
              </w:rPr>
              <w:t xml:space="preserve">Annual + osteoporosis $87,300 </w:t>
            </w:r>
            <w:r w:rsidR="0053614E">
              <w:rPr>
                <w:lang w:eastAsia="ja-JP"/>
              </w:rPr>
              <w:t>Annual + osteopenia $129,300</w:t>
            </w:r>
          </w:p>
          <w:p w:rsidR="0053614E" w:rsidRDefault="0053614E" w:rsidP="0053614E">
            <w:pPr>
              <w:pStyle w:val="TableText"/>
              <w:rPr>
                <w:lang w:eastAsia="ja-JP"/>
              </w:rPr>
            </w:pPr>
            <w:r>
              <w:rPr>
                <w:lang w:eastAsia="ja-JP"/>
              </w:rPr>
              <w:t>Universal $283,600</w:t>
            </w:r>
          </w:p>
          <w:p w:rsidR="0053614E" w:rsidRDefault="0053614E" w:rsidP="0053614E">
            <w:pPr>
              <w:pStyle w:val="TableText"/>
              <w:rPr>
                <w:lang w:eastAsia="ja-JP"/>
              </w:rPr>
            </w:pPr>
            <w:r>
              <w:rPr>
                <w:lang w:eastAsia="ja-JP"/>
              </w:rPr>
              <w:t>One time - dominated</w:t>
            </w:r>
          </w:p>
        </w:tc>
        <w:tc>
          <w:tcPr>
            <w:tcW w:w="2109" w:type="dxa"/>
          </w:tcPr>
          <w:p w:rsidR="00B57261" w:rsidRDefault="00087D9D" w:rsidP="00B57261">
            <w:pPr>
              <w:pStyle w:val="TableText"/>
              <w:rPr>
                <w:lang w:eastAsia="ja-JP"/>
              </w:rPr>
            </w:pPr>
            <w:r>
              <w:rPr>
                <w:lang w:eastAsia="ja-JP"/>
              </w:rPr>
              <w:t>€20,235</w:t>
            </w:r>
            <w:r w:rsidR="00CD255C">
              <w:rPr>
                <w:lang w:eastAsia="ja-JP"/>
              </w:rPr>
              <w:t xml:space="preserve"> per QALY</w:t>
            </w:r>
            <w:r>
              <w:rPr>
                <w:lang w:eastAsia="ja-JP"/>
              </w:rPr>
              <w:t xml:space="preserve"> (60-70 years)</w:t>
            </w:r>
            <w:r w:rsidR="00CD255C">
              <w:rPr>
                <w:lang w:eastAsia="ja-JP"/>
              </w:rPr>
              <w:t xml:space="preserve"> 2006</w:t>
            </w:r>
          </w:p>
        </w:tc>
      </w:tr>
      <w:tr w:rsidR="00CD255C" w:rsidTr="00D1533C">
        <w:trPr>
          <w:tblHeader/>
        </w:trPr>
        <w:tc>
          <w:tcPr>
            <w:tcW w:w="1798" w:type="dxa"/>
          </w:tcPr>
          <w:p w:rsidR="00C26D1E" w:rsidRPr="00AA3B20" w:rsidRDefault="00C26D1E" w:rsidP="00B57261">
            <w:pPr>
              <w:pStyle w:val="TableText"/>
              <w:rPr>
                <w:b/>
                <w:lang w:eastAsia="ja-JP"/>
              </w:rPr>
            </w:pPr>
            <w:r w:rsidRPr="00AA3B20">
              <w:rPr>
                <w:b/>
                <w:lang w:eastAsia="ja-JP"/>
              </w:rPr>
              <w:t>Quality of reporting</w:t>
            </w:r>
          </w:p>
        </w:tc>
        <w:tc>
          <w:tcPr>
            <w:tcW w:w="1985" w:type="dxa"/>
          </w:tcPr>
          <w:p w:rsidR="00C26D1E" w:rsidRDefault="00087D9D" w:rsidP="00087D9D">
            <w:pPr>
              <w:pStyle w:val="TableText"/>
              <w:rPr>
                <w:lang w:eastAsia="ja-JP"/>
              </w:rPr>
            </w:pPr>
            <w:r>
              <w:rPr>
                <w:lang w:eastAsia="ja-JP"/>
              </w:rPr>
              <w:t>High (CHEERS= 23/24)</w:t>
            </w:r>
          </w:p>
        </w:tc>
        <w:tc>
          <w:tcPr>
            <w:tcW w:w="2630" w:type="dxa"/>
          </w:tcPr>
          <w:p w:rsidR="00C26D1E" w:rsidRDefault="00087D9D" w:rsidP="00B57261">
            <w:pPr>
              <w:pStyle w:val="TableText"/>
              <w:rPr>
                <w:lang w:eastAsia="ja-JP"/>
              </w:rPr>
            </w:pPr>
            <w:r>
              <w:rPr>
                <w:lang w:eastAsia="ja-JP"/>
              </w:rPr>
              <w:t>High (CHEERS= 21/24)</w:t>
            </w:r>
          </w:p>
        </w:tc>
        <w:tc>
          <w:tcPr>
            <w:tcW w:w="2109" w:type="dxa"/>
          </w:tcPr>
          <w:p w:rsidR="00C26D1E" w:rsidRDefault="00C26D1E" w:rsidP="00087D9D">
            <w:pPr>
              <w:pStyle w:val="TableText"/>
              <w:rPr>
                <w:lang w:eastAsia="ja-JP"/>
              </w:rPr>
            </w:pPr>
            <w:r>
              <w:rPr>
                <w:lang w:eastAsia="ja-JP"/>
              </w:rPr>
              <w:t xml:space="preserve">High </w:t>
            </w:r>
            <w:r w:rsidR="00087D9D">
              <w:rPr>
                <w:lang w:eastAsia="ja-JP"/>
              </w:rPr>
              <w:t>(CHEERS= 21/24)</w:t>
            </w:r>
          </w:p>
        </w:tc>
      </w:tr>
      <w:tr w:rsidR="00CD255C" w:rsidTr="00D1533C">
        <w:trPr>
          <w:tblHeader/>
        </w:trPr>
        <w:tc>
          <w:tcPr>
            <w:tcW w:w="1798" w:type="dxa"/>
          </w:tcPr>
          <w:p w:rsidR="00C26D1E" w:rsidRPr="00AA3B20" w:rsidRDefault="00C26D1E" w:rsidP="00B57261">
            <w:pPr>
              <w:pStyle w:val="TableText"/>
              <w:rPr>
                <w:b/>
                <w:lang w:eastAsia="ja-JP"/>
              </w:rPr>
            </w:pPr>
            <w:r w:rsidRPr="00AA3B20">
              <w:rPr>
                <w:b/>
                <w:lang w:eastAsia="ja-JP"/>
              </w:rPr>
              <w:t>Industry funded/sponsored</w:t>
            </w:r>
          </w:p>
        </w:tc>
        <w:tc>
          <w:tcPr>
            <w:tcW w:w="1985" w:type="dxa"/>
          </w:tcPr>
          <w:p w:rsidR="00C26D1E" w:rsidRDefault="00087D9D" w:rsidP="00B57261">
            <w:pPr>
              <w:pStyle w:val="TableText"/>
              <w:rPr>
                <w:lang w:eastAsia="ja-JP"/>
              </w:rPr>
            </w:pPr>
            <w:r>
              <w:rPr>
                <w:lang w:eastAsia="ja-JP"/>
              </w:rPr>
              <w:t>Yes</w:t>
            </w:r>
          </w:p>
        </w:tc>
        <w:tc>
          <w:tcPr>
            <w:tcW w:w="2630" w:type="dxa"/>
          </w:tcPr>
          <w:p w:rsidR="00C26D1E" w:rsidRDefault="00087D9D" w:rsidP="00B57261">
            <w:pPr>
              <w:pStyle w:val="TableText"/>
              <w:rPr>
                <w:lang w:eastAsia="ja-JP"/>
              </w:rPr>
            </w:pPr>
            <w:r>
              <w:rPr>
                <w:lang w:eastAsia="ja-JP"/>
              </w:rPr>
              <w:t>No</w:t>
            </w:r>
          </w:p>
        </w:tc>
        <w:tc>
          <w:tcPr>
            <w:tcW w:w="2109" w:type="dxa"/>
          </w:tcPr>
          <w:p w:rsidR="00C26D1E" w:rsidRDefault="00C26D1E" w:rsidP="00B57261">
            <w:pPr>
              <w:pStyle w:val="TableText"/>
              <w:rPr>
                <w:lang w:eastAsia="ja-JP"/>
              </w:rPr>
            </w:pPr>
            <w:r>
              <w:rPr>
                <w:lang w:eastAsia="ja-JP"/>
              </w:rPr>
              <w:t>No</w:t>
            </w:r>
          </w:p>
        </w:tc>
      </w:tr>
    </w:tbl>
    <w:p w:rsidR="00B57261" w:rsidRDefault="008B5C9C" w:rsidP="00952ED3">
      <w:pPr>
        <w:rPr>
          <w:lang w:eastAsia="ja-JP"/>
        </w:rPr>
      </w:pPr>
      <w:r w:rsidRPr="008B5C9C">
        <w:rPr>
          <w:rStyle w:val="TableTextChar"/>
        </w:rPr>
        <w:t>CHEERS = Consolidated Health Economic Evaluation Reporting Standards</w:t>
      </w:r>
      <w:r>
        <w:rPr>
          <w:rStyle w:val="TableTextChar"/>
        </w:rPr>
        <w:t>,</w:t>
      </w:r>
      <w:r w:rsidRPr="008B5C9C">
        <w:rPr>
          <w:rStyle w:val="TableTextChar"/>
        </w:rPr>
        <w:t xml:space="preserve"> DXA = dual x-ray absorptiometry, </w:t>
      </w:r>
      <w:r>
        <w:rPr>
          <w:rStyle w:val="TableTextChar"/>
        </w:rPr>
        <w:t xml:space="preserve">ICERs = incremental cost effectiveness ratios, </w:t>
      </w:r>
      <w:r w:rsidRPr="008B5C9C">
        <w:rPr>
          <w:rStyle w:val="TableTextChar"/>
        </w:rPr>
        <w:t>QALY = quality adjusted life years</w:t>
      </w:r>
      <w:r>
        <w:rPr>
          <w:lang w:eastAsia="ja-JP"/>
        </w:rPr>
        <w:t xml:space="preserve"> </w:t>
      </w:r>
    </w:p>
    <w:p w:rsidR="00C26D1E" w:rsidRDefault="00C26D1E" w:rsidP="00952ED3">
      <w:pPr>
        <w:rPr>
          <w:lang w:eastAsia="ja-JP"/>
        </w:rPr>
      </w:pPr>
      <w:r>
        <w:rPr>
          <w:lang w:eastAsia="ja-JP"/>
        </w:rPr>
        <w:t xml:space="preserve">The </w:t>
      </w:r>
      <w:r w:rsidR="00AA3B20">
        <w:rPr>
          <w:lang w:eastAsia="ja-JP"/>
        </w:rPr>
        <w:t xml:space="preserve">study by Ito </w:t>
      </w:r>
      <w:r w:rsidR="00AA3B20" w:rsidRPr="00AA3B20">
        <w:rPr>
          <w:i/>
          <w:lang w:eastAsia="ja-JP"/>
        </w:rPr>
        <w:t>et al.</w:t>
      </w:r>
      <w:r w:rsidR="00AA3B20">
        <w:rPr>
          <w:lang w:eastAsia="ja-JP"/>
        </w:rPr>
        <w:t xml:space="preserve"> (2012) </w:t>
      </w:r>
      <w:r w:rsidR="0037671E">
        <w:rPr>
          <w:lang w:eastAsia="ja-JP"/>
        </w:rPr>
        <w:t>was considered</w:t>
      </w:r>
      <w:r w:rsidR="00AA3B20">
        <w:rPr>
          <w:lang w:eastAsia="ja-JP"/>
        </w:rPr>
        <w:t xml:space="preserve"> to be the most relevant and useful for this assessment. This is because they had a ‘no intervention’ comparator and included different frequencies of DXA scanning during </w:t>
      </w:r>
      <w:r w:rsidR="0037671E">
        <w:rPr>
          <w:lang w:eastAsia="ja-JP"/>
        </w:rPr>
        <w:t>AI</w:t>
      </w:r>
      <w:r w:rsidR="00AA3B20">
        <w:rPr>
          <w:lang w:eastAsia="ja-JP"/>
        </w:rPr>
        <w:t xml:space="preserve"> treatment and different BMD thresholds for initiating treatment (osteoporosis or osteopenia). Their cohort model was also based on women aged 60 and oral bisphosphonates were used </w:t>
      </w:r>
      <w:r w:rsidR="0037671E">
        <w:rPr>
          <w:lang w:eastAsia="ja-JP"/>
        </w:rPr>
        <w:t xml:space="preserve">as the cheaper option </w:t>
      </w:r>
      <w:r w:rsidR="00AA3B20">
        <w:rPr>
          <w:lang w:eastAsia="ja-JP"/>
        </w:rPr>
        <w:t>compared with intravenous bisphosphonates (zoledronic acid)</w:t>
      </w:r>
      <w:r w:rsidR="0037671E">
        <w:rPr>
          <w:lang w:eastAsia="ja-JP"/>
        </w:rPr>
        <w:t>.</w:t>
      </w:r>
    </w:p>
    <w:p w:rsidR="00AA3B20" w:rsidRDefault="00AA3B20" w:rsidP="00952ED3">
      <w:pPr>
        <w:rPr>
          <w:lang w:eastAsia="ja-JP"/>
        </w:rPr>
      </w:pPr>
      <w:r>
        <w:rPr>
          <w:lang w:eastAsia="ja-JP"/>
        </w:rPr>
        <w:t xml:space="preserve">The results by Ito </w:t>
      </w:r>
      <w:r w:rsidRPr="00AA3B20">
        <w:rPr>
          <w:i/>
          <w:lang w:eastAsia="ja-JP"/>
        </w:rPr>
        <w:t>et al.</w:t>
      </w:r>
      <w:r w:rsidR="0037671E">
        <w:rPr>
          <w:lang w:eastAsia="ja-JP"/>
        </w:rPr>
        <w:t xml:space="preserve"> (2012) indicated that a</w:t>
      </w:r>
      <w:r>
        <w:rPr>
          <w:lang w:eastAsia="ja-JP"/>
        </w:rPr>
        <w:t>nnual screening with DXA in this population was not found to be cost-effective while universal bisphosphonate treatment was also not cost-effective.</w:t>
      </w:r>
    </w:p>
    <w:p w:rsidR="003E61DB" w:rsidRDefault="003E61DB" w:rsidP="00C33B0E">
      <w:pPr>
        <w:pStyle w:val="Heading3"/>
      </w:pPr>
      <w:bookmarkStart w:id="127" w:name="_Toc386093715"/>
      <w:r w:rsidRPr="00C9782D">
        <w:t>Economic evaluation</w:t>
      </w:r>
      <w:bookmarkEnd w:id="127"/>
    </w:p>
    <w:p w:rsidR="0063011F" w:rsidRDefault="002A6C28" w:rsidP="00AA3B20">
      <w:r>
        <w:t>A</w:t>
      </w:r>
      <w:r w:rsidR="00D304EC">
        <w:t>n</w:t>
      </w:r>
      <w:r>
        <w:t xml:space="preserve"> economic model was constructed in TreeAge Pro 2014. Table </w:t>
      </w:r>
      <w:r w:rsidR="0037671E">
        <w:t>23</w:t>
      </w:r>
      <w:r>
        <w:t xml:space="preserve"> lists the main structural components of the model.</w:t>
      </w:r>
    </w:p>
    <w:p w:rsidR="002A6C28" w:rsidRPr="00DC7184" w:rsidRDefault="002A6C28" w:rsidP="00DC7184">
      <w:pPr>
        <w:pStyle w:val="TableName"/>
      </w:pPr>
      <w:bookmarkStart w:id="128" w:name="_Toc386112692"/>
      <w:r w:rsidRPr="00DC7184">
        <w:lastRenderedPageBreak/>
        <w:t xml:space="preserve">Table </w:t>
      </w:r>
      <w:r w:rsidR="0037671E" w:rsidRPr="00DC7184">
        <w:t>23</w:t>
      </w:r>
      <w:r w:rsidR="00DC7184" w:rsidRPr="00DC7184">
        <w:t>:</w:t>
      </w:r>
      <w:r w:rsidRPr="00DC7184">
        <w:t xml:space="preserve"> Structural components of the economic model</w:t>
      </w:r>
      <w:bookmarkEnd w:id="128"/>
    </w:p>
    <w:tbl>
      <w:tblPr>
        <w:tblStyle w:val="TableGrid"/>
        <w:tblW w:w="0" w:type="auto"/>
        <w:tblInd w:w="720" w:type="dxa"/>
        <w:tblLook w:val="04A0" w:firstRow="1" w:lastRow="0" w:firstColumn="1" w:lastColumn="0" w:noHBand="0" w:noVBand="1"/>
        <w:tblCaption w:val="Table 23 Structural components of the economic model"/>
      </w:tblPr>
      <w:tblGrid>
        <w:gridCol w:w="1940"/>
        <w:gridCol w:w="5812"/>
      </w:tblGrid>
      <w:tr w:rsidR="002A6C28" w:rsidRPr="00B57261" w:rsidTr="00D1533C">
        <w:trPr>
          <w:trHeight w:val="300"/>
          <w:tblHeader/>
        </w:trPr>
        <w:tc>
          <w:tcPr>
            <w:tcW w:w="1940" w:type="dxa"/>
          </w:tcPr>
          <w:p w:rsidR="002A6C28" w:rsidRPr="00AA3B20" w:rsidRDefault="007F6C11" w:rsidP="002A6C28">
            <w:pPr>
              <w:pStyle w:val="TableText"/>
              <w:rPr>
                <w:b/>
                <w:lang w:eastAsia="ja-JP"/>
              </w:rPr>
            </w:pPr>
            <w:r>
              <w:rPr>
                <w:b/>
                <w:lang w:eastAsia="ja-JP"/>
              </w:rPr>
              <w:t>Component</w:t>
            </w:r>
          </w:p>
        </w:tc>
        <w:tc>
          <w:tcPr>
            <w:tcW w:w="5812" w:type="dxa"/>
          </w:tcPr>
          <w:p w:rsidR="002A6C28" w:rsidRPr="00B57261" w:rsidRDefault="007F6C11" w:rsidP="002A6C28">
            <w:pPr>
              <w:pStyle w:val="TableText"/>
              <w:rPr>
                <w:b/>
                <w:lang w:eastAsia="ja-JP"/>
              </w:rPr>
            </w:pPr>
            <w:r>
              <w:rPr>
                <w:b/>
                <w:lang w:eastAsia="ja-JP"/>
              </w:rPr>
              <w:t>Description</w:t>
            </w:r>
          </w:p>
        </w:tc>
      </w:tr>
      <w:tr w:rsidR="002A6C28" w:rsidTr="00D1533C">
        <w:trPr>
          <w:trHeight w:val="268"/>
          <w:tblHeader/>
        </w:trPr>
        <w:tc>
          <w:tcPr>
            <w:tcW w:w="1940" w:type="dxa"/>
          </w:tcPr>
          <w:p w:rsidR="002A6C28" w:rsidRPr="00AA3B20" w:rsidRDefault="002A6C28" w:rsidP="002A6C28">
            <w:pPr>
              <w:pStyle w:val="TableText"/>
              <w:rPr>
                <w:b/>
                <w:lang w:eastAsia="ja-JP"/>
              </w:rPr>
            </w:pPr>
            <w:r w:rsidRPr="00AA3B20">
              <w:rPr>
                <w:b/>
                <w:lang w:eastAsia="ja-JP"/>
              </w:rPr>
              <w:t>Population</w:t>
            </w:r>
          </w:p>
        </w:tc>
        <w:tc>
          <w:tcPr>
            <w:tcW w:w="5812" w:type="dxa"/>
          </w:tcPr>
          <w:p w:rsidR="002A6C28" w:rsidRDefault="002A6C28" w:rsidP="002A6C28">
            <w:pPr>
              <w:pStyle w:val="TableText"/>
              <w:rPr>
                <w:lang w:eastAsia="ja-JP"/>
              </w:rPr>
            </w:pPr>
            <w:r>
              <w:rPr>
                <w:lang w:eastAsia="ja-JP"/>
              </w:rPr>
              <w:t>Women with early stage breast cancer receiving aromatase inhibitors</w:t>
            </w:r>
          </w:p>
          <w:p w:rsidR="00B61625" w:rsidRDefault="00B61625" w:rsidP="002A6C28">
            <w:pPr>
              <w:pStyle w:val="TableText"/>
              <w:rPr>
                <w:lang w:eastAsia="ja-JP"/>
              </w:rPr>
            </w:pPr>
            <w:r>
              <w:rPr>
                <w:lang w:eastAsia="ja-JP"/>
              </w:rPr>
              <w:t>Starting age = 60 years</w:t>
            </w:r>
          </w:p>
        </w:tc>
      </w:tr>
      <w:tr w:rsidR="002A6C28" w:rsidTr="00D1533C">
        <w:trPr>
          <w:trHeight w:val="300"/>
          <w:tblHeader/>
        </w:trPr>
        <w:tc>
          <w:tcPr>
            <w:tcW w:w="1940" w:type="dxa"/>
          </w:tcPr>
          <w:p w:rsidR="002A6C28" w:rsidRPr="00AA3B20" w:rsidRDefault="002A6C28" w:rsidP="002A6C28">
            <w:pPr>
              <w:pStyle w:val="TableText"/>
              <w:rPr>
                <w:b/>
                <w:lang w:eastAsia="ja-JP"/>
              </w:rPr>
            </w:pPr>
            <w:r w:rsidRPr="00AA3B20">
              <w:rPr>
                <w:b/>
                <w:lang w:eastAsia="ja-JP"/>
              </w:rPr>
              <w:t>Intervention (s)</w:t>
            </w:r>
          </w:p>
        </w:tc>
        <w:tc>
          <w:tcPr>
            <w:tcW w:w="5812" w:type="dxa"/>
          </w:tcPr>
          <w:p w:rsidR="002A6C28" w:rsidRDefault="002A6C28" w:rsidP="00534D10">
            <w:pPr>
              <w:pStyle w:val="TableText"/>
              <w:numPr>
                <w:ilvl w:val="0"/>
                <w:numId w:val="34"/>
              </w:numPr>
              <w:rPr>
                <w:lang w:eastAsia="ja-JP"/>
              </w:rPr>
            </w:pPr>
            <w:r>
              <w:rPr>
                <w:lang w:eastAsia="ja-JP"/>
              </w:rPr>
              <w:t>DXA and anti</w:t>
            </w:r>
            <w:r w:rsidR="0037671E">
              <w:rPr>
                <w:lang w:eastAsia="ja-JP"/>
              </w:rPr>
              <w:t>-</w:t>
            </w:r>
            <w:r>
              <w:rPr>
                <w:lang w:eastAsia="ja-JP"/>
              </w:rPr>
              <w:t>resorptive therapy (women with osteoporosis)</w:t>
            </w:r>
          </w:p>
          <w:p w:rsidR="002A6C28" w:rsidRDefault="002A6C28" w:rsidP="00534D10">
            <w:pPr>
              <w:pStyle w:val="TableText"/>
              <w:numPr>
                <w:ilvl w:val="0"/>
                <w:numId w:val="34"/>
              </w:numPr>
              <w:rPr>
                <w:lang w:eastAsia="ja-JP"/>
              </w:rPr>
            </w:pPr>
            <w:r>
              <w:rPr>
                <w:lang w:eastAsia="ja-JP"/>
              </w:rPr>
              <w:t>DXA and ant</w:t>
            </w:r>
            <w:r w:rsidR="0037671E">
              <w:rPr>
                <w:lang w:eastAsia="ja-JP"/>
              </w:rPr>
              <w:t>i-</w:t>
            </w:r>
            <w:r>
              <w:rPr>
                <w:lang w:eastAsia="ja-JP"/>
              </w:rPr>
              <w:t>resorptive therapy (women with osteopenia and osteoporosis)</w:t>
            </w:r>
          </w:p>
          <w:p w:rsidR="002A6C28" w:rsidRDefault="002A6C28" w:rsidP="00534D10">
            <w:pPr>
              <w:pStyle w:val="TableText"/>
              <w:numPr>
                <w:ilvl w:val="0"/>
                <w:numId w:val="34"/>
              </w:numPr>
              <w:rPr>
                <w:lang w:eastAsia="ja-JP"/>
              </w:rPr>
            </w:pPr>
            <w:r>
              <w:rPr>
                <w:lang w:eastAsia="ja-JP"/>
              </w:rPr>
              <w:t>DXA and anti</w:t>
            </w:r>
            <w:r w:rsidR="0037671E">
              <w:rPr>
                <w:lang w:eastAsia="ja-JP"/>
              </w:rPr>
              <w:t>-</w:t>
            </w:r>
            <w:r>
              <w:rPr>
                <w:lang w:eastAsia="ja-JP"/>
              </w:rPr>
              <w:t>resorptive therapy (all women in this population)</w:t>
            </w:r>
          </w:p>
        </w:tc>
      </w:tr>
      <w:tr w:rsidR="000D5B28" w:rsidTr="00D1533C">
        <w:trPr>
          <w:trHeight w:val="287"/>
          <w:tblHeader/>
        </w:trPr>
        <w:tc>
          <w:tcPr>
            <w:tcW w:w="1940" w:type="dxa"/>
          </w:tcPr>
          <w:p w:rsidR="000D5B28" w:rsidRPr="00AA3B20" w:rsidRDefault="000D5B28" w:rsidP="00BF0426">
            <w:pPr>
              <w:pStyle w:val="TableText"/>
              <w:rPr>
                <w:b/>
                <w:lang w:eastAsia="ja-JP"/>
              </w:rPr>
            </w:pPr>
            <w:r w:rsidRPr="00AA3B20">
              <w:rPr>
                <w:b/>
                <w:lang w:eastAsia="ja-JP"/>
              </w:rPr>
              <w:t>Comparator</w:t>
            </w:r>
          </w:p>
        </w:tc>
        <w:tc>
          <w:tcPr>
            <w:tcW w:w="5812" w:type="dxa"/>
          </w:tcPr>
          <w:p w:rsidR="000D5B28" w:rsidRDefault="000D5B28" w:rsidP="00BF0426">
            <w:pPr>
              <w:pStyle w:val="TableText"/>
              <w:rPr>
                <w:lang w:eastAsia="ja-JP"/>
              </w:rPr>
            </w:pPr>
            <w:r>
              <w:rPr>
                <w:lang w:eastAsia="ja-JP"/>
              </w:rPr>
              <w:t>No DXA and lifestyle advice only</w:t>
            </w:r>
            <w:r w:rsidR="00551D8E">
              <w:rPr>
                <w:lang w:eastAsia="ja-JP"/>
              </w:rPr>
              <w:t xml:space="preserve"> (all women in this population)</w:t>
            </w:r>
          </w:p>
        </w:tc>
      </w:tr>
      <w:tr w:rsidR="00B61625" w:rsidTr="00D1533C">
        <w:trPr>
          <w:trHeight w:val="287"/>
          <w:tblHeader/>
        </w:trPr>
        <w:tc>
          <w:tcPr>
            <w:tcW w:w="1940" w:type="dxa"/>
          </w:tcPr>
          <w:p w:rsidR="00B61625" w:rsidRPr="00AA3B20" w:rsidRDefault="00B61625" w:rsidP="002A6C28">
            <w:pPr>
              <w:pStyle w:val="TableText"/>
              <w:rPr>
                <w:b/>
                <w:lang w:eastAsia="ja-JP"/>
              </w:rPr>
            </w:pPr>
            <w:r>
              <w:rPr>
                <w:b/>
                <w:lang w:eastAsia="ja-JP"/>
              </w:rPr>
              <w:t>DXA testing</w:t>
            </w:r>
          </w:p>
        </w:tc>
        <w:tc>
          <w:tcPr>
            <w:tcW w:w="5812" w:type="dxa"/>
          </w:tcPr>
          <w:p w:rsidR="00B61625" w:rsidRDefault="00B61625" w:rsidP="002A6C28">
            <w:pPr>
              <w:pStyle w:val="TableText"/>
              <w:rPr>
                <w:lang w:eastAsia="ja-JP"/>
              </w:rPr>
            </w:pPr>
            <w:r>
              <w:rPr>
                <w:lang w:eastAsia="ja-JP"/>
              </w:rPr>
              <w:t>Annually</w:t>
            </w:r>
          </w:p>
        </w:tc>
      </w:tr>
      <w:tr w:rsidR="002A6C28" w:rsidTr="00D1533C">
        <w:trPr>
          <w:trHeight w:val="300"/>
          <w:tblHeader/>
        </w:trPr>
        <w:tc>
          <w:tcPr>
            <w:tcW w:w="1940" w:type="dxa"/>
          </w:tcPr>
          <w:p w:rsidR="002A6C28" w:rsidRPr="00AA3B20" w:rsidRDefault="002A6C28" w:rsidP="002A6C28">
            <w:pPr>
              <w:pStyle w:val="TableText"/>
              <w:rPr>
                <w:b/>
                <w:lang w:eastAsia="ja-JP"/>
              </w:rPr>
            </w:pPr>
            <w:r w:rsidRPr="00AA3B20">
              <w:rPr>
                <w:b/>
                <w:lang w:eastAsia="ja-JP"/>
              </w:rPr>
              <w:t>Model type</w:t>
            </w:r>
          </w:p>
        </w:tc>
        <w:tc>
          <w:tcPr>
            <w:tcW w:w="5812" w:type="dxa"/>
          </w:tcPr>
          <w:p w:rsidR="002A6C28" w:rsidRDefault="002A6C28" w:rsidP="002A6C28">
            <w:pPr>
              <w:pStyle w:val="TableText"/>
              <w:rPr>
                <w:lang w:eastAsia="ja-JP"/>
              </w:rPr>
            </w:pPr>
            <w:r>
              <w:rPr>
                <w:lang w:eastAsia="ja-JP"/>
              </w:rPr>
              <w:t>Markov state transition</w:t>
            </w:r>
          </w:p>
        </w:tc>
      </w:tr>
      <w:tr w:rsidR="002A6C28" w:rsidTr="00D1533C">
        <w:trPr>
          <w:trHeight w:val="300"/>
          <w:tblHeader/>
        </w:trPr>
        <w:tc>
          <w:tcPr>
            <w:tcW w:w="1940" w:type="dxa"/>
          </w:tcPr>
          <w:p w:rsidR="002A6C28" w:rsidRPr="00AA3B20" w:rsidRDefault="002A6C28" w:rsidP="002A6C28">
            <w:pPr>
              <w:pStyle w:val="TableText"/>
              <w:rPr>
                <w:b/>
                <w:lang w:eastAsia="ja-JP"/>
              </w:rPr>
            </w:pPr>
            <w:r w:rsidRPr="00AA3B20">
              <w:rPr>
                <w:b/>
                <w:lang w:eastAsia="ja-JP"/>
              </w:rPr>
              <w:t>Model duration</w:t>
            </w:r>
          </w:p>
        </w:tc>
        <w:tc>
          <w:tcPr>
            <w:tcW w:w="5812" w:type="dxa"/>
          </w:tcPr>
          <w:p w:rsidR="002A6C28" w:rsidRDefault="002A6C28" w:rsidP="002A6C28">
            <w:pPr>
              <w:pStyle w:val="TableText"/>
              <w:rPr>
                <w:lang w:eastAsia="ja-JP"/>
              </w:rPr>
            </w:pPr>
            <w:r>
              <w:rPr>
                <w:lang w:eastAsia="ja-JP"/>
              </w:rPr>
              <w:t>Lifetime</w:t>
            </w:r>
          </w:p>
        </w:tc>
      </w:tr>
      <w:tr w:rsidR="002A6C28" w:rsidTr="00D1533C">
        <w:trPr>
          <w:trHeight w:val="300"/>
          <w:tblHeader/>
        </w:trPr>
        <w:tc>
          <w:tcPr>
            <w:tcW w:w="1940" w:type="dxa"/>
          </w:tcPr>
          <w:p w:rsidR="002A6C28" w:rsidRPr="00AA3B20" w:rsidRDefault="002A6C28" w:rsidP="002A6C28">
            <w:pPr>
              <w:pStyle w:val="TableText"/>
              <w:rPr>
                <w:b/>
                <w:lang w:eastAsia="ja-JP"/>
              </w:rPr>
            </w:pPr>
            <w:r w:rsidRPr="00AA3B20">
              <w:rPr>
                <w:b/>
                <w:lang w:eastAsia="ja-JP"/>
              </w:rPr>
              <w:t>Model cycles</w:t>
            </w:r>
          </w:p>
        </w:tc>
        <w:tc>
          <w:tcPr>
            <w:tcW w:w="5812" w:type="dxa"/>
          </w:tcPr>
          <w:p w:rsidR="002A6C28" w:rsidRDefault="002A6C28" w:rsidP="002A6C28">
            <w:pPr>
              <w:pStyle w:val="TableText"/>
              <w:rPr>
                <w:lang w:eastAsia="ja-JP"/>
              </w:rPr>
            </w:pPr>
            <w:r>
              <w:rPr>
                <w:lang w:eastAsia="ja-JP"/>
              </w:rPr>
              <w:t>1 year</w:t>
            </w:r>
          </w:p>
        </w:tc>
      </w:tr>
      <w:tr w:rsidR="002A6C28" w:rsidTr="00D1533C">
        <w:trPr>
          <w:trHeight w:val="325"/>
          <w:tblHeader/>
        </w:trPr>
        <w:tc>
          <w:tcPr>
            <w:tcW w:w="1940" w:type="dxa"/>
          </w:tcPr>
          <w:p w:rsidR="002A6C28" w:rsidRPr="00AA3B20" w:rsidRDefault="007F6C11" w:rsidP="002A6C28">
            <w:pPr>
              <w:pStyle w:val="TableText"/>
              <w:rPr>
                <w:b/>
                <w:lang w:eastAsia="ja-JP"/>
              </w:rPr>
            </w:pPr>
            <w:r>
              <w:rPr>
                <w:b/>
                <w:lang w:eastAsia="ja-JP"/>
              </w:rPr>
              <w:t>Main clinical outcome</w:t>
            </w:r>
          </w:p>
        </w:tc>
        <w:tc>
          <w:tcPr>
            <w:tcW w:w="5812" w:type="dxa"/>
          </w:tcPr>
          <w:p w:rsidR="002A6C28" w:rsidRDefault="002A6C28" w:rsidP="0037671E">
            <w:pPr>
              <w:pStyle w:val="TableText"/>
              <w:rPr>
                <w:lang w:eastAsia="ja-JP"/>
              </w:rPr>
            </w:pPr>
            <w:r>
              <w:rPr>
                <w:lang w:eastAsia="ja-JP"/>
              </w:rPr>
              <w:t>Cumulative fractures per 1000 women</w:t>
            </w:r>
          </w:p>
        </w:tc>
      </w:tr>
      <w:tr w:rsidR="002A6C28" w:rsidTr="00D1533C">
        <w:trPr>
          <w:trHeight w:val="325"/>
          <w:tblHeader/>
        </w:trPr>
        <w:tc>
          <w:tcPr>
            <w:tcW w:w="1940" w:type="dxa"/>
          </w:tcPr>
          <w:p w:rsidR="002A6C28" w:rsidRPr="00AA3B20" w:rsidRDefault="002A6C28" w:rsidP="002A6C28">
            <w:pPr>
              <w:pStyle w:val="TableText"/>
              <w:rPr>
                <w:b/>
                <w:lang w:eastAsia="ja-JP"/>
              </w:rPr>
            </w:pPr>
            <w:r>
              <w:rPr>
                <w:b/>
                <w:lang w:eastAsia="ja-JP"/>
              </w:rPr>
              <w:t>Main economic outcome</w:t>
            </w:r>
          </w:p>
        </w:tc>
        <w:tc>
          <w:tcPr>
            <w:tcW w:w="5812" w:type="dxa"/>
          </w:tcPr>
          <w:p w:rsidR="002A6C28" w:rsidRDefault="002A6C28" w:rsidP="002A6C28">
            <w:pPr>
              <w:pStyle w:val="TableText"/>
              <w:rPr>
                <w:lang w:eastAsia="ja-JP"/>
              </w:rPr>
            </w:pPr>
            <w:r>
              <w:rPr>
                <w:lang w:eastAsia="ja-JP"/>
              </w:rPr>
              <w:t>Incremental cost per QALY gained</w:t>
            </w:r>
          </w:p>
        </w:tc>
      </w:tr>
      <w:tr w:rsidR="002A6C28" w:rsidTr="00D1533C">
        <w:trPr>
          <w:trHeight w:val="515"/>
          <w:tblHeader/>
        </w:trPr>
        <w:tc>
          <w:tcPr>
            <w:tcW w:w="1940" w:type="dxa"/>
          </w:tcPr>
          <w:p w:rsidR="002A6C28" w:rsidRPr="00AA3B20" w:rsidRDefault="002A6C28" w:rsidP="002A6C28">
            <w:pPr>
              <w:pStyle w:val="TableText"/>
              <w:rPr>
                <w:b/>
                <w:lang w:eastAsia="ja-JP"/>
              </w:rPr>
            </w:pPr>
            <w:r>
              <w:rPr>
                <w:b/>
                <w:lang w:eastAsia="ja-JP"/>
              </w:rPr>
              <w:t>Analyses performed</w:t>
            </w:r>
          </w:p>
        </w:tc>
        <w:tc>
          <w:tcPr>
            <w:tcW w:w="5812" w:type="dxa"/>
          </w:tcPr>
          <w:p w:rsidR="002A6C28" w:rsidRDefault="002A6C28" w:rsidP="002A6C28">
            <w:pPr>
              <w:pStyle w:val="TableText"/>
              <w:rPr>
                <w:lang w:eastAsia="ja-JP"/>
              </w:rPr>
            </w:pPr>
            <w:r>
              <w:rPr>
                <w:lang w:eastAsia="ja-JP"/>
              </w:rPr>
              <w:t>Expected value analysis</w:t>
            </w:r>
          </w:p>
          <w:p w:rsidR="002A6C28" w:rsidRDefault="002A6C28" w:rsidP="002A6C28">
            <w:pPr>
              <w:pStyle w:val="TableText"/>
              <w:rPr>
                <w:lang w:eastAsia="ja-JP"/>
              </w:rPr>
            </w:pPr>
            <w:r>
              <w:rPr>
                <w:lang w:eastAsia="ja-JP"/>
              </w:rPr>
              <w:t>Scenario analyses on different starting ages</w:t>
            </w:r>
            <w:r w:rsidR="00B61625">
              <w:rPr>
                <w:lang w:eastAsia="ja-JP"/>
              </w:rPr>
              <w:t xml:space="preserve"> </w:t>
            </w:r>
          </w:p>
          <w:p w:rsidR="002A6C28" w:rsidRDefault="002A6C28" w:rsidP="002A6C28">
            <w:pPr>
              <w:pStyle w:val="TableText"/>
              <w:rPr>
                <w:lang w:eastAsia="ja-JP"/>
              </w:rPr>
            </w:pPr>
            <w:r>
              <w:rPr>
                <w:lang w:eastAsia="ja-JP"/>
              </w:rPr>
              <w:t>One-way sensitivity analyses</w:t>
            </w:r>
          </w:p>
          <w:p w:rsidR="002A6C28" w:rsidRDefault="002A6C28" w:rsidP="002A6C28">
            <w:pPr>
              <w:pStyle w:val="TableText"/>
              <w:rPr>
                <w:lang w:eastAsia="ja-JP"/>
              </w:rPr>
            </w:pPr>
            <w:r>
              <w:rPr>
                <w:lang w:eastAsia="ja-JP"/>
              </w:rPr>
              <w:t>Probabilistic sensitivity analysis (2000 simulations)</w:t>
            </w:r>
          </w:p>
        </w:tc>
      </w:tr>
    </w:tbl>
    <w:p w:rsidR="002A6C28" w:rsidRPr="002A6C28" w:rsidRDefault="00DC7184" w:rsidP="00DC7184">
      <w:pPr>
        <w:pStyle w:val="TableText"/>
        <w:ind w:left="567"/>
      </w:pPr>
      <w:r>
        <w:t>DXA = dual x-ray absorptiometry, QALY = quality adjusted life years</w:t>
      </w:r>
    </w:p>
    <w:p w:rsidR="00DC7184" w:rsidRDefault="00DC7184" w:rsidP="006629B5"/>
    <w:p w:rsidR="00E32BAF" w:rsidRDefault="0037671E" w:rsidP="006629B5">
      <w:r>
        <w:t>A</w:t>
      </w:r>
      <w:r w:rsidR="00B61625">
        <w:t xml:space="preserve"> Markov </w:t>
      </w:r>
      <w:r w:rsidR="00551D8E">
        <w:t xml:space="preserve">cohort </w:t>
      </w:r>
      <w:r w:rsidR="00B61625">
        <w:t xml:space="preserve">model provides a structure for assessing the economic questions in this assessment. </w:t>
      </w:r>
      <w:r w:rsidR="00551D8E">
        <w:t>The starting age of the cohort of women is 60 years which is the average age of breast cancer diagnosis in Australia</w:t>
      </w:r>
      <w:r>
        <w:t xml:space="preserve"> (AIHW 2012)</w:t>
      </w:r>
      <w:r w:rsidR="00551D8E">
        <w:t xml:space="preserve">.  The model duration is lifetime or a maximum of age 100 years.  </w:t>
      </w:r>
    </w:p>
    <w:p w:rsidR="00E32BAF" w:rsidRDefault="00E32BAF" w:rsidP="00E32BAF">
      <w:r>
        <w:t>Annual DXA scans were the frequency for the</w:t>
      </w:r>
      <w:r w:rsidR="00C41496">
        <w:t xml:space="preserve"> base case. </w:t>
      </w:r>
      <w:r w:rsidR="00C80CD9">
        <w:t>Annual scans match the proposed MBS item description for the target population, align with current guidelines and appear</w:t>
      </w:r>
      <w:r>
        <w:t xml:space="preserve"> to be current practice in Australia (see Consumer implications and other considerations). Two-yearly scans were tested in sensitivity analyses.</w:t>
      </w:r>
    </w:p>
    <w:p w:rsidR="006629B5" w:rsidRDefault="006D19D1" w:rsidP="006629B5">
      <w:r>
        <w:t xml:space="preserve">The model </w:t>
      </w:r>
      <w:r w:rsidR="002032CC">
        <w:t xml:space="preserve">operates in one-yearly cycles and </w:t>
      </w:r>
      <w:r>
        <w:t>has four health states; anti</w:t>
      </w:r>
      <w:r w:rsidR="0037671E">
        <w:t>-</w:t>
      </w:r>
      <w:r>
        <w:t xml:space="preserve">resorptive treatment, no treatment, second fracture and death.  In each of the </w:t>
      </w:r>
      <w:r w:rsidR="0037671E">
        <w:t>four comparison</w:t>
      </w:r>
      <w:r>
        <w:t xml:space="preserve"> groups, the women face a risk of either hip, vertebral, other fracture or no fracture.</w:t>
      </w:r>
      <w:r w:rsidR="001C0E59">
        <w:t xml:space="preserve"> As fractures are not very common, most women enter the no fracture arm</w:t>
      </w:r>
      <w:r w:rsidR="00551D8E">
        <w:t xml:space="preserve"> each cycle</w:t>
      </w:r>
      <w:r w:rsidR="001C0E59">
        <w:t xml:space="preserve">.  </w:t>
      </w:r>
      <w:r w:rsidR="0037671E">
        <w:t xml:space="preserve">If </w:t>
      </w:r>
      <w:r w:rsidR="00551D8E">
        <w:t>women have a fracture</w:t>
      </w:r>
      <w:r w:rsidR="002032CC">
        <w:t xml:space="preserve">, </w:t>
      </w:r>
      <w:r w:rsidR="0037671E">
        <w:t>they</w:t>
      </w:r>
      <w:r w:rsidR="002032CC">
        <w:t xml:space="preserve"> face a risk of another fracture or </w:t>
      </w:r>
      <w:r w:rsidR="00D304EC">
        <w:t xml:space="preserve">they </w:t>
      </w:r>
      <w:r w:rsidR="002032CC">
        <w:t xml:space="preserve">will stay well but will </w:t>
      </w:r>
      <w:r w:rsidR="00551D8E">
        <w:t>have</w:t>
      </w:r>
      <w:r w:rsidR="002032CC">
        <w:t xml:space="preserve"> anti-resorptive therapy </w:t>
      </w:r>
      <w:r w:rsidR="00551D8E">
        <w:t xml:space="preserve">for their </w:t>
      </w:r>
      <w:r w:rsidR="00C80CD9">
        <w:t xml:space="preserve">initial </w:t>
      </w:r>
      <w:r w:rsidR="00551D8E">
        <w:t>osteoporotic fracture</w:t>
      </w:r>
      <w:r w:rsidR="002032CC">
        <w:t>.</w:t>
      </w:r>
      <w:r w:rsidR="006629B5">
        <w:t xml:space="preserve"> The effectiveness of anti</w:t>
      </w:r>
      <w:r w:rsidR="00D304EC">
        <w:t>-</w:t>
      </w:r>
      <w:r w:rsidR="006629B5">
        <w:t xml:space="preserve">resorptive therapy was based on </w:t>
      </w:r>
      <w:r w:rsidR="00D304EC">
        <w:t xml:space="preserve">the </w:t>
      </w:r>
      <w:r w:rsidR="006629B5">
        <w:t xml:space="preserve">pooled evidence of several studies </w:t>
      </w:r>
      <w:r w:rsidR="00D304EC">
        <w:t>showing a</w:t>
      </w:r>
      <w:r w:rsidR="006629B5">
        <w:t xml:space="preserve"> protective </w:t>
      </w:r>
      <w:r w:rsidR="00D304EC">
        <w:t>effect</w:t>
      </w:r>
      <w:r w:rsidR="006629B5">
        <w:t xml:space="preserve"> against fractures. Evidence was available on the absolute fractures over 60 months in many trials of various bone therapies.</w:t>
      </w:r>
      <w:r w:rsidR="00D304EC">
        <w:t xml:space="preserve"> In any group, o</w:t>
      </w:r>
      <w:r w:rsidR="006629B5">
        <w:t xml:space="preserve">nce </w:t>
      </w:r>
      <w:r w:rsidR="00D304EC">
        <w:t xml:space="preserve">the </w:t>
      </w:r>
      <w:r w:rsidR="006629B5">
        <w:t>women suffered a minimal trauma fracture, they were considered osteoporotic and remained on anti</w:t>
      </w:r>
      <w:r w:rsidR="00D304EC">
        <w:t>-</w:t>
      </w:r>
      <w:r w:rsidR="006629B5">
        <w:t>resorptive therapy</w:t>
      </w:r>
      <w:r w:rsidR="00D304EC">
        <w:t xml:space="preserve"> and annual DXA scans</w:t>
      </w:r>
      <w:r w:rsidR="006629B5">
        <w:t>.</w:t>
      </w:r>
    </w:p>
    <w:p w:rsidR="00D7155A" w:rsidRDefault="00E32BAF" w:rsidP="007F6C11">
      <w:r>
        <w:t>T</w:t>
      </w:r>
      <w:r w:rsidR="007F6C11">
        <w:t>he risk of fractures increases sharply with age in both men and women (AIHW Osteoporosis 2012)</w:t>
      </w:r>
      <w:r w:rsidR="00DF5B9F">
        <w:t xml:space="preserve"> and age is a component of all fracture risk factor assessment tools. </w:t>
      </w:r>
      <w:r w:rsidR="007F6C11">
        <w:t xml:space="preserve">Age-related fractures for Australian women </w:t>
      </w:r>
      <w:r w:rsidR="00DF5B9F">
        <w:t xml:space="preserve">(in 2006-07) </w:t>
      </w:r>
      <w:r w:rsidR="007F6C11">
        <w:t xml:space="preserve">were tabulated in the model showing fracture risk increases </w:t>
      </w:r>
      <w:r w:rsidR="00DF5B9F">
        <w:t xml:space="preserve">exponentially </w:t>
      </w:r>
      <w:r w:rsidR="007F6C11">
        <w:t>with age</w:t>
      </w:r>
      <w:r w:rsidR="00DF5B9F">
        <w:t xml:space="preserve"> (2011 Osteoporosis Bulletin)</w:t>
      </w:r>
      <w:r w:rsidR="007F6C11">
        <w:t xml:space="preserve">. </w:t>
      </w:r>
      <w:r w:rsidR="00DF5B9F">
        <w:t xml:space="preserve">Although the </w:t>
      </w:r>
      <w:r w:rsidR="00513A98">
        <w:t xml:space="preserve">absolute </w:t>
      </w:r>
      <w:r w:rsidR="00DF5B9F">
        <w:t>number of fractures is increasing over time</w:t>
      </w:r>
      <w:r w:rsidR="00513A98">
        <w:t xml:space="preserve"> (4.4% per year in women over 55 years),</w:t>
      </w:r>
      <w:r w:rsidR="00DF5B9F">
        <w:t xml:space="preserve"> the rate of fractures per 100,000</w:t>
      </w:r>
      <w:r w:rsidR="00513A98">
        <w:t xml:space="preserve"> person-years</w:t>
      </w:r>
      <w:r w:rsidR="00DF5B9F">
        <w:t xml:space="preserve"> has been </w:t>
      </w:r>
      <w:r w:rsidR="00513A98">
        <w:t xml:space="preserve">decreasing in Australian women (Pasco </w:t>
      </w:r>
      <w:r w:rsidR="00D7155A" w:rsidRPr="00D7155A">
        <w:rPr>
          <w:i/>
        </w:rPr>
        <w:t>et al.</w:t>
      </w:r>
      <w:r w:rsidR="00D7155A">
        <w:t xml:space="preserve"> </w:t>
      </w:r>
      <w:r w:rsidR="00513A98">
        <w:t>2011)</w:t>
      </w:r>
      <w:r w:rsidR="00DF5B9F">
        <w:t xml:space="preserve">.  </w:t>
      </w:r>
      <w:r w:rsidR="00D7155A">
        <w:t>Fracture rates</w:t>
      </w:r>
      <w:r w:rsidR="00DF5B9F">
        <w:t xml:space="preserve"> were derived from</w:t>
      </w:r>
      <w:r w:rsidR="00513A98">
        <w:t xml:space="preserve"> women in 2006-</w:t>
      </w:r>
      <w:r w:rsidR="00513A98">
        <w:lastRenderedPageBreak/>
        <w:t xml:space="preserve">07 for rates per 1000 women in 5-year age groups (AIHW Osteoporosis Bulletin 2011). For example, the table </w:t>
      </w:r>
      <w:r w:rsidR="00D7155A">
        <w:t>shows</w:t>
      </w:r>
      <w:r w:rsidR="00513A98">
        <w:t xml:space="preserve"> from a </w:t>
      </w:r>
      <w:r w:rsidR="00D7155A">
        <w:t xml:space="preserve">hip fracture </w:t>
      </w:r>
      <w:r w:rsidR="00513A98">
        <w:t xml:space="preserve">rate of </w:t>
      </w:r>
      <w:r w:rsidR="00D7155A">
        <w:t>24</w:t>
      </w:r>
      <w:r w:rsidR="00513A98">
        <w:t xml:space="preserve">/1000 at age </w:t>
      </w:r>
      <w:r w:rsidR="00D7155A">
        <w:t>55</w:t>
      </w:r>
      <w:r w:rsidR="00513A98">
        <w:t xml:space="preserve"> </w:t>
      </w:r>
      <w:r w:rsidR="00D7155A">
        <w:t>and</w:t>
      </w:r>
      <w:r w:rsidR="00513A98">
        <w:t xml:space="preserve"> 11</w:t>
      </w:r>
      <w:r w:rsidR="00D7155A">
        <w:t>7</w:t>
      </w:r>
      <w:r w:rsidR="00513A98">
        <w:t>5</w:t>
      </w:r>
      <w:r w:rsidR="00C80CD9">
        <w:t xml:space="preserve">/1000 at age 80. </w:t>
      </w:r>
      <w:r w:rsidR="00D7155A">
        <w:t xml:space="preserve">Rates were converted to probabilities. </w:t>
      </w:r>
      <w:r w:rsidR="00DF5B9F">
        <w:t xml:space="preserve"> </w:t>
      </w:r>
    </w:p>
    <w:p w:rsidR="007F6C11" w:rsidRDefault="00D7155A" w:rsidP="007F6C11">
      <w:r>
        <w:t>To adjust the baseline age-related risk of fracture for women with breast cancer using AI therapy, the risk of fracture reported for this population</w:t>
      </w:r>
      <w:r w:rsidRPr="00513A98">
        <w:t xml:space="preserve"> </w:t>
      </w:r>
      <w:r>
        <w:t xml:space="preserve">in two meta-analyses was used </w:t>
      </w:r>
      <w:r w:rsidR="008B5C9C">
        <w:fldChar w:fldCharType="begin">
          <w:fldData xml:space="preserve">PEVuZE5vdGU+PENpdGU+PEF1dGhvcj5BbWlyPC9BdXRob3I+PFllYXI+MjAxMTwvWWVhcj48UmVj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</w:fldData>
        </w:fldChar>
      </w:r>
      <w:r w:rsidR="008B5C9C">
        <w:instrText xml:space="preserve"> ADDIN EN.CITE </w:instrText>
      </w:r>
      <w:r w:rsidR="008B5C9C">
        <w:fldChar w:fldCharType="begin">
          <w:fldData xml:space="preserve">PEVuZE5vdGU+PENpdGU+PEF1dGhvcj5BbWlyPC9BdXRob3I+PFllYXI+MjAxMTwvWWVhcj48UmVj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</w:fldData>
        </w:fldChar>
      </w:r>
      <w:r w:rsidR="008B5C9C">
        <w:instrText xml:space="preserve"> ADDIN EN.CITE.DATA </w:instrText>
      </w:r>
      <w:r w:rsidR="008B5C9C">
        <w:fldChar w:fldCharType="end"/>
      </w:r>
      <w:r w:rsidR="008B5C9C">
        <w:fldChar w:fldCharType="separate"/>
      </w:r>
      <w:r w:rsidR="008B5C9C">
        <w:rPr>
          <w:noProof/>
        </w:rPr>
        <w:t>(</w:t>
      </w:r>
      <w:hyperlink w:anchor="_ENREF_1" w:tooltip="Amir, 2011 #241" w:history="1">
        <w:r w:rsidR="006F79C1">
          <w:rPr>
            <w:noProof/>
          </w:rPr>
          <w:t>Amir, Seruga et al. 2011</w:t>
        </w:r>
      </w:hyperlink>
      <w:r w:rsidR="008B5C9C">
        <w:rPr>
          <w:noProof/>
        </w:rPr>
        <w:t xml:space="preserve">, </w:t>
      </w:r>
      <w:hyperlink w:anchor="_ENREF_6" w:tooltip="Becker, 2012 #242" w:history="1">
        <w:r w:rsidR="006F79C1">
          <w:rPr>
            <w:noProof/>
          </w:rPr>
          <w:t>Becker, Lipscombe et al. 2012</w:t>
        </w:r>
      </w:hyperlink>
      <w:r w:rsidR="008B5C9C">
        <w:rPr>
          <w:noProof/>
        </w:rPr>
        <w:t>)</w:t>
      </w:r>
      <w:r w:rsidR="008B5C9C">
        <w:fldChar w:fldCharType="end"/>
      </w:r>
      <w:r w:rsidR="008B5C9C">
        <w:t>.</w:t>
      </w:r>
    </w:p>
    <w:p w:rsidR="00F9599C" w:rsidRPr="007F6C11" w:rsidRDefault="00F9599C" w:rsidP="007F6C11">
      <w:r>
        <w:t xml:space="preserve">Using Marshall </w:t>
      </w:r>
      <w:r w:rsidRPr="00F9599C">
        <w:rPr>
          <w:i/>
        </w:rPr>
        <w:t>et al.</w:t>
      </w:r>
      <w:r>
        <w:t xml:space="preserve"> 1996 meta-analysis, fracture risk as a function of BMD decline was used to differentiate women who had normal BMD (RR 1.0), osteopenia (RR 1.5) and osteoporosis (RR 3.8). The latter fracture risk for osteoporosis was an assumption calculated by 2.5 standard deviations multiplied by the osteopenia risk. These risks were used in the model at the start to apply to the different intervention groups.</w:t>
      </w:r>
    </w:p>
    <w:p w:rsidR="00551D8E" w:rsidRDefault="00551D8E" w:rsidP="00551D8E">
      <w:pPr>
        <w:pStyle w:val="Heading5"/>
      </w:pPr>
      <w:r>
        <w:t>Effectiveness of anti-resorptive therapy for fracture prevention</w:t>
      </w:r>
    </w:p>
    <w:p w:rsidR="00513A98" w:rsidRDefault="00513A98" w:rsidP="00513A98">
      <w:r>
        <w:t>Th</w:t>
      </w:r>
      <w:r w:rsidR="00F9599C">
        <w:t>e</w:t>
      </w:r>
      <w:r>
        <w:t xml:space="preserve"> baseline </w:t>
      </w:r>
      <w:r w:rsidR="00D7155A">
        <w:t xml:space="preserve">fracture </w:t>
      </w:r>
      <w:r>
        <w:t>risk</w:t>
      </w:r>
      <w:r w:rsidR="00D7155A">
        <w:t xml:space="preserve"> for women taking AI therapies</w:t>
      </w:r>
      <w:r>
        <w:t xml:space="preserve"> was adjusted for bone treatment using </w:t>
      </w:r>
      <w:r w:rsidR="00D7155A">
        <w:t xml:space="preserve">pooled </w:t>
      </w:r>
      <w:r>
        <w:t>values in the evidence</w:t>
      </w:r>
      <w:r w:rsidR="0062321C">
        <w:t xml:space="preserve"> (Table 24)</w:t>
      </w:r>
      <w:r>
        <w:t>.</w:t>
      </w:r>
      <w:r w:rsidR="00F9599C" w:rsidRPr="00F9599C">
        <w:t xml:space="preserve"> </w:t>
      </w:r>
      <w:r w:rsidR="00170901">
        <w:t xml:space="preserve">High and low values of treatment effect were based on the rate ratios of Brufsky 2012 and Coleman 2013 studies, respectively. </w:t>
      </w:r>
      <w:r w:rsidR="00F9599C">
        <w:t>Therefore the use of ‘% change in BMD’ to link to fracture occurrence was not explicitly used in the model.</w:t>
      </w:r>
    </w:p>
    <w:p w:rsidR="0062321C" w:rsidRPr="00DC7184" w:rsidRDefault="0062321C" w:rsidP="00DC7184">
      <w:pPr>
        <w:pStyle w:val="TableName"/>
      </w:pPr>
      <w:bookmarkStart w:id="129" w:name="_Toc386112693"/>
      <w:r w:rsidRPr="00DC7184">
        <w:t>Table 24: Evidence for protective effect of bone therapy for women taking AIs</w:t>
      </w:r>
      <w:bookmarkEnd w:id="129"/>
    </w:p>
    <w:tbl>
      <w:tblPr>
        <w:tblStyle w:val="TableGrid"/>
        <w:tblW w:w="0" w:type="auto"/>
        <w:tblInd w:w="720" w:type="dxa"/>
        <w:tblLayout w:type="fixed"/>
        <w:tblLook w:val="04A0" w:firstRow="1" w:lastRow="0" w:firstColumn="1" w:lastColumn="0" w:noHBand="0" w:noVBand="1"/>
        <w:tblCaption w:val="Table 24 Evidence for protective effect of bone therapy"/>
      </w:tblPr>
      <w:tblGrid>
        <w:gridCol w:w="1656"/>
        <w:gridCol w:w="906"/>
        <w:gridCol w:w="834"/>
        <w:gridCol w:w="709"/>
        <w:gridCol w:w="1093"/>
        <w:gridCol w:w="750"/>
        <w:gridCol w:w="953"/>
        <w:gridCol w:w="750"/>
      </w:tblGrid>
      <w:tr w:rsidR="00170901" w:rsidRPr="00170901" w:rsidTr="00D1533C">
        <w:trPr>
          <w:tblHeader/>
        </w:trPr>
        <w:tc>
          <w:tcPr>
            <w:tcW w:w="1656" w:type="dxa"/>
          </w:tcPr>
          <w:p w:rsidR="00170901" w:rsidRPr="00170901" w:rsidRDefault="004B4974" w:rsidP="00170901">
            <w:pPr>
              <w:pStyle w:val="TableText"/>
              <w:jc w:val="center"/>
              <w:rPr>
                <w:b/>
              </w:rPr>
            </w:pPr>
            <w:r>
              <w:rPr>
                <w:b/>
              </w:rPr>
              <w:t>-</w:t>
            </w:r>
          </w:p>
        </w:tc>
        <w:tc>
          <w:tcPr>
            <w:tcW w:w="906" w:type="dxa"/>
          </w:tcPr>
          <w:p w:rsidR="00170901" w:rsidRPr="00170901" w:rsidRDefault="004B4974" w:rsidP="00170901">
            <w:pPr>
              <w:pStyle w:val="TableText"/>
              <w:jc w:val="center"/>
              <w:rPr>
                <w:b/>
              </w:rPr>
            </w:pPr>
            <w:r>
              <w:rPr>
                <w:b/>
              </w:rPr>
              <w:t>-</w:t>
            </w:r>
          </w:p>
        </w:tc>
        <w:tc>
          <w:tcPr>
            <w:tcW w:w="834" w:type="dxa"/>
          </w:tcPr>
          <w:p w:rsidR="00170901" w:rsidRPr="00170901" w:rsidRDefault="004B4974" w:rsidP="00170901">
            <w:pPr>
              <w:pStyle w:val="TableText"/>
              <w:jc w:val="center"/>
              <w:rPr>
                <w:b/>
              </w:rPr>
            </w:pPr>
            <w:r>
              <w:rPr>
                <w:b/>
              </w:rPr>
              <w:t>-</w:t>
            </w:r>
          </w:p>
        </w:tc>
        <w:tc>
          <w:tcPr>
            <w:tcW w:w="1802" w:type="dxa"/>
            <w:gridSpan w:val="2"/>
          </w:tcPr>
          <w:p w:rsidR="00170901" w:rsidRPr="00170901" w:rsidRDefault="00170901" w:rsidP="00170901">
            <w:pPr>
              <w:pStyle w:val="TableText"/>
              <w:jc w:val="center"/>
              <w:rPr>
                <w:b/>
              </w:rPr>
            </w:pPr>
            <w:r w:rsidRPr="00170901">
              <w:rPr>
                <w:b/>
              </w:rPr>
              <w:t>% women on AI with fractures</w:t>
            </w:r>
          </w:p>
        </w:tc>
        <w:tc>
          <w:tcPr>
            <w:tcW w:w="1703" w:type="dxa"/>
            <w:gridSpan w:val="2"/>
          </w:tcPr>
          <w:p w:rsidR="00170901" w:rsidRPr="00170901" w:rsidRDefault="00170901" w:rsidP="00170901">
            <w:pPr>
              <w:pStyle w:val="TableText"/>
              <w:jc w:val="center"/>
              <w:rPr>
                <w:b/>
              </w:rPr>
            </w:pPr>
            <w:r w:rsidRPr="00170901">
              <w:rPr>
                <w:b/>
              </w:rPr>
              <w:t>% women on AI plus ARtx with fractures</w:t>
            </w:r>
          </w:p>
        </w:tc>
        <w:tc>
          <w:tcPr>
            <w:tcW w:w="750" w:type="dxa"/>
          </w:tcPr>
          <w:p w:rsidR="00170901" w:rsidRPr="00170901" w:rsidRDefault="00170901" w:rsidP="00170901">
            <w:pPr>
              <w:pStyle w:val="TableText"/>
              <w:jc w:val="center"/>
              <w:rPr>
                <w:b/>
              </w:rPr>
            </w:pPr>
            <w:r w:rsidRPr="00170901">
              <w:rPr>
                <w:b/>
              </w:rPr>
              <w:t>RR</w:t>
            </w:r>
          </w:p>
        </w:tc>
      </w:tr>
      <w:tr w:rsidR="00170901" w:rsidRPr="00170901" w:rsidTr="00D1533C">
        <w:trPr>
          <w:tblHeader/>
        </w:trPr>
        <w:tc>
          <w:tcPr>
            <w:tcW w:w="1656" w:type="dxa"/>
          </w:tcPr>
          <w:p w:rsidR="00170901" w:rsidRPr="00170901" w:rsidRDefault="00170901" w:rsidP="0062321C">
            <w:pPr>
              <w:pStyle w:val="TableText"/>
              <w:rPr>
                <w:b/>
              </w:rPr>
            </w:pPr>
            <w:r w:rsidRPr="00170901">
              <w:rPr>
                <w:b/>
              </w:rPr>
              <w:t>Study</w:t>
            </w:r>
          </w:p>
        </w:tc>
        <w:tc>
          <w:tcPr>
            <w:tcW w:w="906" w:type="dxa"/>
          </w:tcPr>
          <w:p w:rsidR="00170901" w:rsidRPr="00170901" w:rsidRDefault="00170901" w:rsidP="00170901">
            <w:pPr>
              <w:pStyle w:val="TableText"/>
              <w:jc w:val="center"/>
              <w:rPr>
                <w:b/>
              </w:rPr>
            </w:pPr>
            <w:r w:rsidRPr="00170901">
              <w:rPr>
                <w:b/>
              </w:rPr>
              <w:t>Period</w:t>
            </w:r>
          </w:p>
        </w:tc>
        <w:tc>
          <w:tcPr>
            <w:tcW w:w="834" w:type="dxa"/>
          </w:tcPr>
          <w:p w:rsidR="00170901" w:rsidRPr="00170901" w:rsidRDefault="00170901" w:rsidP="00170901">
            <w:pPr>
              <w:pStyle w:val="TableText"/>
              <w:jc w:val="center"/>
              <w:rPr>
                <w:b/>
              </w:rPr>
            </w:pPr>
            <w:r w:rsidRPr="00170901">
              <w:rPr>
                <w:b/>
              </w:rPr>
              <w:t>Fx site</w:t>
            </w:r>
          </w:p>
        </w:tc>
        <w:tc>
          <w:tcPr>
            <w:tcW w:w="709" w:type="dxa"/>
          </w:tcPr>
          <w:p w:rsidR="00170901" w:rsidRPr="00170901" w:rsidRDefault="00170901" w:rsidP="00170901">
            <w:pPr>
              <w:pStyle w:val="TableText"/>
              <w:jc w:val="center"/>
              <w:rPr>
                <w:b/>
              </w:rPr>
            </w:pPr>
            <w:r w:rsidRPr="00170901">
              <w:rPr>
                <w:b/>
              </w:rPr>
              <w:t>% Fx</w:t>
            </w:r>
          </w:p>
        </w:tc>
        <w:tc>
          <w:tcPr>
            <w:tcW w:w="1093" w:type="dxa"/>
          </w:tcPr>
          <w:p w:rsidR="00170901" w:rsidRPr="00170901" w:rsidRDefault="00170901" w:rsidP="00170901">
            <w:pPr>
              <w:pStyle w:val="TableText"/>
              <w:jc w:val="center"/>
              <w:rPr>
                <w:b/>
              </w:rPr>
            </w:pPr>
            <w:r w:rsidRPr="00170901">
              <w:rPr>
                <w:b/>
              </w:rPr>
              <w:t>Av%/yr</w:t>
            </w:r>
          </w:p>
        </w:tc>
        <w:tc>
          <w:tcPr>
            <w:tcW w:w="750" w:type="dxa"/>
          </w:tcPr>
          <w:p w:rsidR="00170901" w:rsidRPr="00170901" w:rsidRDefault="00170901" w:rsidP="00170901">
            <w:pPr>
              <w:pStyle w:val="TableText"/>
              <w:jc w:val="center"/>
              <w:rPr>
                <w:b/>
              </w:rPr>
            </w:pPr>
            <w:r w:rsidRPr="00170901">
              <w:rPr>
                <w:b/>
              </w:rPr>
              <w:t>% Fx</w:t>
            </w:r>
          </w:p>
        </w:tc>
        <w:tc>
          <w:tcPr>
            <w:tcW w:w="953" w:type="dxa"/>
          </w:tcPr>
          <w:p w:rsidR="00170901" w:rsidRPr="00170901" w:rsidRDefault="00170901" w:rsidP="00170901">
            <w:pPr>
              <w:pStyle w:val="TableText"/>
              <w:jc w:val="center"/>
              <w:rPr>
                <w:b/>
              </w:rPr>
            </w:pPr>
            <w:r w:rsidRPr="00170901">
              <w:rPr>
                <w:b/>
              </w:rPr>
              <w:t>Av%/yr</w:t>
            </w:r>
          </w:p>
        </w:tc>
        <w:tc>
          <w:tcPr>
            <w:tcW w:w="750" w:type="dxa"/>
          </w:tcPr>
          <w:p w:rsidR="00170901" w:rsidRPr="00170901" w:rsidRDefault="004B4974" w:rsidP="00170901">
            <w:pPr>
              <w:pStyle w:val="TableText"/>
              <w:jc w:val="center"/>
              <w:rPr>
                <w:b/>
              </w:rPr>
            </w:pPr>
            <w:r>
              <w:rPr>
                <w:b/>
              </w:rPr>
              <w:t>-</w:t>
            </w:r>
          </w:p>
        </w:tc>
      </w:tr>
      <w:tr w:rsidR="00170901" w:rsidTr="00D1533C">
        <w:trPr>
          <w:tblHeader/>
        </w:trPr>
        <w:tc>
          <w:tcPr>
            <w:tcW w:w="1656" w:type="dxa"/>
          </w:tcPr>
          <w:p w:rsidR="00170901" w:rsidRDefault="00170901" w:rsidP="0062321C">
            <w:pPr>
              <w:pStyle w:val="TableText"/>
            </w:pPr>
            <w:r>
              <w:t>Neuner 2011</w:t>
            </w:r>
          </w:p>
        </w:tc>
        <w:tc>
          <w:tcPr>
            <w:tcW w:w="906" w:type="dxa"/>
          </w:tcPr>
          <w:p w:rsidR="00170901" w:rsidRDefault="00170901" w:rsidP="00170901">
            <w:pPr>
              <w:pStyle w:val="TableText"/>
              <w:jc w:val="center"/>
            </w:pPr>
            <w:r>
              <w:t>36 mths</w:t>
            </w:r>
          </w:p>
        </w:tc>
        <w:tc>
          <w:tcPr>
            <w:tcW w:w="834" w:type="dxa"/>
          </w:tcPr>
          <w:p w:rsidR="00170901" w:rsidRDefault="00170901" w:rsidP="00170901">
            <w:pPr>
              <w:pStyle w:val="TableText"/>
              <w:jc w:val="center"/>
            </w:pPr>
            <w:r>
              <w:t>Hip</w:t>
            </w:r>
          </w:p>
        </w:tc>
        <w:tc>
          <w:tcPr>
            <w:tcW w:w="709" w:type="dxa"/>
          </w:tcPr>
          <w:p w:rsidR="00170901" w:rsidRDefault="00170901" w:rsidP="00170901">
            <w:pPr>
              <w:pStyle w:val="TableText"/>
              <w:jc w:val="center"/>
            </w:pPr>
            <w:r>
              <w:t>1.7%</w:t>
            </w:r>
          </w:p>
        </w:tc>
        <w:tc>
          <w:tcPr>
            <w:tcW w:w="1093" w:type="dxa"/>
          </w:tcPr>
          <w:p w:rsidR="00170901" w:rsidRDefault="00170901" w:rsidP="00170901">
            <w:pPr>
              <w:pStyle w:val="TableText"/>
              <w:jc w:val="center"/>
            </w:pPr>
            <w:r>
              <w:t>0.57%</w:t>
            </w:r>
          </w:p>
        </w:tc>
        <w:tc>
          <w:tcPr>
            <w:tcW w:w="750" w:type="dxa"/>
          </w:tcPr>
          <w:p w:rsidR="00170901" w:rsidRDefault="00170901" w:rsidP="00170901">
            <w:pPr>
              <w:pStyle w:val="TableText"/>
              <w:jc w:val="center"/>
            </w:pPr>
            <w:r>
              <w:t>-</w:t>
            </w:r>
          </w:p>
        </w:tc>
        <w:tc>
          <w:tcPr>
            <w:tcW w:w="953" w:type="dxa"/>
          </w:tcPr>
          <w:p w:rsidR="00170901" w:rsidRDefault="00170901" w:rsidP="00170901">
            <w:pPr>
              <w:pStyle w:val="TableText"/>
              <w:jc w:val="center"/>
            </w:pPr>
            <w:r>
              <w:t>-</w:t>
            </w:r>
          </w:p>
        </w:tc>
        <w:tc>
          <w:tcPr>
            <w:tcW w:w="750" w:type="dxa"/>
          </w:tcPr>
          <w:p w:rsidR="00170901" w:rsidRDefault="004B4974" w:rsidP="00170901">
            <w:pPr>
              <w:pStyle w:val="TableText"/>
              <w:jc w:val="center"/>
            </w:pPr>
            <w:r>
              <w:t>-</w:t>
            </w:r>
          </w:p>
        </w:tc>
      </w:tr>
      <w:tr w:rsidR="00170901" w:rsidTr="00D1533C">
        <w:trPr>
          <w:tblHeader/>
        </w:trPr>
        <w:tc>
          <w:tcPr>
            <w:tcW w:w="1656" w:type="dxa"/>
          </w:tcPr>
          <w:p w:rsidR="00170901" w:rsidRDefault="00170901" w:rsidP="0062321C">
            <w:pPr>
              <w:pStyle w:val="TableText"/>
            </w:pPr>
          </w:p>
        </w:tc>
        <w:tc>
          <w:tcPr>
            <w:tcW w:w="906" w:type="dxa"/>
          </w:tcPr>
          <w:p w:rsidR="00170901" w:rsidRDefault="00170901" w:rsidP="00170901">
            <w:pPr>
              <w:pStyle w:val="TableText"/>
              <w:jc w:val="center"/>
            </w:pPr>
          </w:p>
        </w:tc>
        <w:tc>
          <w:tcPr>
            <w:tcW w:w="834" w:type="dxa"/>
          </w:tcPr>
          <w:p w:rsidR="00170901" w:rsidRDefault="00170901" w:rsidP="00170901">
            <w:pPr>
              <w:pStyle w:val="TableText"/>
              <w:jc w:val="center"/>
            </w:pPr>
            <w:r>
              <w:t>Non-vert</w:t>
            </w:r>
          </w:p>
        </w:tc>
        <w:tc>
          <w:tcPr>
            <w:tcW w:w="709" w:type="dxa"/>
          </w:tcPr>
          <w:p w:rsidR="00170901" w:rsidRDefault="00170901" w:rsidP="00170901">
            <w:pPr>
              <w:pStyle w:val="TableText"/>
              <w:jc w:val="center"/>
            </w:pPr>
            <w:r>
              <w:t>8.8%</w:t>
            </w:r>
          </w:p>
        </w:tc>
        <w:tc>
          <w:tcPr>
            <w:tcW w:w="1093" w:type="dxa"/>
          </w:tcPr>
          <w:p w:rsidR="00170901" w:rsidRDefault="00170901" w:rsidP="00170901">
            <w:pPr>
              <w:pStyle w:val="TableText"/>
              <w:jc w:val="center"/>
            </w:pPr>
            <w:r>
              <w:t>2.93%</w:t>
            </w:r>
          </w:p>
        </w:tc>
        <w:tc>
          <w:tcPr>
            <w:tcW w:w="750" w:type="dxa"/>
          </w:tcPr>
          <w:p w:rsidR="00170901" w:rsidRDefault="00170901" w:rsidP="00170901">
            <w:pPr>
              <w:pStyle w:val="TableText"/>
              <w:jc w:val="center"/>
            </w:pPr>
            <w:r>
              <w:t>-</w:t>
            </w:r>
          </w:p>
        </w:tc>
        <w:tc>
          <w:tcPr>
            <w:tcW w:w="953" w:type="dxa"/>
          </w:tcPr>
          <w:p w:rsidR="00170901" w:rsidRDefault="00170901" w:rsidP="00170901">
            <w:pPr>
              <w:pStyle w:val="TableText"/>
              <w:jc w:val="center"/>
            </w:pPr>
            <w:r>
              <w:t>-</w:t>
            </w:r>
          </w:p>
        </w:tc>
        <w:tc>
          <w:tcPr>
            <w:tcW w:w="750" w:type="dxa"/>
          </w:tcPr>
          <w:p w:rsidR="00170901" w:rsidRDefault="004B4974" w:rsidP="00170901">
            <w:pPr>
              <w:pStyle w:val="TableText"/>
              <w:jc w:val="center"/>
            </w:pPr>
            <w:r>
              <w:t>-</w:t>
            </w:r>
          </w:p>
        </w:tc>
      </w:tr>
      <w:tr w:rsidR="00170901" w:rsidTr="00D1533C">
        <w:trPr>
          <w:tblHeader/>
        </w:trPr>
        <w:tc>
          <w:tcPr>
            <w:tcW w:w="1656" w:type="dxa"/>
          </w:tcPr>
          <w:p w:rsidR="00170901" w:rsidRDefault="00170901" w:rsidP="0062321C">
            <w:pPr>
              <w:pStyle w:val="TableText"/>
            </w:pPr>
            <w:r>
              <w:t>Goss 2013</w:t>
            </w:r>
          </w:p>
        </w:tc>
        <w:tc>
          <w:tcPr>
            <w:tcW w:w="906" w:type="dxa"/>
          </w:tcPr>
          <w:p w:rsidR="00170901" w:rsidRDefault="00170901" w:rsidP="00170901">
            <w:pPr>
              <w:pStyle w:val="TableText"/>
              <w:jc w:val="center"/>
            </w:pPr>
            <w:r>
              <w:t>4 years</w:t>
            </w:r>
          </w:p>
        </w:tc>
        <w:tc>
          <w:tcPr>
            <w:tcW w:w="834" w:type="dxa"/>
          </w:tcPr>
          <w:p w:rsidR="00170901" w:rsidRDefault="00170901" w:rsidP="00170901">
            <w:pPr>
              <w:pStyle w:val="TableText"/>
              <w:jc w:val="center"/>
            </w:pPr>
            <w:r>
              <w:t>Fragility</w:t>
            </w:r>
          </w:p>
        </w:tc>
        <w:tc>
          <w:tcPr>
            <w:tcW w:w="709" w:type="dxa"/>
          </w:tcPr>
          <w:p w:rsidR="00170901" w:rsidRDefault="00170901" w:rsidP="00170901">
            <w:pPr>
              <w:pStyle w:val="TableText"/>
              <w:jc w:val="center"/>
            </w:pPr>
            <w:r>
              <w:t>4.0%</w:t>
            </w:r>
          </w:p>
        </w:tc>
        <w:tc>
          <w:tcPr>
            <w:tcW w:w="1093" w:type="dxa"/>
          </w:tcPr>
          <w:p w:rsidR="00170901" w:rsidRDefault="00170901" w:rsidP="00170901">
            <w:pPr>
              <w:pStyle w:val="TableText"/>
              <w:jc w:val="center"/>
            </w:pPr>
            <w:r>
              <w:t>1.0%</w:t>
            </w:r>
          </w:p>
        </w:tc>
        <w:tc>
          <w:tcPr>
            <w:tcW w:w="750" w:type="dxa"/>
          </w:tcPr>
          <w:p w:rsidR="00170901" w:rsidRDefault="00170901" w:rsidP="00170901">
            <w:pPr>
              <w:pStyle w:val="TableText"/>
              <w:jc w:val="center"/>
            </w:pPr>
            <w:r>
              <w:t>-</w:t>
            </w:r>
          </w:p>
        </w:tc>
        <w:tc>
          <w:tcPr>
            <w:tcW w:w="953" w:type="dxa"/>
          </w:tcPr>
          <w:p w:rsidR="00170901" w:rsidRDefault="00170901" w:rsidP="00170901">
            <w:pPr>
              <w:pStyle w:val="TableText"/>
              <w:jc w:val="center"/>
            </w:pPr>
            <w:r>
              <w:t>-</w:t>
            </w:r>
          </w:p>
        </w:tc>
        <w:tc>
          <w:tcPr>
            <w:tcW w:w="750" w:type="dxa"/>
          </w:tcPr>
          <w:p w:rsidR="00170901" w:rsidRDefault="004B4974" w:rsidP="00170901">
            <w:pPr>
              <w:pStyle w:val="TableText"/>
              <w:jc w:val="center"/>
            </w:pPr>
            <w:r>
              <w:t>-</w:t>
            </w:r>
          </w:p>
        </w:tc>
      </w:tr>
      <w:tr w:rsidR="00170901" w:rsidTr="00D1533C">
        <w:trPr>
          <w:tblHeader/>
        </w:trPr>
        <w:tc>
          <w:tcPr>
            <w:tcW w:w="1656" w:type="dxa"/>
          </w:tcPr>
          <w:p w:rsidR="00170901" w:rsidRDefault="00170901" w:rsidP="0062321C">
            <w:pPr>
              <w:pStyle w:val="TableText"/>
            </w:pPr>
            <w:r>
              <w:t>Becker 2012:</w:t>
            </w:r>
          </w:p>
        </w:tc>
        <w:tc>
          <w:tcPr>
            <w:tcW w:w="906" w:type="dxa"/>
          </w:tcPr>
          <w:p w:rsidR="00170901" w:rsidRDefault="00170901" w:rsidP="00170901">
            <w:pPr>
              <w:pStyle w:val="TableText"/>
              <w:jc w:val="center"/>
            </w:pPr>
          </w:p>
        </w:tc>
        <w:tc>
          <w:tcPr>
            <w:tcW w:w="834" w:type="dxa"/>
          </w:tcPr>
          <w:p w:rsidR="00170901" w:rsidRDefault="00170901" w:rsidP="00170901">
            <w:pPr>
              <w:pStyle w:val="TableText"/>
              <w:jc w:val="center"/>
            </w:pPr>
          </w:p>
        </w:tc>
        <w:tc>
          <w:tcPr>
            <w:tcW w:w="709" w:type="dxa"/>
          </w:tcPr>
          <w:p w:rsidR="00170901" w:rsidRDefault="00170901" w:rsidP="00170901">
            <w:pPr>
              <w:pStyle w:val="TableText"/>
              <w:jc w:val="center"/>
            </w:pPr>
          </w:p>
        </w:tc>
        <w:tc>
          <w:tcPr>
            <w:tcW w:w="1093" w:type="dxa"/>
          </w:tcPr>
          <w:p w:rsidR="00170901" w:rsidRDefault="00170901" w:rsidP="00170901">
            <w:pPr>
              <w:pStyle w:val="TableText"/>
              <w:jc w:val="center"/>
            </w:pPr>
          </w:p>
        </w:tc>
        <w:tc>
          <w:tcPr>
            <w:tcW w:w="750" w:type="dxa"/>
          </w:tcPr>
          <w:p w:rsidR="00170901" w:rsidRDefault="00170901" w:rsidP="00170901">
            <w:pPr>
              <w:pStyle w:val="TableText"/>
              <w:jc w:val="center"/>
            </w:pPr>
            <w:r>
              <w:t>-</w:t>
            </w:r>
          </w:p>
        </w:tc>
        <w:tc>
          <w:tcPr>
            <w:tcW w:w="953" w:type="dxa"/>
          </w:tcPr>
          <w:p w:rsidR="00170901" w:rsidRDefault="00170901" w:rsidP="00170901">
            <w:pPr>
              <w:pStyle w:val="TableText"/>
              <w:jc w:val="center"/>
            </w:pPr>
            <w:r>
              <w:t>-</w:t>
            </w:r>
          </w:p>
        </w:tc>
        <w:tc>
          <w:tcPr>
            <w:tcW w:w="750" w:type="dxa"/>
          </w:tcPr>
          <w:p w:rsidR="00170901" w:rsidRDefault="004B4974" w:rsidP="00170901">
            <w:pPr>
              <w:pStyle w:val="TableText"/>
              <w:jc w:val="center"/>
            </w:pPr>
            <w:r>
              <w:t>-</w:t>
            </w:r>
          </w:p>
        </w:tc>
      </w:tr>
      <w:tr w:rsidR="00170901" w:rsidTr="00D1533C">
        <w:trPr>
          <w:tblHeader/>
        </w:trPr>
        <w:tc>
          <w:tcPr>
            <w:tcW w:w="1656" w:type="dxa"/>
          </w:tcPr>
          <w:p w:rsidR="00170901" w:rsidRDefault="00170901" w:rsidP="0062321C">
            <w:pPr>
              <w:pStyle w:val="TableText"/>
            </w:pPr>
            <w:r>
              <w:t xml:space="preserve">   ATAC</w:t>
            </w:r>
          </w:p>
        </w:tc>
        <w:tc>
          <w:tcPr>
            <w:tcW w:w="906" w:type="dxa"/>
          </w:tcPr>
          <w:p w:rsidR="00170901" w:rsidRDefault="00170901" w:rsidP="00170901">
            <w:pPr>
              <w:pStyle w:val="TableText"/>
              <w:jc w:val="center"/>
            </w:pPr>
            <w:r>
              <w:t>100 mths</w:t>
            </w:r>
          </w:p>
        </w:tc>
        <w:tc>
          <w:tcPr>
            <w:tcW w:w="834" w:type="dxa"/>
          </w:tcPr>
          <w:p w:rsidR="00170901" w:rsidRDefault="00170901" w:rsidP="00170901">
            <w:pPr>
              <w:pStyle w:val="TableText"/>
              <w:jc w:val="center"/>
            </w:pPr>
            <w:r>
              <w:t>All</w:t>
            </w:r>
          </w:p>
        </w:tc>
        <w:tc>
          <w:tcPr>
            <w:tcW w:w="709" w:type="dxa"/>
          </w:tcPr>
          <w:p w:rsidR="00170901" w:rsidRDefault="00170901" w:rsidP="00170901">
            <w:pPr>
              <w:pStyle w:val="TableText"/>
              <w:jc w:val="center"/>
            </w:pPr>
            <w:r>
              <w:t>11.0%</w:t>
            </w:r>
          </w:p>
        </w:tc>
        <w:tc>
          <w:tcPr>
            <w:tcW w:w="1093" w:type="dxa"/>
          </w:tcPr>
          <w:p w:rsidR="00170901" w:rsidRDefault="00170901" w:rsidP="00170901">
            <w:pPr>
              <w:pStyle w:val="TableText"/>
              <w:jc w:val="center"/>
            </w:pPr>
            <w:r>
              <w:t>1.32%</w:t>
            </w:r>
          </w:p>
        </w:tc>
        <w:tc>
          <w:tcPr>
            <w:tcW w:w="750" w:type="dxa"/>
          </w:tcPr>
          <w:p w:rsidR="00170901" w:rsidRDefault="00170901" w:rsidP="00170901">
            <w:pPr>
              <w:pStyle w:val="TableText"/>
              <w:jc w:val="center"/>
            </w:pPr>
            <w:r>
              <w:t>-</w:t>
            </w:r>
          </w:p>
        </w:tc>
        <w:tc>
          <w:tcPr>
            <w:tcW w:w="953" w:type="dxa"/>
          </w:tcPr>
          <w:p w:rsidR="00170901" w:rsidRDefault="00170901" w:rsidP="00170901">
            <w:pPr>
              <w:pStyle w:val="TableText"/>
              <w:jc w:val="center"/>
            </w:pPr>
            <w:r>
              <w:t>-</w:t>
            </w:r>
          </w:p>
        </w:tc>
        <w:tc>
          <w:tcPr>
            <w:tcW w:w="750" w:type="dxa"/>
          </w:tcPr>
          <w:p w:rsidR="00170901" w:rsidRDefault="004B4974" w:rsidP="00170901">
            <w:pPr>
              <w:pStyle w:val="TableText"/>
              <w:jc w:val="center"/>
            </w:pPr>
            <w:r>
              <w:t>-</w:t>
            </w:r>
          </w:p>
        </w:tc>
      </w:tr>
      <w:tr w:rsidR="00170901" w:rsidTr="00D1533C">
        <w:trPr>
          <w:tblHeader/>
        </w:trPr>
        <w:tc>
          <w:tcPr>
            <w:tcW w:w="1656" w:type="dxa"/>
          </w:tcPr>
          <w:p w:rsidR="00170901" w:rsidRDefault="00170901" w:rsidP="0062321C">
            <w:pPr>
              <w:pStyle w:val="TableText"/>
            </w:pPr>
            <w:r>
              <w:t xml:space="preserve">   BIG-I-98</w:t>
            </w:r>
          </w:p>
        </w:tc>
        <w:tc>
          <w:tcPr>
            <w:tcW w:w="906" w:type="dxa"/>
          </w:tcPr>
          <w:p w:rsidR="00170901" w:rsidRDefault="00170901" w:rsidP="00170901">
            <w:pPr>
              <w:pStyle w:val="TableText"/>
              <w:jc w:val="center"/>
            </w:pPr>
            <w:r>
              <w:t>60 mths</w:t>
            </w:r>
          </w:p>
        </w:tc>
        <w:tc>
          <w:tcPr>
            <w:tcW w:w="834" w:type="dxa"/>
          </w:tcPr>
          <w:p w:rsidR="00170901" w:rsidRDefault="00170901" w:rsidP="00170901">
            <w:pPr>
              <w:pStyle w:val="TableText"/>
              <w:jc w:val="center"/>
            </w:pPr>
            <w:r>
              <w:t>All</w:t>
            </w:r>
          </w:p>
        </w:tc>
        <w:tc>
          <w:tcPr>
            <w:tcW w:w="709" w:type="dxa"/>
          </w:tcPr>
          <w:p w:rsidR="00170901" w:rsidRDefault="00170901" w:rsidP="00170901">
            <w:pPr>
              <w:pStyle w:val="TableText"/>
              <w:jc w:val="center"/>
            </w:pPr>
            <w:r>
              <w:t>9.3%</w:t>
            </w:r>
          </w:p>
        </w:tc>
        <w:tc>
          <w:tcPr>
            <w:tcW w:w="1093" w:type="dxa"/>
          </w:tcPr>
          <w:p w:rsidR="00170901" w:rsidRDefault="00170901" w:rsidP="00170901">
            <w:pPr>
              <w:pStyle w:val="TableText"/>
              <w:jc w:val="center"/>
            </w:pPr>
            <w:r>
              <w:t>1.85%</w:t>
            </w:r>
          </w:p>
        </w:tc>
        <w:tc>
          <w:tcPr>
            <w:tcW w:w="750" w:type="dxa"/>
          </w:tcPr>
          <w:p w:rsidR="00170901" w:rsidRDefault="00170901" w:rsidP="00170901">
            <w:pPr>
              <w:pStyle w:val="TableText"/>
              <w:jc w:val="center"/>
            </w:pPr>
            <w:r>
              <w:t>-</w:t>
            </w:r>
          </w:p>
        </w:tc>
        <w:tc>
          <w:tcPr>
            <w:tcW w:w="953" w:type="dxa"/>
          </w:tcPr>
          <w:p w:rsidR="00170901" w:rsidRDefault="00170901" w:rsidP="00170901">
            <w:pPr>
              <w:pStyle w:val="TableText"/>
              <w:jc w:val="center"/>
            </w:pPr>
            <w:r>
              <w:t>-</w:t>
            </w:r>
          </w:p>
        </w:tc>
        <w:tc>
          <w:tcPr>
            <w:tcW w:w="750" w:type="dxa"/>
          </w:tcPr>
          <w:p w:rsidR="00170901" w:rsidRDefault="004B4974" w:rsidP="00170901">
            <w:pPr>
              <w:pStyle w:val="TableText"/>
              <w:jc w:val="center"/>
            </w:pPr>
            <w:r>
              <w:t>-</w:t>
            </w:r>
          </w:p>
        </w:tc>
      </w:tr>
      <w:tr w:rsidR="00170901" w:rsidTr="00D1533C">
        <w:trPr>
          <w:tblHeader/>
        </w:trPr>
        <w:tc>
          <w:tcPr>
            <w:tcW w:w="1656" w:type="dxa"/>
          </w:tcPr>
          <w:p w:rsidR="00170901" w:rsidRDefault="00170901" w:rsidP="0062321C">
            <w:pPr>
              <w:pStyle w:val="TableText"/>
            </w:pPr>
            <w:r>
              <w:t xml:space="preserve">   ABCCSG/ARNO 95</w:t>
            </w:r>
          </w:p>
        </w:tc>
        <w:tc>
          <w:tcPr>
            <w:tcW w:w="906" w:type="dxa"/>
          </w:tcPr>
          <w:p w:rsidR="00170901" w:rsidRDefault="00170901" w:rsidP="00170901">
            <w:pPr>
              <w:pStyle w:val="TableText"/>
              <w:jc w:val="center"/>
            </w:pPr>
            <w:r>
              <w:t>28 mths</w:t>
            </w:r>
          </w:p>
        </w:tc>
        <w:tc>
          <w:tcPr>
            <w:tcW w:w="834" w:type="dxa"/>
          </w:tcPr>
          <w:p w:rsidR="00170901" w:rsidRDefault="00170901" w:rsidP="00170901">
            <w:pPr>
              <w:pStyle w:val="TableText"/>
              <w:jc w:val="center"/>
            </w:pPr>
            <w:r>
              <w:t>All</w:t>
            </w:r>
          </w:p>
        </w:tc>
        <w:tc>
          <w:tcPr>
            <w:tcW w:w="709" w:type="dxa"/>
          </w:tcPr>
          <w:p w:rsidR="00170901" w:rsidRDefault="00170901" w:rsidP="00170901">
            <w:pPr>
              <w:pStyle w:val="TableText"/>
              <w:jc w:val="center"/>
            </w:pPr>
            <w:r>
              <w:t>2.0%</w:t>
            </w:r>
          </w:p>
        </w:tc>
        <w:tc>
          <w:tcPr>
            <w:tcW w:w="1093" w:type="dxa"/>
          </w:tcPr>
          <w:p w:rsidR="00170901" w:rsidRDefault="00170901" w:rsidP="00170901">
            <w:pPr>
              <w:pStyle w:val="TableText"/>
              <w:jc w:val="center"/>
            </w:pPr>
            <w:r>
              <w:t>0.86%</w:t>
            </w:r>
          </w:p>
        </w:tc>
        <w:tc>
          <w:tcPr>
            <w:tcW w:w="750" w:type="dxa"/>
          </w:tcPr>
          <w:p w:rsidR="00170901" w:rsidRDefault="00170901" w:rsidP="00170901">
            <w:pPr>
              <w:pStyle w:val="TableText"/>
              <w:jc w:val="center"/>
            </w:pPr>
            <w:r>
              <w:t>-</w:t>
            </w:r>
          </w:p>
        </w:tc>
        <w:tc>
          <w:tcPr>
            <w:tcW w:w="953" w:type="dxa"/>
          </w:tcPr>
          <w:p w:rsidR="00170901" w:rsidRDefault="00170901" w:rsidP="00170901">
            <w:pPr>
              <w:pStyle w:val="TableText"/>
              <w:jc w:val="center"/>
            </w:pPr>
            <w:r>
              <w:t>-</w:t>
            </w:r>
          </w:p>
        </w:tc>
        <w:tc>
          <w:tcPr>
            <w:tcW w:w="750" w:type="dxa"/>
          </w:tcPr>
          <w:p w:rsidR="00170901" w:rsidRDefault="004B4974" w:rsidP="00170901">
            <w:pPr>
              <w:pStyle w:val="TableText"/>
              <w:jc w:val="center"/>
            </w:pPr>
            <w:r>
              <w:t>-</w:t>
            </w:r>
          </w:p>
        </w:tc>
      </w:tr>
      <w:tr w:rsidR="00170901" w:rsidTr="00D1533C">
        <w:trPr>
          <w:tblHeader/>
        </w:trPr>
        <w:tc>
          <w:tcPr>
            <w:tcW w:w="1656" w:type="dxa"/>
          </w:tcPr>
          <w:p w:rsidR="00170901" w:rsidRDefault="00170901" w:rsidP="0062321C">
            <w:pPr>
              <w:pStyle w:val="TableText"/>
            </w:pPr>
            <w:r>
              <w:t xml:space="preserve">   MA-17</w:t>
            </w:r>
          </w:p>
        </w:tc>
        <w:tc>
          <w:tcPr>
            <w:tcW w:w="906" w:type="dxa"/>
          </w:tcPr>
          <w:p w:rsidR="00170901" w:rsidRDefault="00170901" w:rsidP="00170901">
            <w:pPr>
              <w:pStyle w:val="TableText"/>
              <w:jc w:val="center"/>
            </w:pPr>
            <w:r>
              <w:t>30 mths</w:t>
            </w:r>
          </w:p>
        </w:tc>
        <w:tc>
          <w:tcPr>
            <w:tcW w:w="834" w:type="dxa"/>
          </w:tcPr>
          <w:p w:rsidR="00170901" w:rsidRDefault="00170901" w:rsidP="00170901">
            <w:pPr>
              <w:pStyle w:val="TableText"/>
              <w:jc w:val="center"/>
            </w:pPr>
            <w:r>
              <w:t>All</w:t>
            </w:r>
          </w:p>
        </w:tc>
        <w:tc>
          <w:tcPr>
            <w:tcW w:w="709" w:type="dxa"/>
          </w:tcPr>
          <w:p w:rsidR="00170901" w:rsidRDefault="00170901" w:rsidP="00170901">
            <w:pPr>
              <w:pStyle w:val="TableText"/>
              <w:jc w:val="center"/>
            </w:pPr>
            <w:r>
              <w:t>5.3%</w:t>
            </w:r>
          </w:p>
        </w:tc>
        <w:tc>
          <w:tcPr>
            <w:tcW w:w="1093" w:type="dxa"/>
          </w:tcPr>
          <w:p w:rsidR="00170901" w:rsidRDefault="00170901" w:rsidP="00170901">
            <w:pPr>
              <w:pStyle w:val="TableText"/>
              <w:jc w:val="center"/>
            </w:pPr>
            <w:r>
              <w:t>2.12%</w:t>
            </w:r>
          </w:p>
        </w:tc>
        <w:tc>
          <w:tcPr>
            <w:tcW w:w="750" w:type="dxa"/>
          </w:tcPr>
          <w:p w:rsidR="00170901" w:rsidRDefault="00170901" w:rsidP="00170901">
            <w:pPr>
              <w:pStyle w:val="TableText"/>
              <w:jc w:val="center"/>
            </w:pPr>
            <w:r>
              <w:t>-</w:t>
            </w:r>
          </w:p>
        </w:tc>
        <w:tc>
          <w:tcPr>
            <w:tcW w:w="953" w:type="dxa"/>
          </w:tcPr>
          <w:p w:rsidR="00170901" w:rsidRDefault="00170901" w:rsidP="00170901">
            <w:pPr>
              <w:pStyle w:val="TableText"/>
              <w:jc w:val="center"/>
            </w:pPr>
            <w:r>
              <w:t>-</w:t>
            </w:r>
          </w:p>
        </w:tc>
        <w:tc>
          <w:tcPr>
            <w:tcW w:w="750" w:type="dxa"/>
          </w:tcPr>
          <w:p w:rsidR="00170901" w:rsidRDefault="004B4974" w:rsidP="00170901">
            <w:pPr>
              <w:pStyle w:val="TableText"/>
              <w:jc w:val="center"/>
            </w:pPr>
            <w:r>
              <w:t>-</w:t>
            </w:r>
          </w:p>
        </w:tc>
      </w:tr>
      <w:tr w:rsidR="00170901" w:rsidTr="00D1533C">
        <w:trPr>
          <w:tblHeader/>
        </w:trPr>
        <w:tc>
          <w:tcPr>
            <w:tcW w:w="1656" w:type="dxa"/>
          </w:tcPr>
          <w:p w:rsidR="00170901" w:rsidRDefault="00170901" w:rsidP="0062321C">
            <w:pPr>
              <w:pStyle w:val="TableText"/>
            </w:pPr>
            <w:r>
              <w:t>Brufsky 2012</w:t>
            </w:r>
          </w:p>
        </w:tc>
        <w:tc>
          <w:tcPr>
            <w:tcW w:w="906" w:type="dxa"/>
          </w:tcPr>
          <w:p w:rsidR="00170901" w:rsidRDefault="00170901" w:rsidP="00170901">
            <w:pPr>
              <w:pStyle w:val="TableText"/>
              <w:jc w:val="center"/>
            </w:pPr>
            <w:r>
              <w:t>60 mths</w:t>
            </w:r>
          </w:p>
        </w:tc>
        <w:tc>
          <w:tcPr>
            <w:tcW w:w="834" w:type="dxa"/>
          </w:tcPr>
          <w:p w:rsidR="00170901" w:rsidRDefault="00170901" w:rsidP="00170901">
            <w:pPr>
              <w:pStyle w:val="TableText"/>
              <w:jc w:val="center"/>
            </w:pPr>
            <w:r>
              <w:t>All</w:t>
            </w:r>
          </w:p>
        </w:tc>
        <w:tc>
          <w:tcPr>
            <w:tcW w:w="709" w:type="dxa"/>
          </w:tcPr>
          <w:p w:rsidR="00170901" w:rsidRDefault="00170901" w:rsidP="00170901">
            <w:pPr>
              <w:pStyle w:val="TableText"/>
              <w:jc w:val="center"/>
            </w:pPr>
            <w:r>
              <w:t>11.0%</w:t>
            </w:r>
          </w:p>
        </w:tc>
        <w:tc>
          <w:tcPr>
            <w:tcW w:w="1093" w:type="dxa"/>
          </w:tcPr>
          <w:p w:rsidR="00170901" w:rsidRDefault="00170901" w:rsidP="00170901">
            <w:pPr>
              <w:pStyle w:val="TableText"/>
              <w:jc w:val="center"/>
            </w:pPr>
            <w:r>
              <w:t>2.2%</w:t>
            </w:r>
          </w:p>
        </w:tc>
        <w:tc>
          <w:tcPr>
            <w:tcW w:w="750" w:type="dxa"/>
          </w:tcPr>
          <w:p w:rsidR="00170901" w:rsidRDefault="00170901" w:rsidP="00170901">
            <w:pPr>
              <w:pStyle w:val="TableText"/>
              <w:jc w:val="center"/>
            </w:pPr>
            <w:r>
              <w:t>9.3%</w:t>
            </w:r>
          </w:p>
        </w:tc>
        <w:tc>
          <w:tcPr>
            <w:tcW w:w="953" w:type="dxa"/>
          </w:tcPr>
          <w:p w:rsidR="00170901" w:rsidRDefault="00170901" w:rsidP="00170901">
            <w:pPr>
              <w:pStyle w:val="TableText"/>
              <w:jc w:val="center"/>
            </w:pPr>
            <w:r>
              <w:t>1.86%</w:t>
            </w:r>
          </w:p>
        </w:tc>
        <w:tc>
          <w:tcPr>
            <w:tcW w:w="750" w:type="dxa"/>
          </w:tcPr>
          <w:p w:rsidR="00170901" w:rsidRPr="00170901" w:rsidRDefault="00170901" w:rsidP="00170901">
            <w:pPr>
              <w:pStyle w:val="TableText"/>
              <w:jc w:val="center"/>
              <w:rPr>
                <w:b/>
              </w:rPr>
            </w:pPr>
            <w:r w:rsidRPr="00170901">
              <w:rPr>
                <w:b/>
              </w:rPr>
              <w:t>0.8455</w:t>
            </w:r>
          </w:p>
        </w:tc>
      </w:tr>
      <w:tr w:rsidR="00170901" w:rsidTr="00D1533C">
        <w:trPr>
          <w:tblHeader/>
        </w:trPr>
        <w:tc>
          <w:tcPr>
            <w:tcW w:w="1656" w:type="dxa"/>
          </w:tcPr>
          <w:p w:rsidR="00170901" w:rsidRDefault="00170901" w:rsidP="0062321C">
            <w:pPr>
              <w:pStyle w:val="TableText"/>
            </w:pPr>
            <w:r>
              <w:t>Llombart 2012</w:t>
            </w:r>
          </w:p>
        </w:tc>
        <w:tc>
          <w:tcPr>
            <w:tcW w:w="906" w:type="dxa"/>
          </w:tcPr>
          <w:p w:rsidR="00170901" w:rsidRDefault="00170901" w:rsidP="00170901">
            <w:pPr>
              <w:pStyle w:val="TableText"/>
              <w:jc w:val="center"/>
            </w:pPr>
            <w:r>
              <w:t>36 mths</w:t>
            </w:r>
          </w:p>
        </w:tc>
        <w:tc>
          <w:tcPr>
            <w:tcW w:w="834" w:type="dxa"/>
          </w:tcPr>
          <w:p w:rsidR="00170901" w:rsidRDefault="00170901" w:rsidP="00170901">
            <w:pPr>
              <w:pStyle w:val="TableText"/>
              <w:jc w:val="center"/>
            </w:pPr>
            <w:r>
              <w:t>Spine</w:t>
            </w:r>
          </w:p>
        </w:tc>
        <w:tc>
          <w:tcPr>
            <w:tcW w:w="709" w:type="dxa"/>
          </w:tcPr>
          <w:p w:rsidR="00170901" w:rsidRDefault="00170901" w:rsidP="00170901">
            <w:pPr>
              <w:pStyle w:val="TableText"/>
              <w:jc w:val="center"/>
            </w:pPr>
            <w:r>
              <w:t>3.3%</w:t>
            </w:r>
          </w:p>
        </w:tc>
        <w:tc>
          <w:tcPr>
            <w:tcW w:w="1093" w:type="dxa"/>
          </w:tcPr>
          <w:p w:rsidR="00170901" w:rsidRDefault="00170901" w:rsidP="00170901">
            <w:pPr>
              <w:pStyle w:val="TableText"/>
              <w:jc w:val="center"/>
            </w:pPr>
            <w:r>
              <w:t>1.1%</w:t>
            </w:r>
          </w:p>
        </w:tc>
        <w:tc>
          <w:tcPr>
            <w:tcW w:w="750" w:type="dxa"/>
            <w:shd w:val="clear" w:color="auto" w:fill="auto"/>
          </w:tcPr>
          <w:p w:rsidR="00170901" w:rsidRDefault="00170901" w:rsidP="00170901">
            <w:pPr>
              <w:pStyle w:val="TableText"/>
              <w:jc w:val="center"/>
            </w:pPr>
            <w:r w:rsidRPr="006E638D">
              <w:t>2.4%</w:t>
            </w:r>
          </w:p>
        </w:tc>
        <w:tc>
          <w:tcPr>
            <w:tcW w:w="953" w:type="dxa"/>
          </w:tcPr>
          <w:p w:rsidR="00170901" w:rsidRDefault="00170901" w:rsidP="00170901">
            <w:pPr>
              <w:pStyle w:val="TableText"/>
              <w:jc w:val="center"/>
            </w:pPr>
            <w:r>
              <w:t>0.80%</w:t>
            </w:r>
          </w:p>
        </w:tc>
        <w:tc>
          <w:tcPr>
            <w:tcW w:w="750" w:type="dxa"/>
          </w:tcPr>
          <w:p w:rsidR="00170901" w:rsidRPr="00170901" w:rsidRDefault="00170901" w:rsidP="00170901">
            <w:pPr>
              <w:pStyle w:val="TableText"/>
              <w:jc w:val="center"/>
              <w:rPr>
                <w:b/>
              </w:rPr>
            </w:pPr>
            <w:r w:rsidRPr="00170901">
              <w:rPr>
                <w:b/>
              </w:rPr>
              <w:t>0.7273</w:t>
            </w:r>
          </w:p>
        </w:tc>
      </w:tr>
      <w:tr w:rsidR="00170901" w:rsidTr="00D1533C">
        <w:trPr>
          <w:tblHeader/>
        </w:trPr>
        <w:tc>
          <w:tcPr>
            <w:tcW w:w="1656" w:type="dxa"/>
          </w:tcPr>
          <w:p w:rsidR="00170901" w:rsidRDefault="00170901" w:rsidP="0062321C">
            <w:pPr>
              <w:pStyle w:val="TableText"/>
            </w:pPr>
            <w:r>
              <w:t>Coleman 2013</w:t>
            </w:r>
          </w:p>
        </w:tc>
        <w:tc>
          <w:tcPr>
            <w:tcW w:w="906" w:type="dxa"/>
          </w:tcPr>
          <w:p w:rsidR="00170901" w:rsidRDefault="00170901" w:rsidP="00170901">
            <w:pPr>
              <w:pStyle w:val="TableText"/>
              <w:jc w:val="center"/>
            </w:pPr>
            <w:r>
              <w:t>36 mths</w:t>
            </w:r>
          </w:p>
        </w:tc>
        <w:tc>
          <w:tcPr>
            <w:tcW w:w="834" w:type="dxa"/>
          </w:tcPr>
          <w:p w:rsidR="00170901" w:rsidRDefault="00170901" w:rsidP="00170901">
            <w:pPr>
              <w:pStyle w:val="TableText"/>
              <w:jc w:val="center"/>
            </w:pPr>
            <w:r>
              <w:t>All</w:t>
            </w:r>
          </w:p>
        </w:tc>
        <w:tc>
          <w:tcPr>
            <w:tcW w:w="709" w:type="dxa"/>
          </w:tcPr>
          <w:p w:rsidR="00170901" w:rsidRDefault="00170901" w:rsidP="00170901">
            <w:pPr>
              <w:pStyle w:val="TableText"/>
              <w:jc w:val="center"/>
            </w:pPr>
            <w:r>
              <w:t>1.5%</w:t>
            </w:r>
          </w:p>
        </w:tc>
        <w:tc>
          <w:tcPr>
            <w:tcW w:w="1093" w:type="dxa"/>
          </w:tcPr>
          <w:p w:rsidR="00170901" w:rsidRDefault="00170901" w:rsidP="00170901">
            <w:pPr>
              <w:pStyle w:val="TableText"/>
              <w:jc w:val="center"/>
            </w:pPr>
            <w:r>
              <w:t>0.5%</w:t>
            </w:r>
          </w:p>
        </w:tc>
        <w:tc>
          <w:tcPr>
            <w:tcW w:w="750" w:type="dxa"/>
          </w:tcPr>
          <w:p w:rsidR="00170901" w:rsidRDefault="00170901" w:rsidP="00170901">
            <w:pPr>
              <w:pStyle w:val="TableText"/>
              <w:jc w:val="center"/>
            </w:pPr>
            <w:r>
              <w:t>0.6%</w:t>
            </w:r>
          </w:p>
        </w:tc>
        <w:tc>
          <w:tcPr>
            <w:tcW w:w="953" w:type="dxa"/>
          </w:tcPr>
          <w:p w:rsidR="00170901" w:rsidRDefault="00170901" w:rsidP="00170901">
            <w:pPr>
              <w:pStyle w:val="TableText"/>
              <w:jc w:val="center"/>
            </w:pPr>
            <w:r>
              <w:t>0.20%</w:t>
            </w:r>
          </w:p>
        </w:tc>
        <w:tc>
          <w:tcPr>
            <w:tcW w:w="750" w:type="dxa"/>
          </w:tcPr>
          <w:p w:rsidR="00170901" w:rsidRPr="00170901" w:rsidRDefault="00170901" w:rsidP="00170901">
            <w:pPr>
              <w:pStyle w:val="TableText"/>
              <w:jc w:val="center"/>
              <w:rPr>
                <w:b/>
              </w:rPr>
            </w:pPr>
            <w:r w:rsidRPr="00170901">
              <w:rPr>
                <w:b/>
              </w:rPr>
              <w:t>0.4000</w:t>
            </w:r>
          </w:p>
        </w:tc>
      </w:tr>
      <w:tr w:rsidR="00170901" w:rsidTr="00D1533C">
        <w:trPr>
          <w:tblHeader/>
        </w:trPr>
        <w:tc>
          <w:tcPr>
            <w:tcW w:w="1656" w:type="dxa"/>
          </w:tcPr>
          <w:p w:rsidR="00170901" w:rsidRDefault="004B4974" w:rsidP="0062321C">
            <w:pPr>
              <w:pStyle w:val="TableText"/>
            </w:pPr>
            <w:r>
              <w:t>-</w:t>
            </w:r>
          </w:p>
        </w:tc>
        <w:tc>
          <w:tcPr>
            <w:tcW w:w="906" w:type="dxa"/>
          </w:tcPr>
          <w:p w:rsidR="00170901" w:rsidRDefault="004B4974" w:rsidP="00170901">
            <w:pPr>
              <w:pStyle w:val="TableText"/>
              <w:jc w:val="center"/>
            </w:pPr>
            <w:r>
              <w:t>-</w:t>
            </w:r>
          </w:p>
        </w:tc>
        <w:tc>
          <w:tcPr>
            <w:tcW w:w="834" w:type="dxa"/>
          </w:tcPr>
          <w:p w:rsidR="00170901" w:rsidRDefault="004B4974" w:rsidP="00170901">
            <w:pPr>
              <w:pStyle w:val="TableText"/>
              <w:jc w:val="center"/>
            </w:pPr>
            <w:r>
              <w:t>-</w:t>
            </w:r>
          </w:p>
        </w:tc>
        <w:tc>
          <w:tcPr>
            <w:tcW w:w="709" w:type="dxa"/>
          </w:tcPr>
          <w:p w:rsidR="00170901" w:rsidRPr="00170901" w:rsidRDefault="00170901" w:rsidP="00170901">
            <w:pPr>
              <w:pStyle w:val="TableText"/>
              <w:jc w:val="center"/>
              <w:rPr>
                <w:b/>
              </w:rPr>
            </w:pPr>
            <w:r w:rsidRPr="00170901">
              <w:rPr>
                <w:b/>
              </w:rPr>
              <w:t>Mean</w:t>
            </w:r>
          </w:p>
        </w:tc>
        <w:tc>
          <w:tcPr>
            <w:tcW w:w="1093" w:type="dxa"/>
          </w:tcPr>
          <w:p w:rsidR="00170901" w:rsidRPr="00170901" w:rsidRDefault="00170901" w:rsidP="00170901">
            <w:pPr>
              <w:pStyle w:val="TableText"/>
              <w:jc w:val="center"/>
              <w:rPr>
                <w:b/>
              </w:rPr>
            </w:pPr>
            <w:r w:rsidRPr="00170901">
              <w:rPr>
                <w:b/>
              </w:rPr>
              <w:t>1.44%</w:t>
            </w:r>
          </w:p>
        </w:tc>
        <w:tc>
          <w:tcPr>
            <w:tcW w:w="750" w:type="dxa"/>
          </w:tcPr>
          <w:p w:rsidR="00170901" w:rsidRPr="00170901" w:rsidRDefault="00170901" w:rsidP="00170901">
            <w:pPr>
              <w:pStyle w:val="TableText"/>
              <w:jc w:val="center"/>
              <w:rPr>
                <w:b/>
              </w:rPr>
            </w:pPr>
            <w:r>
              <w:rPr>
                <w:b/>
              </w:rPr>
              <w:t>Mean</w:t>
            </w:r>
          </w:p>
        </w:tc>
        <w:tc>
          <w:tcPr>
            <w:tcW w:w="953" w:type="dxa"/>
          </w:tcPr>
          <w:p w:rsidR="00170901" w:rsidRPr="00170901" w:rsidRDefault="00170901" w:rsidP="00170901">
            <w:pPr>
              <w:pStyle w:val="TableText"/>
              <w:jc w:val="center"/>
              <w:rPr>
                <w:b/>
              </w:rPr>
            </w:pPr>
            <w:r w:rsidRPr="00170901">
              <w:rPr>
                <w:b/>
              </w:rPr>
              <w:t>0.95%</w:t>
            </w:r>
          </w:p>
        </w:tc>
        <w:tc>
          <w:tcPr>
            <w:tcW w:w="750" w:type="dxa"/>
          </w:tcPr>
          <w:p w:rsidR="00170901" w:rsidRPr="00170901" w:rsidRDefault="00170901" w:rsidP="00170901">
            <w:pPr>
              <w:pStyle w:val="TableText"/>
              <w:jc w:val="center"/>
              <w:rPr>
                <w:b/>
              </w:rPr>
            </w:pPr>
            <w:r w:rsidRPr="00170901">
              <w:rPr>
                <w:b/>
              </w:rPr>
              <w:t>0.6598</w:t>
            </w:r>
          </w:p>
        </w:tc>
      </w:tr>
    </w:tbl>
    <w:p w:rsidR="0062321C" w:rsidRPr="00513A98" w:rsidRDefault="00D41DF5" w:rsidP="00D41DF5">
      <w:pPr>
        <w:pStyle w:val="TableText"/>
        <w:ind w:left="567"/>
      </w:pPr>
      <w:r>
        <w:t>AI = aromatase inhibitors, ARTx = anti-resorptive therapies, Fx = fracture, RR = rate ratio, yr = year</w:t>
      </w:r>
    </w:p>
    <w:p w:rsidR="00D41DF5" w:rsidRDefault="00D41DF5" w:rsidP="00551D8E">
      <w:pPr>
        <w:pStyle w:val="Heading5"/>
      </w:pPr>
    </w:p>
    <w:p w:rsidR="002A6C28" w:rsidRDefault="00551D8E" w:rsidP="00551D8E">
      <w:pPr>
        <w:pStyle w:val="Heading5"/>
      </w:pPr>
      <w:r>
        <w:t>Cost inputs</w:t>
      </w:r>
    </w:p>
    <w:p w:rsidR="00963B61" w:rsidRDefault="00963B61" w:rsidP="00551D8E">
      <w:r>
        <w:t xml:space="preserve">In the model, it was assumed that all fractures resulted in hospitalisations </w:t>
      </w:r>
      <w:r w:rsidR="008B5C9C">
        <w:fldChar w:fldCharType="begin">
          <w:fldData xml:space="preserve">PEVuZE5vdGU+PENpdGU+PEF1dGhvcj5Cb3Jnc3Ryb208L0F1dGhvcj48WWVhcj4yMDEzPC9ZZWFy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==
</w:fldData>
        </w:fldChar>
      </w:r>
      <w:r w:rsidR="008B5C9C">
        <w:instrText xml:space="preserve"> ADDIN EN.CITE </w:instrText>
      </w:r>
      <w:r w:rsidR="008B5C9C">
        <w:fldChar w:fldCharType="begin">
          <w:fldData xml:space="preserve">PEVuZE5vdGU+PENpdGU+PEF1dGhvcj5Cb3Jnc3Ryb208L0F1dGhvcj48WWVhcj4yMDEzPC9ZZWFy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==
</w:fldData>
        </w:fldChar>
      </w:r>
      <w:r w:rsidR="008B5C9C">
        <w:instrText xml:space="preserve"> ADDIN EN.CITE.DATA </w:instrText>
      </w:r>
      <w:r w:rsidR="008B5C9C">
        <w:fldChar w:fldCharType="end"/>
      </w:r>
      <w:r w:rsidR="008B5C9C">
        <w:fldChar w:fldCharType="separate"/>
      </w:r>
      <w:r w:rsidR="008B5C9C">
        <w:rPr>
          <w:noProof/>
        </w:rPr>
        <w:t>(</w:t>
      </w:r>
      <w:hyperlink w:anchor="_ENREF_9" w:tooltip="Borgstrom, 2013 #2" w:history="1">
        <w:r w:rsidR="006F79C1">
          <w:rPr>
            <w:noProof/>
          </w:rPr>
          <w:t>Borgstrom, Lekander et al. 2013</w:t>
        </w:r>
      </w:hyperlink>
      <w:r w:rsidR="008B5C9C">
        <w:rPr>
          <w:noProof/>
        </w:rPr>
        <w:t>)</w:t>
      </w:r>
      <w:r w:rsidR="008B5C9C">
        <w:fldChar w:fldCharType="end"/>
      </w:r>
      <w:r>
        <w:t xml:space="preserve">. Further, all fractures were assumed to be minimal trauma fractures.  The costs of fractures were derived from the latest AR-DRGs pertaining to the different fracture types; hip, vertebrae and ‘other’.  These DRG codes were based on those reported in </w:t>
      </w:r>
      <w:r w:rsidR="008B5C9C">
        <w:t xml:space="preserve">an </w:t>
      </w:r>
      <w:r>
        <w:t xml:space="preserve">AIHW 2011 Osteoporosis </w:t>
      </w:r>
      <w:r w:rsidR="008B5C9C">
        <w:t xml:space="preserve">report </w:t>
      </w:r>
      <w:r w:rsidR="008B5C9C">
        <w:fldChar w:fldCharType="begin"/>
      </w:r>
      <w:r w:rsidR="008B5C9C">
        <w:instrText xml:space="preserve"> ADDIN EN.CITE &lt;EndNote&gt;&lt;Cite&gt;&lt;Author&gt;Australian Institute of Health and Welfare&lt;/Author&gt;&lt;Year&gt;2011&lt;/Year&gt;&lt;RecNum&gt;264&lt;/RecNum&gt;&lt;DisplayText&gt;(Australian Institute of Health and Welfare 2011)&lt;/DisplayText&gt;&lt;record&gt;&lt;rec-number&gt;264&lt;/rec-number&gt;&lt;foreign-keys&gt;&lt;key app="EN" db-id="v9edw0zeqvve5nedzvjx29f1df2z2tvpvw55" timestamp="1398316196"&gt;264&lt;/key&gt;&lt;/foreign-keys&gt;&lt;ref-type name="Report"&gt;27&lt;/ref-type&gt;&lt;contributors&gt;&lt;authors&gt;&lt;author&gt;Australian Institute of Health and Welfare,&lt;/author&gt;&lt;/authors&gt;&lt;tertiary-authors&gt;&lt;author&gt;Commonwealth Government&lt;/author&gt;&lt;/tertiary-authors&gt;&lt;/contributors&gt;&lt;titles&gt;&lt;title&gt;A snapshot of osteoporosis in Australia 2011&lt;/title&gt;&lt;/titles&gt;&lt;num-vols&gt;Arthritis series no. 15.&lt;/num-vols&gt;&lt;dates&gt;&lt;year&gt;2011&lt;/year&gt;&lt;/dates&gt;&lt;publisher&gt;Australian Institute of Health and Welfare&lt;/publisher&gt;&lt;urls&gt;&lt;/urls&gt;&lt;/record&gt;&lt;/Cite&gt;&lt;/EndNote&gt;</w:instrText>
      </w:r>
      <w:r w:rsidR="008B5C9C">
        <w:fldChar w:fldCharType="separate"/>
      </w:r>
      <w:r w:rsidR="008B5C9C">
        <w:rPr>
          <w:noProof/>
        </w:rPr>
        <w:t>(</w:t>
      </w:r>
      <w:hyperlink w:anchor="_ENREF_2" w:tooltip="Australian Institute of Health and Welfare, 2011 #264" w:history="1">
        <w:r w:rsidR="006F79C1">
          <w:rPr>
            <w:noProof/>
          </w:rPr>
          <w:t>Australian Institute of Health and Welfare 2011</w:t>
        </w:r>
      </w:hyperlink>
      <w:r w:rsidR="008B5C9C">
        <w:rPr>
          <w:noProof/>
        </w:rPr>
        <w:t>)</w:t>
      </w:r>
      <w:r w:rsidR="008B5C9C">
        <w:fldChar w:fldCharType="end"/>
      </w:r>
      <w:r>
        <w:t>. Fracture costs were tested at ±30% of the mean costs in sensitivity analyses. The high cost may reflect the additional community nursing and home care that can often occur in older women following a fracture</w:t>
      </w:r>
      <w:r w:rsidR="008B5C9C">
        <w:t xml:space="preserve"> </w:t>
      </w:r>
      <w:r w:rsidR="008B5C9C">
        <w:fldChar w:fldCharType="begin"/>
      </w:r>
      <w:r w:rsidR="008B5C9C">
        <w:instrText xml:space="preserve"> ADDIN EN.CITE &lt;EndNote&gt;&lt;Cite&gt;&lt;Author&gt;Australian Institute of Health and Welfare&lt;/Author&gt;&lt;Year&gt;2011&lt;/Year&gt;&lt;RecNum&gt;264&lt;/RecNum&gt;&lt;DisplayText&gt;(Australian Institute of Health and Welfare 2011)&lt;/DisplayText&gt;&lt;record&gt;&lt;rec-number&gt;264&lt;/rec-number&gt;&lt;foreign-keys&gt;&lt;key app="EN" db-id="v9edw0zeqvve5nedzvjx29f1df2z2tvpvw55" timestamp="1398316196"&gt;264&lt;/key&gt;&lt;/foreign-keys&gt;&lt;ref-type name="Report"&gt;27&lt;/ref-type&gt;&lt;contributors&gt;&lt;authors&gt;&lt;author&gt;Australian Institute of Health and Welfare,&lt;/author&gt;&lt;/authors&gt;&lt;tertiary-authors&gt;&lt;author&gt;Commonwealth Government&lt;/author&gt;&lt;/tertiary-authors&gt;&lt;/contributors&gt;&lt;titles&gt;&lt;title&gt;A snapshot of osteoporosis in Australia 2011&lt;/title&gt;&lt;/titles&gt;&lt;num-vols&gt;Arthritis series no. 15.&lt;/num-vols&gt;&lt;dates&gt;&lt;year&gt;2011&lt;/year&gt;&lt;/dates&gt;&lt;publisher&gt;Australian Institute of Health and Welfare&lt;/publisher&gt;&lt;urls&gt;&lt;/urls&gt;&lt;/record&gt;&lt;/Cite&gt;&lt;/EndNote&gt;</w:instrText>
      </w:r>
      <w:r w:rsidR="008B5C9C">
        <w:fldChar w:fldCharType="separate"/>
      </w:r>
      <w:r w:rsidR="008B5C9C">
        <w:rPr>
          <w:noProof/>
        </w:rPr>
        <w:t>(</w:t>
      </w:r>
      <w:hyperlink w:anchor="_ENREF_2" w:tooltip="Australian Institute of Health and Welfare, 2011 #264" w:history="1">
        <w:r w:rsidR="006F79C1">
          <w:rPr>
            <w:noProof/>
          </w:rPr>
          <w:t>Australian Institute of Health and Welfare 2011</w:t>
        </w:r>
      </w:hyperlink>
      <w:r w:rsidR="008B5C9C">
        <w:rPr>
          <w:noProof/>
        </w:rPr>
        <w:t>)</w:t>
      </w:r>
      <w:r w:rsidR="008B5C9C">
        <w:fldChar w:fldCharType="end"/>
      </w:r>
      <w:r>
        <w:t xml:space="preserve">.  </w:t>
      </w:r>
    </w:p>
    <w:p w:rsidR="00B61625" w:rsidRDefault="001C0E59" w:rsidP="00551D8E">
      <w:r>
        <w:lastRenderedPageBreak/>
        <w:t xml:space="preserve">No costs or effects were included for </w:t>
      </w:r>
      <w:r w:rsidR="00D304EC">
        <w:t>AI</w:t>
      </w:r>
      <w:r>
        <w:t xml:space="preserve"> treatment </w:t>
      </w:r>
      <w:r w:rsidR="002032CC">
        <w:t xml:space="preserve">(or </w:t>
      </w:r>
      <w:r w:rsidR="00D304EC">
        <w:t xml:space="preserve">any </w:t>
      </w:r>
      <w:r w:rsidR="002032CC">
        <w:t xml:space="preserve">other breast cancer therapy) </w:t>
      </w:r>
      <w:r>
        <w:t xml:space="preserve">as these were incurred in all women in the model </w:t>
      </w:r>
      <w:r w:rsidR="00963B61">
        <w:t xml:space="preserve">at baseline </w:t>
      </w:r>
      <w:r>
        <w:t>and these would not affect the incremental outcomes.</w:t>
      </w:r>
      <w:r w:rsidR="00551D8E">
        <w:t xml:space="preserve"> </w:t>
      </w:r>
      <w:r w:rsidR="00B61625">
        <w:t>The annual cost of anti</w:t>
      </w:r>
      <w:r w:rsidR="00D304EC">
        <w:t>-</w:t>
      </w:r>
      <w:r w:rsidR="00B61625">
        <w:t xml:space="preserve">resorptive therapy was assumed to be that </w:t>
      </w:r>
      <w:r w:rsidR="00C80CD9">
        <w:t xml:space="preserve">of </w:t>
      </w:r>
      <w:r w:rsidR="00B61625" w:rsidRPr="00E32BAF">
        <w:t>risedronate (oral bisphosphonate).</w:t>
      </w:r>
      <w:r w:rsidR="00B61625">
        <w:t xml:space="preserve"> </w:t>
      </w:r>
      <w:r w:rsidR="006E638D">
        <w:t>Risedronate was assumed to be item 8974H, a p</w:t>
      </w:r>
      <w:r w:rsidR="006E638D" w:rsidRPr="006E638D">
        <w:t>ack containing 4 enteric coated tablets risedronate sodium 35 mg and 24 sachets containing granules of calcium carbonate 2.5 g (equivalent to 1 g calcium) with colecalciferol 22 micrograms</w:t>
      </w:r>
      <w:r w:rsidR="006E638D">
        <w:t xml:space="preserve">. </w:t>
      </w:r>
      <w:r w:rsidR="00D304EC">
        <w:t xml:space="preserve">This aligns with the current trends in use of bisphosphonates in Australia (Figure 3). </w:t>
      </w:r>
      <w:r w:rsidR="00B61625">
        <w:t>The higher cost of zoledronic acid was tested in a sensitivity analysis.</w:t>
      </w:r>
      <w:r w:rsidR="00963B61">
        <w:t xml:space="preserve"> Accompanying GP consultation costs were added to the overall bone therapy cost and 2 visits were assumed per year.</w:t>
      </w:r>
    </w:p>
    <w:p w:rsidR="00B61625" w:rsidRDefault="000D5B28" w:rsidP="00B61625">
      <w:r>
        <w:t>The cost o</w:t>
      </w:r>
      <w:r w:rsidR="00BA7005">
        <w:t xml:space="preserve">f vitamin D tests </w:t>
      </w:r>
      <w:r w:rsidR="00C80CD9">
        <w:t xml:space="preserve">were included only </w:t>
      </w:r>
      <w:r w:rsidR="00BA7005">
        <w:t xml:space="preserve">in the ‘no DXA and lifestyle advice’ strategy in the model </w:t>
      </w:r>
      <w:r w:rsidR="00D304EC">
        <w:t xml:space="preserve">and it was </w:t>
      </w:r>
      <w:r w:rsidR="00BA7005">
        <w:t>assum</w:t>
      </w:r>
      <w:r w:rsidR="00D304EC">
        <w:t>ed that</w:t>
      </w:r>
      <w:r w:rsidR="00BA7005">
        <w:t xml:space="preserve"> one test per year</w:t>
      </w:r>
      <w:r w:rsidR="00D304EC">
        <w:t xml:space="preserve"> would be performed</w:t>
      </w:r>
      <w:r w:rsidR="00BA7005">
        <w:t>.  Calcium and vitamin D tablets were assumed to be paid by the patient as over-the-counter purchases and no costs for these were included in the model.</w:t>
      </w:r>
      <w:r>
        <w:t xml:space="preserve"> </w:t>
      </w:r>
    </w:p>
    <w:p w:rsidR="007E7779" w:rsidRDefault="007E7779" w:rsidP="00112DA6">
      <w:pPr>
        <w:pStyle w:val="Heading5"/>
      </w:pPr>
      <w:r>
        <w:t>Utilities</w:t>
      </w:r>
    </w:p>
    <w:p w:rsidR="007E7779" w:rsidRDefault="007E7779" w:rsidP="00B61625">
      <w:r>
        <w:t xml:space="preserve">Utility values in the model were for otherwise well women with early breast cancer on aromatase inhibitors, </w:t>
      </w:r>
      <w:r w:rsidR="00C80CD9">
        <w:t xml:space="preserve">and </w:t>
      </w:r>
      <w:r>
        <w:t>those with hip, spine and ‘other’ fractures</w:t>
      </w:r>
      <w:r w:rsidR="00112DA6">
        <w:t xml:space="preserve">. Values were taken from Mansel </w:t>
      </w:r>
      <w:r w:rsidR="00112DA6" w:rsidRPr="001C7B1B">
        <w:rPr>
          <w:i/>
        </w:rPr>
        <w:t>et al.</w:t>
      </w:r>
      <w:r w:rsidR="00112DA6">
        <w:t xml:space="preserve"> 2007 and were based on UK analyses of the ATAC trial</w:t>
      </w:r>
      <w:r w:rsidR="008A5528">
        <w:t xml:space="preserve"> </w:t>
      </w:r>
      <w:r w:rsidR="008A5528">
        <w:fldChar w:fldCharType="begin">
          <w:fldData xml:space="preserve">PEVuZE5vdGU+PENpdGU+PEF1dGhvcj5NYW5zZWw8L0F1dGhvcj48WWVhcj4yMDA3PC9ZZWFyPjxS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</w:fldData>
        </w:fldChar>
      </w:r>
      <w:r w:rsidR="008A5528">
        <w:instrText xml:space="preserve"> ADDIN EN.CITE </w:instrText>
      </w:r>
      <w:r w:rsidR="008A5528">
        <w:fldChar w:fldCharType="begin">
          <w:fldData xml:space="preserve">PEVuZE5vdGU+PENpdGU+PEF1dGhvcj5NYW5zZWw8L0F1dGhvcj48WWVhcj4yMDA3PC9ZZWFyPjxS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</w:fldData>
        </w:fldChar>
      </w:r>
      <w:r w:rsidR="008A5528">
        <w:instrText xml:space="preserve"> ADDIN EN.CITE.DATA </w:instrText>
      </w:r>
      <w:r w:rsidR="008A5528">
        <w:fldChar w:fldCharType="end"/>
      </w:r>
      <w:r w:rsidR="008A5528">
        <w:fldChar w:fldCharType="separate"/>
      </w:r>
      <w:r w:rsidR="008A5528">
        <w:rPr>
          <w:noProof/>
        </w:rPr>
        <w:t>(</w:t>
      </w:r>
      <w:hyperlink w:anchor="_ENREF_38" w:tooltip="Mansel, 2007 #266" w:history="1">
        <w:r w:rsidR="006F79C1">
          <w:rPr>
            <w:noProof/>
          </w:rPr>
          <w:t>Mansel, Locker et al. 2007</w:t>
        </w:r>
      </w:hyperlink>
      <w:r w:rsidR="008A5528">
        <w:rPr>
          <w:noProof/>
        </w:rPr>
        <w:t>)</w:t>
      </w:r>
      <w:r w:rsidR="008A5528">
        <w:fldChar w:fldCharType="end"/>
      </w:r>
      <w:r w:rsidR="00112DA6">
        <w:t xml:space="preserve">. Early stage breast cancer used the Australian base utility value from Viney </w:t>
      </w:r>
      <w:r w:rsidR="00112DA6" w:rsidRPr="008A5528">
        <w:rPr>
          <w:i/>
        </w:rPr>
        <w:t>et al.</w:t>
      </w:r>
      <w:r w:rsidR="00112DA6">
        <w:t xml:space="preserve"> 2011 (0.895) </w:t>
      </w:r>
      <w:r w:rsidR="008A5528">
        <w:fldChar w:fldCharType="begin"/>
      </w:r>
      <w:r w:rsidR="008A5528">
        <w:instrText xml:space="preserve"> ADDIN EN.CITE &lt;EndNote&gt;&lt;Cite&gt;&lt;Author&gt;Viney&lt;/Author&gt;&lt;Year&gt;2011&lt;/Year&gt;&lt;RecNum&gt;267&lt;/RecNum&gt;&lt;DisplayText&gt;(Viney, Norman et al. 2011)&lt;/DisplayText&gt;&lt;record&gt;&lt;rec-number&gt;267&lt;/rec-number&gt;&lt;foreign-keys&gt;&lt;key app="EN" db-id="v9edw0zeqvve5nedzvjx29f1df2z2tvpvw55" timestamp="1398316599"&gt;267&lt;/key&gt;&lt;/foreign-keys&gt;&lt;ref-type name="Journal Article"&gt;17&lt;/ref-type&gt;&lt;contributors&gt;&lt;authors&gt;&lt;author&gt;Viney, R.&lt;/author&gt;&lt;author&gt;Norman, R.&lt;/author&gt;&lt;author&gt;King, M. T.&lt;/author&gt;&lt;author&gt;Cronin, P.&lt;/author&gt;&lt;author&gt;Street, D. J.&lt;/author&gt;&lt;author&gt;Knox, S.&lt;/author&gt;&lt;author&gt;Ratcliffe, J.&lt;/author&gt;&lt;/authors&gt;&lt;/contributors&gt;&lt;titles&gt;&lt;title&gt;Time trade-off derived EQ-5D weights for Australia&lt;/title&gt;&lt;secondary-title&gt;Value Health.&lt;/secondary-title&gt;&lt;/titles&gt;&lt;periodical&gt;&lt;full-title&gt;Value Health.&lt;/full-title&gt;&lt;/periodical&gt;&lt;pages&gt;928-36. doi: 10.1016/j.jval.2011.04.009. Epub 2011 Aug 4.&lt;/pages&gt;&lt;volume&gt;14&lt;/volume&gt;&lt;number&gt;6&lt;/number&gt;&lt;keywords&gt;&lt;keyword&gt;Adolescent&lt;/keyword&gt;&lt;keyword&gt;Adult&lt;/keyword&gt;&lt;keyword&gt;Aged&lt;/keyword&gt;&lt;keyword&gt;Algorithms&lt;/keyword&gt;&lt;keyword&gt;Australia&lt;/keyword&gt;&lt;keyword&gt;Female&lt;/keyword&gt;&lt;keyword&gt;*Health Status&lt;/keyword&gt;&lt;keyword&gt;Humans&lt;/keyword&gt;&lt;keyword&gt;Male&lt;/keyword&gt;&lt;keyword&gt;Middle Aged&lt;/keyword&gt;&lt;keyword&gt;Models, Economic&lt;/keyword&gt;&lt;keyword&gt;Monte Carlo Method&lt;/keyword&gt;&lt;keyword&gt;*Quality of Life&lt;/keyword&gt;&lt;keyword&gt;*Questionnaires&lt;/keyword&gt;&lt;keyword&gt;Socioeconomic Factors&lt;/keyword&gt;&lt;keyword&gt;Time Factors&lt;/keyword&gt;&lt;keyword&gt;Young Adult&lt;/keyword&gt;&lt;/keywords&gt;&lt;dates&gt;&lt;year&gt;2011&lt;/year&gt;&lt;pub-dates&gt;&lt;date&gt;Sep-Oct&lt;/date&gt;&lt;/pub-dates&gt;&lt;/dates&gt;&lt;isbn&gt;1524-4733 (Electronic)&amp;#xD;1098-3015 (Linking)&lt;/isbn&gt;&lt;work-type&gt;Research Support, Non-U.S. Gov&amp;apos;t&lt;/work-type&gt;&lt;urls&gt;&lt;/urls&gt;&lt;/record&gt;&lt;/Cite&gt;&lt;/EndNote&gt;</w:instrText>
      </w:r>
      <w:r w:rsidR="008A5528">
        <w:fldChar w:fldCharType="separate"/>
      </w:r>
      <w:r w:rsidR="008A5528">
        <w:rPr>
          <w:noProof/>
        </w:rPr>
        <w:t>(</w:t>
      </w:r>
      <w:hyperlink w:anchor="_ENREF_62" w:tooltip="Viney, 2011 #267" w:history="1">
        <w:r w:rsidR="006F79C1">
          <w:rPr>
            <w:noProof/>
          </w:rPr>
          <w:t>Viney, Norman et al. 2011</w:t>
        </w:r>
      </w:hyperlink>
      <w:r w:rsidR="008A5528">
        <w:rPr>
          <w:noProof/>
        </w:rPr>
        <w:t>)</w:t>
      </w:r>
      <w:r w:rsidR="008A5528">
        <w:fldChar w:fldCharType="end"/>
      </w:r>
      <w:r w:rsidR="00112DA6">
        <w:t>with</w:t>
      </w:r>
      <w:r w:rsidR="008A5528">
        <w:t>, (from Mansel 2007)</w:t>
      </w:r>
      <w:r w:rsidR="00112DA6">
        <w:t xml:space="preserve"> a disutility for ‘disease free’ (-0.011) and common adverse events for AEs with </w:t>
      </w:r>
      <w:r w:rsidR="00200CF4">
        <w:t>anastrozole</w:t>
      </w:r>
      <w:r w:rsidR="00112DA6">
        <w:t xml:space="preserve"> (-0.027). </w:t>
      </w:r>
      <w:r w:rsidR="004F095C">
        <w:t xml:space="preserve"> These small decrements from background population utility were maintained for their remaining life to allow for ongoing health problems and anxiety during breast </w:t>
      </w:r>
      <w:r w:rsidR="004F095C" w:rsidRPr="00273D65">
        <w:t>cancer survivorship.</w:t>
      </w:r>
      <w:r w:rsidR="004F095C">
        <w:t xml:space="preserve"> </w:t>
      </w:r>
      <w:r w:rsidR="00112DA6">
        <w:t xml:space="preserve">Further disutilities were applied to the baseline value (0.857) for all women in the model for hip (-0.131), spine (-0.095) and ‘other’ (-0.073) fractures, with the latter based on wrist fractures in Mansel </w:t>
      </w:r>
      <w:r w:rsidR="00112DA6" w:rsidRPr="00112DA6">
        <w:rPr>
          <w:i/>
        </w:rPr>
        <w:t>et al.</w:t>
      </w:r>
      <w:r w:rsidR="00112DA6">
        <w:t xml:space="preserve"> (2007). </w:t>
      </w:r>
    </w:p>
    <w:p w:rsidR="00170901" w:rsidRDefault="00170901" w:rsidP="00170901">
      <w:r>
        <w:t>Table 25 summarises the inputs used in the economic model with the values tested in sensitivity analyses.</w:t>
      </w:r>
      <w:r w:rsidR="00963B61">
        <w:t xml:space="preserve"> </w:t>
      </w:r>
    </w:p>
    <w:p w:rsidR="007040C3" w:rsidRDefault="007040C3" w:rsidP="00D304EC">
      <w:r>
        <w:br w:type="page"/>
      </w:r>
    </w:p>
    <w:p w:rsidR="00B61625" w:rsidRPr="00DC7184" w:rsidRDefault="007040C3" w:rsidP="00DC7184">
      <w:pPr>
        <w:pStyle w:val="TableName"/>
      </w:pPr>
      <w:bookmarkStart w:id="130" w:name="_Toc386112694"/>
      <w:r w:rsidRPr="00DC7184">
        <w:lastRenderedPageBreak/>
        <w:t xml:space="preserve">Table </w:t>
      </w:r>
      <w:r w:rsidR="00D304EC" w:rsidRPr="00DC7184">
        <w:t>2</w:t>
      </w:r>
      <w:r w:rsidR="00C262EC">
        <w:t>5</w:t>
      </w:r>
      <w:r w:rsidR="00DC7184" w:rsidRPr="00DC7184">
        <w:t>:</w:t>
      </w:r>
      <w:r w:rsidRPr="00DC7184">
        <w:t xml:space="preserve"> Model parameters, sensitivity </w:t>
      </w:r>
      <w:r w:rsidR="00DC7184">
        <w:t>values</w:t>
      </w:r>
      <w:r w:rsidRPr="00DC7184">
        <w:t xml:space="preserve"> and sources</w:t>
      </w:r>
      <w:bookmarkEnd w:id="130"/>
    </w:p>
    <w:tbl>
      <w:tblPr>
        <w:tblW w:w="95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5 Model parameters, sensitivity values and sources"/>
      </w:tblPr>
      <w:tblGrid>
        <w:gridCol w:w="284"/>
        <w:gridCol w:w="3686"/>
        <w:gridCol w:w="709"/>
        <w:gridCol w:w="709"/>
        <w:gridCol w:w="708"/>
        <w:gridCol w:w="709"/>
        <w:gridCol w:w="2743"/>
      </w:tblGrid>
      <w:tr w:rsidR="007040C3" w:rsidRPr="007040C3" w:rsidTr="00D1533C">
        <w:trPr>
          <w:trHeight w:val="300"/>
          <w:tblHeader/>
        </w:trPr>
        <w:tc>
          <w:tcPr>
            <w:tcW w:w="3970" w:type="dxa"/>
            <w:gridSpan w:val="2"/>
            <w:shd w:val="clear" w:color="auto" w:fill="auto"/>
            <w:noWrap/>
            <w:vAlign w:val="bottom"/>
            <w:hideMark/>
          </w:tcPr>
          <w:p w:rsidR="007040C3" w:rsidRPr="007040C3" w:rsidRDefault="007040C3" w:rsidP="007040C3">
            <w:pPr>
              <w:pStyle w:val="TableText"/>
              <w:rPr>
                <w:b/>
              </w:rPr>
            </w:pPr>
            <w:r w:rsidRPr="007040C3">
              <w:rPr>
                <w:b/>
              </w:rPr>
              <w:t>Description</w:t>
            </w:r>
          </w:p>
        </w:tc>
        <w:tc>
          <w:tcPr>
            <w:tcW w:w="709" w:type="dxa"/>
            <w:shd w:val="clear" w:color="auto" w:fill="auto"/>
            <w:noWrap/>
            <w:vAlign w:val="bottom"/>
            <w:hideMark/>
          </w:tcPr>
          <w:p w:rsidR="007040C3" w:rsidRPr="007040C3" w:rsidRDefault="007040C3" w:rsidP="007040C3">
            <w:pPr>
              <w:pStyle w:val="TableText"/>
              <w:jc w:val="center"/>
              <w:rPr>
                <w:b/>
              </w:rPr>
            </w:pPr>
            <w:r w:rsidRPr="007040C3">
              <w:rPr>
                <w:b/>
              </w:rPr>
              <w:t>Base</w:t>
            </w:r>
          </w:p>
        </w:tc>
        <w:tc>
          <w:tcPr>
            <w:tcW w:w="709" w:type="dxa"/>
            <w:shd w:val="clear" w:color="auto" w:fill="auto"/>
            <w:noWrap/>
            <w:vAlign w:val="bottom"/>
            <w:hideMark/>
          </w:tcPr>
          <w:p w:rsidR="007040C3" w:rsidRPr="007040C3" w:rsidRDefault="007040C3" w:rsidP="007040C3">
            <w:pPr>
              <w:pStyle w:val="TableText"/>
              <w:jc w:val="center"/>
              <w:rPr>
                <w:b/>
              </w:rPr>
            </w:pPr>
            <w:r w:rsidRPr="007040C3">
              <w:rPr>
                <w:b/>
              </w:rPr>
              <w:t>Low</w:t>
            </w:r>
          </w:p>
        </w:tc>
        <w:tc>
          <w:tcPr>
            <w:tcW w:w="708" w:type="dxa"/>
            <w:shd w:val="clear" w:color="auto" w:fill="auto"/>
            <w:noWrap/>
            <w:vAlign w:val="bottom"/>
            <w:hideMark/>
          </w:tcPr>
          <w:p w:rsidR="007040C3" w:rsidRPr="007040C3" w:rsidRDefault="007040C3" w:rsidP="007040C3">
            <w:pPr>
              <w:pStyle w:val="TableText"/>
              <w:jc w:val="center"/>
              <w:rPr>
                <w:b/>
              </w:rPr>
            </w:pPr>
            <w:r w:rsidRPr="007040C3">
              <w:rPr>
                <w:b/>
              </w:rPr>
              <w:t>High</w:t>
            </w:r>
          </w:p>
        </w:tc>
        <w:tc>
          <w:tcPr>
            <w:tcW w:w="709" w:type="dxa"/>
            <w:shd w:val="clear" w:color="auto" w:fill="auto"/>
            <w:noWrap/>
            <w:vAlign w:val="bottom"/>
            <w:hideMark/>
          </w:tcPr>
          <w:p w:rsidR="007040C3" w:rsidRPr="007040C3" w:rsidRDefault="007040C3" w:rsidP="007040C3">
            <w:pPr>
              <w:pStyle w:val="TableText"/>
              <w:jc w:val="center"/>
              <w:rPr>
                <w:b/>
              </w:rPr>
            </w:pPr>
            <w:r w:rsidRPr="007040C3">
              <w:rPr>
                <w:b/>
              </w:rPr>
              <w:t>Dist</w:t>
            </w:r>
          </w:p>
        </w:tc>
        <w:tc>
          <w:tcPr>
            <w:tcW w:w="2743" w:type="dxa"/>
            <w:shd w:val="clear" w:color="auto" w:fill="auto"/>
            <w:noWrap/>
            <w:vAlign w:val="bottom"/>
            <w:hideMark/>
          </w:tcPr>
          <w:p w:rsidR="007040C3" w:rsidRPr="007040C3" w:rsidRDefault="007040C3" w:rsidP="007040C3">
            <w:pPr>
              <w:pStyle w:val="TableText"/>
              <w:rPr>
                <w:b/>
              </w:rPr>
            </w:pPr>
            <w:r w:rsidRPr="007040C3">
              <w:rPr>
                <w:b/>
              </w:rPr>
              <w:t>Source</w:t>
            </w:r>
          </w:p>
        </w:tc>
      </w:tr>
      <w:tr w:rsidR="007040C3" w:rsidRPr="001F1A72" w:rsidTr="00D1533C">
        <w:trPr>
          <w:trHeight w:val="300"/>
          <w:tblHeader/>
        </w:trPr>
        <w:tc>
          <w:tcPr>
            <w:tcW w:w="284" w:type="dxa"/>
            <w:tcBorders>
              <w:right w:val="nil"/>
            </w:tcBorders>
            <w:shd w:val="clear" w:color="auto" w:fill="auto"/>
            <w:noWrap/>
            <w:vAlign w:val="bottom"/>
            <w:hideMark/>
          </w:tcPr>
          <w:p w:rsidR="007040C3" w:rsidRPr="001F1A72" w:rsidRDefault="007040C3" w:rsidP="007040C3">
            <w:pPr>
              <w:pStyle w:val="TableText"/>
              <w:rPr>
                <w:i/>
                <w:iCs/>
              </w:rPr>
            </w:pPr>
          </w:p>
        </w:tc>
        <w:tc>
          <w:tcPr>
            <w:tcW w:w="3686" w:type="dxa"/>
            <w:tcBorders>
              <w:left w:val="nil"/>
            </w:tcBorders>
            <w:shd w:val="clear" w:color="auto" w:fill="auto"/>
            <w:noWrap/>
            <w:vAlign w:val="bottom"/>
            <w:hideMark/>
          </w:tcPr>
          <w:p w:rsidR="007040C3" w:rsidRPr="001F1A72" w:rsidRDefault="007040C3" w:rsidP="007040C3">
            <w:pPr>
              <w:pStyle w:val="TableText"/>
            </w:pPr>
            <w:r w:rsidRPr="001F1A72">
              <w:t>Starting Age (years)</w:t>
            </w:r>
          </w:p>
        </w:tc>
        <w:tc>
          <w:tcPr>
            <w:tcW w:w="709" w:type="dxa"/>
            <w:shd w:val="clear" w:color="auto" w:fill="auto"/>
            <w:noWrap/>
            <w:vAlign w:val="bottom"/>
            <w:hideMark/>
          </w:tcPr>
          <w:p w:rsidR="007040C3" w:rsidRPr="001F1A72" w:rsidRDefault="007040C3" w:rsidP="007040C3">
            <w:pPr>
              <w:pStyle w:val="TableText"/>
              <w:jc w:val="center"/>
            </w:pPr>
            <w:r w:rsidRPr="001F1A72">
              <w:t>60</w:t>
            </w:r>
          </w:p>
        </w:tc>
        <w:tc>
          <w:tcPr>
            <w:tcW w:w="709" w:type="dxa"/>
            <w:shd w:val="clear" w:color="auto" w:fill="auto"/>
            <w:noWrap/>
            <w:vAlign w:val="bottom"/>
            <w:hideMark/>
          </w:tcPr>
          <w:p w:rsidR="007040C3" w:rsidRPr="001F1A72" w:rsidRDefault="007040C3" w:rsidP="007040C3">
            <w:pPr>
              <w:pStyle w:val="TableText"/>
              <w:jc w:val="center"/>
            </w:pPr>
            <w:r w:rsidRPr="001F1A72">
              <w:t>45</w:t>
            </w:r>
          </w:p>
        </w:tc>
        <w:tc>
          <w:tcPr>
            <w:tcW w:w="708" w:type="dxa"/>
            <w:shd w:val="clear" w:color="auto" w:fill="auto"/>
            <w:noWrap/>
            <w:vAlign w:val="bottom"/>
            <w:hideMark/>
          </w:tcPr>
          <w:p w:rsidR="007040C3" w:rsidRPr="001F1A72" w:rsidRDefault="007040C3" w:rsidP="007040C3">
            <w:pPr>
              <w:pStyle w:val="TableText"/>
              <w:jc w:val="center"/>
            </w:pPr>
            <w:r w:rsidRPr="001F1A72">
              <w:t>70</w:t>
            </w:r>
          </w:p>
        </w:tc>
        <w:tc>
          <w:tcPr>
            <w:tcW w:w="709" w:type="dxa"/>
            <w:shd w:val="clear" w:color="auto" w:fill="auto"/>
            <w:noWrap/>
            <w:vAlign w:val="bottom"/>
            <w:hideMark/>
          </w:tcPr>
          <w:p w:rsidR="007040C3" w:rsidRPr="001F1A72" w:rsidRDefault="007040C3" w:rsidP="007040C3">
            <w:pPr>
              <w:pStyle w:val="TableText"/>
              <w:jc w:val="center"/>
            </w:pPr>
            <w:r>
              <w:t>-</w:t>
            </w:r>
          </w:p>
        </w:tc>
        <w:tc>
          <w:tcPr>
            <w:tcW w:w="2743" w:type="dxa"/>
            <w:shd w:val="clear" w:color="auto" w:fill="auto"/>
            <w:noWrap/>
            <w:vAlign w:val="bottom"/>
            <w:hideMark/>
          </w:tcPr>
          <w:p w:rsidR="007040C3" w:rsidRPr="001F1A72" w:rsidRDefault="007040C3" w:rsidP="007040C3">
            <w:pPr>
              <w:pStyle w:val="TableText"/>
            </w:pPr>
            <w:r w:rsidRPr="001F1A72">
              <w:t> </w:t>
            </w:r>
            <w:r w:rsidR="001C0E59">
              <w:t>AIHW 2012 Breast cancer in Aust.</w:t>
            </w:r>
          </w:p>
        </w:tc>
      </w:tr>
      <w:tr w:rsidR="007040C3" w:rsidRPr="001F1A72" w:rsidTr="00D1533C">
        <w:trPr>
          <w:trHeight w:val="300"/>
          <w:tblHeader/>
        </w:trPr>
        <w:tc>
          <w:tcPr>
            <w:tcW w:w="284" w:type="dxa"/>
            <w:tcBorders>
              <w:right w:val="nil"/>
            </w:tcBorders>
            <w:shd w:val="clear" w:color="auto" w:fill="auto"/>
            <w:noWrap/>
            <w:vAlign w:val="bottom"/>
            <w:hideMark/>
          </w:tcPr>
          <w:p w:rsidR="007040C3" w:rsidRPr="001F1A72" w:rsidRDefault="007040C3" w:rsidP="007040C3">
            <w:pPr>
              <w:pStyle w:val="TableText"/>
            </w:pPr>
          </w:p>
        </w:tc>
        <w:tc>
          <w:tcPr>
            <w:tcW w:w="3686" w:type="dxa"/>
            <w:tcBorders>
              <w:left w:val="nil"/>
            </w:tcBorders>
            <w:shd w:val="clear" w:color="auto" w:fill="auto"/>
            <w:noWrap/>
            <w:vAlign w:val="bottom"/>
            <w:hideMark/>
          </w:tcPr>
          <w:p w:rsidR="007040C3" w:rsidRPr="001F1A72" w:rsidRDefault="007040C3" w:rsidP="007040C3">
            <w:pPr>
              <w:pStyle w:val="TableText"/>
            </w:pPr>
            <w:r w:rsidRPr="001F1A72">
              <w:t>Duration</w:t>
            </w:r>
          </w:p>
        </w:tc>
        <w:tc>
          <w:tcPr>
            <w:tcW w:w="709" w:type="dxa"/>
            <w:shd w:val="clear" w:color="auto" w:fill="auto"/>
            <w:noWrap/>
            <w:vAlign w:val="bottom"/>
            <w:hideMark/>
          </w:tcPr>
          <w:p w:rsidR="007040C3" w:rsidRPr="001F1A72" w:rsidRDefault="007040C3" w:rsidP="007040C3">
            <w:pPr>
              <w:pStyle w:val="TableText"/>
              <w:jc w:val="center"/>
            </w:pPr>
            <w:r w:rsidRPr="001F1A72">
              <w:t>lifetime</w:t>
            </w:r>
          </w:p>
        </w:tc>
        <w:tc>
          <w:tcPr>
            <w:tcW w:w="709" w:type="dxa"/>
            <w:shd w:val="clear" w:color="auto" w:fill="auto"/>
            <w:noWrap/>
            <w:vAlign w:val="bottom"/>
            <w:hideMark/>
          </w:tcPr>
          <w:p w:rsidR="007040C3" w:rsidRPr="001F1A72" w:rsidRDefault="007040C3" w:rsidP="007040C3">
            <w:pPr>
              <w:pStyle w:val="TableText"/>
              <w:jc w:val="center"/>
            </w:pPr>
            <w:r w:rsidRPr="001F1A72">
              <w:t>n/a</w:t>
            </w:r>
          </w:p>
        </w:tc>
        <w:tc>
          <w:tcPr>
            <w:tcW w:w="708" w:type="dxa"/>
            <w:shd w:val="clear" w:color="auto" w:fill="auto"/>
            <w:noWrap/>
            <w:vAlign w:val="bottom"/>
            <w:hideMark/>
          </w:tcPr>
          <w:p w:rsidR="007040C3" w:rsidRPr="001F1A72" w:rsidRDefault="007040C3" w:rsidP="007040C3">
            <w:pPr>
              <w:pStyle w:val="TableText"/>
              <w:jc w:val="center"/>
            </w:pPr>
            <w:r w:rsidRPr="001F1A72">
              <w:t>n/a</w:t>
            </w:r>
          </w:p>
        </w:tc>
        <w:tc>
          <w:tcPr>
            <w:tcW w:w="709" w:type="dxa"/>
            <w:shd w:val="clear" w:color="auto" w:fill="auto"/>
            <w:noWrap/>
            <w:vAlign w:val="bottom"/>
            <w:hideMark/>
          </w:tcPr>
          <w:p w:rsidR="007040C3" w:rsidRPr="001F1A72" w:rsidRDefault="007040C3" w:rsidP="007040C3">
            <w:pPr>
              <w:pStyle w:val="TableText"/>
              <w:jc w:val="center"/>
            </w:pPr>
            <w:r>
              <w:t>-</w:t>
            </w:r>
          </w:p>
        </w:tc>
        <w:tc>
          <w:tcPr>
            <w:tcW w:w="2743" w:type="dxa"/>
            <w:shd w:val="clear" w:color="auto" w:fill="auto"/>
            <w:noWrap/>
            <w:vAlign w:val="bottom"/>
            <w:hideMark/>
          </w:tcPr>
          <w:p w:rsidR="007040C3" w:rsidRPr="001F1A72" w:rsidRDefault="007040C3" w:rsidP="007040C3">
            <w:pPr>
              <w:pStyle w:val="TableText"/>
            </w:pPr>
            <w:r w:rsidRPr="001F1A72">
              <w:t> </w:t>
            </w:r>
            <w:r w:rsidR="004B4974">
              <w:t>-</w:t>
            </w:r>
          </w:p>
        </w:tc>
      </w:tr>
      <w:tr w:rsidR="007040C3" w:rsidRPr="001F1A72" w:rsidTr="00D1533C">
        <w:trPr>
          <w:trHeight w:val="300"/>
          <w:tblHeader/>
        </w:trPr>
        <w:tc>
          <w:tcPr>
            <w:tcW w:w="284" w:type="dxa"/>
            <w:tcBorders>
              <w:right w:val="nil"/>
            </w:tcBorders>
            <w:shd w:val="clear" w:color="auto" w:fill="auto"/>
            <w:noWrap/>
            <w:vAlign w:val="bottom"/>
            <w:hideMark/>
          </w:tcPr>
          <w:p w:rsidR="007040C3" w:rsidRPr="001F1A72" w:rsidRDefault="007040C3" w:rsidP="007040C3">
            <w:pPr>
              <w:pStyle w:val="TableText"/>
            </w:pPr>
          </w:p>
        </w:tc>
        <w:tc>
          <w:tcPr>
            <w:tcW w:w="3686" w:type="dxa"/>
            <w:tcBorders>
              <w:left w:val="nil"/>
            </w:tcBorders>
            <w:shd w:val="clear" w:color="auto" w:fill="auto"/>
            <w:noWrap/>
            <w:vAlign w:val="bottom"/>
            <w:hideMark/>
          </w:tcPr>
          <w:p w:rsidR="007040C3" w:rsidRPr="001F1A72" w:rsidRDefault="007040C3" w:rsidP="007040C3">
            <w:pPr>
              <w:pStyle w:val="TableText"/>
            </w:pPr>
            <w:r w:rsidRPr="001F1A72">
              <w:t>Cycle length</w:t>
            </w:r>
          </w:p>
        </w:tc>
        <w:tc>
          <w:tcPr>
            <w:tcW w:w="709" w:type="dxa"/>
            <w:shd w:val="clear" w:color="auto" w:fill="auto"/>
            <w:noWrap/>
            <w:vAlign w:val="bottom"/>
            <w:hideMark/>
          </w:tcPr>
          <w:p w:rsidR="007040C3" w:rsidRPr="001F1A72" w:rsidRDefault="007040C3" w:rsidP="007040C3">
            <w:pPr>
              <w:pStyle w:val="TableText"/>
              <w:jc w:val="center"/>
            </w:pPr>
            <w:r w:rsidRPr="001F1A72">
              <w:t>1 year</w:t>
            </w:r>
          </w:p>
        </w:tc>
        <w:tc>
          <w:tcPr>
            <w:tcW w:w="709" w:type="dxa"/>
            <w:shd w:val="clear" w:color="auto" w:fill="auto"/>
            <w:noWrap/>
            <w:vAlign w:val="bottom"/>
            <w:hideMark/>
          </w:tcPr>
          <w:p w:rsidR="007040C3" w:rsidRPr="001F1A72" w:rsidRDefault="007040C3" w:rsidP="007040C3">
            <w:pPr>
              <w:pStyle w:val="TableText"/>
              <w:jc w:val="center"/>
            </w:pPr>
            <w:r w:rsidRPr="001F1A72">
              <w:t>n/a</w:t>
            </w:r>
          </w:p>
        </w:tc>
        <w:tc>
          <w:tcPr>
            <w:tcW w:w="708" w:type="dxa"/>
            <w:shd w:val="clear" w:color="auto" w:fill="auto"/>
            <w:noWrap/>
            <w:vAlign w:val="bottom"/>
            <w:hideMark/>
          </w:tcPr>
          <w:p w:rsidR="007040C3" w:rsidRPr="001F1A72" w:rsidRDefault="007040C3" w:rsidP="007040C3">
            <w:pPr>
              <w:pStyle w:val="TableText"/>
              <w:jc w:val="center"/>
            </w:pPr>
            <w:r w:rsidRPr="001F1A72">
              <w:t>n/a</w:t>
            </w:r>
          </w:p>
        </w:tc>
        <w:tc>
          <w:tcPr>
            <w:tcW w:w="709" w:type="dxa"/>
            <w:shd w:val="clear" w:color="auto" w:fill="auto"/>
            <w:noWrap/>
            <w:vAlign w:val="bottom"/>
            <w:hideMark/>
          </w:tcPr>
          <w:p w:rsidR="007040C3" w:rsidRPr="001F1A72" w:rsidRDefault="007040C3" w:rsidP="007040C3">
            <w:pPr>
              <w:pStyle w:val="TableText"/>
              <w:jc w:val="center"/>
            </w:pPr>
            <w:r>
              <w:t>-</w:t>
            </w:r>
          </w:p>
        </w:tc>
        <w:tc>
          <w:tcPr>
            <w:tcW w:w="2743" w:type="dxa"/>
            <w:shd w:val="clear" w:color="auto" w:fill="auto"/>
            <w:noWrap/>
            <w:vAlign w:val="bottom"/>
            <w:hideMark/>
          </w:tcPr>
          <w:p w:rsidR="007040C3" w:rsidRPr="001F1A72" w:rsidRDefault="007040C3" w:rsidP="007040C3">
            <w:pPr>
              <w:pStyle w:val="TableText"/>
            </w:pPr>
            <w:r w:rsidRPr="001F1A72">
              <w:t> </w:t>
            </w:r>
            <w:r w:rsidR="004B4974">
              <w:t>-</w:t>
            </w:r>
          </w:p>
        </w:tc>
      </w:tr>
      <w:tr w:rsidR="007040C3" w:rsidRPr="001F1A72" w:rsidTr="00D1533C">
        <w:trPr>
          <w:trHeight w:val="300"/>
          <w:tblHeader/>
        </w:trPr>
        <w:tc>
          <w:tcPr>
            <w:tcW w:w="284" w:type="dxa"/>
            <w:tcBorders>
              <w:right w:val="nil"/>
            </w:tcBorders>
            <w:shd w:val="clear" w:color="auto" w:fill="auto"/>
            <w:noWrap/>
            <w:vAlign w:val="bottom"/>
            <w:hideMark/>
          </w:tcPr>
          <w:p w:rsidR="007040C3" w:rsidRPr="001F1A72" w:rsidRDefault="007040C3" w:rsidP="007040C3">
            <w:pPr>
              <w:pStyle w:val="TableText"/>
            </w:pPr>
          </w:p>
        </w:tc>
        <w:tc>
          <w:tcPr>
            <w:tcW w:w="3686" w:type="dxa"/>
            <w:tcBorders>
              <w:left w:val="nil"/>
            </w:tcBorders>
            <w:shd w:val="clear" w:color="auto" w:fill="auto"/>
            <w:noWrap/>
            <w:vAlign w:val="bottom"/>
            <w:hideMark/>
          </w:tcPr>
          <w:p w:rsidR="007040C3" w:rsidRPr="001F1A72" w:rsidRDefault="007040C3" w:rsidP="007040C3">
            <w:pPr>
              <w:pStyle w:val="TableText"/>
            </w:pPr>
            <w:r w:rsidRPr="001F1A72">
              <w:t>Discounting</w:t>
            </w:r>
          </w:p>
        </w:tc>
        <w:tc>
          <w:tcPr>
            <w:tcW w:w="709" w:type="dxa"/>
            <w:shd w:val="clear" w:color="auto" w:fill="auto"/>
            <w:noWrap/>
            <w:vAlign w:val="bottom"/>
            <w:hideMark/>
          </w:tcPr>
          <w:p w:rsidR="007040C3" w:rsidRPr="001F1A72" w:rsidRDefault="007040C3" w:rsidP="007040C3">
            <w:pPr>
              <w:pStyle w:val="TableText"/>
              <w:jc w:val="center"/>
            </w:pPr>
            <w:r w:rsidRPr="001F1A72">
              <w:t>5%</w:t>
            </w:r>
          </w:p>
        </w:tc>
        <w:tc>
          <w:tcPr>
            <w:tcW w:w="709" w:type="dxa"/>
            <w:shd w:val="clear" w:color="auto" w:fill="auto"/>
            <w:noWrap/>
            <w:vAlign w:val="bottom"/>
            <w:hideMark/>
          </w:tcPr>
          <w:p w:rsidR="007040C3" w:rsidRPr="001F1A72" w:rsidRDefault="007040C3" w:rsidP="007040C3">
            <w:pPr>
              <w:pStyle w:val="TableText"/>
              <w:jc w:val="center"/>
            </w:pPr>
            <w:r w:rsidRPr="001F1A72">
              <w:t>0%</w:t>
            </w:r>
          </w:p>
        </w:tc>
        <w:tc>
          <w:tcPr>
            <w:tcW w:w="708" w:type="dxa"/>
            <w:shd w:val="clear" w:color="auto" w:fill="auto"/>
            <w:noWrap/>
            <w:vAlign w:val="bottom"/>
            <w:hideMark/>
          </w:tcPr>
          <w:p w:rsidR="007040C3" w:rsidRPr="001F1A72" w:rsidRDefault="007040C3" w:rsidP="007040C3">
            <w:pPr>
              <w:pStyle w:val="TableText"/>
              <w:jc w:val="center"/>
            </w:pPr>
            <w:r w:rsidRPr="001F1A72">
              <w:t>7%</w:t>
            </w:r>
          </w:p>
        </w:tc>
        <w:tc>
          <w:tcPr>
            <w:tcW w:w="709" w:type="dxa"/>
            <w:shd w:val="clear" w:color="auto" w:fill="auto"/>
            <w:noWrap/>
            <w:vAlign w:val="bottom"/>
            <w:hideMark/>
          </w:tcPr>
          <w:p w:rsidR="007040C3" w:rsidRPr="001F1A72" w:rsidRDefault="007040C3" w:rsidP="007040C3">
            <w:pPr>
              <w:pStyle w:val="TableText"/>
              <w:jc w:val="center"/>
            </w:pPr>
            <w:r>
              <w:t>-</w:t>
            </w:r>
          </w:p>
        </w:tc>
        <w:tc>
          <w:tcPr>
            <w:tcW w:w="2743" w:type="dxa"/>
            <w:shd w:val="clear" w:color="auto" w:fill="auto"/>
            <w:noWrap/>
            <w:vAlign w:val="bottom"/>
            <w:hideMark/>
          </w:tcPr>
          <w:p w:rsidR="007040C3" w:rsidRPr="001F1A72" w:rsidRDefault="007040C3" w:rsidP="007040C3">
            <w:pPr>
              <w:pStyle w:val="TableText"/>
            </w:pPr>
            <w:r w:rsidRPr="001F1A72">
              <w:t>PBAC guidelines</w:t>
            </w:r>
          </w:p>
        </w:tc>
      </w:tr>
      <w:tr w:rsidR="007040C3" w:rsidRPr="001F1A72" w:rsidTr="00D1533C">
        <w:trPr>
          <w:trHeight w:val="300"/>
          <w:tblHeader/>
        </w:trPr>
        <w:tc>
          <w:tcPr>
            <w:tcW w:w="284" w:type="dxa"/>
            <w:tcBorders>
              <w:right w:val="nil"/>
            </w:tcBorders>
            <w:shd w:val="clear" w:color="auto" w:fill="auto"/>
            <w:noWrap/>
            <w:vAlign w:val="bottom"/>
            <w:hideMark/>
          </w:tcPr>
          <w:p w:rsidR="007040C3" w:rsidRPr="001F1A72" w:rsidRDefault="007040C3" w:rsidP="007040C3">
            <w:pPr>
              <w:pStyle w:val="TableText"/>
            </w:pPr>
          </w:p>
        </w:tc>
        <w:tc>
          <w:tcPr>
            <w:tcW w:w="3686" w:type="dxa"/>
            <w:tcBorders>
              <w:left w:val="nil"/>
            </w:tcBorders>
            <w:shd w:val="clear" w:color="auto" w:fill="auto"/>
            <w:noWrap/>
            <w:vAlign w:val="bottom"/>
            <w:hideMark/>
          </w:tcPr>
          <w:p w:rsidR="007040C3" w:rsidRPr="001F1A72" w:rsidRDefault="007040C3" w:rsidP="007040C3">
            <w:pPr>
              <w:pStyle w:val="TableText"/>
            </w:pPr>
            <w:r>
              <w:t>Background mortality (adjusted for early stage breast cancer)</w:t>
            </w:r>
          </w:p>
        </w:tc>
        <w:tc>
          <w:tcPr>
            <w:tcW w:w="709" w:type="dxa"/>
            <w:shd w:val="clear" w:color="auto" w:fill="auto"/>
            <w:noWrap/>
            <w:vAlign w:val="bottom"/>
            <w:hideMark/>
          </w:tcPr>
          <w:p w:rsidR="007040C3" w:rsidRPr="001F1A72" w:rsidRDefault="007040C3" w:rsidP="007040C3">
            <w:pPr>
              <w:pStyle w:val="TableText"/>
              <w:jc w:val="center"/>
            </w:pPr>
            <w:r w:rsidRPr="001F1A72">
              <w:t>table</w:t>
            </w:r>
          </w:p>
        </w:tc>
        <w:tc>
          <w:tcPr>
            <w:tcW w:w="709" w:type="dxa"/>
            <w:shd w:val="clear" w:color="auto" w:fill="auto"/>
            <w:noWrap/>
            <w:vAlign w:val="bottom"/>
            <w:hideMark/>
          </w:tcPr>
          <w:p w:rsidR="007040C3" w:rsidRPr="001F1A72" w:rsidRDefault="007040C3" w:rsidP="007040C3">
            <w:pPr>
              <w:pStyle w:val="TableText"/>
              <w:jc w:val="center"/>
            </w:pPr>
            <w:r w:rsidRPr="001F1A72">
              <w:t>n/a</w:t>
            </w:r>
          </w:p>
        </w:tc>
        <w:tc>
          <w:tcPr>
            <w:tcW w:w="708" w:type="dxa"/>
            <w:shd w:val="clear" w:color="auto" w:fill="auto"/>
            <w:noWrap/>
            <w:vAlign w:val="bottom"/>
            <w:hideMark/>
          </w:tcPr>
          <w:p w:rsidR="007040C3" w:rsidRPr="001F1A72" w:rsidRDefault="007040C3" w:rsidP="007040C3">
            <w:pPr>
              <w:pStyle w:val="TableText"/>
              <w:jc w:val="center"/>
            </w:pPr>
            <w:r w:rsidRPr="001F1A72">
              <w:t>n/a</w:t>
            </w:r>
          </w:p>
        </w:tc>
        <w:tc>
          <w:tcPr>
            <w:tcW w:w="709" w:type="dxa"/>
            <w:shd w:val="clear" w:color="auto" w:fill="auto"/>
            <w:noWrap/>
            <w:vAlign w:val="bottom"/>
            <w:hideMark/>
          </w:tcPr>
          <w:p w:rsidR="007040C3" w:rsidRPr="001F1A72" w:rsidRDefault="007040C3" w:rsidP="007040C3">
            <w:pPr>
              <w:pStyle w:val="TableText"/>
              <w:jc w:val="center"/>
            </w:pPr>
            <w:r>
              <w:t>-</w:t>
            </w:r>
          </w:p>
        </w:tc>
        <w:tc>
          <w:tcPr>
            <w:tcW w:w="2743" w:type="dxa"/>
            <w:shd w:val="clear" w:color="auto" w:fill="auto"/>
            <w:noWrap/>
            <w:vAlign w:val="bottom"/>
            <w:hideMark/>
          </w:tcPr>
          <w:p w:rsidR="007040C3" w:rsidRPr="001F1A72" w:rsidRDefault="007040C3" w:rsidP="007040C3">
            <w:pPr>
              <w:pStyle w:val="TableText"/>
            </w:pPr>
            <w:r w:rsidRPr="001F1A72">
              <w:t xml:space="preserve">ABS life tables, AIHW 2012 Report to the nation </w:t>
            </w:r>
            <w:r>
              <w:t xml:space="preserve"> (97% survival at 5 years)</w:t>
            </w:r>
          </w:p>
        </w:tc>
      </w:tr>
      <w:tr w:rsidR="007040C3" w:rsidRPr="00A7106A" w:rsidTr="00D1533C">
        <w:trPr>
          <w:trHeight w:val="300"/>
          <w:tblHeader/>
        </w:trPr>
        <w:tc>
          <w:tcPr>
            <w:tcW w:w="3970" w:type="dxa"/>
            <w:gridSpan w:val="2"/>
            <w:shd w:val="clear" w:color="auto" w:fill="auto"/>
            <w:noWrap/>
            <w:vAlign w:val="bottom"/>
            <w:hideMark/>
          </w:tcPr>
          <w:p w:rsidR="007040C3" w:rsidRPr="00A7106A" w:rsidRDefault="007040C3" w:rsidP="007040C3">
            <w:pPr>
              <w:pStyle w:val="TableText"/>
              <w:rPr>
                <w:b/>
                <w:iCs/>
              </w:rPr>
            </w:pPr>
            <w:r w:rsidRPr="00A7106A">
              <w:rPr>
                <w:b/>
                <w:iCs/>
              </w:rPr>
              <w:t>Probabilities and relative risks</w:t>
            </w:r>
          </w:p>
        </w:tc>
        <w:tc>
          <w:tcPr>
            <w:tcW w:w="709" w:type="dxa"/>
            <w:shd w:val="clear" w:color="auto" w:fill="auto"/>
            <w:noWrap/>
            <w:vAlign w:val="bottom"/>
            <w:hideMark/>
          </w:tcPr>
          <w:p w:rsidR="007040C3" w:rsidRPr="00A7106A" w:rsidRDefault="004B4974" w:rsidP="007040C3">
            <w:pPr>
              <w:pStyle w:val="TableText"/>
              <w:jc w:val="center"/>
            </w:pPr>
            <w:r>
              <w:t>-</w:t>
            </w:r>
          </w:p>
        </w:tc>
        <w:tc>
          <w:tcPr>
            <w:tcW w:w="709" w:type="dxa"/>
            <w:shd w:val="clear" w:color="auto" w:fill="auto"/>
            <w:noWrap/>
            <w:vAlign w:val="bottom"/>
            <w:hideMark/>
          </w:tcPr>
          <w:p w:rsidR="007040C3" w:rsidRPr="00A7106A" w:rsidRDefault="004B4974" w:rsidP="007040C3">
            <w:pPr>
              <w:pStyle w:val="TableText"/>
              <w:jc w:val="center"/>
            </w:pPr>
            <w:r>
              <w:t>-</w:t>
            </w:r>
          </w:p>
        </w:tc>
        <w:tc>
          <w:tcPr>
            <w:tcW w:w="708" w:type="dxa"/>
            <w:shd w:val="clear" w:color="auto" w:fill="auto"/>
            <w:noWrap/>
            <w:vAlign w:val="bottom"/>
            <w:hideMark/>
          </w:tcPr>
          <w:p w:rsidR="007040C3" w:rsidRPr="00A7106A" w:rsidRDefault="004B4974" w:rsidP="007040C3">
            <w:pPr>
              <w:pStyle w:val="TableText"/>
              <w:jc w:val="center"/>
            </w:pPr>
            <w:r>
              <w:t>-</w:t>
            </w:r>
          </w:p>
        </w:tc>
        <w:tc>
          <w:tcPr>
            <w:tcW w:w="709" w:type="dxa"/>
            <w:shd w:val="clear" w:color="auto" w:fill="auto"/>
            <w:noWrap/>
            <w:vAlign w:val="bottom"/>
            <w:hideMark/>
          </w:tcPr>
          <w:p w:rsidR="007040C3" w:rsidRPr="00A7106A" w:rsidRDefault="004B4974" w:rsidP="007040C3">
            <w:pPr>
              <w:pStyle w:val="TableText"/>
              <w:jc w:val="center"/>
            </w:pPr>
            <w:r>
              <w:t>-</w:t>
            </w:r>
          </w:p>
        </w:tc>
        <w:tc>
          <w:tcPr>
            <w:tcW w:w="2743" w:type="dxa"/>
            <w:shd w:val="clear" w:color="auto" w:fill="auto"/>
            <w:noWrap/>
            <w:vAlign w:val="bottom"/>
            <w:hideMark/>
          </w:tcPr>
          <w:p w:rsidR="007040C3" w:rsidRPr="00A7106A" w:rsidRDefault="007040C3" w:rsidP="007040C3">
            <w:pPr>
              <w:pStyle w:val="TableText"/>
            </w:pPr>
            <w:r w:rsidRPr="00A7106A">
              <w:t> </w:t>
            </w:r>
            <w:r w:rsidR="004B4974">
              <w:t>-</w:t>
            </w:r>
          </w:p>
        </w:tc>
      </w:tr>
      <w:tr w:rsidR="007040C3" w:rsidRPr="001F1A72" w:rsidTr="00D1533C">
        <w:trPr>
          <w:trHeight w:val="300"/>
          <w:tblHeader/>
        </w:trPr>
        <w:tc>
          <w:tcPr>
            <w:tcW w:w="284" w:type="dxa"/>
            <w:tcBorders>
              <w:right w:val="nil"/>
            </w:tcBorders>
            <w:shd w:val="clear" w:color="auto" w:fill="auto"/>
            <w:noWrap/>
            <w:vAlign w:val="bottom"/>
            <w:hideMark/>
          </w:tcPr>
          <w:p w:rsidR="007040C3" w:rsidRPr="001F1A72" w:rsidRDefault="007040C3" w:rsidP="007040C3">
            <w:pPr>
              <w:pStyle w:val="TableText"/>
              <w:rPr>
                <w:i/>
                <w:iCs/>
              </w:rPr>
            </w:pPr>
          </w:p>
        </w:tc>
        <w:tc>
          <w:tcPr>
            <w:tcW w:w="3686" w:type="dxa"/>
            <w:tcBorders>
              <w:left w:val="nil"/>
            </w:tcBorders>
            <w:shd w:val="clear" w:color="auto" w:fill="auto"/>
            <w:noWrap/>
            <w:vAlign w:val="bottom"/>
            <w:hideMark/>
          </w:tcPr>
          <w:p w:rsidR="007040C3" w:rsidRPr="001F1A72" w:rsidRDefault="007040C3" w:rsidP="007040C3">
            <w:pPr>
              <w:pStyle w:val="TableText"/>
            </w:pPr>
            <w:r>
              <w:t xml:space="preserve">Prob of </w:t>
            </w:r>
            <w:r w:rsidRPr="001F1A72">
              <w:t>osteoporosis</w:t>
            </w:r>
            <w:r>
              <w:t xml:space="preserve"> (55-64 yrs)</w:t>
            </w:r>
          </w:p>
        </w:tc>
        <w:tc>
          <w:tcPr>
            <w:tcW w:w="709" w:type="dxa"/>
            <w:shd w:val="clear" w:color="auto" w:fill="auto"/>
            <w:noWrap/>
            <w:vAlign w:val="bottom"/>
            <w:hideMark/>
          </w:tcPr>
          <w:p w:rsidR="007040C3" w:rsidRPr="001F1A72" w:rsidRDefault="007040C3" w:rsidP="007040C3">
            <w:pPr>
              <w:pStyle w:val="TableText"/>
              <w:jc w:val="center"/>
            </w:pPr>
            <w:r w:rsidRPr="001F1A72">
              <w:t>0.1495</w:t>
            </w:r>
          </w:p>
        </w:tc>
        <w:tc>
          <w:tcPr>
            <w:tcW w:w="709" w:type="dxa"/>
            <w:shd w:val="clear" w:color="auto" w:fill="auto"/>
            <w:noWrap/>
            <w:vAlign w:val="bottom"/>
            <w:hideMark/>
          </w:tcPr>
          <w:p w:rsidR="007040C3" w:rsidRPr="001F1A72" w:rsidRDefault="007040C3" w:rsidP="007040C3">
            <w:pPr>
              <w:pStyle w:val="TableText"/>
              <w:jc w:val="center"/>
            </w:pPr>
            <w:r w:rsidRPr="001F1A72">
              <w:t>0.0890</w:t>
            </w:r>
          </w:p>
        </w:tc>
        <w:tc>
          <w:tcPr>
            <w:tcW w:w="708" w:type="dxa"/>
            <w:shd w:val="clear" w:color="auto" w:fill="auto"/>
            <w:noWrap/>
            <w:vAlign w:val="bottom"/>
            <w:hideMark/>
          </w:tcPr>
          <w:p w:rsidR="007040C3" w:rsidRPr="001F1A72" w:rsidRDefault="007040C3" w:rsidP="007040C3">
            <w:pPr>
              <w:pStyle w:val="TableText"/>
              <w:jc w:val="center"/>
            </w:pPr>
            <w:r w:rsidRPr="001F1A72">
              <w:t>0.2100</w:t>
            </w:r>
          </w:p>
        </w:tc>
        <w:tc>
          <w:tcPr>
            <w:tcW w:w="709" w:type="dxa"/>
            <w:shd w:val="clear" w:color="auto" w:fill="auto"/>
            <w:noWrap/>
            <w:vAlign w:val="bottom"/>
            <w:hideMark/>
          </w:tcPr>
          <w:p w:rsidR="007040C3" w:rsidRPr="001F1A72" w:rsidRDefault="007040C3" w:rsidP="007040C3">
            <w:pPr>
              <w:pStyle w:val="TableText"/>
              <w:jc w:val="center"/>
            </w:pPr>
            <w:r w:rsidRPr="001F1A72">
              <w:t>beta</w:t>
            </w:r>
          </w:p>
        </w:tc>
        <w:tc>
          <w:tcPr>
            <w:tcW w:w="2743" w:type="dxa"/>
            <w:shd w:val="clear" w:color="auto" w:fill="auto"/>
            <w:noWrap/>
            <w:vAlign w:val="bottom"/>
            <w:hideMark/>
          </w:tcPr>
          <w:p w:rsidR="007040C3" w:rsidRPr="001F1A72" w:rsidRDefault="006D19D1" w:rsidP="007040C3">
            <w:pPr>
              <w:pStyle w:val="TableText"/>
            </w:pPr>
            <w:r>
              <w:t>Henry</w:t>
            </w:r>
            <w:r w:rsidR="007040C3" w:rsidRPr="001F1A72">
              <w:t xml:space="preserve"> 2011</w:t>
            </w:r>
          </w:p>
        </w:tc>
      </w:tr>
      <w:tr w:rsidR="007040C3" w:rsidRPr="001F1A72" w:rsidTr="00D1533C">
        <w:trPr>
          <w:trHeight w:val="300"/>
          <w:tblHeader/>
        </w:trPr>
        <w:tc>
          <w:tcPr>
            <w:tcW w:w="284" w:type="dxa"/>
            <w:tcBorders>
              <w:right w:val="nil"/>
            </w:tcBorders>
            <w:shd w:val="clear" w:color="auto" w:fill="auto"/>
            <w:noWrap/>
            <w:vAlign w:val="bottom"/>
            <w:hideMark/>
          </w:tcPr>
          <w:p w:rsidR="007040C3" w:rsidRPr="001F1A72" w:rsidRDefault="007040C3" w:rsidP="007040C3">
            <w:pPr>
              <w:pStyle w:val="TableText"/>
              <w:rPr>
                <w:i/>
                <w:iCs/>
              </w:rPr>
            </w:pPr>
          </w:p>
        </w:tc>
        <w:tc>
          <w:tcPr>
            <w:tcW w:w="3686" w:type="dxa"/>
            <w:tcBorders>
              <w:left w:val="nil"/>
            </w:tcBorders>
            <w:shd w:val="clear" w:color="auto" w:fill="auto"/>
            <w:noWrap/>
            <w:vAlign w:val="bottom"/>
            <w:hideMark/>
          </w:tcPr>
          <w:p w:rsidR="007040C3" w:rsidRPr="001F1A72" w:rsidRDefault="007040C3" w:rsidP="007040C3">
            <w:pPr>
              <w:pStyle w:val="TableText"/>
            </w:pPr>
            <w:r>
              <w:t xml:space="preserve">Prob of </w:t>
            </w:r>
            <w:r w:rsidRPr="001F1A72">
              <w:t>osteopenia</w:t>
            </w:r>
            <w:r>
              <w:t xml:space="preserve"> (55-64 yrs)</w:t>
            </w:r>
          </w:p>
        </w:tc>
        <w:tc>
          <w:tcPr>
            <w:tcW w:w="709" w:type="dxa"/>
            <w:shd w:val="clear" w:color="auto" w:fill="auto"/>
            <w:noWrap/>
            <w:vAlign w:val="bottom"/>
            <w:hideMark/>
          </w:tcPr>
          <w:p w:rsidR="007040C3" w:rsidRPr="001F1A72" w:rsidRDefault="007040C3" w:rsidP="007040C3">
            <w:pPr>
              <w:pStyle w:val="TableText"/>
              <w:jc w:val="center"/>
            </w:pPr>
            <w:r w:rsidRPr="001F1A72">
              <w:t>0.5390</w:t>
            </w:r>
          </w:p>
        </w:tc>
        <w:tc>
          <w:tcPr>
            <w:tcW w:w="709" w:type="dxa"/>
            <w:shd w:val="clear" w:color="auto" w:fill="auto"/>
            <w:noWrap/>
            <w:vAlign w:val="bottom"/>
            <w:hideMark/>
          </w:tcPr>
          <w:p w:rsidR="007040C3" w:rsidRPr="001F1A72" w:rsidRDefault="007040C3" w:rsidP="007040C3">
            <w:pPr>
              <w:pStyle w:val="TableText"/>
              <w:jc w:val="center"/>
            </w:pPr>
            <w:r w:rsidRPr="001F1A72">
              <w:t>0.5140</w:t>
            </w:r>
          </w:p>
        </w:tc>
        <w:tc>
          <w:tcPr>
            <w:tcW w:w="708" w:type="dxa"/>
            <w:shd w:val="clear" w:color="auto" w:fill="auto"/>
            <w:noWrap/>
            <w:vAlign w:val="bottom"/>
            <w:hideMark/>
          </w:tcPr>
          <w:p w:rsidR="007040C3" w:rsidRPr="001F1A72" w:rsidRDefault="007040C3" w:rsidP="007040C3">
            <w:pPr>
              <w:pStyle w:val="TableText"/>
              <w:jc w:val="center"/>
            </w:pPr>
            <w:r w:rsidRPr="001F1A72">
              <w:t>0.5640</w:t>
            </w:r>
          </w:p>
        </w:tc>
        <w:tc>
          <w:tcPr>
            <w:tcW w:w="709" w:type="dxa"/>
            <w:shd w:val="clear" w:color="auto" w:fill="auto"/>
            <w:noWrap/>
            <w:vAlign w:val="bottom"/>
            <w:hideMark/>
          </w:tcPr>
          <w:p w:rsidR="007040C3" w:rsidRPr="001F1A72" w:rsidRDefault="007040C3" w:rsidP="007040C3">
            <w:pPr>
              <w:pStyle w:val="TableText"/>
              <w:jc w:val="center"/>
            </w:pPr>
            <w:r w:rsidRPr="001F1A72">
              <w:t>beta</w:t>
            </w:r>
          </w:p>
        </w:tc>
        <w:tc>
          <w:tcPr>
            <w:tcW w:w="2743" w:type="dxa"/>
            <w:shd w:val="clear" w:color="auto" w:fill="auto"/>
            <w:noWrap/>
            <w:vAlign w:val="bottom"/>
            <w:hideMark/>
          </w:tcPr>
          <w:p w:rsidR="007040C3" w:rsidRPr="001F1A72" w:rsidRDefault="006D19D1" w:rsidP="006D19D1">
            <w:pPr>
              <w:pStyle w:val="TableText"/>
            </w:pPr>
            <w:r>
              <w:t xml:space="preserve">Henry </w:t>
            </w:r>
            <w:r w:rsidR="007040C3" w:rsidRPr="001F1A72">
              <w:t>2011</w:t>
            </w:r>
          </w:p>
        </w:tc>
      </w:tr>
      <w:tr w:rsidR="007040C3" w:rsidRPr="001F1A72" w:rsidTr="00D1533C">
        <w:trPr>
          <w:trHeight w:val="300"/>
          <w:tblHeader/>
        </w:trPr>
        <w:tc>
          <w:tcPr>
            <w:tcW w:w="284" w:type="dxa"/>
            <w:tcBorders>
              <w:right w:val="nil"/>
            </w:tcBorders>
            <w:shd w:val="clear" w:color="auto" w:fill="auto"/>
            <w:noWrap/>
            <w:vAlign w:val="bottom"/>
            <w:hideMark/>
          </w:tcPr>
          <w:p w:rsidR="007040C3" w:rsidRPr="001F1A72" w:rsidRDefault="007040C3" w:rsidP="007040C3">
            <w:pPr>
              <w:pStyle w:val="TableText"/>
              <w:rPr>
                <w:i/>
                <w:iCs/>
              </w:rPr>
            </w:pPr>
          </w:p>
        </w:tc>
        <w:tc>
          <w:tcPr>
            <w:tcW w:w="3686" w:type="dxa"/>
            <w:tcBorders>
              <w:left w:val="nil"/>
            </w:tcBorders>
            <w:shd w:val="clear" w:color="auto" w:fill="auto"/>
            <w:noWrap/>
            <w:vAlign w:val="bottom"/>
            <w:hideMark/>
          </w:tcPr>
          <w:p w:rsidR="007040C3" w:rsidRPr="001F1A72" w:rsidRDefault="007040C3" w:rsidP="007040C3">
            <w:pPr>
              <w:pStyle w:val="TableText"/>
            </w:pPr>
            <w:r w:rsidRPr="001F1A72">
              <w:t>RR fx in osteopenia (&gt;1.0 SD drop in BMD)</w:t>
            </w:r>
          </w:p>
        </w:tc>
        <w:tc>
          <w:tcPr>
            <w:tcW w:w="709" w:type="dxa"/>
            <w:shd w:val="clear" w:color="auto" w:fill="auto"/>
            <w:noWrap/>
            <w:vAlign w:val="bottom"/>
            <w:hideMark/>
          </w:tcPr>
          <w:p w:rsidR="007040C3" w:rsidRPr="001F1A72" w:rsidRDefault="007040C3" w:rsidP="007040C3">
            <w:pPr>
              <w:pStyle w:val="TableText"/>
              <w:jc w:val="center"/>
            </w:pPr>
            <w:r w:rsidRPr="001F1A72">
              <w:t>1.50</w:t>
            </w:r>
          </w:p>
        </w:tc>
        <w:tc>
          <w:tcPr>
            <w:tcW w:w="709" w:type="dxa"/>
            <w:shd w:val="clear" w:color="auto" w:fill="auto"/>
            <w:noWrap/>
            <w:vAlign w:val="bottom"/>
            <w:hideMark/>
          </w:tcPr>
          <w:p w:rsidR="007040C3" w:rsidRPr="001F1A72" w:rsidRDefault="007040C3" w:rsidP="007040C3">
            <w:pPr>
              <w:pStyle w:val="TableText"/>
              <w:jc w:val="center"/>
            </w:pPr>
            <w:r w:rsidRPr="001F1A72">
              <w:t>1.40</w:t>
            </w:r>
          </w:p>
        </w:tc>
        <w:tc>
          <w:tcPr>
            <w:tcW w:w="708" w:type="dxa"/>
            <w:shd w:val="clear" w:color="auto" w:fill="auto"/>
            <w:noWrap/>
            <w:vAlign w:val="bottom"/>
            <w:hideMark/>
          </w:tcPr>
          <w:p w:rsidR="007040C3" w:rsidRPr="001F1A72" w:rsidRDefault="007040C3" w:rsidP="007040C3">
            <w:pPr>
              <w:pStyle w:val="TableText"/>
              <w:jc w:val="center"/>
            </w:pPr>
            <w:r w:rsidRPr="001F1A72">
              <w:t>1.60</w:t>
            </w:r>
          </w:p>
        </w:tc>
        <w:tc>
          <w:tcPr>
            <w:tcW w:w="709" w:type="dxa"/>
            <w:shd w:val="clear" w:color="auto" w:fill="auto"/>
            <w:noWrap/>
            <w:vAlign w:val="bottom"/>
            <w:hideMark/>
          </w:tcPr>
          <w:p w:rsidR="007040C3" w:rsidRPr="001F1A72" w:rsidRDefault="007040C3" w:rsidP="007040C3">
            <w:pPr>
              <w:pStyle w:val="TableText"/>
              <w:jc w:val="center"/>
            </w:pPr>
            <w:r>
              <w:t>-</w:t>
            </w:r>
          </w:p>
        </w:tc>
        <w:tc>
          <w:tcPr>
            <w:tcW w:w="2743" w:type="dxa"/>
            <w:shd w:val="clear" w:color="auto" w:fill="auto"/>
            <w:noWrap/>
            <w:vAlign w:val="bottom"/>
            <w:hideMark/>
          </w:tcPr>
          <w:p w:rsidR="007040C3" w:rsidRPr="001F1A72" w:rsidRDefault="007040C3" w:rsidP="006D19D1">
            <w:pPr>
              <w:pStyle w:val="TableText"/>
            </w:pPr>
            <w:r w:rsidRPr="001F1A72">
              <w:t>Marshall 1996</w:t>
            </w:r>
            <w:r>
              <w:t xml:space="preserve"> vs normal BMD</w:t>
            </w:r>
          </w:p>
        </w:tc>
      </w:tr>
      <w:tr w:rsidR="007040C3" w:rsidRPr="001F1A72" w:rsidTr="00D1533C">
        <w:trPr>
          <w:trHeight w:val="300"/>
          <w:tblHeader/>
        </w:trPr>
        <w:tc>
          <w:tcPr>
            <w:tcW w:w="284" w:type="dxa"/>
            <w:tcBorders>
              <w:right w:val="nil"/>
            </w:tcBorders>
            <w:shd w:val="clear" w:color="auto" w:fill="auto"/>
            <w:noWrap/>
            <w:vAlign w:val="bottom"/>
            <w:hideMark/>
          </w:tcPr>
          <w:p w:rsidR="007040C3" w:rsidRPr="001F1A72" w:rsidRDefault="007040C3" w:rsidP="007040C3">
            <w:pPr>
              <w:pStyle w:val="TableText"/>
              <w:rPr>
                <w:i/>
                <w:iCs/>
              </w:rPr>
            </w:pPr>
          </w:p>
        </w:tc>
        <w:tc>
          <w:tcPr>
            <w:tcW w:w="3686" w:type="dxa"/>
            <w:tcBorders>
              <w:left w:val="nil"/>
            </w:tcBorders>
            <w:shd w:val="clear" w:color="auto" w:fill="auto"/>
            <w:noWrap/>
            <w:vAlign w:val="bottom"/>
            <w:hideMark/>
          </w:tcPr>
          <w:p w:rsidR="007040C3" w:rsidRPr="001F1A72" w:rsidRDefault="007040C3" w:rsidP="007040C3">
            <w:pPr>
              <w:pStyle w:val="TableText"/>
            </w:pPr>
            <w:r w:rsidRPr="001F1A72">
              <w:t>RR fx in osteoporosis (&gt;2.5 SD drop in BMD)</w:t>
            </w:r>
          </w:p>
        </w:tc>
        <w:tc>
          <w:tcPr>
            <w:tcW w:w="709" w:type="dxa"/>
            <w:shd w:val="clear" w:color="auto" w:fill="auto"/>
            <w:noWrap/>
            <w:vAlign w:val="bottom"/>
            <w:hideMark/>
          </w:tcPr>
          <w:p w:rsidR="007040C3" w:rsidRPr="001F1A72" w:rsidRDefault="007040C3" w:rsidP="007040C3">
            <w:pPr>
              <w:pStyle w:val="TableText"/>
              <w:jc w:val="center"/>
            </w:pPr>
            <w:r w:rsidRPr="001F1A72">
              <w:t>3.75</w:t>
            </w:r>
          </w:p>
        </w:tc>
        <w:tc>
          <w:tcPr>
            <w:tcW w:w="709" w:type="dxa"/>
            <w:shd w:val="clear" w:color="auto" w:fill="auto"/>
            <w:noWrap/>
            <w:vAlign w:val="bottom"/>
            <w:hideMark/>
          </w:tcPr>
          <w:p w:rsidR="007040C3" w:rsidRPr="001F1A72" w:rsidRDefault="007040C3" w:rsidP="007040C3">
            <w:pPr>
              <w:pStyle w:val="TableText"/>
              <w:jc w:val="center"/>
            </w:pPr>
            <w:r w:rsidRPr="001F1A72">
              <w:t>3.50</w:t>
            </w:r>
          </w:p>
        </w:tc>
        <w:tc>
          <w:tcPr>
            <w:tcW w:w="708" w:type="dxa"/>
            <w:shd w:val="clear" w:color="auto" w:fill="auto"/>
            <w:noWrap/>
            <w:vAlign w:val="bottom"/>
            <w:hideMark/>
          </w:tcPr>
          <w:p w:rsidR="007040C3" w:rsidRPr="001F1A72" w:rsidRDefault="007040C3" w:rsidP="007040C3">
            <w:pPr>
              <w:pStyle w:val="TableText"/>
              <w:jc w:val="center"/>
            </w:pPr>
            <w:r w:rsidRPr="001F1A72">
              <w:t>4.00</w:t>
            </w:r>
          </w:p>
        </w:tc>
        <w:tc>
          <w:tcPr>
            <w:tcW w:w="709" w:type="dxa"/>
            <w:shd w:val="clear" w:color="auto" w:fill="auto"/>
            <w:noWrap/>
            <w:vAlign w:val="bottom"/>
            <w:hideMark/>
          </w:tcPr>
          <w:p w:rsidR="007040C3" w:rsidRPr="001F1A72" w:rsidRDefault="007040C3" w:rsidP="007040C3">
            <w:pPr>
              <w:pStyle w:val="TableText"/>
              <w:jc w:val="center"/>
            </w:pPr>
            <w:r>
              <w:t>-</w:t>
            </w:r>
          </w:p>
        </w:tc>
        <w:tc>
          <w:tcPr>
            <w:tcW w:w="2743" w:type="dxa"/>
            <w:shd w:val="clear" w:color="auto" w:fill="auto"/>
            <w:noWrap/>
            <w:vAlign w:val="bottom"/>
            <w:hideMark/>
          </w:tcPr>
          <w:p w:rsidR="007040C3" w:rsidRPr="001F1A72" w:rsidRDefault="007040C3" w:rsidP="007040C3">
            <w:pPr>
              <w:pStyle w:val="TableText"/>
            </w:pPr>
            <w:r w:rsidRPr="001F1A72">
              <w:t>Assumption 2.5</w:t>
            </w:r>
            <w:r w:rsidR="000F3F1D">
              <w:t xml:space="preserve"> </w:t>
            </w:r>
            <w:r w:rsidRPr="001F1A72">
              <w:t>x osteopenia</w:t>
            </w:r>
          </w:p>
        </w:tc>
      </w:tr>
      <w:tr w:rsidR="007040C3" w:rsidRPr="001F1A72" w:rsidTr="00D1533C">
        <w:trPr>
          <w:trHeight w:val="300"/>
          <w:tblHeader/>
        </w:trPr>
        <w:tc>
          <w:tcPr>
            <w:tcW w:w="284" w:type="dxa"/>
            <w:tcBorders>
              <w:right w:val="nil"/>
            </w:tcBorders>
            <w:shd w:val="clear" w:color="auto" w:fill="auto"/>
            <w:noWrap/>
            <w:vAlign w:val="bottom"/>
            <w:hideMark/>
          </w:tcPr>
          <w:p w:rsidR="007040C3" w:rsidRPr="001F1A72" w:rsidRDefault="007040C3" w:rsidP="007040C3">
            <w:pPr>
              <w:pStyle w:val="TableText"/>
              <w:rPr>
                <w:i/>
                <w:iCs/>
              </w:rPr>
            </w:pPr>
          </w:p>
        </w:tc>
        <w:tc>
          <w:tcPr>
            <w:tcW w:w="3686" w:type="dxa"/>
            <w:tcBorders>
              <w:left w:val="nil"/>
            </w:tcBorders>
            <w:shd w:val="clear" w:color="auto" w:fill="auto"/>
            <w:noWrap/>
            <w:vAlign w:val="bottom"/>
            <w:hideMark/>
          </w:tcPr>
          <w:p w:rsidR="007040C3" w:rsidRPr="001F1A72" w:rsidRDefault="007040C3" w:rsidP="007040C3">
            <w:pPr>
              <w:pStyle w:val="TableText"/>
            </w:pPr>
            <w:r w:rsidRPr="001F1A72">
              <w:t xml:space="preserve">  Weighted RR for </w:t>
            </w:r>
            <w:r>
              <w:t>osteo</w:t>
            </w:r>
            <w:r w:rsidRPr="001F1A72">
              <w:t xml:space="preserve">penia + </w:t>
            </w:r>
            <w:r>
              <w:t>osteo</w:t>
            </w:r>
            <w:r w:rsidRPr="001F1A72">
              <w:t>porosis</w:t>
            </w:r>
          </w:p>
        </w:tc>
        <w:tc>
          <w:tcPr>
            <w:tcW w:w="709" w:type="dxa"/>
            <w:shd w:val="clear" w:color="auto" w:fill="auto"/>
            <w:noWrap/>
            <w:vAlign w:val="bottom"/>
            <w:hideMark/>
          </w:tcPr>
          <w:p w:rsidR="007040C3" w:rsidRPr="001F1A72" w:rsidRDefault="007040C3" w:rsidP="007040C3">
            <w:pPr>
              <w:pStyle w:val="TableText"/>
              <w:jc w:val="center"/>
            </w:pPr>
            <w:r w:rsidRPr="001F1A72">
              <w:t>1.37</w:t>
            </w:r>
          </w:p>
        </w:tc>
        <w:tc>
          <w:tcPr>
            <w:tcW w:w="709" w:type="dxa"/>
            <w:shd w:val="clear" w:color="auto" w:fill="auto"/>
            <w:noWrap/>
            <w:vAlign w:val="bottom"/>
            <w:hideMark/>
          </w:tcPr>
          <w:p w:rsidR="007040C3" w:rsidRPr="001F1A72" w:rsidRDefault="007040C3" w:rsidP="007040C3">
            <w:pPr>
              <w:pStyle w:val="TableText"/>
              <w:jc w:val="center"/>
            </w:pPr>
            <w:r w:rsidRPr="001F1A72">
              <w:t>1.28</w:t>
            </w:r>
          </w:p>
        </w:tc>
        <w:tc>
          <w:tcPr>
            <w:tcW w:w="708" w:type="dxa"/>
            <w:shd w:val="clear" w:color="auto" w:fill="auto"/>
            <w:noWrap/>
            <w:vAlign w:val="bottom"/>
            <w:hideMark/>
          </w:tcPr>
          <w:p w:rsidR="007040C3" w:rsidRPr="001F1A72" w:rsidRDefault="007040C3" w:rsidP="007040C3">
            <w:pPr>
              <w:pStyle w:val="TableText"/>
              <w:jc w:val="center"/>
            </w:pPr>
            <w:r w:rsidRPr="001F1A72">
              <w:t>1.36</w:t>
            </w:r>
          </w:p>
        </w:tc>
        <w:tc>
          <w:tcPr>
            <w:tcW w:w="709" w:type="dxa"/>
            <w:shd w:val="clear" w:color="auto" w:fill="auto"/>
            <w:noWrap/>
            <w:vAlign w:val="bottom"/>
            <w:hideMark/>
          </w:tcPr>
          <w:p w:rsidR="007040C3" w:rsidRPr="001F1A72" w:rsidRDefault="007040C3" w:rsidP="007040C3">
            <w:pPr>
              <w:pStyle w:val="TableText"/>
              <w:jc w:val="center"/>
            </w:pPr>
            <w:r w:rsidRPr="001F1A72">
              <w:t>normal</w:t>
            </w:r>
          </w:p>
        </w:tc>
        <w:tc>
          <w:tcPr>
            <w:tcW w:w="2743" w:type="dxa"/>
            <w:shd w:val="clear" w:color="auto" w:fill="auto"/>
            <w:noWrap/>
            <w:vAlign w:val="bottom"/>
            <w:hideMark/>
          </w:tcPr>
          <w:p w:rsidR="007040C3" w:rsidRPr="001F1A72" w:rsidRDefault="007040C3" w:rsidP="007040C3">
            <w:pPr>
              <w:pStyle w:val="TableText"/>
            </w:pPr>
            <w:r w:rsidRPr="001F1A72">
              <w:t>Calculated from above</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rPr>
                <w:i/>
                <w:iCs/>
              </w:rPr>
            </w:pPr>
          </w:p>
        </w:tc>
        <w:tc>
          <w:tcPr>
            <w:tcW w:w="3686" w:type="dxa"/>
            <w:tcBorders>
              <w:left w:val="nil"/>
            </w:tcBorders>
            <w:shd w:val="clear" w:color="auto" w:fill="auto"/>
            <w:noWrap/>
            <w:vAlign w:val="bottom"/>
          </w:tcPr>
          <w:p w:rsidR="00A7106A" w:rsidRPr="001F1A72" w:rsidRDefault="00A7106A" w:rsidP="00A7106A">
            <w:pPr>
              <w:pStyle w:val="TableText"/>
            </w:pPr>
            <w:r w:rsidRPr="001F1A72">
              <w:t xml:space="preserve">  Weighted RR for </w:t>
            </w:r>
            <w:r>
              <w:t>osteopenia + normal BMD</w:t>
            </w:r>
          </w:p>
        </w:tc>
        <w:tc>
          <w:tcPr>
            <w:tcW w:w="709" w:type="dxa"/>
            <w:shd w:val="clear" w:color="auto" w:fill="auto"/>
            <w:noWrap/>
            <w:vAlign w:val="bottom"/>
          </w:tcPr>
          <w:p w:rsidR="00A7106A" w:rsidRPr="001F1A72" w:rsidRDefault="00A7106A" w:rsidP="00A7106A">
            <w:pPr>
              <w:pStyle w:val="TableText"/>
              <w:jc w:val="center"/>
            </w:pPr>
            <w:r>
              <w:t>1.32</w:t>
            </w:r>
          </w:p>
        </w:tc>
        <w:tc>
          <w:tcPr>
            <w:tcW w:w="709" w:type="dxa"/>
            <w:shd w:val="clear" w:color="auto" w:fill="auto"/>
            <w:noWrap/>
            <w:vAlign w:val="bottom"/>
          </w:tcPr>
          <w:p w:rsidR="00A7106A" w:rsidRPr="001F1A72" w:rsidRDefault="00A7106A" w:rsidP="00A7106A">
            <w:pPr>
              <w:pStyle w:val="TableText"/>
              <w:jc w:val="center"/>
            </w:pPr>
            <w:r w:rsidRPr="001F1A72">
              <w:t>1.</w:t>
            </w:r>
            <w:r>
              <w:t>23</w:t>
            </w:r>
          </w:p>
        </w:tc>
        <w:tc>
          <w:tcPr>
            <w:tcW w:w="708" w:type="dxa"/>
            <w:shd w:val="clear" w:color="auto" w:fill="auto"/>
            <w:noWrap/>
            <w:vAlign w:val="bottom"/>
          </w:tcPr>
          <w:p w:rsidR="00A7106A" w:rsidRPr="001F1A72" w:rsidRDefault="00A7106A" w:rsidP="00A7106A">
            <w:pPr>
              <w:pStyle w:val="TableText"/>
              <w:jc w:val="center"/>
            </w:pPr>
            <w:r w:rsidRPr="001F1A72">
              <w:t>1.</w:t>
            </w:r>
            <w:r>
              <w:t>41</w:t>
            </w:r>
          </w:p>
        </w:tc>
        <w:tc>
          <w:tcPr>
            <w:tcW w:w="709" w:type="dxa"/>
            <w:shd w:val="clear" w:color="auto" w:fill="auto"/>
            <w:noWrap/>
            <w:vAlign w:val="bottom"/>
          </w:tcPr>
          <w:p w:rsidR="00A7106A" w:rsidRPr="001F1A72" w:rsidRDefault="00A7106A" w:rsidP="00A7106A">
            <w:pPr>
              <w:pStyle w:val="TableText"/>
              <w:jc w:val="center"/>
            </w:pPr>
            <w:r w:rsidRPr="001F1A72">
              <w:t>normal</w:t>
            </w:r>
          </w:p>
        </w:tc>
        <w:tc>
          <w:tcPr>
            <w:tcW w:w="2743" w:type="dxa"/>
            <w:shd w:val="clear" w:color="auto" w:fill="auto"/>
            <w:noWrap/>
            <w:vAlign w:val="bottom"/>
          </w:tcPr>
          <w:p w:rsidR="00A7106A" w:rsidRPr="001F1A72" w:rsidRDefault="00A7106A" w:rsidP="00A7106A">
            <w:pPr>
              <w:pStyle w:val="TableText"/>
            </w:pPr>
            <w:r w:rsidRPr="001F1A72">
              <w:t>Calculated from above</w:t>
            </w:r>
          </w:p>
        </w:tc>
      </w:tr>
      <w:tr w:rsidR="00A7106A" w:rsidRPr="001F1A72" w:rsidTr="00D1533C">
        <w:trPr>
          <w:trHeight w:val="300"/>
          <w:tblHeader/>
        </w:trPr>
        <w:tc>
          <w:tcPr>
            <w:tcW w:w="284" w:type="dxa"/>
            <w:tcBorders>
              <w:right w:val="nil"/>
            </w:tcBorders>
            <w:shd w:val="clear" w:color="auto" w:fill="auto"/>
            <w:noWrap/>
            <w:vAlign w:val="bottom"/>
          </w:tcPr>
          <w:p w:rsidR="00A7106A" w:rsidRPr="001F1A72" w:rsidRDefault="00A7106A" w:rsidP="007040C3">
            <w:pPr>
              <w:pStyle w:val="TableText"/>
              <w:rPr>
                <w:i/>
                <w:iCs/>
              </w:rPr>
            </w:pPr>
          </w:p>
        </w:tc>
        <w:tc>
          <w:tcPr>
            <w:tcW w:w="3686" w:type="dxa"/>
            <w:tcBorders>
              <w:left w:val="nil"/>
            </w:tcBorders>
            <w:shd w:val="clear" w:color="auto" w:fill="auto"/>
            <w:noWrap/>
            <w:vAlign w:val="bottom"/>
          </w:tcPr>
          <w:p w:rsidR="00A7106A" w:rsidRPr="001F1A72" w:rsidRDefault="00A7106A" w:rsidP="00A7106A">
            <w:pPr>
              <w:pStyle w:val="TableText"/>
            </w:pPr>
            <w:r w:rsidRPr="001F1A72">
              <w:t xml:space="preserve">  Weighted RR for all women</w:t>
            </w:r>
          </w:p>
        </w:tc>
        <w:tc>
          <w:tcPr>
            <w:tcW w:w="709" w:type="dxa"/>
            <w:shd w:val="clear" w:color="auto" w:fill="auto"/>
            <w:noWrap/>
            <w:vAlign w:val="bottom"/>
          </w:tcPr>
          <w:p w:rsidR="00A7106A" w:rsidRPr="001F1A72" w:rsidRDefault="00A7106A" w:rsidP="00A7106A">
            <w:pPr>
              <w:pStyle w:val="TableText"/>
              <w:jc w:val="center"/>
            </w:pPr>
            <w:r w:rsidRPr="001F1A72">
              <w:t>1.68</w:t>
            </w:r>
          </w:p>
        </w:tc>
        <w:tc>
          <w:tcPr>
            <w:tcW w:w="709" w:type="dxa"/>
            <w:shd w:val="clear" w:color="auto" w:fill="auto"/>
            <w:noWrap/>
            <w:vAlign w:val="bottom"/>
          </w:tcPr>
          <w:p w:rsidR="00A7106A" w:rsidRPr="001F1A72" w:rsidRDefault="00A7106A" w:rsidP="00A7106A">
            <w:pPr>
              <w:pStyle w:val="TableText"/>
              <w:jc w:val="center"/>
            </w:pPr>
            <w:r w:rsidRPr="001F1A72">
              <w:t>1.57</w:t>
            </w:r>
          </w:p>
        </w:tc>
        <w:tc>
          <w:tcPr>
            <w:tcW w:w="708" w:type="dxa"/>
            <w:shd w:val="clear" w:color="auto" w:fill="auto"/>
            <w:noWrap/>
            <w:vAlign w:val="bottom"/>
          </w:tcPr>
          <w:p w:rsidR="00A7106A" w:rsidRPr="001F1A72" w:rsidRDefault="00A7106A" w:rsidP="00A7106A">
            <w:pPr>
              <w:pStyle w:val="TableText"/>
              <w:jc w:val="center"/>
            </w:pPr>
            <w:r w:rsidRPr="001F1A72">
              <w:t>1.80</w:t>
            </w:r>
          </w:p>
        </w:tc>
        <w:tc>
          <w:tcPr>
            <w:tcW w:w="709" w:type="dxa"/>
            <w:shd w:val="clear" w:color="auto" w:fill="auto"/>
            <w:noWrap/>
            <w:vAlign w:val="bottom"/>
          </w:tcPr>
          <w:p w:rsidR="00A7106A" w:rsidRPr="001F1A72" w:rsidRDefault="00A7106A" w:rsidP="00A7106A">
            <w:pPr>
              <w:pStyle w:val="TableText"/>
              <w:jc w:val="center"/>
            </w:pPr>
            <w:r w:rsidRPr="001F1A72">
              <w:t>normal</w:t>
            </w:r>
          </w:p>
        </w:tc>
        <w:tc>
          <w:tcPr>
            <w:tcW w:w="2743" w:type="dxa"/>
            <w:shd w:val="clear" w:color="auto" w:fill="auto"/>
            <w:noWrap/>
            <w:vAlign w:val="bottom"/>
          </w:tcPr>
          <w:p w:rsidR="00A7106A" w:rsidRPr="001F1A72" w:rsidRDefault="00A7106A" w:rsidP="00A7106A">
            <w:pPr>
              <w:pStyle w:val="TableText"/>
            </w:pPr>
            <w:r w:rsidRPr="001F1A72">
              <w:t>Calculated from above</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rPr>
                <w:i/>
                <w:iCs/>
              </w:rPr>
            </w:pPr>
          </w:p>
        </w:tc>
        <w:tc>
          <w:tcPr>
            <w:tcW w:w="3686" w:type="dxa"/>
            <w:tcBorders>
              <w:left w:val="nil"/>
            </w:tcBorders>
            <w:shd w:val="clear" w:color="auto" w:fill="auto"/>
            <w:noWrap/>
            <w:vAlign w:val="bottom"/>
            <w:hideMark/>
          </w:tcPr>
          <w:p w:rsidR="00A7106A" w:rsidRPr="001F1A72" w:rsidRDefault="00A7106A" w:rsidP="007040C3">
            <w:pPr>
              <w:pStyle w:val="TableText"/>
            </w:pPr>
            <w:r>
              <w:t xml:space="preserve">Prob of </w:t>
            </w:r>
            <w:r w:rsidRPr="001F1A72">
              <w:t>hip</w:t>
            </w:r>
            <w:r>
              <w:t xml:space="preserve"> </w:t>
            </w:r>
            <w:r w:rsidRPr="001F1A72">
              <w:t>fx</w:t>
            </w:r>
          </w:p>
        </w:tc>
        <w:tc>
          <w:tcPr>
            <w:tcW w:w="709" w:type="dxa"/>
            <w:shd w:val="clear" w:color="auto" w:fill="auto"/>
            <w:noWrap/>
            <w:vAlign w:val="bottom"/>
            <w:hideMark/>
          </w:tcPr>
          <w:p w:rsidR="00A7106A" w:rsidRPr="001F1A72" w:rsidRDefault="00A7106A" w:rsidP="007040C3">
            <w:pPr>
              <w:pStyle w:val="TableText"/>
              <w:jc w:val="center"/>
            </w:pPr>
            <w:r w:rsidRPr="001F1A72">
              <w:t>0.405</w:t>
            </w:r>
          </w:p>
        </w:tc>
        <w:tc>
          <w:tcPr>
            <w:tcW w:w="709" w:type="dxa"/>
            <w:shd w:val="clear" w:color="auto" w:fill="auto"/>
            <w:noWrap/>
            <w:vAlign w:val="bottom"/>
            <w:hideMark/>
          </w:tcPr>
          <w:p w:rsidR="00A7106A" w:rsidRPr="001F1A72" w:rsidRDefault="00A7106A" w:rsidP="007040C3">
            <w:pPr>
              <w:pStyle w:val="TableText"/>
              <w:jc w:val="center"/>
            </w:pPr>
          </w:p>
        </w:tc>
        <w:tc>
          <w:tcPr>
            <w:tcW w:w="708" w:type="dxa"/>
            <w:shd w:val="clear" w:color="auto" w:fill="auto"/>
            <w:noWrap/>
            <w:vAlign w:val="bottom"/>
            <w:hideMark/>
          </w:tcPr>
          <w:p w:rsidR="00A7106A" w:rsidRPr="001F1A72" w:rsidRDefault="00A7106A" w:rsidP="007040C3">
            <w:pPr>
              <w:pStyle w:val="TableText"/>
              <w:jc w:val="center"/>
            </w:pPr>
          </w:p>
        </w:tc>
        <w:tc>
          <w:tcPr>
            <w:tcW w:w="709" w:type="dxa"/>
            <w:shd w:val="clear" w:color="auto" w:fill="auto"/>
            <w:noWrap/>
            <w:vAlign w:val="bottom"/>
            <w:hideMark/>
          </w:tcPr>
          <w:p w:rsidR="00A7106A" w:rsidRPr="001F1A72" w:rsidRDefault="00A7106A" w:rsidP="007040C3">
            <w:pPr>
              <w:pStyle w:val="TableText"/>
              <w:jc w:val="center"/>
            </w:pPr>
            <w:r w:rsidRPr="001F1A72">
              <w:t>-</w:t>
            </w:r>
          </w:p>
        </w:tc>
        <w:tc>
          <w:tcPr>
            <w:tcW w:w="2743" w:type="dxa"/>
            <w:shd w:val="clear" w:color="auto" w:fill="auto"/>
            <w:noWrap/>
            <w:vAlign w:val="bottom"/>
            <w:hideMark/>
          </w:tcPr>
          <w:p w:rsidR="00A7106A" w:rsidRPr="001F1A72" w:rsidRDefault="00A7106A" w:rsidP="007040C3">
            <w:pPr>
              <w:pStyle w:val="TableText"/>
            </w:pPr>
            <w:r w:rsidRPr="001F1A72">
              <w:t>AIHW osteoporosis 2011 (table 2 p8)</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rPr>
                <w:i/>
                <w:iCs/>
              </w:rPr>
            </w:pPr>
          </w:p>
        </w:tc>
        <w:tc>
          <w:tcPr>
            <w:tcW w:w="3686" w:type="dxa"/>
            <w:tcBorders>
              <w:left w:val="nil"/>
            </w:tcBorders>
            <w:shd w:val="clear" w:color="auto" w:fill="auto"/>
            <w:noWrap/>
            <w:vAlign w:val="bottom"/>
            <w:hideMark/>
          </w:tcPr>
          <w:p w:rsidR="00A7106A" w:rsidRPr="001F1A72" w:rsidRDefault="00A7106A" w:rsidP="007040C3">
            <w:pPr>
              <w:pStyle w:val="TableText"/>
            </w:pPr>
            <w:r>
              <w:t xml:space="preserve">Prob of </w:t>
            </w:r>
            <w:r w:rsidRPr="001F1A72">
              <w:t>spine</w:t>
            </w:r>
            <w:r>
              <w:t xml:space="preserve"> </w:t>
            </w:r>
            <w:r w:rsidRPr="001F1A72">
              <w:t>fx</w:t>
            </w:r>
          </w:p>
        </w:tc>
        <w:tc>
          <w:tcPr>
            <w:tcW w:w="709" w:type="dxa"/>
            <w:shd w:val="clear" w:color="auto" w:fill="auto"/>
            <w:noWrap/>
            <w:vAlign w:val="bottom"/>
            <w:hideMark/>
          </w:tcPr>
          <w:p w:rsidR="00A7106A" w:rsidRPr="001F1A72" w:rsidRDefault="00A7106A" w:rsidP="007040C3">
            <w:pPr>
              <w:pStyle w:val="TableText"/>
              <w:jc w:val="center"/>
            </w:pPr>
            <w:r w:rsidRPr="001F1A72">
              <w:t>0.056</w:t>
            </w:r>
          </w:p>
        </w:tc>
        <w:tc>
          <w:tcPr>
            <w:tcW w:w="709" w:type="dxa"/>
            <w:shd w:val="clear" w:color="auto" w:fill="auto"/>
            <w:noWrap/>
            <w:vAlign w:val="bottom"/>
            <w:hideMark/>
          </w:tcPr>
          <w:p w:rsidR="00A7106A" w:rsidRPr="001F1A72" w:rsidRDefault="00A7106A" w:rsidP="007040C3">
            <w:pPr>
              <w:pStyle w:val="TableText"/>
              <w:jc w:val="center"/>
            </w:pPr>
          </w:p>
        </w:tc>
        <w:tc>
          <w:tcPr>
            <w:tcW w:w="708" w:type="dxa"/>
            <w:shd w:val="clear" w:color="auto" w:fill="auto"/>
            <w:noWrap/>
            <w:vAlign w:val="bottom"/>
            <w:hideMark/>
          </w:tcPr>
          <w:p w:rsidR="00A7106A" w:rsidRPr="001F1A72" w:rsidRDefault="00A7106A" w:rsidP="007040C3">
            <w:pPr>
              <w:pStyle w:val="TableText"/>
              <w:jc w:val="center"/>
            </w:pPr>
          </w:p>
        </w:tc>
        <w:tc>
          <w:tcPr>
            <w:tcW w:w="709" w:type="dxa"/>
            <w:shd w:val="clear" w:color="auto" w:fill="auto"/>
            <w:noWrap/>
            <w:vAlign w:val="bottom"/>
            <w:hideMark/>
          </w:tcPr>
          <w:p w:rsidR="00A7106A" w:rsidRPr="001F1A72" w:rsidRDefault="00A7106A" w:rsidP="007040C3">
            <w:pPr>
              <w:pStyle w:val="TableText"/>
              <w:jc w:val="center"/>
            </w:pPr>
            <w:r w:rsidRPr="001F1A72">
              <w:t>-</w:t>
            </w:r>
          </w:p>
        </w:tc>
        <w:tc>
          <w:tcPr>
            <w:tcW w:w="2743" w:type="dxa"/>
            <w:shd w:val="clear" w:color="auto" w:fill="auto"/>
            <w:noWrap/>
            <w:vAlign w:val="bottom"/>
            <w:hideMark/>
          </w:tcPr>
          <w:p w:rsidR="00A7106A" w:rsidRPr="001F1A72" w:rsidRDefault="00A7106A" w:rsidP="007040C3">
            <w:pPr>
              <w:pStyle w:val="TableText"/>
            </w:pPr>
            <w:r w:rsidRPr="001F1A72">
              <w:t>AIHW osteoporosis 2011 (table 2 p8)</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rPr>
                <w:i/>
                <w:iCs/>
              </w:rPr>
            </w:pPr>
          </w:p>
        </w:tc>
        <w:tc>
          <w:tcPr>
            <w:tcW w:w="3686" w:type="dxa"/>
            <w:tcBorders>
              <w:left w:val="nil"/>
            </w:tcBorders>
            <w:shd w:val="clear" w:color="auto" w:fill="auto"/>
            <w:noWrap/>
            <w:vAlign w:val="bottom"/>
            <w:hideMark/>
          </w:tcPr>
          <w:p w:rsidR="00A7106A" w:rsidRPr="001F1A72" w:rsidRDefault="00A7106A" w:rsidP="007040C3">
            <w:pPr>
              <w:pStyle w:val="TableText"/>
            </w:pPr>
            <w:r>
              <w:t xml:space="preserve">Prob of </w:t>
            </w:r>
            <w:r w:rsidRPr="001F1A72">
              <w:t>other</w:t>
            </w:r>
            <w:r>
              <w:t xml:space="preserve"> </w:t>
            </w:r>
            <w:r w:rsidRPr="001F1A72">
              <w:t>fx</w:t>
            </w:r>
          </w:p>
        </w:tc>
        <w:tc>
          <w:tcPr>
            <w:tcW w:w="709" w:type="dxa"/>
            <w:shd w:val="clear" w:color="auto" w:fill="auto"/>
            <w:noWrap/>
            <w:vAlign w:val="bottom"/>
            <w:hideMark/>
          </w:tcPr>
          <w:p w:rsidR="00A7106A" w:rsidRPr="001F1A72" w:rsidRDefault="00A7106A" w:rsidP="007040C3">
            <w:pPr>
              <w:pStyle w:val="TableText"/>
              <w:jc w:val="center"/>
            </w:pPr>
            <w:r w:rsidRPr="001F1A72">
              <w:t>0.539</w:t>
            </w:r>
          </w:p>
        </w:tc>
        <w:tc>
          <w:tcPr>
            <w:tcW w:w="709" w:type="dxa"/>
            <w:shd w:val="clear" w:color="auto" w:fill="auto"/>
            <w:noWrap/>
            <w:vAlign w:val="bottom"/>
            <w:hideMark/>
          </w:tcPr>
          <w:p w:rsidR="00A7106A" w:rsidRPr="001F1A72" w:rsidRDefault="00A7106A" w:rsidP="007040C3">
            <w:pPr>
              <w:pStyle w:val="TableText"/>
              <w:jc w:val="center"/>
            </w:pPr>
          </w:p>
        </w:tc>
        <w:tc>
          <w:tcPr>
            <w:tcW w:w="708" w:type="dxa"/>
            <w:shd w:val="clear" w:color="auto" w:fill="auto"/>
            <w:noWrap/>
            <w:vAlign w:val="bottom"/>
            <w:hideMark/>
          </w:tcPr>
          <w:p w:rsidR="00A7106A" w:rsidRPr="001F1A72" w:rsidRDefault="00A7106A" w:rsidP="007040C3">
            <w:pPr>
              <w:pStyle w:val="TableText"/>
              <w:jc w:val="center"/>
            </w:pPr>
          </w:p>
        </w:tc>
        <w:tc>
          <w:tcPr>
            <w:tcW w:w="709" w:type="dxa"/>
            <w:shd w:val="clear" w:color="auto" w:fill="auto"/>
            <w:noWrap/>
            <w:vAlign w:val="bottom"/>
            <w:hideMark/>
          </w:tcPr>
          <w:p w:rsidR="00A7106A" w:rsidRPr="001F1A72" w:rsidRDefault="00A7106A" w:rsidP="007040C3">
            <w:pPr>
              <w:pStyle w:val="TableText"/>
              <w:jc w:val="center"/>
            </w:pPr>
            <w:r w:rsidRPr="001F1A72">
              <w:t>-</w:t>
            </w:r>
          </w:p>
        </w:tc>
        <w:tc>
          <w:tcPr>
            <w:tcW w:w="2743" w:type="dxa"/>
            <w:shd w:val="clear" w:color="auto" w:fill="auto"/>
            <w:noWrap/>
            <w:vAlign w:val="bottom"/>
            <w:hideMark/>
          </w:tcPr>
          <w:p w:rsidR="00A7106A" w:rsidRPr="001F1A72" w:rsidRDefault="00A7106A" w:rsidP="007040C3">
            <w:pPr>
              <w:pStyle w:val="TableText"/>
            </w:pPr>
            <w:r w:rsidRPr="001F1A72">
              <w:t>AIHW osteoporosis 2011 (table 2 p8)</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rPr>
                <w:i/>
                <w:iCs/>
              </w:rPr>
            </w:pPr>
          </w:p>
        </w:tc>
        <w:tc>
          <w:tcPr>
            <w:tcW w:w="3686" w:type="dxa"/>
            <w:tcBorders>
              <w:left w:val="nil"/>
            </w:tcBorders>
            <w:shd w:val="clear" w:color="auto" w:fill="auto"/>
            <w:noWrap/>
            <w:vAlign w:val="bottom"/>
            <w:hideMark/>
          </w:tcPr>
          <w:p w:rsidR="00A7106A" w:rsidRPr="001F1A72" w:rsidRDefault="00A7106A" w:rsidP="007040C3">
            <w:pPr>
              <w:pStyle w:val="TableText"/>
            </w:pPr>
            <w:r w:rsidRPr="001F1A72">
              <w:t>Age-related prob of fx in Aust women</w:t>
            </w:r>
          </w:p>
        </w:tc>
        <w:tc>
          <w:tcPr>
            <w:tcW w:w="709" w:type="dxa"/>
            <w:shd w:val="clear" w:color="auto" w:fill="auto"/>
            <w:noWrap/>
            <w:vAlign w:val="bottom"/>
            <w:hideMark/>
          </w:tcPr>
          <w:p w:rsidR="00A7106A" w:rsidRPr="001F1A72" w:rsidRDefault="00A7106A" w:rsidP="007040C3">
            <w:pPr>
              <w:pStyle w:val="TableText"/>
              <w:jc w:val="center"/>
            </w:pPr>
            <w:r w:rsidRPr="001F1A72">
              <w:t>table</w:t>
            </w:r>
          </w:p>
        </w:tc>
        <w:tc>
          <w:tcPr>
            <w:tcW w:w="709" w:type="dxa"/>
            <w:shd w:val="clear" w:color="auto" w:fill="auto"/>
            <w:noWrap/>
            <w:vAlign w:val="bottom"/>
            <w:hideMark/>
          </w:tcPr>
          <w:p w:rsidR="00A7106A" w:rsidRPr="001F1A72" w:rsidRDefault="00A7106A" w:rsidP="007040C3">
            <w:pPr>
              <w:pStyle w:val="TableText"/>
              <w:jc w:val="center"/>
            </w:pPr>
          </w:p>
        </w:tc>
        <w:tc>
          <w:tcPr>
            <w:tcW w:w="708" w:type="dxa"/>
            <w:shd w:val="clear" w:color="auto" w:fill="auto"/>
            <w:noWrap/>
            <w:vAlign w:val="bottom"/>
            <w:hideMark/>
          </w:tcPr>
          <w:p w:rsidR="00A7106A" w:rsidRPr="001F1A72" w:rsidRDefault="00A7106A" w:rsidP="007040C3">
            <w:pPr>
              <w:pStyle w:val="TableText"/>
              <w:jc w:val="center"/>
            </w:pPr>
          </w:p>
        </w:tc>
        <w:tc>
          <w:tcPr>
            <w:tcW w:w="709" w:type="dxa"/>
            <w:shd w:val="clear" w:color="auto" w:fill="auto"/>
            <w:noWrap/>
            <w:vAlign w:val="bottom"/>
            <w:hideMark/>
          </w:tcPr>
          <w:p w:rsidR="00A7106A" w:rsidRPr="001F1A72" w:rsidRDefault="00A7106A" w:rsidP="007040C3">
            <w:pPr>
              <w:pStyle w:val="TableText"/>
              <w:jc w:val="center"/>
            </w:pPr>
          </w:p>
        </w:tc>
        <w:tc>
          <w:tcPr>
            <w:tcW w:w="2743" w:type="dxa"/>
            <w:shd w:val="clear" w:color="auto" w:fill="auto"/>
            <w:noWrap/>
            <w:vAlign w:val="bottom"/>
            <w:hideMark/>
          </w:tcPr>
          <w:p w:rsidR="00A7106A" w:rsidRPr="001F1A72" w:rsidRDefault="00A7106A" w:rsidP="007040C3">
            <w:pPr>
              <w:pStyle w:val="TableText"/>
            </w:pPr>
            <w:r w:rsidRPr="001F1A72">
              <w:t>2006-07 AIHW Bulletin</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rPr>
                <w:i/>
                <w:iCs/>
              </w:rPr>
            </w:pPr>
          </w:p>
        </w:tc>
        <w:tc>
          <w:tcPr>
            <w:tcW w:w="3686" w:type="dxa"/>
            <w:tcBorders>
              <w:left w:val="nil"/>
            </w:tcBorders>
            <w:shd w:val="clear" w:color="auto" w:fill="auto"/>
            <w:noWrap/>
            <w:vAlign w:val="bottom"/>
            <w:hideMark/>
          </w:tcPr>
          <w:p w:rsidR="00A7106A" w:rsidRPr="001F1A72" w:rsidRDefault="00A7106A" w:rsidP="007040C3">
            <w:pPr>
              <w:pStyle w:val="TableText"/>
            </w:pPr>
            <w:r w:rsidRPr="001F1A72">
              <w:t>RR_fx+AI</w:t>
            </w:r>
          </w:p>
        </w:tc>
        <w:tc>
          <w:tcPr>
            <w:tcW w:w="709" w:type="dxa"/>
            <w:shd w:val="clear" w:color="auto" w:fill="auto"/>
            <w:noWrap/>
            <w:vAlign w:val="bottom"/>
            <w:hideMark/>
          </w:tcPr>
          <w:p w:rsidR="00A7106A" w:rsidRPr="001F1A72" w:rsidRDefault="00A7106A" w:rsidP="007040C3">
            <w:pPr>
              <w:pStyle w:val="TableText"/>
              <w:jc w:val="center"/>
            </w:pPr>
            <w:r w:rsidRPr="001F1A72">
              <w:t>1.47</w:t>
            </w:r>
          </w:p>
        </w:tc>
        <w:tc>
          <w:tcPr>
            <w:tcW w:w="709" w:type="dxa"/>
            <w:shd w:val="clear" w:color="auto" w:fill="auto"/>
            <w:noWrap/>
            <w:vAlign w:val="bottom"/>
            <w:hideMark/>
          </w:tcPr>
          <w:p w:rsidR="00A7106A" w:rsidRPr="001F1A72" w:rsidRDefault="00A7106A" w:rsidP="007040C3">
            <w:pPr>
              <w:pStyle w:val="TableText"/>
              <w:jc w:val="center"/>
            </w:pPr>
            <w:r w:rsidRPr="001F1A72">
              <w:t>1.34</w:t>
            </w:r>
          </w:p>
        </w:tc>
        <w:tc>
          <w:tcPr>
            <w:tcW w:w="708" w:type="dxa"/>
            <w:shd w:val="clear" w:color="auto" w:fill="auto"/>
            <w:noWrap/>
            <w:vAlign w:val="bottom"/>
            <w:hideMark/>
          </w:tcPr>
          <w:p w:rsidR="00A7106A" w:rsidRPr="001F1A72" w:rsidRDefault="00A7106A" w:rsidP="007040C3">
            <w:pPr>
              <w:pStyle w:val="TableText"/>
              <w:jc w:val="center"/>
            </w:pPr>
            <w:r w:rsidRPr="001F1A72">
              <w:t>1.61</w:t>
            </w:r>
          </w:p>
        </w:tc>
        <w:tc>
          <w:tcPr>
            <w:tcW w:w="709" w:type="dxa"/>
            <w:shd w:val="clear" w:color="auto" w:fill="auto"/>
            <w:noWrap/>
            <w:vAlign w:val="bottom"/>
            <w:hideMark/>
          </w:tcPr>
          <w:p w:rsidR="00A7106A" w:rsidRPr="001F1A72" w:rsidRDefault="00A7106A" w:rsidP="007040C3">
            <w:pPr>
              <w:pStyle w:val="TableText"/>
              <w:jc w:val="center"/>
            </w:pPr>
            <w:r w:rsidRPr="001F1A72">
              <w:t>-</w:t>
            </w:r>
          </w:p>
        </w:tc>
        <w:tc>
          <w:tcPr>
            <w:tcW w:w="2743" w:type="dxa"/>
            <w:shd w:val="clear" w:color="auto" w:fill="auto"/>
            <w:noWrap/>
            <w:vAlign w:val="bottom"/>
            <w:hideMark/>
          </w:tcPr>
          <w:p w:rsidR="00A7106A" w:rsidRPr="001F1A72" w:rsidRDefault="00A7106A" w:rsidP="006D19D1">
            <w:pPr>
              <w:pStyle w:val="TableText"/>
            </w:pPr>
            <w:r w:rsidRPr="001F1A72">
              <w:t>Amir 2011</w:t>
            </w:r>
            <w:r>
              <w:t xml:space="preserve"> vs no AI therapy</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rPr>
                <w:i/>
                <w:iCs/>
              </w:rPr>
            </w:pPr>
          </w:p>
        </w:tc>
        <w:tc>
          <w:tcPr>
            <w:tcW w:w="3686" w:type="dxa"/>
            <w:tcBorders>
              <w:left w:val="nil"/>
            </w:tcBorders>
            <w:shd w:val="clear" w:color="auto" w:fill="auto"/>
            <w:noWrap/>
            <w:vAlign w:val="bottom"/>
            <w:hideMark/>
          </w:tcPr>
          <w:p w:rsidR="00A7106A" w:rsidRPr="001F1A72" w:rsidRDefault="00A7106A" w:rsidP="007040C3">
            <w:pPr>
              <w:pStyle w:val="TableText"/>
            </w:pPr>
            <w:r>
              <w:t xml:space="preserve">RR </w:t>
            </w:r>
            <w:r w:rsidRPr="001F1A72">
              <w:t>of fx + AI with bone therapy)</w:t>
            </w:r>
          </w:p>
        </w:tc>
        <w:tc>
          <w:tcPr>
            <w:tcW w:w="709" w:type="dxa"/>
            <w:shd w:val="clear" w:color="auto" w:fill="auto"/>
            <w:noWrap/>
            <w:vAlign w:val="bottom"/>
            <w:hideMark/>
          </w:tcPr>
          <w:p w:rsidR="00A7106A" w:rsidRPr="001F1A72" w:rsidRDefault="00A7106A" w:rsidP="007040C3">
            <w:pPr>
              <w:pStyle w:val="TableText"/>
              <w:jc w:val="center"/>
            </w:pPr>
            <w:r w:rsidRPr="001F1A72">
              <w:t>0.6598</w:t>
            </w:r>
          </w:p>
        </w:tc>
        <w:tc>
          <w:tcPr>
            <w:tcW w:w="709" w:type="dxa"/>
            <w:shd w:val="clear" w:color="auto" w:fill="auto"/>
            <w:noWrap/>
            <w:vAlign w:val="bottom"/>
            <w:hideMark/>
          </w:tcPr>
          <w:p w:rsidR="00A7106A" w:rsidRPr="001F1A72" w:rsidRDefault="00A7106A" w:rsidP="007040C3">
            <w:pPr>
              <w:pStyle w:val="TableText"/>
              <w:jc w:val="center"/>
            </w:pPr>
            <w:r w:rsidRPr="001F1A72">
              <w:t>0.4000</w:t>
            </w:r>
          </w:p>
        </w:tc>
        <w:tc>
          <w:tcPr>
            <w:tcW w:w="708" w:type="dxa"/>
            <w:shd w:val="clear" w:color="auto" w:fill="auto"/>
            <w:noWrap/>
            <w:vAlign w:val="bottom"/>
            <w:hideMark/>
          </w:tcPr>
          <w:p w:rsidR="00A7106A" w:rsidRPr="001F1A72" w:rsidRDefault="00A7106A" w:rsidP="007040C3">
            <w:pPr>
              <w:pStyle w:val="TableText"/>
              <w:jc w:val="center"/>
            </w:pPr>
            <w:r w:rsidRPr="001F1A72">
              <w:t>0.8455</w:t>
            </w:r>
          </w:p>
        </w:tc>
        <w:tc>
          <w:tcPr>
            <w:tcW w:w="709" w:type="dxa"/>
            <w:shd w:val="clear" w:color="auto" w:fill="auto"/>
            <w:noWrap/>
            <w:vAlign w:val="bottom"/>
            <w:hideMark/>
          </w:tcPr>
          <w:p w:rsidR="00A7106A" w:rsidRPr="001F1A72" w:rsidRDefault="00A7106A" w:rsidP="007040C3">
            <w:pPr>
              <w:pStyle w:val="TableText"/>
              <w:jc w:val="center"/>
            </w:pPr>
            <w:r w:rsidRPr="001F1A72">
              <w:t>beta</w:t>
            </w:r>
          </w:p>
        </w:tc>
        <w:tc>
          <w:tcPr>
            <w:tcW w:w="2743" w:type="dxa"/>
            <w:shd w:val="clear" w:color="auto" w:fill="auto"/>
            <w:noWrap/>
            <w:vAlign w:val="bottom"/>
            <w:hideMark/>
          </w:tcPr>
          <w:p w:rsidR="00A7106A" w:rsidRPr="001F1A72" w:rsidRDefault="00A7106A" w:rsidP="007040C3">
            <w:pPr>
              <w:pStyle w:val="TableText"/>
            </w:pPr>
            <w:r>
              <w:t>Neuner 2011, Goss 2013, Becker 2012, Brufsky 2012, Llombart 2012, Coleman 2013</w:t>
            </w:r>
          </w:p>
        </w:tc>
      </w:tr>
      <w:tr w:rsidR="00A7106A" w:rsidRPr="001F1A72" w:rsidTr="00D1533C">
        <w:trPr>
          <w:trHeight w:val="300"/>
          <w:tblHeader/>
        </w:trPr>
        <w:tc>
          <w:tcPr>
            <w:tcW w:w="284" w:type="dxa"/>
            <w:tcBorders>
              <w:right w:val="nil"/>
            </w:tcBorders>
            <w:shd w:val="clear" w:color="auto" w:fill="auto"/>
            <w:noWrap/>
            <w:vAlign w:val="center"/>
            <w:hideMark/>
          </w:tcPr>
          <w:p w:rsidR="00A7106A" w:rsidRPr="001F1A72" w:rsidRDefault="00A7106A" w:rsidP="006D19D1">
            <w:pPr>
              <w:pStyle w:val="TableText"/>
              <w:rPr>
                <w:i/>
                <w:iCs/>
              </w:rPr>
            </w:pPr>
          </w:p>
        </w:tc>
        <w:tc>
          <w:tcPr>
            <w:tcW w:w="3686" w:type="dxa"/>
            <w:tcBorders>
              <w:left w:val="nil"/>
            </w:tcBorders>
            <w:shd w:val="clear" w:color="auto" w:fill="auto"/>
            <w:noWrap/>
            <w:vAlign w:val="center"/>
            <w:hideMark/>
          </w:tcPr>
          <w:p w:rsidR="00A7106A" w:rsidRPr="001F1A72" w:rsidRDefault="00A7106A" w:rsidP="006D19D1">
            <w:pPr>
              <w:pStyle w:val="TableText"/>
            </w:pPr>
            <w:r>
              <w:t>Prob of fx if osteoporotic, osteoporotic  or osteopenic or all women, separated by hip, spine and other fx types, separated by treatment vs no treatment</w:t>
            </w:r>
          </w:p>
        </w:tc>
        <w:tc>
          <w:tcPr>
            <w:tcW w:w="709" w:type="dxa"/>
            <w:shd w:val="clear" w:color="auto" w:fill="auto"/>
            <w:noWrap/>
            <w:vAlign w:val="center"/>
            <w:hideMark/>
          </w:tcPr>
          <w:p w:rsidR="00A7106A" w:rsidRPr="001F1A72" w:rsidRDefault="00A7106A" w:rsidP="006D19D1">
            <w:pPr>
              <w:pStyle w:val="TableText"/>
            </w:pPr>
            <w:r w:rsidRPr="001F1A72">
              <w:t>table</w:t>
            </w:r>
          </w:p>
        </w:tc>
        <w:tc>
          <w:tcPr>
            <w:tcW w:w="709" w:type="dxa"/>
            <w:shd w:val="clear" w:color="auto" w:fill="auto"/>
            <w:noWrap/>
            <w:vAlign w:val="center"/>
            <w:hideMark/>
          </w:tcPr>
          <w:p w:rsidR="00A7106A" w:rsidRPr="001F1A72" w:rsidRDefault="004B4974" w:rsidP="006D19D1">
            <w:pPr>
              <w:pStyle w:val="TableText"/>
            </w:pPr>
            <w:r>
              <w:t>-</w:t>
            </w:r>
          </w:p>
        </w:tc>
        <w:tc>
          <w:tcPr>
            <w:tcW w:w="708" w:type="dxa"/>
            <w:shd w:val="clear" w:color="auto" w:fill="auto"/>
            <w:noWrap/>
            <w:vAlign w:val="center"/>
            <w:hideMark/>
          </w:tcPr>
          <w:p w:rsidR="00A7106A" w:rsidRPr="001F1A72" w:rsidRDefault="004B4974" w:rsidP="006D19D1">
            <w:pPr>
              <w:pStyle w:val="TableText"/>
            </w:pPr>
            <w:r>
              <w:t>-</w:t>
            </w:r>
          </w:p>
        </w:tc>
        <w:tc>
          <w:tcPr>
            <w:tcW w:w="709" w:type="dxa"/>
            <w:shd w:val="clear" w:color="auto" w:fill="auto"/>
            <w:noWrap/>
            <w:vAlign w:val="center"/>
            <w:hideMark/>
          </w:tcPr>
          <w:p w:rsidR="00A7106A" w:rsidRPr="001F1A72" w:rsidRDefault="00A7106A" w:rsidP="006D19D1">
            <w:pPr>
              <w:pStyle w:val="TableText"/>
            </w:pPr>
            <w:r>
              <w:t>-</w:t>
            </w:r>
          </w:p>
        </w:tc>
        <w:tc>
          <w:tcPr>
            <w:tcW w:w="2743" w:type="dxa"/>
            <w:shd w:val="clear" w:color="auto" w:fill="auto"/>
            <w:noWrap/>
            <w:vAlign w:val="center"/>
            <w:hideMark/>
          </w:tcPr>
          <w:p w:rsidR="00A7106A" w:rsidRPr="001F1A72" w:rsidRDefault="00A7106A" w:rsidP="006D19D1">
            <w:pPr>
              <w:pStyle w:val="TableText"/>
            </w:pPr>
            <w:r w:rsidRPr="001F1A72">
              <w:t xml:space="preserve">Table created by different age groups fx with AI </w:t>
            </w:r>
            <w:r>
              <w:t>x</w:t>
            </w:r>
            <w:r w:rsidRPr="001F1A72">
              <w:t xml:space="preserve"> RR osteopenia/porosis</w:t>
            </w:r>
            <w:r>
              <w:t xml:space="preserve"> x</w:t>
            </w:r>
            <w:r w:rsidRPr="001F1A72">
              <w:t xml:space="preserve"> tx or no tx</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pPr>
          </w:p>
        </w:tc>
        <w:tc>
          <w:tcPr>
            <w:tcW w:w="3686" w:type="dxa"/>
            <w:tcBorders>
              <w:left w:val="nil"/>
            </w:tcBorders>
            <w:shd w:val="clear" w:color="auto" w:fill="auto"/>
            <w:noWrap/>
            <w:vAlign w:val="bottom"/>
            <w:hideMark/>
          </w:tcPr>
          <w:p w:rsidR="00A7106A" w:rsidRPr="001F1A72" w:rsidRDefault="00A7106A" w:rsidP="007040C3">
            <w:pPr>
              <w:pStyle w:val="TableText"/>
            </w:pPr>
            <w:r>
              <w:t>RR excess death 1 year after fx</w:t>
            </w:r>
          </w:p>
        </w:tc>
        <w:tc>
          <w:tcPr>
            <w:tcW w:w="709" w:type="dxa"/>
            <w:shd w:val="clear" w:color="auto" w:fill="auto"/>
            <w:noWrap/>
            <w:vAlign w:val="bottom"/>
            <w:hideMark/>
          </w:tcPr>
          <w:p w:rsidR="00A7106A" w:rsidRPr="001F1A72" w:rsidRDefault="00A7106A" w:rsidP="007040C3">
            <w:pPr>
              <w:pStyle w:val="TableText"/>
              <w:jc w:val="center"/>
            </w:pPr>
            <w:r w:rsidRPr="001F1A72">
              <w:t>2.87</w:t>
            </w:r>
          </w:p>
        </w:tc>
        <w:tc>
          <w:tcPr>
            <w:tcW w:w="709" w:type="dxa"/>
            <w:shd w:val="clear" w:color="auto" w:fill="auto"/>
            <w:noWrap/>
            <w:vAlign w:val="bottom"/>
            <w:hideMark/>
          </w:tcPr>
          <w:p w:rsidR="00A7106A" w:rsidRPr="001F1A72" w:rsidRDefault="00A7106A" w:rsidP="007040C3">
            <w:pPr>
              <w:pStyle w:val="TableText"/>
              <w:jc w:val="center"/>
            </w:pPr>
            <w:r w:rsidRPr="001F1A72">
              <w:t>2.52</w:t>
            </w:r>
          </w:p>
        </w:tc>
        <w:tc>
          <w:tcPr>
            <w:tcW w:w="708" w:type="dxa"/>
            <w:shd w:val="clear" w:color="auto" w:fill="auto"/>
            <w:noWrap/>
            <w:vAlign w:val="bottom"/>
            <w:hideMark/>
          </w:tcPr>
          <w:p w:rsidR="00A7106A" w:rsidRPr="001F1A72" w:rsidRDefault="00A7106A" w:rsidP="007040C3">
            <w:pPr>
              <w:pStyle w:val="TableText"/>
              <w:jc w:val="center"/>
            </w:pPr>
            <w:r w:rsidRPr="001F1A72">
              <w:t>3.27</w:t>
            </w:r>
          </w:p>
        </w:tc>
        <w:tc>
          <w:tcPr>
            <w:tcW w:w="709" w:type="dxa"/>
            <w:shd w:val="clear" w:color="auto" w:fill="auto"/>
            <w:noWrap/>
            <w:vAlign w:val="bottom"/>
            <w:hideMark/>
          </w:tcPr>
          <w:p w:rsidR="00A7106A" w:rsidRPr="001F1A72" w:rsidRDefault="00A7106A" w:rsidP="007040C3">
            <w:pPr>
              <w:pStyle w:val="TableText"/>
              <w:jc w:val="center"/>
            </w:pPr>
            <w:r w:rsidRPr="001F1A72">
              <w:t>normal</w:t>
            </w:r>
          </w:p>
        </w:tc>
        <w:tc>
          <w:tcPr>
            <w:tcW w:w="2743" w:type="dxa"/>
            <w:shd w:val="clear" w:color="auto" w:fill="auto"/>
            <w:noWrap/>
            <w:vAlign w:val="bottom"/>
            <w:hideMark/>
          </w:tcPr>
          <w:p w:rsidR="00A7106A" w:rsidRPr="001F1A72" w:rsidRDefault="00A7106A" w:rsidP="007040C3">
            <w:pPr>
              <w:pStyle w:val="TableText"/>
            </w:pPr>
            <w:r w:rsidRPr="001F1A72">
              <w:t>Haentjens</w:t>
            </w:r>
            <w:r w:rsidR="008A5528">
              <w:t xml:space="preserve"> </w:t>
            </w:r>
            <w:r w:rsidRPr="001F1A72">
              <w:t>P 2010 Fig 2 p27</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pPr>
          </w:p>
        </w:tc>
        <w:tc>
          <w:tcPr>
            <w:tcW w:w="3686" w:type="dxa"/>
            <w:tcBorders>
              <w:left w:val="nil"/>
            </w:tcBorders>
            <w:shd w:val="clear" w:color="auto" w:fill="auto"/>
            <w:noWrap/>
            <w:vAlign w:val="bottom"/>
            <w:hideMark/>
          </w:tcPr>
          <w:p w:rsidR="00A7106A" w:rsidRPr="001F1A72" w:rsidRDefault="00A7106A" w:rsidP="007040C3">
            <w:pPr>
              <w:pStyle w:val="TableText"/>
            </w:pPr>
            <w:r w:rsidRPr="001F1A72">
              <w:t>RR</w:t>
            </w:r>
            <w:r>
              <w:t xml:space="preserve"> excess death after 1 year after fx</w:t>
            </w:r>
          </w:p>
        </w:tc>
        <w:tc>
          <w:tcPr>
            <w:tcW w:w="709" w:type="dxa"/>
            <w:shd w:val="clear" w:color="auto" w:fill="auto"/>
            <w:noWrap/>
            <w:vAlign w:val="bottom"/>
            <w:hideMark/>
          </w:tcPr>
          <w:p w:rsidR="00A7106A" w:rsidRPr="001F1A72" w:rsidRDefault="00A7106A" w:rsidP="007040C3">
            <w:pPr>
              <w:pStyle w:val="TableText"/>
              <w:jc w:val="center"/>
            </w:pPr>
            <w:r w:rsidRPr="001F1A72">
              <w:t>2.25</w:t>
            </w:r>
          </w:p>
        </w:tc>
        <w:tc>
          <w:tcPr>
            <w:tcW w:w="709" w:type="dxa"/>
            <w:shd w:val="clear" w:color="auto" w:fill="auto"/>
            <w:noWrap/>
            <w:vAlign w:val="bottom"/>
            <w:hideMark/>
          </w:tcPr>
          <w:p w:rsidR="00A7106A" w:rsidRPr="001F1A72" w:rsidRDefault="00A7106A" w:rsidP="007040C3">
            <w:pPr>
              <w:pStyle w:val="TableText"/>
              <w:jc w:val="center"/>
            </w:pPr>
            <w:r w:rsidRPr="001F1A72">
              <w:t>1.74</w:t>
            </w:r>
          </w:p>
        </w:tc>
        <w:tc>
          <w:tcPr>
            <w:tcW w:w="708" w:type="dxa"/>
            <w:shd w:val="clear" w:color="auto" w:fill="auto"/>
            <w:noWrap/>
            <w:vAlign w:val="bottom"/>
            <w:hideMark/>
          </w:tcPr>
          <w:p w:rsidR="00A7106A" w:rsidRPr="001F1A72" w:rsidRDefault="00A7106A" w:rsidP="007040C3">
            <w:pPr>
              <w:pStyle w:val="TableText"/>
              <w:jc w:val="center"/>
            </w:pPr>
            <w:r w:rsidRPr="001F1A72">
              <w:t>2.92</w:t>
            </w:r>
          </w:p>
        </w:tc>
        <w:tc>
          <w:tcPr>
            <w:tcW w:w="709" w:type="dxa"/>
            <w:shd w:val="clear" w:color="auto" w:fill="auto"/>
            <w:noWrap/>
            <w:vAlign w:val="bottom"/>
            <w:hideMark/>
          </w:tcPr>
          <w:p w:rsidR="00A7106A" w:rsidRPr="001F1A72" w:rsidRDefault="00A7106A" w:rsidP="007040C3">
            <w:pPr>
              <w:pStyle w:val="TableText"/>
              <w:jc w:val="center"/>
            </w:pPr>
            <w:r w:rsidRPr="001F1A72">
              <w:t>normal</w:t>
            </w:r>
          </w:p>
        </w:tc>
        <w:tc>
          <w:tcPr>
            <w:tcW w:w="2743" w:type="dxa"/>
            <w:shd w:val="clear" w:color="auto" w:fill="auto"/>
            <w:noWrap/>
            <w:vAlign w:val="bottom"/>
            <w:hideMark/>
          </w:tcPr>
          <w:p w:rsidR="00A7106A" w:rsidRPr="001F1A72" w:rsidRDefault="00A7106A" w:rsidP="007040C3">
            <w:pPr>
              <w:pStyle w:val="TableText"/>
            </w:pPr>
            <w:r w:rsidRPr="001F1A72">
              <w:t>Haentjens</w:t>
            </w:r>
            <w:r w:rsidR="008A5528">
              <w:t xml:space="preserve"> </w:t>
            </w:r>
            <w:r w:rsidRPr="001F1A72">
              <w:t>P 2010 Fig 1 p26</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pPr>
          </w:p>
        </w:tc>
        <w:tc>
          <w:tcPr>
            <w:tcW w:w="3686" w:type="dxa"/>
            <w:tcBorders>
              <w:left w:val="nil"/>
            </w:tcBorders>
            <w:shd w:val="clear" w:color="auto" w:fill="auto"/>
            <w:noWrap/>
            <w:vAlign w:val="bottom"/>
            <w:hideMark/>
          </w:tcPr>
          <w:p w:rsidR="00A7106A" w:rsidRPr="001F1A72" w:rsidRDefault="00A7106A" w:rsidP="007040C3">
            <w:pPr>
              <w:pStyle w:val="TableText"/>
            </w:pPr>
            <w:r>
              <w:t>Prob of 2</w:t>
            </w:r>
            <w:r w:rsidRPr="002F7185">
              <w:rPr>
                <w:vertAlign w:val="superscript"/>
              </w:rPr>
              <w:t>nd</w:t>
            </w:r>
            <w:r>
              <w:t xml:space="preserve"> fx</w:t>
            </w:r>
          </w:p>
        </w:tc>
        <w:tc>
          <w:tcPr>
            <w:tcW w:w="709" w:type="dxa"/>
            <w:shd w:val="clear" w:color="auto" w:fill="auto"/>
            <w:noWrap/>
            <w:vAlign w:val="bottom"/>
            <w:hideMark/>
          </w:tcPr>
          <w:p w:rsidR="00A7106A" w:rsidRPr="001F1A72" w:rsidRDefault="00A7106A" w:rsidP="007040C3">
            <w:pPr>
              <w:pStyle w:val="TableText"/>
              <w:jc w:val="center"/>
            </w:pPr>
            <w:r w:rsidRPr="001F1A72">
              <w:t>73%</w:t>
            </w:r>
          </w:p>
        </w:tc>
        <w:tc>
          <w:tcPr>
            <w:tcW w:w="709" w:type="dxa"/>
            <w:shd w:val="clear" w:color="auto" w:fill="auto"/>
            <w:noWrap/>
            <w:vAlign w:val="bottom"/>
            <w:hideMark/>
          </w:tcPr>
          <w:p w:rsidR="00A7106A" w:rsidRPr="001F1A72" w:rsidRDefault="00A7106A" w:rsidP="007040C3">
            <w:pPr>
              <w:pStyle w:val="TableText"/>
              <w:jc w:val="center"/>
            </w:pPr>
            <w:r w:rsidRPr="001F1A72">
              <w:t>57%</w:t>
            </w:r>
          </w:p>
        </w:tc>
        <w:tc>
          <w:tcPr>
            <w:tcW w:w="708" w:type="dxa"/>
            <w:shd w:val="clear" w:color="auto" w:fill="auto"/>
            <w:noWrap/>
            <w:vAlign w:val="bottom"/>
            <w:hideMark/>
          </w:tcPr>
          <w:p w:rsidR="00A7106A" w:rsidRPr="001F1A72" w:rsidRDefault="00A7106A" w:rsidP="007040C3">
            <w:pPr>
              <w:pStyle w:val="TableText"/>
              <w:jc w:val="center"/>
            </w:pPr>
            <w:r w:rsidRPr="001F1A72">
              <w:t>92%</w:t>
            </w:r>
          </w:p>
        </w:tc>
        <w:tc>
          <w:tcPr>
            <w:tcW w:w="709" w:type="dxa"/>
            <w:shd w:val="clear" w:color="auto" w:fill="auto"/>
            <w:noWrap/>
            <w:vAlign w:val="bottom"/>
            <w:hideMark/>
          </w:tcPr>
          <w:p w:rsidR="00A7106A" w:rsidRPr="001F1A72" w:rsidRDefault="00A7106A" w:rsidP="007040C3">
            <w:pPr>
              <w:pStyle w:val="TableText"/>
              <w:jc w:val="center"/>
            </w:pPr>
            <w:r w:rsidRPr="001F1A72">
              <w:t>beta</w:t>
            </w:r>
          </w:p>
        </w:tc>
        <w:tc>
          <w:tcPr>
            <w:tcW w:w="2743" w:type="dxa"/>
            <w:shd w:val="clear" w:color="auto" w:fill="auto"/>
            <w:noWrap/>
            <w:vAlign w:val="bottom"/>
            <w:hideMark/>
          </w:tcPr>
          <w:p w:rsidR="00A7106A" w:rsidRPr="001F1A72" w:rsidRDefault="00A7106A" w:rsidP="007040C3">
            <w:pPr>
              <w:pStyle w:val="TableText"/>
            </w:pPr>
            <w:r w:rsidRPr="001F1A72">
              <w:t>Kanis 2004</w:t>
            </w:r>
          </w:p>
        </w:tc>
      </w:tr>
      <w:tr w:rsidR="00A7106A" w:rsidRPr="00A7106A" w:rsidTr="00D1533C">
        <w:trPr>
          <w:trHeight w:val="300"/>
          <w:tblHeader/>
        </w:trPr>
        <w:tc>
          <w:tcPr>
            <w:tcW w:w="3970" w:type="dxa"/>
            <w:gridSpan w:val="2"/>
            <w:shd w:val="clear" w:color="auto" w:fill="auto"/>
            <w:noWrap/>
            <w:vAlign w:val="bottom"/>
            <w:hideMark/>
          </w:tcPr>
          <w:p w:rsidR="00A7106A" w:rsidRPr="00A7106A" w:rsidRDefault="00A7106A" w:rsidP="007040C3">
            <w:pPr>
              <w:pStyle w:val="TableText"/>
              <w:rPr>
                <w:b/>
                <w:iCs/>
              </w:rPr>
            </w:pPr>
            <w:r w:rsidRPr="00A7106A">
              <w:rPr>
                <w:b/>
                <w:iCs/>
              </w:rPr>
              <w:t>Costs (2014)</w:t>
            </w:r>
          </w:p>
        </w:tc>
        <w:tc>
          <w:tcPr>
            <w:tcW w:w="709" w:type="dxa"/>
            <w:shd w:val="clear" w:color="auto" w:fill="auto"/>
            <w:noWrap/>
            <w:vAlign w:val="bottom"/>
            <w:hideMark/>
          </w:tcPr>
          <w:p w:rsidR="00A7106A" w:rsidRPr="00A7106A" w:rsidRDefault="004B4974" w:rsidP="007040C3">
            <w:pPr>
              <w:pStyle w:val="TableText"/>
              <w:jc w:val="center"/>
            </w:pPr>
            <w:r>
              <w:t>-</w:t>
            </w:r>
          </w:p>
        </w:tc>
        <w:tc>
          <w:tcPr>
            <w:tcW w:w="709" w:type="dxa"/>
            <w:shd w:val="clear" w:color="auto" w:fill="auto"/>
            <w:noWrap/>
            <w:vAlign w:val="bottom"/>
            <w:hideMark/>
          </w:tcPr>
          <w:p w:rsidR="00A7106A" w:rsidRPr="00A7106A" w:rsidRDefault="004B4974" w:rsidP="007040C3">
            <w:pPr>
              <w:pStyle w:val="TableText"/>
              <w:jc w:val="center"/>
            </w:pPr>
            <w:r>
              <w:t>-</w:t>
            </w:r>
          </w:p>
        </w:tc>
        <w:tc>
          <w:tcPr>
            <w:tcW w:w="708" w:type="dxa"/>
            <w:shd w:val="clear" w:color="auto" w:fill="auto"/>
            <w:noWrap/>
            <w:vAlign w:val="bottom"/>
            <w:hideMark/>
          </w:tcPr>
          <w:p w:rsidR="00A7106A" w:rsidRPr="00A7106A" w:rsidRDefault="004B4974" w:rsidP="007040C3">
            <w:pPr>
              <w:pStyle w:val="TableText"/>
              <w:jc w:val="center"/>
            </w:pPr>
            <w:r>
              <w:t>-</w:t>
            </w:r>
          </w:p>
        </w:tc>
        <w:tc>
          <w:tcPr>
            <w:tcW w:w="709" w:type="dxa"/>
            <w:shd w:val="clear" w:color="auto" w:fill="auto"/>
            <w:noWrap/>
            <w:vAlign w:val="bottom"/>
            <w:hideMark/>
          </w:tcPr>
          <w:p w:rsidR="00A7106A" w:rsidRPr="00A7106A" w:rsidRDefault="004B4974" w:rsidP="007040C3">
            <w:pPr>
              <w:pStyle w:val="TableText"/>
              <w:jc w:val="center"/>
            </w:pPr>
            <w:r>
              <w:t>-</w:t>
            </w:r>
          </w:p>
        </w:tc>
        <w:tc>
          <w:tcPr>
            <w:tcW w:w="2743" w:type="dxa"/>
            <w:shd w:val="clear" w:color="auto" w:fill="auto"/>
            <w:noWrap/>
            <w:vAlign w:val="bottom"/>
            <w:hideMark/>
          </w:tcPr>
          <w:p w:rsidR="00A7106A" w:rsidRPr="00A7106A" w:rsidRDefault="00A7106A" w:rsidP="007040C3">
            <w:pPr>
              <w:pStyle w:val="TableText"/>
            </w:pPr>
            <w:r w:rsidRPr="00A7106A">
              <w:t> </w:t>
            </w:r>
            <w:r w:rsidR="004B4974">
              <w:t>-</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pPr>
          </w:p>
        </w:tc>
        <w:tc>
          <w:tcPr>
            <w:tcW w:w="3686" w:type="dxa"/>
            <w:tcBorders>
              <w:left w:val="nil"/>
            </w:tcBorders>
            <w:shd w:val="clear" w:color="auto" w:fill="auto"/>
            <w:noWrap/>
            <w:vAlign w:val="bottom"/>
            <w:hideMark/>
          </w:tcPr>
          <w:p w:rsidR="00A7106A" w:rsidRPr="001F1A72" w:rsidRDefault="00A7106A" w:rsidP="007040C3">
            <w:pPr>
              <w:pStyle w:val="TableText"/>
            </w:pPr>
            <w:r>
              <w:t xml:space="preserve">Annual cost of </w:t>
            </w:r>
            <w:r w:rsidRPr="001F1A72">
              <w:t>hip</w:t>
            </w:r>
            <w:r>
              <w:t xml:space="preserve"> </w:t>
            </w:r>
            <w:r w:rsidRPr="001F1A72">
              <w:t>fx</w:t>
            </w:r>
          </w:p>
        </w:tc>
        <w:tc>
          <w:tcPr>
            <w:tcW w:w="709" w:type="dxa"/>
            <w:shd w:val="clear" w:color="auto" w:fill="auto"/>
            <w:noWrap/>
            <w:vAlign w:val="bottom"/>
            <w:hideMark/>
          </w:tcPr>
          <w:p w:rsidR="00A7106A" w:rsidRPr="001F1A72" w:rsidRDefault="00A7106A" w:rsidP="007040C3">
            <w:pPr>
              <w:pStyle w:val="TableText"/>
              <w:jc w:val="center"/>
            </w:pPr>
            <w:r w:rsidRPr="001F1A72">
              <w:t>17512</w:t>
            </w:r>
          </w:p>
        </w:tc>
        <w:tc>
          <w:tcPr>
            <w:tcW w:w="709" w:type="dxa"/>
            <w:shd w:val="clear" w:color="auto" w:fill="auto"/>
            <w:noWrap/>
            <w:vAlign w:val="bottom"/>
            <w:hideMark/>
          </w:tcPr>
          <w:p w:rsidR="00A7106A" w:rsidRPr="001F1A72" w:rsidRDefault="00A7106A" w:rsidP="007040C3">
            <w:pPr>
              <w:pStyle w:val="TableText"/>
              <w:jc w:val="center"/>
            </w:pPr>
            <w:r w:rsidRPr="001F1A72">
              <w:t>12258</w:t>
            </w:r>
          </w:p>
        </w:tc>
        <w:tc>
          <w:tcPr>
            <w:tcW w:w="708" w:type="dxa"/>
            <w:shd w:val="clear" w:color="auto" w:fill="auto"/>
            <w:noWrap/>
            <w:vAlign w:val="bottom"/>
            <w:hideMark/>
          </w:tcPr>
          <w:p w:rsidR="00A7106A" w:rsidRPr="001F1A72" w:rsidRDefault="00A7106A" w:rsidP="007040C3">
            <w:pPr>
              <w:pStyle w:val="TableText"/>
              <w:jc w:val="center"/>
            </w:pPr>
            <w:r w:rsidRPr="001F1A72">
              <w:t>22766</w:t>
            </w:r>
          </w:p>
        </w:tc>
        <w:tc>
          <w:tcPr>
            <w:tcW w:w="709" w:type="dxa"/>
            <w:shd w:val="clear" w:color="auto" w:fill="auto"/>
            <w:noWrap/>
            <w:vAlign w:val="bottom"/>
            <w:hideMark/>
          </w:tcPr>
          <w:p w:rsidR="00A7106A" w:rsidRPr="001F1A72" w:rsidRDefault="00A7106A" w:rsidP="007040C3">
            <w:pPr>
              <w:pStyle w:val="TableText"/>
              <w:jc w:val="center"/>
            </w:pPr>
            <w:r w:rsidRPr="001F1A72">
              <w:t>gamma</w:t>
            </w:r>
          </w:p>
        </w:tc>
        <w:tc>
          <w:tcPr>
            <w:tcW w:w="2743" w:type="dxa"/>
            <w:shd w:val="clear" w:color="auto" w:fill="auto"/>
            <w:noWrap/>
            <w:vAlign w:val="bottom"/>
            <w:hideMark/>
          </w:tcPr>
          <w:p w:rsidR="00A7106A" w:rsidRPr="001F1A72" w:rsidRDefault="00A7106A" w:rsidP="007040C3">
            <w:pPr>
              <w:pStyle w:val="TableText"/>
            </w:pPr>
            <w:r w:rsidRPr="001F1A72">
              <w:t xml:space="preserve">AR DRG 2009-10 </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pPr>
          </w:p>
        </w:tc>
        <w:tc>
          <w:tcPr>
            <w:tcW w:w="3686" w:type="dxa"/>
            <w:tcBorders>
              <w:left w:val="nil"/>
            </w:tcBorders>
            <w:shd w:val="clear" w:color="auto" w:fill="auto"/>
            <w:noWrap/>
            <w:vAlign w:val="bottom"/>
            <w:hideMark/>
          </w:tcPr>
          <w:p w:rsidR="00A7106A" w:rsidRPr="001F1A72" w:rsidRDefault="00A7106A" w:rsidP="007040C3">
            <w:pPr>
              <w:pStyle w:val="TableText"/>
            </w:pPr>
            <w:r>
              <w:t xml:space="preserve">Annual cost of vertebral </w:t>
            </w:r>
            <w:r w:rsidRPr="001F1A72">
              <w:t>fx</w:t>
            </w:r>
          </w:p>
        </w:tc>
        <w:tc>
          <w:tcPr>
            <w:tcW w:w="709" w:type="dxa"/>
            <w:shd w:val="clear" w:color="auto" w:fill="auto"/>
            <w:noWrap/>
            <w:vAlign w:val="bottom"/>
            <w:hideMark/>
          </w:tcPr>
          <w:p w:rsidR="00A7106A" w:rsidRPr="001F1A72" w:rsidRDefault="00A7106A" w:rsidP="007040C3">
            <w:pPr>
              <w:pStyle w:val="TableText"/>
              <w:jc w:val="center"/>
            </w:pPr>
            <w:r w:rsidRPr="001F1A72">
              <w:t>11974</w:t>
            </w:r>
          </w:p>
        </w:tc>
        <w:tc>
          <w:tcPr>
            <w:tcW w:w="709" w:type="dxa"/>
            <w:shd w:val="clear" w:color="auto" w:fill="auto"/>
            <w:noWrap/>
            <w:vAlign w:val="bottom"/>
            <w:hideMark/>
          </w:tcPr>
          <w:p w:rsidR="00A7106A" w:rsidRPr="001F1A72" w:rsidRDefault="00A7106A" w:rsidP="007040C3">
            <w:pPr>
              <w:pStyle w:val="TableText"/>
              <w:jc w:val="center"/>
            </w:pPr>
            <w:r w:rsidRPr="001F1A72">
              <w:t>8381</w:t>
            </w:r>
          </w:p>
        </w:tc>
        <w:tc>
          <w:tcPr>
            <w:tcW w:w="708" w:type="dxa"/>
            <w:shd w:val="clear" w:color="auto" w:fill="auto"/>
            <w:noWrap/>
            <w:vAlign w:val="bottom"/>
            <w:hideMark/>
          </w:tcPr>
          <w:p w:rsidR="00A7106A" w:rsidRPr="001F1A72" w:rsidRDefault="00A7106A" w:rsidP="007040C3">
            <w:pPr>
              <w:pStyle w:val="TableText"/>
              <w:jc w:val="center"/>
            </w:pPr>
            <w:r w:rsidRPr="001F1A72">
              <w:t>15566</w:t>
            </w:r>
          </w:p>
        </w:tc>
        <w:tc>
          <w:tcPr>
            <w:tcW w:w="709" w:type="dxa"/>
            <w:shd w:val="clear" w:color="auto" w:fill="auto"/>
            <w:noWrap/>
            <w:vAlign w:val="bottom"/>
            <w:hideMark/>
          </w:tcPr>
          <w:p w:rsidR="00A7106A" w:rsidRPr="001F1A72" w:rsidRDefault="00A7106A" w:rsidP="007040C3">
            <w:pPr>
              <w:pStyle w:val="TableText"/>
              <w:jc w:val="center"/>
            </w:pPr>
            <w:r w:rsidRPr="001F1A72">
              <w:t>gamma</w:t>
            </w:r>
          </w:p>
        </w:tc>
        <w:tc>
          <w:tcPr>
            <w:tcW w:w="2743" w:type="dxa"/>
            <w:shd w:val="clear" w:color="auto" w:fill="auto"/>
            <w:noWrap/>
            <w:vAlign w:val="bottom"/>
            <w:hideMark/>
          </w:tcPr>
          <w:p w:rsidR="00A7106A" w:rsidRPr="001F1A72" w:rsidRDefault="00A7106A" w:rsidP="007040C3">
            <w:pPr>
              <w:pStyle w:val="TableText"/>
            </w:pPr>
            <w:r w:rsidRPr="001F1A72">
              <w:t xml:space="preserve">AR DRG 2009-10 </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pPr>
          </w:p>
        </w:tc>
        <w:tc>
          <w:tcPr>
            <w:tcW w:w="3686" w:type="dxa"/>
            <w:tcBorders>
              <w:left w:val="nil"/>
            </w:tcBorders>
            <w:shd w:val="clear" w:color="auto" w:fill="auto"/>
            <w:noWrap/>
            <w:vAlign w:val="bottom"/>
            <w:hideMark/>
          </w:tcPr>
          <w:p w:rsidR="00A7106A" w:rsidRPr="001F1A72" w:rsidRDefault="00A7106A" w:rsidP="007040C3">
            <w:pPr>
              <w:pStyle w:val="TableText"/>
            </w:pPr>
            <w:r>
              <w:t xml:space="preserve">Annual cost of other </w:t>
            </w:r>
            <w:r w:rsidRPr="001F1A72">
              <w:t>fx</w:t>
            </w:r>
          </w:p>
        </w:tc>
        <w:tc>
          <w:tcPr>
            <w:tcW w:w="709" w:type="dxa"/>
            <w:shd w:val="clear" w:color="auto" w:fill="auto"/>
            <w:noWrap/>
            <w:vAlign w:val="bottom"/>
            <w:hideMark/>
          </w:tcPr>
          <w:p w:rsidR="00A7106A" w:rsidRPr="001F1A72" w:rsidRDefault="00A7106A" w:rsidP="007040C3">
            <w:pPr>
              <w:pStyle w:val="TableText"/>
              <w:jc w:val="center"/>
            </w:pPr>
            <w:r w:rsidRPr="001F1A72">
              <w:t>2416</w:t>
            </w:r>
          </w:p>
        </w:tc>
        <w:tc>
          <w:tcPr>
            <w:tcW w:w="709" w:type="dxa"/>
            <w:shd w:val="clear" w:color="auto" w:fill="auto"/>
            <w:noWrap/>
            <w:vAlign w:val="bottom"/>
            <w:hideMark/>
          </w:tcPr>
          <w:p w:rsidR="00A7106A" w:rsidRPr="001F1A72" w:rsidRDefault="00A7106A" w:rsidP="007040C3">
            <w:pPr>
              <w:pStyle w:val="TableText"/>
              <w:jc w:val="center"/>
            </w:pPr>
            <w:r w:rsidRPr="001F1A72">
              <w:t>1691</w:t>
            </w:r>
          </w:p>
        </w:tc>
        <w:tc>
          <w:tcPr>
            <w:tcW w:w="708" w:type="dxa"/>
            <w:shd w:val="clear" w:color="auto" w:fill="auto"/>
            <w:noWrap/>
            <w:vAlign w:val="bottom"/>
            <w:hideMark/>
          </w:tcPr>
          <w:p w:rsidR="00A7106A" w:rsidRPr="001F1A72" w:rsidRDefault="00A7106A" w:rsidP="007040C3">
            <w:pPr>
              <w:pStyle w:val="TableText"/>
              <w:jc w:val="center"/>
            </w:pPr>
            <w:r w:rsidRPr="001F1A72">
              <w:t>3141</w:t>
            </w:r>
          </w:p>
        </w:tc>
        <w:tc>
          <w:tcPr>
            <w:tcW w:w="709" w:type="dxa"/>
            <w:shd w:val="clear" w:color="auto" w:fill="auto"/>
            <w:noWrap/>
            <w:vAlign w:val="bottom"/>
            <w:hideMark/>
          </w:tcPr>
          <w:p w:rsidR="00A7106A" w:rsidRPr="001F1A72" w:rsidRDefault="00A7106A" w:rsidP="007040C3">
            <w:pPr>
              <w:pStyle w:val="TableText"/>
              <w:jc w:val="center"/>
            </w:pPr>
            <w:r w:rsidRPr="001F1A72">
              <w:t>gamma</w:t>
            </w:r>
          </w:p>
        </w:tc>
        <w:tc>
          <w:tcPr>
            <w:tcW w:w="2743" w:type="dxa"/>
            <w:shd w:val="clear" w:color="auto" w:fill="auto"/>
            <w:noWrap/>
            <w:vAlign w:val="bottom"/>
            <w:hideMark/>
          </w:tcPr>
          <w:p w:rsidR="00A7106A" w:rsidRPr="001F1A72" w:rsidRDefault="00A7106A" w:rsidP="007040C3">
            <w:pPr>
              <w:pStyle w:val="TableText"/>
            </w:pPr>
            <w:r w:rsidRPr="001F1A72">
              <w:t xml:space="preserve">AR DRG 2009-10 </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pPr>
          </w:p>
        </w:tc>
        <w:tc>
          <w:tcPr>
            <w:tcW w:w="3686" w:type="dxa"/>
            <w:tcBorders>
              <w:left w:val="nil"/>
            </w:tcBorders>
            <w:shd w:val="clear" w:color="auto" w:fill="auto"/>
            <w:noWrap/>
            <w:vAlign w:val="bottom"/>
            <w:hideMark/>
          </w:tcPr>
          <w:p w:rsidR="00A7106A" w:rsidRPr="001F1A72" w:rsidRDefault="00A7106A" w:rsidP="007040C3">
            <w:pPr>
              <w:pStyle w:val="TableText"/>
            </w:pPr>
            <w:r>
              <w:t>Annual cost of bone treatment</w:t>
            </w:r>
          </w:p>
        </w:tc>
        <w:tc>
          <w:tcPr>
            <w:tcW w:w="709" w:type="dxa"/>
            <w:shd w:val="clear" w:color="auto" w:fill="auto"/>
            <w:noWrap/>
            <w:vAlign w:val="bottom"/>
            <w:hideMark/>
          </w:tcPr>
          <w:p w:rsidR="00A7106A" w:rsidRPr="001F1A72" w:rsidRDefault="00A7106A" w:rsidP="007040C3">
            <w:pPr>
              <w:pStyle w:val="TableText"/>
              <w:jc w:val="center"/>
            </w:pPr>
            <w:r w:rsidRPr="001F1A72">
              <w:t>619.8</w:t>
            </w:r>
            <w:r>
              <w:t>0</w:t>
            </w:r>
          </w:p>
        </w:tc>
        <w:tc>
          <w:tcPr>
            <w:tcW w:w="709" w:type="dxa"/>
            <w:shd w:val="clear" w:color="auto" w:fill="auto"/>
            <w:noWrap/>
            <w:vAlign w:val="bottom"/>
            <w:hideMark/>
          </w:tcPr>
          <w:p w:rsidR="00A7106A" w:rsidRPr="001F1A72" w:rsidRDefault="00A7106A" w:rsidP="007040C3">
            <w:pPr>
              <w:pStyle w:val="TableText"/>
              <w:jc w:val="center"/>
            </w:pPr>
            <w:r w:rsidRPr="001F1A72">
              <w:t>n/a</w:t>
            </w:r>
          </w:p>
        </w:tc>
        <w:tc>
          <w:tcPr>
            <w:tcW w:w="708" w:type="dxa"/>
            <w:shd w:val="clear" w:color="auto" w:fill="auto"/>
            <w:noWrap/>
            <w:vAlign w:val="bottom"/>
            <w:hideMark/>
          </w:tcPr>
          <w:p w:rsidR="00A7106A" w:rsidRPr="001F1A72" w:rsidRDefault="00A7106A" w:rsidP="007040C3">
            <w:pPr>
              <w:pStyle w:val="TableText"/>
              <w:jc w:val="center"/>
            </w:pPr>
            <w:r w:rsidRPr="001F1A72">
              <w:t>1252</w:t>
            </w:r>
          </w:p>
        </w:tc>
        <w:tc>
          <w:tcPr>
            <w:tcW w:w="709" w:type="dxa"/>
            <w:shd w:val="clear" w:color="auto" w:fill="auto"/>
            <w:noWrap/>
            <w:vAlign w:val="bottom"/>
            <w:hideMark/>
          </w:tcPr>
          <w:p w:rsidR="00A7106A" w:rsidRPr="001F1A72" w:rsidRDefault="00A7106A" w:rsidP="007040C3">
            <w:pPr>
              <w:pStyle w:val="TableText"/>
              <w:jc w:val="center"/>
            </w:pPr>
            <w:r w:rsidRPr="001F1A72">
              <w:t>-</w:t>
            </w:r>
          </w:p>
        </w:tc>
        <w:tc>
          <w:tcPr>
            <w:tcW w:w="2743" w:type="dxa"/>
            <w:shd w:val="clear" w:color="auto" w:fill="auto"/>
            <w:noWrap/>
            <w:vAlign w:val="bottom"/>
            <w:hideMark/>
          </w:tcPr>
          <w:p w:rsidR="00A7106A" w:rsidRPr="001F1A72" w:rsidRDefault="00A7106A" w:rsidP="006E638D">
            <w:pPr>
              <w:pStyle w:val="TableText"/>
            </w:pPr>
            <w:r w:rsidRPr="001F1A72">
              <w:t>PBS</w:t>
            </w:r>
            <w:r w:rsidR="006E638D">
              <w:t xml:space="preserve"> item 8974H</w:t>
            </w:r>
            <w:r w:rsidRPr="001F1A72">
              <w:t xml:space="preserve"> and MBS </w:t>
            </w:r>
            <w:r w:rsidR="006E638D">
              <w:t>item 23</w:t>
            </w:r>
            <w:r w:rsidRPr="001F1A72">
              <w:t xml:space="preserve"> (risedronate)</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pPr>
          </w:p>
        </w:tc>
        <w:tc>
          <w:tcPr>
            <w:tcW w:w="3686" w:type="dxa"/>
            <w:tcBorders>
              <w:left w:val="nil"/>
            </w:tcBorders>
            <w:shd w:val="clear" w:color="auto" w:fill="auto"/>
            <w:noWrap/>
            <w:vAlign w:val="bottom"/>
            <w:hideMark/>
          </w:tcPr>
          <w:p w:rsidR="00A7106A" w:rsidRPr="001F1A72" w:rsidRDefault="00A7106A" w:rsidP="007040C3">
            <w:pPr>
              <w:pStyle w:val="TableText"/>
            </w:pPr>
            <w:r>
              <w:t>Cost of single DXA scan</w:t>
            </w:r>
          </w:p>
        </w:tc>
        <w:tc>
          <w:tcPr>
            <w:tcW w:w="709" w:type="dxa"/>
            <w:shd w:val="clear" w:color="auto" w:fill="auto"/>
            <w:noWrap/>
            <w:vAlign w:val="bottom"/>
            <w:hideMark/>
          </w:tcPr>
          <w:p w:rsidR="00A7106A" w:rsidRPr="001F1A72" w:rsidRDefault="00A7106A" w:rsidP="007040C3">
            <w:pPr>
              <w:pStyle w:val="TableText"/>
              <w:jc w:val="center"/>
            </w:pPr>
            <w:r w:rsidRPr="001F1A72">
              <w:t>102.40</w:t>
            </w:r>
          </w:p>
        </w:tc>
        <w:tc>
          <w:tcPr>
            <w:tcW w:w="709" w:type="dxa"/>
            <w:shd w:val="clear" w:color="auto" w:fill="auto"/>
            <w:noWrap/>
            <w:vAlign w:val="bottom"/>
            <w:hideMark/>
          </w:tcPr>
          <w:p w:rsidR="00A7106A" w:rsidRPr="001F1A72" w:rsidRDefault="00A7106A" w:rsidP="007040C3">
            <w:pPr>
              <w:pStyle w:val="TableText"/>
              <w:jc w:val="center"/>
            </w:pPr>
            <w:r w:rsidRPr="001F1A72">
              <w:t>51.2</w:t>
            </w:r>
            <w:r>
              <w:t>0</w:t>
            </w:r>
          </w:p>
        </w:tc>
        <w:tc>
          <w:tcPr>
            <w:tcW w:w="708" w:type="dxa"/>
            <w:shd w:val="clear" w:color="auto" w:fill="auto"/>
            <w:noWrap/>
            <w:vAlign w:val="bottom"/>
            <w:hideMark/>
          </w:tcPr>
          <w:p w:rsidR="00A7106A" w:rsidRPr="001F1A72" w:rsidRDefault="00A7106A" w:rsidP="007040C3">
            <w:pPr>
              <w:pStyle w:val="TableText"/>
              <w:jc w:val="center"/>
            </w:pPr>
            <w:r w:rsidRPr="001F1A72">
              <w:t>n/a</w:t>
            </w:r>
          </w:p>
        </w:tc>
        <w:tc>
          <w:tcPr>
            <w:tcW w:w="709" w:type="dxa"/>
            <w:shd w:val="clear" w:color="auto" w:fill="auto"/>
            <w:noWrap/>
            <w:vAlign w:val="bottom"/>
            <w:hideMark/>
          </w:tcPr>
          <w:p w:rsidR="00A7106A" w:rsidRPr="001F1A72" w:rsidRDefault="00A7106A" w:rsidP="007040C3">
            <w:pPr>
              <w:pStyle w:val="TableText"/>
              <w:jc w:val="center"/>
            </w:pPr>
            <w:r w:rsidRPr="001F1A72">
              <w:t>-</w:t>
            </w:r>
          </w:p>
        </w:tc>
        <w:tc>
          <w:tcPr>
            <w:tcW w:w="2743" w:type="dxa"/>
            <w:shd w:val="clear" w:color="auto" w:fill="auto"/>
            <w:noWrap/>
            <w:vAlign w:val="bottom"/>
            <w:hideMark/>
          </w:tcPr>
          <w:p w:rsidR="00A7106A" w:rsidRPr="001F1A72" w:rsidRDefault="00A7106A" w:rsidP="007040C3">
            <w:pPr>
              <w:pStyle w:val="TableText"/>
            </w:pPr>
            <w:r w:rsidRPr="001F1A72">
              <w:t>MBS proposed fee</w:t>
            </w:r>
            <w:r w:rsidR="001D62D5">
              <w:t>, low fee = biannual</w:t>
            </w:r>
          </w:p>
        </w:tc>
      </w:tr>
      <w:tr w:rsidR="00A7106A" w:rsidRPr="001F1A72" w:rsidTr="00D1533C">
        <w:trPr>
          <w:trHeight w:val="300"/>
          <w:tblHeader/>
        </w:trPr>
        <w:tc>
          <w:tcPr>
            <w:tcW w:w="284" w:type="dxa"/>
            <w:tcBorders>
              <w:right w:val="nil"/>
            </w:tcBorders>
            <w:shd w:val="clear" w:color="auto" w:fill="auto"/>
            <w:noWrap/>
            <w:vAlign w:val="bottom"/>
          </w:tcPr>
          <w:p w:rsidR="00A7106A" w:rsidRPr="001F1A72" w:rsidRDefault="00A7106A" w:rsidP="007040C3">
            <w:pPr>
              <w:pStyle w:val="TableText"/>
            </w:pPr>
          </w:p>
        </w:tc>
        <w:tc>
          <w:tcPr>
            <w:tcW w:w="3686" w:type="dxa"/>
            <w:tcBorders>
              <w:left w:val="nil"/>
            </w:tcBorders>
            <w:shd w:val="clear" w:color="auto" w:fill="auto"/>
            <w:noWrap/>
            <w:vAlign w:val="bottom"/>
          </w:tcPr>
          <w:p w:rsidR="00A7106A" w:rsidRDefault="00A7106A" w:rsidP="007040C3">
            <w:pPr>
              <w:pStyle w:val="TableText"/>
            </w:pPr>
            <w:r>
              <w:t>Cost of vitamin D test</w:t>
            </w:r>
          </w:p>
        </w:tc>
        <w:tc>
          <w:tcPr>
            <w:tcW w:w="709" w:type="dxa"/>
            <w:shd w:val="clear" w:color="auto" w:fill="auto"/>
            <w:noWrap/>
            <w:vAlign w:val="bottom"/>
          </w:tcPr>
          <w:p w:rsidR="00A7106A" w:rsidRPr="001F1A72" w:rsidRDefault="00A7106A" w:rsidP="007040C3">
            <w:pPr>
              <w:pStyle w:val="TableText"/>
              <w:jc w:val="center"/>
            </w:pPr>
            <w:r>
              <w:t>39.05</w:t>
            </w:r>
          </w:p>
        </w:tc>
        <w:tc>
          <w:tcPr>
            <w:tcW w:w="709" w:type="dxa"/>
            <w:shd w:val="clear" w:color="auto" w:fill="auto"/>
            <w:noWrap/>
            <w:vAlign w:val="bottom"/>
          </w:tcPr>
          <w:p w:rsidR="00A7106A" w:rsidRPr="001F1A72" w:rsidRDefault="00A7106A" w:rsidP="007040C3">
            <w:pPr>
              <w:pStyle w:val="TableText"/>
              <w:jc w:val="center"/>
            </w:pPr>
            <w:r>
              <w:t>19.53</w:t>
            </w:r>
          </w:p>
        </w:tc>
        <w:tc>
          <w:tcPr>
            <w:tcW w:w="708" w:type="dxa"/>
            <w:shd w:val="clear" w:color="auto" w:fill="auto"/>
            <w:noWrap/>
            <w:vAlign w:val="bottom"/>
          </w:tcPr>
          <w:p w:rsidR="00A7106A" w:rsidRPr="001F1A72" w:rsidRDefault="00A7106A" w:rsidP="007040C3">
            <w:pPr>
              <w:pStyle w:val="TableText"/>
              <w:jc w:val="center"/>
            </w:pPr>
            <w:r>
              <w:t>78.10</w:t>
            </w:r>
          </w:p>
        </w:tc>
        <w:tc>
          <w:tcPr>
            <w:tcW w:w="709" w:type="dxa"/>
            <w:shd w:val="clear" w:color="auto" w:fill="auto"/>
            <w:noWrap/>
            <w:vAlign w:val="bottom"/>
          </w:tcPr>
          <w:p w:rsidR="00A7106A" w:rsidRPr="001F1A72" w:rsidRDefault="00A7106A" w:rsidP="007040C3">
            <w:pPr>
              <w:pStyle w:val="TableText"/>
              <w:jc w:val="center"/>
            </w:pPr>
            <w:r>
              <w:t>gamma</w:t>
            </w:r>
          </w:p>
        </w:tc>
        <w:tc>
          <w:tcPr>
            <w:tcW w:w="2743" w:type="dxa"/>
            <w:shd w:val="clear" w:color="auto" w:fill="auto"/>
            <w:noWrap/>
            <w:vAlign w:val="bottom"/>
          </w:tcPr>
          <w:p w:rsidR="00A7106A" w:rsidRPr="001F1A72" w:rsidRDefault="00A7106A" w:rsidP="007040C3">
            <w:pPr>
              <w:pStyle w:val="TableText"/>
            </w:pPr>
            <w:r>
              <w:t>MBS item 66608</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pPr>
          </w:p>
        </w:tc>
        <w:tc>
          <w:tcPr>
            <w:tcW w:w="3686" w:type="dxa"/>
            <w:tcBorders>
              <w:left w:val="nil"/>
            </w:tcBorders>
            <w:shd w:val="clear" w:color="auto" w:fill="auto"/>
            <w:noWrap/>
            <w:vAlign w:val="bottom"/>
            <w:hideMark/>
          </w:tcPr>
          <w:p w:rsidR="00A7106A" w:rsidRPr="001F1A72" w:rsidRDefault="00A7106A" w:rsidP="007040C3">
            <w:pPr>
              <w:pStyle w:val="TableText"/>
            </w:pPr>
            <w:r>
              <w:t>Annual cost of death/palliation care</w:t>
            </w:r>
          </w:p>
        </w:tc>
        <w:tc>
          <w:tcPr>
            <w:tcW w:w="709" w:type="dxa"/>
            <w:shd w:val="clear" w:color="auto" w:fill="auto"/>
            <w:noWrap/>
            <w:vAlign w:val="bottom"/>
            <w:hideMark/>
          </w:tcPr>
          <w:p w:rsidR="00A7106A" w:rsidRPr="001F1A72" w:rsidRDefault="00A7106A" w:rsidP="007040C3">
            <w:pPr>
              <w:pStyle w:val="TableText"/>
              <w:jc w:val="center"/>
            </w:pPr>
            <w:r w:rsidRPr="001F1A72">
              <w:t>8659</w:t>
            </w:r>
          </w:p>
        </w:tc>
        <w:tc>
          <w:tcPr>
            <w:tcW w:w="709" w:type="dxa"/>
            <w:shd w:val="clear" w:color="auto" w:fill="auto"/>
            <w:noWrap/>
            <w:vAlign w:val="bottom"/>
            <w:hideMark/>
          </w:tcPr>
          <w:p w:rsidR="00A7106A" w:rsidRPr="001F1A72" w:rsidRDefault="00A7106A" w:rsidP="007040C3">
            <w:pPr>
              <w:pStyle w:val="TableText"/>
              <w:jc w:val="center"/>
            </w:pPr>
            <w:r w:rsidRPr="001F1A72">
              <w:t>6061</w:t>
            </w:r>
          </w:p>
        </w:tc>
        <w:tc>
          <w:tcPr>
            <w:tcW w:w="708" w:type="dxa"/>
            <w:shd w:val="clear" w:color="auto" w:fill="auto"/>
            <w:noWrap/>
            <w:vAlign w:val="bottom"/>
            <w:hideMark/>
          </w:tcPr>
          <w:p w:rsidR="00A7106A" w:rsidRPr="001F1A72" w:rsidRDefault="00A7106A" w:rsidP="007040C3">
            <w:pPr>
              <w:pStyle w:val="TableText"/>
              <w:jc w:val="center"/>
            </w:pPr>
            <w:r w:rsidRPr="001F1A72">
              <w:t>11257</w:t>
            </w:r>
          </w:p>
        </w:tc>
        <w:tc>
          <w:tcPr>
            <w:tcW w:w="709" w:type="dxa"/>
            <w:shd w:val="clear" w:color="auto" w:fill="auto"/>
            <w:noWrap/>
            <w:vAlign w:val="bottom"/>
            <w:hideMark/>
          </w:tcPr>
          <w:p w:rsidR="00A7106A" w:rsidRPr="001F1A72" w:rsidRDefault="00A7106A" w:rsidP="007040C3">
            <w:pPr>
              <w:pStyle w:val="TableText"/>
              <w:jc w:val="center"/>
            </w:pPr>
            <w:r w:rsidRPr="001F1A72">
              <w:t>gamma</w:t>
            </w:r>
          </w:p>
        </w:tc>
        <w:tc>
          <w:tcPr>
            <w:tcW w:w="2743" w:type="dxa"/>
            <w:shd w:val="clear" w:color="auto" w:fill="auto"/>
            <w:noWrap/>
            <w:vAlign w:val="bottom"/>
            <w:hideMark/>
          </w:tcPr>
          <w:p w:rsidR="00A7106A" w:rsidRPr="001F1A72" w:rsidRDefault="00A7106A" w:rsidP="007040C3">
            <w:pPr>
              <w:pStyle w:val="TableText"/>
            </w:pPr>
            <w:r w:rsidRPr="001F1A72">
              <w:t>Seshamani &amp; Gray 2005</w:t>
            </w:r>
          </w:p>
        </w:tc>
      </w:tr>
      <w:tr w:rsidR="00A7106A" w:rsidRPr="00A7106A" w:rsidTr="00D1533C">
        <w:trPr>
          <w:trHeight w:val="300"/>
          <w:tblHeader/>
        </w:trPr>
        <w:tc>
          <w:tcPr>
            <w:tcW w:w="3970" w:type="dxa"/>
            <w:gridSpan w:val="2"/>
            <w:shd w:val="clear" w:color="auto" w:fill="auto"/>
            <w:noWrap/>
            <w:vAlign w:val="bottom"/>
            <w:hideMark/>
          </w:tcPr>
          <w:p w:rsidR="00A7106A" w:rsidRPr="00A7106A" w:rsidRDefault="00A7106A" w:rsidP="007040C3">
            <w:pPr>
              <w:pStyle w:val="TableText"/>
              <w:rPr>
                <w:b/>
                <w:iCs/>
              </w:rPr>
            </w:pPr>
            <w:r w:rsidRPr="00A7106A">
              <w:rPr>
                <w:b/>
                <w:iCs/>
              </w:rPr>
              <w:t>Utilities</w:t>
            </w:r>
          </w:p>
        </w:tc>
        <w:tc>
          <w:tcPr>
            <w:tcW w:w="709" w:type="dxa"/>
            <w:shd w:val="clear" w:color="auto" w:fill="auto"/>
            <w:noWrap/>
            <w:vAlign w:val="bottom"/>
            <w:hideMark/>
          </w:tcPr>
          <w:p w:rsidR="00A7106A" w:rsidRPr="00A7106A" w:rsidRDefault="004B4974" w:rsidP="007040C3">
            <w:pPr>
              <w:pStyle w:val="TableText"/>
              <w:jc w:val="center"/>
            </w:pPr>
            <w:r>
              <w:t>-</w:t>
            </w:r>
          </w:p>
        </w:tc>
        <w:tc>
          <w:tcPr>
            <w:tcW w:w="709" w:type="dxa"/>
            <w:shd w:val="clear" w:color="auto" w:fill="auto"/>
            <w:noWrap/>
            <w:vAlign w:val="bottom"/>
            <w:hideMark/>
          </w:tcPr>
          <w:p w:rsidR="00A7106A" w:rsidRPr="00A7106A" w:rsidRDefault="004B4974" w:rsidP="007040C3">
            <w:pPr>
              <w:pStyle w:val="TableText"/>
              <w:jc w:val="center"/>
            </w:pPr>
            <w:r>
              <w:t>-</w:t>
            </w:r>
          </w:p>
        </w:tc>
        <w:tc>
          <w:tcPr>
            <w:tcW w:w="708" w:type="dxa"/>
            <w:shd w:val="clear" w:color="auto" w:fill="auto"/>
            <w:noWrap/>
            <w:vAlign w:val="bottom"/>
            <w:hideMark/>
          </w:tcPr>
          <w:p w:rsidR="00A7106A" w:rsidRPr="00A7106A" w:rsidRDefault="004B4974" w:rsidP="007040C3">
            <w:pPr>
              <w:pStyle w:val="TableText"/>
              <w:jc w:val="center"/>
            </w:pPr>
            <w:r>
              <w:t>-</w:t>
            </w:r>
          </w:p>
        </w:tc>
        <w:tc>
          <w:tcPr>
            <w:tcW w:w="709" w:type="dxa"/>
            <w:shd w:val="clear" w:color="auto" w:fill="auto"/>
            <w:noWrap/>
            <w:vAlign w:val="bottom"/>
            <w:hideMark/>
          </w:tcPr>
          <w:p w:rsidR="00A7106A" w:rsidRPr="00A7106A" w:rsidRDefault="004B4974" w:rsidP="007040C3">
            <w:pPr>
              <w:pStyle w:val="TableText"/>
              <w:jc w:val="center"/>
            </w:pPr>
            <w:r>
              <w:t>-</w:t>
            </w:r>
          </w:p>
        </w:tc>
        <w:tc>
          <w:tcPr>
            <w:tcW w:w="2743" w:type="dxa"/>
            <w:shd w:val="clear" w:color="auto" w:fill="auto"/>
            <w:noWrap/>
            <w:vAlign w:val="bottom"/>
            <w:hideMark/>
          </w:tcPr>
          <w:p w:rsidR="00A7106A" w:rsidRPr="00A7106A" w:rsidRDefault="00A7106A" w:rsidP="007040C3">
            <w:pPr>
              <w:pStyle w:val="TableText"/>
            </w:pPr>
            <w:r w:rsidRPr="00A7106A">
              <w:t> </w:t>
            </w:r>
            <w:r w:rsidR="004B4974">
              <w:t>-</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pPr>
          </w:p>
        </w:tc>
        <w:tc>
          <w:tcPr>
            <w:tcW w:w="3686" w:type="dxa"/>
            <w:tcBorders>
              <w:left w:val="nil"/>
            </w:tcBorders>
            <w:shd w:val="clear" w:color="auto" w:fill="auto"/>
            <w:noWrap/>
            <w:vAlign w:val="bottom"/>
            <w:hideMark/>
          </w:tcPr>
          <w:p w:rsidR="00A7106A" w:rsidRPr="001F1A72" w:rsidRDefault="00A7106A" w:rsidP="007040C3">
            <w:pPr>
              <w:pStyle w:val="TableText"/>
            </w:pPr>
            <w:r>
              <w:t xml:space="preserve">Background utility adjusted for AI therapy </w:t>
            </w:r>
            <w:r w:rsidR="004F095C">
              <w:t>/ brca</w:t>
            </w:r>
          </w:p>
        </w:tc>
        <w:tc>
          <w:tcPr>
            <w:tcW w:w="709" w:type="dxa"/>
            <w:shd w:val="clear" w:color="auto" w:fill="auto"/>
            <w:noWrap/>
            <w:vAlign w:val="bottom"/>
            <w:hideMark/>
          </w:tcPr>
          <w:p w:rsidR="00A7106A" w:rsidRPr="001F1A72" w:rsidRDefault="00A7106A" w:rsidP="007040C3">
            <w:pPr>
              <w:pStyle w:val="TableText"/>
              <w:jc w:val="center"/>
            </w:pPr>
            <w:r w:rsidRPr="001F1A72">
              <w:t>0.857</w:t>
            </w:r>
          </w:p>
        </w:tc>
        <w:tc>
          <w:tcPr>
            <w:tcW w:w="709" w:type="dxa"/>
            <w:shd w:val="clear" w:color="auto" w:fill="auto"/>
            <w:noWrap/>
            <w:vAlign w:val="bottom"/>
            <w:hideMark/>
          </w:tcPr>
          <w:p w:rsidR="00A7106A" w:rsidRPr="001F1A72" w:rsidRDefault="00A7106A" w:rsidP="007040C3">
            <w:pPr>
              <w:pStyle w:val="TableText"/>
              <w:jc w:val="center"/>
            </w:pPr>
            <w:r w:rsidRPr="001F1A72">
              <w:t>0.728</w:t>
            </w:r>
          </w:p>
        </w:tc>
        <w:tc>
          <w:tcPr>
            <w:tcW w:w="708" w:type="dxa"/>
            <w:shd w:val="clear" w:color="auto" w:fill="auto"/>
            <w:noWrap/>
            <w:vAlign w:val="bottom"/>
            <w:hideMark/>
          </w:tcPr>
          <w:p w:rsidR="00A7106A" w:rsidRPr="001F1A72" w:rsidRDefault="00A7106A" w:rsidP="007040C3">
            <w:pPr>
              <w:pStyle w:val="TableText"/>
              <w:jc w:val="center"/>
            </w:pPr>
            <w:r w:rsidRPr="001F1A72">
              <w:t>0.986</w:t>
            </w:r>
          </w:p>
        </w:tc>
        <w:tc>
          <w:tcPr>
            <w:tcW w:w="709" w:type="dxa"/>
            <w:shd w:val="clear" w:color="auto" w:fill="auto"/>
            <w:noWrap/>
            <w:vAlign w:val="bottom"/>
            <w:hideMark/>
          </w:tcPr>
          <w:p w:rsidR="00A7106A" w:rsidRPr="001F1A72" w:rsidRDefault="00A7106A" w:rsidP="007040C3">
            <w:pPr>
              <w:pStyle w:val="TableText"/>
              <w:jc w:val="center"/>
            </w:pPr>
            <w:r w:rsidRPr="001F1A72">
              <w:t>beta</w:t>
            </w:r>
          </w:p>
        </w:tc>
        <w:tc>
          <w:tcPr>
            <w:tcW w:w="2743" w:type="dxa"/>
            <w:shd w:val="clear" w:color="auto" w:fill="auto"/>
            <w:noWrap/>
            <w:vAlign w:val="bottom"/>
            <w:hideMark/>
          </w:tcPr>
          <w:p w:rsidR="00A7106A" w:rsidRPr="001F1A72" w:rsidRDefault="00A7106A" w:rsidP="007040C3">
            <w:pPr>
              <w:pStyle w:val="TableText"/>
            </w:pPr>
            <w:r w:rsidRPr="001F1A72">
              <w:t xml:space="preserve">Viney </w:t>
            </w:r>
            <w:r>
              <w:t xml:space="preserve">2011, </w:t>
            </w:r>
            <w:r w:rsidRPr="001F1A72">
              <w:t xml:space="preserve"> Mansel </w:t>
            </w:r>
            <w:r>
              <w:t>2007</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pPr>
          </w:p>
        </w:tc>
        <w:tc>
          <w:tcPr>
            <w:tcW w:w="3686" w:type="dxa"/>
            <w:tcBorders>
              <w:left w:val="nil"/>
            </w:tcBorders>
            <w:shd w:val="clear" w:color="auto" w:fill="auto"/>
            <w:noWrap/>
            <w:vAlign w:val="bottom"/>
            <w:hideMark/>
          </w:tcPr>
          <w:p w:rsidR="00A7106A" w:rsidRPr="001F1A72" w:rsidRDefault="00A7106A" w:rsidP="007040C3">
            <w:pPr>
              <w:pStyle w:val="TableText"/>
            </w:pPr>
            <w:r>
              <w:t>Disutility from a hip fx</w:t>
            </w:r>
          </w:p>
        </w:tc>
        <w:tc>
          <w:tcPr>
            <w:tcW w:w="709" w:type="dxa"/>
            <w:shd w:val="clear" w:color="auto" w:fill="auto"/>
            <w:noWrap/>
            <w:vAlign w:val="bottom"/>
            <w:hideMark/>
          </w:tcPr>
          <w:p w:rsidR="00A7106A" w:rsidRPr="001F1A72" w:rsidRDefault="00A7106A" w:rsidP="007040C3">
            <w:pPr>
              <w:pStyle w:val="TableText"/>
              <w:jc w:val="center"/>
            </w:pPr>
            <w:r w:rsidRPr="001F1A72">
              <w:t>-0.131</w:t>
            </w:r>
          </w:p>
        </w:tc>
        <w:tc>
          <w:tcPr>
            <w:tcW w:w="709" w:type="dxa"/>
            <w:shd w:val="clear" w:color="auto" w:fill="auto"/>
            <w:noWrap/>
            <w:vAlign w:val="bottom"/>
            <w:hideMark/>
          </w:tcPr>
          <w:p w:rsidR="00A7106A" w:rsidRPr="001F1A72" w:rsidRDefault="00A7106A" w:rsidP="007040C3">
            <w:pPr>
              <w:pStyle w:val="TableText"/>
              <w:jc w:val="center"/>
            </w:pPr>
            <w:r w:rsidRPr="001F1A72">
              <w:t>-0.111</w:t>
            </w:r>
          </w:p>
        </w:tc>
        <w:tc>
          <w:tcPr>
            <w:tcW w:w="708" w:type="dxa"/>
            <w:shd w:val="clear" w:color="auto" w:fill="auto"/>
            <w:noWrap/>
            <w:vAlign w:val="bottom"/>
            <w:hideMark/>
          </w:tcPr>
          <w:p w:rsidR="00A7106A" w:rsidRPr="001F1A72" w:rsidRDefault="00A7106A" w:rsidP="007040C3">
            <w:pPr>
              <w:pStyle w:val="TableText"/>
              <w:jc w:val="center"/>
            </w:pPr>
            <w:r w:rsidRPr="001F1A72">
              <w:t>-0.151</w:t>
            </w:r>
          </w:p>
        </w:tc>
        <w:tc>
          <w:tcPr>
            <w:tcW w:w="709" w:type="dxa"/>
            <w:shd w:val="clear" w:color="auto" w:fill="auto"/>
            <w:noWrap/>
            <w:vAlign w:val="bottom"/>
            <w:hideMark/>
          </w:tcPr>
          <w:p w:rsidR="00A7106A" w:rsidRPr="001F1A72" w:rsidRDefault="00A7106A" w:rsidP="007040C3">
            <w:pPr>
              <w:pStyle w:val="TableText"/>
              <w:jc w:val="center"/>
            </w:pPr>
            <w:r w:rsidRPr="001F1A72">
              <w:t>beta</w:t>
            </w:r>
          </w:p>
        </w:tc>
        <w:tc>
          <w:tcPr>
            <w:tcW w:w="2743" w:type="dxa"/>
            <w:shd w:val="clear" w:color="auto" w:fill="auto"/>
            <w:noWrap/>
            <w:vAlign w:val="bottom"/>
            <w:hideMark/>
          </w:tcPr>
          <w:p w:rsidR="00A7106A" w:rsidRPr="001F1A72" w:rsidRDefault="00A7106A" w:rsidP="007040C3">
            <w:pPr>
              <w:pStyle w:val="TableText"/>
            </w:pPr>
            <w:r w:rsidRPr="001F1A72">
              <w:t xml:space="preserve">Mansel 2007, </w:t>
            </w:r>
            <w:r>
              <w:t>±</w:t>
            </w:r>
            <w:r w:rsidRPr="001F1A72">
              <w:t xml:space="preserve">15% </w:t>
            </w:r>
            <w:r>
              <w:t>assumed</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pPr>
          </w:p>
        </w:tc>
        <w:tc>
          <w:tcPr>
            <w:tcW w:w="3686" w:type="dxa"/>
            <w:tcBorders>
              <w:left w:val="nil"/>
            </w:tcBorders>
            <w:shd w:val="clear" w:color="auto" w:fill="auto"/>
            <w:noWrap/>
            <w:vAlign w:val="bottom"/>
            <w:hideMark/>
          </w:tcPr>
          <w:p w:rsidR="00A7106A" w:rsidRPr="001F1A72" w:rsidRDefault="00A7106A" w:rsidP="007040C3">
            <w:pPr>
              <w:pStyle w:val="TableText"/>
            </w:pPr>
            <w:r>
              <w:t>Disutility from a vertebral fx</w:t>
            </w:r>
          </w:p>
        </w:tc>
        <w:tc>
          <w:tcPr>
            <w:tcW w:w="709" w:type="dxa"/>
            <w:shd w:val="clear" w:color="auto" w:fill="auto"/>
            <w:noWrap/>
            <w:vAlign w:val="bottom"/>
            <w:hideMark/>
          </w:tcPr>
          <w:p w:rsidR="00A7106A" w:rsidRPr="001F1A72" w:rsidRDefault="00A7106A" w:rsidP="007040C3">
            <w:pPr>
              <w:pStyle w:val="TableText"/>
              <w:jc w:val="center"/>
            </w:pPr>
            <w:r w:rsidRPr="001F1A72">
              <w:t>-0.095</w:t>
            </w:r>
          </w:p>
        </w:tc>
        <w:tc>
          <w:tcPr>
            <w:tcW w:w="709" w:type="dxa"/>
            <w:shd w:val="clear" w:color="auto" w:fill="auto"/>
            <w:noWrap/>
            <w:vAlign w:val="bottom"/>
            <w:hideMark/>
          </w:tcPr>
          <w:p w:rsidR="00A7106A" w:rsidRPr="001F1A72" w:rsidRDefault="00A7106A" w:rsidP="007040C3">
            <w:pPr>
              <w:pStyle w:val="TableText"/>
              <w:jc w:val="center"/>
            </w:pPr>
            <w:r w:rsidRPr="001F1A72">
              <w:t>-0.081</w:t>
            </w:r>
          </w:p>
        </w:tc>
        <w:tc>
          <w:tcPr>
            <w:tcW w:w="708" w:type="dxa"/>
            <w:shd w:val="clear" w:color="auto" w:fill="auto"/>
            <w:noWrap/>
            <w:vAlign w:val="bottom"/>
            <w:hideMark/>
          </w:tcPr>
          <w:p w:rsidR="00A7106A" w:rsidRPr="001F1A72" w:rsidRDefault="00A7106A" w:rsidP="007040C3">
            <w:pPr>
              <w:pStyle w:val="TableText"/>
              <w:jc w:val="center"/>
            </w:pPr>
            <w:r w:rsidRPr="001F1A72">
              <w:t>-0.109</w:t>
            </w:r>
          </w:p>
        </w:tc>
        <w:tc>
          <w:tcPr>
            <w:tcW w:w="709" w:type="dxa"/>
            <w:shd w:val="clear" w:color="auto" w:fill="auto"/>
            <w:noWrap/>
            <w:vAlign w:val="bottom"/>
            <w:hideMark/>
          </w:tcPr>
          <w:p w:rsidR="00A7106A" w:rsidRPr="001F1A72" w:rsidRDefault="00A7106A" w:rsidP="007040C3">
            <w:pPr>
              <w:pStyle w:val="TableText"/>
              <w:jc w:val="center"/>
            </w:pPr>
            <w:r w:rsidRPr="001F1A72">
              <w:t>beta</w:t>
            </w:r>
          </w:p>
        </w:tc>
        <w:tc>
          <w:tcPr>
            <w:tcW w:w="2743" w:type="dxa"/>
            <w:shd w:val="clear" w:color="auto" w:fill="auto"/>
            <w:noWrap/>
            <w:vAlign w:val="bottom"/>
            <w:hideMark/>
          </w:tcPr>
          <w:p w:rsidR="00A7106A" w:rsidRPr="001F1A72" w:rsidRDefault="00A7106A" w:rsidP="007040C3">
            <w:pPr>
              <w:pStyle w:val="TableText"/>
            </w:pPr>
            <w:r w:rsidRPr="001F1A72">
              <w:t xml:space="preserve">Mansel 2007, </w:t>
            </w:r>
            <w:r>
              <w:t>±</w:t>
            </w:r>
            <w:r w:rsidRPr="001F1A72">
              <w:t xml:space="preserve">15% </w:t>
            </w:r>
            <w:r>
              <w:t>assumed</w:t>
            </w:r>
          </w:p>
        </w:tc>
      </w:tr>
      <w:tr w:rsidR="00A7106A" w:rsidRPr="001F1A72" w:rsidTr="00D1533C">
        <w:trPr>
          <w:trHeight w:val="300"/>
          <w:tblHeader/>
        </w:trPr>
        <w:tc>
          <w:tcPr>
            <w:tcW w:w="284" w:type="dxa"/>
            <w:tcBorders>
              <w:right w:val="nil"/>
            </w:tcBorders>
            <w:shd w:val="clear" w:color="auto" w:fill="auto"/>
            <w:noWrap/>
            <w:vAlign w:val="bottom"/>
            <w:hideMark/>
          </w:tcPr>
          <w:p w:rsidR="00A7106A" w:rsidRPr="001F1A72" w:rsidRDefault="00A7106A" w:rsidP="007040C3">
            <w:pPr>
              <w:pStyle w:val="TableText"/>
            </w:pPr>
          </w:p>
        </w:tc>
        <w:tc>
          <w:tcPr>
            <w:tcW w:w="3686" w:type="dxa"/>
            <w:tcBorders>
              <w:left w:val="nil"/>
            </w:tcBorders>
            <w:shd w:val="clear" w:color="auto" w:fill="auto"/>
            <w:noWrap/>
            <w:vAlign w:val="bottom"/>
            <w:hideMark/>
          </w:tcPr>
          <w:p w:rsidR="00A7106A" w:rsidRPr="001F1A72" w:rsidRDefault="00A7106A" w:rsidP="007040C3">
            <w:pPr>
              <w:pStyle w:val="TableText"/>
            </w:pPr>
            <w:r>
              <w:t>Disutility from an ‘other’ fx</w:t>
            </w:r>
          </w:p>
        </w:tc>
        <w:tc>
          <w:tcPr>
            <w:tcW w:w="709" w:type="dxa"/>
            <w:shd w:val="clear" w:color="auto" w:fill="auto"/>
            <w:noWrap/>
            <w:vAlign w:val="bottom"/>
            <w:hideMark/>
          </w:tcPr>
          <w:p w:rsidR="00A7106A" w:rsidRPr="001F1A72" w:rsidRDefault="00A7106A" w:rsidP="007040C3">
            <w:pPr>
              <w:pStyle w:val="TableText"/>
              <w:jc w:val="center"/>
            </w:pPr>
            <w:r w:rsidRPr="001F1A72">
              <w:t>-0.073</w:t>
            </w:r>
          </w:p>
        </w:tc>
        <w:tc>
          <w:tcPr>
            <w:tcW w:w="709" w:type="dxa"/>
            <w:shd w:val="clear" w:color="auto" w:fill="auto"/>
            <w:noWrap/>
            <w:vAlign w:val="bottom"/>
            <w:hideMark/>
          </w:tcPr>
          <w:p w:rsidR="00A7106A" w:rsidRPr="001F1A72" w:rsidRDefault="00A7106A" w:rsidP="007040C3">
            <w:pPr>
              <w:pStyle w:val="TableText"/>
              <w:jc w:val="center"/>
            </w:pPr>
            <w:r w:rsidRPr="001F1A72">
              <w:t>-0.062</w:t>
            </w:r>
          </w:p>
        </w:tc>
        <w:tc>
          <w:tcPr>
            <w:tcW w:w="708" w:type="dxa"/>
            <w:shd w:val="clear" w:color="auto" w:fill="auto"/>
            <w:noWrap/>
            <w:vAlign w:val="bottom"/>
            <w:hideMark/>
          </w:tcPr>
          <w:p w:rsidR="00A7106A" w:rsidRPr="001F1A72" w:rsidRDefault="00A7106A" w:rsidP="007040C3">
            <w:pPr>
              <w:pStyle w:val="TableText"/>
              <w:jc w:val="center"/>
            </w:pPr>
            <w:r w:rsidRPr="001F1A72">
              <w:t>-0.084</w:t>
            </w:r>
          </w:p>
        </w:tc>
        <w:tc>
          <w:tcPr>
            <w:tcW w:w="709" w:type="dxa"/>
            <w:shd w:val="clear" w:color="auto" w:fill="auto"/>
            <w:noWrap/>
            <w:vAlign w:val="bottom"/>
            <w:hideMark/>
          </w:tcPr>
          <w:p w:rsidR="00A7106A" w:rsidRPr="001F1A72" w:rsidRDefault="00A7106A" w:rsidP="007040C3">
            <w:pPr>
              <w:pStyle w:val="TableText"/>
              <w:jc w:val="center"/>
            </w:pPr>
            <w:r w:rsidRPr="001F1A72">
              <w:t>beta</w:t>
            </w:r>
          </w:p>
        </w:tc>
        <w:tc>
          <w:tcPr>
            <w:tcW w:w="2743" w:type="dxa"/>
            <w:shd w:val="clear" w:color="auto" w:fill="auto"/>
            <w:noWrap/>
            <w:vAlign w:val="bottom"/>
            <w:hideMark/>
          </w:tcPr>
          <w:p w:rsidR="00A7106A" w:rsidRPr="001F1A72" w:rsidRDefault="00A7106A" w:rsidP="007040C3">
            <w:pPr>
              <w:pStyle w:val="TableText"/>
            </w:pPr>
            <w:r w:rsidRPr="001F1A72">
              <w:t xml:space="preserve">Mansel 2007, </w:t>
            </w:r>
            <w:r>
              <w:t>±</w:t>
            </w:r>
            <w:r w:rsidRPr="001F1A72">
              <w:t xml:space="preserve">15% </w:t>
            </w:r>
            <w:r>
              <w:t>assumed</w:t>
            </w:r>
          </w:p>
        </w:tc>
      </w:tr>
    </w:tbl>
    <w:p w:rsidR="008A5528" w:rsidRDefault="006D19D1" w:rsidP="006D19D1">
      <w:pPr>
        <w:rPr>
          <w:rFonts w:ascii="Arial Narrow" w:hAnsi="Arial Narrow"/>
          <w:sz w:val="18"/>
          <w:szCs w:val="18"/>
        </w:rPr>
      </w:pPr>
      <w:r w:rsidRPr="006D19D1">
        <w:rPr>
          <w:rFonts w:ascii="Arial Narrow" w:hAnsi="Arial Narrow"/>
          <w:sz w:val="18"/>
          <w:szCs w:val="18"/>
        </w:rPr>
        <w:t>RR = relative risk, fx = fracture, DXA = dual absorptiometry X-ray, AI = aromatase inhibitor, SD = standard deviation, BMD = bone mineral density</w:t>
      </w:r>
    </w:p>
    <w:p w:rsidR="008A5528" w:rsidRPr="006D19D1" w:rsidRDefault="008A5528" w:rsidP="006D19D1">
      <w:pPr>
        <w:rPr>
          <w:rFonts w:ascii="Arial Narrow" w:hAnsi="Arial Narrow"/>
          <w:sz w:val="18"/>
          <w:szCs w:val="18"/>
        </w:rPr>
      </w:pPr>
      <w:r>
        <w:rPr>
          <w:rFonts w:ascii="Arial Narrow" w:hAnsi="Arial Narrow"/>
          <w:sz w:val="18"/>
          <w:szCs w:val="18"/>
        </w:rPr>
        <w:lastRenderedPageBreak/>
        <w:t xml:space="preserve">References: </w:t>
      </w:r>
      <w:r>
        <w:rPr>
          <w:rFonts w:ascii="Arial Narrow" w:hAnsi="Arial Narrow"/>
          <w:sz w:val="18"/>
          <w:szCs w:val="18"/>
        </w:rPr>
        <w:fldChar w:fldCharType="begin">
          <w:fldData xml:space="preserve">PEVuZE5vdGU+PENpdGU+PEF1dGhvcj5BdXN0cmFsaWFuIEluc3RpdHV0ZSBvZiBIZWFsdGggYW5k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</w:fldData>
        </w:fldChar>
      </w:r>
      <w:r>
        <w:rPr>
          <w:rFonts w:ascii="Arial Narrow" w:hAnsi="Arial Narrow"/>
          <w:sz w:val="18"/>
          <w:szCs w:val="18"/>
        </w:rPr>
        <w:instrText xml:space="preserve"> ADDIN EN.CITE </w:instrText>
      </w:r>
      <w:r>
        <w:rPr>
          <w:rFonts w:ascii="Arial Narrow" w:hAnsi="Arial Narrow"/>
          <w:sz w:val="18"/>
          <w:szCs w:val="18"/>
        </w:rPr>
        <w:fldChar w:fldCharType="begin">
          <w:fldData xml:space="preserve">PEVuZE5vdGU+PENpdGU+PEF1dGhvcj5BdXN0cmFsaWFuIEluc3RpdHV0ZSBvZiBIZWFsdGggYW5k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</w:fldData>
        </w:fldChar>
      </w:r>
      <w:r>
        <w:rPr>
          <w:rFonts w:ascii="Arial Narrow" w:hAnsi="Arial Narrow"/>
          <w:sz w:val="18"/>
          <w:szCs w:val="18"/>
        </w:rPr>
        <w:instrText xml:space="preserve"> ADDIN EN.CITE.DATA </w:instrText>
      </w:r>
      <w:r>
        <w:rPr>
          <w:rFonts w:ascii="Arial Narrow" w:hAnsi="Arial Narrow"/>
          <w:sz w:val="18"/>
          <w:szCs w:val="18"/>
        </w:rPr>
      </w:r>
      <w:r>
        <w:rPr>
          <w:rFonts w:ascii="Arial Narrow" w:hAnsi="Arial Narrow"/>
          <w:sz w:val="18"/>
          <w:szCs w:val="18"/>
        </w:rPr>
        <w:fldChar w:fldCharType="end"/>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w:t>
      </w:r>
      <w:hyperlink w:anchor="_ENREF_40" w:tooltip="Marshall, 1996 #232" w:history="1">
        <w:r w:rsidR="006F79C1">
          <w:rPr>
            <w:rFonts w:ascii="Arial Narrow" w:hAnsi="Arial Narrow"/>
            <w:noProof/>
            <w:sz w:val="18"/>
            <w:szCs w:val="18"/>
          </w:rPr>
          <w:t>Marshall, Johnell et al. 1996</w:t>
        </w:r>
      </w:hyperlink>
      <w:r>
        <w:rPr>
          <w:rFonts w:ascii="Arial Narrow" w:hAnsi="Arial Narrow"/>
          <w:noProof/>
          <w:sz w:val="18"/>
          <w:szCs w:val="18"/>
        </w:rPr>
        <w:t xml:space="preserve">, </w:t>
      </w:r>
      <w:hyperlink w:anchor="_ENREF_29" w:tooltip="Kanis, 2004 #261" w:history="1">
        <w:r w:rsidR="006F79C1">
          <w:rPr>
            <w:rFonts w:ascii="Arial Narrow" w:hAnsi="Arial Narrow"/>
            <w:noProof/>
            <w:sz w:val="18"/>
            <w:szCs w:val="18"/>
          </w:rPr>
          <w:t>Kanis, Johansson et al. 2004</w:t>
        </w:r>
      </w:hyperlink>
      <w:r>
        <w:rPr>
          <w:rFonts w:ascii="Arial Narrow" w:hAnsi="Arial Narrow"/>
          <w:noProof/>
          <w:sz w:val="18"/>
          <w:szCs w:val="18"/>
        </w:rPr>
        <w:t xml:space="preserve">, </w:t>
      </w:r>
      <w:hyperlink w:anchor="_ENREF_38" w:tooltip="Mansel, 2007 #266" w:history="1">
        <w:r w:rsidR="006F79C1">
          <w:rPr>
            <w:rFonts w:ascii="Arial Narrow" w:hAnsi="Arial Narrow"/>
            <w:noProof/>
            <w:sz w:val="18"/>
            <w:szCs w:val="18"/>
          </w:rPr>
          <w:t>Mansel, Locker et al. 2007</w:t>
        </w:r>
      </w:hyperlink>
      <w:r>
        <w:rPr>
          <w:rFonts w:ascii="Arial Narrow" w:hAnsi="Arial Narrow"/>
          <w:noProof/>
          <w:sz w:val="18"/>
          <w:szCs w:val="18"/>
        </w:rPr>
        <w:t xml:space="preserve">, </w:t>
      </w:r>
      <w:hyperlink w:anchor="_ENREF_22" w:tooltip="Haentjens, 2010 #4" w:history="1">
        <w:r w:rsidR="006F79C1">
          <w:rPr>
            <w:rFonts w:ascii="Arial Narrow" w:hAnsi="Arial Narrow"/>
            <w:noProof/>
            <w:sz w:val="18"/>
            <w:szCs w:val="18"/>
          </w:rPr>
          <w:t>Haentjens, Magaziner et al. 2010</w:t>
        </w:r>
      </w:hyperlink>
      <w:r>
        <w:rPr>
          <w:rFonts w:ascii="Arial Narrow" w:hAnsi="Arial Narrow"/>
          <w:noProof/>
          <w:sz w:val="18"/>
          <w:szCs w:val="18"/>
        </w:rPr>
        <w:t xml:space="preserve">, </w:t>
      </w:r>
      <w:hyperlink w:anchor="_ENREF_2" w:tooltip="Australian Institute of Health and Welfare, 2011 #264" w:history="1">
        <w:r w:rsidR="006F79C1">
          <w:rPr>
            <w:rFonts w:ascii="Arial Narrow" w:hAnsi="Arial Narrow"/>
            <w:noProof/>
            <w:sz w:val="18"/>
            <w:szCs w:val="18"/>
          </w:rPr>
          <w:t>Australian Institute of Health and Welfare 2011</w:t>
        </w:r>
      </w:hyperlink>
      <w:r>
        <w:rPr>
          <w:rFonts w:ascii="Arial Narrow" w:hAnsi="Arial Narrow"/>
          <w:noProof/>
          <w:sz w:val="18"/>
          <w:szCs w:val="18"/>
        </w:rPr>
        <w:t xml:space="preserve">, </w:t>
      </w:r>
      <w:hyperlink w:anchor="_ENREF_25" w:tooltip="Henry, 2011 #60" w:history="1">
        <w:r w:rsidR="006F79C1">
          <w:rPr>
            <w:rFonts w:ascii="Arial Narrow" w:hAnsi="Arial Narrow"/>
            <w:noProof/>
            <w:sz w:val="18"/>
            <w:szCs w:val="18"/>
          </w:rPr>
          <w:t>Henry, Pasco et al. 2011</w:t>
        </w:r>
      </w:hyperlink>
      <w:r>
        <w:rPr>
          <w:rFonts w:ascii="Arial Narrow" w:hAnsi="Arial Narrow"/>
          <w:noProof/>
          <w:sz w:val="18"/>
          <w:szCs w:val="18"/>
        </w:rPr>
        <w:t xml:space="preserve">, </w:t>
      </w:r>
      <w:hyperlink w:anchor="_ENREF_43" w:tooltip="Neuner, 2011 #250" w:history="1">
        <w:r w:rsidR="006F79C1">
          <w:rPr>
            <w:rFonts w:ascii="Arial Narrow" w:hAnsi="Arial Narrow"/>
            <w:noProof/>
            <w:sz w:val="18"/>
            <w:szCs w:val="18"/>
          </w:rPr>
          <w:t>Neuner, Yen et al. 2011</w:t>
        </w:r>
      </w:hyperlink>
      <w:r>
        <w:rPr>
          <w:rFonts w:ascii="Arial Narrow" w:hAnsi="Arial Narrow"/>
          <w:noProof/>
          <w:sz w:val="18"/>
          <w:szCs w:val="18"/>
        </w:rPr>
        <w:t xml:space="preserve">, </w:t>
      </w:r>
      <w:hyperlink w:anchor="_ENREF_62" w:tooltip="Viney, 2011 #267" w:history="1">
        <w:r w:rsidR="006F79C1">
          <w:rPr>
            <w:rFonts w:ascii="Arial Narrow" w:hAnsi="Arial Narrow"/>
            <w:noProof/>
            <w:sz w:val="18"/>
            <w:szCs w:val="18"/>
          </w:rPr>
          <w:t>Viney, Norman et al. 2011</w:t>
        </w:r>
      </w:hyperlink>
      <w:r>
        <w:rPr>
          <w:rFonts w:ascii="Arial Narrow" w:hAnsi="Arial Narrow"/>
          <w:noProof/>
          <w:sz w:val="18"/>
          <w:szCs w:val="18"/>
        </w:rPr>
        <w:t xml:space="preserve">, </w:t>
      </w:r>
      <w:hyperlink w:anchor="_ENREF_6" w:tooltip="Becker, 2012 #242" w:history="1">
        <w:r w:rsidR="006F79C1">
          <w:rPr>
            <w:rFonts w:ascii="Arial Narrow" w:hAnsi="Arial Narrow"/>
            <w:noProof/>
            <w:sz w:val="18"/>
            <w:szCs w:val="18"/>
          </w:rPr>
          <w:t>Becker, Lipscombe et al. 2012</w:t>
        </w:r>
      </w:hyperlink>
      <w:r>
        <w:rPr>
          <w:rFonts w:ascii="Arial Narrow" w:hAnsi="Arial Narrow"/>
          <w:noProof/>
          <w:sz w:val="18"/>
          <w:szCs w:val="18"/>
        </w:rPr>
        <w:t xml:space="preserve">, </w:t>
      </w:r>
      <w:hyperlink w:anchor="_ENREF_10" w:tooltip="Brufsky, 2012 #166" w:history="1">
        <w:r w:rsidR="006F79C1">
          <w:rPr>
            <w:rFonts w:ascii="Arial Narrow" w:hAnsi="Arial Narrow"/>
            <w:noProof/>
            <w:sz w:val="18"/>
            <w:szCs w:val="18"/>
          </w:rPr>
          <w:t>Brufsky, Harker et al. 2012</w:t>
        </w:r>
      </w:hyperlink>
      <w:r>
        <w:rPr>
          <w:rFonts w:ascii="Arial Narrow" w:hAnsi="Arial Narrow"/>
          <w:noProof/>
          <w:sz w:val="18"/>
          <w:szCs w:val="18"/>
        </w:rPr>
        <w:t xml:space="preserve">, </w:t>
      </w:r>
      <w:hyperlink w:anchor="_ENREF_36" w:tooltip="Llombart, 2012 #72" w:history="1">
        <w:r w:rsidR="006F79C1">
          <w:rPr>
            <w:rFonts w:ascii="Arial Narrow" w:hAnsi="Arial Narrow"/>
            <w:noProof/>
            <w:sz w:val="18"/>
            <w:szCs w:val="18"/>
          </w:rPr>
          <w:t>Llombart, Frassoldati et al. 2012</w:t>
        </w:r>
      </w:hyperlink>
      <w:r>
        <w:rPr>
          <w:rFonts w:ascii="Arial Narrow" w:hAnsi="Arial Narrow"/>
          <w:noProof/>
          <w:sz w:val="18"/>
          <w:szCs w:val="18"/>
        </w:rPr>
        <w:t xml:space="preserve">, </w:t>
      </w:r>
      <w:hyperlink w:anchor="_ENREF_11" w:tooltip="Coleman, 2013 #165" w:history="1">
        <w:r w:rsidR="006F79C1">
          <w:rPr>
            <w:rFonts w:ascii="Arial Narrow" w:hAnsi="Arial Narrow"/>
            <w:noProof/>
            <w:sz w:val="18"/>
            <w:szCs w:val="18"/>
          </w:rPr>
          <w:t>Coleman, Boer et al. 2013</w:t>
        </w:r>
      </w:hyperlink>
      <w:r>
        <w:rPr>
          <w:rFonts w:ascii="Arial Narrow" w:hAnsi="Arial Narrow"/>
          <w:noProof/>
          <w:sz w:val="18"/>
          <w:szCs w:val="18"/>
        </w:rPr>
        <w:t xml:space="preserve">, </w:t>
      </w:r>
      <w:hyperlink w:anchor="_ENREF_20" w:tooltip="Goss, 2013 #247" w:history="1">
        <w:r w:rsidR="006F79C1">
          <w:rPr>
            <w:rFonts w:ascii="Arial Narrow" w:hAnsi="Arial Narrow"/>
            <w:noProof/>
            <w:sz w:val="18"/>
            <w:szCs w:val="18"/>
          </w:rPr>
          <w:t>Goss, Ingle et al. 2013</w:t>
        </w:r>
      </w:hyperlink>
      <w:r>
        <w:rPr>
          <w:rFonts w:ascii="Arial Narrow" w:hAnsi="Arial Narrow"/>
          <w:noProof/>
          <w:sz w:val="18"/>
          <w:szCs w:val="18"/>
        </w:rPr>
        <w:t>)</w:t>
      </w:r>
      <w:r>
        <w:rPr>
          <w:rFonts w:ascii="Arial Narrow" w:hAnsi="Arial Narrow"/>
          <w:sz w:val="18"/>
          <w:szCs w:val="18"/>
        </w:rPr>
        <w:fldChar w:fldCharType="end"/>
      </w:r>
    </w:p>
    <w:p w:rsidR="00176D76" w:rsidRDefault="00D304EC" w:rsidP="00E94C57">
      <w:pPr>
        <w:pStyle w:val="Heading4"/>
      </w:pPr>
      <w:r>
        <w:t>Results</w:t>
      </w:r>
      <w:r w:rsidR="00E94C57">
        <w:t xml:space="preserve"> of the economic evaluation</w:t>
      </w:r>
    </w:p>
    <w:p w:rsidR="00E94C57" w:rsidRDefault="00E94C57" w:rsidP="00B61625">
      <w:r>
        <w:t>Table 2</w:t>
      </w:r>
      <w:r w:rsidR="007E7779">
        <w:t>6</w:t>
      </w:r>
      <w:r>
        <w:t xml:space="preserve"> provides the results of the economic evaluation. Incremental cost effectiveness ratios were produced for two outcomes; per QALY gain and per fracture avoided.</w:t>
      </w:r>
    </w:p>
    <w:p w:rsidR="00176D76" w:rsidRPr="00DC7184" w:rsidRDefault="00176D76" w:rsidP="00DC7184">
      <w:pPr>
        <w:pStyle w:val="TableName"/>
      </w:pPr>
      <w:bookmarkStart w:id="131" w:name="_Toc386112695"/>
      <w:r w:rsidRPr="00DC7184">
        <w:t xml:space="preserve">Table </w:t>
      </w:r>
      <w:r w:rsidR="00D304EC" w:rsidRPr="00DC7184">
        <w:t>2</w:t>
      </w:r>
      <w:r w:rsidR="007E7779" w:rsidRPr="00DC7184">
        <w:t>6</w:t>
      </w:r>
      <w:r w:rsidRPr="00DC7184">
        <w:t>: Key results of economic evaluation</w:t>
      </w:r>
      <w:r w:rsidR="00E94C57" w:rsidRPr="00DC7184">
        <w:t xml:space="preserve"> (annual DXA scan, 60 year old cohort, 40 years)</w:t>
      </w:r>
      <w:bookmarkEnd w:id="131"/>
    </w:p>
    <w:tbl>
      <w:tblPr>
        <w:tblStyle w:val="TableGrid"/>
        <w:tblW w:w="8593" w:type="dxa"/>
        <w:tblInd w:w="720" w:type="dxa"/>
        <w:tblLook w:val="04A0" w:firstRow="1" w:lastRow="0" w:firstColumn="1" w:lastColumn="0" w:noHBand="0" w:noVBand="1"/>
        <w:tblCaption w:val="Table 26 Key results of cost-effectiveness analyses"/>
      </w:tblPr>
      <w:tblGrid>
        <w:gridCol w:w="2120"/>
        <w:gridCol w:w="954"/>
        <w:gridCol w:w="851"/>
        <w:gridCol w:w="850"/>
        <w:gridCol w:w="851"/>
        <w:gridCol w:w="989"/>
        <w:gridCol w:w="989"/>
        <w:gridCol w:w="989"/>
      </w:tblGrid>
      <w:tr w:rsidR="00A7106A" w:rsidRPr="00A7106A" w:rsidTr="00D1533C">
        <w:trPr>
          <w:tblHeader/>
        </w:trPr>
        <w:tc>
          <w:tcPr>
            <w:tcW w:w="2120" w:type="dxa"/>
          </w:tcPr>
          <w:p w:rsidR="00A7106A" w:rsidRPr="00A7106A" w:rsidRDefault="00A7106A" w:rsidP="00A7106A">
            <w:pPr>
              <w:pStyle w:val="TableText"/>
              <w:rPr>
                <w:b/>
              </w:rPr>
            </w:pPr>
            <w:r w:rsidRPr="00A7106A">
              <w:rPr>
                <w:b/>
              </w:rPr>
              <w:t>Intervention</w:t>
            </w:r>
          </w:p>
        </w:tc>
        <w:tc>
          <w:tcPr>
            <w:tcW w:w="954" w:type="dxa"/>
          </w:tcPr>
          <w:p w:rsidR="00A7106A" w:rsidRPr="00A7106A" w:rsidRDefault="00A7106A" w:rsidP="00A7106A">
            <w:pPr>
              <w:pStyle w:val="TableText"/>
              <w:jc w:val="center"/>
              <w:rPr>
                <w:b/>
              </w:rPr>
            </w:pPr>
            <w:r w:rsidRPr="00A7106A">
              <w:rPr>
                <w:b/>
              </w:rPr>
              <w:t>Mean Costs</w:t>
            </w:r>
          </w:p>
        </w:tc>
        <w:tc>
          <w:tcPr>
            <w:tcW w:w="851" w:type="dxa"/>
          </w:tcPr>
          <w:p w:rsidR="00A7106A" w:rsidRPr="00A7106A" w:rsidRDefault="00A7106A" w:rsidP="00A7106A">
            <w:pPr>
              <w:pStyle w:val="TableText"/>
              <w:jc w:val="center"/>
              <w:rPr>
                <w:b/>
              </w:rPr>
            </w:pPr>
            <w:r w:rsidRPr="00A7106A">
              <w:rPr>
                <w:b/>
              </w:rPr>
              <w:t>Mean QALYs</w:t>
            </w:r>
          </w:p>
        </w:tc>
        <w:tc>
          <w:tcPr>
            <w:tcW w:w="850" w:type="dxa"/>
          </w:tcPr>
          <w:p w:rsidR="00A7106A" w:rsidRPr="00A7106A" w:rsidRDefault="00A7106A" w:rsidP="00A7106A">
            <w:pPr>
              <w:pStyle w:val="TableText"/>
              <w:jc w:val="center"/>
              <w:rPr>
                <w:b/>
              </w:rPr>
            </w:pPr>
            <w:r w:rsidRPr="00A7106A">
              <w:rPr>
                <w:b/>
              </w:rPr>
              <w:t>Inc Costs</w:t>
            </w:r>
          </w:p>
        </w:tc>
        <w:tc>
          <w:tcPr>
            <w:tcW w:w="851" w:type="dxa"/>
          </w:tcPr>
          <w:p w:rsidR="00A7106A" w:rsidRPr="00A7106A" w:rsidRDefault="00A7106A" w:rsidP="00A7106A">
            <w:pPr>
              <w:pStyle w:val="TableText"/>
              <w:jc w:val="center"/>
              <w:rPr>
                <w:b/>
              </w:rPr>
            </w:pPr>
            <w:r w:rsidRPr="00A7106A">
              <w:rPr>
                <w:b/>
              </w:rPr>
              <w:t>Inc QALYs</w:t>
            </w:r>
          </w:p>
        </w:tc>
        <w:tc>
          <w:tcPr>
            <w:tcW w:w="989" w:type="dxa"/>
          </w:tcPr>
          <w:p w:rsidR="00A7106A" w:rsidRPr="00A7106A" w:rsidRDefault="00A7106A" w:rsidP="00A7106A">
            <w:pPr>
              <w:pStyle w:val="TableText"/>
              <w:jc w:val="center"/>
              <w:rPr>
                <w:b/>
              </w:rPr>
            </w:pPr>
            <w:r w:rsidRPr="00A7106A">
              <w:rPr>
                <w:b/>
              </w:rPr>
              <w:t>ICER QALYs</w:t>
            </w:r>
          </w:p>
        </w:tc>
        <w:tc>
          <w:tcPr>
            <w:tcW w:w="989" w:type="dxa"/>
          </w:tcPr>
          <w:p w:rsidR="00A7106A" w:rsidRPr="00A7106A" w:rsidRDefault="005602F3" w:rsidP="00A7106A">
            <w:pPr>
              <w:pStyle w:val="TableText"/>
              <w:jc w:val="center"/>
              <w:rPr>
                <w:b/>
              </w:rPr>
            </w:pPr>
            <w:r>
              <w:rPr>
                <w:b/>
              </w:rPr>
              <w:t>Fractures</w:t>
            </w:r>
            <w:r w:rsidR="00A7106A" w:rsidRPr="00A7106A">
              <w:rPr>
                <w:b/>
              </w:rPr>
              <w:t xml:space="preserve"> per 1000</w:t>
            </w:r>
            <w:r w:rsidR="0092233E">
              <w:rPr>
                <w:b/>
              </w:rPr>
              <w:t xml:space="preserve"> women</w:t>
            </w:r>
          </w:p>
        </w:tc>
        <w:tc>
          <w:tcPr>
            <w:tcW w:w="989" w:type="dxa"/>
          </w:tcPr>
          <w:p w:rsidR="00A7106A" w:rsidRPr="00A7106A" w:rsidRDefault="00E94C57" w:rsidP="00A7106A">
            <w:pPr>
              <w:pStyle w:val="TableText"/>
              <w:jc w:val="center"/>
              <w:rPr>
                <w:b/>
              </w:rPr>
            </w:pPr>
            <w:r>
              <w:rPr>
                <w:b/>
              </w:rPr>
              <w:t>ICER Fracture avoided</w:t>
            </w:r>
          </w:p>
        </w:tc>
      </w:tr>
      <w:tr w:rsidR="00A7106A" w:rsidRPr="00A7106A" w:rsidTr="00D1533C">
        <w:trPr>
          <w:tblHeader/>
        </w:trPr>
        <w:tc>
          <w:tcPr>
            <w:tcW w:w="2120" w:type="dxa"/>
          </w:tcPr>
          <w:p w:rsidR="00A7106A" w:rsidRPr="00A7106A" w:rsidRDefault="00A7106A" w:rsidP="00A7106A">
            <w:pPr>
              <w:pStyle w:val="TableText"/>
            </w:pPr>
            <w:r w:rsidRPr="00A7106A">
              <w:t>No DXA and lifestyle advice only (all women)</w:t>
            </w:r>
          </w:p>
        </w:tc>
        <w:tc>
          <w:tcPr>
            <w:tcW w:w="954" w:type="dxa"/>
            <w:vAlign w:val="center"/>
          </w:tcPr>
          <w:p w:rsidR="00A7106A" w:rsidRPr="00A7106A" w:rsidRDefault="00A7106A" w:rsidP="00A7106A">
            <w:pPr>
              <w:pStyle w:val="TableText"/>
              <w:jc w:val="center"/>
            </w:pPr>
            <w:r>
              <w:t>$</w:t>
            </w:r>
            <w:r w:rsidRPr="00A7106A">
              <w:t>4056</w:t>
            </w:r>
          </w:p>
        </w:tc>
        <w:tc>
          <w:tcPr>
            <w:tcW w:w="851" w:type="dxa"/>
            <w:vAlign w:val="center"/>
          </w:tcPr>
          <w:p w:rsidR="00A7106A" w:rsidRPr="00A7106A" w:rsidRDefault="00A7106A" w:rsidP="00A7106A">
            <w:pPr>
              <w:pStyle w:val="TableText"/>
              <w:jc w:val="center"/>
            </w:pPr>
            <w:r w:rsidRPr="00A7106A">
              <w:t>11.657</w:t>
            </w:r>
          </w:p>
        </w:tc>
        <w:tc>
          <w:tcPr>
            <w:tcW w:w="850" w:type="dxa"/>
            <w:vAlign w:val="center"/>
          </w:tcPr>
          <w:p w:rsidR="00A7106A" w:rsidRPr="00A7106A" w:rsidRDefault="00A7106A" w:rsidP="00A7106A">
            <w:pPr>
              <w:pStyle w:val="TableText"/>
              <w:jc w:val="center"/>
            </w:pPr>
            <w:r w:rsidRPr="00A7106A">
              <w:t>ref</w:t>
            </w:r>
          </w:p>
        </w:tc>
        <w:tc>
          <w:tcPr>
            <w:tcW w:w="851" w:type="dxa"/>
            <w:vAlign w:val="center"/>
          </w:tcPr>
          <w:p w:rsidR="00A7106A" w:rsidRPr="00A7106A" w:rsidRDefault="00A7106A" w:rsidP="00A7106A">
            <w:pPr>
              <w:pStyle w:val="TableText"/>
              <w:jc w:val="center"/>
            </w:pPr>
            <w:r w:rsidRPr="00A7106A">
              <w:t>ref</w:t>
            </w:r>
          </w:p>
        </w:tc>
        <w:tc>
          <w:tcPr>
            <w:tcW w:w="989" w:type="dxa"/>
            <w:vAlign w:val="center"/>
          </w:tcPr>
          <w:p w:rsidR="00A7106A" w:rsidRPr="00A7106A" w:rsidRDefault="00A7106A" w:rsidP="00A7106A">
            <w:pPr>
              <w:pStyle w:val="TableText"/>
              <w:jc w:val="center"/>
              <w:rPr>
                <w:b/>
              </w:rPr>
            </w:pPr>
            <w:r w:rsidRPr="00A7106A">
              <w:rPr>
                <w:b/>
              </w:rPr>
              <w:t>ref</w:t>
            </w:r>
          </w:p>
        </w:tc>
        <w:tc>
          <w:tcPr>
            <w:tcW w:w="989" w:type="dxa"/>
            <w:vAlign w:val="center"/>
          </w:tcPr>
          <w:p w:rsidR="00A7106A" w:rsidRPr="00A7106A" w:rsidRDefault="00A7106A" w:rsidP="00A7106A">
            <w:pPr>
              <w:pStyle w:val="TableText"/>
              <w:jc w:val="center"/>
            </w:pPr>
            <w:r w:rsidRPr="00A7106A">
              <w:t>113</w:t>
            </w:r>
          </w:p>
        </w:tc>
        <w:tc>
          <w:tcPr>
            <w:tcW w:w="989" w:type="dxa"/>
            <w:vAlign w:val="center"/>
          </w:tcPr>
          <w:p w:rsidR="00A7106A" w:rsidRPr="00A7106A" w:rsidRDefault="00A7106A" w:rsidP="00A7106A">
            <w:pPr>
              <w:pStyle w:val="TableText"/>
              <w:jc w:val="center"/>
              <w:rPr>
                <w:b/>
              </w:rPr>
            </w:pPr>
            <w:r w:rsidRPr="00A7106A">
              <w:rPr>
                <w:b/>
              </w:rPr>
              <w:t>ref</w:t>
            </w:r>
          </w:p>
        </w:tc>
      </w:tr>
      <w:tr w:rsidR="00A7106A" w:rsidRPr="00A7106A" w:rsidTr="00D1533C">
        <w:trPr>
          <w:tblHeader/>
        </w:trPr>
        <w:tc>
          <w:tcPr>
            <w:tcW w:w="2120" w:type="dxa"/>
          </w:tcPr>
          <w:p w:rsidR="00A7106A" w:rsidRPr="00A7106A" w:rsidRDefault="00A7106A" w:rsidP="00A7106A">
            <w:pPr>
              <w:pStyle w:val="TableText"/>
            </w:pPr>
            <w:r w:rsidRPr="00A7106A">
              <w:t>DXA + ARtx (osteoporosis)</w:t>
            </w:r>
          </w:p>
        </w:tc>
        <w:tc>
          <w:tcPr>
            <w:tcW w:w="954" w:type="dxa"/>
            <w:vAlign w:val="center"/>
          </w:tcPr>
          <w:p w:rsidR="00A7106A" w:rsidRPr="00A7106A" w:rsidRDefault="00A7106A" w:rsidP="00A7106A">
            <w:pPr>
              <w:pStyle w:val="TableText"/>
              <w:jc w:val="center"/>
            </w:pPr>
            <w:r>
              <w:t>$</w:t>
            </w:r>
            <w:r w:rsidRPr="00A7106A">
              <w:t>5331</w:t>
            </w:r>
          </w:p>
        </w:tc>
        <w:tc>
          <w:tcPr>
            <w:tcW w:w="851" w:type="dxa"/>
            <w:vAlign w:val="center"/>
          </w:tcPr>
          <w:p w:rsidR="00A7106A" w:rsidRPr="00A7106A" w:rsidRDefault="00A7106A" w:rsidP="00A7106A">
            <w:pPr>
              <w:pStyle w:val="TableText"/>
              <w:jc w:val="center"/>
            </w:pPr>
            <w:r w:rsidRPr="00A7106A">
              <w:t>11.956</w:t>
            </w:r>
          </w:p>
        </w:tc>
        <w:tc>
          <w:tcPr>
            <w:tcW w:w="850" w:type="dxa"/>
            <w:vAlign w:val="center"/>
          </w:tcPr>
          <w:p w:rsidR="00A7106A" w:rsidRPr="00A7106A" w:rsidRDefault="00A7106A" w:rsidP="00A7106A">
            <w:pPr>
              <w:pStyle w:val="TableText"/>
              <w:jc w:val="center"/>
            </w:pPr>
            <w:r>
              <w:t>$</w:t>
            </w:r>
            <w:r w:rsidRPr="00A7106A">
              <w:t>1275</w:t>
            </w:r>
          </w:p>
        </w:tc>
        <w:tc>
          <w:tcPr>
            <w:tcW w:w="851" w:type="dxa"/>
            <w:vAlign w:val="center"/>
          </w:tcPr>
          <w:p w:rsidR="00A7106A" w:rsidRPr="00A7106A" w:rsidRDefault="00A7106A" w:rsidP="00A7106A">
            <w:pPr>
              <w:pStyle w:val="TableText"/>
              <w:jc w:val="center"/>
            </w:pPr>
            <w:r w:rsidRPr="00A7106A">
              <w:t>0.299</w:t>
            </w:r>
          </w:p>
        </w:tc>
        <w:tc>
          <w:tcPr>
            <w:tcW w:w="989" w:type="dxa"/>
            <w:vAlign w:val="center"/>
          </w:tcPr>
          <w:p w:rsidR="00A7106A" w:rsidRPr="00A7106A" w:rsidRDefault="00A7106A" w:rsidP="00A7106A">
            <w:pPr>
              <w:pStyle w:val="TableText"/>
              <w:jc w:val="center"/>
              <w:rPr>
                <w:b/>
              </w:rPr>
            </w:pPr>
            <w:r w:rsidRPr="00A7106A">
              <w:rPr>
                <w:b/>
              </w:rPr>
              <w:t>$4</w:t>
            </w:r>
            <w:r>
              <w:rPr>
                <w:b/>
              </w:rPr>
              <w:t>,</w:t>
            </w:r>
            <w:r w:rsidRPr="00A7106A">
              <w:rPr>
                <w:b/>
              </w:rPr>
              <w:t>264</w:t>
            </w:r>
          </w:p>
        </w:tc>
        <w:tc>
          <w:tcPr>
            <w:tcW w:w="989" w:type="dxa"/>
            <w:vAlign w:val="center"/>
          </w:tcPr>
          <w:p w:rsidR="00A7106A" w:rsidRPr="00A7106A" w:rsidRDefault="00A7106A" w:rsidP="00A7106A">
            <w:pPr>
              <w:pStyle w:val="TableText"/>
              <w:jc w:val="center"/>
            </w:pPr>
            <w:r w:rsidRPr="00A7106A">
              <w:t>100</w:t>
            </w:r>
          </w:p>
        </w:tc>
        <w:tc>
          <w:tcPr>
            <w:tcW w:w="989" w:type="dxa"/>
            <w:vAlign w:val="center"/>
          </w:tcPr>
          <w:p w:rsidR="00A7106A" w:rsidRPr="00A7106A" w:rsidRDefault="00A7106A" w:rsidP="00A7106A">
            <w:pPr>
              <w:pStyle w:val="TableText"/>
              <w:jc w:val="center"/>
              <w:rPr>
                <w:b/>
              </w:rPr>
            </w:pPr>
            <w:r w:rsidRPr="00A7106A">
              <w:rPr>
                <w:b/>
              </w:rPr>
              <w:t>$98,077</w:t>
            </w:r>
          </w:p>
        </w:tc>
      </w:tr>
      <w:tr w:rsidR="00A7106A" w:rsidRPr="00A7106A" w:rsidTr="00D1533C">
        <w:trPr>
          <w:tblHeader/>
        </w:trPr>
        <w:tc>
          <w:tcPr>
            <w:tcW w:w="2120" w:type="dxa"/>
          </w:tcPr>
          <w:p w:rsidR="00A7106A" w:rsidRPr="00A7106A" w:rsidRDefault="00A7106A" w:rsidP="00A7106A">
            <w:pPr>
              <w:pStyle w:val="TableText"/>
            </w:pPr>
            <w:r w:rsidRPr="00A7106A">
              <w:t>DXA + ARtx (osteoporosis + osteopenia)</w:t>
            </w:r>
          </w:p>
        </w:tc>
        <w:tc>
          <w:tcPr>
            <w:tcW w:w="954" w:type="dxa"/>
            <w:vAlign w:val="center"/>
          </w:tcPr>
          <w:p w:rsidR="00A7106A" w:rsidRPr="00A7106A" w:rsidRDefault="00A7106A" w:rsidP="00A7106A">
            <w:pPr>
              <w:pStyle w:val="TableText"/>
              <w:jc w:val="center"/>
            </w:pPr>
            <w:r>
              <w:t>$</w:t>
            </w:r>
            <w:r w:rsidRPr="00A7106A">
              <w:t>10249</w:t>
            </w:r>
          </w:p>
        </w:tc>
        <w:tc>
          <w:tcPr>
            <w:tcW w:w="851" w:type="dxa"/>
            <w:vAlign w:val="center"/>
          </w:tcPr>
          <w:p w:rsidR="00A7106A" w:rsidRPr="00A7106A" w:rsidRDefault="00A7106A" w:rsidP="00A7106A">
            <w:pPr>
              <w:pStyle w:val="TableText"/>
              <w:jc w:val="center"/>
            </w:pPr>
            <w:r w:rsidRPr="00A7106A">
              <w:t>11.959</w:t>
            </w:r>
          </w:p>
        </w:tc>
        <w:tc>
          <w:tcPr>
            <w:tcW w:w="850" w:type="dxa"/>
            <w:vAlign w:val="center"/>
          </w:tcPr>
          <w:p w:rsidR="00A7106A" w:rsidRPr="00A7106A" w:rsidRDefault="00A7106A" w:rsidP="00A7106A">
            <w:pPr>
              <w:pStyle w:val="TableText"/>
              <w:jc w:val="center"/>
            </w:pPr>
            <w:r>
              <w:t>$</w:t>
            </w:r>
            <w:r w:rsidRPr="00A7106A">
              <w:t>6193</w:t>
            </w:r>
          </w:p>
        </w:tc>
        <w:tc>
          <w:tcPr>
            <w:tcW w:w="851" w:type="dxa"/>
            <w:vAlign w:val="center"/>
          </w:tcPr>
          <w:p w:rsidR="00A7106A" w:rsidRPr="00A7106A" w:rsidRDefault="00A7106A" w:rsidP="00A7106A">
            <w:pPr>
              <w:pStyle w:val="TableText"/>
              <w:jc w:val="center"/>
            </w:pPr>
            <w:r w:rsidRPr="00A7106A">
              <w:t>0.302</w:t>
            </w:r>
          </w:p>
        </w:tc>
        <w:tc>
          <w:tcPr>
            <w:tcW w:w="989" w:type="dxa"/>
            <w:vAlign w:val="center"/>
          </w:tcPr>
          <w:p w:rsidR="00A7106A" w:rsidRPr="00A7106A" w:rsidRDefault="00A7106A" w:rsidP="00A7106A">
            <w:pPr>
              <w:pStyle w:val="TableText"/>
              <w:jc w:val="center"/>
              <w:rPr>
                <w:b/>
              </w:rPr>
            </w:pPr>
            <w:r w:rsidRPr="00A7106A">
              <w:rPr>
                <w:b/>
              </w:rPr>
              <w:t>$20</w:t>
            </w:r>
            <w:r>
              <w:rPr>
                <w:b/>
              </w:rPr>
              <w:t>,</w:t>
            </w:r>
            <w:r w:rsidRPr="00A7106A">
              <w:rPr>
                <w:b/>
              </w:rPr>
              <w:t>507</w:t>
            </w:r>
          </w:p>
        </w:tc>
        <w:tc>
          <w:tcPr>
            <w:tcW w:w="989" w:type="dxa"/>
            <w:vAlign w:val="center"/>
          </w:tcPr>
          <w:p w:rsidR="00A7106A" w:rsidRPr="00A7106A" w:rsidRDefault="00A7106A" w:rsidP="00A7106A">
            <w:pPr>
              <w:pStyle w:val="TableText"/>
              <w:jc w:val="center"/>
            </w:pPr>
            <w:r w:rsidRPr="00A7106A">
              <w:t>80</w:t>
            </w:r>
          </w:p>
        </w:tc>
        <w:tc>
          <w:tcPr>
            <w:tcW w:w="989" w:type="dxa"/>
            <w:vAlign w:val="center"/>
          </w:tcPr>
          <w:p w:rsidR="00A7106A" w:rsidRPr="00A7106A" w:rsidRDefault="00A7106A" w:rsidP="00A7106A">
            <w:pPr>
              <w:pStyle w:val="TableText"/>
              <w:jc w:val="center"/>
              <w:rPr>
                <w:b/>
              </w:rPr>
            </w:pPr>
            <w:r w:rsidRPr="00A7106A">
              <w:rPr>
                <w:b/>
              </w:rPr>
              <w:t>$187,667</w:t>
            </w:r>
          </w:p>
        </w:tc>
      </w:tr>
      <w:tr w:rsidR="00A7106A" w:rsidRPr="00A7106A" w:rsidTr="00D1533C">
        <w:trPr>
          <w:tblHeader/>
        </w:trPr>
        <w:tc>
          <w:tcPr>
            <w:tcW w:w="2120" w:type="dxa"/>
          </w:tcPr>
          <w:p w:rsidR="00A7106A" w:rsidRPr="00A7106A" w:rsidRDefault="00A7106A" w:rsidP="00A7106A">
            <w:pPr>
              <w:pStyle w:val="TableText"/>
            </w:pPr>
            <w:r w:rsidRPr="00A7106A">
              <w:t>DXA + ARtx (all women)</w:t>
            </w:r>
          </w:p>
        </w:tc>
        <w:tc>
          <w:tcPr>
            <w:tcW w:w="954" w:type="dxa"/>
            <w:vAlign w:val="center"/>
          </w:tcPr>
          <w:p w:rsidR="00A7106A" w:rsidRPr="00A7106A" w:rsidRDefault="00A7106A" w:rsidP="00A7106A">
            <w:pPr>
              <w:pStyle w:val="TableText"/>
              <w:jc w:val="center"/>
            </w:pPr>
            <w:r>
              <w:t>$</w:t>
            </w:r>
            <w:r w:rsidRPr="00A7106A">
              <w:t>13131</w:t>
            </w:r>
          </w:p>
        </w:tc>
        <w:tc>
          <w:tcPr>
            <w:tcW w:w="851" w:type="dxa"/>
            <w:vAlign w:val="center"/>
          </w:tcPr>
          <w:p w:rsidR="00A7106A" w:rsidRPr="00A7106A" w:rsidRDefault="00A7106A" w:rsidP="00A7106A">
            <w:pPr>
              <w:pStyle w:val="TableText"/>
              <w:jc w:val="center"/>
            </w:pPr>
            <w:r w:rsidRPr="00A7106A">
              <w:t>11.960</w:t>
            </w:r>
          </w:p>
        </w:tc>
        <w:tc>
          <w:tcPr>
            <w:tcW w:w="850" w:type="dxa"/>
            <w:vAlign w:val="center"/>
          </w:tcPr>
          <w:p w:rsidR="00A7106A" w:rsidRPr="00A7106A" w:rsidRDefault="00A7106A" w:rsidP="00A7106A">
            <w:pPr>
              <w:pStyle w:val="TableText"/>
              <w:jc w:val="center"/>
            </w:pPr>
            <w:r>
              <w:t>$</w:t>
            </w:r>
            <w:r w:rsidRPr="00A7106A">
              <w:t>9075</w:t>
            </w:r>
          </w:p>
        </w:tc>
        <w:tc>
          <w:tcPr>
            <w:tcW w:w="851" w:type="dxa"/>
            <w:vAlign w:val="center"/>
          </w:tcPr>
          <w:p w:rsidR="00A7106A" w:rsidRPr="00A7106A" w:rsidRDefault="00A7106A" w:rsidP="00A7106A">
            <w:pPr>
              <w:pStyle w:val="TableText"/>
              <w:jc w:val="center"/>
            </w:pPr>
            <w:r w:rsidRPr="00A7106A">
              <w:t>0.303</w:t>
            </w:r>
          </w:p>
        </w:tc>
        <w:tc>
          <w:tcPr>
            <w:tcW w:w="989" w:type="dxa"/>
            <w:vAlign w:val="center"/>
          </w:tcPr>
          <w:p w:rsidR="00A7106A" w:rsidRPr="00A7106A" w:rsidRDefault="00A7106A" w:rsidP="00A7106A">
            <w:pPr>
              <w:pStyle w:val="TableText"/>
              <w:jc w:val="center"/>
              <w:rPr>
                <w:b/>
              </w:rPr>
            </w:pPr>
            <w:r w:rsidRPr="00A7106A">
              <w:rPr>
                <w:b/>
              </w:rPr>
              <w:t>$29</w:t>
            </w:r>
            <w:r>
              <w:rPr>
                <w:b/>
              </w:rPr>
              <w:t>,</w:t>
            </w:r>
            <w:r w:rsidRPr="00A7106A">
              <w:rPr>
                <w:b/>
              </w:rPr>
              <w:t>950</w:t>
            </w:r>
          </w:p>
        </w:tc>
        <w:tc>
          <w:tcPr>
            <w:tcW w:w="989" w:type="dxa"/>
            <w:vAlign w:val="center"/>
          </w:tcPr>
          <w:p w:rsidR="00A7106A" w:rsidRPr="00A7106A" w:rsidRDefault="00A7106A" w:rsidP="00A7106A">
            <w:pPr>
              <w:pStyle w:val="TableText"/>
              <w:jc w:val="center"/>
            </w:pPr>
            <w:r w:rsidRPr="00A7106A">
              <w:t>73</w:t>
            </w:r>
          </w:p>
        </w:tc>
        <w:tc>
          <w:tcPr>
            <w:tcW w:w="989" w:type="dxa"/>
            <w:vAlign w:val="center"/>
          </w:tcPr>
          <w:p w:rsidR="00A7106A" w:rsidRPr="00A7106A" w:rsidRDefault="00A7106A" w:rsidP="00A7106A">
            <w:pPr>
              <w:pStyle w:val="TableText"/>
              <w:jc w:val="center"/>
              <w:rPr>
                <w:b/>
              </w:rPr>
            </w:pPr>
            <w:r w:rsidRPr="00A7106A">
              <w:rPr>
                <w:b/>
              </w:rPr>
              <w:t>$226,875</w:t>
            </w:r>
          </w:p>
        </w:tc>
      </w:tr>
    </w:tbl>
    <w:p w:rsidR="0092233E" w:rsidRDefault="0092233E" w:rsidP="00B61625">
      <w:r>
        <w:rPr>
          <w:rFonts w:ascii="Arial Narrow" w:hAnsi="Arial Narrow"/>
          <w:sz w:val="18"/>
          <w:szCs w:val="18"/>
        </w:rPr>
        <w:t xml:space="preserve">ARtx = Anti-resorptive therapy, </w:t>
      </w:r>
      <w:r w:rsidRPr="006D19D1">
        <w:rPr>
          <w:rFonts w:ascii="Arial Narrow" w:hAnsi="Arial Narrow"/>
          <w:sz w:val="18"/>
          <w:szCs w:val="18"/>
        </w:rPr>
        <w:t>DXA = dual absorptiometry X-ray</w:t>
      </w:r>
      <w:r>
        <w:rPr>
          <w:rFonts w:ascii="Arial Narrow" w:hAnsi="Arial Narrow"/>
          <w:sz w:val="18"/>
          <w:szCs w:val="18"/>
        </w:rPr>
        <w:t>, ICER = incremental cost effectiveness ratio, QALYs = quality adjusted life years</w:t>
      </w:r>
      <w:r>
        <w:t xml:space="preserve"> </w:t>
      </w:r>
    </w:p>
    <w:p w:rsidR="007E7779" w:rsidRDefault="007E7779" w:rsidP="00B61625">
      <w:r>
        <w:t xml:space="preserve">The model is mainly driven by costs rather than benefits. This is because the number of fractures is low over a 40 year period and similarly around 0.3 QALYs (4 months) of extra </w:t>
      </w:r>
      <w:r w:rsidR="00722BAB">
        <w:t>survival</w:t>
      </w:r>
      <w:r>
        <w:t xml:space="preserve"> is predicted.  </w:t>
      </w:r>
    </w:p>
    <w:p w:rsidR="00961D5C" w:rsidRDefault="00961D5C" w:rsidP="00B61625">
      <w:r>
        <w:t xml:space="preserve">The model </w:t>
      </w:r>
      <w:r w:rsidR="007E7779">
        <w:t>show</w:t>
      </w:r>
      <w:r w:rsidR="005C28E9">
        <w:t>s</w:t>
      </w:r>
      <w:r>
        <w:t xml:space="preserve"> an ICER of $</w:t>
      </w:r>
      <w:r w:rsidR="00A7106A">
        <w:t>4,264</w:t>
      </w:r>
      <w:r>
        <w:t xml:space="preserve"> per QALY gained for DXA and bone treatment for women with osteoporosis (BMD </w:t>
      </w:r>
      <w:r w:rsidR="007E7779">
        <w:t xml:space="preserve">T-score </w:t>
      </w:r>
      <w:r>
        <w:t xml:space="preserve">&lt;-2.5) compared with no </w:t>
      </w:r>
      <w:r w:rsidR="00722BAB">
        <w:t xml:space="preserve">DXA and lifestyle advice only. </w:t>
      </w:r>
      <w:r>
        <w:t>Similarly, for women with osteoporosis or osteopenia</w:t>
      </w:r>
      <w:r w:rsidR="005C28E9">
        <w:t xml:space="preserve"> (BMD T-score &lt;-1.0)</w:t>
      </w:r>
      <w:r>
        <w:t xml:space="preserve">, DXA and bone treatment was also cost-effective, although less cost-effective than for osteoporotic women only.  </w:t>
      </w:r>
      <w:r w:rsidR="00E94C57">
        <w:t>If incremental cost per fracture avoided was considered, no bone treatment strategy was cost-effective.</w:t>
      </w:r>
      <w:r w:rsidR="0092233E">
        <w:t xml:space="preserve">  </w:t>
      </w:r>
    </w:p>
    <w:p w:rsidR="00961D5C" w:rsidRDefault="002032CC" w:rsidP="00B61625">
      <w:r>
        <w:t xml:space="preserve">One-way sensitivity analyses were undertaken and the results are presented in </w:t>
      </w:r>
      <w:r w:rsidR="0034452D">
        <w:t xml:space="preserve">Figure </w:t>
      </w:r>
      <w:r w:rsidR="00E94C57">
        <w:t>1</w:t>
      </w:r>
      <w:r w:rsidR="00700BEE">
        <w:t>1</w:t>
      </w:r>
      <w:r w:rsidR="0034452D">
        <w:t xml:space="preserve"> </w:t>
      </w:r>
      <w:r>
        <w:t xml:space="preserve">for a selection of </w:t>
      </w:r>
      <w:r w:rsidR="00722BAB">
        <w:t>inputs</w:t>
      </w:r>
      <w:r>
        <w:t xml:space="preserve"> which generated t</w:t>
      </w:r>
      <w:r w:rsidR="007E7779">
        <w:t>he most change in the base ICER per QALY</w:t>
      </w:r>
      <w:r>
        <w:t>.</w:t>
      </w:r>
    </w:p>
    <w:p w:rsidR="0034452D" w:rsidRDefault="0034452D" w:rsidP="00DC7184">
      <w:pPr>
        <w:pStyle w:val="Figures"/>
      </w:pPr>
      <w:bookmarkStart w:id="132" w:name="_Toc386112714"/>
      <w:r>
        <w:lastRenderedPageBreak/>
        <w:t>Figure</w:t>
      </w:r>
      <w:r w:rsidR="00E94C57">
        <w:t xml:space="preserve"> 1</w:t>
      </w:r>
      <w:r w:rsidR="00700BEE">
        <w:t>1</w:t>
      </w:r>
      <w:r w:rsidR="00E94C57">
        <w:t>:</w:t>
      </w:r>
      <w:r>
        <w:t xml:space="preserve"> One-way sensitivity results of ICER for DXA plus </w:t>
      </w:r>
      <w:r w:rsidR="00E94C57">
        <w:t>AR</w:t>
      </w:r>
      <w:r>
        <w:t>tx for osteoporosis vs no DXA and lifestyle</w:t>
      </w:r>
      <w:bookmarkEnd w:id="132"/>
      <w:r>
        <w:t xml:space="preserve"> </w:t>
      </w:r>
    </w:p>
    <w:p w:rsidR="00066B5C" w:rsidRDefault="00066B5C" w:rsidP="0034452D">
      <w:pPr>
        <w:pStyle w:val="TableName"/>
      </w:pPr>
    </w:p>
    <w:p w:rsidR="00221E10" w:rsidRDefault="005F4CEF" w:rsidP="0034452D">
      <w:pPr>
        <w:spacing w:after="0"/>
        <w:ind w:left="0"/>
      </w:pPr>
      <w:r>
        <w:rPr>
          <w:noProof/>
        </w:rPr>
        <w:drawing>
          <wp:inline distT="0" distB="0" distL="0" distR="0" wp14:anchorId="33F97D94" wp14:editId="055354CF">
            <wp:extent cx="5892800" cy="3656259"/>
            <wp:effectExtent l="0" t="0" r="0" b="1905"/>
            <wp:docPr id="8" name="Picture 8" title="Fig 11 One-way sensitivity analyses tor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92800" cy="3656259"/>
                    </a:xfrm>
                    <a:prstGeom prst="rect">
                      <a:avLst/>
                    </a:prstGeom>
                    <a:noFill/>
                    <a:ln>
                      <a:noFill/>
                    </a:ln>
                  </pic:spPr>
                </pic:pic>
              </a:graphicData>
            </a:graphic>
          </wp:inline>
        </w:drawing>
      </w:r>
    </w:p>
    <w:p w:rsidR="00221E10" w:rsidRDefault="00221E10" w:rsidP="0034452D">
      <w:pPr>
        <w:spacing w:after="0"/>
        <w:ind w:left="0"/>
      </w:pPr>
    </w:p>
    <w:p w:rsidR="007E7779" w:rsidRDefault="007E7779" w:rsidP="00B61625"/>
    <w:p w:rsidR="002032CC" w:rsidRDefault="00E94C57" w:rsidP="00B61625">
      <w:r>
        <w:t>The</w:t>
      </w:r>
      <w:r w:rsidR="00E47571">
        <w:t xml:space="preserve"> results were most sensitive to the </w:t>
      </w:r>
      <w:r>
        <w:t xml:space="preserve">discount rates, the </w:t>
      </w:r>
      <w:r w:rsidR="00E47571">
        <w:t>annual cost of bone therapy, the probability of having osteoporosis, and background utility for women with early breast cancer. However, all the sensitivity results showed that for DXA and bone treatment for osteoporosis, the ICER</w:t>
      </w:r>
      <w:r w:rsidR="00722BAB">
        <w:t>s</w:t>
      </w:r>
      <w:r w:rsidR="00E47571">
        <w:t xml:space="preserve"> </w:t>
      </w:r>
      <w:r w:rsidR="00722BAB">
        <w:t>were no</w:t>
      </w:r>
      <w:r w:rsidR="00E47571">
        <w:t xml:space="preserve"> higher than $</w:t>
      </w:r>
      <w:r w:rsidR="007E7779">
        <w:t>9</w:t>
      </w:r>
      <w:r w:rsidR="00E47571">
        <w:t>,000 per QALY and therefore remain cost-effective</w:t>
      </w:r>
      <w:r w:rsidR="007E7779">
        <w:t xml:space="preserve"> per QALY gain</w:t>
      </w:r>
      <w:r w:rsidR="00E47571">
        <w:t>.</w:t>
      </w:r>
    </w:p>
    <w:p w:rsidR="00E47571" w:rsidRDefault="00E47571" w:rsidP="00B61625">
      <w:r>
        <w:t xml:space="preserve">Table </w:t>
      </w:r>
      <w:r w:rsidR="00E94C57">
        <w:t>27</w:t>
      </w:r>
      <w:r>
        <w:t xml:space="preserve"> shows the results of the scenario analyses where cohorts of different ages were altered. This was undertaken to capture the range of women with early breast cancer in Australia; 76% of women with breast cancer are older than 50 years</w:t>
      </w:r>
      <w:r w:rsidR="008A5528">
        <w:t xml:space="preserve"> </w:t>
      </w:r>
      <w:r w:rsidR="008A5528">
        <w:fldChar w:fldCharType="begin"/>
      </w:r>
      <w:r w:rsidR="008A5528">
        <w:instrText xml:space="preserve"> ADDIN EN.CITE &lt;EndNote&gt;&lt;Cite&gt;&lt;Author&gt;Australian Institute of Health and Welfare &amp;amp; Cancer Australia&lt;/Author&gt;&lt;Year&gt;2012&lt;/Year&gt;&lt;RecNum&gt;9&lt;/RecNum&gt;&lt;DisplayText&gt;(Australian Institute of Health and Welfare &amp;amp; Cancer Australia 2012)&lt;/DisplayText&gt;&lt;record&gt;&lt;rec-number&gt;9&lt;/rec-number&gt;&lt;foreign-keys&gt;&lt;key app="EN" db-id="v9edw0zeqvve5nedzvjx29f1df2z2tvpvw55" timestamp="1396841365"&gt;9&lt;/key&gt;&lt;/foreign-keys&gt;&lt;ref-type name="Report"&gt;27&lt;/ref-type&gt;&lt;contributors&gt;&lt;authors&gt;&lt;author&gt;Australian Institute of Health and Welfare &amp;amp; Cancer Australia,&lt;/author&gt;&lt;/authors&gt;&lt;tertiary-authors&gt;&lt;author&gt;Commonwealth Government&lt;/author&gt;&lt;/tertiary-authors&gt;&lt;/contributors&gt;&lt;titles&gt;&lt;title&gt;Breast cancer in Australia: an &amp;#xD;overview.  &lt;/title&gt;&lt;/titles&gt;&lt;num-vols&gt;Cancer series no. 71. Cat. no. CAN 67.&lt;/num-vols&gt;&lt;dates&gt;&lt;year&gt;2012&lt;/year&gt;&lt;/dates&gt;&lt;publisher&gt;Australian Institute of Health and Welfare&lt;/publisher&gt;&lt;urls&gt;&lt;/urls&gt;&lt;/record&gt;&lt;/Cite&gt;&lt;/EndNote&gt;</w:instrText>
      </w:r>
      <w:r w:rsidR="008A5528">
        <w:fldChar w:fldCharType="separate"/>
      </w:r>
      <w:r w:rsidR="008A5528">
        <w:rPr>
          <w:noProof/>
        </w:rPr>
        <w:t>(</w:t>
      </w:r>
      <w:hyperlink w:anchor="_ENREF_3" w:tooltip="Australian Institute of Health and Welfare &amp; Cancer Australia, 2012 #9" w:history="1">
        <w:r w:rsidR="006F79C1">
          <w:rPr>
            <w:noProof/>
          </w:rPr>
          <w:t>Australian Institute of Health and Welfare &amp; Cancer Australia 2012</w:t>
        </w:r>
      </w:hyperlink>
      <w:r w:rsidR="008A5528">
        <w:rPr>
          <w:noProof/>
        </w:rPr>
        <w:t>)</w:t>
      </w:r>
      <w:r w:rsidR="008A5528">
        <w:fldChar w:fldCharType="end"/>
      </w:r>
      <w:r>
        <w:t>. A total of 83% of women aged 55 years and over would be considered to have established menopause.</w:t>
      </w:r>
    </w:p>
    <w:p w:rsidR="00E47571" w:rsidRPr="00DC7184" w:rsidRDefault="00E47571" w:rsidP="00DC7184">
      <w:pPr>
        <w:pStyle w:val="TableName"/>
      </w:pPr>
      <w:bookmarkStart w:id="133" w:name="_Toc386112696"/>
      <w:r w:rsidRPr="00DC7184">
        <w:lastRenderedPageBreak/>
        <w:t xml:space="preserve">Table </w:t>
      </w:r>
      <w:r w:rsidR="00E94C57" w:rsidRPr="00DC7184">
        <w:t>27</w:t>
      </w:r>
      <w:r w:rsidRPr="00DC7184">
        <w:t>: Results of cost-utility</w:t>
      </w:r>
      <w:r w:rsidR="00C262EC">
        <w:t xml:space="preserve"> analyses</w:t>
      </w:r>
      <w:r w:rsidRPr="00DC7184">
        <w:t xml:space="preserve"> by different cohort </w:t>
      </w:r>
      <w:r w:rsidR="003D7EF5" w:rsidRPr="00DC7184">
        <w:t xml:space="preserve">starting </w:t>
      </w:r>
      <w:r w:rsidRPr="00DC7184">
        <w:t>ages</w:t>
      </w:r>
      <w:bookmarkEnd w:id="133"/>
    </w:p>
    <w:tbl>
      <w:tblPr>
        <w:tblStyle w:val="TableGrid"/>
        <w:tblW w:w="7550" w:type="dxa"/>
        <w:tblInd w:w="720" w:type="dxa"/>
        <w:tblLook w:val="04A0" w:firstRow="1" w:lastRow="0" w:firstColumn="1" w:lastColumn="0" w:noHBand="0" w:noVBand="1"/>
        <w:tblCaption w:val="Table 27 Results of cost-utility analyses by different cohort ages"/>
      </w:tblPr>
      <w:tblGrid>
        <w:gridCol w:w="2912"/>
        <w:gridCol w:w="709"/>
        <w:gridCol w:w="916"/>
        <w:gridCol w:w="765"/>
        <w:gridCol w:w="709"/>
        <w:gridCol w:w="750"/>
        <w:gridCol w:w="789"/>
      </w:tblGrid>
      <w:tr w:rsidR="00E47571" w:rsidRPr="00961D5C" w:rsidTr="00D1533C">
        <w:trPr>
          <w:tblHeader/>
        </w:trPr>
        <w:tc>
          <w:tcPr>
            <w:tcW w:w="2912" w:type="dxa"/>
          </w:tcPr>
          <w:p w:rsidR="00E47571" w:rsidRPr="00961D5C" w:rsidRDefault="00E47571" w:rsidP="000F3F1D">
            <w:pPr>
              <w:pStyle w:val="TableText"/>
              <w:rPr>
                <w:b/>
              </w:rPr>
            </w:pPr>
            <w:r w:rsidRPr="00961D5C">
              <w:rPr>
                <w:b/>
              </w:rPr>
              <w:t>Intervention</w:t>
            </w:r>
          </w:p>
        </w:tc>
        <w:tc>
          <w:tcPr>
            <w:tcW w:w="709" w:type="dxa"/>
          </w:tcPr>
          <w:p w:rsidR="00E47571" w:rsidRPr="00961D5C" w:rsidRDefault="00E47571" w:rsidP="00C81B01">
            <w:pPr>
              <w:pStyle w:val="TableText"/>
              <w:jc w:val="center"/>
              <w:rPr>
                <w:b/>
              </w:rPr>
            </w:pPr>
            <w:r w:rsidRPr="00961D5C">
              <w:rPr>
                <w:b/>
              </w:rPr>
              <w:t>Mean</w:t>
            </w:r>
            <w:r>
              <w:rPr>
                <w:b/>
              </w:rPr>
              <w:t xml:space="preserve"> </w:t>
            </w:r>
            <w:r w:rsidRPr="00961D5C">
              <w:rPr>
                <w:b/>
              </w:rPr>
              <w:t>Costs</w:t>
            </w:r>
          </w:p>
        </w:tc>
        <w:tc>
          <w:tcPr>
            <w:tcW w:w="916" w:type="dxa"/>
          </w:tcPr>
          <w:p w:rsidR="00E47571" w:rsidRPr="00961D5C" w:rsidRDefault="00E47571" w:rsidP="00C81B01">
            <w:pPr>
              <w:pStyle w:val="TableText"/>
              <w:jc w:val="center"/>
              <w:rPr>
                <w:b/>
              </w:rPr>
            </w:pPr>
            <w:r w:rsidRPr="00961D5C">
              <w:rPr>
                <w:b/>
              </w:rPr>
              <w:t>Mean fx per 1000</w:t>
            </w:r>
          </w:p>
        </w:tc>
        <w:tc>
          <w:tcPr>
            <w:tcW w:w="765" w:type="dxa"/>
          </w:tcPr>
          <w:p w:rsidR="00E47571" w:rsidRPr="00961D5C" w:rsidRDefault="00E47571" w:rsidP="00C81B01">
            <w:pPr>
              <w:pStyle w:val="TableText"/>
              <w:jc w:val="center"/>
              <w:rPr>
                <w:b/>
              </w:rPr>
            </w:pPr>
            <w:r w:rsidRPr="00961D5C">
              <w:rPr>
                <w:b/>
              </w:rPr>
              <w:t>Mean</w:t>
            </w:r>
            <w:r>
              <w:rPr>
                <w:b/>
              </w:rPr>
              <w:t xml:space="preserve"> </w:t>
            </w:r>
            <w:r w:rsidRPr="00961D5C">
              <w:rPr>
                <w:b/>
              </w:rPr>
              <w:t>QALYs</w:t>
            </w:r>
          </w:p>
        </w:tc>
        <w:tc>
          <w:tcPr>
            <w:tcW w:w="709" w:type="dxa"/>
          </w:tcPr>
          <w:p w:rsidR="00E47571" w:rsidRPr="00961D5C" w:rsidRDefault="00E47571" w:rsidP="00C81B01">
            <w:pPr>
              <w:pStyle w:val="TableText"/>
              <w:jc w:val="center"/>
              <w:rPr>
                <w:b/>
              </w:rPr>
            </w:pPr>
            <w:r w:rsidRPr="00961D5C">
              <w:rPr>
                <w:b/>
              </w:rPr>
              <w:t>Inc Costs</w:t>
            </w:r>
          </w:p>
        </w:tc>
        <w:tc>
          <w:tcPr>
            <w:tcW w:w="750" w:type="dxa"/>
          </w:tcPr>
          <w:p w:rsidR="00E47571" w:rsidRPr="00961D5C" w:rsidRDefault="00E47571" w:rsidP="00C81B01">
            <w:pPr>
              <w:pStyle w:val="TableText"/>
              <w:jc w:val="center"/>
              <w:rPr>
                <w:b/>
              </w:rPr>
            </w:pPr>
            <w:r w:rsidRPr="00961D5C">
              <w:rPr>
                <w:b/>
              </w:rPr>
              <w:t>Inc QALYs</w:t>
            </w:r>
          </w:p>
        </w:tc>
        <w:tc>
          <w:tcPr>
            <w:tcW w:w="789" w:type="dxa"/>
          </w:tcPr>
          <w:p w:rsidR="00E47571" w:rsidRPr="00961D5C" w:rsidRDefault="00E47571" w:rsidP="00C81B01">
            <w:pPr>
              <w:pStyle w:val="TableText"/>
              <w:jc w:val="center"/>
              <w:rPr>
                <w:b/>
              </w:rPr>
            </w:pPr>
            <w:r w:rsidRPr="00961D5C">
              <w:rPr>
                <w:b/>
              </w:rPr>
              <w:t>ICER</w:t>
            </w:r>
          </w:p>
        </w:tc>
      </w:tr>
      <w:tr w:rsidR="003D7EF5" w:rsidRPr="00176D76" w:rsidTr="00D1533C">
        <w:trPr>
          <w:tblHeader/>
        </w:trPr>
        <w:tc>
          <w:tcPr>
            <w:tcW w:w="2912" w:type="dxa"/>
          </w:tcPr>
          <w:p w:rsidR="003D7EF5" w:rsidRPr="003D7EF5" w:rsidRDefault="003D7EF5" w:rsidP="000F3F1D">
            <w:pPr>
              <w:pStyle w:val="TableText"/>
              <w:rPr>
                <w:b/>
              </w:rPr>
            </w:pPr>
            <w:r w:rsidRPr="003D7EF5">
              <w:rPr>
                <w:b/>
              </w:rPr>
              <w:t>Age 50 years</w:t>
            </w:r>
          </w:p>
        </w:tc>
        <w:tc>
          <w:tcPr>
            <w:tcW w:w="709" w:type="dxa"/>
            <w:vAlign w:val="bottom"/>
          </w:tcPr>
          <w:p w:rsidR="003D7EF5" w:rsidRDefault="004B4974" w:rsidP="00C81B01">
            <w:pPr>
              <w:pStyle w:val="TableText"/>
              <w:jc w:val="center"/>
            </w:pPr>
            <w:r>
              <w:t>-</w:t>
            </w:r>
          </w:p>
        </w:tc>
        <w:tc>
          <w:tcPr>
            <w:tcW w:w="916" w:type="dxa"/>
          </w:tcPr>
          <w:p w:rsidR="003D7EF5" w:rsidRPr="00176D76" w:rsidRDefault="004B4974" w:rsidP="00C81B01">
            <w:pPr>
              <w:pStyle w:val="TableText"/>
              <w:jc w:val="center"/>
            </w:pPr>
            <w:r>
              <w:t>-</w:t>
            </w:r>
          </w:p>
        </w:tc>
        <w:tc>
          <w:tcPr>
            <w:tcW w:w="765" w:type="dxa"/>
            <w:vAlign w:val="bottom"/>
          </w:tcPr>
          <w:p w:rsidR="003D7EF5" w:rsidRPr="00176D76" w:rsidRDefault="004B4974" w:rsidP="00C81B01">
            <w:pPr>
              <w:pStyle w:val="TableText"/>
              <w:jc w:val="center"/>
            </w:pPr>
            <w:r>
              <w:t>-</w:t>
            </w:r>
          </w:p>
        </w:tc>
        <w:tc>
          <w:tcPr>
            <w:tcW w:w="709" w:type="dxa"/>
          </w:tcPr>
          <w:p w:rsidR="003D7EF5" w:rsidRDefault="004B4974" w:rsidP="00C81B01">
            <w:pPr>
              <w:pStyle w:val="TableText"/>
              <w:jc w:val="center"/>
            </w:pPr>
            <w:r>
              <w:t>-</w:t>
            </w:r>
          </w:p>
        </w:tc>
        <w:tc>
          <w:tcPr>
            <w:tcW w:w="750" w:type="dxa"/>
          </w:tcPr>
          <w:p w:rsidR="003D7EF5" w:rsidRDefault="004B4974" w:rsidP="00C81B01">
            <w:pPr>
              <w:pStyle w:val="TableText"/>
              <w:jc w:val="center"/>
            </w:pPr>
            <w:r>
              <w:t>-</w:t>
            </w:r>
          </w:p>
        </w:tc>
        <w:tc>
          <w:tcPr>
            <w:tcW w:w="789" w:type="dxa"/>
          </w:tcPr>
          <w:p w:rsidR="003D7EF5" w:rsidRDefault="004B4974" w:rsidP="00C81B01">
            <w:pPr>
              <w:pStyle w:val="TableText"/>
              <w:jc w:val="center"/>
            </w:pPr>
            <w:r>
              <w:t>-</w:t>
            </w:r>
          </w:p>
        </w:tc>
      </w:tr>
      <w:tr w:rsidR="00B57D4D" w:rsidRPr="00176D76" w:rsidTr="00D1533C">
        <w:trPr>
          <w:tblHeader/>
        </w:trPr>
        <w:tc>
          <w:tcPr>
            <w:tcW w:w="2912" w:type="dxa"/>
          </w:tcPr>
          <w:p w:rsidR="00B57D4D" w:rsidRPr="00176D76" w:rsidRDefault="00B57D4D" w:rsidP="000F3F1D">
            <w:pPr>
              <w:pStyle w:val="TableText"/>
            </w:pPr>
            <w:r w:rsidRPr="00176D76">
              <w:t>No DXA and lifestyle advice only</w:t>
            </w:r>
          </w:p>
        </w:tc>
        <w:tc>
          <w:tcPr>
            <w:tcW w:w="709" w:type="dxa"/>
            <w:vAlign w:val="bottom"/>
          </w:tcPr>
          <w:p w:rsidR="00B57D4D" w:rsidRDefault="00B57D4D" w:rsidP="00C81B01">
            <w:pPr>
              <w:pStyle w:val="TableText"/>
              <w:jc w:val="center"/>
            </w:pPr>
            <w:r>
              <w:t>$2584</w:t>
            </w:r>
          </w:p>
        </w:tc>
        <w:tc>
          <w:tcPr>
            <w:tcW w:w="916" w:type="dxa"/>
            <w:vAlign w:val="bottom"/>
          </w:tcPr>
          <w:p w:rsidR="00B57D4D" w:rsidRDefault="00C81B01" w:rsidP="00C81B01">
            <w:pPr>
              <w:pStyle w:val="TableText"/>
              <w:jc w:val="center"/>
            </w:pPr>
            <w:r>
              <w:t>46</w:t>
            </w:r>
          </w:p>
        </w:tc>
        <w:tc>
          <w:tcPr>
            <w:tcW w:w="765" w:type="dxa"/>
            <w:vAlign w:val="bottom"/>
          </w:tcPr>
          <w:p w:rsidR="00B57D4D" w:rsidRDefault="00B57D4D" w:rsidP="00C81B01">
            <w:pPr>
              <w:pStyle w:val="TableText"/>
              <w:jc w:val="center"/>
            </w:pPr>
            <w:r>
              <w:t>13.603</w:t>
            </w:r>
          </w:p>
        </w:tc>
        <w:tc>
          <w:tcPr>
            <w:tcW w:w="709" w:type="dxa"/>
            <w:vAlign w:val="bottom"/>
          </w:tcPr>
          <w:p w:rsidR="00B57D4D" w:rsidRDefault="00B57D4D" w:rsidP="00C81B01">
            <w:pPr>
              <w:pStyle w:val="TableText"/>
              <w:jc w:val="center"/>
            </w:pPr>
            <w:r>
              <w:t>ref</w:t>
            </w:r>
          </w:p>
        </w:tc>
        <w:tc>
          <w:tcPr>
            <w:tcW w:w="750" w:type="dxa"/>
            <w:vAlign w:val="bottom"/>
          </w:tcPr>
          <w:p w:rsidR="00B57D4D" w:rsidRDefault="00B57D4D" w:rsidP="00C81B01">
            <w:pPr>
              <w:pStyle w:val="TableText"/>
              <w:jc w:val="center"/>
            </w:pPr>
            <w:r>
              <w:t>ref</w:t>
            </w:r>
          </w:p>
        </w:tc>
        <w:tc>
          <w:tcPr>
            <w:tcW w:w="789" w:type="dxa"/>
            <w:vAlign w:val="bottom"/>
          </w:tcPr>
          <w:p w:rsidR="00B57D4D" w:rsidRDefault="00B57D4D" w:rsidP="00C81B01">
            <w:pPr>
              <w:pStyle w:val="TableText"/>
              <w:jc w:val="center"/>
            </w:pPr>
            <w:r>
              <w:t>ref</w:t>
            </w:r>
          </w:p>
        </w:tc>
      </w:tr>
      <w:tr w:rsidR="00B57D4D" w:rsidRPr="00176D76" w:rsidTr="00D1533C">
        <w:trPr>
          <w:tblHeader/>
        </w:trPr>
        <w:tc>
          <w:tcPr>
            <w:tcW w:w="2912" w:type="dxa"/>
          </w:tcPr>
          <w:p w:rsidR="00B57D4D" w:rsidRPr="00176D76" w:rsidRDefault="00B57D4D" w:rsidP="000F3F1D">
            <w:pPr>
              <w:pStyle w:val="TableText"/>
            </w:pPr>
            <w:r w:rsidRPr="00176D76">
              <w:t>DXA + ARtx (osteoporosis)</w:t>
            </w:r>
          </w:p>
        </w:tc>
        <w:tc>
          <w:tcPr>
            <w:tcW w:w="709" w:type="dxa"/>
            <w:vAlign w:val="bottom"/>
          </w:tcPr>
          <w:p w:rsidR="00B57D4D" w:rsidRDefault="00B57D4D" w:rsidP="00C81B01">
            <w:pPr>
              <w:pStyle w:val="TableText"/>
              <w:jc w:val="center"/>
            </w:pPr>
            <w:r>
              <w:t>$4134</w:t>
            </w:r>
          </w:p>
        </w:tc>
        <w:tc>
          <w:tcPr>
            <w:tcW w:w="916" w:type="dxa"/>
            <w:vAlign w:val="bottom"/>
          </w:tcPr>
          <w:p w:rsidR="00B57D4D" w:rsidRDefault="00C81B01" w:rsidP="00C81B01">
            <w:pPr>
              <w:pStyle w:val="TableText"/>
              <w:jc w:val="center"/>
            </w:pPr>
            <w:r>
              <w:t>41</w:t>
            </w:r>
          </w:p>
        </w:tc>
        <w:tc>
          <w:tcPr>
            <w:tcW w:w="765" w:type="dxa"/>
            <w:vAlign w:val="bottom"/>
          </w:tcPr>
          <w:p w:rsidR="00B57D4D" w:rsidRDefault="00B57D4D" w:rsidP="00C81B01">
            <w:pPr>
              <w:pStyle w:val="TableText"/>
              <w:jc w:val="center"/>
            </w:pPr>
            <w:r>
              <w:t>13.727</w:t>
            </w:r>
          </w:p>
        </w:tc>
        <w:tc>
          <w:tcPr>
            <w:tcW w:w="709" w:type="dxa"/>
            <w:vAlign w:val="bottom"/>
          </w:tcPr>
          <w:p w:rsidR="00B57D4D" w:rsidRDefault="00B57D4D" w:rsidP="00C81B01">
            <w:pPr>
              <w:pStyle w:val="TableText"/>
              <w:jc w:val="center"/>
            </w:pPr>
            <w:r>
              <w:t>$1550</w:t>
            </w:r>
          </w:p>
        </w:tc>
        <w:tc>
          <w:tcPr>
            <w:tcW w:w="750" w:type="dxa"/>
            <w:vAlign w:val="bottom"/>
          </w:tcPr>
          <w:p w:rsidR="00B57D4D" w:rsidRDefault="00B57D4D" w:rsidP="00C81B01">
            <w:pPr>
              <w:pStyle w:val="TableText"/>
              <w:jc w:val="center"/>
            </w:pPr>
            <w:r>
              <w:t>0.12</w:t>
            </w:r>
          </w:p>
        </w:tc>
        <w:tc>
          <w:tcPr>
            <w:tcW w:w="789" w:type="dxa"/>
            <w:vAlign w:val="bottom"/>
          </w:tcPr>
          <w:p w:rsidR="00B57D4D" w:rsidRDefault="00B57D4D" w:rsidP="00C81B01">
            <w:pPr>
              <w:pStyle w:val="TableText"/>
              <w:jc w:val="center"/>
            </w:pPr>
            <w:r>
              <w:t>$12</w:t>
            </w:r>
            <w:r w:rsidR="005C28E9">
              <w:t>,</w:t>
            </w:r>
            <w:r>
              <w:t>500</w:t>
            </w:r>
          </w:p>
        </w:tc>
      </w:tr>
      <w:tr w:rsidR="00B57D4D" w:rsidRPr="00176D76" w:rsidTr="00D1533C">
        <w:trPr>
          <w:tblHeader/>
        </w:trPr>
        <w:tc>
          <w:tcPr>
            <w:tcW w:w="2912" w:type="dxa"/>
          </w:tcPr>
          <w:p w:rsidR="00B57D4D" w:rsidRPr="00176D76" w:rsidRDefault="00B57D4D" w:rsidP="000F3F1D">
            <w:pPr>
              <w:pStyle w:val="TableText"/>
            </w:pPr>
            <w:r w:rsidRPr="00176D76">
              <w:t>DXA + ARtx (osteoporosis + osteopenia)</w:t>
            </w:r>
          </w:p>
        </w:tc>
        <w:tc>
          <w:tcPr>
            <w:tcW w:w="709" w:type="dxa"/>
            <w:vAlign w:val="bottom"/>
          </w:tcPr>
          <w:p w:rsidR="00B57D4D" w:rsidRDefault="00B57D4D" w:rsidP="00C81B01">
            <w:pPr>
              <w:pStyle w:val="TableText"/>
              <w:jc w:val="center"/>
            </w:pPr>
            <w:r>
              <w:t>$9882</w:t>
            </w:r>
          </w:p>
        </w:tc>
        <w:tc>
          <w:tcPr>
            <w:tcW w:w="916" w:type="dxa"/>
            <w:vAlign w:val="bottom"/>
          </w:tcPr>
          <w:p w:rsidR="00B57D4D" w:rsidRDefault="00C81B01" w:rsidP="00C81B01">
            <w:pPr>
              <w:pStyle w:val="TableText"/>
              <w:jc w:val="center"/>
            </w:pPr>
            <w:r>
              <w:t>33</w:t>
            </w:r>
          </w:p>
        </w:tc>
        <w:tc>
          <w:tcPr>
            <w:tcW w:w="765" w:type="dxa"/>
            <w:vAlign w:val="bottom"/>
          </w:tcPr>
          <w:p w:rsidR="00B57D4D" w:rsidRDefault="00B57D4D" w:rsidP="00C81B01">
            <w:pPr>
              <w:pStyle w:val="TableText"/>
              <w:jc w:val="center"/>
            </w:pPr>
            <w:r>
              <w:t>13.734</w:t>
            </w:r>
          </w:p>
        </w:tc>
        <w:tc>
          <w:tcPr>
            <w:tcW w:w="709" w:type="dxa"/>
            <w:vAlign w:val="bottom"/>
          </w:tcPr>
          <w:p w:rsidR="00B57D4D" w:rsidRDefault="00B57D4D" w:rsidP="00C81B01">
            <w:pPr>
              <w:pStyle w:val="TableText"/>
              <w:jc w:val="center"/>
            </w:pPr>
            <w:r>
              <w:t>$7298</w:t>
            </w:r>
          </w:p>
        </w:tc>
        <w:tc>
          <w:tcPr>
            <w:tcW w:w="750" w:type="dxa"/>
            <w:vAlign w:val="bottom"/>
          </w:tcPr>
          <w:p w:rsidR="00B57D4D" w:rsidRDefault="00B57D4D" w:rsidP="00C81B01">
            <w:pPr>
              <w:pStyle w:val="TableText"/>
              <w:jc w:val="center"/>
            </w:pPr>
            <w:r>
              <w:t>0.13</w:t>
            </w:r>
          </w:p>
        </w:tc>
        <w:tc>
          <w:tcPr>
            <w:tcW w:w="789" w:type="dxa"/>
            <w:vAlign w:val="bottom"/>
          </w:tcPr>
          <w:p w:rsidR="00B57D4D" w:rsidRDefault="00B57D4D" w:rsidP="00C81B01">
            <w:pPr>
              <w:pStyle w:val="TableText"/>
              <w:jc w:val="center"/>
            </w:pPr>
            <w:r>
              <w:t>$55</w:t>
            </w:r>
            <w:r w:rsidR="005C28E9">
              <w:t>,</w:t>
            </w:r>
            <w:r>
              <w:t>710</w:t>
            </w:r>
          </w:p>
        </w:tc>
      </w:tr>
      <w:tr w:rsidR="00B57D4D" w:rsidRPr="00176D76" w:rsidTr="00D1533C">
        <w:trPr>
          <w:tblHeader/>
        </w:trPr>
        <w:tc>
          <w:tcPr>
            <w:tcW w:w="2912" w:type="dxa"/>
          </w:tcPr>
          <w:p w:rsidR="00B57D4D" w:rsidRPr="00176D76" w:rsidRDefault="00B57D4D" w:rsidP="000F3F1D">
            <w:pPr>
              <w:pStyle w:val="TableText"/>
            </w:pPr>
            <w:r w:rsidRPr="00176D76">
              <w:t>DXA + ARtx (all women)</w:t>
            </w:r>
          </w:p>
        </w:tc>
        <w:tc>
          <w:tcPr>
            <w:tcW w:w="709" w:type="dxa"/>
            <w:vAlign w:val="bottom"/>
          </w:tcPr>
          <w:p w:rsidR="00B57D4D" w:rsidRDefault="00B57D4D" w:rsidP="00C81B01">
            <w:pPr>
              <w:pStyle w:val="TableText"/>
              <w:jc w:val="center"/>
            </w:pPr>
            <w:r>
              <w:t>$13461</w:t>
            </w:r>
          </w:p>
        </w:tc>
        <w:tc>
          <w:tcPr>
            <w:tcW w:w="916" w:type="dxa"/>
            <w:vAlign w:val="bottom"/>
          </w:tcPr>
          <w:p w:rsidR="00B57D4D" w:rsidRDefault="00C81B01" w:rsidP="00C81B01">
            <w:pPr>
              <w:pStyle w:val="TableText"/>
              <w:jc w:val="center"/>
            </w:pPr>
            <w:r>
              <w:t>30</w:t>
            </w:r>
          </w:p>
        </w:tc>
        <w:tc>
          <w:tcPr>
            <w:tcW w:w="765" w:type="dxa"/>
            <w:vAlign w:val="bottom"/>
          </w:tcPr>
          <w:p w:rsidR="00B57D4D" w:rsidRDefault="00B57D4D" w:rsidP="00C81B01">
            <w:pPr>
              <w:pStyle w:val="TableText"/>
              <w:jc w:val="center"/>
            </w:pPr>
            <w:r>
              <w:t>13.734</w:t>
            </w:r>
          </w:p>
        </w:tc>
        <w:tc>
          <w:tcPr>
            <w:tcW w:w="709" w:type="dxa"/>
            <w:vAlign w:val="bottom"/>
          </w:tcPr>
          <w:p w:rsidR="00B57D4D" w:rsidRDefault="00B57D4D" w:rsidP="00C81B01">
            <w:pPr>
              <w:pStyle w:val="TableText"/>
              <w:jc w:val="center"/>
            </w:pPr>
            <w:r>
              <w:t>$10877</w:t>
            </w:r>
          </w:p>
        </w:tc>
        <w:tc>
          <w:tcPr>
            <w:tcW w:w="750" w:type="dxa"/>
            <w:vAlign w:val="bottom"/>
          </w:tcPr>
          <w:p w:rsidR="00B57D4D" w:rsidRDefault="00B57D4D" w:rsidP="00C81B01">
            <w:pPr>
              <w:pStyle w:val="TableText"/>
              <w:jc w:val="center"/>
            </w:pPr>
            <w:r>
              <w:t>0.13</w:t>
            </w:r>
          </w:p>
        </w:tc>
        <w:tc>
          <w:tcPr>
            <w:tcW w:w="789" w:type="dxa"/>
            <w:vAlign w:val="bottom"/>
          </w:tcPr>
          <w:p w:rsidR="00B57D4D" w:rsidRDefault="00B57D4D" w:rsidP="00C81B01">
            <w:pPr>
              <w:pStyle w:val="TableText"/>
              <w:jc w:val="center"/>
            </w:pPr>
            <w:r>
              <w:t>$83</w:t>
            </w:r>
            <w:r w:rsidR="005C28E9">
              <w:t>,</w:t>
            </w:r>
            <w:r>
              <w:t>031</w:t>
            </w:r>
          </w:p>
        </w:tc>
      </w:tr>
      <w:tr w:rsidR="00B57D4D" w:rsidRPr="00176D76" w:rsidTr="00D1533C">
        <w:trPr>
          <w:tblHeader/>
        </w:trPr>
        <w:tc>
          <w:tcPr>
            <w:tcW w:w="2912" w:type="dxa"/>
          </w:tcPr>
          <w:p w:rsidR="00B57D4D" w:rsidRPr="003D7EF5" w:rsidRDefault="00B57D4D" w:rsidP="000F3F1D">
            <w:pPr>
              <w:pStyle w:val="TableText"/>
              <w:rPr>
                <w:b/>
              </w:rPr>
            </w:pPr>
            <w:r w:rsidRPr="003D7EF5">
              <w:rPr>
                <w:b/>
              </w:rPr>
              <w:t>Base case: Age 60 years</w:t>
            </w:r>
          </w:p>
        </w:tc>
        <w:tc>
          <w:tcPr>
            <w:tcW w:w="709" w:type="dxa"/>
            <w:vAlign w:val="bottom"/>
          </w:tcPr>
          <w:p w:rsidR="00B57D4D" w:rsidRDefault="004B4974" w:rsidP="00C81B01">
            <w:pPr>
              <w:pStyle w:val="TableText"/>
              <w:jc w:val="center"/>
            </w:pPr>
            <w:r>
              <w:t>-</w:t>
            </w:r>
          </w:p>
        </w:tc>
        <w:tc>
          <w:tcPr>
            <w:tcW w:w="916" w:type="dxa"/>
          </w:tcPr>
          <w:p w:rsidR="00B57D4D" w:rsidRPr="00176D76" w:rsidRDefault="004B4974" w:rsidP="00C81B01">
            <w:pPr>
              <w:pStyle w:val="TableText"/>
              <w:jc w:val="center"/>
            </w:pPr>
            <w:r>
              <w:t>-</w:t>
            </w:r>
          </w:p>
        </w:tc>
        <w:tc>
          <w:tcPr>
            <w:tcW w:w="765" w:type="dxa"/>
            <w:vAlign w:val="bottom"/>
          </w:tcPr>
          <w:p w:rsidR="00B57D4D" w:rsidRPr="00176D76" w:rsidRDefault="004B4974" w:rsidP="00C81B01">
            <w:pPr>
              <w:pStyle w:val="TableText"/>
              <w:jc w:val="center"/>
            </w:pPr>
            <w:r>
              <w:t>-</w:t>
            </w:r>
          </w:p>
        </w:tc>
        <w:tc>
          <w:tcPr>
            <w:tcW w:w="709" w:type="dxa"/>
          </w:tcPr>
          <w:p w:rsidR="00B57D4D" w:rsidRDefault="004B4974" w:rsidP="00C81B01">
            <w:pPr>
              <w:pStyle w:val="TableText"/>
              <w:jc w:val="center"/>
            </w:pPr>
            <w:r>
              <w:t>-</w:t>
            </w:r>
          </w:p>
        </w:tc>
        <w:tc>
          <w:tcPr>
            <w:tcW w:w="750" w:type="dxa"/>
          </w:tcPr>
          <w:p w:rsidR="00B57D4D" w:rsidRDefault="004B4974" w:rsidP="00C81B01">
            <w:pPr>
              <w:pStyle w:val="TableText"/>
              <w:jc w:val="center"/>
            </w:pPr>
            <w:r>
              <w:t>-</w:t>
            </w:r>
          </w:p>
        </w:tc>
        <w:tc>
          <w:tcPr>
            <w:tcW w:w="789" w:type="dxa"/>
          </w:tcPr>
          <w:p w:rsidR="00B57D4D" w:rsidRDefault="004B4974" w:rsidP="00C81B01">
            <w:pPr>
              <w:pStyle w:val="TableText"/>
              <w:jc w:val="center"/>
            </w:pPr>
            <w:r>
              <w:t>-</w:t>
            </w:r>
          </w:p>
        </w:tc>
      </w:tr>
      <w:tr w:rsidR="00C81B01" w:rsidRPr="00176D76" w:rsidTr="00D1533C">
        <w:trPr>
          <w:tblHeader/>
        </w:trPr>
        <w:tc>
          <w:tcPr>
            <w:tcW w:w="2912" w:type="dxa"/>
          </w:tcPr>
          <w:p w:rsidR="00C81B01" w:rsidRPr="00176D76" w:rsidRDefault="00C81B01" w:rsidP="000F3F1D">
            <w:pPr>
              <w:pStyle w:val="TableText"/>
            </w:pPr>
            <w:r w:rsidRPr="00176D76">
              <w:t>No DXA and lifestyle advice only</w:t>
            </w:r>
          </w:p>
        </w:tc>
        <w:tc>
          <w:tcPr>
            <w:tcW w:w="709" w:type="dxa"/>
            <w:vAlign w:val="center"/>
          </w:tcPr>
          <w:p w:rsidR="00C81B01" w:rsidRPr="00A7106A" w:rsidRDefault="00C81B01" w:rsidP="000F6088">
            <w:pPr>
              <w:pStyle w:val="TableText"/>
              <w:jc w:val="center"/>
            </w:pPr>
            <w:r>
              <w:t>$</w:t>
            </w:r>
            <w:r w:rsidRPr="00A7106A">
              <w:t>4056</w:t>
            </w:r>
          </w:p>
        </w:tc>
        <w:tc>
          <w:tcPr>
            <w:tcW w:w="916" w:type="dxa"/>
            <w:vAlign w:val="center"/>
          </w:tcPr>
          <w:p w:rsidR="00C81B01" w:rsidRPr="00A7106A" w:rsidRDefault="00C81B01" w:rsidP="000F6088">
            <w:pPr>
              <w:pStyle w:val="TableText"/>
              <w:jc w:val="center"/>
            </w:pPr>
            <w:r>
              <w:t>113</w:t>
            </w:r>
          </w:p>
        </w:tc>
        <w:tc>
          <w:tcPr>
            <w:tcW w:w="765" w:type="dxa"/>
            <w:vAlign w:val="center"/>
          </w:tcPr>
          <w:p w:rsidR="00C81B01" w:rsidRPr="00A7106A" w:rsidRDefault="00C81B01" w:rsidP="000F6088">
            <w:pPr>
              <w:pStyle w:val="TableText"/>
              <w:jc w:val="center"/>
            </w:pPr>
            <w:r w:rsidRPr="00A7106A">
              <w:t>11.657</w:t>
            </w:r>
          </w:p>
        </w:tc>
        <w:tc>
          <w:tcPr>
            <w:tcW w:w="709" w:type="dxa"/>
            <w:vAlign w:val="center"/>
          </w:tcPr>
          <w:p w:rsidR="00C81B01" w:rsidRPr="00A7106A" w:rsidRDefault="00C81B01" w:rsidP="000F6088">
            <w:pPr>
              <w:pStyle w:val="TableText"/>
              <w:jc w:val="center"/>
            </w:pPr>
            <w:r w:rsidRPr="00A7106A">
              <w:t>ref</w:t>
            </w:r>
          </w:p>
        </w:tc>
        <w:tc>
          <w:tcPr>
            <w:tcW w:w="750" w:type="dxa"/>
            <w:vAlign w:val="center"/>
          </w:tcPr>
          <w:p w:rsidR="00C81B01" w:rsidRPr="00A7106A" w:rsidRDefault="00C81B01" w:rsidP="000F6088">
            <w:pPr>
              <w:pStyle w:val="TableText"/>
              <w:jc w:val="center"/>
            </w:pPr>
            <w:r w:rsidRPr="00A7106A">
              <w:t>ref</w:t>
            </w:r>
          </w:p>
        </w:tc>
        <w:tc>
          <w:tcPr>
            <w:tcW w:w="789" w:type="dxa"/>
            <w:vAlign w:val="center"/>
          </w:tcPr>
          <w:p w:rsidR="00C81B01" w:rsidRPr="004B0387" w:rsidRDefault="00C81B01" w:rsidP="000F6088">
            <w:pPr>
              <w:pStyle w:val="TableText"/>
              <w:jc w:val="center"/>
            </w:pPr>
            <w:r w:rsidRPr="004B0387">
              <w:t>ref</w:t>
            </w:r>
          </w:p>
        </w:tc>
      </w:tr>
      <w:tr w:rsidR="00C81B01" w:rsidRPr="00176D76" w:rsidTr="00D1533C">
        <w:trPr>
          <w:tblHeader/>
        </w:trPr>
        <w:tc>
          <w:tcPr>
            <w:tcW w:w="2912" w:type="dxa"/>
          </w:tcPr>
          <w:p w:rsidR="00C81B01" w:rsidRPr="00176D76" w:rsidRDefault="00C81B01" w:rsidP="000F3F1D">
            <w:pPr>
              <w:pStyle w:val="TableText"/>
            </w:pPr>
            <w:r w:rsidRPr="00176D76">
              <w:t>DXA + ARtx (osteoporosis)</w:t>
            </w:r>
          </w:p>
        </w:tc>
        <w:tc>
          <w:tcPr>
            <w:tcW w:w="709" w:type="dxa"/>
            <w:vAlign w:val="center"/>
          </w:tcPr>
          <w:p w:rsidR="00C81B01" w:rsidRPr="00A7106A" w:rsidRDefault="00C81B01" w:rsidP="000F6088">
            <w:pPr>
              <w:pStyle w:val="TableText"/>
              <w:jc w:val="center"/>
            </w:pPr>
            <w:r>
              <w:t>$</w:t>
            </w:r>
            <w:r w:rsidRPr="00A7106A">
              <w:t>5331</w:t>
            </w:r>
          </w:p>
        </w:tc>
        <w:tc>
          <w:tcPr>
            <w:tcW w:w="916" w:type="dxa"/>
            <w:vAlign w:val="center"/>
          </w:tcPr>
          <w:p w:rsidR="00C81B01" w:rsidRPr="00A7106A" w:rsidRDefault="00C81B01" w:rsidP="000F6088">
            <w:pPr>
              <w:pStyle w:val="TableText"/>
              <w:jc w:val="center"/>
            </w:pPr>
            <w:r>
              <w:t>100</w:t>
            </w:r>
          </w:p>
        </w:tc>
        <w:tc>
          <w:tcPr>
            <w:tcW w:w="765" w:type="dxa"/>
            <w:vAlign w:val="center"/>
          </w:tcPr>
          <w:p w:rsidR="00C81B01" w:rsidRPr="00A7106A" w:rsidRDefault="00C81B01" w:rsidP="000F6088">
            <w:pPr>
              <w:pStyle w:val="TableText"/>
              <w:jc w:val="center"/>
            </w:pPr>
            <w:r w:rsidRPr="00A7106A">
              <w:t>11.956</w:t>
            </w:r>
          </w:p>
        </w:tc>
        <w:tc>
          <w:tcPr>
            <w:tcW w:w="709" w:type="dxa"/>
            <w:vAlign w:val="center"/>
          </w:tcPr>
          <w:p w:rsidR="00C81B01" w:rsidRPr="00A7106A" w:rsidRDefault="00C81B01" w:rsidP="000F6088">
            <w:pPr>
              <w:pStyle w:val="TableText"/>
              <w:jc w:val="center"/>
            </w:pPr>
            <w:r>
              <w:t>$</w:t>
            </w:r>
            <w:r w:rsidRPr="00A7106A">
              <w:t>1275</w:t>
            </w:r>
          </w:p>
        </w:tc>
        <w:tc>
          <w:tcPr>
            <w:tcW w:w="750" w:type="dxa"/>
            <w:vAlign w:val="center"/>
          </w:tcPr>
          <w:p w:rsidR="00C81B01" w:rsidRPr="00A7106A" w:rsidRDefault="00C81B01" w:rsidP="000F6088">
            <w:pPr>
              <w:pStyle w:val="TableText"/>
              <w:jc w:val="center"/>
            </w:pPr>
            <w:r w:rsidRPr="00A7106A">
              <w:t>0.299</w:t>
            </w:r>
          </w:p>
        </w:tc>
        <w:tc>
          <w:tcPr>
            <w:tcW w:w="789" w:type="dxa"/>
            <w:vAlign w:val="center"/>
          </w:tcPr>
          <w:p w:rsidR="00C81B01" w:rsidRPr="004B0387" w:rsidRDefault="00C81B01" w:rsidP="000F6088">
            <w:pPr>
              <w:pStyle w:val="TableText"/>
              <w:jc w:val="center"/>
            </w:pPr>
            <w:r w:rsidRPr="004B0387">
              <w:t>$4,264</w:t>
            </w:r>
          </w:p>
        </w:tc>
      </w:tr>
      <w:tr w:rsidR="00C81B01" w:rsidRPr="00176D76" w:rsidTr="00D1533C">
        <w:trPr>
          <w:tblHeader/>
        </w:trPr>
        <w:tc>
          <w:tcPr>
            <w:tcW w:w="2912" w:type="dxa"/>
          </w:tcPr>
          <w:p w:rsidR="00C81B01" w:rsidRPr="00176D76" w:rsidRDefault="00C81B01" w:rsidP="000F3F1D">
            <w:pPr>
              <w:pStyle w:val="TableText"/>
            </w:pPr>
            <w:r w:rsidRPr="00176D76">
              <w:t>DXA + ARtx (osteoporosis + osteopenia)</w:t>
            </w:r>
          </w:p>
        </w:tc>
        <w:tc>
          <w:tcPr>
            <w:tcW w:w="709" w:type="dxa"/>
            <w:vAlign w:val="center"/>
          </w:tcPr>
          <w:p w:rsidR="00C81B01" w:rsidRPr="00A7106A" w:rsidRDefault="00C81B01" w:rsidP="000F6088">
            <w:pPr>
              <w:pStyle w:val="TableText"/>
              <w:jc w:val="center"/>
            </w:pPr>
            <w:r>
              <w:t>$</w:t>
            </w:r>
            <w:r w:rsidRPr="00A7106A">
              <w:t>10249</w:t>
            </w:r>
          </w:p>
        </w:tc>
        <w:tc>
          <w:tcPr>
            <w:tcW w:w="916" w:type="dxa"/>
            <w:vAlign w:val="center"/>
          </w:tcPr>
          <w:p w:rsidR="00C81B01" w:rsidRPr="00A7106A" w:rsidRDefault="00C81B01" w:rsidP="000F6088">
            <w:pPr>
              <w:pStyle w:val="TableText"/>
              <w:jc w:val="center"/>
            </w:pPr>
            <w:r>
              <w:t>80</w:t>
            </w:r>
          </w:p>
        </w:tc>
        <w:tc>
          <w:tcPr>
            <w:tcW w:w="765" w:type="dxa"/>
            <w:vAlign w:val="center"/>
          </w:tcPr>
          <w:p w:rsidR="00C81B01" w:rsidRPr="00A7106A" w:rsidRDefault="00C81B01" w:rsidP="000F6088">
            <w:pPr>
              <w:pStyle w:val="TableText"/>
              <w:jc w:val="center"/>
            </w:pPr>
            <w:r w:rsidRPr="00A7106A">
              <w:t>11.959</w:t>
            </w:r>
          </w:p>
        </w:tc>
        <w:tc>
          <w:tcPr>
            <w:tcW w:w="709" w:type="dxa"/>
            <w:vAlign w:val="center"/>
          </w:tcPr>
          <w:p w:rsidR="00C81B01" w:rsidRPr="00A7106A" w:rsidRDefault="00C81B01" w:rsidP="000F6088">
            <w:pPr>
              <w:pStyle w:val="TableText"/>
              <w:jc w:val="center"/>
            </w:pPr>
            <w:r>
              <w:t>$</w:t>
            </w:r>
            <w:r w:rsidRPr="00A7106A">
              <w:t>6193</w:t>
            </w:r>
          </w:p>
        </w:tc>
        <w:tc>
          <w:tcPr>
            <w:tcW w:w="750" w:type="dxa"/>
            <w:vAlign w:val="center"/>
          </w:tcPr>
          <w:p w:rsidR="00C81B01" w:rsidRPr="00A7106A" w:rsidRDefault="00C81B01" w:rsidP="000F6088">
            <w:pPr>
              <w:pStyle w:val="TableText"/>
              <w:jc w:val="center"/>
            </w:pPr>
            <w:r w:rsidRPr="00A7106A">
              <w:t>0.302</w:t>
            </w:r>
          </w:p>
        </w:tc>
        <w:tc>
          <w:tcPr>
            <w:tcW w:w="789" w:type="dxa"/>
            <w:vAlign w:val="center"/>
          </w:tcPr>
          <w:p w:rsidR="00C81B01" w:rsidRPr="004B0387" w:rsidRDefault="00C81B01" w:rsidP="000F6088">
            <w:pPr>
              <w:pStyle w:val="TableText"/>
              <w:jc w:val="center"/>
            </w:pPr>
            <w:r w:rsidRPr="004B0387">
              <w:t>$20,507</w:t>
            </w:r>
          </w:p>
        </w:tc>
      </w:tr>
      <w:tr w:rsidR="00C81B01" w:rsidRPr="00176D76" w:rsidTr="00D1533C">
        <w:trPr>
          <w:tblHeader/>
        </w:trPr>
        <w:tc>
          <w:tcPr>
            <w:tcW w:w="2912" w:type="dxa"/>
          </w:tcPr>
          <w:p w:rsidR="00C81B01" w:rsidRPr="00176D76" w:rsidRDefault="00C81B01" w:rsidP="000F3F1D">
            <w:pPr>
              <w:pStyle w:val="TableText"/>
            </w:pPr>
            <w:r w:rsidRPr="00176D76">
              <w:t>DXA + ARtx (all women)</w:t>
            </w:r>
          </w:p>
        </w:tc>
        <w:tc>
          <w:tcPr>
            <w:tcW w:w="709" w:type="dxa"/>
            <w:vAlign w:val="center"/>
          </w:tcPr>
          <w:p w:rsidR="00C81B01" w:rsidRPr="00A7106A" w:rsidRDefault="00C81B01" w:rsidP="000F6088">
            <w:pPr>
              <w:pStyle w:val="TableText"/>
              <w:jc w:val="center"/>
            </w:pPr>
            <w:r>
              <w:t>$</w:t>
            </w:r>
            <w:r w:rsidRPr="00A7106A">
              <w:t>13131</w:t>
            </w:r>
          </w:p>
        </w:tc>
        <w:tc>
          <w:tcPr>
            <w:tcW w:w="916" w:type="dxa"/>
            <w:vAlign w:val="center"/>
          </w:tcPr>
          <w:p w:rsidR="00C81B01" w:rsidRPr="00A7106A" w:rsidRDefault="00C81B01" w:rsidP="000F6088">
            <w:pPr>
              <w:pStyle w:val="TableText"/>
              <w:jc w:val="center"/>
            </w:pPr>
            <w:r>
              <w:t>73</w:t>
            </w:r>
          </w:p>
        </w:tc>
        <w:tc>
          <w:tcPr>
            <w:tcW w:w="765" w:type="dxa"/>
            <w:vAlign w:val="center"/>
          </w:tcPr>
          <w:p w:rsidR="00C81B01" w:rsidRPr="00A7106A" w:rsidRDefault="00C81B01" w:rsidP="000F6088">
            <w:pPr>
              <w:pStyle w:val="TableText"/>
              <w:jc w:val="center"/>
            </w:pPr>
            <w:r w:rsidRPr="00A7106A">
              <w:t>11.960</w:t>
            </w:r>
          </w:p>
        </w:tc>
        <w:tc>
          <w:tcPr>
            <w:tcW w:w="709" w:type="dxa"/>
            <w:vAlign w:val="center"/>
          </w:tcPr>
          <w:p w:rsidR="00C81B01" w:rsidRPr="00A7106A" w:rsidRDefault="00C81B01" w:rsidP="000F6088">
            <w:pPr>
              <w:pStyle w:val="TableText"/>
              <w:jc w:val="center"/>
            </w:pPr>
            <w:r>
              <w:t>$</w:t>
            </w:r>
            <w:r w:rsidRPr="00A7106A">
              <w:t>9075</w:t>
            </w:r>
          </w:p>
        </w:tc>
        <w:tc>
          <w:tcPr>
            <w:tcW w:w="750" w:type="dxa"/>
            <w:vAlign w:val="center"/>
          </w:tcPr>
          <w:p w:rsidR="00C81B01" w:rsidRPr="00A7106A" w:rsidRDefault="00C81B01" w:rsidP="000F6088">
            <w:pPr>
              <w:pStyle w:val="TableText"/>
              <w:jc w:val="center"/>
            </w:pPr>
            <w:r w:rsidRPr="00A7106A">
              <w:t>0.303</w:t>
            </w:r>
          </w:p>
        </w:tc>
        <w:tc>
          <w:tcPr>
            <w:tcW w:w="789" w:type="dxa"/>
            <w:vAlign w:val="center"/>
          </w:tcPr>
          <w:p w:rsidR="00C81B01" w:rsidRPr="004B0387" w:rsidRDefault="00C81B01" w:rsidP="000F6088">
            <w:pPr>
              <w:pStyle w:val="TableText"/>
              <w:jc w:val="center"/>
            </w:pPr>
            <w:r w:rsidRPr="004B0387">
              <w:t>$29,950</w:t>
            </w:r>
          </w:p>
        </w:tc>
      </w:tr>
      <w:tr w:rsidR="00C81B01" w:rsidRPr="00176D76" w:rsidTr="00D1533C">
        <w:trPr>
          <w:tblHeader/>
        </w:trPr>
        <w:tc>
          <w:tcPr>
            <w:tcW w:w="2912" w:type="dxa"/>
          </w:tcPr>
          <w:p w:rsidR="00C81B01" w:rsidRPr="003D7EF5" w:rsidRDefault="00C81B01" w:rsidP="003D7EF5">
            <w:pPr>
              <w:pStyle w:val="TableText"/>
              <w:rPr>
                <w:b/>
              </w:rPr>
            </w:pPr>
            <w:r w:rsidRPr="003D7EF5">
              <w:rPr>
                <w:b/>
              </w:rPr>
              <w:t>Base case: Age 65 years</w:t>
            </w:r>
          </w:p>
        </w:tc>
        <w:tc>
          <w:tcPr>
            <w:tcW w:w="709" w:type="dxa"/>
            <w:vAlign w:val="bottom"/>
          </w:tcPr>
          <w:p w:rsidR="00C81B01" w:rsidRDefault="004B4974" w:rsidP="00C81B01">
            <w:pPr>
              <w:pStyle w:val="TableText"/>
              <w:jc w:val="center"/>
            </w:pPr>
            <w:r>
              <w:t>-</w:t>
            </w:r>
          </w:p>
        </w:tc>
        <w:tc>
          <w:tcPr>
            <w:tcW w:w="916" w:type="dxa"/>
          </w:tcPr>
          <w:p w:rsidR="00C81B01" w:rsidRPr="00176D76" w:rsidRDefault="004B4974" w:rsidP="00C81B01">
            <w:pPr>
              <w:pStyle w:val="TableText"/>
              <w:jc w:val="center"/>
            </w:pPr>
            <w:r>
              <w:t>-</w:t>
            </w:r>
          </w:p>
        </w:tc>
        <w:tc>
          <w:tcPr>
            <w:tcW w:w="765" w:type="dxa"/>
            <w:vAlign w:val="bottom"/>
          </w:tcPr>
          <w:p w:rsidR="00C81B01" w:rsidRPr="00176D76" w:rsidRDefault="004B4974" w:rsidP="00C81B01">
            <w:pPr>
              <w:pStyle w:val="TableText"/>
              <w:jc w:val="center"/>
            </w:pPr>
            <w:r>
              <w:t>-</w:t>
            </w:r>
          </w:p>
        </w:tc>
        <w:tc>
          <w:tcPr>
            <w:tcW w:w="709" w:type="dxa"/>
          </w:tcPr>
          <w:p w:rsidR="00C81B01" w:rsidRDefault="004B4974" w:rsidP="00C81B01">
            <w:pPr>
              <w:pStyle w:val="TableText"/>
              <w:jc w:val="center"/>
            </w:pPr>
            <w:r>
              <w:t>-</w:t>
            </w:r>
          </w:p>
        </w:tc>
        <w:tc>
          <w:tcPr>
            <w:tcW w:w="750" w:type="dxa"/>
          </w:tcPr>
          <w:p w:rsidR="00C81B01" w:rsidRDefault="004B4974" w:rsidP="00C81B01">
            <w:pPr>
              <w:pStyle w:val="TableText"/>
              <w:jc w:val="center"/>
            </w:pPr>
            <w:r>
              <w:t>-</w:t>
            </w:r>
          </w:p>
        </w:tc>
        <w:tc>
          <w:tcPr>
            <w:tcW w:w="789" w:type="dxa"/>
          </w:tcPr>
          <w:p w:rsidR="00C81B01" w:rsidRDefault="004B4974" w:rsidP="00C81B01">
            <w:pPr>
              <w:pStyle w:val="TableText"/>
              <w:jc w:val="center"/>
            </w:pPr>
            <w:r>
              <w:t>-</w:t>
            </w:r>
          </w:p>
        </w:tc>
      </w:tr>
      <w:tr w:rsidR="00C81B01" w:rsidRPr="00176D76" w:rsidTr="00D1533C">
        <w:trPr>
          <w:tblHeader/>
        </w:trPr>
        <w:tc>
          <w:tcPr>
            <w:tcW w:w="2912" w:type="dxa"/>
          </w:tcPr>
          <w:p w:rsidR="00C81B01" w:rsidRPr="00176D76" w:rsidRDefault="00C81B01" w:rsidP="000F3F1D">
            <w:pPr>
              <w:pStyle w:val="TableText"/>
            </w:pPr>
            <w:r w:rsidRPr="00176D76">
              <w:t>No DXA and lifestyle advice only</w:t>
            </w:r>
          </w:p>
        </w:tc>
        <w:tc>
          <w:tcPr>
            <w:tcW w:w="709" w:type="dxa"/>
            <w:vAlign w:val="bottom"/>
          </w:tcPr>
          <w:p w:rsidR="00C81B01" w:rsidRDefault="00C81B01" w:rsidP="00C81B01">
            <w:pPr>
              <w:pStyle w:val="TableText"/>
              <w:jc w:val="center"/>
            </w:pPr>
            <w:r>
              <w:t>$5151</w:t>
            </w:r>
          </w:p>
        </w:tc>
        <w:tc>
          <w:tcPr>
            <w:tcW w:w="916" w:type="dxa"/>
            <w:vAlign w:val="bottom"/>
          </w:tcPr>
          <w:p w:rsidR="00C81B01" w:rsidRDefault="00C81B01" w:rsidP="00C81B01">
            <w:pPr>
              <w:pStyle w:val="TableText"/>
              <w:jc w:val="center"/>
            </w:pPr>
            <w:r>
              <w:t>241</w:t>
            </w:r>
          </w:p>
        </w:tc>
        <w:tc>
          <w:tcPr>
            <w:tcW w:w="765" w:type="dxa"/>
            <w:vAlign w:val="bottom"/>
          </w:tcPr>
          <w:p w:rsidR="00C81B01" w:rsidRDefault="00C81B01" w:rsidP="00C81B01">
            <w:pPr>
              <w:pStyle w:val="TableText"/>
              <w:jc w:val="center"/>
            </w:pPr>
            <w:r>
              <w:t>10.203</w:t>
            </w:r>
          </w:p>
        </w:tc>
        <w:tc>
          <w:tcPr>
            <w:tcW w:w="709" w:type="dxa"/>
            <w:vAlign w:val="bottom"/>
          </w:tcPr>
          <w:p w:rsidR="00C81B01" w:rsidRDefault="00C81B01" w:rsidP="00C81B01">
            <w:pPr>
              <w:pStyle w:val="TableText"/>
              <w:jc w:val="center"/>
            </w:pPr>
            <w:r>
              <w:t>ref</w:t>
            </w:r>
          </w:p>
        </w:tc>
        <w:tc>
          <w:tcPr>
            <w:tcW w:w="750" w:type="dxa"/>
            <w:vAlign w:val="bottom"/>
          </w:tcPr>
          <w:p w:rsidR="00C81B01" w:rsidRDefault="00C81B01" w:rsidP="00C81B01">
            <w:pPr>
              <w:pStyle w:val="TableText"/>
              <w:jc w:val="center"/>
            </w:pPr>
            <w:r>
              <w:t>ref</w:t>
            </w:r>
          </w:p>
        </w:tc>
        <w:tc>
          <w:tcPr>
            <w:tcW w:w="789" w:type="dxa"/>
            <w:vAlign w:val="bottom"/>
          </w:tcPr>
          <w:p w:rsidR="00C81B01" w:rsidRDefault="00C81B01" w:rsidP="00C81B01">
            <w:pPr>
              <w:pStyle w:val="TableText"/>
              <w:jc w:val="center"/>
            </w:pPr>
            <w:r>
              <w:t>ref</w:t>
            </w:r>
          </w:p>
        </w:tc>
      </w:tr>
      <w:tr w:rsidR="00C81B01" w:rsidRPr="00176D76" w:rsidTr="00D1533C">
        <w:trPr>
          <w:tblHeader/>
        </w:trPr>
        <w:tc>
          <w:tcPr>
            <w:tcW w:w="2912" w:type="dxa"/>
          </w:tcPr>
          <w:p w:rsidR="00C81B01" w:rsidRPr="00176D76" w:rsidRDefault="00C81B01" w:rsidP="000F3F1D">
            <w:pPr>
              <w:pStyle w:val="TableText"/>
            </w:pPr>
            <w:r w:rsidRPr="00176D76">
              <w:t>DXA + ARtx (osteoporosis)</w:t>
            </w:r>
          </w:p>
        </w:tc>
        <w:tc>
          <w:tcPr>
            <w:tcW w:w="709" w:type="dxa"/>
            <w:vAlign w:val="bottom"/>
          </w:tcPr>
          <w:p w:rsidR="00C81B01" w:rsidRDefault="00C81B01" w:rsidP="00C81B01">
            <w:pPr>
              <w:pStyle w:val="TableText"/>
              <w:jc w:val="center"/>
            </w:pPr>
            <w:r>
              <w:t>$8349</w:t>
            </w:r>
          </w:p>
        </w:tc>
        <w:tc>
          <w:tcPr>
            <w:tcW w:w="916" w:type="dxa"/>
            <w:vAlign w:val="bottom"/>
          </w:tcPr>
          <w:p w:rsidR="00C81B01" w:rsidRDefault="00C81B01" w:rsidP="00C81B01">
            <w:pPr>
              <w:pStyle w:val="TableText"/>
              <w:jc w:val="center"/>
            </w:pPr>
            <w:r>
              <w:t>215</w:t>
            </w:r>
          </w:p>
        </w:tc>
        <w:tc>
          <w:tcPr>
            <w:tcW w:w="765" w:type="dxa"/>
            <w:vAlign w:val="bottom"/>
          </w:tcPr>
          <w:p w:rsidR="00C81B01" w:rsidRDefault="00C81B01" w:rsidP="00C81B01">
            <w:pPr>
              <w:pStyle w:val="TableText"/>
              <w:jc w:val="center"/>
            </w:pPr>
            <w:r>
              <w:t>10.738</w:t>
            </w:r>
          </w:p>
        </w:tc>
        <w:tc>
          <w:tcPr>
            <w:tcW w:w="709" w:type="dxa"/>
            <w:vAlign w:val="bottom"/>
          </w:tcPr>
          <w:p w:rsidR="00C81B01" w:rsidRDefault="00C81B01" w:rsidP="00C81B01">
            <w:pPr>
              <w:pStyle w:val="TableText"/>
              <w:jc w:val="center"/>
            </w:pPr>
            <w:r>
              <w:t>$3198</w:t>
            </w:r>
          </w:p>
        </w:tc>
        <w:tc>
          <w:tcPr>
            <w:tcW w:w="750" w:type="dxa"/>
            <w:vAlign w:val="bottom"/>
          </w:tcPr>
          <w:p w:rsidR="00C81B01" w:rsidRDefault="00C81B01" w:rsidP="00C81B01">
            <w:pPr>
              <w:pStyle w:val="TableText"/>
              <w:jc w:val="center"/>
            </w:pPr>
            <w:r>
              <w:t>0.54</w:t>
            </w:r>
          </w:p>
        </w:tc>
        <w:tc>
          <w:tcPr>
            <w:tcW w:w="789" w:type="dxa"/>
            <w:vAlign w:val="bottom"/>
          </w:tcPr>
          <w:p w:rsidR="00C81B01" w:rsidRDefault="00C81B01" w:rsidP="00C81B01">
            <w:pPr>
              <w:pStyle w:val="TableText"/>
              <w:jc w:val="center"/>
            </w:pPr>
            <w:r>
              <w:t>$5</w:t>
            </w:r>
            <w:r w:rsidR="005C28E9">
              <w:t>,</w:t>
            </w:r>
            <w:r>
              <w:t>978</w:t>
            </w:r>
          </w:p>
        </w:tc>
      </w:tr>
      <w:tr w:rsidR="00C81B01" w:rsidRPr="00176D76" w:rsidTr="00D1533C">
        <w:trPr>
          <w:tblHeader/>
        </w:trPr>
        <w:tc>
          <w:tcPr>
            <w:tcW w:w="2912" w:type="dxa"/>
          </w:tcPr>
          <w:p w:rsidR="00C81B01" w:rsidRPr="00176D76" w:rsidRDefault="00C81B01" w:rsidP="000F3F1D">
            <w:pPr>
              <w:pStyle w:val="TableText"/>
            </w:pPr>
            <w:r w:rsidRPr="00176D76">
              <w:t>DXA + ARtx (osteoporosis + osteopenia)</w:t>
            </w:r>
          </w:p>
        </w:tc>
        <w:tc>
          <w:tcPr>
            <w:tcW w:w="709" w:type="dxa"/>
            <w:vAlign w:val="bottom"/>
          </w:tcPr>
          <w:p w:rsidR="00C81B01" w:rsidRDefault="00C81B01" w:rsidP="00C81B01">
            <w:pPr>
              <w:pStyle w:val="TableText"/>
              <w:jc w:val="center"/>
            </w:pPr>
            <w:r>
              <w:t>$10507</w:t>
            </w:r>
          </w:p>
        </w:tc>
        <w:tc>
          <w:tcPr>
            <w:tcW w:w="916" w:type="dxa"/>
            <w:vAlign w:val="bottom"/>
          </w:tcPr>
          <w:p w:rsidR="00C81B01" w:rsidRDefault="00C81B01" w:rsidP="00C81B01">
            <w:pPr>
              <w:pStyle w:val="TableText"/>
              <w:jc w:val="center"/>
            </w:pPr>
            <w:r>
              <w:t>170</w:t>
            </w:r>
          </w:p>
        </w:tc>
        <w:tc>
          <w:tcPr>
            <w:tcW w:w="765" w:type="dxa"/>
            <w:vAlign w:val="bottom"/>
          </w:tcPr>
          <w:p w:rsidR="00C81B01" w:rsidRDefault="00C81B01" w:rsidP="00C81B01">
            <w:pPr>
              <w:pStyle w:val="TableText"/>
              <w:jc w:val="center"/>
            </w:pPr>
            <w:r>
              <w:t>10.799</w:t>
            </w:r>
          </w:p>
        </w:tc>
        <w:tc>
          <w:tcPr>
            <w:tcW w:w="709" w:type="dxa"/>
            <w:vAlign w:val="bottom"/>
          </w:tcPr>
          <w:p w:rsidR="00C81B01" w:rsidRDefault="00C81B01" w:rsidP="00C81B01">
            <w:pPr>
              <w:pStyle w:val="TableText"/>
              <w:jc w:val="center"/>
            </w:pPr>
            <w:r>
              <w:t>$5356</w:t>
            </w:r>
          </w:p>
        </w:tc>
        <w:tc>
          <w:tcPr>
            <w:tcW w:w="750" w:type="dxa"/>
            <w:vAlign w:val="bottom"/>
          </w:tcPr>
          <w:p w:rsidR="00C81B01" w:rsidRDefault="00C81B01" w:rsidP="00C81B01">
            <w:pPr>
              <w:pStyle w:val="TableText"/>
              <w:jc w:val="center"/>
            </w:pPr>
            <w:r>
              <w:t>0.60</w:t>
            </w:r>
          </w:p>
        </w:tc>
        <w:tc>
          <w:tcPr>
            <w:tcW w:w="789" w:type="dxa"/>
            <w:vAlign w:val="bottom"/>
          </w:tcPr>
          <w:p w:rsidR="00C81B01" w:rsidRDefault="00C81B01" w:rsidP="00C81B01">
            <w:pPr>
              <w:pStyle w:val="TableText"/>
              <w:jc w:val="center"/>
            </w:pPr>
            <w:r>
              <w:t>$8</w:t>
            </w:r>
            <w:r w:rsidR="005C28E9">
              <w:t>,</w:t>
            </w:r>
            <w:r>
              <w:t>987</w:t>
            </w:r>
          </w:p>
        </w:tc>
      </w:tr>
      <w:tr w:rsidR="00C81B01" w:rsidRPr="00176D76" w:rsidTr="00D1533C">
        <w:trPr>
          <w:tblHeader/>
        </w:trPr>
        <w:tc>
          <w:tcPr>
            <w:tcW w:w="2912" w:type="dxa"/>
          </w:tcPr>
          <w:p w:rsidR="00C81B01" w:rsidRPr="00176D76" w:rsidRDefault="00C81B01" w:rsidP="000F3F1D">
            <w:pPr>
              <w:pStyle w:val="TableText"/>
            </w:pPr>
            <w:r w:rsidRPr="00176D76">
              <w:t>DXA + ARtx (all women)</w:t>
            </w:r>
          </w:p>
        </w:tc>
        <w:tc>
          <w:tcPr>
            <w:tcW w:w="709" w:type="dxa"/>
            <w:vAlign w:val="bottom"/>
          </w:tcPr>
          <w:p w:rsidR="00C81B01" w:rsidRDefault="00C81B01" w:rsidP="00C81B01">
            <w:pPr>
              <w:pStyle w:val="TableText"/>
              <w:jc w:val="center"/>
            </w:pPr>
            <w:r>
              <w:t>$13256</w:t>
            </w:r>
          </w:p>
        </w:tc>
        <w:tc>
          <w:tcPr>
            <w:tcW w:w="916" w:type="dxa"/>
            <w:vAlign w:val="bottom"/>
          </w:tcPr>
          <w:p w:rsidR="00C81B01" w:rsidRDefault="00C81B01" w:rsidP="00C81B01">
            <w:pPr>
              <w:pStyle w:val="TableText"/>
              <w:jc w:val="center"/>
            </w:pPr>
            <w:r>
              <w:t>155</w:t>
            </w:r>
          </w:p>
        </w:tc>
        <w:tc>
          <w:tcPr>
            <w:tcW w:w="765" w:type="dxa"/>
            <w:vAlign w:val="bottom"/>
          </w:tcPr>
          <w:p w:rsidR="00C81B01" w:rsidRDefault="00C81B01" w:rsidP="00C81B01">
            <w:pPr>
              <w:pStyle w:val="TableText"/>
              <w:jc w:val="center"/>
            </w:pPr>
            <w:r>
              <w:t>10.797</w:t>
            </w:r>
          </w:p>
        </w:tc>
        <w:tc>
          <w:tcPr>
            <w:tcW w:w="709" w:type="dxa"/>
            <w:vAlign w:val="bottom"/>
          </w:tcPr>
          <w:p w:rsidR="00C81B01" w:rsidRDefault="00C81B01" w:rsidP="00C81B01">
            <w:pPr>
              <w:pStyle w:val="TableText"/>
              <w:jc w:val="center"/>
            </w:pPr>
            <w:r>
              <w:t>$8105</w:t>
            </w:r>
          </w:p>
        </w:tc>
        <w:tc>
          <w:tcPr>
            <w:tcW w:w="750" w:type="dxa"/>
            <w:vAlign w:val="bottom"/>
          </w:tcPr>
          <w:p w:rsidR="00C81B01" w:rsidRDefault="00C81B01" w:rsidP="00C81B01">
            <w:pPr>
              <w:pStyle w:val="TableText"/>
              <w:jc w:val="center"/>
            </w:pPr>
            <w:r>
              <w:t>0.59</w:t>
            </w:r>
          </w:p>
        </w:tc>
        <w:tc>
          <w:tcPr>
            <w:tcW w:w="789" w:type="dxa"/>
            <w:vAlign w:val="bottom"/>
          </w:tcPr>
          <w:p w:rsidR="00C81B01" w:rsidRDefault="00C81B01" w:rsidP="00C81B01">
            <w:pPr>
              <w:pStyle w:val="TableText"/>
              <w:jc w:val="center"/>
            </w:pPr>
            <w:r>
              <w:t>$13</w:t>
            </w:r>
            <w:r w:rsidR="005C28E9">
              <w:t>,</w:t>
            </w:r>
            <w:r>
              <w:t>645</w:t>
            </w:r>
          </w:p>
        </w:tc>
      </w:tr>
    </w:tbl>
    <w:p w:rsidR="00E47571" w:rsidRDefault="004B0387" w:rsidP="00E47571">
      <w:r>
        <w:rPr>
          <w:rFonts w:ascii="Arial Narrow" w:hAnsi="Arial Narrow"/>
          <w:sz w:val="18"/>
          <w:szCs w:val="18"/>
        </w:rPr>
        <w:t xml:space="preserve">ARtx = Anti-resorptive therapy, </w:t>
      </w:r>
      <w:r w:rsidRPr="006D19D1">
        <w:rPr>
          <w:rFonts w:ascii="Arial Narrow" w:hAnsi="Arial Narrow"/>
          <w:sz w:val="18"/>
          <w:szCs w:val="18"/>
        </w:rPr>
        <w:t>DXA = dual absorptiometry X-ray</w:t>
      </w:r>
      <w:r>
        <w:rPr>
          <w:rFonts w:ascii="Arial Narrow" w:hAnsi="Arial Narrow"/>
          <w:sz w:val="18"/>
          <w:szCs w:val="18"/>
        </w:rPr>
        <w:t>, ICER = incremental cost effectiveness ratio, QALYs = quality adjusted life years</w:t>
      </w:r>
    </w:p>
    <w:p w:rsidR="00E47571" w:rsidRDefault="003D7EF5" w:rsidP="00B61625">
      <w:r>
        <w:t xml:space="preserve">Table </w:t>
      </w:r>
      <w:r w:rsidR="00E94C57">
        <w:t>27</w:t>
      </w:r>
      <w:r>
        <w:t xml:space="preserve"> shows that </w:t>
      </w:r>
      <w:r w:rsidR="00E94C57">
        <w:t xml:space="preserve">all strategies are more cost-effective in older age and less cost-effective in younger women compared with the base 60 year cohort. </w:t>
      </w:r>
      <w:r w:rsidR="00EB1C62">
        <w:t>This is most likely due to the higher benefits of fracture prevention in older women where fracture rates over 65 begin to accelerate quickly.</w:t>
      </w:r>
      <w:r w:rsidR="005C28E9">
        <w:t xml:space="preserve"> It will also be due to the relatively high bone therapy costs over a longer period of treatment in younger women.</w:t>
      </w:r>
    </w:p>
    <w:p w:rsidR="003D7EF5" w:rsidRDefault="003D7EF5" w:rsidP="00B61625">
      <w:r>
        <w:t xml:space="preserve">Probabilistic sensitivity analyses were undertaken </w:t>
      </w:r>
      <w:r w:rsidR="00C262EC">
        <w:t xml:space="preserve">with 2000 iterations </w:t>
      </w:r>
      <w:r>
        <w:t xml:space="preserve">to provide a complete view of the uncertainty around the estimates used in the model.  The results of these analyses are presented in Table </w:t>
      </w:r>
      <w:r w:rsidR="00EB1C62">
        <w:t>28</w:t>
      </w:r>
      <w:r>
        <w:t>.</w:t>
      </w:r>
    </w:p>
    <w:p w:rsidR="003D7EF5" w:rsidRPr="00C262EC" w:rsidRDefault="003D7EF5" w:rsidP="00C262EC">
      <w:pPr>
        <w:pStyle w:val="TableName"/>
      </w:pPr>
      <w:bookmarkStart w:id="134" w:name="_Toc386112697"/>
      <w:r w:rsidRPr="00C262EC">
        <w:t xml:space="preserve">Table </w:t>
      </w:r>
      <w:r w:rsidR="00EB1C62" w:rsidRPr="00C262EC">
        <w:t>28</w:t>
      </w:r>
      <w:r w:rsidR="00C262EC" w:rsidRPr="00C262EC">
        <w:t>:</w:t>
      </w:r>
      <w:r w:rsidRPr="00C262EC">
        <w:t xml:space="preserve"> Results of the probabilistic sensitivity analyses</w:t>
      </w:r>
      <w:bookmarkEnd w:id="134"/>
      <w:r w:rsidRPr="00C262EC">
        <w:t xml:space="preserve"> </w:t>
      </w:r>
    </w:p>
    <w:tbl>
      <w:tblPr>
        <w:tblStyle w:val="TableGrid"/>
        <w:tblW w:w="7947" w:type="dxa"/>
        <w:tblInd w:w="720" w:type="dxa"/>
        <w:tblLook w:val="04A0" w:firstRow="1" w:lastRow="0" w:firstColumn="1" w:lastColumn="0" w:noHBand="0" w:noVBand="1"/>
        <w:tblCaption w:val="Results of probability sensitivity analyses"/>
      </w:tblPr>
      <w:tblGrid>
        <w:gridCol w:w="2936"/>
        <w:gridCol w:w="750"/>
        <w:gridCol w:w="919"/>
        <w:gridCol w:w="1792"/>
        <w:gridCol w:w="1550"/>
      </w:tblGrid>
      <w:tr w:rsidR="003D7EF5" w:rsidRPr="003D7EF5" w:rsidTr="00C262EC">
        <w:trPr>
          <w:tblHeader/>
        </w:trPr>
        <w:tc>
          <w:tcPr>
            <w:tcW w:w="2936" w:type="dxa"/>
            <w:vAlign w:val="center"/>
          </w:tcPr>
          <w:p w:rsidR="003D7EF5" w:rsidRPr="003D7EF5" w:rsidRDefault="003D7EF5" w:rsidP="003D7EF5">
            <w:pPr>
              <w:pStyle w:val="TableText"/>
              <w:jc w:val="center"/>
              <w:rPr>
                <w:b/>
              </w:rPr>
            </w:pPr>
          </w:p>
        </w:tc>
        <w:tc>
          <w:tcPr>
            <w:tcW w:w="750" w:type="dxa"/>
            <w:vAlign w:val="center"/>
          </w:tcPr>
          <w:p w:rsidR="003D7EF5" w:rsidRPr="003D7EF5" w:rsidRDefault="003D7EF5" w:rsidP="003D7EF5">
            <w:pPr>
              <w:pStyle w:val="TableText"/>
              <w:jc w:val="center"/>
              <w:rPr>
                <w:b/>
              </w:rPr>
            </w:pPr>
            <w:r>
              <w:rPr>
                <w:b/>
              </w:rPr>
              <w:t xml:space="preserve">Base </w:t>
            </w:r>
            <w:r w:rsidRPr="003D7EF5">
              <w:rPr>
                <w:b/>
              </w:rPr>
              <w:t>ICER</w:t>
            </w:r>
          </w:p>
        </w:tc>
        <w:tc>
          <w:tcPr>
            <w:tcW w:w="919" w:type="dxa"/>
            <w:vAlign w:val="center"/>
          </w:tcPr>
          <w:p w:rsidR="003D7EF5" w:rsidRPr="003D7EF5" w:rsidRDefault="003D7EF5" w:rsidP="003D7EF5">
            <w:pPr>
              <w:pStyle w:val="TableText"/>
              <w:jc w:val="center"/>
              <w:rPr>
                <w:b/>
              </w:rPr>
            </w:pPr>
            <w:r w:rsidRPr="003D7EF5">
              <w:rPr>
                <w:b/>
              </w:rPr>
              <w:t>PSA ICER</w:t>
            </w:r>
          </w:p>
        </w:tc>
        <w:tc>
          <w:tcPr>
            <w:tcW w:w="1792" w:type="dxa"/>
            <w:vAlign w:val="center"/>
          </w:tcPr>
          <w:p w:rsidR="003D7EF5" w:rsidRPr="003D7EF5" w:rsidRDefault="003D7EF5" w:rsidP="003D7EF5">
            <w:pPr>
              <w:pStyle w:val="TableText"/>
              <w:jc w:val="center"/>
              <w:rPr>
                <w:b/>
              </w:rPr>
            </w:pPr>
            <w:r>
              <w:rPr>
                <w:b/>
              </w:rPr>
              <w:t>95% Credible Interval</w:t>
            </w:r>
          </w:p>
        </w:tc>
        <w:tc>
          <w:tcPr>
            <w:tcW w:w="1550" w:type="dxa"/>
            <w:vAlign w:val="center"/>
          </w:tcPr>
          <w:p w:rsidR="003D7EF5" w:rsidRPr="003D7EF5" w:rsidRDefault="003D7EF5" w:rsidP="003D7EF5">
            <w:pPr>
              <w:pStyle w:val="TableText"/>
              <w:jc w:val="center"/>
              <w:rPr>
                <w:b/>
              </w:rPr>
            </w:pPr>
            <w:r w:rsidRPr="003D7EF5">
              <w:rPr>
                <w:b/>
              </w:rPr>
              <w:t>% cost-effective at $50000 per QALY</w:t>
            </w:r>
          </w:p>
        </w:tc>
      </w:tr>
      <w:tr w:rsidR="003D7EF5" w:rsidRPr="00176D76" w:rsidTr="00221E10">
        <w:tc>
          <w:tcPr>
            <w:tcW w:w="2936" w:type="dxa"/>
          </w:tcPr>
          <w:p w:rsidR="003D7EF5" w:rsidRPr="00176D76" w:rsidRDefault="003D7EF5" w:rsidP="000F3F1D">
            <w:pPr>
              <w:pStyle w:val="TableText"/>
            </w:pPr>
            <w:r w:rsidRPr="00176D76">
              <w:t>No DXA and lifestyle advice only</w:t>
            </w:r>
          </w:p>
        </w:tc>
        <w:tc>
          <w:tcPr>
            <w:tcW w:w="750" w:type="dxa"/>
          </w:tcPr>
          <w:p w:rsidR="003D7EF5" w:rsidRPr="00176D76" w:rsidRDefault="003D7EF5" w:rsidP="003D7EF5">
            <w:pPr>
              <w:pStyle w:val="TableText"/>
              <w:jc w:val="center"/>
            </w:pPr>
            <w:r>
              <w:t>ref</w:t>
            </w:r>
          </w:p>
        </w:tc>
        <w:tc>
          <w:tcPr>
            <w:tcW w:w="919" w:type="dxa"/>
          </w:tcPr>
          <w:p w:rsidR="003D7EF5" w:rsidRPr="00176D76" w:rsidRDefault="003D7EF5" w:rsidP="003D7EF5">
            <w:pPr>
              <w:pStyle w:val="TableText"/>
              <w:jc w:val="center"/>
            </w:pPr>
            <w:r>
              <w:t>ref</w:t>
            </w:r>
          </w:p>
        </w:tc>
        <w:tc>
          <w:tcPr>
            <w:tcW w:w="1792" w:type="dxa"/>
            <w:vAlign w:val="bottom"/>
          </w:tcPr>
          <w:p w:rsidR="003D7EF5" w:rsidRPr="00176D76" w:rsidRDefault="003D7EF5" w:rsidP="003D7EF5">
            <w:pPr>
              <w:pStyle w:val="TableText"/>
              <w:jc w:val="center"/>
            </w:pPr>
            <w:r>
              <w:t>ref</w:t>
            </w:r>
          </w:p>
        </w:tc>
        <w:tc>
          <w:tcPr>
            <w:tcW w:w="1550" w:type="dxa"/>
          </w:tcPr>
          <w:p w:rsidR="003D7EF5" w:rsidRPr="00176D76" w:rsidRDefault="003D7EF5" w:rsidP="003D7EF5">
            <w:pPr>
              <w:pStyle w:val="TableText"/>
              <w:jc w:val="center"/>
            </w:pPr>
            <w:r>
              <w:t>ref</w:t>
            </w:r>
          </w:p>
        </w:tc>
      </w:tr>
      <w:tr w:rsidR="004B0387" w:rsidRPr="00176D76" w:rsidTr="00221E10">
        <w:tc>
          <w:tcPr>
            <w:tcW w:w="2936" w:type="dxa"/>
          </w:tcPr>
          <w:p w:rsidR="004B0387" w:rsidRPr="00176D76" w:rsidRDefault="004B0387" w:rsidP="000F3F1D">
            <w:pPr>
              <w:pStyle w:val="TableText"/>
            </w:pPr>
            <w:r w:rsidRPr="00176D76">
              <w:t>DXA + ARtx (osteoporosis)</w:t>
            </w:r>
          </w:p>
        </w:tc>
        <w:tc>
          <w:tcPr>
            <w:tcW w:w="750" w:type="dxa"/>
            <w:vAlign w:val="center"/>
          </w:tcPr>
          <w:p w:rsidR="004B0387" w:rsidRPr="004B0387" w:rsidRDefault="004B0387" w:rsidP="000F6088">
            <w:pPr>
              <w:pStyle w:val="TableText"/>
              <w:jc w:val="center"/>
            </w:pPr>
            <w:r w:rsidRPr="004B0387">
              <w:t>$4,264</w:t>
            </w:r>
          </w:p>
        </w:tc>
        <w:tc>
          <w:tcPr>
            <w:tcW w:w="919" w:type="dxa"/>
            <w:vAlign w:val="center"/>
          </w:tcPr>
          <w:p w:rsidR="004B0387" w:rsidRPr="00176D76" w:rsidRDefault="00221E10" w:rsidP="007F6B0A">
            <w:pPr>
              <w:pStyle w:val="TableText"/>
              <w:jc w:val="center"/>
            </w:pPr>
            <w:r>
              <w:t>$</w:t>
            </w:r>
            <w:r w:rsidR="004B0387">
              <w:t>4</w:t>
            </w:r>
            <w:r>
              <w:t>,</w:t>
            </w:r>
            <w:r w:rsidR="004B0387">
              <w:t>209</w:t>
            </w:r>
          </w:p>
        </w:tc>
        <w:tc>
          <w:tcPr>
            <w:tcW w:w="1792" w:type="dxa"/>
            <w:vAlign w:val="center"/>
          </w:tcPr>
          <w:p w:rsidR="004B0387" w:rsidRPr="00176D76" w:rsidRDefault="004B0387" w:rsidP="007F6B0A">
            <w:pPr>
              <w:pStyle w:val="TableText"/>
              <w:jc w:val="center"/>
            </w:pPr>
            <w:r>
              <w:t>($1</w:t>
            </w:r>
            <w:r w:rsidR="00221E10">
              <w:t>,</w:t>
            </w:r>
            <w:r>
              <w:t>948, $8</w:t>
            </w:r>
            <w:r w:rsidR="00221E10">
              <w:t>,</w:t>
            </w:r>
            <w:r>
              <w:t>938)</w:t>
            </w:r>
          </w:p>
        </w:tc>
        <w:tc>
          <w:tcPr>
            <w:tcW w:w="1550" w:type="dxa"/>
            <w:vAlign w:val="bottom"/>
          </w:tcPr>
          <w:p w:rsidR="004B0387" w:rsidRPr="00176D76" w:rsidRDefault="004B0387" w:rsidP="003D7EF5">
            <w:pPr>
              <w:pStyle w:val="TableText"/>
              <w:jc w:val="center"/>
            </w:pPr>
            <w:r>
              <w:t>100%</w:t>
            </w:r>
          </w:p>
        </w:tc>
      </w:tr>
      <w:tr w:rsidR="004B0387" w:rsidRPr="00176D76" w:rsidTr="00221E10">
        <w:tc>
          <w:tcPr>
            <w:tcW w:w="2936" w:type="dxa"/>
          </w:tcPr>
          <w:p w:rsidR="004B0387" w:rsidRPr="00176D76" w:rsidRDefault="004B0387" w:rsidP="000F3F1D">
            <w:pPr>
              <w:pStyle w:val="TableText"/>
            </w:pPr>
            <w:r w:rsidRPr="00176D76">
              <w:t>DXA + ARtx (osteoporosis + osteopenia)</w:t>
            </w:r>
          </w:p>
        </w:tc>
        <w:tc>
          <w:tcPr>
            <w:tcW w:w="750" w:type="dxa"/>
            <w:vAlign w:val="center"/>
          </w:tcPr>
          <w:p w:rsidR="004B0387" w:rsidRPr="004B0387" w:rsidRDefault="004B0387" w:rsidP="000F6088">
            <w:pPr>
              <w:pStyle w:val="TableText"/>
              <w:jc w:val="center"/>
            </w:pPr>
            <w:r w:rsidRPr="004B0387">
              <w:t>$20,507</w:t>
            </w:r>
          </w:p>
        </w:tc>
        <w:tc>
          <w:tcPr>
            <w:tcW w:w="919" w:type="dxa"/>
            <w:vAlign w:val="center"/>
          </w:tcPr>
          <w:p w:rsidR="004B0387" w:rsidRPr="00176D76" w:rsidRDefault="00221E10" w:rsidP="007F6B0A">
            <w:pPr>
              <w:pStyle w:val="TableText"/>
              <w:jc w:val="center"/>
            </w:pPr>
            <w:r>
              <w:t>$</w:t>
            </w:r>
            <w:r w:rsidR="004B0387">
              <w:t>20</w:t>
            </w:r>
            <w:r>
              <w:t>,</w:t>
            </w:r>
            <w:r w:rsidR="004B0387">
              <w:t>334</w:t>
            </w:r>
          </w:p>
        </w:tc>
        <w:tc>
          <w:tcPr>
            <w:tcW w:w="1792" w:type="dxa"/>
            <w:vAlign w:val="center"/>
          </w:tcPr>
          <w:p w:rsidR="004B0387" w:rsidRPr="00176D76" w:rsidRDefault="004B0387" w:rsidP="007F6B0A">
            <w:pPr>
              <w:pStyle w:val="TableText"/>
              <w:jc w:val="center"/>
            </w:pPr>
            <w:r>
              <w:t>(</w:t>
            </w:r>
            <w:r w:rsidR="00221E10">
              <w:t>$</w:t>
            </w:r>
            <w:r>
              <w:t xml:space="preserve">12,515, </w:t>
            </w:r>
            <w:r w:rsidR="00221E10">
              <w:t>$</w:t>
            </w:r>
            <w:r>
              <w:t>38</w:t>
            </w:r>
            <w:r w:rsidR="00221E10">
              <w:t>,</w:t>
            </w:r>
            <w:r>
              <w:t>558)</w:t>
            </w:r>
          </w:p>
        </w:tc>
        <w:tc>
          <w:tcPr>
            <w:tcW w:w="1550" w:type="dxa"/>
            <w:vAlign w:val="bottom"/>
          </w:tcPr>
          <w:p w:rsidR="004B0387" w:rsidRPr="00176D76" w:rsidRDefault="004B0387" w:rsidP="004B0387">
            <w:pPr>
              <w:pStyle w:val="TableText"/>
              <w:jc w:val="center"/>
            </w:pPr>
            <w:r>
              <w:t>99.5%</w:t>
            </w:r>
          </w:p>
        </w:tc>
      </w:tr>
      <w:tr w:rsidR="004B0387" w:rsidRPr="00176D76" w:rsidTr="00221E10">
        <w:tc>
          <w:tcPr>
            <w:tcW w:w="2936" w:type="dxa"/>
          </w:tcPr>
          <w:p w:rsidR="004B0387" w:rsidRPr="00176D76" w:rsidRDefault="004B0387" w:rsidP="000F3F1D">
            <w:pPr>
              <w:pStyle w:val="TableText"/>
            </w:pPr>
            <w:r w:rsidRPr="00176D76">
              <w:t>DXA + ARtx (all women)</w:t>
            </w:r>
          </w:p>
        </w:tc>
        <w:tc>
          <w:tcPr>
            <w:tcW w:w="750" w:type="dxa"/>
            <w:vAlign w:val="center"/>
          </w:tcPr>
          <w:p w:rsidR="004B0387" w:rsidRPr="004B0387" w:rsidRDefault="004B0387" w:rsidP="000F6088">
            <w:pPr>
              <w:pStyle w:val="TableText"/>
              <w:jc w:val="center"/>
            </w:pPr>
            <w:r w:rsidRPr="004B0387">
              <w:t>$29,950</w:t>
            </w:r>
          </w:p>
        </w:tc>
        <w:tc>
          <w:tcPr>
            <w:tcW w:w="919" w:type="dxa"/>
            <w:vAlign w:val="center"/>
          </w:tcPr>
          <w:p w:rsidR="004B0387" w:rsidRPr="00176D76" w:rsidRDefault="00221E10" w:rsidP="007F6B0A">
            <w:pPr>
              <w:pStyle w:val="TableText"/>
              <w:jc w:val="center"/>
            </w:pPr>
            <w:r>
              <w:t>$</w:t>
            </w:r>
            <w:r w:rsidR="004B0387">
              <w:t>29</w:t>
            </w:r>
            <w:r>
              <w:t>,</w:t>
            </w:r>
            <w:r w:rsidR="004B0387">
              <w:t>857</w:t>
            </w:r>
          </w:p>
        </w:tc>
        <w:tc>
          <w:tcPr>
            <w:tcW w:w="1792" w:type="dxa"/>
            <w:vAlign w:val="center"/>
          </w:tcPr>
          <w:p w:rsidR="004B0387" w:rsidRPr="00176D76" w:rsidRDefault="004B0387" w:rsidP="007F6B0A">
            <w:pPr>
              <w:pStyle w:val="TableText"/>
              <w:jc w:val="center"/>
            </w:pPr>
            <w:r>
              <w:t>(</w:t>
            </w:r>
            <w:r w:rsidR="00221E10">
              <w:t>$20,987, $52,584)</w:t>
            </w:r>
          </w:p>
        </w:tc>
        <w:tc>
          <w:tcPr>
            <w:tcW w:w="1550" w:type="dxa"/>
            <w:vAlign w:val="bottom"/>
          </w:tcPr>
          <w:p w:rsidR="004B0387" w:rsidRPr="00176D76" w:rsidRDefault="004B0387" w:rsidP="004B0387">
            <w:pPr>
              <w:pStyle w:val="TableText"/>
              <w:jc w:val="center"/>
            </w:pPr>
            <w:r>
              <w:t>96.5%</w:t>
            </w:r>
          </w:p>
        </w:tc>
      </w:tr>
    </w:tbl>
    <w:p w:rsidR="003D7EF5" w:rsidRDefault="004B0387" w:rsidP="00B61625">
      <w:r>
        <w:rPr>
          <w:rFonts w:ascii="Arial Narrow" w:hAnsi="Arial Narrow"/>
          <w:sz w:val="18"/>
          <w:szCs w:val="18"/>
        </w:rPr>
        <w:t xml:space="preserve">ARtx = Anti-resorptive therapy, </w:t>
      </w:r>
      <w:r w:rsidRPr="006D19D1">
        <w:rPr>
          <w:rFonts w:ascii="Arial Narrow" w:hAnsi="Arial Narrow"/>
          <w:sz w:val="18"/>
          <w:szCs w:val="18"/>
        </w:rPr>
        <w:t>DXA = dual absorptiometry X-ray</w:t>
      </w:r>
      <w:r>
        <w:rPr>
          <w:rFonts w:ascii="Arial Narrow" w:hAnsi="Arial Narrow"/>
          <w:sz w:val="18"/>
          <w:szCs w:val="18"/>
        </w:rPr>
        <w:t>, ICER = incremental cost effectiveness ratio, QALYs = quality adjusted life years</w:t>
      </w:r>
    </w:p>
    <w:p w:rsidR="00A04AAD" w:rsidRDefault="00A04AAD" w:rsidP="00B61625">
      <w:r>
        <w:t>The results of these analyses clearly show that compared with no treatment and lifestyle advice, DXA plus bone treatment for women with osteoporosis or osteopenia would be cost-effective in the</w:t>
      </w:r>
      <w:r w:rsidR="00722BAB">
        <w:t xml:space="preserve"> vast majority of these women. </w:t>
      </w:r>
      <w:r w:rsidR="00EB1C62">
        <w:t>Similarly,</w:t>
      </w:r>
      <w:r>
        <w:t xml:space="preserve"> bone treatment </w:t>
      </w:r>
      <w:r w:rsidR="00EB1C62">
        <w:t>offered universally</w:t>
      </w:r>
      <w:r>
        <w:t xml:space="preserve"> for all </w:t>
      </w:r>
      <w:r w:rsidR="007A119D">
        <w:t>post-menopaus</w:t>
      </w:r>
      <w:r>
        <w:t xml:space="preserve">al women taking aromatase inhibitors is </w:t>
      </w:r>
      <w:r w:rsidR="00EB1C62">
        <w:t>also</w:t>
      </w:r>
      <w:r>
        <w:t xml:space="preserve"> cost-effective </w:t>
      </w:r>
      <w:r w:rsidR="00EB1C62">
        <w:t>when QALYs gained is the preferred outcome</w:t>
      </w:r>
      <w:r>
        <w:t>. These statemen</w:t>
      </w:r>
      <w:r w:rsidR="00EB1C62">
        <w:t>ts are subject to a willingness-to-</w:t>
      </w:r>
      <w:r>
        <w:t>pay threshold of $50,000 per QALY gained.</w:t>
      </w:r>
    </w:p>
    <w:p w:rsidR="00EB1C62" w:rsidRDefault="00EB1C62" w:rsidP="00B61625"/>
    <w:p w:rsidR="00B61625" w:rsidRDefault="00B61625" w:rsidP="00B61625"/>
    <w:p w:rsidR="003E61DB" w:rsidRDefault="000E0ABC" w:rsidP="0063011F">
      <w:pPr>
        <w:pStyle w:val="Heading3"/>
      </w:pPr>
      <w:bookmarkStart w:id="135" w:name="_Toc386093716"/>
      <w:r>
        <w:lastRenderedPageBreak/>
        <w:t>Financial estimates</w:t>
      </w:r>
      <w:bookmarkEnd w:id="135"/>
    </w:p>
    <w:p w:rsidR="000E0ABC" w:rsidRDefault="000E0ABC" w:rsidP="000E0ABC">
      <w:pPr>
        <w:pStyle w:val="Heading5"/>
      </w:pPr>
      <w:r>
        <w:t>Approach</w:t>
      </w:r>
    </w:p>
    <w:p w:rsidR="00DE0D61" w:rsidRDefault="00A34A61" w:rsidP="00DE0D61">
      <w:r>
        <w:t>An epidemiological approach was taken to assess the financial implications of the proposed MBS listing of DXA scans for women with breast cancer taking AI therapy.</w:t>
      </w:r>
      <w:r w:rsidR="00DE0D61">
        <w:t xml:space="preserve"> </w:t>
      </w:r>
      <w:r>
        <w:t xml:space="preserve">The costings present the figures for the next five years taking into account repeat scans and ongoing treatment for bone density while on AI therapy. The estimates take into account the number of new cases of breast cancer each year.  A summary of the estimates are presented in Table </w:t>
      </w:r>
      <w:r w:rsidR="00173A15">
        <w:t>29</w:t>
      </w:r>
      <w:r>
        <w:t>.</w:t>
      </w:r>
    </w:p>
    <w:p w:rsidR="00A34A61" w:rsidRDefault="00A34A61" w:rsidP="00DE0D61">
      <w:pPr>
        <w:pStyle w:val="TableName"/>
      </w:pPr>
      <w:bookmarkStart w:id="136" w:name="_Toc386112698"/>
      <w:r>
        <w:lastRenderedPageBreak/>
        <w:t xml:space="preserve">Table </w:t>
      </w:r>
      <w:r w:rsidR="00173A15">
        <w:t>29</w:t>
      </w:r>
      <w:r>
        <w:t>: Main parameters used in the financial estimates</w:t>
      </w:r>
      <w:bookmarkEnd w:id="136"/>
    </w:p>
    <w:tbl>
      <w:tblPr>
        <w:tblStyle w:val="TableGrid"/>
        <w:tblW w:w="9639" w:type="dxa"/>
        <w:tblInd w:w="250" w:type="dxa"/>
        <w:tblLook w:val="04A0" w:firstRow="1" w:lastRow="0" w:firstColumn="1" w:lastColumn="0" w:noHBand="0" w:noVBand="1"/>
        <w:tblCaption w:val="Table 29 Main parameters used in the financial estimates"/>
      </w:tblPr>
      <w:tblGrid>
        <w:gridCol w:w="2977"/>
        <w:gridCol w:w="1531"/>
        <w:gridCol w:w="5131"/>
      </w:tblGrid>
      <w:tr w:rsidR="000E0ABC" w:rsidRPr="0009223D" w:rsidTr="00D1533C">
        <w:trPr>
          <w:tblHeader/>
        </w:trPr>
        <w:tc>
          <w:tcPr>
            <w:tcW w:w="2977" w:type="dxa"/>
          </w:tcPr>
          <w:p w:rsidR="000E0ABC" w:rsidRPr="0009223D" w:rsidRDefault="000E0ABC" w:rsidP="000E0ABC">
            <w:pPr>
              <w:pStyle w:val="TableText"/>
              <w:rPr>
                <w:b/>
              </w:rPr>
            </w:pPr>
            <w:r w:rsidRPr="0009223D">
              <w:rPr>
                <w:b/>
              </w:rPr>
              <w:t>Parameter</w:t>
            </w:r>
          </w:p>
        </w:tc>
        <w:tc>
          <w:tcPr>
            <w:tcW w:w="1531" w:type="dxa"/>
          </w:tcPr>
          <w:p w:rsidR="000E0ABC" w:rsidRPr="0009223D" w:rsidRDefault="000E0ABC" w:rsidP="0009223D">
            <w:pPr>
              <w:pStyle w:val="TableText"/>
              <w:jc w:val="center"/>
              <w:rPr>
                <w:b/>
              </w:rPr>
            </w:pPr>
            <w:r w:rsidRPr="0009223D">
              <w:rPr>
                <w:b/>
              </w:rPr>
              <w:t>Value</w:t>
            </w:r>
          </w:p>
        </w:tc>
        <w:tc>
          <w:tcPr>
            <w:tcW w:w="5131" w:type="dxa"/>
          </w:tcPr>
          <w:p w:rsidR="000E0ABC" w:rsidRPr="0009223D" w:rsidRDefault="000E0ABC" w:rsidP="000E0ABC">
            <w:pPr>
              <w:pStyle w:val="TableText"/>
              <w:rPr>
                <w:b/>
              </w:rPr>
            </w:pPr>
            <w:r w:rsidRPr="0009223D">
              <w:rPr>
                <w:b/>
              </w:rPr>
              <w:t>Source / Rationale</w:t>
            </w:r>
          </w:p>
        </w:tc>
      </w:tr>
      <w:tr w:rsidR="0009223D" w:rsidTr="00D1533C">
        <w:trPr>
          <w:tblHeader/>
        </w:trPr>
        <w:tc>
          <w:tcPr>
            <w:tcW w:w="2977" w:type="dxa"/>
          </w:tcPr>
          <w:p w:rsidR="0009223D" w:rsidRPr="0009223D" w:rsidRDefault="0009223D" w:rsidP="000E0ABC">
            <w:pPr>
              <w:pStyle w:val="TableText"/>
              <w:rPr>
                <w:b/>
              </w:rPr>
            </w:pPr>
            <w:r w:rsidRPr="0009223D">
              <w:rPr>
                <w:b/>
              </w:rPr>
              <w:t>Breast cancer</w:t>
            </w:r>
          </w:p>
        </w:tc>
        <w:tc>
          <w:tcPr>
            <w:tcW w:w="1531" w:type="dxa"/>
          </w:tcPr>
          <w:p w:rsidR="0009223D" w:rsidRDefault="004B4974" w:rsidP="0009223D">
            <w:pPr>
              <w:pStyle w:val="TableText"/>
              <w:jc w:val="center"/>
            </w:pPr>
            <w:r>
              <w:t>-</w:t>
            </w:r>
          </w:p>
        </w:tc>
        <w:tc>
          <w:tcPr>
            <w:tcW w:w="5131" w:type="dxa"/>
          </w:tcPr>
          <w:p w:rsidR="0009223D" w:rsidRDefault="004B4974" w:rsidP="000E0ABC">
            <w:pPr>
              <w:pStyle w:val="TableText"/>
            </w:pPr>
            <w:r>
              <w:t>-</w:t>
            </w:r>
          </w:p>
        </w:tc>
      </w:tr>
      <w:tr w:rsidR="000E0ABC" w:rsidTr="00D1533C">
        <w:trPr>
          <w:tblHeader/>
        </w:trPr>
        <w:tc>
          <w:tcPr>
            <w:tcW w:w="2977" w:type="dxa"/>
          </w:tcPr>
          <w:p w:rsidR="000E0ABC" w:rsidRDefault="000E0ABC" w:rsidP="000E0ABC">
            <w:pPr>
              <w:pStyle w:val="TableText"/>
            </w:pPr>
            <w:r>
              <w:t>Incidence of breast cancer in Australia (women aged 50 to 69)</w:t>
            </w:r>
          </w:p>
        </w:tc>
        <w:tc>
          <w:tcPr>
            <w:tcW w:w="1531" w:type="dxa"/>
          </w:tcPr>
          <w:p w:rsidR="000E0ABC" w:rsidRDefault="000E0ABC" w:rsidP="00173A15">
            <w:pPr>
              <w:pStyle w:val="TableText"/>
              <w:spacing w:after="0"/>
              <w:jc w:val="center"/>
            </w:pPr>
            <w:r>
              <w:t>Year 1: 8108</w:t>
            </w:r>
          </w:p>
          <w:p w:rsidR="000E0ABC" w:rsidRDefault="000E0ABC" w:rsidP="00173A15">
            <w:pPr>
              <w:pStyle w:val="TableText"/>
              <w:spacing w:after="0"/>
              <w:jc w:val="center"/>
            </w:pPr>
            <w:r>
              <w:t>Year 2: 8293</w:t>
            </w:r>
          </w:p>
          <w:p w:rsidR="000E0ABC" w:rsidRDefault="000E0ABC" w:rsidP="00173A15">
            <w:pPr>
              <w:pStyle w:val="TableText"/>
              <w:spacing w:after="0"/>
              <w:jc w:val="center"/>
            </w:pPr>
            <w:r>
              <w:t>Year 3: 8479</w:t>
            </w:r>
          </w:p>
          <w:p w:rsidR="000E0ABC" w:rsidRDefault="000E0ABC" w:rsidP="00173A15">
            <w:pPr>
              <w:pStyle w:val="TableText"/>
              <w:spacing w:after="0"/>
              <w:jc w:val="center"/>
            </w:pPr>
            <w:r>
              <w:t>Year 4: 8665</w:t>
            </w:r>
          </w:p>
          <w:p w:rsidR="000E0ABC" w:rsidRDefault="000E0ABC" w:rsidP="00173A15">
            <w:pPr>
              <w:pStyle w:val="TableText"/>
              <w:spacing w:after="0"/>
              <w:jc w:val="center"/>
            </w:pPr>
            <w:r>
              <w:t>Year 5: 8851</w:t>
            </w:r>
          </w:p>
        </w:tc>
        <w:tc>
          <w:tcPr>
            <w:tcW w:w="5131" w:type="dxa"/>
          </w:tcPr>
          <w:p w:rsidR="000E0ABC" w:rsidRDefault="000E0ABC" w:rsidP="000E0ABC">
            <w:pPr>
              <w:pStyle w:val="TableText"/>
            </w:pPr>
            <w:r>
              <w:t xml:space="preserve">AIHW 2014 </w:t>
            </w:r>
            <w:r w:rsidR="00173A15">
              <w:t>ACIM</w:t>
            </w:r>
            <w:r>
              <w:t xml:space="preserve"> books, Canberra: AIHW.  Data available to 2010 (total new cases 14181). Figures were extrapolated to 2019.</w:t>
            </w:r>
          </w:p>
          <w:p w:rsidR="000E0ABC" w:rsidRDefault="000E0ABC" w:rsidP="00173A15">
            <w:pPr>
              <w:pStyle w:val="TableText"/>
            </w:pPr>
            <w:r>
              <w:t>Below age 50, women will not have reached menopause or if they have can access item 123</w:t>
            </w:r>
            <w:r w:rsidR="00173A15">
              <w:t>12</w:t>
            </w:r>
            <w:r>
              <w:t xml:space="preserve"> for hypogonadism. After age 70 women can access item 12323.</w:t>
            </w:r>
          </w:p>
        </w:tc>
      </w:tr>
      <w:tr w:rsidR="000E0ABC" w:rsidTr="00D1533C">
        <w:trPr>
          <w:tblHeader/>
        </w:trPr>
        <w:tc>
          <w:tcPr>
            <w:tcW w:w="2977" w:type="dxa"/>
          </w:tcPr>
          <w:p w:rsidR="000E0ABC" w:rsidRDefault="000E0ABC" w:rsidP="00297EF8">
            <w:pPr>
              <w:pStyle w:val="TableText"/>
            </w:pPr>
            <w:r>
              <w:t>Proportion of ‘early stage’</w:t>
            </w:r>
            <w:r w:rsidR="0009223D">
              <w:t xml:space="preserve"> breast cancer </w:t>
            </w:r>
          </w:p>
        </w:tc>
        <w:tc>
          <w:tcPr>
            <w:tcW w:w="1531" w:type="dxa"/>
          </w:tcPr>
          <w:p w:rsidR="000E0ABC" w:rsidRDefault="0009223D" w:rsidP="0009223D">
            <w:pPr>
              <w:pStyle w:val="TableText"/>
              <w:jc w:val="center"/>
            </w:pPr>
            <w:r>
              <w:t>90%</w:t>
            </w:r>
          </w:p>
        </w:tc>
        <w:tc>
          <w:tcPr>
            <w:tcW w:w="5131" w:type="dxa"/>
          </w:tcPr>
          <w:p w:rsidR="000E0ABC" w:rsidRDefault="0009223D" w:rsidP="008A5528">
            <w:pPr>
              <w:pStyle w:val="TableText"/>
            </w:pPr>
            <w:r>
              <w:t>Estimated from Australian population based study by Hayes SC (20</w:t>
            </w:r>
            <w:r w:rsidR="00173A15">
              <w:t>1</w:t>
            </w:r>
            <w:r w:rsidR="008A5528">
              <w:t>2</w:t>
            </w:r>
            <w:r>
              <w:t>).</w:t>
            </w:r>
          </w:p>
        </w:tc>
      </w:tr>
      <w:tr w:rsidR="000E0ABC" w:rsidTr="00D1533C">
        <w:trPr>
          <w:tblHeader/>
        </w:trPr>
        <w:tc>
          <w:tcPr>
            <w:tcW w:w="2977" w:type="dxa"/>
          </w:tcPr>
          <w:p w:rsidR="000E0ABC" w:rsidRDefault="0009223D" w:rsidP="000E0ABC">
            <w:pPr>
              <w:pStyle w:val="TableText"/>
            </w:pPr>
            <w:r>
              <w:t>Proportion of women with breast cancer receiving aromatase inhibitors</w:t>
            </w:r>
          </w:p>
        </w:tc>
        <w:tc>
          <w:tcPr>
            <w:tcW w:w="1531" w:type="dxa"/>
          </w:tcPr>
          <w:p w:rsidR="000E0ABC" w:rsidRDefault="0009223D" w:rsidP="0009223D">
            <w:pPr>
              <w:pStyle w:val="TableText"/>
              <w:jc w:val="center"/>
            </w:pPr>
            <w:r>
              <w:t>81%</w:t>
            </w:r>
          </w:p>
        </w:tc>
        <w:tc>
          <w:tcPr>
            <w:tcW w:w="5131" w:type="dxa"/>
          </w:tcPr>
          <w:p w:rsidR="000E0ABC" w:rsidRDefault="0009223D" w:rsidP="003F6A33">
            <w:pPr>
              <w:pStyle w:val="TableText"/>
            </w:pPr>
            <w:r>
              <w:t xml:space="preserve">Verry et al. 2012, </w:t>
            </w:r>
            <w:r w:rsidR="003F6A33">
              <w:t>Australian breast cancer study</w:t>
            </w:r>
          </w:p>
        </w:tc>
      </w:tr>
      <w:tr w:rsidR="004B4974" w:rsidTr="00D1533C">
        <w:trPr>
          <w:tblHeader/>
        </w:trPr>
        <w:tc>
          <w:tcPr>
            <w:tcW w:w="2977" w:type="dxa"/>
          </w:tcPr>
          <w:p w:rsidR="004B4974" w:rsidRDefault="004B4974" w:rsidP="000E0ABC">
            <w:pPr>
              <w:pStyle w:val="TableText"/>
            </w:pPr>
            <w:r w:rsidRPr="0009223D">
              <w:rPr>
                <w:b/>
              </w:rPr>
              <w:t>% women treated with anti-resorptive therapy</w:t>
            </w:r>
          </w:p>
        </w:tc>
        <w:tc>
          <w:tcPr>
            <w:tcW w:w="1531" w:type="dxa"/>
          </w:tcPr>
          <w:p w:rsidR="004B4974" w:rsidRDefault="004B4974" w:rsidP="0009223D">
            <w:pPr>
              <w:pStyle w:val="TableText"/>
              <w:jc w:val="center"/>
            </w:pPr>
            <w:r>
              <w:t>-</w:t>
            </w:r>
          </w:p>
        </w:tc>
        <w:tc>
          <w:tcPr>
            <w:tcW w:w="5131" w:type="dxa"/>
            <w:vAlign w:val="center"/>
          </w:tcPr>
          <w:p w:rsidR="004B4974" w:rsidRDefault="004B4974" w:rsidP="0009223D">
            <w:pPr>
              <w:pStyle w:val="TableText"/>
            </w:pPr>
            <w:r>
              <w:t>-</w:t>
            </w:r>
          </w:p>
        </w:tc>
      </w:tr>
      <w:tr w:rsidR="004B4974" w:rsidTr="00D1533C">
        <w:trPr>
          <w:tblHeader/>
        </w:trPr>
        <w:tc>
          <w:tcPr>
            <w:tcW w:w="2977" w:type="dxa"/>
          </w:tcPr>
          <w:p w:rsidR="004B4974" w:rsidRDefault="004B4974" w:rsidP="000E0ABC">
            <w:pPr>
              <w:pStyle w:val="TableText"/>
            </w:pPr>
            <w:r>
              <w:t>Mean % women with osteoporosis</w:t>
            </w:r>
          </w:p>
        </w:tc>
        <w:tc>
          <w:tcPr>
            <w:tcW w:w="1531" w:type="dxa"/>
          </w:tcPr>
          <w:p w:rsidR="004B4974" w:rsidRDefault="004B4974" w:rsidP="0009223D">
            <w:pPr>
              <w:pStyle w:val="TableText"/>
              <w:jc w:val="center"/>
            </w:pPr>
            <w:r>
              <w:t>14.7%</w:t>
            </w:r>
          </w:p>
        </w:tc>
        <w:tc>
          <w:tcPr>
            <w:tcW w:w="5131" w:type="dxa"/>
            <w:vAlign w:val="center"/>
          </w:tcPr>
          <w:p w:rsidR="004B4974" w:rsidRDefault="004B4974" w:rsidP="0009223D">
            <w:pPr>
              <w:pStyle w:val="TableText"/>
            </w:pPr>
            <w:r>
              <w:t>Henry et al. 2011 Australian BMD T-score measurements on women from the Geelong Osteoporosis Study. Based on women aged 50-69 years.</w:t>
            </w:r>
          </w:p>
        </w:tc>
      </w:tr>
      <w:tr w:rsidR="004B4974" w:rsidTr="00D1533C">
        <w:trPr>
          <w:tblHeader/>
        </w:trPr>
        <w:tc>
          <w:tcPr>
            <w:tcW w:w="2977" w:type="dxa"/>
          </w:tcPr>
          <w:p w:rsidR="004B4974" w:rsidRDefault="004B4974" w:rsidP="0009223D">
            <w:pPr>
              <w:pStyle w:val="TableText"/>
            </w:pPr>
            <w:r>
              <w:t>Mean % women with osteopenia</w:t>
            </w:r>
          </w:p>
        </w:tc>
        <w:tc>
          <w:tcPr>
            <w:tcW w:w="1531" w:type="dxa"/>
          </w:tcPr>
          <w:p w:rsidR="004B4974" w:rsidRDefault="004B4974" w:rsidP="0009223D">
            <w:pPr>
              <w:pStyle w:val="TableText"/>
              <w:jc w:val="center"/>
            </w:pPr>
            <w:r>
              <w:t>49.1%</w:t>
            </w:r>
          </w:p>
        </w:tc>
        <w:tc>
          <w:tcPr>
            <w:tcW w:w="5131" w:type="dxa"/>
          </w:tcPr>
          <w:p w:rsidR="004B4974" w:rsidRDefault="004B4974" w:rsidP="000E0ABC">
            <w:pPr>
              <w:pStyle w:val="TableText"/>
            </w:pPr>
            <w:r>
              <w:t>As above</w:t>
            </w:r>
          </w:p>
        </w:tc>
      </w:tr>
      <w:tr w:rsidR="004B4974" w:rsidTr="00D1533C">
        <w:trPr>
          <w:tblHeader/>
        </w:trPr>
        <w:tc>
          <w:tcPr>
            <w:tcW w:w="2977" w:type="dxa"/>
          </w:tcPr>
          <w:p w:rsidR="004B4974" w:rsidRDefault="004B4974" w:rsidP="0009223D">
            <w:pPr>
              <w:pStyle w:val="TableText"/>
            </w:pPr>
            <w:r>
              <w:t>Mean % women with normal BMD</w:t>
            </w:r>
          </w:p>
        </w:tc>
        <w:tc>
          <w:tcPr>
            <w:tcW w:w="1531" w:type="dxa"/>
          </w:tcPr>
          <w:p w:rsidR="004B4974" w:rsidRDefault="004B4974" w:rsidP="0009223D">
            <w:pPr>
              <w:pStyle w:val="TableText"/>
              <w:jc w:val="center"/>
            </w:pPr>
            <w:r>
              <w:t>36.3%</w:t>
            </w:r>
          </w:p>
        </w:tc>
        <w:tc>
          <w:tcPr>
            <w:tcW w:w="5131" w:type="dxa"/>
          </w:tcPr>
          <w:p w:rsidR="004B4974" w:rsidRDefault="004B4974" w:rsidP="000E0ABC">
            <w:pPr>
              <w:pStyle w:val="TableText"/>
            </w:pPr>
            <w:r>
              <w:t>As above</w:t>
            </w:r>
          </w:p>
        </w:tc>
      </w:tr>
      <w:tr w:rsidR="0009223D" w:rsidTr="00D1533C">
        <w:trPr>
          <w:tblHeader/>
        </w:trPr>
        <w:tc>
          <w:tcPr>
            <w:tcW w:w="2977" w:type="dxa"/>
          </w:tcPr>
          <w:p w:rsidR="0009223D" w:rsidRPr="0009223D" w:rsidRDefault="0009223D" w:rsidP="000E0ABC">
            <w:pPr>
              <w:pStyle w:val="TableText"/>
              <w:rPr>
                <w:b/>
              </w:rPr>
            </w:pPr>
            <w:r w:rsidRPr="0009223D">
              <w:rPr>
                <w:b/>
              </w:rPr>
              <w:t>DXA scans</w:t>
            </w:r>
          </w:p>
        </w:tc>
        <w:tc>
          <w:tcPr>
            <w:tcW w:w="1531" w:type="dxa"/>
          </w:tcPr>
          <w:p w:rsidR="0009223D" w:rsidRDefault="004B4974" w:rsidP="0009223D">
            <w:pPr>
              <w:pStyle w:val="TableText"/>
              <w:jc w:val="center"/>
            </w:pPr>
            <w:r>
              <w:t>-</w:t>
            </w:r>
          </w:p>
        </w:tc>
        <w:tc>
          <w:tcPr>
            <w:tcW w:w="5131" w:type="dxa"/>
          </w:tcPr>
          <w:p w:rsidR="0009223D" w:rsidRDefault="004B4974" w:rsidP="000E0ABC">
            <w:pPr>
              <w:pStyle w:val="TableText"/>
            </w:pPr>
            <w:r>
              <w:t>-</w:t>
            </w:r>
          </w:p>
        </w:tc>
      </w:tr>
      <w:tr w:rsidR="0009223D" w:rsidTr="00D1533C">
        <w:trPr>
          <w:tblHeader/>
        </w:trPr>
        <w:tc>
          <w:tcPr>
            <w:tcW w:w="2977" w:type="dxa"/>
          </w:tcPr>
          <w:p w:rsidR="0009223D" w:rsidRDefault="0009223D" w:rsidP="000E0ABC">
            <w:pPr>
              <w:pStyle w:val="TableText"/>
            </w:pPr>
            <w:r>
              <w:t>Uptake in each year</w:t>
            </w:r>
          </w:p>
        </w:tc>
        <w:tc>
          <w:tcPr>
            <w:tcW w:w="1531" w:type="dxa"/>
          </w:tcPr>
          <w:p w:rsidR="0009223D" w:rsidRDefault="0009223D" w:rsidP="0009223D">
            <w:pPr>
              <w:pStyle w:val="TableText"/>
              <w:jc w:val="center"/>
            </w:pPr>
            <w:r>
              <w:t xml:space="preserve">100% </w:t>
            </w:r>
          </w:p>
        </w:tc>
        <w:tc>
          <w:tcPr>
            <w:tcW w:w="5131" w:type="dxa"/>
          </w:tcPr>
          <w:p w:rsidR="0009223D" w:rsidRDefault="0009223D" w:rsidP="000E0ABC">
            <w:pPr>
              <w:pStyle w:val="TableText"/>
            </w:pPr>
            <w:r>
              <w:t>Scanners are widely available even in rural and remote areas in Australia (HESP advice). They are already widely used.</w:t>
            </w:r>
          </w:p>
        </w:tc>
      </w:tr>
      <w:tr w:rsidR="0009223D" w:rsidTr="00D1533C">
        <w:trPr>
          <w:tblHeader/>
        </w:trPr>
        <w:tc>
          <w:tcPr>
            <w:tcW w:w="2977" w:type="dxa"/>
          </w:tcPr>
          <w:p w:rsidR="0009223D" w:rsidRDefault="0009223D" w:rsidP="000E0ABC">
            <w:pPr>
              <w:pStyle w:val="TableText"/>
            </w:pPr>
            <w:r>
              <w:t>Frequency of scans</w:t>
            </w:r>
          </w:p>
        </w:tc>
        <w:tc>
          <w:tcPr>
            <w:tcW w:w="1531" w:type="dxa"/>
          </w:tcPr>
          <w:p w:rsidR="0009223D" w:rsidRDefault="0009223D" w:rsidP="0009223D">
            <w:pPr>
              <w:pStyle w:val="TableText"/>
              <w:jc w:val="center"/>
            </w:pPr>
            <w:r>
              <w:t>Annual</w:t>
            </w:r>
          </w:p>
        </w:tc>
        <w:tc>
          <w:tcPr>
            <w:tcW w:w="5131" w:type="dxa"/>
          </w:tcPr>
          <w:p w:rsidR="0009223D" w:rsidRDefault="00DC0341" w:rsidP="000E0ABC">
            <w:pPr>
              <w:pStyle w:val="TableText"/>
            </w:pPr>
            <w:r>
              <w:t>In line with proposed MBS description, clinical practice guidelines in breast cancer. Frequency every 2 years will be tested in sensitivity analyses.</w:t>
            </w:r>
          </w:p>
        </w:tc>
      </w:tr>
      <w:tr w:rsidR="00DC0341" w:rsidTr="00D1533C">
        <w:trPr>
          <w:tblHeader/>
        </w:trPr>
        <w:tc>
          <w:tcPr>
            <w:tcW w:w="2977" w:type="dxa"/>
          </w:tcPr>
          <w:p w:rsidR="00DC0341" w:rsidRPr="00DC0341" w:rsidRDefault="00DC0341" w:rsidP="000E0ABC">
            <w:pPr>
              <w:pStyle w:val="TableText"/>
              <w:rPr>
                <w:b/>
              </w:rPr>
            </w:pPr>
            <w:r w:rsidRPr="00DC0341">
              <w:rPr>
                <w:b/>
              </w:rPr>
              <w:t>Annual Costs</w:t>
            </w:r>
          </w:p>
        </w:tc>
        <w:tc>
          <w:tcPr>
            <w:tcW w:w="1531" w:type="dxa"/>
          </w:tcPr>
          <w:p w:rsidR="00DC0341" w:rsidRDefault="004B4974" w:rsidP="0009223D">
            <w:pPr>
              <w:pStyle w:val="TableText"/>
              <w:jc w:val="center"/>
            </w:pPr>
            <w:r>
              <w:t>-</w:t>
            </w:r>
          </w:p>
        </w:tc>
        <w:tc>
          <w:tcPr>
            <w:tcW w:w="5131" w:type="dxa"/>
          </w:tcPr>
          <w:p w:rsidR="00DC0341" w:rsidRDefault="004B4974" w:rsidP="000E0ABC">
            <w:pPr>
              <w:pStyle w:val="TableText"/>
            </w:pPr>
            <w:r>
              <w:t>-</w:t>
            </w:r>
          </w:p>
        </w:tc>
      </w:tr>
      <w:tr w:rsidR="00DC0341" w:rsidTr="00D1533C">
        <w:trPr>
          <w:tblHeader/>
        </w:trPr>
        <w:tc>
          <w:tcPr>
            <w:tcW w:w="2977" w:type="dxa"/>
          </w:tcPr>
          <w:p w:rsidR="00DC0341" w:rsidRDefault="00DC0341" w:rsidP="00C118E9">
            <w:pPr>
              <w:pStyle w:val="TableText"/>
            </w:pPr>
            <w:r>
              <w:t>DXA scans</w:t>
            </w:r>
          </w:p>
        </w:tc>
        <w:tc>
          <w:tcPr>
            <w:tcW w:w="1531" w:type="dxa"/>
          </w:tcPr>
          <w:p w:rsidR="00DC0341" w:rsidRDefault="00DC0341" w:rsidP="00C118E9">
            <w:pPr>
              <w:pStyle w:val="TableText"/>
              <w:jc w:val="center"/>
            </w:pPr>
            <w:r>
              <w:t>$87.05</w:t>
            </w:r>
          </w:p>
        </w:tc>
        <w:tc>
          <w:tcPr>
            <w:tcW w:w="5131" w:type="dxa"/>
          </w:tcPr>
          <w:p w:rsidR="00DC0341" w:rsidRDefault="00DC0341" w:rsidP="00C118E9">
            <w:pPr>
              <w:pStyle w:val="TableText"/>
            </w:pPr>
            <w:r>
              <w:t>Proposed MBS fee at 85% - assume 15% patient co</w:t>
            </w:r>
            <w:r w:rsidR="00173A15">
              <w:t>-</w:t>
            </w:r>
            <w:r>
              <w:t>payment</w:t>
            </w:r>
          </w:p>
        </w:tc>
      </w:tr>
      <w:tr w:rsidR="006E07E3" w:rsidTr="00D1533C">
        <w:trPr>
          <w:tblHeader/>
        </w:trPr>
        <w:tc>
          <w:tcPr>
            <w:tcW w:w="2977" w:type="dxa"/>
          </w:tcPr>
          <w:p w:rsidR="006E07E3" w:rsidRDefault="006E07E3" w:rsidP="00C118E9">
            <w:pPr>
              <w:pStyle w:val="TableText"/>
            </w:pPr>
            <w:r>
              <w:t>Vitamin D test</w:t>
            </w:r>
          </w:p>
        </w:tc>
        <w:tc>
          <w:tcPr>
            <w:tcW w:w="1531" w:type="dxa"/>
          </w:tcPr>
          <w:p w:rsidR="006E07E3" w:rsidRDefault="006E07E3" w:rsidP="00C118E9">
            <w:pPr>
              <w:pStyle w:val="TableText"/>
              <w:jc w:val="center"/>
            </w:pPr>
            <w:r>
              <w:t>$33.19</w:t>
            </w:r>
          </w:p>
        </w:tc>
        <w:tc>
          <w:tcPr>
            <w:tcW w:w="5131" w:type="dxa"/>
          </w:tcPr>
          <w:p w:rsidR="006E07E3" w:rsidRDefault="006E07E3" w:rsidP="00C118E9">
            <w:pPr>
              <w:pStyle w:val="TableText"/>
            </w:pPr>
            <w:r>
              <w:t>MBS item 66608 fee at 85% - assume 15% patient co</w:t>
            </w:r>
            <w:r w:rsidR="00173A15">
              <w:t>-</w:t>
            </w:r>
            <w:r>
              <w:t xml:space="preserve">payment </w:t>
            </w:r>
          </w:p>
        </w:tc>
      </w:tr>
      <w:tr w:rsidR="00DC0341" w:rsidTr="00D1533C">
        <w:trPr>
          <w:tblHeader/>
        </w:trPr>
        <w:tc>
          <w:tcPr>
            <w:tcW w:w="2977" w:type="dxa"/>
          </w:tcPr>
          <w:p w:rsidR="00DC0341" w:rsidRDefault="00DC0341" w:rsidP="000E0ABC">
            <w:pPr>
              <w:pStyle w:val="TableText"/>
            </w:pPr>
            <w:r>
              <w:t>Risedronate (oral tablet)</w:t>
            </w:r>
          </w:p>
        </w:tc>
        <w:tc>
          <w:tcPr>
            <w:tcW w:w="1531" w:type="dxa"/>
          </w:tcPr>
          <w:p w:rsidR="00DC0341" w:rsidRDefault="00DC0341" w:rsidP="0009223D">
            <w:pPr>
              <w:pStyle w:val="TableText"/>
              <w:jc w:val="center"/>
            </w:pPr>
            <w:r>
              <w:t>$547.20</w:t>
            </w:r>
          </w:p>
        </w:tc>
        <w:tc>
          <w:tcPr>
            <w:tcW w:w="5131" w:type="dxa"/>
          </w:tcPr>
          <w:p w:rsidR="00DC0341" w:rsidRDefault="00DC0341" w:rsidP="000E0ABC">
            <w:pPr>
              <w:pStyle w:val="TableText"/>
            </w:pPr>
            <w:r>
              <w:t>PBS item 8947H. This is one of the most used bisphosphonates in Australia. It is similar in price to Alendronate (oral tablet) PBS item 9351E ($544.56).</w:t>
            </w:r>
          </w:p>
        </w:tc>
      </w:tr>
      <w:tr w:rsidR="00DC0341" w:rsidTr="00D1533C">
        <w:trPr>
          <w:tblHeader/>
        </w:trPr>
        <w:tc>
          <w:tcPr>
            <w:tcW w:w="2977" w:type="dxa"/>
          </w:tcPr>
          <w:p w:rsidR="00DC0341" w:rsidRDefault="00173A15" w:rsidP="000E0ABC">
            <w:pPr>
              <w:pStyle w:val="TableText"/>
            </w:pPr>
            <w:r>
              <w:t>Zoledronic acid (intravenous injection</w:t>
            </w:r>
            <w:r w:rsidR="00DC0341">
              <w:t>)</w:t>
            </w:r>
          </w:p>
        </w:tc>
        <w:tc>
          <w:tcPr>
            <w:tcW w:w="1531" w:type="dxa"/>
          </w:tcPr>
          <w:p w:rsidR="00DC0341" w:rsidRDefault="00DC0341" w:rsidP="0009223D">
            <w:pPr>
              <w:pStyle w:val="TableText"/>
              <w:jc w:val="center"/>
            </w:pPr>
            <w:r>
              <w:t>1179.66</w:t>
            </w:r>
          </w:p>
        </w:tc>
        <w:tc>
          <w:tcPr>
            <w:tcW w:w="5131" w:type="dxa"/>
          </w:tcPr>
          <w:p w:rsidR="00DC0341" w:rsidRDefault="00DC0341" w:rsidP="000E0ABC">
            <w:pPr>
              <w:pStyle w:val="TableText"/>
            </w:pPr>
            <w:r>
              <w:t>PBS item 9288W – price was tested in sensitivity analysis</w:t>
            </w:r>
          </w:p>
        </w:tc>
      </w:tr>
      <w:tr w:rsidR="00DC0341" w:rsidTr="00D1533C">
        <w:trPr>
          <w:tblHeader/>
        </w:trPr>
        <w:tc>
          <w:tcPr>
            <w:tcW w:w="2977" w:type="dxa"/>
          </w:tcPr>
          <w:p w:rsidR="00DC0341" w:rsidRDefault="00DC0341" w:rsidP="000E0ABC">
            <w:pPr>
              <w:pStyle w:val="TableText"/>
            </w:pPr>
            <w:r>
              <w:t>Osteoporotic bone fracture</w:t>
            </w:r>
          </w:p>
        </w:tc>
        <w:tc>
          <w:tcPr>
            <w:tcW w:w="1531" w:type="dxa"/>
          </w:tcPr>
          <w:p w:rsidR="00DC0341" w:rsidRDefault="00DC0341" w:rsidP="0009223D">
            <w:pPr>
              <w:pStyle w:val="TableText"/>
              <w:jc w:val="center"/>
            </w:pPr>
            <w:r>
              <w:t>$9065.10</w:t>
            </w:r>
          </w:p>
        </w:tc>
        <w:tc>
          <w:tcPr>
            <w:tcW w:w="5131" w:type="dxa"/>
          </w:tcPr>
          <w:p w:rsidR="00DC0341" w:rsidRDefault="00DC0341" w:rsidP="00297EF8">
            <w:pPr>
              <w:pStyle w:val="TableText"/>
            </w:pPr>
            <w:r>
              <w:t>Weighted mean of Hip fracture AR-DRG (103B, 108A,108B, 178A, 178B), vertebrae fractures AR-DRG (110A, 110B) and other fractures AR-DRG (177A, 177B, 161A, 161B). Similar codes were used in AIHW Osteoporosis snapshot.</w:t>
            </w:r>
            <w:r w:rsidR="00297EF8">
              <w:t xml:space="preserve"> </w:t>
            </w:r>
            <w:r>
              <w:t>Proportion of fractures = 40.5% hip, 5.6% vertebrae, 53.9% other (AIHW Osteoporosis 2011)</w:t>
            </w:r>
          </w:p>
        </w:tc>
      </w:tr>
      <w:tr w:rsidR="006E07E3" w:rsidTr="00D1533C">
        <w:trPr>
          <w:tblHeader/>
        </w:trPr>
        <w:tc>
          <w:tcPr>
            <w:tcW w:w="2977" w:type="dxa"/>
          </w:tcPr>
          <w:p w:rsidR="006E07E3" w:rsidRDefault="006E07E3" w:rsidP="000E0ABC">
            <w:pPr>
              <w:pStyle w:val="TableText"/>
            </w:pPr>
            <w:r>
              <w:t>GP visits</w:t>
            </w:r>
          </w:p>
        </w:tc>
        <w:tc>
          <w:tcPr>
            <w:tcW w:w="1531" w:type="dxa"/>
          </w:tcPr>
          <w:p w:rsidR="006E07E3" w:rsidRDefault="006E07E3" w:rsidP="0009223D">
            <w:pPr>
              <w:pStyle w:val="TableText"/>
              <w:jc w:val="center"/>
            </w:pPr>
            <w:r>
              <w:t>$36.30</w:t>
            </w:r>
          </w:p>
        </w:tc>
        <w:tc>
          <w:tcPr>
            <w:tcW w:w="5131" w:type="dxa"/>
          </w:tcPr>
          <w:p w:rsidR="006E07E3" w:rsidRDefault="006E07E3" w:rsidP="000E0ABC">
            <w:pPr>
              <w:pStyle w:val="TableText"/>
            </w:pPr>
            <w:r>
              <w:t>MBS item 23</w:t>
            </w:r>
          </w:p>
        </w:tc>
      </w:tr>
      <w:tr w:rsidR="006E07E3" w:rsidRPr="006E07E3" w:rsidTr="00D1533C">
        <w:trPr>
          <w:tblHeader/>
        </w:trPr>
        <w:tc>
          <w:tcPr>
            <w:tcW w:w="2977" w:type="dxa"/>
          </w:tcPr>
          <w:p w:rsidR="006E07E3" w:rsidRPr="006E07E3" w:rsidRDefault="006E07E3" w:rsidP="000E0ABC">
            <w:pPr>
              <w:pStyle w:val="TableText"/>
              <w:rPr>
                <w:b/>
              </w:rPr>
            </w:pPr>
            <w:r w:rsidRPr="006E07E3">
              <w:rPr>
                <w:b/>
              </w:rPr>
              <w:t>Fracture rates</w:t>
            </w:r>
          </w:p>
        </w:tc>
        <w:tc>
          <w:tcPr>
            <w:tcW w:w="1531" w:type="dxa"/>
          </w:tcPr>
          <w:p w:rsidR="006E07E3" w:rsidRPr="006E07E3" w:rsidRDefault="004B4974" w:rsidP="0009223D">
            <w:pPr>
              <w:pStyle w:val="TableText"/>
              <w:jc w:val="center"/>
              <w:rPr>
                <w:b/>
              </w:rPr>
            </w:pPr>
            <w:r>
              <w:rPr>
                <w:b/>
              </w:rPr>
              <w:t>-</w:t>
            </w:r>
          </w:p>
        </w:tc>
        <w:tc>
          <w:tcPr>
            <w:tcW w:w="5131" w:type="dxa"/>
          </w:tcPr>
          <w:p w:rsidR="006E07E3" w:rsidRPr="006E07E3" w:rsidRDefault="004B4974" w:rsidP="000E0ABC">
            <w:pPr>
              <w:pStyle w:val="TableText"/>
              <w:rPr>
                <w:b/>
              </w:rPr>
            </w:pPr>
            <w:r>
              <w:rPr>
                <w:b/>
              </w:rPr>
              <w:t>-</w:t>
            </w:r>
          </w:p>
        </w:tc>
      </w:tr>
      <w:tr w:rsidR="006E07E3" w:rsidTr="00D1533C">
        <w:trPr>
          <w:tblHeader/>
        </w:trPr>
        <w:tc>
          <w:tcPr>
            <w:tcW w:w="2977" w:type="dxa"/>
          </w:tcPr>
          <w:p w:rsidR="006E07E3" w:rsidRDefault="006E07E3" w:rsidP="000E0ABC">
            <w:pPr>
              <w:pStyle w:val="TableText"/>
            </w:pPr>
            <w:r>
              <w:t>Incidence of bone fractures in women taking AIs for breast cancer</w:t>
            </w:r>
          </w:p>
        </w:tc>
        <w:tc>
          <w:tcPr>
            <w:tcW w:w="1531" w:type="dxa"/>
          </w:tcPr>
          <w:p w:rsidR="006E07E3" w:rsidRDefault="006E07E3" w:rsidP="0009223D">
            <w:pPr>
              <w:pStyle w:val="TableText"/>
              <w:jc w:val="center"/>
            </w:pPr>
            <w:r>
              <w:t>1.44%</w:t>
            </w:r>
          </w:p>
        </w:tc>
        <w:tc>
          <w:tcPr>
            <w:tcW w:w="5131" w:type="dxa"/>
          </w:tcPr>
          <w:p w:rsidR="006E07E3" w:rsidRDefault="006E07E3" w:rsidP="000E0ABC">
            <w:pPr>
              <w:pStyle w:val="TableText"/>
            </w:pPr>
            <w:r>
              <w:t>Pooled estimate of several studies (see economic evaluation)</w:t>
            </w:r>
          </w:p>
        </w:tc>
      </w:tr>
      <w:tr w:rsidR="006E07E3" w:rsidTr="00D1533C">
        <w:trPr>
          <w:tblHeader/>
        </w:trPr>
        <w:tc>
          <w:tcPr>
            <w:tcW w:w="2977" w:type="dxa"/>
          </w:tcPr>
          <w:p w:rsidR="006E07E3" w:rsidRDefault="006E07E3" w:rsidP="000E0ABC">
            <w:pPr>
              <w:pStyle w:val="TableText"/>
            </w:pPr>
            <w:r>
              <w:t>RR of bone tx efficacy</w:t>
            </w:r>
          </w:p>
        </w:tc>
        <w:tc>
          <w:tcPr>
            <w:tcW w:w="1531" w:type="dxa"/>
          </w:tcPr>
          <w:p w:rsidR="006E07E3" w:rsidRDefault="006E07E3" w:rsidP="0009223D">
            <w:pPr>
              <w:pStyle w:val="TableText"/>
              <w:jc w:val="center"/>
            </w:pPr>
            <w:r>
              <w:t>0.6598</w:t>
            </w:r>
          </w:p>
        </w:tc>
        <w:tc>
          <w:tcPr>
            <w:tcW w:w="5131" w:type="dxa"/>
          </w:tcPr>
          <w:p w:rsidR="006E07E3" w:rsidRDefault="006E07E3" w:rsidP="000E0ABC">
            <w:pPr>
              <w:pStyle w:val="TableText"/>
            </w:pPr>
            <w:r>
              <w:t>Values in sensitivity 0.400, 0.8455.  As above.</w:t>
            </w:r>
          </w:p>
        </w:tc>
      </w:tr>
    </w:tbl>
    <w:p w:rsidR="00A34A61" w:rsidRDefault="00173A15" w:rsidP="00173A15">
      <w:pPr>
        <w:pStyle w:val="TableText"/>
      </w:pPr>
      <w:r>
        <w:t xml:space="preserve">ACIM =Aust Cancer Incidence and Mortality, AIHW = Australian Institute of Health and Welfare, AI = aromatase inhibitor, AR-DRG = Australian Related Diagnosis Relative Group, DXA = dual x-ray absorptiometry, HESP = Health Expert Standing Panel, MBS = Medical Benefits Schedule , RR =relative risk, PBS= Pharmaceutical Benefits Schedule. </w:t>
      </w:r>
    </w:p>
    <w:p w:rsidR="00173A15" w:rsidRDefault="003F6A33" w:rsidP="00173A15">
      <w:pPr>
        <w:pStyle w:val="TableText"/>
      </w:pPr>
      <w:r>
        <w:t xml:space="preserve">References: </w:t>
      </w:r>
      <w:r>
        <w:fldChar w:fldCharType="begin">
          <w:fldData xml:space="preserve">PEVuZE5vdGU+PENpdGU+PEF1dGhvcj5IYXllczwvQXV0aG9yPjxZZWFyPjIwMTI8L1llYXI+PFJl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</w:fldData>
        </w:fldChar>
      </w:r>
      <w:r>
        <w:instrText xml:space="preserve"> ADDIN EN.CITE </w:instrText>
      </w:r>
      <w:r>
        <w:fldChar w:fldCharType="begin">
          <w:fldData xml:space="preserve">PEVuZE5vdGU+PENpdGU+PEF1dGhvcj5IYXllczwvQXV0aG9yPjxZZWFyPjIwMTI8L1llYXI+PFJl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</w:fldData>
        </w:fldChar>
      </w:r>
      <w:r>
        <w:instrText xml:space="preserve"> ADDIN EN.CITE.DATA </w:instrText>
      </w:r>
      <w:r>
        <w:fldChar w:fldCharType="end"/>
      </w:r>
      <w:r>
        <w:fldChar w:fldCharType="separate"/>
      </w:r>
      <w:r>
        <w:rPr>
          <w:noProof/>
        </w:rPr>
        <w:t>(</w:t>
      </w:r>
      <w:hyperlink w:anchor="_ENREF_25" w:tooltip="Henry, 2011 #60" w:history="1">
        <w:r w:rsidR="006F79C1">
          <w:rPr>
            <w:noProof/>
          </w:rPr>
          <w:t>Henry, Pasco et al. 2011</w:t>
        </w:r>
      </w:hyperlink>
      <w:r>
        <w:rPr>
          <w:noProof/>
        </w:rPr>
        <w:t xml:space="preserve">, </w:t>
      </w:r>
      <w:hyperlink w:anchor="_ENREF_24" w:tooltip="Hayes, 2012 #269" w:history="1">
        <w:r w:rsidR="006F79C1">
          <w:rPr>
            <w:noProof/>
          </w:rPr>
          <w:t>Hayes, Johansson et al. 2012</w:t>
        </w:r>
      </w:hyperlink>
      <w:r>
        <w:rPr>
          <w:noProof/>
        </w:rPr>
        <w:t xml:space="preserve">, </w:t>
      </w:r>
      <w:hyperlink w:anchor="_ENREF_61" w:tooltip="Verry, 2012 #268" w:history="1">
        <w:r w:rsidR="006F79C1">
          <w:rPr>
            <w:noProof/>
          </w:rPr>
          <w:t>Verry, Lord et al. 2012</w:t>
        </w:r>
      </w:hyperlink>
      <w:r>
        <w:rPr>
          <w:noProof/>
        </w:rPr>
        <w:t>)</w:t>
      </w:r>
      <w:r>
        <w:fldChar w:fldCharType="end"/>
      </w:r>
    </w:p>
    <w:p w:rsidR="003F6A33" w:rsidRPr="00A34A61" w:rsidRDefault="003F6A33" w:rsidP="00173A15">
      <w:pPr>
        <w:pStyle w:val="TableText"/>
      </w:pPr>
    </w:p>
    <w:p w:rsidR="003E61DB" w:rsidRDefault="00C118E9" w:rsidP="00C118E9">
      <w:r>
        <w:t xml:space="preserve">The results of the financial estimates in the base case are presented in Table </w:t>
      </w:r>
      <w:r w:rsidR="003F6A33">
        <w:t>30</w:t>
      </w:r>
      <w:r>
        <w:t>.</w:t>
      </w:r>
    </w:p>
    <w:p w:rsidR="00C118E9" w:rsidRPr="00C262EC" w:rsidRDefault="00C118E9" w:rsidP="00C262EC">
      <w:pPr>
        <w:pStyle w:val="TableName"/>
      </w:pPr>
      <w:bookmarkStart w:id="137" w:name="_Toc386112699"/>
      <w:r w:rsidRPr="00C262EC">
        <w:lastRenderedPageBreak/>
        <w:t>Table</w:t>
      </w:r>
      <w:r w:rsidR="00173A15" w:rsidRPr="00C262EC">
        <w:t xml:space="preserve"> 30</w:t>
      </w:r>
      <w:r w:rsidRPr="00C262EC">
        <w:t>: Results of the financial estimates over next five years</w:t>
      </w:r>
      <w:bookmarkEnd w:id="137"/>
    </w:p>
    <w:tbl>
      <w:tblPr>
        <w:tblW w:w="856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0 Results of the financial estimates"/>
      </w:tblPr>
      <w:tblGrid>
        <w:gridCol w:w="3621"/>
        <w:gridCol w:w="955"/>
        <w:gridCol w:w="996"/>
        <w:gridCol w:w="1078"/>
        <w:gridCol w:w="955"/>
        <w:gridCol w:w="955"/>
      </w:tblGrid>
      <w:tr w:rsidR="00C118E9" w:rsidRPr="00C67A8A" w:rsidTr="00D1533C">
        <w:trPr>
          <w:trHeight w:val="283"/>
          <w:tblHeader/>
        </w:trPr>
        <w:tc>
          <w:tcPr>
            <w:tcW w:w="907" w:type="dxa"/>
            <w:shd w:val="clear" w:color="auto" w:fill="auto"/>
            <w:noWrap/>
            <w:vAlign w:val="center"/>
            <w:hideMark/>
          </w:tcPr>
          <w:p w:rsidR="00C118E9" w:rsidRPr="00C67A8A" w:rsidRDefault="00C118E9" w:rsidP="00D1533C">
            <w:pPr>
              <w:pStyle w:val="TableText"/>
              <w:jc w:val="right"/>
            </w:pPr>
          </w:p>
        </w:tc>
        <w:tc>
          <w:tcPr>
            <w:tcW w:w="907" w:type="dxa"/>
            <w:shd w:val="clear" w:color="auto" w:fill="auto"/>
            <w:noWrap/>
            <w:vAlign w:val="center"/>
            <w:hideMark/>
          </w:tcPr>
          <w:p w:rsidR="00C118E9" w:rsidRPr="00C67A8A" w:rsidRDefault="00C118E9" w:rsidP="00D1533C">
            <w:pPr>
              <w:pStyle w:val="TableText"/>
              <w:jc w:val="right"/>
              <w:rPr>
                <w:b/>
                <w:bCs/>
              </w:rPr>
            </w:pPr>
            <w:r w:rsidRPr="00C67A8A">
              <w:rPr>
                <w:b/>
                <w:bCs/>
              </w:rPr>
              <w:t>2015</w:t>
            </w:r>
          </w:p>
        </w:tc>
        <w:tc>
          <w:tcPr>
            <w:tcW w:w="907" w:type="dxa"/>
            <w:shd w:val="clear" w:color="auto" w:fill="auto"/>
            <w:noWrap/>
            <w:vAlign w:val="center"/>
            <w:hideMark/>
          </w:tcPr>
          <w:p w:rsidR="00C118E9" w:rsidRPr="00C67A8A" w:rsidRDefault="00C118E9" w:rsidP="00D1533C">
            <w:pPr>
              <w:pStyle w:val="TableText"/>
              <w:jc w:val="right"/>
              <w:rPr>
                <w:b/>
                <w:bCs/>
              </w:rPr>
            </w:pPr>
            <w:r w:rsidRPr="00C67A8A">
              <w:rPr>
                <w:b/>
                <w:bCs/>
              </w:rPr>
              <w:t>2016</w:t>
            </w:r>
          </w:p>
        </w:tc>
        <w:tc>
          <w:tcPr>
            <w:tcW w:w="907" w:type="dxa"/>
            <w:shd w:val="clear" w:color="auto" w:fill="auto"/>
            <w:noWrap/>
            <w:vAlign w:val="center"/>
            <w:hideMark/>
          </w:tcPr>
          <w:p w:rsidR="00C118E9" w:rsidRPr="00C67A8A" w:rsidRDefault="00C118E9" w:rsidP="00D1533C">
            <w:pPr>
              <w:pStyle w:val="TableText"/>
              <w:jc w:val="right"/>
              <w:rPr>
                <w:b/>
                <w:bCs/>
              </w:rPr>
            </w:pPr>
            <w:r w:rsidRPr="00C67A8A">
              <w:rPr>
                <w:b/>
                <w:bCs/>
              </w:rPr>
              <w:t>2017</w:t>
            </w:r>
          </w:p>
        </w:tc>
        <w:tc>
          <w:tcPr>
            <w:tcW w:w="907" w:type="dxa"/>
            <w:shd w:val="clear" w:color="auto" w:fill="auto"/>
            <w:noWrap/>
            <w:vAlign w:val="center"/>
            <w:hideMark/>
          </w:tcPr>
          <w:p w:rsidR="00C118E9" w:rsidRPr="00C67A8A" w:rsidRDefault="00C118E9" w:rsidP="00D1533C">
            <w:pPr>
              <w:pStyle w:val="TableText"/>
              <w:jc w:val="right"/>
              <w:rPr>
                <w:b/>
                <w:bCs/>
              </w:rPr>
            </w:pPr>
            <w:r w:rsidRPr="00C67A8A">
              <w:rPr>
                <w:b/>
                <w:bCs/>
              </w:rPr>
              <w:t>2018</w:t>
            </w:r>
          </w:p>
        </w:tc>
        <w:tc>
          <w:tcPr>
            <w:tcW w:w="907" w:type="dxa"/>
            <w:shd w:val="clear" w:color="auto" w:fill="auto"/>
            <w:noWrap/>
            <w:vAlign w:val="center"/>
            <w:hideMark/>
          </w:tcPr>
          <w:p w:rsidR="00C118E9" w:rsidRPr="00C67A8A" w:rsidRDefault="00C118E9" w:rsidP="00D1533C">
            <w:pPr>
              <w:pStyle w:val="TableText"/>
              <w:jc w:val="right"/>
              <w:rPr>
                <w:b/>
                <w:bCs/>
              </w:rPr>
            </w:pPr>
            <w:r w:rsidRPr="00C67A8A">
              <w:rPr>
                <w:b/>
                <w:bCs/>
              </w:rPr>
              <w:t>2019</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rPr>
                <w:b/>
                <w:bCs/>
              </w:rPr>
            </w:pPr>
            <w:r w:rsidRPr="00C67A8A">
              <w:rPr>
                <w:b/>
                <w:bCs/>
              </w:rPr>
              <w:t>Eligible population</w:t>
            </w:r>
          </w:p>
        </w:tc>
        <w:tc>
          <w:tcPr>
            <w:tcW w:w="0" w:type="auto"/>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c>
          <w:tcPr>
            <w:tcW w:w="1078" w:type="dxa"/>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Incidence of women with brca aged 50-69</w:t>
            </w:r>
          </w:p>
        </w:tc>
        <w:tc>
          <w:tcPr>
            <w:tcW w:w="0" w:type="auto"/>
            <w:shd w:val="clear" w:color="auto" w:fill="auto"/>
            <w:noWrap/>
            <w:vAlign w:val="bottom"/>
            <w:hideMark/>
          </w:tcPr>
          <w:p w:rsidR="00C118E9" w:rsidRPr="00C67A8A" w:rsidRDefault="00C118E9" w:rsidP="00C118E9">
            <w:pPr>
              <w:pStyle w:val="TableText"/>
              <w:jc w:val="right"/>
            </w:pPr>
            <w:r w:rsidRPr="00C67A8A">
              <w:t>8,108</w:t>
            </w:r>
          </w:p>
        </w:tc>
        <w:tc>
          <w:tcPr>
            <w:tcW w:w="0" w:type="auto"/>
            <w:shd w:val="clear" w:color="auto" w:fill="auto"/>
            <w:noWrap/>
            <w:vAlign w:val="bottom"/>
            <w:hideMark/>
          </w:tcPr>
          <w:p w:rsidR="00C118E9" w:rsidRPr="00C67A8A" w:rsidRDefault="00C118E9" w:rsidP="00C118E9">
            <w:pPr>
              <w:pStyle w:val="TableText"/>
              <w:jc w:val="right"/>
            </w:pPr>
            <w:r w:rsidRPr="00C67A8A">
              <w:t>8,293</w:t>
            </w:r>
          </w:p>
        </w:tc>
        <w:tc>
          <w:tcPr>
            <w:tcW w:w="1078" w:type="dxa"/>
            <w:shd w:val="clear" w:color="auto" w:fill="auto"/>
            <w:noWrap/>
            <w:vAlign w:val="bottom"/>
            <w:hideMark/>
          </w:tcPr>
          <w:p w:rsidR="00C118E9" w:rsidRPr="00C67A8A" w:rsidRDefault="00C118E9" w:rsidP="00C118E9">
            <w:pPr>
              <w:pStyle w:val="TableText"/>
              <w:jc w:val="right"/>
            </w:pPr>
            <w:r w:rsidRPr="00C67A8A">
              <w:t>8,479</w:t>
            </w:r>
          </w:p>
        </w:tc>
        <w:tc>
          <w:tcPr>
            <w:tcW w:w="0" w:type="auto"/>
            <w:shd w:val="clear" w:color="auto" w:fill="auto"/>
            <w:noWrap/>
            <w:vAlign w:val="bottom"/>
            <w:hideMark/>
          </w:tcPr>
          <w:p w:rsidR="00C118E9" w:rsidRPr="00C67A8A" w:rsidRDefault="00C118E9" w:rsidP="00C118E9">
            <w:pPr>
              <w:pStyle w:val="TableText"/>
              <w:jc w:val="right"/>
            </w:pPr>
            <w:r w:rsidRPr="00C67A8A">
              <w:t>8,665</w:t>
            </w:r>
          </w:p>
        </w:tc>
        <w:tc>
          <w:tcPr>
            <w:tcW w:w="0" w:type="auto"/>
            <w:shd w:val="clear" w:color="auto" w:fill="auto"/>
            <w:noWrap/>
            <w:vAlign w:val="bottom"/>
            <w:hideMark/>
          </w:tcPr>
          <w:p w:rsidR="00C118E9" w:rsidRPr="00C67A8A" w:rsidRDefault="00C118E9" w:rsidP="00C118E9">
            <w:pPr>
              <w:pStyle w:val="TableText"/>
              <w:jc w:val="right"/>
            </w:pPr>
            <w:r w:rsidRPr="00C67A8A">
              <w:t>8,851</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Proportion with early stage</w:t>
            </w:r>
          </w:p>
        </w:tc>
        <w:tc>
          <w:tcPr>
            <w:tcW w:w="0" w:type="auto"/>
            <w:shd w:val="clear" w:color="auto" w:fill="auto"/>
            <w:noWrap/>
            <w:vAlign w:val="bottom"/>
            <w:hideMark/>
          </w:tcPr>
          <w:p w:rsidR="00C118E9" w:rsidRPr="00C67A8A" w:rsidRDefault="00C118E9" w:rsidP="00C118E9">
            <w:pPr>
              <w:pStyle w:val="TableText"/>
              <w:jc w:val="right"/>
            </w:pPr>
            <w:r w:rsidRPr="00C67A8A">
              <w:t>7297</w:t>
            </w:r>
          </w:p>
        </w:tc>
        <w:tc>
          <w:tcPr>
            <w:tcW w:w="0" w:type="auto"/>
            <w:shd w:val="clear" w:color="auto" w:fill="auto"/>
            <w:noWrap/>
            <w:vAlign w:val="bottom"/>
            <w:hideMark/>
          </w:tcPr>
          <w:p w:rsidR="00C118E9" w:rsidRPr="00C67A8A" w:rsidRDefault="00C118E9" w:rsidP="00C118E9">
            <w:pPr>
              <w:pStyle w:val="TableText"/>
              <w:jc w:val="right"/>
            </w:pPr>
            <w:r w:rsidRPr="00C67A8A">
              <w:t>7464</w:t>
            </w:r>
          </w:p>
        </w:tc>
        <w:tc>
          <w:tcPr>
            <w:tcW w:w="1078" w:type="dxa"/>
            <w:shd w:val="clear" w:color="auto" w:fill="auto"/>
            <w:noWrap/>
            <w:vAlign w:val="bottom"/>
            <w:hideMark/>
          </w:tcPr>
          <w:p w:rsidR="00C118E9" w:rsidRPr="00C67A8A" w:rsidRDefault="00C118E9" w:rsidP="00C118E9">
            <w:pPr>
              <w:pStyle w:val="TableText"/>
              <w:jc w:val="right"/>
            </w:pPr>
            <w:r w:rsidRPr="00C67A8A">
              <w:t>7631</w:t>
            </w:r>
          </w:p>
        </w:tc>
        <w:tc>
          <w:tcPr>
            <w:tcW w:w="0" w:type="auto"/>
            <w:shd w:val="clear" w:color="auto" w:fill="auto"/>
            <w:noWrap/>
            <w:vAlign w:val="bottom"/>
            <w:hideMark/>
          </w:tcPr>
          <w:p w:rsidR="00C118E9" w:rsidRPr="00C67A8A" w:rsidRDefault="00C118E9" w:rsidP="00C118E9">
            <w:pPr>
              <w:pStyle w:val="TableText"/>
              <w:jc w:val="right"/>
            </w:pPr>
            <w:r w:rsidRPr="00C67A8A">
              <w:t>7798</w:t>
            </w:r>
          </w:p>
        </w:tc>
        <w:tc>
          <w:tcPr>
            <w:tcW w:w="0" w:type="auto"/>
            <w:shd w:val="clear" w:color="auto" w:fill="auto"/>
            <w:noWrap/>
            <w:vAlign w:val="bottom"/>
            <w:hideMark/>
          </w:tcPr>
          <w:p w:rsidR="00C118E9" w:rsidRPr="00C67A8A" w:rsidRDefault="00C118E9" w:rsidP="00C118E9">
            <w:pPr>
              <w:pStyle w:val="TableText"/>
              <w:jc w:val="right"/>
            </w:pPr>
            <w:r w:rsidRPr="00C67A8A">
              <w:t>7966</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Proportion taking aromatase inhibitors</w:t>
            </w:r>
          </w:p>
        </w:tc>
        <w:tc>
          <w:tcPr>
            <w:tcW w:w="0" w:type="auto"/>
            <w:shd w:val="clear" w:color="auto" w:fill="auto"/>
            <w:noWrap/>
            <w:vAlign w:val="bottom"/>
            <w:hideMark/>
          </w:tcPr>
          <w:p w:rsidR="00C118E9" w:rsidRPr="00C67A8A" w:rsidRDefault="00C118E9" w:rsidP="00C118E9">
            <w:pPr>
              <w:pStyle w:val="TableText"/>
              <w:jc w:val="right"/>
            </w:pPr>
            <w:r w:rsidRPr="00C67A8A">
              <w:t>5911</w:t>
            </w:r>
          </w:p>
        </w:tc>
        <w:tc>
          <w:tcPr>
            <w:tcW w:w="0" w:type="auto"/>
            <w:shd w:val="clear" w:color="auto" w:fill="auto"/>
            <w:noWrap/>
            <w:vAlign w:val="bottom"/>
            <w:hideMark/>
          </w:tcPr>
          <w:p w:rsidR="00C118E9" w:rsidRPr="00C67A8A" w:rsidRDefault="00C118E9" w:rsidP="00C118E9">
            <w:pPr>
              <w:pStyle w:val="TableText"/>
              <w:jc w:val="right"/>
            </w:pPr>
            <w:r w:rsidRPr="00C67A8A">
              <w:t>6046</w:t>
            </w:r>
          </w:p>
        </w:tc>
        <w:tc>
          <w:tcPr>
            <w:tcW w:w="1078" w:type="dxa"/>
            <w:shd w:val="clear" w:color="auto" w:fill="auto"/>
            <w:noWrap/>
            <w:vAlign w:val="bottom"/>
            <w:hideMark/>
          </w:tcPr>
          <w:p w:rsidR="00C118E9" w:rsidRPr="00C67A8A" w:rsidRDefault="00C118E9" w:rsidP="00C118E9">
            <w:pPr>
              <w:pStyle w:val="TableText"/>
              <w:jc w:val="right"/>
            </w:pPr>
            <w:r w:rsidRPr="00C67A8A">
              <w:t>6181</w:t>
            </w:r>
          </w:p>
        </w:tc>
        <w:tc>
          <w:tcPr>
            <w:tcW w:w="0" w:type="auto"/>
            <w:shd w:val="clear" w:color="auto" w:fill="auto"/>
            <w:noWrap/>
            <w:vAlign w:val="bottom"/>
            <w:hideMark/>
          </w:tcPr>
          <w:p w:rsidR="00C118E9" w:rsidRPr="00C67A8A" w:rsidRDefault="00C118E9" w:rsidP="00C118E9">
            <w:pPr>
              <w:pStyle w:val="TableText"/>
              <w:jc w:val="right"/>
            </w:pPr>
            <w:r w:rsidRPr="00C67A8A">
              <w:t>6317</w:t>
            </w:r>
          </w:p>
        </w:tc>
        <w:tc>
          <w:tcPr>
            <w:tcW w:w="0" w:type="auto"/>
            <w:shd w:val="clear" w:color="auto" w:fill="auto"/>
            <w:noWrap/>
            <w:vAlign w:val="bottom"/>
            <w:hideMark/>
          </w:tcPr>
          <w:p w:rsidR="00C118E9" w:rsidRPr="00C67A8A" w:rsidRDefault="00C118E9" w:rsidP="00C118E9">
            <w:pPr>
              <w:pStyle w:val="TableText"/>
              <w:jc w:val="right"/>
            </w:pPr>
            <w:r w:rsidRPr="00C67A8A">
              <w:t>6452</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Total number of women each year</w:t>
            </w:r>
          </w:p>
        </w:tc>
        <w:tc>
          <w:tcPr>
            <w:tcW w:w="0" w:type="auto"/>
            <w:shd w:val="clear" w:color="auto" w:fill="auto"/>
            <w:noWrap/>
            <w:vAlign w:val="bottom"/>
            <w:hideMark/>
          </w:tcPr>
          <w:p w:rsidR="00C118E9" w:rsidRPr="00C67A8A" w:rsidRDefault="00C118E9" w:rsidP="00C118E9">
            <w:pPr>
              <w:pStyle w:val="TableText"/>
              <w:jc w:val="right"/>
            </w:pPr>
            <w:r w:rsidRPr="00C67A8A">
              <w:t>5911</w:t>
            </w:r>
          </w:p>
        </w:tc>
        <w:tc>
          <w:tcPr>
            <w:tcW w:w="0" w:type="auto"/>
            <w:shd w:val="clear" w:color="auto" w:fill="auto"/>
            <w:noWrap/>
            <w:vAlign w:val="bottom"/>
            <w:hideMark/>
          </w:tcPr>
          <w:p w:rsidR="00C118E9" w:rsidRPr="00C67A8A" w:rsidRDefault="00C118E9" w:rsidP="00C118E9">
            <w:pPr>
              <w:pStyle w:val="TableText"/>
              <w:jc w:val="right"/>
            </w:pPr>
            <w:r w:rsidRPr="00C67A8A">
              <w:t>11956</w:t>
            </w:r>
          </w:p>
        </w:tc>
        <w:tc>
          <w:tcPr>
            <w:tcW w:w="1078" w:type="dxa"/>
            <w:shd w:val="clear" w:color="auto" w:fill="auto"/>
            <w:noWrap/>
            <w:vAlign w:val="bottom"/>
            <w:hideMark/>
          </w:tcPr>
          <w:p w:rsidR="00C118E9" w:rsidRPr="00C67A8A" w:rsidRDefault="00C118E9" w:rsidP="00C118E9">
            <w:pPr>
              <w:pStyle w:val="TableText"/>
              <w:jc w:val="right"/>
            </w:pPr>
            <w:r w:rsidRPr="00C67A8A">
              <w:t>18138</w:t>
            </w:r>
          </w:p>
        </w:tc>
        <w:tc>
          <w:tcPr>
            <w:tcW w:w="0" w:type="auto"/>
            <w:shd w:val="clear" w:color="auto" w:fill="auto"/>
            <w:noWrap/>
            <w:vAlign w:val="bottom"/>
            <w:hideMark/>
          </w:tcPr>
          <w:p w:rsidR="00C118E9" w:rsidRPr="00C67A8A" w:rsidRDefault="00C118E9" w:rsidP="00C118E9">
            <w:pPr>
              <w:pStyle w:val="TableText"/>
              <w:jc w:val="right"/>
            </w:pPr>
            <w:r w:rsidRPr="00C67A8A">
              <w:t>24454</w:t>
            </w:r>
          </w:p>
        </w:tc>
        <w:tc>
          <w:tcPr>
            <w:tcW w:w="0" w:type="auto"/>
            <w:shd w:val="clear" w:color="auto" w:fill="auto"/>
            <w:noWrap/>
            <w:vAlign w:val="bottom"/>
            <w:hideMark/>
          </w:tcPr>
          <w:p w:rsidR="00C118E9" w:rsidRPr="00C67A8A" w:rsidRDefault="00C118E9" w:rsidP="00C118E9">
            <w:pPr>
              <w:pStyle w:val="TableText"/>
              <w:jc w:val="right"/>
            </w:pPr>
            <w:r w:rsidRPr="00C67A8A">
              <w:t>30906</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rPr>
                <w:b/>
                <w:bCs/>
              </w:rPr>
            </w:pPr>
            <w:r w:rsidRPr="00C67A8A">
              <w:rPr>
                <w:b/>
                <w:bCs/>
              </w:rPr>
              <w:t>Estimated uptake of DXA scans</w:t>
            </w:r>
          </w:p>
        </w:tc>
        <w:tc>
          <w:tcPr>
            <w:tcW w:w="0" w:type="auto"/>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c>
          <w:tcPr>
            <w:tcW w:w="1078" w:type="dxa"/>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Number of scans if annual</w:t>
            </w:r>
          </w:p>
        </w:tc>
        <w:tc>
          <w:tcPr>
            <w:tcW w:w="0" w:type="auto"/>
            <w:shd w:val="clear" w:color="auto" w:fill="auto"/>
            <w:noWrap/>
            <w:vAlign w:val="bottom"/>
            <w:hideMark/>
          </w:tcPr>
          <w:p w:rsidR="00C118E9" w:rsidRPr="00C67A8A" w:rsidRDefault="00C118E9" w:rsidP="00C118E9">
            <w:pPr>
              <w:pStyle w:val="TableText"/>
              <w:jc w:val="right"/>
            </w:pPr>
            <w:r w:rsidRPr="00C67A8A">
              <w:t>5911</w:t>
            </w:r>
          </w:p>
        </w:tc>
        <w:tc>
          <w:tcPr>
            <w:tcW w:w="0" w:type="auto"/>
            <w:shd w:val="clear" w:color="auto" w:fill="auto"/>
            <w:noWrap/>
            <w:vAlign w:val="bottom"/>
            <w:hideMark/>
          </w:tcPr>
          <w:p w:rsidR="00C118E9" w:rsidRPr="00C67A8A" w:rsidRDefault="00C118E9" w:rsidP="00C118E9">
            <w:pPr>
              <w:pStyle w:val="TableText"/>
              <w:jc w:val="right"/>
            </w:pPr>
            <w:r w:rsidRPr="00C67A8A">
              <w:t>11956</w:t>
            </w:r>
          </w:p>
        </w:tc>
        <w:tc>
          <w:tcPr>
            <w:tcW w:w="1078" w:type="dxa"/>
            <w:shd w:val="clear" w:color="auto" w:fill="auto"/>
            <w:noWrap/>
            <w:vAlign w:val="bottom"/>
            <w:hideMark/>
          </w:tcPr>
          <w:p w:rsidR="00C118E9" w:rsidRPr="00C67A8A" w:rsidRDefault="00C118E9" w:rsidP="00C118E9">
            <w:pPr>
              <w:pStyle w:val="TableText"/>
              <w:jc w:val="right"/>
            </w:pPr>
            <w:r w:rsidRPr="00C67A8A">
              <w:t>18138</w:t>
            </w:r>
          </w:p>
        </w:tc>
        <w:tc>
          <w:tcPr>
            <w:tcW w:w="0" w:type="auto"/>
            <w:shd w:val="clear" w:color="auto" w:fill="auto"/>
            <w:noWrap/>
            <w:vAlign w:val="bottom"/>
            <w:hideMark/>
          </w:tcPr>
          <w:p w:rsidR="00C118E9" w:rsidRPr="00C67A8A" w:rsidRDefault="00C118E9" w:rsidP="00C118E9">
            <w:pPr>
              <w:pStyle w:val="TableText"/>
              <w:jc w:val="right"/>
            </w:pPr>
            <w:r w:rsidRPr="00C67A8A">
              <w:t>24454</w:t>
            </w:r>
          </w:p>
        </w:tc>
        <w:tc>
          <w:tcPr>
            <w:tcW w:w="0" w:type="auto"/>
            <w:shd w:val="clear" w:color="auto" w:fill="auto"/>
            <w:noWrap/>
            <w:vAlign w:val="bottom"/>
            <w:hideMark/>
          </w:tcPr>
          <w:p w:rsidR="00C118E9" w:rsidRPr="00C67A8A" w:rsidRDefault="00C118E9" w:rsidP="00C118E9">
            <w:pPr>
              <w:pStyle w:val="TableText"/>
              <w:jc w:val="right"/>
            </w:pPr>
            <w:r w:rsidRPr="00C67A8A">
              <w:t>30906</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rPr>
                <w:b/>
                <w:bCs/>
              </w:rPr>
            </w:pPr>
            <w:r w:rsidRPr="00C67A8A">
              <w:rPr>
                <w:b/>
                <w:bCs/>
              </w:rPr>
              <w:t>Estimated women taking anti</w:t>
            </w:r>
            <w:r w:rsidR="00297EF8">
              <w:rPr>
                <w:b/>
                <w:bCs/>
              </w:rPr>
              <w:t>-</w:t>
            </w:r>
            <w:r w:rsidRPr="00C67A8A">
              <w:rPr>
                <w:b/>
                <w:bCs/>
              </w:rPr>
              <w:t>resorptives</w:t>
            </w:r>
          </w:p>
        </w:tc>
        <w:tc>
          <w:tcPr>
            <w:tcW w:w="0" w:type="auto"/>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c>
          <w:tcPr>
            <w:tcW w:w="1078" w:type="dxa"/>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Proportion of women with osteoporosis</w:t>
            </w:r>
          </w:p>
        </w:tc>
        <w:tc>
          <w:tcPr>
            <w:tcW w:w="0" w:type="auto"/>
            <w:shd w:val="clear" w:color="auto" w:fill="auto"/>
            <w:noWrap/>
            <w:vAlign w:val="bottom"/>
            <w:hideMark/>
          </w:tcPr>
          <w:p w:rsidR="00C118E9" w:rsidRPr="00C67A8A" w:rsidRDefault="00C118E9" w:rsidP="00C118E9">
            <w:pPr>
              <w:pStyle w:val="TableText"/>
              <w:jc w:val="right"/>
            </w:pPr>
            <w:r w:rsidRPr="00C67A8A">
              <w:t>866</w:t>
            </w:r>
          </w:p>
        </w:tc>
        <w:tc>
          <w:tcPr>
            <w:tcW w:w="0" w:type="auto"/>
            <w:shd w:val="clear" w:color="auto" w:fill="auto"/>
            <w:noWrap/>
            <w:vAlign w:val="bottom"/>
            <w:hideMark/>
          </w:tcPr>
          <w:p w:rsidR="00C118E9" w:rsidRPr="00C67A8A" w:rsidRDefault="00C118E9" w:rsidP="00C118E9">
            <w:pPr>
              <w:pStyle w:val="TableText"/>
              <w:jc w:val="right"/>
            </w:pPr>
            <w:r w:rsidRPr="00C67A8A">
              <w:t>1752</w:t>
            </w:r>
          </w:p>
        </w:tc>
        <w:tc>
          <w:tcPr>
            <w:tcW w:w="1078" w:type="dxa"/>
            <w:shd w:val="clear" w:color="auto" w:fill="auto"/>
            <w:noWrap/>
            <w:vAlign w:val="bottom"/>
            <w:hideMark/>
          </w:tcPr>
          <w:p w:rsidR="00C118E9" w:rsidRPr="00C67A8A" w:rsidRDefault="00C118E9" w:rsidP="00C118E9">
            <w:pPr>
              <w:pStyle w:val="TableText"/>
              <w:jc w:val="right"/>
            </w:pPr>
            <w:r w:rsidRPr="00C67A8A">
              <w:t>2657</w:t>
            </w:r>
          </w:p>
        </w:tc>
        <w:tc>
          <w:tcPr>
            <w:tcW w:w="0" w:type="auto"/>
            <w:shd w:val="clear" w:color="auto" w:fill="auto"/>
            <w:noWrap/>
            <w:vAlign w:val="bottom"/>
            <w:hideMark/>
          </w:tcPr>
          <w:p w:rsidR="00C118E9" w:rsidRPr="00C67A8A" w:rsidRDefault="00C118E9" w:rsidP="00C118E9">
            <w:pPr>
              <w:pStyle w:val="TableText"/>
              <w:jc w:val="right"/>
            </w:pPr>
            <w:r w:rsidRPr="00C67A8A">
              <w:t>3583</w:t>
            </w:r>
          </w:p>
        </w:tc>
        <w:tc>
          <w:tcPr>
            <w:tcW w:w="0" w:type="auto"/>
            <w:shd w:val="clear" w:color="auto" w:fill="auto"/>
            <w:noWrap/>
            <w:vAlign w:val="bottom"/>
            <w:hideMark/>
          </w:tcPr>
          <w:p w:rsidR="00C118E9" w:rsidRPr="00C67A8A" w:rsidRDefault="00C118E9" w:rsidP="00C118E9">
            <w:pPr>
              <w:pStyle w:val="TableText"/>
              <w:jc w:val="right"/>
            </w:pPr>
            <w:r w:rsidRPr="00C67A8A">
              <w:t>4528</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Total women treated</w:t>
            </w:r>
          </w:p>
        </w:tc>
        <w:tc>
          <w:tcPr>
            <w:tcW w:w="0" w:type="auto"/>
            <w:shd w:val="clear" w:color="auto" w:fill="auto"/>
            <w:noWrap/>
            <w:vAlign w:val="bottom"/>
            <w:hideMark/>
          </w:tcPr>
          <w:p w:rsidR="00C118E9" w:rsidRPr="00C67A8A" w:rsidRDefault="00C118E9" w:rsidP="00C118E9">
            <w:pPr>
              <w:pStyle w:val="TableText"/>
              <w:jc w:val="right"/>
            </w:pPr>
            <w:r w:rsidRPr="00C67A8A">
              <w:t>866</w:t>
            </w:r>
          </w:p>
        </w:tc>
        <w:tc>
          <w:tcPr>
            <w:tcW w:w="0" w:type="auto"/>
            <w:shd w:val="clear" w:color="auto" w:fill="auto"/>
            <w:noWrap/>
            <w:vAlign w:val="bottom"/>
            <w:hideMark/>
          </w:tcPr>
          <w:p w:rsidR="00C118E9" w:rsidRPr="00C67A8A" w:rsidRDefault="00C118E9" w:rsidP="00C118E9">
            <w:pPr>
              <w:pStyle w:val="TableText"/>
              <w:jc w:val="right"/>
            </w:pPr>
            <w:r w:rsidRPr="00C67A8A">
              <w:t>1752</w:t>
            </w:r>
          </w:p>
        </w:tc>
        <w:tc>
          <w:tcPr>
            <w:tcW w:w="1078" w:type="dxa"/>
            <w:shd w:val="clear" w:color="auto" w:fill="auto"/>
            <w:noWrap/>
            <w:vAlign w:val="bottom"/>
            <w:hideMark/>
          </w:tcPr>
          <w:p w:rsidR="00C118E9" w:rsidRPr="00C67A8A" w:rsidRDefault="00C118E9" w:rsidP="00C118E9">
            <w:pPr>
              <w:pStyle w:val="TableText"/>
              <w:jc w:val="right"/>
            </w:pPr>
            <w:r w:rsidRPr="00C67A8A">
              <w:t>2657</w:t>
            </w:r>
          </w:p>
        </w:tc>
        <w:tc>
          <w:tcPr>
            <w:tcW w:w="0" w:type="auto"/>
            <w:shd w:val="clear" w:color="auto" w:fill="auto"/>
            <w:noWrap/>
            <w:vAlign w:val="bottom"/>
            <w:hideMark/>
          </w:tcPr>
          <w:p w:rsidR="00C118E9" w:rsidRPr="00C67A8A" w:rsidRDefault="00C118E9" w:rsidP="00C118E9">
            <w:pPr>
              <w:pStyle w:val="TableText"/>
              <w:jc w:val="right"/>
            </w:pPr>
            <w:r w:rsidRPr="00C67A8A">
              <w:t>3583</w:t>
            </w:r>
          </w:p>
        </w:tc>
        <w:tc>
          <w:tcPr>
            <w:tcW w:w="0" w:type="auto"/>
            <w:shd w:val="clear" w:color="auto" w:fill="auto"/>
            <w:noWrap/>
            <w:vAlign w:val="bottom"/>
            <w:hideMark/>
          </w:tcPr>
          <w:p w:rsidR="00C118E9" w:rsidRPr="00C67A8A" w:rsidRDefault="00C118E9" w:rsidP="00C118E9">
            <w:pPr>
              <w:pStyle w:val="TableText"/>
              <w:jc w:val="right"/>
            </w:pPr>
            <w:r w:rsidRPr="00C67A8A">
              <w:t>4528</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rPr>
                <w:b/>
                <w:bCs/>
              </w:rPr>
            </w:pPr>
            <w:r w:rsidRPr="00C67A8A">
              <w:rPr>
                <w:b/>
                <w:bCs/>
              </w:rPr>
              <w:t>MBS Cost</w:t>
            </w:r>
            <w:r w:rsidR="00DE0D61">
              <w:rPr>
                <w:b/>
                <w:bCs/>
              </w:rPr>
              <w:t>s</w:t>
            </w:r>
            <w:r w:rsidRPr="00C67A8A">
              <w:rPr>
                <w:b/>
                <w:bCs/>
              </w:rPr>
              <w:t xml:space="preserve"> </w:t>
            </w:r>
          </w:p>
        </w:tc>
        <w:tc>
          <w:tcPr>
            <w:tcW w:w="0" w:type="auto"/>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c>
          <w:tcPr>
            <w:tcW w:w="1078" w:type="dxa"/>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DXA scans x uptake</w:t>
            </w:r>
          </w:p>
        </w:tc>
        <w:tc>
          <w:tcPr>
            <w:tcW w:w="0" w:type="auto"/>
            <w:shd w:val="clear" w:color="auto" w:fill="auto"/>
            <w:noWrap/>
            <w:vAlign w:val="bottom"/>
            <w:hideMark/>
          </w:tcPr>
          <w:p w:rsidR="00C118E9" w:rsidRPr="00C67A8A" w:rsidRDefault="00297EF8" w:rsidP="00C118E9">
            <w:pPr>
              <w:pStyle w:val="TableText"/>
              <w:jc w:val="right"/>
            </w:pPr>
            <w:r>
              <w:t>$</w:t>
            </w:r>
            <w:r w:rsidR="00C118E9" w:rsidRPr="00C67A8A">
              <w:t xml:space="preserve">514,510 </w:t>
            </w:r>
          </w:p>
        </w:tc>
        <w:tc>
          <w:tcPr>
            <w:tcW w:w="0" w:type="auto"/>
            <w:shd w:val="clear" w:color="auto" w:fill="auto"/>
            <w:noWrap/>
            <w:vAlign w:val="bottom"/>
            <w:hideMark/>
          </w:tcPr>
          <w:p w:rsidR="00C118E9" w:rsidRPr="00C67A8A" w:rsidRDefault="00C118E9" w:rsidP="005F2476">
            <w:pPr>
              <w:pStyle w:val="TableText"/>
              <w:jc w:val="right"/>
            </w:pPr>
            <w:r w:rsidRPr="00C67A8A">
              <w:t xml:space="preserve"> </w:t>
            </w:r>
            <w:r w:rsidR="00297EF8">
              <w:t>$</w:t>
            </w:r>
            <w:r w:rsidRPr="00C67A8A">
              <w:t>1,040,</w:t>
            </w:r>
            <w:r w:rsidR="005F2476">
              <w:t>770</w:t>
            </w:r>
            <w:r w:rsidRPr="00C67A8A">
              <w:t xml:space="preserve"> </w:t>
            </w:r>
          </w:p>
        </w:tc>
        <w:tc>
          <w:tcPr>
            <w:tcW w:w="1078" w:type="dxa"/>
            <w:shd w:val="clear" w:color="auto" w:fill="auto"/>
            <w:noWrap/>
            <w:vAlign w:val="bottom"/>
            <w:hideMark/>
          </w:tcPr>
          <w:p w:rsidR="00C118E9" w:rsidRPr="00C67A8A" w:rsidRDefault="00297EF8" w:rsidP="005F2476">
            <w:pPr>
              <w:pStyle w:val="TableText"/>
              <w:jc w:val="right"/>
            </w:pPr>
            <w:r>
              <w:t>$</w:t>
            </w:r>
            <w:r w:rsidR="00C118E9" w:rsidRPr="00C67A8A">
              <w:t>1,578,</w:t>
            </w:r>
            <w:r w:rsidR="005F2476">
              <w:t>913</w:t>
            </w:r>
            <w:r w:rsidR="00C118E9" w:rsidRPr="00C67A8A">
              <w:t xml:space="preserve"> </w:t>
            </w:r>
          </w:p>
        </w:tc>
        <w:tc>
          <w:tcPr>
            <w:tcW w:w="0" w:type="auto"/>
            <w:shd w:val="clear" w:color="auto" w:fill="auto"/>
            <w:noWrap/>
            <w:vAlign w:val="bottom"/>
            <w:hideMark/>
          </w:tcPr>
          <w:p w:rsidR="00C118E9" w:rsidRPr="00C67A8A" w:rsidRDefault="00297EF8" w:rsidP="005F2476">
            <w:pPr>
              <w:pStyle w:val="TableText"/>
              <w:jc w:val="right"/>
            </w:pPr>
            <w:r>
              <w:t>$</w:t>
            </w:r>
            <w:r w:rsidR="00C118E9" w:rsidRPr="00C67A8A">
              <w:t>2,128,7</w:t>
            </w:r>
            <w:r w:rsidR="005F2476">
              <w:t>21</w:t>
            </w:r>
            <w:r w:rsidR="00C118E9" w:rsidRPr="00C67A8A">
              <w:t xml:space="preserve"> </w:t>
            </w:r>
          </w:p>
        </w:tc>
        <w:tc>
          <w:tcPr>
            <w:tcW w:w="0" w:type="auto"/>
            <w:shd w:val="clear" w:color="auto" w:fill="auto"/>
            <w:noWrap/>
            <w:vAlign w:val="bottom"/>
            <w:hideMark/>
          </w:tcPr>
          <w:p w:rsidR="00C118E9" w:rsidRPr="00C67A8A" w:rsidRDefault="00297EF8" w:rsidP="005F2476">
            <w:pPr>
              <w:pStyle w:val="TableText"/>
              <w:jc w:val="right"/>
            </w:pPr>
            <w:r>
              <w:t>$</w:t>
            </w:r>
            <w:r w:rsidR="00C118E9" w:rsidRPr="00C67A8A">
              <w:t>2,690,</w:t>
            </w:r>
            <w:r w:rsidR="005F2476">
              <w:t>367</w:t>
            </w:r>
            <w:r w:rsidR="00C118E9" w:rsidRPr="00C67A8A">
              <w:t xml:space="preserve"> </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 xml:space="preserve">Vitamin D tests </w:t>
            </w:r>
          </w:p>
        </w:tc>
        <w:tc>
          <w:tcPr>
            <w:tcW w:w="0" w:type="auto"/>
            <w:shd w:val="clear" w:color="auto" w:fill="auto"/>
            <w:noWrap/>
            <w:vAlign w:val="bottom"/>
            <w:hideMark/>
          </w:tcPr>
          <w:p w:rsidR="00C118E9" w:rsidRPr="00C67A8A" w:rsidRDefault="00297EF8" w:rsidP="00C118E9">
            <w:pPr>
              <w:pStyle w:val="TableText"/>
              <w:jc w:val="right"/>
            </w:pPr>
            <w:r>
              <w:t>$</w:t>
            </w:r>
            <w:r w:rsidR="00C118E9" w:rsidRPr="00C67A8A">
              <w:t xml:space="preserve">167,444 </w:t>
            </w:r>
          </w:p>
        </w:tc>
        <w:tc>
          <w:tcPr>
            <w:tcW w:w="0" w:type="auto"/>
            <w:shd w:val="clear" w:color="auto" w:fill="auto"/>
            <w:noWrap/>
            <w:vAlign w:val="bottom"/>
            <w:hideMark/>
          </w:tcPr>
          <w:p w:rsidR="00C118E9" w:rsidRPr="00C67A8A" w:rsidRDefault="00C118E9" w:rsidP="00DE0D61">
            <w:pPr>
              <w:pStyle w:val="TableText"/>
              <w:jc w:val="right"/>
            </w:pPr>
            <w:r w:rsidRPr="00C67A8A">
              <w:t xml:space="preserve"> </w:t>
            </w:r>
            <w:r w:rsidR="00297EF8">
              <w:t>$</w:t>
            </w:r>
            <w:r w:rsidRPr="00C67A8A">
              <w:t xml:space="preserve">338,723 </w:t>
            </w:r>
          </w:p>
        </w:tc>
        <w:tc>
          <w:tcPr>
            <w:tcW w:w="1078" w:type="dxa"/>
            <w:shd w:val="clear" w:color="auto" w:fill="auto"/>
            <w:noWrap/>
            <w:vAlign w:val="bottom"/>
            <w:hideMark/>
          </w:tcPr>
          <w:p w:rsidR="00C118E9" w:rsidRPr="00C67A8A" w:rsidRDefault="00297EF8" w:rsidP="00C118E9">
            <w:pPr>
              <w:pStyle w:val="TableText"/>
              <w:jc w:val="right"/>
            </w:pPr>
            <w:r>
              <w:t>$</w:t>
            </w:r>
            <w:r w:rsidR="00C118E9" w:rsidRPr="00C67A8A">
              <w:t xml:space="preserve">513,838 </w:t>
            </w:r>
          </w:p>
        </w:tc>
        <w:tc>
          <w:tcPr>
            <w:tcW w:w="0" w:type="auto"/>
            <w:shd w:val="clear" w:color="auto" w:fill="auto"/>
            <w:noWrap/>
            <w:vAlign w:val="bottom"/>
            <w:hideMark/>
          </w:tcPr>
          <w:p w:rsidR="00C118E9" w:rsidRPr="00C67A8A" w:rsidRDefault="00297EF8" w:rsidP="00DE0D61">
            <w:pPr>
              <w:pStyle w:val="TableText"/>
              <w:jc w:val="right"/>
            </w:pPr>
            <w:r>
              <w:t>$</w:t>
            </w:r>
            <w:r w:rsidR="00C118E9" w:rsidRPr="00C67A8A">
              <w:t xml:space="preserve"> 692,788 </w:t>
            </w:r>
          </w:p>
        </w:tc>
        <w:tc>
          <w:tcPr>
            <w:tcW w:w="0" w:type="auto"/>
            <w:shd w:val="clear" w:color="auto" w:fill="auto"/>
            <w:noWrap/>
            <w:vAlign w:val="bottom"/>
            <w:hideMark/>
          </w:tcPr>
          <w:p w:rsidR="00C118E9" w:rsidRPr="00C67A8A" w:rsidRDefault="00297EF8" w:rsidP="00C118E9">
            <w:pPr>
              <w:pStyle w:val="TableText"/>
              <w:jc w:val="right"/>
            </w:pPr>
            <w:r>
              <w:t>$</w:t>
            </w:r>
            <w:r w:rsidR="00C118E9" w:rsidRPr="00C67A8A">
              <w:t xml:space="preserve">875,574 </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 xml:space="preserve">GP visits </w:t>
            </w:r>
          </w:p>
        </w:tc>
        <w:tc>
          <w:tcPr>
            <w:tcW w:w="0" w:type="auto"/>
            <w:shd w:val="clear" w:color="auto" w:fill="auto"/>
            <w:noWrap/>
            <w:vAlign w:val="bottom"/>
            <w:hideMark/>
          </w:tcPr>
          <w:p w:rsidR="00C118E9" w:rsidRPr="00C67A8A" w:rsidRDefault="00297EF8" w:rsidP="00C118E9">
            <w:pPr>
              <w:pStyle w:val="TableText"/>
              <w:jc w:val="right"/>
            </w:pPr>
            <w:r>
              <w:t>$</w:t>
            </w:r>
            <w:r w:rsidR="00C118E9" w:rsidRPr="00C67A8A">
              <w:t xml:space="preserve">183,120 </w:t>
            </w:r>
          </w:p>
        </w:tc>
        <w:tc>
          <w:tcPr>
            <w:tcW w:w="0" w:type="auto"/>
            <w:shd w:val="clear" w:color="auto" w:fill="auto"/>
            <w:noWrap/>
            <w:vAlign w:val="bottom"/>
            <w:hideMark/>
          </w:tcPr>
          <w:p w:rsidR="00C118E9" w:rsidRPr="00C67A8A" w:rsidRDefault="00297EF8" w:rsidP="00C118E9">
            <w:pPr>
              <w:pStyle w:val="TableText"/>
              <w:jc w:val="right"/>
            </w:pPr>
            <w:r>
              <w:t>$</w:t>
            </w:r>
            <w:r w:rsidR="00C118E9" w:rsidRPr="00C67A8A">
              <w:t xml:space="preserve">370,434 </w:t>
            </w:r>
          </w:p>
        </w:tc>
        <w:tc>
          <w:tcPr>
            <w:tcW w:w="1078" w:type="dxa"/>
            <w:shd w:val="clear" w:color="auto" w:fill="auto"/>
            <w:noWrap/>
            <w:vAlign w:val="bottom"/>
            <w:hideMark/>
          </w:tcPr>
          <w:p w:rsidR="00C118E9" w:rsidRPr="00C67A8A" w:rsidRDefault="00297EF8" w:rsidP="00C118E9">
            <w:pPr>
              <w:pStyle w:val="TableText"/>
              <w:jc w:val="right"/>
            </w:pPr>
            <w:r>
              <w:t>$</w:t>
            </w:r>
            <w:r w:rsidR="00C118E9" w:rsidRPr="00C67A8A">
              <w:t xml:space="preserve">561,943 </w:t>
            </w:r>
          </w:p>
        </w:tc>
        <w:tc>
          <w:tcPr>
            <w:tcW w:w="0" w:type="auto"/>
            <w:shd w:val="clear" w:color="auto" w:fill="auto"/>
            <w:noWrap/>
            <w:vAlign w:val="bottom"/>
            <w:hideMark/>
          </w:tcPr>
          <w:p w:rsidR="00C118E9" w:rsidRPr="00C67A8A" w:rsidRDefault="00297EF8" w:rsidP="00C118E9">
            <w:pPr>
              <w:pStyle w:val="TableText"/>
              <w:jc w:val="right"/>
            </w:pPr>
            <w:r>
              <w:t>$</w:t>
            </w:r>
            <w:r w:rsidR="00C118E9" w:rsidRPr="00C67A8A">
              <w:t xml:space="preserve">757,647 </w:t>
            </w:r>
          </w:p>
        </w:tc>
        <w:tc>
          <w:tcPr>
            <w:tcW w:w="0" w:type="auto"/>
            <w:shd w:val="clear" w:color="auto" w:fill="auto"/>
            <w:noWrap/>
            <w:vAlign w:val="bottom"/>
            <w:hideMark/>
          </w:tcPr>
          <w:p w:rsidR="00C118E9" w:rsidRPr="00C67A8A" w:rsidRDefault="00297EF8" w:rsidP="00C118E9">
            <w:pPr>
              <w:pStyle w:val="TableText"/>
              <w:jc w:val="right"/>
            </w:pPr>
            <w:r>
              <w:t>$</w:t>
            </w:r>
            <w:r w:rsidR="00C118E9" w:rsidRPr="00C67A8A">
              <w:t xml:space="preserve">957,546 </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rPr>
                <w:b/>
                <w:bCs/>
              </w:rPr>
            </w:pPr>
            <w:r w:rsidRPr="00C67A8A">
              <w:rPr>
                <w:b/>
                <w:bCs/>
              </w:rPr>
              <w:t>PBS Cost</w:t>
            </w:r>
            <w:r w:rsidR="00DE0D61">
              <w:rPr>
                <w:b/>
                <w:bCs/>
              </w:rPr>
              <w:t>s</w:t>
            </w:r>
            <w:r w:rsidRPr="00C67A8A">
              <w:rPr>
                <w:b/>
                <w:bCs/>
              </w:rPr>
              <w:t xml:space="preserve"> of anti-resorptives</w:t>
            </w:r>
          </w:p>
        </w:tc>
        <w:tc>
          <w:tcPr>
            <w:tcW w:w="0" w:type="auto"/>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c>
          <w:tcPr>
            <w:tcW w:w="1078" w:type="dxa"/>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Annual cost of risedronate</w:t>
            </w:r>
          </w:p>
        </w:tc>
        <w:tc>
          <w:tcPr>
            <w:tcW w:w="0" w:type="auto"/>
            <w:shd w:val="clear" w:color="auto" w:fill="auto"/>
            <w:noWrap/>
            <w:vAlign w:val="bottom"/>
            <w:hideMark/>
          </w:tcPr>
          <w:p w:rsidR="00C118E9" w:rsidRPr="00C67A8A" w:rsidRDefault="00C118E9" w:rsidP="00DE0D61">
            <w:pPr>
              <w:pStyle w:val="TableText"/>
              <w:jc w:val="right"/>
            </w:pPr>
            <w:r w:rsidRPr="00C67A8A">
              <w:t xml:space="preserve"> </w:t>
            </w:r>
            <w:r w:rsidR="00297EF8">
              <w:t>$</w:t>
            </w:r>
            <w:r w:rsidRPr="00C67A8A">
              <w:t xml:space="preserve">473,815 </w:t>
            </w:r>
          </w:p>
        </w:tc>
        <w:tc>
          <w:tcPr>
            <w:tcW w:w="0" w:type="auto"/>
            <w:shd w:val="clear" w:color="auto" w:fill="auto"/>
            <w:noWrap/>
            <w:vAlign w:val="bottom"/>
            <w:hideMark/>
          </w:tcPr>
          <w:p w:rsidR="00C118E9" w:rsidRPr="00C67A8A" w:rsidRDefault="00297EF8" w:rsidP="00C118E9">
            <w:pPr>
              <w:pStyle w:val="TableText"/>
              <w:jc w:val="right"/>
            </w:pPr>
            <w:r>
              <w:t>$</w:t>
            </w:r>
            <w:r w:rsidR="00C118E9" w:rsidRPr="00C67A8A">
              <w:t xml:space="preserve">958,484 </w:t>
            </w:r>
          </w:p>
        </w:tc>
        <w:tc>
          <w:tcPr>
            <w:tcW w:w="1078" w:type="dxa"/>
            <w:shd w:val="clear" w:color="auto" w:fill="auto"/>
            <w:noWrap/>
            <w:vAlign w:val="bottom"/>
            <w:hideMark/>
          </w:tcPr>
          <w:p w:rsidR="00C118E9" w:rsidRPr="00C67A8A" w:rsidRDefault="00297EF8" w:rsidP="00C118E9">
            <w:pPr>
              <w:pStyle w:val="TableText"/>
              <w:jc w:val="right"/>
            </w:pPr>
            <w:r>
              <w:t>$</w:t>
            </w:r>
            <w:r w:rsidR="00C118E9" w:rsidRPr="00C67A8A">
              <w:t xml:space="preserve">1,454,006 </w:t>
            </w:r>
          </w:p>
        </w:tc>
        <w:tc>
          <w:tcPr>
            <w:tcW w:w="0" w:type="auto"/>
            <w:shd w:val="clear" w:color="auto" w:fill="auto"/>
            <w:noWrap/>
            <w:vAlign w:val="bottom"/>
            <w:hideMark/>
          </w:tcPr>
          <w:p w:rsidR="00C118E9" w:rsidRPr="00C67A8A" w:rsidRDefault="00297EF8" w:rsidP="00C118E9">
            <w:pPr>
              <w:pStyle w:val="TableText"/>
              <w:jc w:val="right"/>
            </w:pPr>
            <w:r>
              <w:t>$</w:t>
            </w:r>
            <w:r w:rsidR="00C118E9" w:rsidRPr="00C67A8A">
              <w:t xml:space="preserve">1,960,382 </w:t>
            </w:r>
          </w:p>
        </w:tc>
        <w:tc>
          <w:tcPr>
            <w:tcW w:w="0" w:type="auto"/>
            <w:shd w:val="clear" w:color="auto" w:fill="auto"/>
            <w:noWrap/>
            <w:vAlign w:val="bottom"/>
            <w:hideMark/>
          </w:tcPr>
          <w:p w:rsidR="00C118E9" w:rsidRPr="00C67A8A" w:rsidRDefault="00297EF8" w:rsidP="00C118E9">
            <w:pPr>
              <w:pStyle w:val="TableText"/>
              <w:jc w:val="right"/>
            </w:pPr>
            <w:r>
              <w:t>$</w:t>
            </w:r>
            <w:r w:rsidR="00C118E9" w:rsidRPr="00C67A8A">
              <w:t xml:space="preserve">2,477,611 </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Compliance rate of anti-resorptive</w:t>
            </w:r>
          </w:p>
        </w:tc>
        <w:tc>
          <w:tcPr>
            <w:tcW w:w="0" w:type="auto"/>
            <w:shd w:val="clear" w:color="auto" w:fill="auto"/>
            <w:noWrap/>
            <w:vAlign w:val="bottom"/>
            <w:hideMark/>
          </w:tcPr>
          <w:p w:rsidR="00C118E9" w:rsidRPr="00C67A8A" w:rsidRDefault="00C118E9" w:rsidP="00C118E9">
            <w:pPr>
              <w:pStyle w:val="TableText"/>
              <w:jc w:val="right"/>
            </w:pPr>
            <w:r w:rsidRPr="00C67A8A">
              <w:t>100%</w:t>
            </w:r>
          </w:p>
        </w:tc>
        <w:tc>
          <w:tcPr>
            <w:tcW w:w="0" w:type="auto"/>
            <w:shd w:val="clear" w:color="auto" w:fill="auto"/>
            <w:noWrap/>
            <w:vAlign w:val="bottom"/>
            <w:hideMark/>
          </w:tcPr>
          <w:p w:rsidR="00C118E9" w:rsidRPr="00C67A8A" w:rsidRDefault="00C118E9" w:rsidP="00C118E9">
            <w:pPr>
              <w:pStyle w:val="TableText"/>
              <w:jc w:val="right"/>
            </w:pPr>
            <w:r w:rsidRPr="00C67A8A">
              <w:t>95%</w:t>
            </w:r>
          </w:p>
        </w:tc>
        <w:tc>
          <w:tcPr>
            <w:tcW w:w="1078" w:type="dxa"/>
            <w:shd w:val="clear" w:color="auto" w:fill="auto"/>
            <w:noWrap/>
            <w:vAlign w:val="bottom"/>
            <w:hideMark/>
          </w:tcPr>
          <w:p w:rsidR="00C118E9" w:rsidRPr="00C67A8A" w:rsidRDefault="00C118E9" w:rsidP="00C118E9">
            <w:pPr>
              <w:pStyle w:val="TableText"/>
              <w:jc w:val="right"/>
            </w:pPr>
            <w:r w:rsidRPr="00C67A8A">
              <w:t>90%</w:t>
            </w:r>
          </w:p>
        </w:tc>
        <w:tc>
          <w:tcPr>
            <w:tcW w:w="0" w:type="auto"/>
            <w:shd w:val="clear" w:color="auto" w:fill="auto"/>
            <w:noWrap/>
            <w:vAlign w:val="bottom"/>
            <w:hideMark/>
          </w:tcPr>
          <w:p w:rsidR="00C118E9" w:rsidRPr="00C67A8A" w:rsidRDefault="00C118E9" w:rsidP="00C118E9">
            <w:pPr>
              <w:pStyle w:val="TableText"/>
              <w:jc w:val="right"/>
            </w:pPr>
            <w:r w:rsidRPr="00C67A8A">
              <w:t>85%</w:t>
            </w:r>
          </w:p>
        </w:tc>
        <w:tc>
          <w:tcPr>
            <w:tcW w:w="0" w:type="auto"/>
            <w:shd w:val="clear" w:color="auto" w:fill="auto"/>
            <w:noWrap/>
            <w:vAlign w:val="bottom"/>
            <w:hideMark/>
          </w:tcPr>
          <w:p w:rsidR="00C118E9" w:rsidRPr="00C67A8A" w:rsidRDefault="00C118E9" w:rsidP="00C118E9">
            <w:pPr>
              <w:pStyle w:val="TableText"/>
              <w:jc w:val="right"/>
            </w:pPr>
            <w:r w:rsidRPr="00C67A8A">
              <w:t>80%</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Total cost of anti-resorptives</w:t>
            </w:r>
          </w:p>
        </w:tc>
        <w:tc>
          <w:tcPr>
            <w:tcW w:w="0" w:type="auto"/>
            <w:shd w:val="clear" w:color="auto" w:fill="auto"/>
            <w:noWrap/>
            <w:vAlign w:val="bottom"/>
            <w:hideMark/>
          </w:tcPr>
          <w:p w:rsidR="00C118E9" w:rsidRPr="00C67A8A" w:rsidRDefault="00297EF8" w:rsidP="00C118E9">
            <w:pPr>
              <w:pStyle w:val="TableText"/>
              <w:jc w:val="right"/>
            </w:pPr>
            <w:r>
              <w:t>$</w:t>
            </w:r>
            <w:r w:rsidR="00C118E9" w:rsidRPr="00C67A8A">
              <w:t xml:space="preserve">473,815 </w:t>
            </w:r>
          </w:p>
        </w:tc>
        <w:tc>
          <w:tcPr>
            <w:tcW w:w="0" w:type="auto"/>
            <w:shd w:val="clear" w:color="auto" w:fill="auto"/>
            <w:noWrap/>
            <w:vAlign w:val="bottom"/>
            <w:hideMark/>
          </w:tcPr>
          <w:p w:rsidR="00C118E9" w:rsidRPr="00C67A8A" w:rsidRDefault="00C118E9" w:rsidP="00DE0D61">
            <w:pPr>
              <w:pStyle w:val="TableText"/>
              <w:jc w:val="right"/>
            </w:pPr>
            <w:r w:rsidRPr="00C67A8A">
              <w:t xml:space="preserve">  </w:t>
            </w:r>
            <w:r w:rsidR="00297EF8">
              <w:t>$</w:t>
            </w:r>
            <w:r w:rsidRPr="00C67A8A">
              <w:t xml:space="preserve">910,560 </w:t>
            </w:r>
          </w:p>
        </w:tc>
        <w:tc>
          <w:tcPr>
            <w:tcW w:w="1078" w:type="dxa"/>
            <w:shd w:val="clear" w:color="auto" w:fill="auto"/>
            <w:noWrap/>
            <w:vAlign w:val="bottom"/>
            <w:hideMark/>
          </w:tcPr>
          <w:p w:rsidR="00C118E9" w:rsidRPr="00C67A8A" w:rsidRDefault="00297EF8" w:rsidP="00C118E9">
            <w:pPr>
              <w:pStyle w:val="TableText"/>
              <w:jc w:val="right"/>
            </w:pPr>
            <w:r>
              <w:t>$</w:t>
            </w:r>
            <w:r w:rsidR="00C118E9" w:rsidRPr="00C67A8A">
              <w:t xml:space="preserve">1,308,605 </w:t>
            </w:r>
          </w:p>
        </w:tc>
        <w:tc>
          <w:tcPr>
            <w:tcW w:w="0" w:type="auto"/>
            <w:shd w:val="clear" w:color="auto" w:fill="auto"/>
            <w:noWrap/>
            <w:vAlign w:val="bottom"/>
            <w:hideMark/>
          </w:tcPr>
          <w:p w:rsidR="00C118E9" w:rsidRPr="00C67A8A" w:rsidRDefault="00297EF8" w:rsidP="00C118E9">
            <w:pPr>
              <w:pStyle w:val="TableText"/>
              <w:jc w:val="right"/>
            </w:pPr>
            <w:r>
              <w:t>$</w:t>
            </w:r>
            <w:r w:rsidR="00C118E9" w:rsidRPr="00C67A8A">
              <w:t xml:space="preserve">1,666,324 </w:t>
            </w:r>
          </w:p>
        </w:tc>
        <w:tc>
          <w:tcPr>
            <w:tcW w:w="0" w:type="auto"/>
            <w:shd w:val="clear" w:color="auto" w:fill="auto"/>
            <w:noWrap/>
            <w:vAlign w:val="bottom"/>
            <w:hideMark/>
          </w:tcPr>
          <w:p w:rsidR="00C118E9" w:rsidRPr="00C67A8A" w:rsidRDefault="00297EF8" w:rsidP="00C118E9">
            <w:pPr>
              <w:pStyle w:val="TableText"/>
              <w:jc w:val="right"/>
            </w:pPr>
            <w:r>
              <w:t>$</w:t>
            </w:r>
            <w:r w:rsidR="00C118E9" w:rsidRPr="00C67A8A">
              <w:t xml:space="preserve">1,982,089 </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rPr>
                <w:b/>
                <w:bCs/>
              </w:rPr>
            </w:pPr>
            <w:r w:rsidRPr="00C67A8A">
              <w:rPr>
                <w:b/>
                <w:bCs/>
              </w:rPr>
              <w:t>Hospital cost savings from fracture prevention</w:t>
            </w:r>
          </w:p>
        </w:tc>
        <w:tc>
          <w:tcPr>
            <w:tcW w:w="0" w:type="auto"/>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c>
          <w:tcPr>
            <w:tcW w:w="1078" w:type="dxa"/>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c>
          <w:tcPr>
            <w:tcW w:w="0" w:type="auto"/>
            <w:shd w:val="clear" w:color="auto" w:fill="auto"/>
            <w:noWrap/>
            <w:vAlign w:val="bottom"/>
            <w:hideMark/>
          </w:tcPr>
          <w:p w:rsidR="00C118E9" w:rsidRPr="00C67A8A" w:rsidRDefault="004B4974" w:rsidP="00C118E9">
            <w:pPr>
              <w:pStyle w:val="TableText"/>
              <w:jc w:val="right"/>
            </w:pPr>
            <w:r>
              <w:t>-</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Expected incidence of fractures (all women on AI)</w:t>
            </w:r>
          </w:p>
        </w:tc>
        <w:tc>
          <w:tcPr>
            <w:tcW w:w="0" w:type="auto"/>
            <w:shd w:val="clear" w:color="auto" w:fill="auto"/>
            <w:noWrap/>
            <w:vAlign w:val="bottom"/>
            <w:hideMark/>
          </w:tcPr>
          <w:p w:rsidR="00C118E9" w:rsidRPr="00C67A8A" w:rsidRDefault="00C118E9" w:rsidP="00C118E9">
            <w:pPr>
              <w:pStyle w:val="TableText"/>
              <w:jc w:val="right"/>
            </w:pPr>
            <w:r w:rsidRPr="00C67A8A">
              <w:t>85</w:t>
            </w:r>
          </w:p>
        </w:tc>
        <w:tc>
          <w:tcPr>
            <w:tcW w:w="0" w:type="auto"/>
            <w:shd w:val="clear" w:color="auto" w:fill="auto"/>
            <w:noWrap/>
            <w:vAlign w:val="bottom"/>
            <w:hideMark/>
          </w:tcPr>
          <w:p w:rsidR="00C118E9" w:rsidRPr="00C67A8A" w:rsidRDefault="00C118E9" w:rsidP="00C118E9">
            <w:pPr>
              <w:pStyle w:val="TableText"/>
              <w:jc w:val="right"/>
            </w:pPr>
            <w:r w:rsidRPr="00C67A8A">
              <w:t>172</w:t>
            </w:r>
          </w:p>
        </w:tc>
        <w:tc>
          <w:tcPr>
            <w:tcW w:w="1078" w:type="dxa"/>
            <w:shd w:val="clear" w:color="auto" w:fill="auto"/>
            <w:noWrap/>
            <w:vAlign w:val="bottom"/>
            <w:hideMark/>
          </w:tcPr>
          <w:p w:rsidR="00C118E9" w:rsidRPr="00C67A8A" w:rsidRDefault="00C118E9" w:rsidP="00C118E9">
            <w:pPr>
              <w:pStyle w:val="TableText"/>
              <w:jc w:val="right"/>
            </w:pPr>
            <w:r w:rsidRPr="00C67A8A">
              <w:t>261</w:t>
            </w:r>
          </w:p>
        </w:tc>
        <w:tc>
          <w:tcPr>
            <w:tcW w:w="0" w:type="auto"/>
            <w:shd w:val="clear" w:color="auto" w:fill="auto"/>
            <w:noWrap/>
            <w:vAlign w:val="bottom"/>
            <w:hideMark/>
          </w:tcPr>
          <w:p w:rsidR="00C118E9" w:rsidRPr="00C67A8A" w:rsidRDefault="00C118E9" w:rsidP="00C118E9">
            <w:pPr>
              <w:pStyle w:val="TableText"/>
              <w:jc w:val="right"/>
            </w:pPr>
            <w:r w:rsidRPr="00C67A8A">
              <w:t>352</w:t>
            </w:r>
          </w:p>
        </w:tc>
        <w:tc>
          <w:tcPr>
            <w:tcW w:w="0" w:type="auto"/>
            <w:shd w:val="clear" w:color="auto" w:fill="auto"/>
            <w:noWrap/>
            <w:vAlign w:val="bottom"/>
            <w:hideMark/>
          </w:tcPr>
          <w:p w:rsidR="00C118E9" w:rsidRPr="00C67A8A" w:rsidRDefault="00C118E9" w:rsidP="00C118E9">
            <w:pPr>
              <w:pStyle w:val="TableText"/>
              <w:jc w:val="right"/>
            </w:pPr>
            <w:r w:rsidRPr="00C67A8A">
              <w:t>445</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Number of women untreated</w:t>
            </w:r>
          </w:p>
        </w:tc>
        <w:tc>
          <w:tcPr>
            <w:tcW w:w="0" w:type="auto"/>
            <w:shd w:val="clear" w:color="auto" w:fill="auto"/>
            <w:noWrap/>
            <w:vAlign w:val="bottom"/>
            <w:hideMark/>
          </w:tcPr>
          <w:p w:rsidR="00C118E9" w:rsidRPr="00C67A8A" w:rsidRDefault="00C118E9" w:rsidP="00C118E9">
            <w:pPr>
              <w:pStyle w:val="TableText"/>
              <w:jc w:val="right"/>
            </w:pPr>
            <w:r w:rsidRPr="00C67A8A">
              <w:t>5045</w:t>
            </w:r>
          </w:p>
        </w:tc>
        <w:tc>
          <w:tcPr>
            <w:tcW w:w="0" w:type="auto"/>
            <w:shd w:val="clear" w:color="auto" w:fill="auto"/>
            <w:noWrap/>
            <w:vAlign w:val="bottom"/>
            <w:hideMark/>
          </w:tcPr>
          <w:p w:rsidR="00C118E9" w:rsidRPr="00C67A8A" w:rsidRDefault="00C118E9" w:rsidP="00C118E9">
            <w:pPr>
              <w:pStyle w:val="TableText"/>
              <w:jc w:val="right"/>
            </w:pPr>
            <w:r w:rsidRPr="00C67A8A">
              <w:t>10205</w:t>
            </w:r>
          </w:p>
        </w:tc>
        <w:tc>
          <w:tcPr>
            <w:tcW w:w="1078" w:type="dxa"/>
            <w:shd w:val="clear" w:color="auto" w:fill="auto"/>
            <w:noWrap/>
            <w:vAlign w:val="bottom"/>
            <w:hideMark/>
          </w:tcPr>
          <w:p w:rsidR="00C118E9" w:rsidRPr="00C67A8A" w:rsidRDefault="00C118E9" w:rsidP="00C118E9">
            <w:pPr>
              <w:pStyle w:val="TableText"/>
              <w:jc w:val="right"/>
            </w:pPr>
            <w:r w:rsidRPr="00C67A8A">
              <w:t>15481</w:t>
            </w:r>
          </w:p>
        </w:tc>
        <w:tc>
          <w:tcPr>
            <w:tcW w:w="0" w:type="auto"/>
            <w:shd w:val="clear" w:color="auto" w:fill="auto"/>
            <w:noWrap/>
            <w:vAlign w:val="bottom"/>
            <w:hideMark/>
          </w:tcPr>
          <w:p w:rsidR="00C118E9" w:rsidRPr="00C67A8A" w:rsidRDefault="00C118E9" w:rsidP="00C118E9">
            <w:pPr>
              <w:pStyle w:val="TableText"/>
              <w:jc w:val="right"/>
            </w:pPr>
            <w:r w:rsidRPr="00C67A8A">
              <w:t>20872</w:t>
            </w:r>
          </w:p>
        </w:tc>
        <w:tc>
          <w:tcPr>
            <w:tcW w:w="0" w:type="auto"/>
            <w:shd w:val="clear" w:color="auto" w:fill="auto"/>
            <w:noWrap/>
            <w:vAlign w:val="bottom"/>
            <w:hideMark/>
          </w:tcPr>
          <w:p w:rsidR="00C118E9" w:rsidRPr="00C67A8A" w:rsidRDefault="00C118E9" w:rsidP="00C118E9">
            <w:pPr>
              <w:pStyle w:val="TableText"/>
              <w:jc w:val="right"/>
            </w:pPr>
            <w:r w:rsidRPr="00C67A8A">
              <w:t>26379</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Number of fractures in untreated women</w:t>
            </w:r>
          </w:p>
        </w:tc>
        <w:tc>
          <w:tcPr>
            <w:tcW w:w="0" w:type="auto"/>
            <w:shd w:val="clear" w:color="auto" w:fill="auto"/>
            <w:noWrap/>
            <w:vAlign w:val="bottom"/>
            <w:hideMark/>
          </w:tcPr>
          <w:p w:rsidR="00C118E9" w:rsidRPr="00C67A8A" w:rsidRDefault="00C118E9" w:rsidP="00C118E9">
            <w:pPr>
              <w:pStyle w:val="TableText"/>
              <w:jc w:val="right"/>
            </w:pPr>
            <w:r w:rsidRPr="00C67A8A">
              <w:t>73</w:t>
            </w:r>
          </w:p>
        </w:tc>
        <w:tc>
          <w:tcPr>
            <w:tcW w:w="0" w:type="auto"/>
            <w:shd w:val="clear" w:color="auto" w:fill="auto"/>
            <w:noWrap/>
            <w:vAlign w:val="bottom"/>
            <w:hideMark/>
          </w:tcPr>
          <w:p w:rsidR="00C118E9" w:rsidRPr="00C67A8A" w:rsidRDefault="00C118E9" w:rsidP="00C118E9">
            <w:pPr>
              <w:pStyle w:val="TableText"/>
              <w:jc w:val="right"/>
            </w:pPr>
            <w:r w:rsidRPr="00C67A8A">
              <w:t>147</w:t>
            </w:r>
          </w:p>
        </w:tc>
        <w:tc>
          <w:tcPr>
            <w:tcW w:w="1078" w:type="dxa"/>
            <w:shd w:val="clear" w:color="auto" w:fill="auto"/>
            <w:noWrap/>
            <w:vAlign w:val="bottom"/>
            <w:hideMark/>
          </w:tcPr>
          <w:p w:rsidR="00C118E9" w:rsidRPr="00C67A8A" w:rsidRDefault="00C118E9" w:rsidP="00C118E9">
            <w:pPr>
              <w:pStyle w:val="TableText"/>
              <w:jc w:val="right"/>
            </w:pPr>
            <w:r w:rsidRPr="00C67A8A">
              <w:t>223</w:t>
            </w:r>
          </w:p>
        </w:tc>
        <w:tc>
          <w:tcPr>
            <w:tcW w:w="0" w:type="auto"/>
            <w:shd w:val="clear" w:color="auto" w:fill="auto"/>
            <w:noWrap/>
            <w:vAlign w:val="bottom"/>
            <w:hideMark/>
          </w:tcPr>
          <w:p w:rsidR="00C118E9" w:rsidRPr="00C67A8A" w:rsidRDefault="00C118E9" w:rsidP="00C118E9">
            <w:pPr>
              <w:pStyle w:val="TableText"/>
              <w:jc w:val="right"/>
            </w:pPr>
            <w:r w:rsidRPr="00C67A8A">
              <w:t>301</w:t>
            </w:r>
          </w:p>
        </w:tc>
        <w:tc>
          <w:tcPr>
            <w:tcW w:w="0" w:type="auto"/>
            <w:shd w:val="clear" w:color="auto" w:fill="auto"/>
            <w:noWrap/>
            <w:vAlign w:val="bottom"/>
            <w:hideMark/>
          </w:tcPr>
          <w:p w:rsidR="00C118E9" w:rsidRPr="00C67A8A" w:rsidRDefault="00C118E9" w:rsidP="00C118E9">
            <w:pPr>
              <w:pStyle w:val="TableText"/>
              <w:jc w:val="right"/>
            </w:pPr>
            <w:r w:rsidRPr="00C67A8A">
              <w:t>380</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Number of fractures in treated women</w:t>
            </w:r>
          </w:p>
        </w:tc>
        <w:tc>
          <w:tcPr>
            <w:tcW w:w="0" w:type="auto"/>
            <w:shd w:val="clear" w:color="auto" w:fill="auto"/>
            <w:noWrap/>
            <w:vAlign w:val="bottom"/>
            <w:hideMark/>
          </w:tcPr>
          <w:p w:rsidR="00C118E9" w:rsidRPr="00C67A8A" w:rsidRDefault="00C118E9" w:rsidP="00C118E9">
            <w:pPr>
              <w:pStyle w:val="TableText"/>
              <w:jc w:val="right"/>
            </w:pPr>
            <w:r w:rsidRPr="00C67A8A">
              <w:t>8</w:t>
            </w:r>
          </w:p>
        </w:tc>
        <w:tc>
          <w:tcPr>
            <w:tcW w:w="0" w:type="auto"/>
            <w:shd w:val="clear" w:color="auto" w:fill="auto"/>
            <w:noWrap/>
            <w:vAlign w:val="bottom"/>
            <w:hideMark/>
          </w:tcPr>
          <w:p w:rsidR="00C118E9" w:rsidRPr="00C67A8A" w:rsidRDefault="00C118E9" w:rsidP="00C118E9">
            <w:pPr>
              <w:pStyle w:val="TableText"/>
              <w:jc w:val="right"/>
            </w:pPr>
            <w:r w:rsidRPr="00C67A8A">
              <w:t>17</w:t>
            </w:r>
          </w:p>
        </w:tc>
        <w:tc>
          <w:tcPr>
            <w:tcW w:w="1078" w:type="dxa"/>
            <w:shd w:val="clear" w:color="auto" w:fill="auto"/>
            <w:noWrap/>
            <w:vAlign w:val="bottom"/>
            <w:hideMark/>
          </w:tcPr>
          <w:p w:rsidR="00C118E9" w:rsidRPr="00C67A8A" w:rsidRDefault="00C118E9" w:rsidP="00C118E9">
            <w:pPr>
              <w:pStyle w:val="TableText"/>
              <w:jc w:val="right"/>
            </w:pPr>
            <w:r w:rsidRPr="00C67A8A">
              <w:t>25</w:t>
            </w:r>
          </w:p>
        </w:tc>
        <w:tc>
          <w:tcPr>
            <w:tcW w:w="0" w:type="auto"/>
            <w:shd w:val="clear" w:color="auto" w:fill="auto"/>
            <w:noWrap/>
            <w:vAlign w:val="bottom"/>
            <w:hideMark/>
          </w:tcPr>
          <w:p w:rsidR="00C118E9" w:rsidRPr="00C67A8A" w:rsidRDefault="00C118E9" w:rsidP="00C118E9">
            <w:pPr>
              <w:pStyle w:val="TableText"/>
              <w:jc w:val="right"/>
            </w:pPr>
            <w:r w:rsidRPr="00C67A8A">
              <w:t>34</w:t>
            </w:r>
          </w:p>
        </w:tc>
        <w:tc>
          <w:tcPr>
            <w:tcW w:w="0" w:type="auto"/>
            <w:shd w:val="clear" w:color="auto" w:fill="auto"/>
            <w:noWrap/>
            <w:vAlign w:val="bottom"/>
            <w:hideMark/>
          </w:tcPr>
          <w:p w:rsidR="00C118E9" w:rsidRPr="00C67A8A" w:rsidRDefault="00C118E9" w:rsidP="00C118E9">
            <w:pPr>
              <w:pStyle w:val="TableText"/>
              <w:jc w:val="right"/>
            </w:pPr>
            <w:r w:rsidRPr="00C67A8A">
              <w:t>43</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Fractures prevented</w:t>
            </w:r>
          </w:p>
        </w:tc>
        <w:tc>
          <w:tcPr>
            <w:tcW w:w="0" w:type="auto"/>
            <w:shd w:val="clear" w:color="auto" w:fill="auto"/>
            <w:noWrap/>
            <w:vAlign w:val="bottom"/>
            <w:hideMark/>
          </w:tcPr>
          <w:p w:rsidR="00C118E9" w:rsidRPr="00C67A8A" w:rsidRDefault="00C118E9" w:rsidP="00C118E9">
            <w:pPr>
              <w:pStyle w:val="TableText"/>
              <w:jc w:val="right"/>
            </w:pPr>
            <w:r w:rsidRPr="00C67A8A">
              <w:t>4</w:t>
            </w:r>
          </w:p>
        </w:tc>
        <w:tc>
          <w:tcPr>
            <w:tcW w:w="0" w:type="auto"/>
            <w:shd w:val="clear" w:color="auto" w:fill="auto"/>
            <w:noWrap/>
            <w:vAlign w:val="bottom"/>
            <w:hideMark/>
          </w:tcPr>
          <w:p w:rsidR="00C118E9" w:rsidRPr="00C67A8A" w:rsidRDefault="00C118E9" w:rsidP="00C118E9">
            <w:pPr>
              <w:pStyle w:val="TableText"/>
              <w:jc w:val="right"/>
            </w:pPr>
            <w:r w:rsidRPr="00C67A8A">
              <w:t>9</w:t>
            </w:r>
          </w:p>
        </w:tc>
        <w:tc>
          <w:tcPr>
            <w:tcW w:w="1078" w:type="dxa"/>
            <w:shd w:val="clear" w:color="auto" w:fill="auto"/>
            <w:noWrap/>
            <w:vAlign w:val="bottom"/>
            <w:hideMark/>
          </w:tcPr>
          <w:p w:rsidR="00C118E9" w:rsidRPr="00C67A8A" w:rsidRDefault="00C118E9" w:rsidP="00C118E9">
            <w:pPr>
              <w:pStyle w:val="TableText"/>
              <w:jc w:val="right"/>
            </w:pPr>
            <w:r w:rsidRPr="00C67A8A">
              <w:t>13</w:t>
            </w:r>
          </w:p>
        </w:tc>
        <w:tc>
          <w:tcPr>
            <w:tcW w:w="0" w:type="auto"/>
            <w:shd w:val="clear" w:color="auto" w:fill="auto"/>
            <w:noWrap/>
            <w:vAlign w:val="bottom"/>
            <w:hideMark/>
          </w:tcPr>
          <w:p w:rsidR="00C118E9" w:rsidRPr="00C67A8A" w:rsidRDefault="00C118E9" w:rsidP="00C118E9">
            <w:pPr>
              <w:pStyle w:val="TableText"/>
              <w:jc w:val="right"/>
            </w:pPr>
            <w:r w:rsidRPr="00C67A8A">
              <w:t>18</w:t>
            </w:r>
          </w:p>
        </w:tc>
        <w:tc>
          <w:tcPr>
            <w:tcW w:w="0" w:type="auto"/>
            <w:shd w:val="clear" w:color="auto" w:fill="auto"/>
            <w:noWrap/>
            <w:vAlign w:val="bottom"/>
            <w:hideMark/>
          </w:tcPr>
          <w:p w:rsidR="00C118E9" w:rsidRPr="00C67A8A" w:rsidRDefault="00C118E9" w:rsidP="00C118E9">
            <w:pPr>
              <w:pStyle w:val="TableText"/>
              <w:jc w:val="right"/>
            </w:pPr>
            <w:r w:rsidRPr="00C67A8A">
              <w:t>22</w:t>
            </w:r>
          </w:p>
        </w:tc>
      </w:tr>
      <w:tr w:rsidR="00C118E9" w:rsidRPr="00C67A8A" w:rsidTr="00722BAB">
        <w:trPr>
          <w:trHeight w:val="300"/>
          <w:tblHeader/>
        </w:trPr>
        <w:tc>
          <w:tcPr>
            <w:tcW w:w="0" w:type="auto"/>
            <w:shd w:val="clear" w:color="auto" w:fill="auto"/>
            <w:noWrap/>
            <w:vAlign w:val="bottom"/>
            <w:hideMark/>
          </w:tcPr>
          <w:p w:rsidR="00C118E9" w:rsidRPr="00C67A8A" w:rsidRDefault="00C118E9" w:rsidP="00C118E9">
            <w:pPr>
              <w:pStyle w:val="TableText"/>
            </w:pPr>
            <w:r w:rsidRPr="00C67A8A">
              <w:t xml:space="preserve">Cost of fractures avoided (weighted mean </w:t>
            </w:r>
            <w:r w:rsidR="00C132C7">
              <w:t>AR-</w:t>
            </w:r>
            <w:r w:rsidRPr="00C67A8A">
              <w:t>DRG)</w:t>
            </w:r>
          </w:p>
        </w:tc>
        <w:tc>
          <w:tcPr>
            <w:tcW w:w="0" w:type="auto"/>
            <w:shd w:val="clear" w:color="auto" w:fill="auto"/>
            <w:noWrap/>
            <w:vAlign w:val="bottom"/>
            <w:hideMark/>
          </w:tcPr>
          <w:p w:rsidR="00C118E9" w:rsidRPr="00C67A8A" w:rsidRDefault="00297EF8" w:rsidP="00C118E9">
            <w:pPr>
              <w:pStyle w:val="TableText"/>
              <w:jc w:val="right"/>
            </w:pPr>
            <w:r>
              <w:t>$</w:t>
            </w:r>
            <w:r w:rsidR="00C118E9" w:rsidRPr="00C67A8A">
              <w:t xml:space="preserve">9,065 </w:t>
            </w:r>
          </w:p>
        </w:tc>
        <w:tc>
          <w:tcPr>
            <w:tcW w:w="0" w:type="auto"/>
            <w:shd w:val="clear" w:color="auto" w:fill="auto"/>
            <w:noWrap/>
            <w:vAlign w:val="bottom"/>
            <w:hideMark/>
          </w:tcPr>
          <w:p w:rsidR="00C118E9" w:rsidRPr="00C67A8A" w:rsidRDefault="00C118E9" w:rsidP="00297EF8">
            <w:pPr>
              <w:pStyle w:val="TableText"/>
              <w:jc w:val="right"/>
            </w:pPr>
            <w:r w:rsidRPr="00C67A8A">
              <w:t xml:space="preserve"> </w:t>
            </w:r>
            <w:r w:rsidR="00297EF8">
              <w:t>$</w:t>
            </w:r>
            <w:r w:rsidRPr="00C67A8A">
              <w:t xml:space="preserve"> 9,065 </w:t>
            </w:r>
          </w:p>
        </w:tc>
        <w:tc>
          <w:tcPr>
            <w:tcW w:w="1078" w:type="dxa"/>
            <w:shd w:val="clear" w:color="auto" w:fill="auto"/>
            <w:noWrap/>
            <w:vAlign w:val="bottom"/>
            <w:hideMark/>
          </w:tcPr>
          <w:p w:rsidR="00C118E9" w:rsidRPr="00C67A8A" w:rsidRDefault="00297EF8" w:rsidP="00C118E9">
            <w:pPr>
              <w:pStyle w:val="TableText"/>
              <w:jc w:val="right"/>
            </w:pPr>
            <w:r>
              <w:t>$</w:t>
            </w:r>
            <w:r w:rsidR="00C118E9" w:rsidRPr="00C67A8A">
              <w:t xml:space="preserve">9,065 </w:t>
            </w:r>
          </w:p>
        </w:tc>
        <w:tc>
          <w:tcPr>
            <w:tcW w:w="0" w:type="auto"/>
            <w:shd w:val="clear" w:color="auto" w:fill="auto"/>
            <w:noWrap/>
            <w:vAlign w:val="bottom"/>
            <w:hideMark/>
          </w:tcPr>
          <w:p w:rsidR="00C118E9" w:rsidRPr="00C67A8A" w:rsidRDefault="00297EF8" w:rsidP="00C118E9">
            <w:pPr>
              <w:pStyle w:val="TableText"/>
              <w:jc w:val="right"/>
            </w:pPr>
            <w:r>
              <w:t>$</w:t>
            </w:r>
            <w:r w:rsidR="00C118E9" w:rsidRPr="00C67A8A">
              <w:t xml:space="preserve">9,065 </w:t>
            </w:r>
          </w:p>
        </w:tc>
        <w:tc>
          <w:tcPr>
            <w:tcW w:w="0" w:type="auto"/>
            <w:shd w:val="clear" w:color="auto" w:fill="auto"/>
            <w:noWrap/>
            <w:vAlign w:val="bottom"/>
            <w:hideMark/>
          </w:tcPr>
          <w:p w:rsidR="00C118E9" w:rsidRPr="00C67A8A" w:rsidRDefault="00297EF8" w:rsidP="00C118E9">
            <w:pPr>
              <w:pStyle w:val="TableText"/>
              <w:jc w:val="right"/>
            </w:pPr>
            <w:r>
              <w:t>$</w:t>
            </w:r>
            <w:r w:rsidR="00C118E9" w:rsidRPr="00C67A8A">
              <w:t xml:space="preserve">9,065 </w:t>
            </w:r>
          </w:p>
        </w:tc>
      </w:tr>
      <w:tr w:rsidR="00C118E9" w:rsidRPr="00C67A8A" w:rsidTr="00722BAB">
        <w:trPr>
          <w:trHeight w:val="300"/>
          <w:tblHeader/>
        </w:trPr>
        <w:tc>
          <w:tcPr>
            <w:tcW w:w="0" w:type="auto"/>
            <w:shd w:val="clear" w:color="auto" w:fill="auto"/>
            <w:noWrap/>
            <w:vAlign w:val="bottom"/>
            <w:hideMark/>
          </w:tcPr>
          <w:p w:rsidR="00C118E9" w:rsidRPr="00DE0D61" w:rsidRDefault="00C118E9" w:rsidP="00DE0D61">
            <w:pPr>
              <w:pStyle w:val="TableText"/>
              <w:jc w:val="right"/>
              <w:rPr>
                <w:bCs/>
              </w:rPr>
            </w:pPr>
            <w:r w:rsidRPr="00DE0D61">
              <w:rPr>
                <w:bCs/>
              </w:rPr>
              <w:t>Total cost savings</w:t>
            </w:r>
          </w:p>
        </w:tc>
        <w:tc>
          <w:tcPr>
            <w:tcW w:w="0" w:type="auto"/>
            <w:shd w:val="clear" w:color="auto" w:fill="auto"/>
            <w:noWrap/>
            <w:vAlign w:val="bottom"/>
            <w:hideMark/>
          </w:tcPr>
          <w:p w:rsidR="00C118E9" w:rsidRPr="00C67A8A" w:rsidRDefault="00C118E9" w:rsidP="00DE0D61">
            <w:pPr>
              <w:pStyle w:val="TableText"/>
              <w:jc w:val="right"/>
            </w:pPr>
            <w:r w:rsidRPr="00C67A8A">
              <w:t xml:space="preserve"> </w:t>
            </w:r>
            <w:r w:rsidR="00297EF8">
              <w:t>-$</w:t>
            </w:r>
            <w:r w:rsidRPr="00C67A8A">
              <w:t xml:space="preserve">38,453 </w:t>
            </w:r>
          </w:p>
        </w:tc>
        <w:tc>
          <w:tcPr>
            <w:tcW w:w="0" w:type="auto"/>
            <w:shd w:val="clear" w:color="auto" w:fill="auto"/>
            <w:noWrap/>
            <w:vAlign w:val="bottom"/>
            <w:hideMark/>
          </w:tcPr>
          <w:p w:rsidR="00C118E9" w:rsidRPr="00C67A8A" w:rsidRDefault="00C118E9" w:rsidP="00DE0D61">
            <w:pPr>
              <w:pStyle w:val="TableText"/>
              <w:jc w:val="right"/>
            </w:pPr>
            <w:r w:rsidRPr="00C67A8A">
              <w:t xml:space="preserve"> </w:t>
            </w:r>
            <w:r w:rsidR="005F2476">
              <w:t>-</w:t>
            </w:r>
            <w:r w:rsidR="00297EF8">
              <w:t>$</w:t>
            </w:r>
            <w:r w:rsidRPr="00C67A8A">
              <w:t xml:space="preserve">77,787 </w:t>
            </w:r>
          </w:p>
        </w:tc>
        <w:tc>
          <w:tcPr>
            <w:tcW w:w="1078" w:type="dxa"/>
            <w:shd w:val="clear" w:color="auto" w:fill="auto"/>
            <w:noWrap/>
            <w:vAlign w:val="bottom"/>
            <w:hideMark/>
          </w:tcPr>
          <w:p w:rsidR="00C118E9" w:rsidRPr="00C67A8A" w:rsidRDefault="005F2476" w:rsidP="00C118E9">
            <w:pPr>
              <w:pStyle w:val="TableText"/>
              <w:jc w:val="right"/>
            </w:pPr>
            <w:r>
              <w:t>-</w:t>
            </w:r>
            <w:r w:rsidR="00297EF8">
              <w:t>$</w:t>
            </w:r>
            <w:r w:rsidR="00C118E9" w:rsidRPr="00C67A8A">
              <w:t xml:space="preserve">118,002 </w:t>
            </w:r>
          </w:p>
        </w:tc>
        <w:tc>
          <w:tcPr>
            <w:tcW w:w="0" w:type="auto"/>
            <w:shd w:val="clear" w:color="auto" w:fill="auto"/>
            <w:noWrap/>
            <w:vAlign w:val="bottom"/>
            <w:hideMark/>
          </w:tcPr>
          <w:p w:rsidR="00C118E9" w:rsidRPr="00C67A8A" w:rsidRDefault="005F2476" w:rsidP="00C118E9">
            <w:pPr>
              <w:pStyle w:val="TableText"/>
              <w:jc w:val="right"/>
            </w:pPr>
            <w:r>
              <w:t>-</w:t>
            </w:r>
            <w:r w:rsidR="00297EF8">
              <w:t>$</w:t>
            </w:r>
            <w:r w:rsidR="00C118E9" w:rsidRPr="00C67A8A">
              <w:t xml:space="preserve">159,098 </w:t>
            </w:r>
          </w:p>
        </w:tc>
        <w:tc>
          <w:tcPr>
            <w:tcW w:w="0" w:type="auto"/>
            <w:shd w:val="clear" w:color="auto" w:fill="auto"/>
            <w:noWrap/>
            <w:vAlign w:val="bottom"/>
            <w:hideMark/>
          </w:tcPr>
          <w:p w:rsidR="00C118E9" w:rsidRPr="00C67A8A" w:rsidRDefault="005F2476" w:rsidP="00C118E9">
            <w:pPr>
              <w:pStyle w:val="TableText"/>
              <w:jc w:val="right"/>
            </w:pPr>
            <w:r>
              <w:t>-</w:t>
            </w:r>
            <w:r w:rsidR="00297EF8">
              <w:t>$</w:t>
            </w:r>
            <w:r w:rsidR="00C118E9" w:rsidRPr="00C67A8A">
              <w:t xml:space="preserve">201,074 </w:t>
            </w:r>
          </w:p>
        </w:tc>
      </w:tr>
      <w:tr w:rsidR="005F2476" w:rsidRPr="00C67A8A" w:rsidTr="00722BAB">
        <w:trPr>
          <w:trHeight w:val="300"/>
          <w:tblHeader/>
        </w:trPr>
        <w:tc>
          <w:tcPr>
            <w:tcW w:w="0" w:type="auto"/>
            <w:shd w:val="clear" w:color="auto" w:fill="auto"/>
            <w:noWrap/>
            <w:vAlign w:val="bottom"/>
            <w:hideMark/>
          </w:tcPr>
          <w:p w:rsidR="005F2476" w:rsidRPr="00C67A8A" w:rsidRDefault="005F2476" w:rsidP="00C118E9">
            <w:pPr>
              <w:pStyle w:val="TableText"/>
              <w:rPr>
                <w:b/>
                <w:bCs/>
              </w:rPr>
            </w:pPr>
            <w:r w:rsidRPr="00C67A8A">
              <w:rPr>
                <w:b/>
                <w:bCs/>
              </w:rPr>
              <w:t>TOTAL MBS COSTS</w:t>
            </w:r>
          </w:p>
        </w:tc>
        <w:tc>
          <w:tcPr>
            <w:tcW w:w="0" w:type="auto"/>
            <w:shd w:val="clear" w:color="auto" w:fill="auto"/>
            <w:noWrap/>
            <w:vAlign w:val="bottom"/>
            <w:hideMark/>
          </w:tcPr>
          <w:p w:rsidR="005F2476" w:rsidRPr="005F2476" w:rsidRDefault="005F2476" w:rsidP="005F2476">
            <w:pPr>
              <w:pStyle w:val="TableText"/>
              <w:jc w:val="right"/>
              <w:rPr>
                <w:b/>
                <w:bCs/>
              </w:rPr>
            </w:pPr>
            <w:r w:rsidRPr="005F2476">
              <w:rPr>
                <w:b/>
                <w:bCs/>
              </w:rPr>
              <w:t xml:space="preserve">$865,074 </w:t>
            </w:r>
          </w:p>
        </w:tc>
        <w:tc>
          <w:tcPr>
            <w:tcW w:w="0" w:type="auto"/>
            <w:shd w:val="clear" w:color="auto" w:fill="auto"/>
            <w:noWrap/>
            <w:vAlign w:val="bottom"/>
            <w:hideMark/>
          </w:tcPr>
          <w:p w:rsidR="005F2476" w:rsidRPr="005F2476" w:rsidRDefault="005F2476" w:rsidP="005F2476">
            <w:pPr>
              <w:pStyle w:val="TableText"/>
              <w:jc w:val="right"/>
              <w:rPr>
                <w:b/>
                <w:bCs/>
              </w:rPr>
            </w:pPr>
            <w:r w:rsidRPr="005F2476">
              <w:rPr>
                <w:b/>
                <w:bCs/>
              </w:rPr>
              <w:t xml:space="preserve">$1,749,927 </w:t>
            </w:r>
          </w:p>
        </w:tc>
        <w:tc>
          <w:tcPr>
            <w:tcW w:w="1078" w:type="dxa"/>
            <w:shd w:val="clear" w:color="auto" w:fill="auto"/>
            <w:noWrap/>
            <w:vAlign w:val="bottom"/>
            <w:hideMark/>
          </w:tcPr>
          <w:p w:rsidR="005F2476" w:rsidRPr="005F2476" w:rsidRDefault="005F2476" w:rsidP="005F2476">
            <w:pPr>
              <w:pStyle w:val="TableText"/>
              <w:jc w:val="right"/>
              <w:rPr>
                <w:b/>
                <w:bCs/>
              </w:rPr>
            </w:pPr>
            <w:r w:rsidRPr="005F2476">
              <w:rPr>
                <w:b/>
                <w:bCs/>
              </w:rPr>
              <w:t xml:space="preserve">$2,654,694 </w:t>
            </w:r>
          </w:p>
        </w:tc>
        <w:tc>
          <w:tcPr>
            <w:tcW w:w="0" w:type="auto"/>
            <w:shd w:val="clear" w:color="auto" w:fill="auto"/>
            <w:noWrap/>
            <w:vAlign w:val="bottom"/>
            <w:hideMark/>
          </w:tcPr>
          <w:p w:rsidR="005F2476" w:rsidRPr="005F2476" w:rsidRDefault="005F2476" w:rsidP="005F2476">
            <w:pPr>
              <w:pStyle w:val="TableText"/>
              <w:jc w:val="right"/>
              <w:rPr>
                <w:b/>
                <w:bCs/>
              </w:rPr>
            </w:pPr>
            <w:r w:rsidRPr="005F2476">
              <w:rPr>
                <w:b/>
                <w:bCs/>
              </w:rPr>
              <w:t xml:space="preserve">$3,579,156 </w:t>
            </w:r>
          </w:p>
        </w:tc>
        <w:tc>
          <w:tcPr>
            <w:tcW w:w="0" w:type="auto"/>
            <w:shd w:val="clear" w:color="auto" w:fill="auto"/>
            <w:noWrap/>
            <w:vAlign w:val="bottom"/>
            <w:hideMark/>
          </w:tcPr>
          <w:p w:rsidR="005F2476" w:rsidRPr="005F2476" w:rsidRDefault="005F2476" w:rsidP="005F2476">
            <w:pPr>
              <w:pStyle w:val="TableText"/>
              <w:jc w:val="right"/>
              <w:rPr>
                <w:b/>
                <w:bCs/>
              </w:rPr>
            </w:pPr>
            <w:r w:rsidRPr="005F2476">
              <w:rPr>
                <w:b/>
                <w:bCs/>
              </w:rPr>
              <w:t xml:space="preserve">$4,523,487 </w:t>
            </w:r>
          </w:p>
        </w:tc>
      </w:tr>
      <w:tr w:rsidR="005F2476" w:rsidRPr="00C67A8A" w:rsidTr="00722BAB">
        <w:trPr>
          <w:trHeight w:val="300"/>
          <w:tblHeader/>
        </w:trPr>
        <w:tc>
          <w:tcPr>
            <w:tcW w:w="0" w:type="auto"/>
            <w:shd w:val="clear" w:color="auto" w:fill="auto"/>
            <w:noWrap/>
            <w:vAlign w:val="bottom"/>
            <w:hideMark/>
          </w:tcPr>
          <w:p w:rsidR="005F2476" w:rsidRPr="00C67A8A" w:rsidRDefault="005F2476" w:rsidP="00C118E9">
            <w:pPr>
              <w:pStyle w:val="TableText"/>
              <w:rPr>
                <w:b/>
                <w:bCs/>
              </w:rPr>
            </w:pPr>
            <w:r w:rsidRPr="00C67A8A">
              <w:rPr>
                <w:b/>
                <w:bCs/>
              </w:rPr>
              <w:t>TOTAL PBS COSTS</w:t>
            </w:r>
          </w:p>
        </w:tc>
        <w:tc>
          <w:tcPr>
            <w:tcW w:w="0" w:type="auto"/>
            <w:shd w:val="clear" w:color="auto" w:fill="auto"/>
            <w:noWrap/>
            <w:vAlign w:val="bottom"/>
            <w:hideMark/>
          </w:tcPr>
          <w:p w:rsidR="005F2476" w:rsidRPr="005F2476" w:rsidRDefault="005F2476" w:rsidP="005F2476">
            <w:pPr>
              <w:pStyle w:val="TableText"/>
              <w:jc w:val="right"/>
              <w:rPr>
                <w:b/>
                <w:bCs/>
              </w:rPr>
            </w:pPr>
            <w:r w:rsidRPr="005F2476">
              <w:rPr>
                <w:b/>
                <w:bCs/>
              </w:rPr>
              <w:t xml:space="preserve">$473,815 </w:t>
            </w:r>
          </w:p>
        </w:tc>
        <w:tc>
          <w:tcPr>
            <w:tcW w:w="0" w:type="auto"/>
            <w:shd w:val="clear" w:color="auto" w:fill="auto"/>
            <w:noWrap/>
            <w:vAlign w:val="bottom"/>
            <w:hideMark/>
          </w:tcPr>
          <w:p w:rsidR="005F2476" w:rsidRPr="005F2476" w:rsidRDefault="005F2476" w:rsidP="005F2476">
            <w:pPr>
              <w:pStyle w:val="TableText"/>
              <w:jc w:val="right"/>
              <w:rPr>
                <w:b/>
                <w:bCs/>
              </w:rPr>
            </w:pPr>
            <w:r w:rsidRPr="005F2476">
              <w:rPr>
                <w:b/>
                <w:bCs/>
              </w:rPr>
              <w:t xml:space="preserve">$910,560 </w:t>
            </w:r>
          </w:p>
        </w:tc>
        <w:tc>
          <w:tcPr>
            <w:tcW w:w="1078" w:type="dxa"/>
            <w:shd w:val="clear" w:color="auto" w:fill="auto"/>
            <w:noWrap/>
            <w:vAlign w:val="bottom"/>
            <w:hideMark/>
          </w:tcPr>
          <w:p w:rsidR="005F2476" w:rsidRPr="005F2476" w:rsidRDefault="005F2476" w:rsidP="005F2476">
            <w:pPr>
              <w:pStyle w:val="TableText"/>
              <w:jc w:val="right"/>
              <w:rPr>
                <w:b/>
                <w:bCs/>
              </w:rPr>
            </w:pPr>
            <w:r w:rsidRPr="005F2476">
              <w:rPr>
                <w:b/>
                <w:bCs/>
              </w:rPr>
              <w:t xml:space="preserve">$1,308,605 </w:t>
            </w:r>
          </w:p>
        </w:tc>
        <w:tc>
          <w:tcPr>
            <w:tcW w:w="0" w:type="auto"/>
            <w:shd w:val="clear" w:color="auto" w:fill="auto"/>
            <w:noWrap/>
            <w:vAlign w:val="bottom"/>
            <w:hideMark/>
          </w:tcPr>
          <w:p w:rsidR="005F2476" w:rsidRPr="005F2476" w:rsidRDefault="005F2476" w:rsidP="005F2476">
            <w:pPr>
              <w:pStyle w:val="TableText"/>
              <w:jc w:val="right"/>
              <w:rPr>
                <w:b/>
                <w:bCs/>
              </w:rPr>
            </w:pPr>
            <w:r w:rsidRPr="005F2476">
              <w:rPr>
                <w:b/>
                <w:bCs/>
              </w:rPr>
              <w:t xml:space="preserve">$1,666,324 </w:t>
            </w:r>
          </w:p>
        </w:tc>
        <w:tc>
          <w:tcPr>
            <w:tcW w:w="0" w:type="auto"/>
            <w:shd w:val="clear" w:color="auto" w:fill="auto"/>
            <w:noWrap/>
            <w:vAlign w:val="bottom"/>
            <w:hideMark/>
          </w:tcPr>
          <w:p w:rsidR="005F2476" w:rsidRPr="005F2476" w:rsidRDefault="005F2476" w:rsidP="005F2476">
            <w:pPr>
              <w:pStyle w:val="TableText"/>
              <w:jc w:val="right"/>
              <w:rPr>
                <w:b/>
                <w:bCs/>
              </w:rPr>
            </w:pPr>
            <w:r w:rsidRPr="005F2476">
              <w:rPr>
                <w:b/>
                <w:bCs/>
              </w:rPr>
              <w:t xml:space="preserve">$1,982,089 </w:t>
            </w:r>
          </w:p>
        </w:tc>
      </w:tr>
      <w:tr w:rsidR="005F2476" w:rsidRPr="00C67A8A" w:rsidTr="00722BAB">
        <w:trPr>
          <w:trHeight w:val="300"/>
          <w:tblHeader/>
        </w:trPr>
        <w:tc>
          <w:tcPr>
            <w:tcW w:w="0" w:type="auto"/>
            <w:shd w:val="clear" w:color="auto" w:fill="auto"/>
            <w:noWrap/>
            <w:vAlign w:val="bottom"/>
            <w:hideMark/>
          </w:tcPr>
          <w:p w:rsidR="005F2476" w:rsidRPr="00C67A8A" w:rsidRDefault="005F2476" w:rsidP="00C118E9">
            <w:pPr>
              <w:pStyle w:val="TableText"/>
              <w:rPr>
                <w:b/>
                <w:bCs/>
              </w:rPr>
            </w:pPr>
            <w:r>
              <w:rPr>
                <w:b/>
                <w:bCs/>
              </w:rPr>
              <w:t xml:space="preserve">TOTAL STATE GOVT </w:t>
            </w:r>
            <w:r w:rsidRPr="00C67A8A">
              <w:rPr>
                <w:b/>
                <w:bCs/>
              </w:rPr>
              <w:t>COST SAVINGS</w:t>
            </w:r>
          </w:p>
        </w:tc>
        <w:tc>
          <w:tcPr>
            <w:tcW w:w="0" w:type="auto"/>
            <w:shd w:val="clear" w:color="auto" w:fill="auto"/>
            <w:noWrap/>
            <w:vAlign w:val="bottom"/>
            <w:hideMark/>
          </w:tcPr>
          <w:p w:rsidR="005F2476" w:rsidRPr="005F2476" w:rsidRDefault="005F2476" w:rsidP="005F2476">
            <w:pPr>
              <w:pStyle w:val="TableText"/>
              <w:jc w:val="right"/>
              <w:rPr>
                <w:b/>
                <w:bCs/>
              </w:rPr>
            </w:pPr>
            <w:r w:rsidRPr="005F2476">
              <w:rPr>
                <w:b/>
                <w:bCs/>
              </w:rPr>
              <w:t xml:space="preserve">-$38,453 </w:t>
            </w:r>
          </w:p>
        </w:tc>
        <w:tc>
          <w:tcPr>
            <w:tcW w:w="0" w:type="auto"/>
            <w:shd w:val="clear" w:color="auto" w:fill="auto"/>
            <w:noWrap/>
            <w:vAlign w:val="bottom"/>
            <w:hideMark/>
          </w:tcPr>
          <w:p w:rsidR="005F2476" w:rsidRPr="005F2476" w:rsidRDefault="005F2476" w:rsidP="005F2476">
            <w:pPr>
              <w:pStyle w:val="TableText"/>
              <w:jc w:val="right"/>
              <w:rPr>
                <w:b/>
                <w:bCs/>
              </w:rPr>
            </w:pPr>
            <w:r w:rsidRPr="005F2476">
              <w:rPr>
                <w:b/>
                <w:bCs/>
              </w:rPr>
              <w:t xml:space="preserve">-$77,787 </w:t>
            </w:r>
          </w:p>
        </w:tc>
        <w:tc>
          <w:tcPr>
            <w:tcW w:w="1078" w:type="dxa"/>
            <w:shd w:val="clear" w:color="auto" w:fill="auto"/>
            <w:noWrap/>
            <w:vAlign w:val="bottom"/>
            <w:hideMark/>
          </w:tcPr>
          <w:p w:rsidR="005F2476" w:rsidRPr="005F2476" w:rsidRDefault="005F2476" w:rsidP="005F2476">
            <w:pPr>
              <w:pStyle w:val="TableText"/>
              <w:jc w:val="right"/>
              <w:rPr>
                <w:b/>
                <w:bCs/>
              </w:rPr>
            </w:pPr>
            <w:r w:rsidRPr="005F2476">
              <w:rPr>
                <w:b/>
                <w:bCs/>
              </w:rPr>
              <w:t xml:space="preserve">-$118,002 </w:t>
            </w:r>
          </w:p>
        </w:tc>
        <w:tc>
          <w:tcPr>
            <w:tcW w:w="0" w:type="auto"/>
            <w:shd w:val="clear" w:color="auto" w:fill="auto"/>
            <w:noWrap/>
            <w:vAlign w:val="bottom"/>
            <w:hideMark/>
          </w:tcPr>
          <w:p w:rsidR="005F2476" w:rsidRPr="005F2476" w:rsidRDefault="005F2476" w:rsidP="005F2476">
            <w:pPr>
              <w:pStyle w:val="TableText"/>
              <w:jc w:val="right"/>
              <w:rPr>
                <w:b/>
                <w:bCs/>
              </w:rPr>
            </w:pPr>
            <w:r w:rsidRPr="005F2476">
              <w:rPr>
                <w:b/>
                <w:bCs/>
              </w:rPr>
              <w:t xml:space="preserve">-$159,098 </w:t>
            </w:r>
          </w:p>
        </w:tc>
        <w:tc>
          <w:tcPr>
            <w:tcW w:w="0" w:type="auto"/>
            <w:shd w:val="clear" w:color="auto" w:fill="auto"/>
            <w:noWrap/>
            <w:vAlign w:val="bottom"/>
            <w:hideMark/>
          </w:tcPr>
          <w:p w:rsidR="005F2476" w:rsidRPr="005F2476" w:rsidRDefault="005F2476" w:rsidP="005F2476">
            <w:pPr>
              <w:pStyle w:val="TableText"/>
              <w:jc w:val="right"/>
              <w:rPr>
                <w:b/>
                <w:bCs/>
              </w:rPr>
            </w:pPr>
            <w:r w:rsidRPr="005F2476">
              <w:rPr>
                <w:b/>
                <w:bCs/>
              </w:rPr>
              <w:t xml:space="preserve">-$201,074 </w:t>
            </w:r>
          </w:p>
        </w:tc>
      </w:tr>
      <w:tr w:rsidR="005F2476" w:rsidRPr="00C67A8A" w:rsidTr="00722BAB">
        <w:trPr>
          <w:trHeight w:val="300"/>
          <w:tblHeader/>
        </w:trPr>
        <w:tc>
          <w:tcPr>
            <w:tcW w:w="0" w:type="auto"/>
            <w:shd w:val="clear" w:color="auto" w:fill="auto"/>
            <w:noWrap/>
            <w:vAlign w:val="bottom"/>
            <w:hideMark/>
          </w:tcPr>
          <w:p w:rsidR="005F2476" w:rsidRPr="00C67A8A" w:rsidRDefault="005F2476" w:rsidP="00297EF8">
            <w:pPr>
              <w:pStyle w:val="TableText"/>
              <w:rPr>
                <w:b/>
                <w:bCs/>
              </w:rPr>
            </w:pPr>
            <w:r w:rsidRPr="00C67A8A">
              <w:rPr>
                <w:b/>
                <w:bCs/>
              </w:rPr>
              <w:t>TOTAL COSTS</w:t>
            </w:r>
          </w:p>
        </w:tc>
        <w:tc>
          <w:tcPr>
            <w:tcW w:w="0" w:type="auto"/>
            <w:shd w:val="clear" w:color="auto" w:fill="auto"/>
            <w:noWrap/>
            <w:vAlign w:val="bottom"/>
            <w:hideMark/>
          </w:tcPr>
          <w:p w:rsidR="005F2476" w:rsidRPr="00C67A8A" w:rsidRDefault="005F2476" w:rsidP="005F2476">
            <w:pPr>
              <w:pStyle w:val="TableText"/>
              <w:jc w:val="right"/>
              <w:rPr>
                <w:b/>
                <w:bCs/>
              </w:rPr>
            </w:pPr>
            <w:r>
              <w:rPr>
                <w:b/>
                <w:bCs/>
              </w:rPr>
              <w:t>$</w:t>
            </w:r>
            <w:r w:rsidRPr="00C67A8A">
              <w:rPr>
                <w:b/>
                <w:bCs/>
              </w:rPr>
              <w:t xml:space="preserve">1,300,436 </w:t>
            </w:r>
          </w:p>
        </w:tc>
        <w:tc>
          <w:tcPr>
            <w:tcW w:w="0" w:type="auto"/>
            <w:shd w:val="clear" w:color="auto" w:fill="auto"/>
            <w:noWrap/>
            <w:vAlign w:val="bottom"/>
            <w:hideMark/>
          </w:tcPr>
          <w:p w:rsidR="005F2476" w:rsidRPr="00C67A8A" w:rsidRDefault="005F2476" w:rsidP="005F2476">
            <w:pPr>
              <w:pStyle w:val="TableText"/>
              <w:jc w:val="right"/>
              <w:rPr>
                <w:b/>
                <w:bCs/>
              </w:rPr>
            </w:pPr>
            <w:r>
              <w:rPr>
                <w:b/>
                <w:bCs/>
              </w:rPr>
              <w:t>$</w:t>
            </w:r>
            <w:r w:rsidRPr="00C67A8A">
              <w:rPr>
                <w:b/>
                <w:bCs/>
              </w:rPr>
              <w:t>2,582,</w:t>
            </w:r>
            <w:r>
              <w:rPr>
                <w:b/>
                <w:bCs/>
              </w:rPr>
              <w:t>699</w:t>
            </w:r>
            <w:r w:rsidRPr="00C67A8A">
              <w:rPr>
                <w:b/>
                <w:bCs/>
              </w:rPr>
              <w:t xml:space="preserve"> </w:t>
            </w:r>
          </w:p>
        </w:tc>
        <w:tc>
          <w:tcPr>
            <w:tcW w:w="1078" w:type="dxa"/>
            <w:shd w:val="clear" w:color="auto" w:fill="auto"/>
            <w:noWrap/>
            <w:vAlign w:val="bottom"/>
            <w:hideMark/>
          </w:tcPr>
          <w:p w:rsidR="005F2476" w:rsidRPr="00C67A8A" w:rsidRDefault="005F2476" w:rsidP="005F2476">
            <w:pPr>
              <w:pStyle w:val="TableText"/>
              <w:jc w:val="right"/>
              <w:rPr>
                <w:b/>
                <w:bCs/>
              </w:rPr>
            </w:pPr>
            <w:r>
              <w:rPr>
                <w:b/>
                <w:bCs/>
              </w:rPr>
              <w:t>$</w:t>
            </w:r>
            <w:r w:rsidRPr="00C67A8A">
              <w:rPr>
                <w:b/>
                <w:bCs/>
              </w:rPr>
              <w:t>3,845,2</w:t>
            </w:r>
            <w:r>
              <w:rPr>
                <w:b/>
                <w:bCs/>
              </w:rPr>
              <w:t>97</w:t>
            </w:r>
            <w:r w:rsidRPr="00C67A8A">
              <w:rPr>
                <w:b/>
                <w:bCs/>
              </w:rPr>
              <w:t xml:space="preserve"> </w:t>
            </w:r>
          </w:p>
        </w:tc>
        <w:tc>
          <w:tcPr>
            <w:tcW w:w="0" w:type="auto"/>
            <w:shd w:val="clear" w:color="auto" w:fill="auto"/>
            <w:noWrap/>
            <w:vAlign w:val="bottom"/>
            <w:hideMark/>
          </w:tcPr>
          <w:p w:rsidR="005F2476" w:rsidRPr="00C67A8A" w:rsidRDefault="005F2476" w:rsidP="005F2476">
            <w:pPr>
              <w:pStyle w:val="TableText"/>
              <w:jc w:val="right"/>
              <w:rPr>
                <w:b/>
                <w:bCs/>
              </w:rPr>
            </w:pPr>
            <w:r>
              <w:rPr>
                <w:b/>
                <w:bCs/>
              </w:rPr>
              <w:t>$</w:t>
            </w:r>
            <w:r w:rsidRPr="00C67A8A">
              <w:rPr>
                <w:b/>
                <w:bCs/>
              </w:rPr>
              <w:t>5,086,</w:t>
            </w:r>
            <w:r>
              <w:rPr>
                <w:b/>
                <w:bCs/>
              </w:rPr>
              <w:t>383</w:t>
            </w:r>
            <w:r w:rsidRPr="00C67A8A">
              <w:rPr>
                <w:b/>
                <w:bCs/>
              </w:rPr>
              <w:t xml:space="preserve"> </w:t>
            </w:r>
          </w:p>
        </w:tc>
        <w:tc>
          <w:tcPr>
            <w:tcW w:w="0" w:type="auto"/>
            <w:shd w:val="clear" w:color="auto" w:fill="auto"/>
            <w:noWrap/>
            <w:vAlign w:val="bottom"/>
            <w:hideMark/>
          </w:tcPr>
          <w:p w:rsidR="005F2476" w:rsidRPr="00C67A8A" w:rsidRDefault="005F2476" w:rsidP="005F2476">
            <w:pPr>
              <w:pStyle w:val="TableText"/>
              <w:jc w:val="right"/>
              <w:rPr>
                <w:b/>
                <w:bCs/>
              </w:rPr>
            </w:pPr>
            <w:r>
              <w:rPr>
                <w:b/>
                <w:bCs/>
              </w:rPr>
              <w:t>$</w:t>
            </w:r>
            <w:r w:rsidRPr="00C67A8A">
              <w:rPr>
                <w:b/>
                <w:bCs/>
              </w:rPr>
              <w:t>6,304,5</w:t>
            </w:r>
            <w:r>
              <w:rPr>
                <w:b/>
                <w:bCs/>
              </w:rPr>
              <w:t>02</w:t>
            </w:r>
            <w:r w:rsidRPr="00C67A8A">
              <w:rPr>
                <w:b/>
                <w:bCs/>
              </w:rPr>
              <w:t xml:space="preserve"> </w:t>
            </w:r>
          </w:p>
        </w:tc>
      </w:tr>
    </w:tbl>
    <w:p w:rsidR="00C132C7" w:rsidRDefault="00C132C7" w:rsidP="00C132C7">
      <w:pPr>
        <w:pStyle w:val="TableText"/>
        <w:ind w:left="1134"/>
      </w:pPr>
      <w:r>
        <w:t xml:space="preserve">AI = aromatase inhibitor, AR-DRG = Australian Related Diagnosis Relative Group, brca = breast cancer, DXA = dual x-ray absorptiometry, MBS = Medical Benefits Schedule , PBS= Pharmaceutical Benefits Schedule. </w:t>
      </w:r>
    </w:p>
    <w:p w:rsidR="00C118E9" w:rsidRDefault="00C118E9" w:rsidP="00C118E9"/>
    <w:p w:rsidR="00297EF8" w:rsidRDefault="00722BAB" w:rsidP="00C118E9">
      <w:r>
        <w:t>The results in T</w:t>
      </w:r>
      <w:r w:rsidR="00297EF8">
        <w:t xml:space="preserve">able </w:t>
      </w:r>
      <w:r w:rsidR="00C132C7">
        <w:t>30</w:t>
      </w:r>
      <w:r w:rsidR="00297EF8">
        <w:t xml:space="preserve"> indicate that the MBS would incur costs of $13.372 million over the next five years.  </w:t>
      </w:r>
      <w:r w:rsidR="005F2476">
        <w:t xml:space="preserve">Total costs to the health system over the next 5 years </w:t>
      </w:r>
      <w:r w:rsidR="00BD0D16">
        <w:t>are estimated at</w:t>
      </w:r>
      <w:r w:rsidR="005F2476">
        <w:t xml:space="preserve"> $19.119 million.</w:t>
      </w:r>
    </w:p>
    <w:p w:rsidR="00297EF8" w:rsidRDefault="00173A15" w:rsidP="00C118E9">
      <w:r>
        <w:t xml:space="preserve">Sensitivity analyses were performed on the frequency of DXA scans, the unit cost of scans and the proportion of women treated according to T-score thresholds (or BMD status), among others. </w:t>
      </w:r>
      <w:r w:rsidR="00297EF8">
        <w:t xml:space="preserve">The results </w:t>
      </w:r>
      <w:r>
        <w:t>of the</w:t>
      </w:r>
      <w:r w:rsidR="00297EF8">
        <w:t xml:space="preserve"> sensitivity analyses </w:t>
      </w:r>
      <w:r w:rsidR="00DA7D37">
        <w:t xml:space="preserve">are presented in Table </w:t>
      </w:r>
      <w:r>
        <w:t>31</w:t>
      </w:r>
      <w:r w:rsidR="00DA7D37">
        <w:t>.</w:t>
      </w:r>
      <w:r w:rsidR="00BD0D16">
        <w:t xml:space="preserve"> When DXA scans are offered to women every two years instead of annually, total MBS costs decrease from $13.372 million to $10.203 million.</w:t>
      </w:r>
    </w:p>
    <w:p w:rsidR="00DA7D37" w:rsidRDefault="00DA7D37" w:rsidP="00C118E9"/>
    <w:p w:rsidR="00DA7D37" w:rsidRPr="00C262EC" w:rsidRDefault="00DA7D37" w:rsidP="00C262EC">
      <w:pPr>
        <w:pStyle w:val="TableName"/>
        <w:ind w:hanging="447"/>
      </w:pPr>
      <w:bookmarkStart w:id="138" w:name="_Toc386112700"/>
      <w:r w:rsidRPr="00C262EC">
        <w:lastRenderedPageBreak/>
        <w:t xml:space="preserve">Table </w:t>
      </w:r>
      <w:r w:rsidR="00173A15" w:rsidRPr="00C262EC">
        <w:t>31</w:t>
      </w:r>
      <w:r w:rsidRPr="00C262EC">
        <w:t>: Sensitivity analyses of the financial estimates</w:t>
      </w:r>
      <w:bookmarkEnd w:id="138"/>
    </w:p>
    <w:tbl>
      <w:tblPr>
        <w:tblW w:w="859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1 Sensitivity analyses of the financial estimates"/>
      </w:tblPr>
      <w:tblGrid>
        <w:gridCol w:w="2446"/>
        <w:gridCol w:w="1393"/>
        <w:gridCol w:w="1198"/>
        <w:gridCol w:w="1120"/>
        <w:gridCol w:w="1220"/>
        <w:gridCol w:w="1220"/>
      </w:tblGrid>
      <w:tr w:rsidR="00C132C7" w:rsidRPr="0070291A" w:rsidTr="008A3211">
        <w:trPr>
          <w:trHeight w:val="300"/>
          <w:tblHeader/>
        </w:trPr>
        <w:tc>
          <w:tcPr>
            <w:tcW w:w="2446" w:type="dxa"/>
            <w:shd w:val="clear" w:color="auto" w:fill="auto"/>
            <w:noWrap/>
            <w:vAlign w:val="bottom"/>
            <w:hideMark/>
          </w:tcPr>
          <w:p w:rsidR="00C132C7" w:rsidRPr="0070291A" w:rsidRDefault="00C132C7" w:rsidP="0070291A">
            <w:pPr>
              <w:pStyle w:val="TableText"/>
            </w:pPr>
          </w:p>
        </w:tc>
        <w:tc>
          <w:tcPr>
            <w:tcW w:w="1393" w:type="dxa"/>
            <w:shd w:val="clear" w:color="auto" w:fill="auto"/>
            <w:noWrap/>
            <w:vAlign w:val="bottom"/>
            <w:hideMark/>
          </w:tcPr>
          <w:p w:rsidR="00C132C7" w:rsidRPr="0070291A" w:rsidRDefault="00C132C7" w:rsidP="0070291A">
            <w:pPr>
              <w:pStyle w:val="TableText"/>
              <w:jc w:val="right"/>
              <w:rPr>
                <w:b/>
                <w:bCs/>
              </w:rPr>
            </w:pPr>
            <w:r w:rsidRPr="0070291A">
              <w:rPr>
                <w:b/>
                <w:bCs/>
              </w:rPr>
              <w:t>2015</w:t>
            </w:r>
            <w:r w:rsidR="00BD0D16">
              <w:rPr>
                <w:b/>
                <w:bCs/>
              </w:rPr>
              <w:t xml:space="preserve"> $</w:t>
            </w:r>
          </w:p>
        </w:tc>
        <w:tc>
          <w:tcPr>
            <w:tcW w:w="1198" w:type="dxa"/>
            <w:shd w:val="clear" w:color="auto" w:fill="auto"/>
            <w:noWrap/>
            <w:vAlign w:val="bottom"/>
            <w:hideMark/>
          </w:tcPr>
          <w:p w:rsidR="00C132C7" w:rsidRPr="0070291A" w:rsidRDefault="00C132C7" w:rsidP="0070291A">
            <w:pPr>
              <w:pStyle w:val="TableText"/>
              <w:jc w:val="right"/>
              <w:rPr>
                <w:b/>
                <w:bCs/>
              </w:rPr>
            </w:pPr>
            <w:r w:rsidRPr="0070291A">
              <w:rPr>
                <w:b/>
                <w:bCs/>
              </w:rPr>
              <w:t>2016</w:t>
            </w:r>
            <w:r w:rsidR="00BD0D16">
              <w:rPr>
                <w:b/>
                <w:bCs/>
              </w:rPr>
              <w:t xml:space="preserve"> $</w:t>
            </w:r>
          </w:p>
        </w:tc>
        <w:tc>
          <w:tcPr>
            <w:tcW w:w="1120" w:type="dxa"/>
            <w:shd w:val="clear" w:color="auto" w:fill="auto"/>
            <w:noWrap/>
            <w:vAlign w:val="bottom"/>
            <w:hideMark/>
          </w:tcPr>
          <w:p w:rsidR="00C132C7" w:rsidRPr="0070291A" w:rsidRDefault="00C132C7" w:rsidP="0070291A">
            <w:pPr>
              <w:pStyle w:val="TableText"/>
              <w:jc w:val="right"/>
              <w:rPr>
                <w:b/>
                <w:bCs/>
              </w:rPr>
            </w:pPr>
            <w:r w:rsidRPr="0070291A">
              <w:rPr>
                <w:b/>
                <w:bCs/>
              </w:rPr>
              <w:t>2017</w:t>
            </w:r>
            <w:r w:rsidR="00BD0D16">
              <w:rPr>
                <w:b/>
                <w:bCs/>
              </w:rPr>
              <w:t xml:space="preserve"> $</w:t>
            </w:r>
          </w:p>
        </w:tc>
        <w:tc>
          <w:tcPr>
            <w:tcW w:w="1220" w:type="dxa"/>
            <w:shd w:val="clear" w:color="auto" w:fill="auto"/>
            <w:noWrap/>
            <w:vAlign w:val="bottom"/>
            <w:hideMark/>
          </w:tcPr>
          <w:p w:rsidR="00C132C7" w:rsidRPr="0070291A" w:rsidRDefault="00C132C7" w:rsidP="0070291A">
            <w:pPr>
              <w:pStyle w:val="TableText"/>
              <w:jc w:val="right"/>
              <w:rPr>
                <w:b/>
                <w:bCs/>
              </w:rPr>
            </w:pPr>
            <w:r w:rsidRPr="0070291A">
              <w:rPr>
                <w:b/>
                <w:bCs/>
              </w:rPr>
              <w:t>2018</w:t>
            </w:r>
            <w:r w:rsidR="00BD0D16">
              <w:rPr>
                <w:b/>
                <w:bCs/>
              </w:rPr>
              <w:t xml:space="preserve"> $</w:t>
            </w:r>
          </w:p>
        </w:tc>
        <w:tc>
          <w:tcPr>
            <w:tcW w:w="1220" w:type="dxa"/>
            <w:shd w:val="clear" w:color="auto" w:fill="auto"/>
            <w:noWrap/>
            <w:vAlign w:val="bottom"/>
            <w:hideMark/>
          </w:tcPr>
          <w:p w:rsidR="00C132C7" w:rsidRPr="0070291A" w:rsidRDefault="00C132C7" w:rsidP="0070291A">
            <w:pPr>
              <w:pStyle w:val="TableText"/>
              <w:jc w:val="right"/>
              <w:rPr>
                <w:b/>
                <w:bCs/>
              </w:rPr>
            </w:pPr>
            <w:r w:rsidRPr="0070291A">
              <w:rPr>
                <w:b/>
                <w:bCs/>
              </w:rPr>
              <w:t>2019</w:t>
            </w:r>
            <w:r w:rsidR="00BD0D16">
              <w:rPr>
                <w:b/>
                <w:bCs/>
              </w:rPr>
              <w:t xml:space="preserve"> $</w:t>
            </w:r>
          </w:p>
        </w:tc>
      </w:tr>
      <w:tr w:rsidR="004B4974" w:rsidRPr="00C132C7" w:rsidTr="008A3211">
        <w:trPr>
          <w:trHeight w:val="300"/>
          <w:tblHeader/>
        </w:trPr>
        <w:tc>
          <w:tcPr>
            <w:tcW w:w="2446" w:type="dxa"/>
            <w:shd w:val="clear" w:color="auto" w:fill="auto"/>
            <w:noWrap/>
            <w:vAlign w:val="bottom"/>
          </w:tcPr>
          <w:p w:rsidR="004B4974" w:rsidRPr="00C132C7" w:rsidRDefault="004B4974" w:rsidP="0070291A">
            <w:pPr>
              <w:pStyle w:val="TableText"/>
              <w:rPr>
                <w:bCs/>
              </w:rPr>
            </w:pPr>
            <w:r w:rsidRPr="0070291A">
              <w:rPr>
                <w:b/>
                <w:bCs/>
              </w:rPr>
              <w:t>Base Case</w:t>
            </w:r>
          </w:p>
        </w:tc>
        <w:tc>
          <w:tcPr>
            <w:tcW w:w="1393" w:type="dxa"/>
            <w:shd w:val="clear" w:color="auto" w:fill="auto"/>
            <w:noWrap/>
            <w:vAlign w:val="bottom"/>
          </w:tcPr>
          <w:p w:rsidR="004B4974" w:rsidRDefault="004B4974" w:rsidP="00BD0D16">
            <w:pPr>
              <w:pStyle w:val="TableText"/>
              <w:jc w:val="right"/>
            </w:pPr>
            <w:r>
              <w:t>-</w:t>
            </w:r>
          </w:p>
        </w:tc>
        <w:tc>
          <w:tcPr>
            <w:tcW w:w="1198" w:type="dxa"/>
            <w:shd w:val="clear" w:color="auto" w:fill="auto"/>
            <w:noWrap/>
            <w:vAlign w:val="bottom"/>
          </w:tcPr>
          <w:p w:rsidR="004B4974" w:rsidRDefault="004B4974" w:rsidP="00BD0D16">
            <w:pPr>
              <w:pStyle w:val="TableText"/>
              <w:jc w:val="right"/>
            </w:pPr>
            <w:r>
              <w:t>-</w:t>
            </w:r>
          </w:p>
        </w:tc>
        <w:tc>
          <w:tcPr>
            <w:tcW w:w="1120" w:type="dxa"/>
            <w:shd w:val="clear" w:color="auto" w:fill="auto"/>
            <w:noWrap/>
            <w:vAlign w:val="bottom"/>
          </w:tcPr>
          <w:p w:rsidR="004B4974" w:rsidRDefault="004B4974" w:rsidP="00BD0D16">
            <w:pPr>
              <w:pStyle w:val="TableText"/>
              <w:jc w:val="right"/>
            </w:pPr>
            <w:r>
              <w:t>-</w:t>
            </w:r>
          </w:p>
        </w:tc>
        <w:tc>
          <w:tcPr>
            <w:tcW w:w="1220" w:type="dxa"/>
            <w:shd w:val="clear" w:color="auto" w:fill="auto"/>
            <w:noWrap/>
            <w:vAlign w:val="bottom"/>
          </w:tcPr>
          <w:p w:rsidR="004B4974" w:rsidRDefault="004B4974" w:rsidP="00BD0D16">
            <w:pPr>
              <w:pStyle w:val="TableText"/>
              <w:jc w:val="right"/>
            </w:pPr>
            <w:r>
              <w:t>-</w:t>
            </w:r>
          </w:p>
        </w:tc>
        <w:tc>
          <w:tcPr>
            <w:tcW w:w="1220" w:type="dxa"/>
            <w:shd w:val="clear" w:color="auto" w:fill="auto"/>
            <w:noWrap/>
            <w:vAlign w:val="bottom"/>
          </w:tcPr>
          <w:p w:rsidR="004B4974" w:rsidRDefault="004B4974" w:rsidP="00BD0D16">
            <w:pPr>
              <w:pStyle w:val="TableText"/>
              <w:jc w:val="right"/>
            </w:pPr>
            <w:r>
              <w:t>-</w:t>
            </w:r>
          </w:p>
        </w:tc>
      </w:tr>
      <w:tr w:rsidR="00BD0D16" w:rsidRPr="00C132C7" w:rsidTr="008A3211">
        <w:trPr>
          <w:trHeight w:val="300"/>
          <w:tblHeader/>
        </w:trPr>
        <w:tc>
          <w:tcPr>
            <w:tcW w:w="2446" w:type="dxa"/>
            <w:shd w:val="clear" w:color="auto" w:fill="auto"/>
            <w:noWrap/>
            <w:vAlign w:val="bottom"/>
            <w:hideMark/>
          </w:tcPr>
          <w:p w:rsidR="00BD0D16" w:rsidRPr="00C132C7" w:rsidRDefault="00BD0D16" w:rsidP="0070291A">
            <w:pPr>
              <w:pStyle w:val="TableText"/>
              <w:rPr>
                <w:bCs/>
              </w:rPr>
            </w:pPr>
            <w:r w:rsidRPr="00C132C7">
              <w:rPr>
                <w:bCs/>
              </w:rPr>
              <w:t>Total MBS Costs</w:t>
            </w:r>
          </w:p>
        </w:tc>
        <w:tc>
          <w:tcPr>
            <w:tcW w:w="1393" w:type="dxa"/>
            <w:shd w:val="clear" w:color="auto" w:fill="auto"/>
            <w:noWrap/>
            <w:vAlign w:val="bottom"/>
            <w:hideMark/>
          </w:tcPr>
          <w:p w:rsidR="00BD0D16" w:rsidRDefault="00BD0D16" w:rsidP="00BD0D16">
            <w:pPr>
              <w:pStyle w:val="TableText"/>
              <w:jc w:val="right"/>
            </w:pPr>
            <w:r>
              <w:t xml:space="preserve">865,074 </w:t>
            </w:r>
          </w:p>
        </w:tc>
        <w:tc>
          <w:tcPr>
            <w:tcW w:w="1198" w:type="dxa"/>
            <w:shd w:val="clear" w:color="auto" w:fill="auto"/>
            <w:noWrap/>
            <w:vAlign w:val="bottom"/>
            <w:hideMark/>
          </w:tcPr>
          <w:p w:rsidR="00BD0D16" w:rsidRDefault="00BD0D16" w:rsidP="00BD0D16">
            <w:pPr>
              <w:pStyle w:val="TableText"/>
              <w:jc w:val="right"/>
            </w:pPr>
            <w:r>
              <w:t xml:space="preserve">   1,749,927 </w:t>
            </w:r>
          </w:p>
        </w:tc>
        <w:tc>
          <w:tcPr>
            <w:tcW w:w="1120" w:type="dxa"/>
            <w:shd w:val="clear" w:color="auto" w:fill="auto"/>
            <w:noWrap/>
            <w:vAlign w:val="bottom"/>
            <w:hideMark/>
          </w:tcPr>
          <w:p w:rsidR="00BD0D16" w:rsidRDefault="00BD0D16" w:rsidP="00BD0D16">
            <w:pPr>
              <w:pStyle w:val="TableText"/>
              <w:jc w:val="right"/>
            </w:pPr>
            <w:r>
              <w:t xml:space="preserve">   2,654,694 </w:t>
            </w:r>
          </w:p>
        </w:tc>
        <w:tc>
          <w:tcPr>
            <w:tcW w:w="1220" w:type="dxa"/>
            <w:shd w:val="clear" w:color="auto" w:fill="auto"/>
            <w:noWrap/>
            <w:vAlign w:val="bottom"/>
            <w:hideMark/>
          </w:tcPr>
          <w:p w:rsidR="00BD0D16" w:rsidRDefault="00BD0D16" w:rsidP="00BD0D16">
            <w:pPr>
              <w:pStyle w:val="TableText"/>
              <w:jc w:val="right"/>
            </w:pPr>
            <w:r>
              <w:t xml:space="preserve">3,579,156 </w:t>
            </w:r>
          </w:p>
        </w:tc>
        <w:tc>
          <w:tcPr>
            <w:tcW w:w="1220" w:type="dxa"/>
            <w:shd w:val="clear" w:color="auto" w:fill="auto"/>
            <w:noWrap/>
            <w:vAlign w:val="bottom"/>
            <w:hideMark/>
          </w:tcPr>
          <w:p w:rsidR="00BD0D16" w:rsidRDefault="00BD0D16" w:rsidP="00BD0D16">
            <w:pPr>
              <w:pStyle w:val="TableText"/>
              <w:jc w:val="right"/>
            </w:pPr>
            <w:r>
              <w:t xml:space="preserve">4,523,487 </w:t>
            </w:r>
          </w:p>
        </w:tc>
      </w:tr>
      <w:tr w:rsidR="00BD0D16" w:rsidRPr="0070291A" w:rsidTr="008A3211">
        <w:trPr>
          <w:trHeight w:val="300"/>
          <w:tblHeader/>
        </w:trPr>
        <w:tc>
          <w:tcPr>
            <w:tcW w:w="2446" w:type="dxa"/>
            <w:shd w:val="clear" w:color="auto" w:fill="auto"/>
            <w:noWrap/>
            <w:vAlign w:val="bottom"/>
            <w:hideMark/>
          </w:tcPr>
          <w:p w:rsidR="00BD0D16" w:rsidRPr="0070291A" w:rsidRDefault="00BD0D16" w:rsidP="0070291A">
            <w:pPr>
              <w:pStyle w:val="TableText"/>
            </w:pPr>
            <w:r w:rsidRPr="0070291A">
              <w:t>Total PBS Costs</w:t>
            </w:r>
          </w:p>
        </w:tc>
        <w:tc>
          <w:tcPr>
            <w:tcW w:w="1393" w:type="dxa"/>
            <w:shd w:val="clear" w:color="auto" w:fill="auto"/>
            <w:noWrap/>
            <w:vAlign w:val="bottom"/>
            <w:hideMark/>
          </w:tcPr>
          <w:p w:rsidR="00BD0D16" w:rsidRDefault="00BD0D16" w:rsidP="00BD0D16">
            <w:pPr>
              <w:pStyle w:val="TableText"/>
              <w:jc w:val="right"/>
            </w:pPr>
            <w:r>
              <w:t xml:space="preserve">473,815 </w:t>
            </w:r>
          </w:p>
        </w:tc>
        <w:tc>
          <w:tcPr>
            <w:tcW w:w="1198" w:type="dxa"/>
            <w:shd w:val="clear" w:color="auto" w:fill="auto"/>
            <w:noWrap/>
            <w:vAlign w:val="bottom"/>
            <w:hideMark/>
          </w:tcPr>
          <w:p w:rsidR="00BD0D16" w:rsidRDefault="00BD0D16" w:rsidP="00BD0D16">
            <w:pPr>
              <w:pStyle w:val="TableText"/>
              <w:jc w:val="right"/>
            </w:pPr>
            <w:r>
              <w:t xml:space="preserve">910,560 </w:t>
            </w:r>
          </w:p>
        </w:tc>
        <w:tc>
          <w:tcPr>
            <w:tcW w:w="1120" w:type="dxa"/>
            <w:shd w:val="clear" w:color="auto" w:fill="auto"/>
            <w:noWrap/>
            <w:vAlign w:val="bottom"/>
            <w:hideMark/>
          </w:tcPr>
          <w:p w:rsidR="00BD0D16" w:rsidRDefault="00BD0D16" w:rsidP="00BD0D16">
            <w:pPr>
              <w:pStyle w:val="TableText"/>
              <w:jc w:val="right"/>
            </w:pPr>
            <w:r>
              <w:t xml:space="preserve">   1,308,605 </w:t>
            </w:r>
          </w:p>
        </w:tc>
        <w:tc>
          <w:tcPr>
            <w:tcW w:w="1220" w:type="dxa"/>
            <w:shd w:val="clear" w:color="auto" w:fill="auto"/>
            <w:noWrap/>
            <w:vAlign w:val="bottom"/>
            <w:hideMark/>
          </w:tcPr>
          <w:p w:rsidR="00BD0D16" w:rsidRDefault="00BD0D16" w:rsidP="00BD0D16">
            <w:pPr>
              <w:pStyle w:val="TableText"/>
              <w:jc w:val="right"/>
            </w:pPr>
            <w:r>
              <w:t xml:space="preserve">1,666,324 </w:t>
            </w:r>
          </w:p>
        </w:tc>
        <w:tc>
          <w:tcPr>
            <w:tcW w:w="1220" w:type="dxa"/>
            <w:shd w:val="clear" w:color="auto" w:fill="auto"/>
            <w:noWrap/>
            <w:vAlign w:val="bottom"/>
            <w:hideMark/>
          </w:tcPr>
          <w:p w:rsidR="00BD0D16" w:rsidRDefault="00BD0D16" w:rsidP="00BD0D16">
            <w:pPr>
              <w:pStyle w:val="TableText"/>
              <w:jc w:val="right"/>
            </w:pPr>
            <w:r>
              <w:t xml:space="preserve">1,982,089 </w:t>
            </w:r>
          </w:p>
        </w:tc>
      </w:tr>
      <w:tr w:rsidR="00BD0D16" w:rsidRPr="0070291A" w:rsidTr="008A3211">
        <w:trPr>
          <w:trHeight w:val="300"/>
          <w:tblHeader/>
        </w:trPr>
        <w:tc>
          <w:tcPr>
            <w:tcW w:w="2446" w:type="dxa"/>
            <w:shd w:val="clear" w:color="auto" w:fill="auto"/>
            <w:noWrap/>
            <w:vAlign w:val="bottom"/>
            <w:hideMark/>
          </w:tcPr>
          <w:p w:rsidR="00BD0D16" w:rsidRPr="0070291A" w:rsidRDefault="00BD0D16" w:rsidP="0070291A">
            <w:pPr>
              <w:pStyle w:val="TableText"/>
            </w:pPr>
            <w:r w:rsidRPr="0070291A">
              <w:t>Total OTHER cost savings</w:t>
            </w:r>
          </w:p>
        </w:tc>
        <w:tc>
          <w:tcPr>
            <w:tcW w:w="1393" w:type="dxa"/>
            <w:shd w:val="clear" w:color="auto" w:fill="auto"/>
            <w:noWrap/>
            <w:vAlign w:val="bottom"/>
            <w:hideMark/>
          </w:tcPr>
          <w:p w:rsidR="00BD0D16" w:rsidRDefault="00BD0D16" w:rsidP="00B2159B">
            <w:pPr>
              <w:pStyle w:val="TableText"/>
              <w:jc w:val="right"/>
            </w:pPr>
            <w:r>
              <w:t xml:space="preserve">-38,453 </w:t>
            </w:r>
          </w:p>
        </w:tc>
        <w:tc>
          <w:tcPr>
            <w:tcW w:w="1198" w:type="dxa"/>
            <w:shd w:val="clear" w:color="auto" w:fill="auto"/>
            <w:noWrap/>
            <w:vAlign w:val="bottom"/>
            <w:hideMark/>
          </w:tcPr>
          <w:p w:rsidR="00BD0D16" w:rsidRDefault="00BD0D16" w:rsidP="00B2159B">
            <w:pPr>
              <w:pStyle w:val="TableText"/>
              <w:jc w:val="right"/>
            </w:pPr>
            <w:r>
              <w:t xml:space="preserve">-77,787 </w:t>
            </w:r>
          </w:p>
        </w:tc>
        <w:tc>
          <w:tcPr>
            <w:tcW w:w="1120" w:type="dxa"/>
            <w:shd w:val="clear" w:color="auto" w:fill="auto"/>
            <w:noWrap/>
            <w:vAlign w:val="bottom"/>
            <w:hideMark/>
          </w:tcPr>
          <w:p w:rsidR="00BD0D16" w:rsidRDefault="00BD0D16" w:rsidP="00B2159B">
            <w:pPr>
              <w:pStyle w:val="TableText"/>
              <w:jc w:val="right"/>
            </w:pPr>
            <w:r>
              <w:t xml:space="preserve">-118,002 </w:t>
            </w:r>
          </w:p>
        </w:tc>
        <w:tc>
          <w:tcPr>
            <w:tcW w:w="1220" w:type="dxa"/>
            <w:shd w:val="clear" w:color="auto" w:fill="auto"/>
            <w:noWrap/>
            <w:vAlign w:val="bottom"/>
            <w:hideMark/>
          </w:tcPr>
          <w:p w:rsidR="00BD0D16" w:rsidRDefault="00BD0D16" w:rsidP="00B2159B">
            <w:pPr>
              <w:pStyle w:val="TableText"/>
              <w:jc w:val="right"/>
            </w:pPr>
            <w:r>
              <w:t xml:space="preserve">-159,098 </w:t>
            </w:r>
          </w:p>
        </w:tc>
        <w:tc>
          <w:tcPr>
            <w:tcW w:w="1220" w:type="dxa"/>
            <w:shd w:val="clear" w:color="auto" w:fill="auto"/>
            <w:noWrap/>
            <w:vAlign w:val="bottom"/>
            <w:hideMark/>
          </w:tcPr>
          <w:p w:rsidR="00BD0D16" w:rsidRDefault="00BD0D16" w:rsidP="00B2159B">
            <w:pPr>
              <w:pStyle w:val="TableText"/>
              <w:jc w:val="right"/>
            </w:pPr>
            <w:r>
              <w:t xml:space="preserve">-201,074 </w:t>
            </w:r>
          </w:p>
        </w:tc>
      </w:tr>
      <w:tr w:rsidR="00BD0D16" w:rsidRPr="0070291A" w:rsidTr="008A3211">
        <w:trPr>
          <w:trHeight w:val="300"/>
          <w:tblHeader/>
        </w:trPr>
        <w:tc>
          <w:tcPr>
            <w:tcW w:w="2446" w:type="dxa"/>
            <w:shd w:val="clear" w:color="auto" w:fill="auto"/>
            <w:noWrap/>
            <w:vAlign w:val="bottom"/>
            <w:hideMark/>
          </w:tcPr>
          <w:p w:rsidR="00BD0D16" w:rsidRPr="0070291A" w:rsidRDefault="00BD0D16" w:rsidP="004D5309">
            <w:pPr>
              <w:pStyle w:val="TableText"/>
            </w:pPr>
            <w:r w:rsidRPr="0070291A">
              <w:t>Total Costs</w:t>
            </w:r>
          </w:p>
        </w:tc>
        <w:tc>
          <w:tcPr>
            <w:tcW w:w="1393" w:type="dxa"/>
            <w:shd w:val="clear" w:color="auto" w:fill="auto"/>
            <w:noWrap/>
            <w:vAlign w:val="bottom"/>
            <w:hideMark/>
          </w:tcPr>
          <w:p w:rsidR="00BD0D16" w:rsidRDefault="00BD0D16" w:rsidP="00BD0D16">
            <w:pPr>
              <w:pStyle w:val="TableText"/>
              <w:jc w:val="right"/>
            </w:pPr>
            <w:r>
              <w:t xml:space="preserve">1,300,436 </w:t>
            </w:r>
          </w:p>
        </w:tc>
        <w:tc>
          <w:tcPr>
            <w:tcW w:w="1198" w:type="dxa"/>
            <w:shd w:val="clear" w:color="auto" w:fill="auto"/>
            <w:noWrap/>
            <w:vAlign w:val="bottom"/>
            <w:hideMark/>
          </w:tcPr>
          <w:p w:rsidR="00BD0D16" w:rsidRDefault="00BD0D16" w:rsidP="00BD0D16">
            <w:pPr>
              <w:pStyle w:val="TableText"/>
              <w:jc w:val="right"/>
            </w:pPr>
            <w:r>
              <w:t xml:space="preserve">   2,582,699 </w:t>
            </w:r>
          </w:p>
        </w:tc>
        <w:tc>
          <w:tcPr>
            <w:tcW w:w="1120" w:type="dxa"/>
            <w:shd w:val="clear" w:color="auto" w:fill="auto"/>
            <w:noWrap/>
            <w:vAlign w:val="bottom"/>
            <w:hideMark/>
          </w:tcPr>
          <w:p w:rsidR="00BD0D16" w:rsidRDefault="00BD0D16" w:rsidP="00BD0D16">
            <w:pPr>
              <w:pStyle w:val="TableText"/>
              <w:jc w:val="right"/>
            </w:pPr>
            <w:r>
              <w:t xml:space="preserve">   3,845,297 </w:t>
            </w:r>
          </w:p>
        </w:tc>
        <w:tc>
          <w:tcPr>
            <w:tcW w:w="1220" w:type="dxa"/>
            <w:shd w:val="clear" w:color="auto" w:fill="auto"/>
            <w:noWrap/>
            <w:vAlign w:val="bottom"/>
            <w:hideMark/>
          </w:tcPr>
          <w:p w:rsidR="00BD0D16" w:rsidRDefault="00BD0D16" w:rsidP="00BD0D16">
            <w:pPr>
              <w:pStyle w:val="TableText"/>
              <w:jc w:val="right"/>
            </w:pPr>
            <w:r>
              <w:t xml:space="preserve">5,086,383 </w:t>
            </w:r>
          </w:p>
        </w:tc>
        <w:tc>
          <w:tcPr>
            <w:tcW w:w="1220" w:type="dxa"/>
            <w:shd w:val="clear" w:color="auto" w:fill="auto"/>
            <w:noWrap/>
            <w:vAlign w:val="bottom"/>
            <w:hideMark/>
          </w:tcPr>
          <w:p w:rsidR="00BD0D16" w:rsidRDefault="00BD0D16" w:rsidP="00BD0D16">
            <w:pPr>
              <w:pStyle w:val="TableText"/>
              <w:jc w:val="right"/>
            </w:pPr>
            <w:r>
              <w:t xml:space="preserve">6,304,502 </w:t>
            </w:r>
          </w:p>
        </w:tc>
      </w:tr>
      <w:tr w:rsidR="004B4974" w:rsidRPr="00C132C7" w:rsidTr="008A3211">
        <w:trPr>
          <w:trHeight w:val="300"/>
          <w:tblHeader/>
        </w:trPr>
        <w:tc>
          <w:tcPr>
            <w:tcW w:w="2446" w:type="dxa"/>
            <w:shd w:val="clear" w:color="auto" w:fill="auto"/>
            <w:noWrap/>
            <w:vAlign w:val="bottom"/>
          </w:tcPr>
          <w:p w:rsidR="004B4974" w:rsidRPr="00C132C7" w:rsidRDefault="004B4974" w:rsidP="00EF28F2">
            <w:pPr>
              <w:pStyle w:val="TableText"/>
              <w:rPr>
                <w:bCs/>
              </w:rPr>
            </w:pPr>
            <w:r w:rsidRPr="00C132C7">
              <w:rPr>
                <w:b/>
              </w:rPr>
              <w:t>95% with early stage breast cancer take AIs</w:t>
            </w:r>
          </w:p>
        </w:tc>
        <w:tc>
          <w:tcPr>
            <w:tcW w:w="1393" w:type="dxa"/>
            <w:shd w:val="clear" w:color="auto" w:fill="auto"/>
            <w:noWrap/>
            <w:vAlign w:val="bottom"/>
          </w:tcPr>
          <w:p w:rsidR="004B4974" w:rsidRDefault="004B4974" w:rsidP="005F2476">
            <w:pPr>
              <w:pStyle w:val="TableText"/>
              <w:jc w:val="right"/>
            </w:pPr>
            <w:r>
              <w:t>-</w:t>
            </w:r>
          </w:p>
        </w:tc>
        <w:tc>
          <w:tcPr>
            <w:tcW w:w="1198" w:type="dxa"/>
            <w:shd w:val="clear" w:color="auto" w:fill="auto"/>
            <w:noWrap/>
            <w:vAlign w:val="bottom"/>
          </w:tcPr>
          <w:p w:rsidR="004B4974" w:rsidRDefault="004B4974" w:rsidP="005F2476">
            <w:pPr>
              <w:pStyle w:val="TableText"/>
              <w:jc w:val="right"/>
            </w:pPr>
            <w:r>
              <w:t>-</w:t>
            </w:r>
          </w:p>
        </w:tc>
        <w:tc>
          <w:tcPr>
            <w:tcW w:w="1120" w:type="dxa"/>
            <w:shd w:val="clear" w:color="auto" w:fill="auto"/>
            <w:noWrap/>
            <w:vAlign w:val="bottom"/>
          </w:tcPr>
          <w:p w:rsidR="004B4974" w:rsidRDefault="004B4974" w:rsidP="005F2476">
            <w:pPr>
              <w:pStyle w:val="TableText"/>
              <w:jc w:val="right"/>
            </w:pPr>
            <w:r>
              <w:t>-</w:t>
            </w:r>
          </w:p>
        </w:tc>
        <w:tc>
          <w:tcPr>
            <w:tcW w:w="1220" w:type="dxa"/>
            <w:shd w:val="clear" w:color="auto" w:fill="auto"/>
            <w:noWrap/>
            <w:vAlign w:val="bottom"/>
          </w:tcPr>
          <w:p w:rsidR="004B4974" w:rsidRDefault="004B4974" w:rsidP="005F2476">
            <w:pPr>
              <w:pStyle w:val="TableText"/>
              <w:jc w:val="right"/>
            </w:pPr>
            <w:r>
              <w:t>-</w:t>
            </w:r>
          </w:p>
        </w:tc>
        <w:tc>
          <w:tcPr>
            <w:tcW w:w="1220" w:type="dxa"/>
            <w:shd w:val="clear" w:color="auto" w:fill="auto"/>
            <w:noWrap/>
            <w:vAlign w:val="bottom"/>
          </w:tcPr>
          <w:p w:rsidR="004B4974" w:rsidRDefault="004B4974" w:rsidP="005F2476">
            <w:pPr>
              <w:pStyle w:val="TableText"/>
              <w:jc w:val="right"/>
            </w:pPr>
            <w:r>
              <w:t>-</w:t>
            </w:r>
          </w:p>
        </w:tc>
      </w:tr>
      <w:tr w:rsidR="005F2476" w:rsidRPr="00C132C7" w:rsidTr="008A3211">
        <w:trPr>
          <w:trHeight w:val="300"/>
          <w:tblHeader/>
        </w:trPr>
        <w:tc>
          <w:tcPr>
            <w:tcW w:w="2446" w:type="dxa"/>
            <w:shd w:val="clear" w:color="auto" w:fill="auto"/>
            <w:noWrap/>
            <w:vAlign w:val="bottom"/>
            <w:hideMark/>
          </w:tcPr>
          <w:p w:rsidR="005F2476" w:rsidRPr="00C132C7" w:rsidRDefault="005F2476" w:rsidP="00EF28F2">
            <w:pPr>
              <w:pStyle w:val="TableText"/>
              <w:rPr>
                <w:bCs/>
              </w:rPr>
            </w:pPr>
            <w:r w:rsidRPr="00C132C7">
              <w:rPr>
                <w:bCs/>
              </w:rPr>
              <w:t>Total MBS Costs</w:t>
            </w:r>
          </w:p>
        </w:tc>
        <w:tc>
          <w:tcPr>
            <w:tcW w:w="1393" w:type="dxa"/>
            <w:shd w:val="clear" w:color="auto" w:fill="auto"/>
            <w:noWrap/>
            <w:vAlign w:val="bottom"/>
            <w:hideMark/>
          </w:tcPr>
          <w:p w:rsidR="005F2476" w:rsidRDefault="005F2476" w:rsidP="005F2476">
            <w:pPr>
              <w:pStyle w:val="TableText"/>
              <w:jc w:val="right"/>
            </w:pPr>
            <w:r>
              <w:t xml:space="preserve">925,665 </w:t>
            </w:r>
          </w:p>
        </w:tc>
        <w:tc>
          <w:tcPr>
            <w:tcW w:w="1198" w:type="dxa"/>
            <w:shd w:val="clear" w:color="auto" w:fill="auto"/>
            <w:noWrap/>
            <w:vAlign w:val="bottom"/>
            <w:hideMark/>
          </w:tcPr>
          <w:p w:rsidR="005F2476" w:rsidRDefault="005F2476" w:rsidP="005F2476">
            <w:pPr>
              <w:pStyle w:val="TableText"/>
              <w:jc w:val="right"/>
            </w:pPr>
            <w:r>
              <w:t xml:space="preserve">   1,872,497 </w:t>
            </w:r>
          </w:p>
        </w:tc>
        <w:tc>
          <w:tcPr>
            <w:tcW w:w="1120" w:type="dxa"/>
            <w:shd w:val="clear" w:color="auto" w:fill="auto"/>
            <w:noWrap/>
            <w:vAlign w:val="bottom"/>
            <w:hideMark/>
          </w:tcPr>
          <w:p w:rsidR="005F2476" w:rsidRDefault="005F2476" w:rsidP="005F2476">
            <w:pPr>
              <w:pStyle w:val="TableText"/>
              <w:jc w:val="right"/>
            </w:pPr>
            <w:r>
              <w:t xml:space="preserve">   2,840,632 </w:t>
            </w:r>
          </w:p>
        </w:tc>
        <w:tc>
          <w:tcPr>
            <w:tcW w:w="1220" w:type="dxa"/>
            <w:shd w:val="clear" w:color="auto" w:fill="auto"/>
            <w:noWrap/>
            <w:vAlign w:val="bottom"/>
            <w:hideMark/>
          </w:tcPr>
          <w:p w:rsidR="005F2476" w:rsidRDefault="005F2476" w:rsidP="005F2476">
            <w:pPr>
              <w:pStyle w:val="TableText"/>
              <w:jc w:val="right"/>
            </w:pPr>
            <w:r>
              <w:t xml:space="preserve">3,829,849 </w:t>
            </w:r>
          </w:p>
        </w:tc>
        <w:tc>
          <w:tcPr>
            <w:tcW w:w="1220" w:type="dxa"/>
            <w:shd w:val="clear" w:color="auto" w:fill="auto"/>
            <w:noWrap/>
            <w:vAlign w:val="bottom"/>
            <w:hideMark/>
          </w:tcPr>
          <w:p w:rsidR="005F2476" w:rsidRDefault="005F2476" w:rsidP="005F2476">
            <w:pPr>
              <w:pStyle w:val="TableText"/>
              <w:jc w:val="right"/>
            </w:pPr>
            <w:r>
              <w:t xml:space="preserve">4,840,323 </w:t>
            </w:r>
          </w:p>
        </w:tc>
      </w:tr>
      <w:tr w:rsidR="005F2476" w:rsidRPr="0070291A" w:rsidTr="008A3211">
        <w:trPr>
          <w:trHeight w:val="300"/>
          <w:tblHeader/>
        </w:trPr>
        <w:tc>
          <w:tcPr>
            <w:tcW w:w="2446" w:type="dxa"/>
            <w:shd w:val="clear" w:color="auto" w:fill="auto"/>
            <w:noWrap/>
            <w:vAlign w:val="bottom"/>
            <w:hideMark/>
          </w:tcPr>
          <w:p w:rsidR="005F2476" w:rsidRPr="0070291A" w:rsidRDefault="005F2476" w:rsidP="00EF28F2">
            <w:pPr>
              <w:pStyle w:val="TableText"/>
            </w:pPr>
            <w:r w:rsidRPr="0070291A">
              <w:t>Total PBS Costs</w:t>
            </w:r>
          </w:p>
        </w:tc>
        <w:tc>
          <w:tcPr>
            <w:tcW w:w="1393" w:type="dxa"/>
            <w:shd w:val="clear" w:color="auto" w:fill="auto"/>
            <w:noWrap/>
            <w:vAlign w:val="bottom"/>
            <w:hideMark/>
          </w:tcPr>
          <w:p w:rsidR="005F2476" w:rsidRDefault="005F2476" w:rsidP="005F2476">
            <w:pPr>
              <w:pStyle w:val="TableText"/>
              <w:jc w:val="right"/>
            </w:pPr>
            <w:r>
              <w:t xml:space="preserve">555,709 </w:t>
            </w:r>
          </w:p>
        </w:tc>
        <w:tc>
          <w:tcPr>
            <w:tcW w:w="1198" w:type="dxa"/>
            <w:shd w:val="clear" w:color="auto" w:fill="auto"/>
            <w:noWrap/>
            <w:vAlign w:val="bottom"/>
            <w:hideMark/>
          </w:tcPr>
          <w:p w:rsidR="005F2476" w:rsidRDefault="005F2476" w:rsidP="005F2476">
            <w:pPr>
              <w:pStyle w:val="TableText"/>
              <w:jc w:val="right"/>
            </w:pPr>
            <w:r>
              <w:t xml:space="preserve">   1,067,940 </w:t>
            </w:r>
          </w:p>
        </w:tc>
        <w:tc>
          <w:tcPr>
            <w:tcW w:w="1120" w:type="dxa"/>
            <w:shd w:val="clear" w:color="auto" w:fill="auto"/>
            <w:noWrap/>
            <w:vAlign w:val="bottom"/>
            <w:hideMark/>
          </w:tcPr>
          <w:p w:rsidR="005F2476" w:rsidRDefault="005F2476" w:rsidP="005F2476">
            <w:pPr>
              <w:pStyle w:val="TableText"/>
              <w:jc w:val="right"/>
            </w:pPr>
            <w:r>
              <w:t xml:space="preserve">   1,534,784 </w:t>
            </w:r>
          </w:p>
        </w:tc>
        <w:tc>
          <w:tcPr>
            <w:tcW w:w="1220" w:type="dxa"/>
            <w:shd w:val="clear" w:color="auto" w:fill="auto"/>
            <w:noWrap/>
            <w:vAlign w:val="bottom"/>
            <w:hideMark/>
          </w:tcPr>
          <w:p w:rsidR="005F2476" w:rsidRDefault="005F2476" w:rsidP="005F2476">
            <w:pPr>
              <w:pStyle w:val="TableText"/>
              <w:jc w:val="right"/>
            </w:pPr>
            <w:r>
              <w:t xml:space="preserve">1,954,331 </w:t>
            </w:r>
          </w:p>
        </w:tc>
        <w:tc>
          <w:tcPr>
            <w:tcW w:w="1220" w:type="dxa"/>
            <w:shd w:val="clear" w:color="auto" w:fill="auto"/>
            <w:noWrap/>
            <w:vAlign w:val="bottom"/>
            <w:hideMark/>
          </w:tcPr>
          <w:p w:rsidR="005F2476" w:rsidRDefault="005F2476" w:rsidP="005F2476">
            <w:pPr>
              <w:pStyle w:val="TableText"/>
              <w:jc w:val="right"/>
            </w:pPr>
            <w:r>
              <w:t xml:space="preserve">2,324,672 </w:t>
            </w:r>
          </w:p>
        </w:tc>
      </w:tr>
      <w:tr w:rsidR="005F2476" w:rsidRPr="0070291A" w:rsidTr="008A3211">
        <w:trPr>
          <w:trHeight w:val="300"/>
          <w:tblHeader/>
        </w:trPr>
        <w:tc>
          <w:tcPr>
            <w:tcW w:w="2446" w:type="dxa"/>
            <w:shd w:val="clear" w:color="auto" w:fill="auto"/>
            <w:noWrap/>
            <w:vAlign w:val="bottom"/>
            <w:hideMark/>
          </w:tcPr>
          <w:p w:rsidR="005F2476" w:rsidRPr="0070291A" w:rsidRDefault="005F2476" w:rsidP="00EF28F2">
            <w:pPr>
              <w:pStyle w:val="TableText"/>
            </w:pPr>
            <w:r w:rsidRPr="0070291A">
              <w:t>Total OTHER cost savings</w:t>
            </w:r>
          </w:p>
        </w:tc>
        <w:tc>
          <w:tcPr>
            <w:tcW w:w="1393" w:type="dxa"/>
            <w:shd w:val="clear" w:color="auto" w:fill="auto"/>
            <w:noWrap/>
            <w:vAlign w:val="bottom"/>
            <w:hideMark/>
          </w:tcPr>
          <w:p w:rsidR="005F2476" w:rsidRDefault="005F2476" w:rsidP="00B2159B">
            <w:pPr>
              <w:pStyle w:val="TableText"/>
              <w:jc w:val="right"/>
            </w:pPr>
            <w:r>
              <w:t xml:space="preserve">-45,099 </w:t>
            </w:r>
          </w:p>
        </w:tc>
        <w:tc>
          <w:tcPr>
            <w:tcW w:w="1198" w:type="dxa"/>
            <w:shd w:val="clear" w:color="auto" w:fill="auto"/>
            <w:noWrap/>
            <w:vAlign w:val="bottom"/>
            <w:hideMark/>
          </w:tcPr>
          <w:p w:rsidR="005F2476" w:rsidRDefault="005F2476" w:rsidP="00B2159B">
            <w:pPr>
              <w:pStyle w:val="TableText"/>
              <w:jc w:val="right"/>
            </w:pPr>
            <w:r>
              <w:t xml:space="preserve">-91,232 </w:t>
            </w:r>
          </w:p>
        </w:tc>
        <w:tc>
          <w:tcPr>
            <w:tcW w:w="1120" w:type="dxa"/>
            <w:shd w:val="clear" w:color="auto" w:fill="auto"/>
            <w:noWrap/>
            <w:vAlign w:val="bottom"/>
            <w:hideMark/>
          </w:tcPr>
          <w:p w:rsidR="005F2476" w:rsidRDefault="005F2476" w:rsidP="00B2159B">
            <w:pPr>
              <w:pStyle w:val="TableText"/>
              <w:jc w:val="right"/>
            </w:pPr>
            <w:r>
              <w:t xml:space="preserve">-138,397 </w:t>
            </w:r>
          </w:p>
        </w:tc>
        <w:tc>
          <w:tcPr>
            <w:tcW w:w="1220" w:type="dxa"/>
            <w:shd w:val="clear" w:color="auto" w:fill="auto"/>
            <w:noWrap/>
            <w:vAlign w:val="bottom"/>
            <w:hideMark/>
          </w:tcPr>
          <w:p w:rsidR="005F2476" w:rsidRDefault="005F2476" w:rsidP="00B2159B">
            <w:pPr>
              <w:pStyle w:val="TableText"/>
              <w:jc w:val="right"/>
            </w:pPr>
            <w:r>
              <w:t xml:space="preserve">-186,596 </w:t>
            </w:r>
          </w:p>
        </w:tc>
        <w:tc>
          <w:tcPr>
            <w:tcW w:w="1220" w:type="dxa"/>
            <w:shd w:val="clear" w:color="auto" w:fill="auto"/>
            <w:noWrap/>
            <w:vAlign w:val="bottom"/>
            <w:hideMark/>
          </w:tcPr>
          <w:p w:rsidR="005F2476" w:rsidRDefault="005F2476" w:rsidP="00B2159B">
            <w:pPr>
              <w:pStyle w:val="TableText"/>
              <w:jc w:val="right"/>
            </w:pPr>
            <w:r>
              <w:t xml:space="preserve">-235,828 </w:t>
            </w:r>
          </w:p>
        </w:tc>
      </w:tr>
      <w:tr w:rsidR="005F2476" w:rsidRPr="0070291A" w:rsidTr="008A3211">
        <w:trPr>
          <w:trHeight w:val="300"/>
          <w:tblHeader/>
        </w:trPr>
        <w:tc>
          <w:tcPr>
            <w:tcW w:w="2446" w:type="dxa"/>
            <w:shd w:val="clear" w:color="auto" w:fill="auto"/>
            <w:noWrap/>
            <w:vAlign w:val="bottom"/>
            <w:hideMark/>
          </w:tcPr>
          <w:p w:rsidR="005F2476" w:rsidRPr="0070291A" w:rsidRDefault="005F2476" w:rsidP="00EF28F2">
            <w:pPr>
              <w:pStyle w:val="TableText"/>
            </w:pPr>
            <w:r w:rsidRPr="0070291A">
              <w:t>Total Costs</w:t>
            </w:r>
          </w:p>
        </w:tc>
        <w:tc>
          <w:tcPr>
            <w:tcW w:w="1393" w:type="dxa"/>
            <w:shd w:val="clear" w:color="auto" w:fill="auto"/>
            <w:noWrap/>
            <w:vAlign w:val="bottom"/>
            <w:hideMark/>
          </w:tcPr>
          <w:p w:rsidR="005F2476" w:rsidRPr="005F2476" w:rsidRDefault="005F2476" w:rsidP="005F2476">
            <w:pPr>
              <w:pStyle w:val="TableText"/>
              <w:jc w:val="right"/>
            </w:pPr>
            <w:r w:rsidRPr="005F2476">
              <w:t xml:space="preserve">1,436,275 </w:t>
            </w:r>
          </w:p>
        </w:tc>
        <w:tc>
          <w:tcPr>
            <w:tcW w:w="1198" w:type="dxa"/>
            <w:shd w:val="clear" w:color="auto" w:fill="auto"/>
            <w:noWrap/>
            <w:vAlign w:val="bottom"/>
            <w:hideMark/>
          </w:tcPr>
          <w:p w:rsidR="005F2476" w:rsidRPr="005F2476" w:rsidRDefault="005F2476" w:rsidP="005F2476">
            <w:pPr>
              <w:pStyle w:val="TableText"/>
              <w:jc w:val="right"/>
            </w:pPr>
            <w:r w:rsidRPr="005F2476">
              <w:t xml:space="preserve">   2,849,206 </w:t>
            </w:r>
          </w:p>
        </w:tc>
        <w:tc>
          <w:tcPr>
            <w:tcW w:w="1120" w:type="dxa"/>
            <w:shd w:val="clear" w:color="auto" w:fill="auto"/>
            <w:noWrap/>
            <w:vAlign w:val="bottom"/>
            <w:hideMark/>
          </w:tcPr>
          <w:p w:rsidR="005F2476" w:rsidRPr="005F2476" w:rsidRDefault="005F2476" w:rsidP="005F2476">
            <w:pPr>
              <w:pStyle w:val="TableText"/>
              <w:jc w:val="right"/>
            </w:pPr>
            <w:r w:rsidRPr="005F2476">
              <w:t xml:space="preserve">   4,237,018 </w:t>
            </w:r>
          </w:p>
        </w:tc>
        <w:tc>
          <w:tcPr>
            <w:tcW w:w="1220" w:type="dxa"/>
            <w:shd w:val="clear" w:color="auto" w:fill="auto"/>
            <w:noWrap/>
            <w:vAlign w:val="bottom"/>
            <w:hideMark/>
          </w:tcPr>
          <w:p w:rsidR="005F2476" w:rsidRPr="005F2476" w:rsidRDefault="005F2476" w:rsidP="005F2476">
            <w:pPr>
              <w:pStyle w:val="TableText"/>
              <w:jc w:val="right"/>
            </w:pPr>
            <w:r w:rsidRPr="005F2476">
              <w:t xml:space="preserve">5,597,584 </w:t>
            </w:r>
          </w:p>
        </w:tc>
        <w:tc>
          <w:tcPr>
            <w:tcW w:w="1220" w:type="dxa"/>
            <w:shd w:val="clear" w:color="auto" w:fill="auto"/>
            <w:noWrap/>
            <w:vAlign w:val="bottom"/>
            <w:hideMark/>
          </w:tcPr>
          <w:p w:rsidR="005F2476" w:rsidRPr="005F2476" w:rsidRDefault="005F2476" w:rsidP="005F2476">
            <w:pPr>
              <w:pStyle w:val="TableText"/>
              <w:jc w:val="right"/>
            </w:pPr>
            <w:r w:rsidRPr="005F2476">
              <w:t xml:space="preserve">6,929,167 </w:t>
            </w:r>
          </w:p>
        </w:tc>
      </w:tr>
      <w:tr w:rsidR="004B4974" w:rsidRPr="00C132C7" w:rsidTr="008A3211">
        <w:trPr>
          <w:trHeight w:val="300"/>
          <w:tblHeader/>
        </w:trPr>
        <w:tc>
          <w:tcPr>
            <w:tcW w:w="2446" w:type="dxa"/>
            <w:shd w:val="clear" w:color="auto" w:fill="auto"/>
            <w:noWrap/>
            <w:vAlign w:val="bottom"/>
          </w:tcPr>
          <w:p w:rsidR="004B4974" w:rsidRPr="00C132C7" w:rsidRDefault="004B4974" w:rsidP="0070291A">
            <w:pPr>
              <w:pStyle w:val="TableText"/>
              <w:rPr>
                <w:bCs/>
              </w:rPr>
            </w:pPr>
            <w:r w:rsidRPr="00C132C7">
              <w:rPr>
                <w:b/>
              </w:rPr>
              <w:t>DXA every 2 years</w:t>
            </w:r>
          </w:p>
        </w:tc>
        <w:tc>
          <w:tcPr>
            <w:tcW w:w="1393" w:type="dxa"/>
            <w:shd w:val="clear" w:color="auto" w:fill="auto"/>
            <w:noWrap/>
            <w:vAlign w:val="bottom"/>
          </w:tcPr>
          <w:p w:rsidR="004B4974" w:rsidRDefault="004B4974" w:rsidP="005F2476">
            <w:pPr>
              <w:pStyle w:val="TableText"/>
              <w:jc w:val="right"/>
            </w:pPr>
            <w:r>
              <w:t>-</w:t>
            </w:r>
          </w:p>
        </w:tc>
        <w:tc>
          <w:tcPr>
            <w:tcW w:w="1198" w:type="dxa"/>
            <w:shd w:val="clear" w:color="auto" w:fill="auto"/>
            <w:noWrap/>
            <w:vAlign w:val="bottom"/>
          </w:tcPr>
          <w:p w:rsidR="004B4974" w:rsidRDefault="004B4974" w:rsidP="005F2476">
            <w:pPr>
              <w:pStyle w:val="TableText"/>
              <w:jc w:val="right"/>
            </w:pPr>
            <w:r>
              <w:t>-</w:t>
            </w:r>
          </w:p>
        </w:tc>
        <w:tc>
          <w:tcPr>
            <w:tcW w:w="1120" w:type="dxa"/>
            <w:shd w:val="clear" w:color="auto" w:fill="auto"/>
            <w:noWrap/>
            <w:vAlign w:val="bottom"/>
          </w:tcPr>
          <w:p w:rsidR="004B4974" w:rsidRDefault="004B4974" w:rsidP="005F2476">
            <w:pPr>
              <w:pStyle w:val="TableText"/>
              <w:jc w:val="right"/>
            </w:pPr>
            <w:r>
              <w:t>-</w:t>
            </w:r>
          </w:p>
        </w:tc>
        <w:tc>
          <w:tcPr>
            <w:tcW w:w="1220" w:type="dxa"/>
            <w:shd w:val="clear" w:color="auto" w:fill="auto"/>
            <w:noWrap/>
            <w:vAlign w:val="bottom"/>
          </w:tcPr>
          <w:p w:rsidR="004B4974" w:rsidRDefault="004B4974" w:rsidP="005F2476">
            <w:pPr>
              <w:pStyle w:val="TableText"/>
              <w:jc w:val="right"/>
            </w:pPr>
            <w:r>
              <w:t>-</w:t>
            </w:r>
          </w:p>
        </w:tc>
        <w:tc>
          <w:tcPr>
            <w:tcW w:w="1220" w:type="dxa"/>
            <w:shd w:val="clear" w:color="auto" w:fill="auto"/>
            <w:noWrap/>
            <w:vAlign w:val="bottom"/>
          </w:tcPr>
          <w:p w:rsidR="004B4974" w:rsidRDefault="004B4974" w:rsidP="005F2476">
            <w:pPr>
              <w:pStyle w:val="TableText"/>
              <w:jc w:val="right"/>
            </w:pPr>
            <w:r>
              <w:t>-</w:t>
            </w:r>
          </w:p>
        </w:tc>
      </w:tr>
      <w:tr w:rsidR="005F2476" w:rsidRPr="00C132C7" w:rsidTr="008A3211">
        <w:trPr>
          <w:trHeight w:val="300"/>
          <w:tblHeader/>
        </w:trPr>
        <w:tc>
          <w:tcPr>
            <w:tcW w:w="2446" w:type="dxa"/>
            <w:shd w:val="clear" w:color="auto" w:fill="auto"/>
            <w:noWrap/>
            <w:vAlign w:val="bottom"/>
            <w:hideMark/>
          </w:tcPr>
          <w:p w:rsidR="005F2476" w:rsidRPr="00C132C7" w:rsidRDefault="005F2476" w:rsidP="0070291A">
            <w:pPr>
              <w:pStyle w:val="TableText"/>
              <w:rPr>
                <w:bCs/>
              </w:rPr>
            </w:pPr>
            <w:r w:rsidRPr="00C132C7">
              <w:rPr>
                <w:bCs/>
              </w:rPr>
              <w:t>Total MBS Costs</w:t>
            </w:r>
          </w:p>
        </w:tc>
        <w:tc>
          <w:tcPr>
            <w:tcW w:w="1393" w:type="dxa"/>
            <w:shd w:val="clear" w:color="auto" w:fill="auto"/>
            <w:noWrap/>
            <w:vAlign w:val="bottom"/>
            <w:hideMark/>
          </w:tcPr>
          <w:p w:rsidR="005F2476" w:rsidRDefault="005F2476" w:rsidP="005F2476">
            <w:pPr>
              <w:pStyle w:val="TableText"/>
              <w:jc w:val="right"/>
            </w:pPr>
            <w:r>
              <w:t xml:space="preserve">865,074 </w:t>
            </w:r>
          </w:p>
        </w:tc>
        <w:tc>
          <w:tcPr>
            <w:tcW w:w="1198" w:type="dxa"/>
            <w:shd w:val="clear" w:color="auto" w:fill="auto"/>
            <w:noWrap/>
            <w:vAlign w:val="bottom"/>
            <w:hideMark/>
          </w:tcPr>
          <w:p w:rsidR="005F2476" w:rsidRDefault="005F2476" w:rsidP="005F2476">
            <w:pPr>
              <w:pStyle w:val="TableText"/>
              <w:jc w:val="right"/>
            </w:pPr>
            <w:r>
              <w:t xml:space="preserve">   1,235,462 </w:t>
            </w:r>
          </w:p>
        </w:tc>
        <w:tc>
          <w:tcPr>
            <w:tcW w:w="1120" w:type="dxa"/>
            <w:shd w:val="clear" w:color="auto" w:fill="auto"/>
            <w:noWrap/>
            <w:vAlign w:val="bottom"/>
            <w:hideMark/>
          </w:tcPr>
          <w:p w:rsidR="005F2476" w:rsidRDefault="005F2476" w:rsidP="005F2476">
            <w:pPr>
              <w:pStyle w:val="TableText"/>
              <w:jc w:val="right"/>
            </w:pPr>
            <w:r>
              <w:t xml:space="preserve">   2,128,390 </w:t>
            </w:r>
          </w:p>
        </w:tc>
        <w:tc>
          <w:tcPr>
            <w:tcW w:w="1220" w:type="dxa"/>
            <w:shd w:val="clear" w:color="auto" w:fill="auto"/>
            <w:noWrap/>
            <w:vAlign w:val="bottom"/>
            <w:hideMark/>
          </w:tcPr>
          <w:p w:rsidR="005F2476" w:rsidRDefault="005F2476" w:rsidP="005F2476">
            <w:pPr>
              <w:pStyle w:val="TableText"/>
              <w:jc w:val="right"/>
            </w:pPr>
            <w:r>
              <w:t xml:space="preserve">2,526,635 </w:t>
            </w:r>
          </w:p>
        </w:tc>
        <w:tc>
          <w:tcPr>
            <w:tcW w:w="1220" w:type="dxa"/>
            <w:shd w:val="clear" w:color="auto" w:fill="auto"/>
            <w:noWrap/>
            <w:vAlign w:val="bottom"/>
            <w:hideMark/>
          </w:tcPr>
          <w:p w:rsidR="005F2476" w:rsidRDefault="005F2476" w:rsidP="005F2476">
            <w:pPr>
              <w:pStyle w:val="TableText"/>
              <w:jc w:val="right"/>
            </w:pPr>
            <w:r>
              <w:t xml:space="preserve">3,447,375 </w:t>
            </w:r>
          </w:p>
        </w:tc>
      </w:tr>
      <w:tr w:rsidR="005F2476" w:rsidRPr="0070291A" w:rsidTr="008A3211">
        <w:trPr>
          <w:trHeight w:val="300"/>
          <w:tblHeader/>
        </w:trPr>
        <w:tc>
          <w:tcPr>
            <w:tcW w:w="2446" w:type="dxa"/>
            <w:shd w:val="clear" w:color="auto" w:fill="auto"/>
            <w:noWrap/>
            <w:vAlign w:val="bottom"/>
            <w:hideMark/>
          </w:tcPr>
          <w:p w:rsidR="005F2476" w:rsidRPr="0070291A" w:rsidRDefault="005F2476" w:rsidP="0070291A">
            <w:pPr>
              <w:pStyle w:val="TableText"/>
            </w:pPr>
            <w:r w:rsidRPr="0070291A">
              <w:t>Total PBS Costs</w:t>
            </w:r>
          </w:p>
        </w:tc>
        <w:tc>
          <w:tcPr>
            <w:tcW w:w="1393" w:type="dxa"/>
            <w:shd w:val="clear" w:color="auto" w:fill="auto"/>
            <w:noWrap/>
            <w:vAlign w:val="bottom"/>
            <w:hideMark/>
          </w:tcPr>
          <w:p w:rsidR="005F2476" w:rsidRDefault="005F2476" w:rsidP="005F2476">
            <w:pPr>
              <w:pStyle w:val="TableText"/>
              <w:jc w:val="right"/>
            </w:pPr>
            <w:r>
              <w:t xml:space="preserve">473,815 </w:t>
            </w:r>
          </w:p>
        </w:tc>
        <w:tc>
          <w:tcPr>
            <w:tcW w:w="1198" w:type="dxa"/>
            <w:shd w:val="clear" w:color="auto" w:fill="auto"/>
            <w:noWrap/>
            <w:vAlign w:val="bottom"/>
            <w:hideMark/>
          </w:tcPr>
          <w:p w:rsidR="005F2476" w:rsidRDefault="005F2476" w:rsidP="005F2476">
            <w:pPr>
              <w:pStyle w:val="TableText"/>
              <w:jc w:val="right"/>
            </w:pPr>
            <w:r>
              <w:t xml:space="preserve">910,560 </w:t>
            </w:r>
          </w:p>
        </w:tc>
        <w:tc>
          <w:tcPr>
            <w:tcW w:w="1120" w:type="dxa"/>
            <w:shd w:val="clear" w:color="auto" w:fill="auto"/>
            <w:noWrap/>
            <w:vAlign w:val="bottom"/>
            <w:hideMark/>
          </w:tcPr>
          <w:p w:rsidR="005F2476" w:rsidRDefault="005F2476" w:rsidP="005F2476">
            <w:pPr>
              <w:pStyle w:val="TableText"/>
              <w:jc w:val="right"/>
            </w:pPr>
            <w:r>
              <w:t xml:space="preserve">   1,308,605 </w:t>
            </w:r>
          </w:p>
        </w:tc>
        <w:tc>
          <w:tcPr>
            <w:tcW w:w="1220" w:type="dxa"/>
            <w:shd w:val="clear" w:color="auto" w:fill="auto"/>
            <w:noWrap/>
            <w:vAlign w:val="bottom"/>
            <w:hideMark/>
          </w:tcPr>
          <w:p w:rsidR="005F2476" w:rsidRDefault="005F2476" w:rsidP="005F2476">
            <w:pPr>
              <w:pStyle w:val="TableText"/>
              <w:jc w:val="right"/>
            </w:pPr>
            <w:r>
              <w:t xml:space="preserve">1,666,324 </w:t>
            </w:r>
          </w:p>
        </w:tc>
        <w:tc>
          <w:tcPr>
            <w:tcW w:w="1220" w:type="dxa"/>
            <w:shd w:val="clear" w:color="auto" w:fill="auto"/>
            <w:noWrap/>
            <w:vAlign w:val="bottom"/>
            <w:hideMark/>
          </w:tcPr>
          <w:p w:rsidR="005F2476" w:rsidRDefault="005F2476" w:rsidP="005F2476">
            <w:pPr>
              <w:pStyle w:val="TableText"/>
              <w:jc w:val="right"/>
            </w:pPr>
            <w:r>
              <w:t xml:space="preserve">1,982,089 </w:t>
            </w:r>
          </w:p>
        </w:tc>
      </w:tr>
      <w:tr w:rsidR="005F2476" w:rsidRPr="0070291A" w:rsidTr="008A3211">
        <w:trPr>
          <w:trHeight w:val="300"/>
          <w:tblHeader/>
        </w:trPr>
        <w:tc>
          <w:tcPr>
            <w:tcW w:w="2446" w:type="dxa"/>
            <w:shd w:val="clear" w:color="auto" w:fill="auto"/>
            <w:noWrap/>
            <w:vAlign w:val="bottom"/>
            <w:hideMark/>
          </w:tcPr>
          <w:p w:rsidR="005F2476" w:rsidRPr="0070291A" w:rsidRDefault="005F2476" w:rsidP="0070291A">
            <w:pPr>
              <w:pStyle w:val="TableText"/>
            </w:pPr>
            <w:r w:rsidRPr="0070291A">
              <w:t>Total OTHER cost savings</w:t>
            </w:r>
          </w:p>
        </w:tc>
        <w:tc>
          <w:tcPr>
            <w:tcW w:w="1393" w:type="dxa"/>
            <w:shd w:val="clear" w:color="auto" w:fill="auto"/>
            <w:noWrap/>
            <w:vAlign w:val="bottom"/>
            <w:hideMark/>
          </w:tcPr>
          <w:p w:rsidR="005F2476" w:rsidRDefault="005F2476" w:rsidP="00B2159B">
            <w:pPr>
              <w:pStyle w:val="TableText"/>
              <w:jc w:val="right"/>
            </w:pPr>
            <w:r>
              <w:t xml:space="preserve">-38,453 </w:t>
            </w:r>
          </w:p>
        </w:tc>
        <w:tc>
          <w:tcPr>
            <w:tcW w:w="1198" w:type="dxa"/>
            <w:shd w:val="clear" w:color="auto" w:fill="auto"/>
            <w:noWrap/>
            <w:vAlign w:val="bottom"/>
            <w:hideMark/>
          </w:tcPr>
          <w:p w:rsidR="005F2476" w:rsidRDefault="005F2476" w:rsidP="00B2159B">
            <w:pPr>
              <w:pStyle w:val="TableText"/>
              <w:jc w:val="right"/>
            </w:pPr>
            <w:r>
              <w:t xml:space="preserve">-77,787 </w:t>
            </w:r>
          </w:p>
        </w:tc>
        <w:tc>
          <w:tcPr>
            <w:tcW w:w="1120" w:type="dxa"/>
            <w:shd w:val="clear" w:color="auto" w:fill="auto"/>
            <w:noWrap/>
            <w:vAlign w:val="bottom"/>
            <w:hideMark/>
          </w:tcPr>
          <w:p w:rsidR="005F2476" w:rsidRDefault="005F2476" w:rsidP="00B2159B">
            <w:pPr>
              <w:pStyle w:val="TableText"/>
              <w:jc w:val="right"/>
            </w:pPr>
            <w:r>
              <w:t xml:space="preserve">-118,002 </w:t>
            </w:r>
          </w:p>
        </w:tc>
        <w:tc>
          <w:tcPr>
            <w:tcW w:w="1220" w:type="dxa"/>
            <w:shd w:val="clear" w:color="auto" w:fill="auto"/>
            <w:noWrap/>
            <w:vAlign w:val="bottom"/>
            <w:hideMark/>
          </w:tcPr>
          <w:p w:rsidR="005F2476" w:rsidRDefault="005F2476" w:rsidP="00B2159B">
            <w:pPr>
              <w:pStyle w:val="TableText"/>
              <w:jc w:val="right"/>
            </w:pPr>
            <w:r>
              <w:t xml:space="preserve">-159,098 </w:t>
            </w:r>
          </w:p>
        </w:tc>
        <w:tc>
          <w:tcPr>
            <w:tcW w:w="1220" w:type="dxa"/>
            <w:shd w:val="clear" w:color="auto" w:fill="auto"/>
            <w:noWrap/>
            <w:vAlign w:val="bottom"/>
            <w:hideMark/>
          </w:tcPr>
          <w:p w:rsidR="005F2476" w:rsidRDefault="005F2476" w:rsidP="00B2159B">
            <w:pPr>
              <w:pStyle w:val="TableText"/>
              <w:jc w:val="right"/>
            </w:pPr>
            <w:r>
              <w:t xml:space="preserve">-201,074 </w:t>
            </w:r>
          </w:p>
        </w:tc>
      </w:tr>
      <w:tr w:rsidR="005F2476" w:rsidRPr="0070291A" w:rsidTr="008A3211">
        <w:trPr>
          <w:trHeight w:val="300"/>
          <w:tblHeader/>
        </w:trPr>
        <w:tc>
          <w:tcPr>
            <w:tcW w:w="2446" w:type="dxa"/>
            <w:shd w:val="clear" w:color="auto" w:fill="auto"/>
            <w:noWrap/>
            <w:vAlign w:val="bottom"/>
            <w:hideMark/>
          </w:tcPr>
          <w:p w:rsidR="005F2476" w:rsidRPr="0070291A" w:rsidRDefault="005F2476" w:rsidP="004D5309">
            <w:pPr>
              <w:pStyle w:val="TableText"/>
            </w:pPr>
            <w:r w:rsidRPr="0070291A">
              <w:t>Total Costs</w:t>
            </w:r>
          </w:p>
        </w:tc>
        <w:tc>
          <w:tcPr>
            <w:tcW w:w="1393" w:type="dxa"/>
            <w:shd w:val="clear" w:color="auto" w:fill="auto"/>
            <w:noWrap/>
            <w:vAlign w:val="bottom"/>
            <w:hideMark/>
          </w:tcPr>
          <w:p w:rsidR="005F2476" w:rsidRDefault="005F2476" w:rsidP="005F2476">
            <w:pPr>
              <w:pStyle w:val="TableText"/>
              <w:jc w:val="right"/>
            </w:pPr>
            <w:r>
              <w:t xml:space="preserve">1,300,436 </w:t>
            </w:r>
          </w:p>
        </w:tc>
        <w:tc>
          <w:tcPr>
            <w:tcW w:w="1198" w:type="dxa"/>
            <w:shd w:val="clear" w:color="auto" w:fill="auto"/>
            <w:noWrap/>
            <w:vAlign w:val="bottom"/>
            <w:hideMark/>
          </w:tcPr>
          <w:p w:rsidR="005F2476" w:rsidRDefault="005F2476" w:rsidP="005F2476">
            <w:pPr>
              <w:pStyle w:val="TableText"/>
              <w:jc w:val="right"/>
            </w:pPr>
            <w:r>
              <w:t xml:space="preserve">   2,068,234 </w:t>
            </w:r>
          </w:p>
        </w:tc>
        <w:tc>
          <w:tcPr>
            <w:tcW w:w="1120" w:type="dxa"/>
            <w:shd w:val="clear" w:color="auto" w:fill="auto"/>
            <w:noWrap/>
            <w:vAlign w:val="bottom"/>
            <w:hideMark/>
          </w:tcPr>
          <w:p w:rsidR="005F2476" w:rsidRDefault="005F2476" w:rsidP="005F2476">
            <w:pPr>
              <w:pStyle w:val="TableText"/>
              <w:jc w:val="right"/>
            </w:pPr>
            <w:r>
              <w:t xml:space="preserve">   3,318,993 </w:t>
            </w:r>
          </w:p>
        </w:tc>
        <w:tc>
          <w:tcPr>
            <w:tcW w:w="1220" w:type="dxa"/>
            <w:shd w:val="clear" w:color="auto" w:fill="auto"/>
            <w:noWrap/>
            <w:vAlign w:val="bottom"/>
            <w:hideMark/>
          </w:tcPr>
          <w:p w:rsidR="005F2476" w:rsidRDefault="005F2476" w:rsidP="005F2476">
            <w:pPr>
              <w:pStyle w:val="TableText"/>
              <w:jc w:val="right"/>
            </w:pPr>
            <w:r>
              <w:t xml:space="preserve">4,033,861 </w:t>
            </w:r>
          </w:p>
        </w:tc>
        <w:tc>
          <w:tcPr>
            <w:tcW w:w="1220" w:type="dxa"/>
            <w:shd w:val="clear" w:color="auto" w:fill="auto"/>
            <w:noWrap/>
            <w:vAlign w:val="bottom"/>
            <w:hideMark/>
          </w:tcPr>
          <w:p w:rsidR="005F2476" w:rsidRDefault="005F2476" w:rsidP="005F2476">
            <w:pPr>
              <w:pStyle w:val="TableText"/>
              <w:jc w:val="right"/>
            </w:pPr>
            <w:r>
              <w:t xml:space="preserve">5,228,390 </w:t>
            </w:r>
          </w:p>
        </w:tc>
      </w:tr>
      <w:tr w:rsidR="004B4974" w:rsidRPr="00C132C7" w:rsidTr="008A3211">
        <w:trPr>
          <w:trHeight w:val="300"/>
          <w:tblHeader/>
        </w:trPr>
        <w:tc>
          <w:tcPr>
            <w:tcW w:w="2446" w:type="dxa"/>
            <w:shd w:val="clear" w:color="auto" w:fill="auto"/>
            <w:noWrap/>
            <w:vAlign w:val="bottom"/>
          </w:tcPr>
          <w:p w:rsidR="004B4974" w:rsidRPr="00C132C7" w:rsidRDefault="004B4974" w:rsidP="0070291A">
            <w:pPr>
              <w:pStyle w:val="TableText"/>
              <w:rPr>
                <w:bCs/>
              </w:rPr>
            </w:pPr>
            <w:r>
              <w:rPr>
                <w:b/>
                <w:bCs/>
              </w:rPr>
              <w:t>Women treated when BMD T-score &lt;1.0</w:t>
            </w:r>
          </w:p>
        </w:tc>
        <w:tc>
          <w:tcPr>
            <w:tcW w:w="1393" w:type="dxa"/>
            <w:shd w:val="clear" w:color="auto" w:fill="auto"/>
            <w:noWrap/>
            <w:vAlign w:val="bottom"/>
          </w:tcPr>
          <w:p w:rsidR="004B4974" w:rsidRDefault="008A3211" w:rsidP="005F2476">
            <w:pPr>
              <w:pStyle w:val="TableText"/>
              <w:jc w:val="right"/>
            </w:pPr>
            <w:r>
              <w:t>-</w:t>
            </w:r>
          </w:p>
        </w:tc>
        <w:tc>
          <w:tcPr>
            <w:tcW w:w="1198" w:type="dxa"/>
            <w:shd w:val="clear" w:color="auto" w:fill="auto"/>
            <w:noWrap/>
            <w:vAlign w:val="bottom"/>
          </w:tcPr>
          <w:p w:rsidR="004B4974" w:rsidRDefault="008A3211" w:rsidP="005F2476">
            <w:pPr>
              <w:pStyle w:val="TableText"/>
              <w:jc w:val="right"/>
            </w:pPr>
            <w:r>
              <w:t>-</w:t>
            </w:r>
          </w:p>
        </w:tc>
        <w:tc>
          <w:tcPr>
            <w:tcW w:w="1120" w:type="dxa"/>
            <w:shd w:val="clear" w:color="auto" w:fill="auto"/>
            <w:noWrap/>
            <w:vAlign w:val="bottom"/>
          </w:tcPr>
          <w:p w:rsidR="004B4974" w:rsidRDefault="008A3211" w:rsidP="005F2476">
            <w:pPr>
              <w:pStyle w:val="TableText"/>
              <w:jc w:val="right"/>
            </w:pPr>
            <w:r>
              <w:t>-</w:t>
            </w:r>
          </w:p>
        </w:tc>
        <w:tc>
          <w:tcPr>
            <w:tcW w:w="1220" w:type="dxa"/>
            <w:shd w:val="clear" w:color="auto" w:fill="auto"/>
            <w:noWrap/>
            <w:vAlign w:val="bottom"/>
          </w:tcPr>
          <w:p w:rsidR="004B4974" w:rsidRDefault="008A3211" w:rsidP="005F2476">
            <w:pPr>
              <w:pStyle w:val="TableText"/>
              <w:jc w:val="right"/>
            </w:pPr>
            <w:r>
              <w:t>-</w:t>
            </w:r>
          </w:p>
        </w:tc>
        <w:tc>
          <w:tcPr>
            <w:tcW w:w="1220" w:type="dxa"/>
            <w:shd w:val="clear" w:color="auto" w:fill="auto"/>
            <w:noWrap/>
            <w:vAlign w:val="bottom"/>
          </w:tcPr>
          <w:p w:rsidR="004B4974" w:rsidRDefault="008A3211" w:rsidP="005F2476">
            <w:pPr>
              <w:pStyle w:val="TableText"/>
              <w:jc w:val="right"/>
            </w:pPr>
            <w:r>
              <w:t>-</w:t>
            </w:r>
          </w:p>
        </w:tc>
      </w:tr>
      <w:tr w:rsidR="005F2476" w:rsidRPr="00C132C7" w:rsidTr="008A3211">
        <w:trPr>
          <w:trHeight w:val="300"/>
          <w:tblHeader/>
        </w:trPr>
        <w:tc>
          <w:tcPr>
            <w:tcW w:w="2446" w:type="dxa"/>
            <w:shd w:val="clear" w:color="auto" w:fill="auto"/>
            <w:noWrap/>
            <w:vAlign w:val="bottom"/>
            <w:hideMark/>
          </w:tcPr>
          <w:p w:rsidR="005F2476" w:rsidRPr="00C132C7" w:rsidRDefault="005F2476" w:rsidP="0070291A">
            <w:pPr>
              <w:pStyle w:val="TableText"/>
              <w:rPr>
                <w:bCs/>
              </w:rPr>
            </w:pPr>
            <w:r w:rsidRPr="00C132C7">
              <w:rPr>
                <w:bCs/>
              </w:rPr>
              <w:t>Total MBS Costs</w:t>
            </w:r>
          </w:p>
        </w:tc>
        <w:tc>
          <w:tcPr>
            <w:tcW w:w="1393" w:type="dxa"/>
            <w:shd w:val="clear" w:color="auto" w:fill="auto"/>
            <w:noWrap/>
            <w:vAlign w:val="bottom"/>
            <w:hideMark/>
          </w:tcPr>
          <w:p w:rsidR="005F2476" w:rsidRDefault="005F2476" w:rsidP="005F2476">
            <w:pPr>
              <w:pStyle w:val="TableText"/>
              <w:jc w:val="right"/>
            </w:pPr>
            <w:r>
              <w:t xml:space="preserve">663,402 </w:t>
            </w:r>
          </w:p>
        </w:tc>
        <w:tc>
          <w:tcPr>
            <w:tcW w:w="1198" w:type="dxa"/>
            <w:shd w:val="clear" w:color="auto" w:fill="auto"/>
            <w:noWrap/>
            <w:vAlign w:val="bottom"/>
            <w:hideMark/>
          </w:tcPr>
          <w:p w:rsidR="005F2476" w:rsidRDefault="005F2476" w:rsidP="005F2476">
            <w:pPr>
              <w:pStyle w:val="TableText"/>
              <w:jc w:val="right"/>
            </w:pPr>
            <w:r>
              <w:t xml:space="preserve">   1,341,964 </w:t>
            </w:r>
          </w:p>
        </w:tc>
        <w:tc>
          <w:tcPr>
            <w:tcW w:w="1120" w:type="dxa"/>
            <w:shd w:val="clear" w:color="auto" w:fill="auto"/>
            <w:noWrap/>
            <w:vAlign w:val="bottom"/>
            <w:hideMark/>
          </w:tcPr>
          <w:p w:rsidR="005F2476" w:rsidRDefault="005F2476" w:rsidP="005F2476">
            <w:pPr>
              <w:pStyle w:val="TableText"/>
              <w:jc w:val="right"/>
            </w:pPr>
            <w:r>
              <w:t xml:space="preserve">   2,035,821 </w:t>
            </w:r>
          </w:p>
        </w:tc>
        <w:tc>
          <w:tcPr>
            <w:tcW w:w="1220" w:type="dxa"/>
            <w:shd w:val="clear" w:color="auto" w:fill="auto"/>
            <w:noWrap/>
            <w:vAlign w:val="bottom"/>
            <w:hideMark/>
          </w:tcPr>
          <w:p w:rsidR="005F2476" w:rsidRDefault="005F2476" w:rsidP="005F2476">
            <w:pPr>
              <w:pStyle w:val="TableText"/>
              <w:jc w:val="right"/>
            </w:pPr>
            <w:r>
              <w:t xml:space="preserve">2,744,752 </w:t>
            </w:r>
          </w:p>
        </w:tc>
        <w:tc>
          <w:tcPr>
            <w:tcW w:w="1220" w:type="dxa"/>
            <w:shd w:val="clear" w:color="auto" w:fill="auto"/>
            <w:noWrap/>
            <w:vAlign w:val="bottom"/>
            <w:hideMark/>
          </w:tcPr>
          <w:p w:rsidR="005F2476" w:rsidRDefault="005F2476" w:rsidP="005F2476">
            <w:pPr>
              <w:pStyle w:val="TableText"/>
              <w:jc w:val="right"/>
            </w:pPr>
            <w:r>
              <w:t xml:space="preserve">3,468,933 </w:t>
            </w:r>
          </w:p>
        </w:tc>
      </w:tr>
      <w:tr w:rsidR="005F2476" w:rsidRPr="0070291A" w:rsidTr="008A3211">
        <w:trPr>
          <w:trHeight w:val="300"/>
          <w:tblHeader/>
        </w:trPr>
        <w:tc>
          <w:tcPr>
            <w:tcW w:w="2446" w:type="dxa"/>
            <w:shd w:val="clear" w:color="auto" w:fill="auto"/>
            <w:noWrap/>
            <w:vAlign w:val="bottom"/>
            <w:hideMark/>
          </w:tcPr>
          <w:p w:rsidR="005F2476" w:rsidRPr="0070291A" w:rsidRDefault="005F2476" w:rsidP="0070291A">
            <w:pPr>
              <w:pStyle w:val="TableText"/>
            </w:pPr>
            <w:r w:rsidRPr="0070291A">
              <w:t>Total PBS Costs</w:t>
            </w:r>
          </w:p>
        </w:tc>
        <w:tc>
          <w:tcPr>
            <w:tcW w:w="1393" w:type="dxa"/>
            <w:shd w:val="clear" w:color="auto" w:fill="auto"/>
            <w:noWrap/>
            <w:vAlign w:val="bottom"/>
            <w:hideMark/>
          </w:tcPr>
          <w:p w:rsidR="005F2476" w:rsidRDefault="005F2476" w:rsidP="005F2476">
            <w:pPr>
              <w:pStyle w:val="TableText"/>
              <w:jc w:val="right"/>
            </w:pPr>
            <w:r>
              <w:t xml:space="preserve">2,061,824 </w:t>
            </w:r>
          </w:p>
        </w:tc>
        <w:tc>
          <w:tcPr>
            <w:tcW w:w="1198" w:type="dxa"/>
            <w:shd w:val="clear" w:color="auto" w:fill="auto"/>
            <w:noWrap/>
            <w:vAlign w:val="bottom"/>
            <w:hideMark/>
          </w:tcPr>
          <w:p w:rsidR="005F2476" w:rsidRDefault="005F2476" w:rsidP="005F2476">
            <w:pPr>
              <w:pStyle w:val="TableText"/>
              <w:jc w:val="right"/>
            </w:pPr>
            <w:r>
              <w:t xml:space="preserve">   3,962,333 </w:t>
            </w:r>
          </w:p>
        </w:tc>
        <w:tc>
          <w:tcPr>
            <w:tcW w:w="1120" w:type="dxa"/>
            <w:shd w:val="clear" w:color="auto" w:fill="auto"/>
            <w:noWrap/>
            <w:vAlign w:val="bottom"/>
            <w:hideMark/>
          </w:tcPr>
          <w:p w:rsidR="005F2476" w:rsidRDefault="005F2476" w:rsidP="005F2476">
            <w:pPr>
              <w:pStyle w:val="TableText"/>
              <w:jc w:val="right"/>
            </w:pPr>
            <w:r>
              <w:t xml:space="preserve">   5,694,443 </w:t>
            </w:r>
          </w:p>
        </w:tc>
        <w:tc>
          <w:tcPr>
            <w:tcW w:w="1220" w:type="dxa"/>
            <w:shd w:val="clear" w:color="auto" w:fill="auto"/>
            <w:noWrap/>
            <w:vAlign w:val="bottom"/>
            <w:hideMark/>
          </w:tcPr>
          <w:p w:rsidR="005F2476" w:rsidRDefault="005F2476" w:rsidP="005F2476">
            <w:pPr>
              <w:pStyle w:val="TableText"/>
              <w:jc w:val="right"/>
            </w:pPr>
            <w:r>
              <w:t xml:space="preserve">7,251,071 </w:t>
            </w:r>
          </w:p>
        </w:tc>
        <w:tc>
          <w:tcPr>
            <w:tcW w:w="1220" w:type="dxa"/>
            <w:shd w:val="clear" w:color="auto" w:fill="auto"/>
            <w:noWrap/>
            <w:vAlign w:val="bottom"/>
            <w:hideMark/>
          </w:tcPr>
          <w:p w:rsidR="005F2476" w:rsidRDefault="005F2476" w:rsidP="005F2476">
            <w:pPr>
              <w:pStyle w:val="TableText"/>
              <w:jc w:val="right"/>
            </w:pPr>
            <w:r>
              <w:t xml:space="preserve">8,625,131 </w:t>
            </w:r>
          </w:p>
        </w:tc>
      </w:tr>
      <w:tr w:rsidR="005F2476" w:rsidRPr="0070291A" w:rsidTr="008A3211">
        <w:trPr>
          <w:trHeight w:val="300"/>
          <w:tblHeader/>
        </w:trPr>
        <w:tc>
          <w:tcPr>
            <w:tcW w:w="2446" w:type="dxa"/>
            <w:shd w:val="clear" w:color="auto" w:fill="auto"/>
            <w:noWrap/>
            <w:vAlign w:val="bottom"/>
            <w:hideMark/>
          </w:tcPr>
          <w:p w:rsidR="005F2476" w:rsidRPr="0070291A" w:rsidRDefault="005F2476" w:rsidP="0070291A">
            <w:pPr>
              <w:pStyle w:val="TableText"/>
            </w:pPr>
            <w:r w:rsidRPr="0070291A">
              <w:t>Total OTHER cost savings</w:t>
            </w:r>
          </w:p>
        </w:tc>
        <w:tc>
          <w:tcPr>
            <w:tcW w:w="1393" w:type="dxa"/>
            <w:shd w:val="clear" w:color="auto" w:fill="auto"/>
            <w:noWrap/>
            <w:vAlign w:val="bottom"/>
            <w:hideMark/>
          </w:tcPr>
          <w:p w:rsidR="005F2476" w:rsidRDefault="005F2476" w:rsidP="00B2159B">
            <w:pPr>
              <w:pStyle w:val="TableText"/>
              <w:jc w:val="right"/>
            </w:pPr>
            <w:r>
              <w:t xml:space="preserve">167,330 </w:t>
            </w:r>
          </w:p>
        </w:tc>
        <w:tc>
          <w:tcPr>
            <w:tcW w:w="1198" w:type="dxa"/>
            <w:shd w:val="clear" w:color="auto" w:fill="auto"/>
            <w:noWrap/>
            <w:vAlign w:val="bottom"/>
            <w:hideMark/>
          </w:tcPr>
          <w:p w:rsidR="005F2476" w:rsidRDefault="005F2476" w:rsidP="00B2159B">
            <w:pPr>
              <w:pStyle w:val="TableText"/>
              <w:jc w:val="right"/>
            </w:pPr>
            <w:r>
              <w:t xml:space="preserve">-338,494 </w:t>
            </w:r>
          </w:p>
        </w:tc>
        <w:tc>
          <w:tcPr>
            <w:tcW w:w="1120" w:type="dxa"/>
            <w:shd w:val="clear" w:color="auto" w:fill="auto"/>
            <w:noWrap/>
            <w:vAlign w:val="bottom"/>
            <w:hideMark/>
          </w:tcPr>
          <w:p w:rsidR="005F2476" w:rsidRDefault="005F2476" w:rsidP="00B2159B">
            <w:pPr>
              <w:pStyle w:val="TableText"/>
              <w:jc w:val="right"/>
            </w:pPr>
            <w:r>
              <w:t xml:space="preserve">-513,490 </w:t>
            </w:r>
          </w:p>
        </w:tc>
        <w:tc>
          <w:tcPr>
            <w:tcW w:w="1220" w:type="dxa"/>
            <w:shd w:val="clear" w:color="auto" w:fill="auto"/>
            <w:noWrap/>
            <w:vAlign w:val="bottom"/>
            <w:hideMark/>
          </w:tcPr>
          <w:p w:rsidR="005F2476" w:rsidRDefault="005F2476" w:rsidP="00B2159B">
            <w:pPr>
              <w:pStyle w:val="TableText"/>
              <w:jc w:val="right"/>
            </w:pPr>
            <w:r>
              <w:t xml:space="preserve">-692,320 </w:t>
            </w:r>
          </w:p>
        </w:tc>
        <w:tc>
          <w:tcPr>
            <w:tcW w:w="1220" w:type="dxa"/>
            <w:shd w:val="clear" w:color="auto" w:fill="auto"/>
            <w:noWrap/>
            <w:vAlign w:val="bottom"/>
            <w:hideMark/>
          </w:tcPr>
          <w:p w:rsidR="005F2476" w:rsidRDefault="005F2476" w:rsidP="00B2159B">
            <w:pPr>
              <w:pStyle w:val="TableText"/>
              <w:jc w:val="right"/>
            </w:pPr>
            <w:r>
              <w:t xml:space="preserve">-874,982 </w:t>
            </w:r>
          </w:p>
        </w:tc>
      </w:tr>
      <w:tr w:rsidR="005F2476" w:rsidRPr="0070291A" w:rsidTr="008A3211">
        <w:trPr>
          <w:trHeight w:val="300"/>
          <w:tblHeader/>
        </w:trPr>
        <w:tc>
          <w:tcPr>
            <w:tcW w:w="2446" w:type="dxa"/>
            <w:shd w:val="clear" w:color="auto" w:fill="auto"/>
            <w:noWrap/>
            <w:vAlign w:val="bottom"/>
            <w:hideMark/>
          </w:tcPr>
          <w:p w:rsidR="005F2476" w:rsidRPr="0070291A" w:rsidRDefault="005F2476" w:rsidP="004D5309">
            <w:pPr>
              <w:pStyle w:val="TableText"/>
            </w:pPr>
            <w:r w:rsidRPr="0070291A">
              <w:t>Total Costs</w:t>
            </w:r>
          </w:p>
        </w:tc>
        <w:tc>
          <w:tcPr>
            <w:tcW w:w="1393" w:type="dxa"/>
            <w:shd w:val="clear" w:color="auto" w:fill="auto"/>
            <w:noWrap/>
            <w:vAlign w:val="bottom"/>
            <w:hideMark/>
          </w:tcPr>
          <w:p w:rsidR="005F2476" w:rsidRDefault="005F2476" w:rsidP="005F2476">
            <w:pPr>
              <w:pStyle w:val="TableText"/>
              <w:jc w:val="right"/>
            </w:pPr>
            <w:r>
              <w:t xml:space="preserve">2,557,895 </w:t>
            </w:r>
          </w:p>
        </w:tc>
        <w:tc>
          <w:tcPr>
            <w:tcW w:w="1198" w:type="dxa"/>
            <w:shd w:val="clear" w:color="auto" w:fill="auto"/>
            <w:noWrap/>
            <w:vAlign w:val="bottom"/>
            <w:hideMark/>
          </w:tcPr>
          <w:p w:rsidR="005F2476" w:rsidRDefault="005F2476" w:rsidP="005F2476">
            <w:pPr>
              <w:pStyle w:val="TableText"/>
              <w:jc w:val="right"/>
            </w:pPr>
            <w:r>
              <w:t xml:space="preserve">   4,965,803 </w:t>
            </w:r>
          </w:p>
        </w:tc>
        <w:tc>
          <w:tcPr>
            <w:tcW w:w="1120" w:type="dxa"/>
            <w:shd w:val="clear" w:color="auto" w:fill="auto"/>
            <w:noWrap/>
            <w:vAlign w:val="bottom"/>
            <w:hideMark/>
          </w:tcPr>
          <w:p w:rsidR="005F2476" w:rsidRDefault="005F2476" w:rsidP="005F2476">
            <w:pPr>
              <w:pStyle w:val="TableText"/>
              <w:jc w:val="right"/>
            </w:pPr>
            <w:r>
              <w:t xml:space="preserve">   7,216,774 </w:t>
            </w:r>
          </w:p>
        </w:tc>
        <w:tc>
          <w:tcPr>
            <w:tcW w:w="1220" w:type="dxa"/>
            <w:shd w:val="clear" w:color="auto" w:fill="auto"/>
            <w:noWrap/>
            <w:vAlign w:val="bottom"/>
            <w:hideMark/>
          </w:tcPr>
          <w:p w:rsidR="005F2476" w:rsidRDefault="005F2476" w:rsidP="005F2476">
            <w:pPr>
              <w:pStyle w:val="TableText"/>
              <w:jc w:val="right"/>
            </w:pPr>
            <w:r>
              <w:t xml:space="preserve">9,303,503 </w:t>
            </w:r>
          </w:p>
        </w:tc>
        <w:tc>
          <w:tcPr>
            <w:tcW w:w="1220" w:type="dxa"/>
            <w:shd w:val="clear" w:color="auto" w:fill="auto"/>
            <w:noWrap/>
            <w:vAlign w:val="bottom"/>
            <w:hideMark/>
          </w:tcPr>
          <w:p w:rsidR="005F2476" w:rsidRDefault="005F2476" w:rsidP="005F2476">
            <w:pPr>
              <w:pStyle w:val="TableText"/>
              <w:jc w:val="right"/>
            </w:pPr>
            <w:r>
              <w:t xml:space="preserve">   11,219,082 </w:t>
            </w:r>
          </w:p>
        </w:tc>
      </w:tr>
      <w:tr w:rsidR="004B4974" w:rsidRPr="00C132C7" w:rsidTr="008A3211">
        <w:trPr>
          <w:trHeight w:val="300"/>
          <w:tblHeader/>
        </w:trPr>
        <w:tc>
          <w:tcPr>
            <w:tcW w:w="2446" w:type="dxa"/>
            <w:shd w:val="clear" w:color="auto" w:fill="auto"/>
            <w:noWrap/>
            <w:vAlign w:val="bottom"/>
          </w:tcPr>
          <w:p w:rsidR="004B4974" w:rsidRPr="00C132C7" w:rsidRDefault="004B4974" w:rsidP="004B4974">
            <w:pPr>
              <w:pStyle w:val="TableText"/>
              <w:rPr>
                <w:bCs/>
              </w:rPr>
            </w:pPr>
            <w:r>
              <w:rPr>
                <w:b/>
                <w:bCs/>
              </w:rPr>
              <w:t>All women on AI treated</w:t>
            </w:r>
          </w:p>
        </w:tc>
        <w:tc>
          <w:tcPr>
            <w:tcW w:w="1393" w:type="dxa"/>
            <w:shd w:val="clear" w:color="auto" w:fill="auto"/>
            <w:noWrap/>
            <w:vAlign w:val="bottom"/>
          </w:tcPr>
          <w:p w:rsidR="004B4974" w:rsidRDefault="008A3211" w:rsidP="005F2476">
            <w:pPr>
              <w:pStyle w:val="TableText"/>
              <w:jc w:val="right"/>
            </w:pPr>
            <w:r>
              <w:t>-</w:t>
            </w:r>
          </w:p>
        </w:tc>
        <w:tc>
          <w:tcPr>
            <w:tcW w:w="1198" w:type="dxa"/>
            <w:shd w:val="clear" w:color="auto" w:fill="auto"/>
            <w:noWrap/>
            <w:vAlign w:val="bottom"/>
          </w:tcPr>
          <w:p w:rsidR="004B4974" w:rsidRDefault="008A3211" w:rsidP="005F2476">
            <w:pPr>
              <w:pStyle w:val="TableText"/>
              <w:jc w:val="right"/>
            </w:pPr>
            <w:r>
              <w:t>-</w:t>
            </w:r>
          </w:p>
        </w:tc>
        <w:tc>
          <w:tcPr>
            <w:tcW w:w="1120" w:type="dxa"/>
            <w:shd w:val="clear" w:color="auto" w:fill="auto"/>
            <w:noWrap/>
            <w:vAlign w:val="bottom"/>
          </w:tcPr>
          <w:p w:rsidR="004B4974" w:rsidRDefault="008A3211" w:rsidP="005F2476">
            <w:pPr>
              <w:pStyle w:val="TableText"/>
              <w:jc w:val="right"/>
            </w:pPr>
            <w:r>
              <w:t>-</w:t>
            </w:r>
          </w:p>
        </w:tc>
        <w:tc>
          <w:tcPr>
            <w:tcW w:w="1220" w:type="dxa"/>
            <w:shd w:val="clear" w:color="auto" w:fill="auto"/>
            <w:noWrap/>
            <w:vAlign w:val="bottom"/>
          </w:tcPr>
          <w:p w:rsidR="004B4974" w:rsidRDefault="008A3211" w:rsidP="005F2476">
            <w:pPr>
              <w:pStyle w:val="TableText"/>
              <w:jc w:val="right"/>
            </w:pPr>
            <w:r>
              <w:t>-</w:t>
            </w:r>
          </w:p>
        </w:tc>
        <w:tc>
          <w:tcPr>
            <w:tcW w:w="1220" w:type="dxa"/>
            <w:shd w:val="clear" w:color="auto" w:fill="auto"/>
            <w:noWrap/>
            <w:vAlign w:val="bottom"/>
          </w:tcPr>
          <w:p w:rsidR="004B4974" w:rsidRDefault="008A3211" w:rsidP="005F2476">
            <w:pPr>
              <w:pStyle w:val="TableText"/>
              <w:jc w:val="right"/>
            </w:pPr>
            <w:r>
              <w:t>-</w:t>
            </w:r>
          </w:p>
        </w:tc>
      </w:tr>
      <w:tr w:rsidR="005F2476" w:rsidRPr="00C132C7" w:rsidTr="008A3211">
        <w:trPr>
          <w:trHeight w:val="300"/>
          <w:tblHeader/>
        </w:trPr>
        <w:tc>
          <w:tcPr>
            <w:tcW w:w="2446" w:type="dxa"/>
            <w:shd w:val="clear" w:color="auto" w:fill="auto"/>
            <w:noWrap/>
            <w:vAlign w:val="bottom"/>
            <w:hideMark/>
          </w:tcPr>
          <w:p w:rsidR="005F2476" w:rsidRPr="00C132C7" w:rsidRDefault="005F2476" w:rsidP="0070291A">
            <w:pPr>
              <w:pStyle w:val="TableText"/>
              <w:rPr>
                <w:bCs/>
              </w:rPr>
            </w:pPr>
            <w:r w:rsidRPr="00C132C7">
              <w:rPr>
                <w:bCs/>
              </w:rPr>
              <w:t>Total MBS Costs</w:t>
            </w:r>
          </w:p>
        </w:tc>
        <w:tc>
          <w:tcPr>
            <w:tcW w:w="1393" w:type="dxa"/>
            <w:shd w:val="clear" w:color="auto" w:fill="auto"/>
            <w:noWrap/>
            <w:vAlign w:val="bottom"/>
            <w:hideMark/>
          </w:tcPr>
          <w:p w:rsidR="005F2476" w:rsidRDefault="005F2476" w:rsidP="005F2476">
            <w:pPr>
              <w:pStyle w:val="TableText"/>
              <w:jc w:val="right"/>
            </w:pPr>
            <w:r>
              <w:t xml:space="preserve">514,510 </w:t>
            </w:r>
          </w:p>
        </w:tc>
        <w:tc>
          <w:tcPr>
            <w:tcW w:w="1198" w:type="dxa"/>
            <w:shd w:val="clear" w:color="auto" w:fill="auto"/>
            <w:noWrap/>
            <w:vAlign w:val="bottom"/>
            <w:hideMark/>
          </w:tcPr>
          <w:p w:rsidR="005F2476" w:rsidRDefault="005F2476" w:rsidP="005F2476">
            <w:pPr>
              <w:pStyle w:val="TableText"/>
              <w:jc w:val="right"/>
            </w:pPr>
            <w:r>
              <w:t xml:space="preserve">   1,040,770 </w:t>
            </w:r>
          </w:p>
        </w:tc>
        <w:tc>
          <w:tcPr>
            <w:tcW w:w="1120" w:type="dxa"/>
            <w:shd w:val="clear" w:color="auto" w:fill="auto"/>
            <w:noWrap/>
            <w:vAlign w:val="bottom"/>
            <w:hideMark/>
          </w:tcPr>
          <w:p w:rsidR="005F2476" w:rsidRDefault="005F2476" w:rsidP="005F2476">
            <w:pPr>
              <w:pStyle w:val="TableText"/>
              <w:jc w:val="right"/>
            </w:pPr>
            <w:r>
              <w:t xml:space="preserve">   1,578,913 </w:t>
            </w:r>
          </w:p>
        </w:tc>
        <w:tc>
          <w:tcPr>
            <w:tcW w:w="1220" w:type="dxa"/>
            <w:shd w:val="clear" w:color="auto" w:fill="auto"/>
            <w:noWrap/>
            <w:vAlign w:val="bottom"/>
            <w:hideMark/>
          </w:tcPr>
          <w:p w:rsidR="005F2476" w:rsidRDefault="005F2476" w:rsidP="005F2476">
            <w:pPr>
              <w:pStyle w:val="TableText"/>
              <w:jc w:val="right"/>
            </w:pPr>
            <w:r>
              <w:t xml:space="preserve">2,128,721 </w:t>
            </w:r>
          </w:p>
        </w:tc>
        <w:tc>
          <w:tcPr>
            <w:tcW w:w="1220" w:type="dxa"/>
            <w:shd w:val="clear" w:color="auto" w:fill="auto"/>
            <w:noWrap/>
            <w:vAlign w:val="bottom"/>
            <w:hideMark/>
          </w:tcPr>
          <w:p w:rsidR="005F2476" w:rsidRDefault="005F2476" w:rsidP="005F2476">
            <w:pPr>
              <w:pStyle w:val="TableText"/>
              <w:jc w:val="right"/>
            </w:pPr>
            <w:r>
              <w:t xml:space="preserve">2,690,367 </w:t>
            </w:r>
          </w:p>
        </w:tc>
      </w:tr>
      <w:tr w:rsidR="005F2476" w:rsidRPr="0070291A" w:rsidTr="008A3211">
        <w:trPr>
          <w:trHeight w:val="300"/>
          <w:tblHeader/>
        </w:trPr>
        <w:tc>
          <w:tcPr>
            <w:tcW w:w="2446" w:type="dxa"/>
            <w:shd w:val="clear" w:color="auto" w:fill="auto"/>
            <w:noWrap/>
            <w:vAlign w:val="bottom"/>
            <w:hideMark/>
          </w:tcPr>
          <w:p w:rsidR="005F2476" w:rsidRPr="0070291A" w:rsidRDefault="005F2476" w:rsidP="0070291A">
            <w:pPr>
              <w:pStyle w:val="TableText"/>
            </w:pPr>
            <w:r w:rsidRPr="0070291A">
              <w:t>Total PBS Costs</w:t>
            </w:r>
          </w:p>
        </w:tc>
        <w:tc>
          <w:tcPr>
            <w:tcW w:w="1393" w:type="dxa"/>
            <w:shd w:val="clear" w:color="auto" w:fill="auto"/>
            <w:noWrap/>
            <w:vAlign w:val="bottom"/>
            <w:hideMark/>
          </w:tcPr>
          <w:p w:rsidR="005F2476" w:rsidRDefault="005F2476" w:rsidP="005F2476">
            <w:pPr>
              <w:pStyle w:val="TableText"/>
              <w:jc w:val="right"/>
            </w:pPr>
            <w:r>
              <w:t xml:space="preserve">3,234,233 </w:t>
            </w:r>
          </w:p>
        </w:tc>
        <w:tc>
          <w:tcPr>
            <w:tcW w:w="1198" w:type="dxa"/>
            <w:shd w:val="clear" w:color="auto" w:fill="auto"/>
            <w:noWrap/>
            <w:vAlign w:val="bottom"/>
            <w:hideMark/>
          </w:tcPr>
          <w:p w:rsidR="005F2476" w:rsidRDefault="005F2476" w:rsidP="005F2476">
            <w:pPr>
              <w:pStyle w:val="TableText"/>
              <w:jc w:val="right"/>
            </w:pPr>
            <w:r>
              <w:t xml:space="preserve">   6,215,424 </w:t>
            </w:r>
          </w:p>
        </w:tc>
        <w:tc>
          <w:tcPr>
            <w:tcW w:w="1120" w:type="dxa"/>
            <w:shd w:val="clear" w:color="auto" w:fill="auto"/>
            <w:noWrap/>
            <w:vAlign w:val="bottom"/>
            <w:hideMark/>
          </w:tcPr>
          <w:p w:rsidR="005F2476" w:rsidRDefault="005F2476" w:rsidP="005F2476">
            <w:pPr>
              <w:pStyle w:val="TableText"/>
              <w:jc w:val="right"/>
            </w:pPr>
            <w:r>
              <w:t xml:space="preserve">   8,932,460 </w:t>
            </w:r>
          </w:p>
        </w:tc>
        <w:tc>
          <w:tcPr>
            <w:tcW w:w="1220" w:type="dxa"/>
            <w:shd w:val="clear" w:color="auto" w:fill="auto"/>
            <w:noWrap/>
            <w:vAlign w:val="bottom"/>
            <w:hideMark/>
          </w:tcPr>
          <w:p w:rsidR="005F2476" w:rsidRDefault="005F2476" w:rsidP="005F2476">
            <w:pPr>
              <w:pStyle w:val="TableText"/>
              <w:jc w:val="right"/>
            </w:pPr>
            <w:r>
              <w:t xml:space="preserve">   11,374,229 </w:t>
            </w:r>
          </w:p>
        </w:tc>
        <w:tc>
          <w:tcPr>
            <w:tcW w:w="1220" w:type="dxa"/>
            <w:shd w:val="clear" w:color="auto" w:fill="auto"/>
            <w:noWrap/>
            <w:vAlign w:val="bottom"/>
            <w:hideMark/>
          </w:tcPr>
          <w:p w:rsidR="005F2476" w:rsidRDefault="005F2476" w:rsidP="005F2476">
            <w:pPr>
              <w:pStyle w:val="TableText"/>
              <w:jc w:val="right"/>
            </w:pPr>
            <w:r>
              <w:t xml:space="preserve">   13,529,617 </w:t>
            </w:r>
          </w:p>
        </w:tc>
      </w:tr>
      <w:tr w:rsidR="005F2476" w:rsidRPr="0070291A" w:rsidTr="008A3211">
        <w:trPr>
          <w:trHeight w:val="300"/>
          <w:tblHeader/>
        </w:trPr>
        <w:tc>
          <w:tcPr>
            <w:tcW w:w="2446" w:type="dxa"/>
            <w:shd w:val="clear" w:color="auto" w:fill="auto"/>
            <w:noWrap/>
            <w:vAlign w:val="bottom"/>
            <w:hideMark/>
          </w:tcPr>
          <w:p w:rsidR="005F2476" w:rsidRPr="0070291A" w:rsidRDefault="005F2476" w:rsidP="0070291A">
            <w:pPr>
              <w:pStyle w:val="TableText"/>
            </w:pPr>
            <w:r w:rsidRPr="0070291A">
              <w:t>Total OTHER cost savings</w:t>
            </w:r>
          </w:p>
        </w:tc>
        <w:tc>
          <w:tcPr>
            <w:tcW w:w="1393" w:type="dxa"/>
            <w:shd w:val="clear" w:color="auto" w:fill="auto"/>
            <w:noWrap/>
            <w:vAlign w:val="bottom"/>
            <w:hideMark/>
          </w:tcPr>
          <w:p w:rsidR="005F2476" w:rsidRDefault="005F2476" w:rsidP="00C91D8A">
            <w:pPr>
              <w:pStyle w:val="TableText"/>
              <w:jc w:val="right"/>
            </w:pPr>
            <w:r>
              <w:t xml:space="preserve">-262,479 </w:t>
            </w:r>
          </w:p>
        </w:tc>
        <w:tc>
          <w:tcPr>
            <w:tcW w:w="1198" w:type="dxa"/>
            <w:shd w:val="clear" w:color="auto" w:fill="auto"/>
            <w:noWrap/>
            <w:vAlign w:val="bottom"/>
            <w:hideMark/>
          </w:tcPr>
          <w:p w:rsidR="005F2476" w:rsidRDefault="005F2476" w:rsidP="00C91D8A">
            <w:pPr>
              <w:pStyle w:val="TableText"/>
              <w:jc w:val="right"/>
            </w:pPr>
            <w:r>
              <w:t xml:space="preserve">-530,971 </w:t>
            </w:r>
          </w:p>
        </w:tc>
        <w:tc>
          <w:tcPr>
            <w:tcW w:w="1120" w:type="dxa"/>
            <w:shd w:val="clear" w:color="auto" w:fill="auto"/>
            <w:noWrap/>
            <w:vAlign w:val="bottom"/>
            <w:hideMark/>
          </w:tcPr>
          <w:p w:rsidR="005F2476" w:rsidRDefault="005F2476" w:rsidP="00C91D8A">
            <w:pPr>
              <w:pStyle w:val="TableText"/>
              <w:jc w:val="right"/>
            </w:pPr>
            <w:r>
              <w:t xml:space="preserve">-805,475 </w:t>
            </w:r>
          </w:p>
        </w:tc>
        <w:tc>
          <w:tcPr>
            <w:tcW w:w="1220" w:type="dxa"/>
            <w:shd w:val="clear" w:color="auto" w:fill="auto"/>
            <w:noWrap/>
            <w:vAlign w:val="bottom"/>
            <w:hideMark/>
          </w:tcPr>
          <w:p w:rsidR="005F2476" w:rsidRDefault="005F2476" w:rsidP="005F2476">
            <w:pPr>
              <w:pStyle w:val="TableText"/>
              <w:jc w:val="right"/>
            </w:pPr>
            <w:r>
              <w:t xml:space="preserve">-   1,085,991 </w:t>
            </w:r>
          </w:p>
        </w:tc>
        <w:tc>
          <w:tcPr>
            <w:tcW w:w="1220" w:type="dxa"/>
            <w:shd w:val="clear" w:color="auto" w:fill="auto"/>
            <w:noWrap/>
            <w:vAlign w:val="bottom"/>
            <w:hideMark/>
          </w:tcPr>
          <w:p w:rsidR="005F2476" w:rsidRDefault="005F2476" w:rsidP="005F2476">
            <w:pPr>
              <w:pStyle w:val="TableText"/>
              <w:jc w:val="right"/>
            </w:pPr>
            <w:r>
              <w:t xml:space="preserve">-   1,372,521 </w:t>
            </w:r>
          </w:p>
        </w:tc>
      </w:tr>
      <w:tr w:rsidR="005F2476" w:rsidRPr="0070291A" w:rsidTr="008A3211">
        <w:trPr>
          <w:trHeight w:val="300"/>
          <w:tblHeader/>
        </w:trPr>
        <w:tc>
          <w:tcPr>
            <w:tcW w:w="2446" w:type="dxa"/>
            <w:shd w:val="clear" w:color="auto" w:fill="auto"/>
            <w:noWrap/>
            <w:vAlign w:val="bottom"/>
            <w:hideMark/>
          </w:tcPr>
          <w:p w:rsidR="005F2476" w:rsidRPr="0070291A" w:rsidRDefault="005F2476" w:rsidP="004D5309">
            <w:pPr>
              <w:pStyle w:val="TableText"/>
            </w:pPr>
            <w:r w:rsidRPr="0070291A">
              <w:t>Total Costs</w:t>
            </w:r>
          </w:p>
        </w:tc>
        <w:tc>
          <w:tcPr>
            <w:tcW w:w="1393" w:type="dxa"/>
            <w:shd w:val="clear" w:color="auto" w:fill="auto"/>
            <w:noWrap/>
            <w:vAlign w:val="bottom"/>
            <w:hideMark/>
          </w:tcPr>
          <w:p w:rsidR="005F2476" w:rsidRDefault="005F2476" w:rsidP="005F2476">
            <w:pPr>
              <w:pStyle w:val="TableText"/>
              <w:jc w:val="right"/>
            </w:pPr>
            <w:r>
              <w:t xml:space="preserve">3,486,264 </w:t>
            </w:r>
          </w:p>
        </w:tc>
        <w:tc>
          <w:tcPr>
            <w:tcW w:w="1198" w:type="dxa"/>
            <w:shd w:val="clear" w:color="auto" w:fill="auto"/>
            <w:noWrap/>
            <w:vAlign w:val="bottom"/>
            <w:hideMark/>
          </w:tcPr>
          <w:p w:rsidR="005F2476" w:rsidRDefault="005F2476" w:rsidP="005F2476">
            <w:pPr>
              <w:pStyle w:val="TableText"/>
              <w:jc w:val="right"/>
            </w:pPr>
            <w:r>
              <w:t xml:space="preserve">   6,725,223 </w:t>
            </w:r>
          </w:p>
        </w:tc>
        <w:tc>
          <w:tcPr>
            <w:tcW w:w="1120" w:type="dxa"/>
            <w:shd w:val="clear" w:color="auto" w:fill="auto"/>
            <w:noWrap/>
            <w:vAlign w:val="bottom"/>
            <w:hideMark/>
          </w:tcPr>
          <w:p w:rsidR="005F2476" w:rsidRDefault="005F2476" w:rsidP="005F2476">
            <w:pPr>
              <w:pStyle w:val="TableText"/>
              <w:jc w:val="right"/>
            </w:pPr>
            <w:r>
              <w:t xml:space="preserve">   9,705,898 </w:t>
            </w:r>
          </w:p>
        </w:tc>
        <w:tc>
          <w:tcPr>
            <w:tcW w:w="1220" w:type="dxa"/>
            <w:shd w:val="clear" w:color="auto" w:fill="auto"/>
            <w:noWrap/>
            <w:vAlign w:val="bottom"/>
            <w:hideMark/>
          </w:tcPr>
          <w:p w:rsidR="005F2476" w:rsidRDefault="005F2476" w:rsidP="005F2476">
            <w:pPr>
              <w:pStyle w:val="TableText"/>
              <w:jc w:val="right"/>
            </w:pPr>
            <w:r>
              <w:t xml:space="preserve">   12,416,958 </w:t>
            </w:r>
          </w:p>
        </w:tc>
        <w:tc>
          <w:tcPr>
            <w:tcW w:w="1220" w:type="dxa"/>
            <w:shd w:val="clear" w:color="auto" w:fill="auto"/>
            <w:noWrap/>
            <w:vAlign w:val="bottom"/>
            <w:hideMark/>
          </w:tcPr>
          <w:p w:rsidR="005F2476" w:rsidRDefault="005F2476" w:rsidP="005F2476">
            <w:pPr>
              <w:pStyle w:val="TableText"/>
              <w:jc w:val="right"/>
            </w:pPr>
            <w:r>
              <w:t xml:space="preserve">   14,847,463 </w:t>
            </w:r>
          </w:p>
        </w:tc>
      </w:tr>
      <w:tr w:rsidR="004B4974" w:rsidRPr="00C132C7" w:rsidTr="008A3211">
        <w:trPr>
          <w:trHeight w:val="300"/>
          <w:tblHeader/>
        </w:trPr>
        <w:tc>
          <w:tcPr>
            <w:tcW w:w="2446" w:type="dxa"/>
            <w:shd w:val="clear" w:color="auto" w:fill="auto"/>
            <w:noWrap/>
            <w:vAlign w:val="bottom"/>
          </w:tcPr>
          <w:p w:rsidR="004B4974" w:rsidRPr="00C132C7" w:rsidRDefault="008A3211" w:rsidP="008A3211">
            <w:pPr>
              <w:pStyle w:val="TableText"/>
              <w:rPr>
                <w:bCs/>
              </w:rPr>
            </w:pPr>
            <w:r>
              <w:rPr>
                <w:b/>
                <w:bCs/>
              </w:rPr>
              <w:t>Bone therapy cost = zol acid</w:t>
            </w:r>
          </w:p>
        </w:tc>
        <w:tc>
          <w:tcPr>
            <w:tcW w:w="1393" w:type="dxa"/>
            <w:shd w:val="clear" w:color="auto" w:fill="auto"/>
            <w:noWrap/>
            <w:vAlign w:val="bottom"/>
          </w:tcPr>
          <w:p w:rsidR="004B4974" w:rsidRDefault="008A3211" w:rsidP="00BD0D16">
            <w:pPr>
              <w:pStyle w:val="TableText"/>
              <w:jc w:val="right"/>
            </w:pPr>
            <w:r>
              <w:t>-</w:t>
            </w:r>
          </w:p>
        </w:tc>
        <w:tc>
          <w:tcPr>
            <w:tcW w:w="1198" w:type="dxa"/>
            <w:shd w:val="clear" w:color="auto" w:fill="auto"/>
            <w:noWrap/>
            <w:vAlign w:val="bottom"/>
          </w:tcPr>
          <w:p w:rsidR="004B4974" w:rsidRDefault="008A3211" w:rsidP="00BD0D16">
            <w:pPr>
              <w:pStyle w:val="TableText"/>
              <w:jc w:val="right"/>
            </w:pPr>
            <w:r>
              <w:t>-</w:t>
            </w:r>
          </w:p>
        </w:tc>
        <w:tc>
          <w:tcPr>
            <w:tcW w:w="1120" w:type="dxa"/>
            <w:shd w:val="clear" w:color="auto" w:fill="auto"/>
            <w:noWrap/>
            <w:vAlign w:val="bottom"/>
          </w:tcPr>
          <w:p w:rsidR="004B4974" w:rsidRDefault="008A3211" w:rsidP="00BD0D16">
            <w:pPr>
              <w:pStyle w:val="TableText"/>
              <w:jc w:val="right"/>
            </w:pPr>
            <w:r>
              <w:t>-</w:t>
            </w:r>
          </w:p>
        </w:tc>
        <w:tc>
          <w:tcPr>
            <w:tcW w:w="1220" w:type="dxa"/>
            <w:shd w:val="clear" w:color="auto" w:fill="auto"/>
            <w:noWrap/>
            <w:vAlign w:val="bottom"/>
          </w:tcPr>
          <w:p w:rsidR="004B4974" w:rsidRDefault="008A3211" w:rsidP="00BD0D16">
            <w:pPr>
              <w:pStyle w:val="TableText"/>
              <w:jc w:val="right"/>
            </w:pPr>
            <w:r>
              <w:t>-</w:t>
            </w:r>
          </w:p>
        </w:tc>
        <w:tc>
          <w:tcPr>
            <w:tcW w:w="1220" w:type="dxa"/>
            <w:shd w:val="clear" w:color="auto" w:fill="auto"/>
            <w:noWrap/>
            <w:vAlign w:val="bottom"/>
          </w:tcPr>
          <w:p w:rsidR="004B4974" w:rsidRDefault="008A3211" w:rsidP="00BD0D16">
            <w:pPr>
              <w:pStyle w:val="TableText"/>
              <w:jc w:val="right"/>
            </w:pPr>
            <w:r>
              <w:t>-</w:t>
            </w:r>
          </w:p>
        </w:tc>
      </w:tr>
      <w:tr w:rsidR="00BD0D16" w:rsidRPr="00C132C7" w:rsidTr="008A3211">
        <w:trPr>
          <w:trHeight w:val="300"/>
          <w:tblHeader/>
        </w:trPr>
        <w:tc>
          <w:tcPr>
            <w:tcW w:w="2446" w:type="dxa"/>
            <w:shd w:val="clear" w:color="auto" w:fill="auto"/>
            <w:noWrap/>
            <w:vAlign w:val="bottom"/>
            <w:hideMark/>
          </w:tcPr>
          <w:p w:rsidR="00BD0D16" w:rsidRPr="00C132C7" w:rsidRDefault="00BD0D16" w:rsidP="0070291A">
            <w:pPr>
              <w:pStyle w:val="TableText"/>
              <w:rPr>
                <w:bCs/>
              </w:rPr>
            </w:pPr>
            <w:r w:rsidRPr="00C132C7">
              <w:rPr>
                <w:bCs/>
              </w:rPr>
              <w:t>Total MBS Costs</w:t>
            </w:r>
          </w:p>
        </w:tc>
        <w:tc>
          <w:tcPr>
            <w:tcW w:w="1393" w:type="dxa"/>
            <w:shd w:val="clear" w:color="auto" w:fill="auto"/>
            <w:noWrap/>
            <w:vAlign w:val="bottom"/>
            <w:hideMark/>
          </w:tcPr>
          <w:p w:rsidR="00BD0D16" w:rsidRDefault="00BD0D16" w:rsidP="00BD0D16">
            <w:pPr>
              <w:pStyle w:val="TableText"/>
              <w:jc w:val="right"/>
            </w:pPr>
            <w:r>
              <w:t xml:space="preserve">865,074 </w:t>
            </w:r>
          </w:p>
        </w:tc>
        <w:tc>
          <w:tcPr>
            <w:tcW w:w="1198" w:type="dxa"/>
            <w:shd w:val="clear" w:color="auto" w:fill="auto"/>
            <w:noWrap/>
            <w:vAlign w:val="bottom"/>
            <w:hideMark/>
          </w:tcPr>
          <w:p w:rsidR="00BD0D16" w:rsidRDefault="00BD0D16" w:rsidP="00BD0D16">
            <w:pPr>
              <w:pStyle w:val="TableText"/>
              <w:jc w:val="right"/>
            </w:pPr>
            <w:r>
              <w:t xml:space="preserve">   1,749,927 </w:t>
            </w:r>
          </w:p>
        </w:tc>
        <w:tc>
          <w:tcPr>
            <w:tcW w:w="1120" w:type="dxa"/>
            <w:shd w:val="clear" w:color="auto" w:fill="auto"/>
            <w:noWrap/>
            <w:vAlign w:val="bottom"/>
            <w:hideMark/>
          </w:tcPr>
          <w:p w:rsidR="00BD0D16" w:rsidRDefault="00BD0D16" w:rsidP="00BD0D16">
            <w:pPr>
              <w:pStyle w:val="TableText"/>
              <w:jc w:val="right"/>
            </w:pPr>
            <w:r>
              <w:t xml:space="preserve">   2,654,694 </w:t>
            </w:r>
          </w:p>
        </w:tc>
        <w:tc>
          <w:tcPr>
            <w:tcW w:w="1220" w:type="dxa"/>
            <w:shd w:val="clear" w:color="auto" w:fill="auto"/>
            <w:noWrap/>
            <w:vAlign w:val="bottom"/>
            <w:hideMark/>
          </w:tcPr>
          <w:p w:rsidR="00BD0D16" w:rsidRDefault="00BD0D16" w:rsidP="00BD0D16">
            <w:pPr>
              <w:pStyle w:val="TableText"/>
              <w:jc w:val="right"/>
            </w:pPr>
            <w:r>
              <w:t xml:space="preserve">3,579,156 </w:t>
            </w:r>
          </w:p>
        </w:tc>
        <w:tc>
          <w:tcPr>
            <w:tcW w:w="1220" w:type="dxa"/>
            <w:shd w:val="clear" w:color="auto" w:fill="auto"/>
            <w:noWrap/>
            <w:vAlign w:val="bottom"/>
            <w:hideMark/>
          </w:tcPr>
          <w:p w:rsidR="00BD0D16" w:rsidRDefault="00BD0D16" w:rsidP="00BD0D16">
            <w:pPr>
              <w:pStyle w:val="TableText"/>
              <w:jc w:val="right"/>
            </w:pPr>
            <w:r>
              <w:t xml:space="preserve">4,523,487 </w:t>
            </w:r>
          </w:p>
        </w:tc>
      </w:tr>
      <w:tr w:rsidR="00BD0D16" w:rsidRPr="0070291A" w:rsidTr="008A3211">
        <w:trPr>
          <w:trHeight w:val="300"/>
          <w:tblHeader/>
        </w:trPr>
        <w:tc>
          <w:tcPr>
            <w:tcW w:w="2446" w:type="dxa"/>
            <w:shd w:val="clear" w:color="auto" w:fill="auto"/>
            <w:noWrap/>
            <w:vAlign w:val="bottom"/>
            <w:hideMark/>
          </w:tcPr>
          <w:p w:rsidR="00BD0D16" w:rsidRPr="0070291A" w:rsidRDefault="00BD0D16" w:rsidP="0070291A">
            <w:pPr>
              <w:pStyle w:val="TableText"/>
            </w:pPr>
            <w:r w:rsidRPr="0070291A">
              <w:t>Total PBS Costs</w:t>
            </w:r>
          </w:p>
        </w:tc>
        <w:tc>
          <w:tcPr>
            <w:tcW w:w="1393" w:type="dxa"/>
            <w:shd w:val="clear" w:color="auto" w:fill="auto"/>
            <w:noWrap/>
            <w:vAlign w:val="bottom"/>
            <w:hideMark/>
          </w:tcPr>
          <w:p w:rsidR="00BD0D16" w:rsidRDefault="00BD0D16" w:rsidP="00BD0D16">
            <w:pPr>
              <w:pStyle w:val="TableText"/>
              <w:jc w:val="right"/>
            </w:pPr>
            <w:r>
              <w:t xml:space="preserve">1,021,456 </w:t>
            </w:r>
          </w:p>
        </w:tc>
        <w:tc>
          <w:tcPr>
            <w:tcW w:w="1198" w:type="dxa"/>
            <w:shd w:val="clear" w:color="auto" w:fill="auto"/>
            <w:noWrap/>
            <w:vAlign w:val="bottom"/>
            <w:hideMark/>
          </w:tcPr>
          <w:p w:rsidR="00BD0D16" w:rsidRDefault="00BD0D16" w:rsidP="00BD0D16">
            <w:pPr>
              <w:pStyle w:val="TableText"/>
              <w:jc w:val="right"/>
            </w:pPr>
            <w:r>
              <w:t xml:space="preserve">   1,962,995 </w:t>
            </w:r>
          </w:p>
        </w:tc>
        <w:tc>
          <w:tcPr>
            <w:tcW w:w="1120" w:type="dxa"/>
            <w:shd w:val="clear" w:color="auto" w:fill="auto"/>
            <w:noWrap/>
            <w:vAlign w:val="bottom"/>
            <w:hideMark/>
          </w:tcPr>
          <w:p w:rsidR="00BD0D16" w:rsidRDefault="00BD0D16" w:rsidP="00BD0D16">
            <w:pPr>
              <w:pStyle w:val="TableText"/>
              <w:jc w:val="right"/>
            </w:pPr>
            <w:r>
              <w:t xml:space="preserve">   2,821,106 </w:t>
            </w:r>
          </w:p>
        </w:tc>
        <w:tc>
          <w:tcPr>
            <w:tcW w:w="1220" w:type="dxa"/>
            <w:shd w:val="clear" w:color="auto" w:fill="auto"/>
            <w:noWrap/>
            <w:vAlign w:val="bottom"/>
            <w:hideMark/>
          </w:tcPr>
          <w:p w:rsidR="00BD0D16" w:rsidRDefault="00BD0D16" w:rsidP="00BD0D16">
            <w:pPr>
              <w:pStyle w:val="TableText"/>
              <w:jc w:val="right"/>
            </w:pPr>
            <w:r>
              <w:t xml:space="preserve">3,592,281 </w:t>
            </w:r>
          </w:p>
        </w:tc>
        <w:tc>
          <w:tcPr>
            <w:tcW w:w="1220" w:type="dxa"/>
            <w:shd w:val="clear" w:color="auto" w:fill="auto"/>
            <w:noWrap/>
            <w:vAlign w:val="bottom"/>
            <w:hideMark/>
          </w:tcPr>
          <w:p w:rsidR="00BD0D16" w:rsidRDefault="00BD0D16" w:rsidP="00BD0D16">
            <w:pPr>
              <w:pStyle w:val="TableText"/>
              <w:jc w:val="right"/>
            </w:pPr>
            <w:r>
              <w:t xml:space="preserve">4,273,010 </w:t>
            </w:r>
          </w:p>
        </w:tc>
      </w:tr>
      <w:tr w:rsidR="00BD0D16" w:rsidRPr="0070291A" w:rsidTr="008A3211">
        <w:trPr>
          <w:trHeight w:val="300"/>
          <w:tblHeader/>
        </w:trPr>
        <w:tc>
          <w:tcPr>
            <w:tcW w:w="2446" w:type="dxa"/>
            <w:shd w:val="clear" w:color="auto" w:fill="auto"/>
            <w:noWrap/>
            <w:vAlign w:val="bottom"/>
            <w:hideMark/>
          </w:tcPr>
          <w:p w:rsidR="00BD0D16" w:rsidRPr="0070291A" w:rsidRDefault="00BD0D16" w:rsidP="0070291A">
            <w:pPr>
              <w:pStyle w:val="TableText"/>
            </w:pPr>
            <w:r w:rsidRPr="0070291A">
              <w:t>Total OTHER cost savings</w:t>
            </w:r>
          </w:p>
        </w:tc>
        <w:tc>
          <w:tcPr>
            <w:tcW w:w="1393" w:type="dxa"/>
            <w:shd w:val="clear" w:color="auto" w:fill="auto"/>
            <w:noWrap/>
            <w:vAlign w:val="bottom"/>
            <w:hideMark/>
          </w:tcPr>
          <w:p w:rsidR="00BD0D16" w:rsidRDefault="00BD0D16" w:rsidP="00C91D8A">
            <w:pPr>
              <w:pStyle w:val="TableText"/>
              <w:jc w:val="right"/>
            </w:pPr>
            <w:r>
              <w:t xml:space="preserve">-38,453 </w:t>
            </w:r>
          </w:p>
        </w:tc>
        <w:tc>
          <w:tcPr>
            <w:tcW w:w="1198" w:type="dxa"/>
            <w:shd w:val="clear" w:color="auto" w:fill="auto"/>
            <w:noWrap/>
            <w:vAlign w:val="bottom"/>
            <w:hideMark/>
          </w:tcPr>
          <w:p w:rsidR="00BD0D16" w:rsidRDefault="00BD0D16" w:rsidP="00C91D8A">
            <w:pPr>
              <w:pStyle w:val="TableText"/>
              <w:jc w:val="right"/>
            </w:pPr>
            <w:r>
              <w:t xml:space="preserve">-77,787 </w:t>
            </w:r>
          </w:p>
        </w:tc>
        <w:tc>
          <w:tcPr>
            <w:tcW w:w="1120" w:type="dxa"/>
            <w:shd w:val="clear" w:color="auto" w:fill="auto"/>
            <w:noWrap/>
            <w:vAlign w:val="bottom"/>
            <w:hideMark/>
          </w:tcPr>
          <w:p w:rsidR="00BD0D16" w:rsidRDefault="00BD0D16" w:rsidP="00C91D8A">
            <w:pPr>
              <w:pStyle w:val="TableText"/>
              <w:jc w:val="right"/>
            </w:pPr>
            <w:r>
              <w:t xml:space="preserve">-118,002 </w:t>
            </w:r>
          </w:p>
        </w:tc>
        <w:tc>
          <w:tcPr>
            <w:tcW w:w="1220" w:type="dxa"/>
            <w:shd w:val="clear" w:color="auto" w:fill="auto"/>
            <w:noWrap/>
            <w:vAlign w:val="bottom"/>
            <w:hideMark/>
          </w:tcPr>
          <w:p w:rsidR="00BD0D16" w:rsidRDefault="00BD0D16" w:rsidP="00C91D8A">
            <w:pPr>
              <w:pStyle w:val="TableText"/>
              <w:jc w:val="right"/>
            </w:pPr>
            <w:r>
              <w:t xml:space="preserve">-159,098 </w:t>
            </w:r>
          </w:p>
        </w:tc>
        <w:tc>
          <w:tcPr>
            <w:tcW w:w="1220" w:type="dxa"/>
            <w:shd w:val="clear" w:color="auto" w:fill="auto"/>
            <w:noWrap/>
            <w:vAlign w:val="bottom"/>
            <w:hideMark/>
          </w:tcPr>
          <w:p w:rsidR="00BD0D16" w:rsidRDefault="00BD0D16" w:rsidP="00C91D8A">
            <w:pPr>
              <w:pStyle w:val="TableText"/>
              <w:jc w:val="right"/>
            </w:pPr>
            <w:r>
              <w:t xml:space="preserve">-201,074 </w:t>
            </w:r>
          </w:p>
        </w:tc>
      </w:tr>
      <w:tr w:rsidR="00BD0D16" w:rsidRPr="0070291A" w:rsidTr="008A3211">
        <w:trPr>
          <w:trHeight w:val="300"/>
          <w:tblHeader/>
        </w:trPr>
        <w:tc>
          <w:tcPr>
            <w:tcW w:w="2446" w:type="dxa"/>
            <w:shd w:val="clear" w:color="auto" w:fill="auto"/>
            <w:noWrap/>
            <w:vAlign w:val="bottom"/>
            <w:hideMark/>
          </w:tcPr>
          <w:p w:rsidR="00BD0D16" w:rsidRPr="0070291A" w:rsidRDefault="00BD0D16" w:rsidP="004D5309">
            <w:pPr>
              <w:pStyle w:val="TableText"/>
            </w:pPr>
            <w:r w:rsidRPr="0070291A">
              <w:t>Total Costs</w:t>
            </w:r>
          </w:p>
        </w:tc>
        <w:tc>
          <w:tcPr>
            <w:tcW w:w="1393" w:type="dxa"/>
            <w:shd w:val="clear" w:color="auto" w:fill="auto"/>
            <w:noWrap/>
            <w:vAlign w:val="bottom"/>
            <w:hideMark/>
          </w:tcPr>
          <w:p w:rsidR="00BD0D16" w:rsidRDefault="00BD0D16" w:rsidP="00BD0D16">
            <w:pPr>
              <w:pStyle w:val="TableText"/>
              <w:jc w:val="right"/>
            </w:pPr>
            <w:r>
              <w:t xml:space="preserve">1,848,077 </w:t>
            </w:r>
          </w:p>
        </w:tc>
        <w:tc>
          <w:tcPr>
            <w:tcW w:w="1198" w:type="dxa"/>
            <w:shd w:val="clear" w:color="auto" w:fill="auto"/>
            <w:noWrap/>
            <w:vAlign w:val="bottom"/>
            <w:hideMark/>
          </w:tcPr>
          <w:p w:rsidR="00BD0D16" w:rsidRDefault="00BD0D16" w:rsidP="00BD0D16">
            <w:pPr>
              <w:pStyle w:val="TableText"/>
              <w:jc w:val="right"/>
            </w:pPr>
            <w:r>
              <w:t xml:space="preserve">   3,635,135 </w:t>
            </w:r>
          </w:p>
        </w:tc>
        <w:tc>
          <w:tcPr>
            <w:tcW w:w="1120" w:type="dxa"/>
            <w:shd w:val="clear" w:color="auto" w:fill="auto"/>
            <w:noWrap/>
            <w:vAlign w:val="bottom"/>
            <w:hideMark/>
          </w:tcPr>
          <w:p w:rsidR="00BD0D16" w:rsidRDefault="00BD0D16" w:rsidP="00BD0D16">
            <w:pPr>
              <w:pStyle w:val="TableText"/>
              <w:jc w:val="right"/>
            </w:pPr>
            <w:r>
              <w:t xml:space="preserve">   5,357,799 </w:t>
            </w:r>
          </w:p>
        </w:tc>
        <w:tc>
          <w:tcPr>
            <w:tcW w:w="1220" w:type="dxa"/>
            <w:shd w:val="clear" w:color="auto" w:fill="auto"/>
            <w:noWrap/>
            <w:vAlign w:val="bottom"/>
            <w:hideMark/>
          </w:tcPr>
          <w:p w:rsidR="00BD0D16" w:rsidRDefault="00BD0D16" w:rsidP="00BD0D16">
            <w:pPr>
              <w:pStyle w:val="TableText"/>
              <w:jc w:val="right"/>
            </w:pPr>
            <w:r>
              <w:t xml:space="preserve">7,012,340 </w:t>
            </w:r>
          </w:p>
        </w:tc>
        <w:tc>
          <w:tcPr>
            <w:tcW w:w="1220" w:type="dxa"/>
            <w:shd w:val="clear" w:color="auto" w:fill="auto"/>
            <w:noWrap/>
            <w:vAlign w:val="bottom"/>
            <w:hideMark/>
          </w:tcPr>
          <w:p w:rsidR="00BD0D16" w:rsidRDefault="00BD0D16" w:rsidP="00BD0D16">
            <w:pPr>
              <w:pStyle w:val="TableText"/>
              <w:jc w:val="right"/>
            </w:pPr>
            <w:r>
              <w:t xml:space="preserve">8,595,423 </w:t>
            </w:r>
          </w:p>
        </w:tc>
      </w:tr>
      <w:tr w:rsidR="004B4974" w:rsidRPr="00C132C7" w:rsidTr="008A3211">
        <w:trPr>
          <w:trHeight w:val="300"/>
          <w:tblHeader/>
        </w:trPr>
        <w:tc>
          <w:tcPr>
            <w:tcW w:w="2446" w:type="dxa"/>
            <w:shd w:val="clear" w:color="auto" w:fill="auto"/>
            <w:noWrap/>
            <w:vAlign w:val="bottom"/>
          </w:tcPr>
          <w:p w:rsidR="004B4974" w:rsidRPr="00C132C7" w:rsidRDefault="008A3211" w:rsidP="0070291A">
            <w:pPr>
              <w:pStyle w:val="TableText"/>
              <w:rPr>
                <w:bCs/>
              </w:rPr>
            </w:pPr>
            <w:r w:rsidRPr="00C132C7">
              <w:rPr>
                <w:b/>
              </w:rPr>
              <w:t>RR fracture is lower = 0.40</w:t>
            </w:r>
          </w:p>
        </w:tc>
        <w:tc>
          <w:tcPr>
            <w:tcW w:w="1393" w:type="dxa"/>
            <w:shd w:val="clear" w:color="auto" w:fill="auto"/>
            <w:noWrap/>
            <w:vAlign w:val="bottom"/>
          </w:tcPr>
          <w:p w:rsidR="004B4974" w:rsidRDefault="008A3211" w:rsidP="00BD0D16">
            <w:pPr>
              <w:pStyle w:val="TableText"/>
              <w:jc w:val="right"/>
            </w:pPr>
            <w:r>
              <w:t>-</w:t>
            </w:r>
          </w:p>
        </w:tc>
        <w:tc>
          <w:tcPr>
            <w:tcW w:w="1198" w:type="dxa"/>
            <w:shd w:val="clear" w:color="auto" w:fill="auto"/>
            <w:noWrap/>
            <w:vAlign w:val="bottom"/>
          </w:tcPr>
          <w:p w:rsidR="004B4974" w:rsidRDefault="008A3211" w:rsidP="00BD0D16">
            <w:pPr>
              <w:pStyle w:val="TableText"/>
              <w:jc w:val="right"/>
            </w:pPr>
            <w:r>
              <w:t>-</w:t>
            </w:r>
          </w:p>
        </w:tc>
        <w:tc>
          <w:tcPr>
            <w:tcW w:w="1120" w:type="dxa"/>
            <w:shd w:val="clear" w:color="auto" w:fill="auto"/>
            <w:noWrap/>
            <w:vAlign w:val="bottom"/>
          </w:tcPr>
          <w:p w:rsidR="004B4974" w:rsidRDefault="008A3211" w:rsidP="00BD0D16">
            <w:pPr>
              <w:pStyle w:val="TableText"/>
              <w:jc w:val="right"/>
            </w:pPr>
            <w:r>
              <w:t>-</w:t>
            </w:r>
          </w:p>
        </w:tc>
        <w:tc>
          <w:tcPr>
            <w:tcW w:w="1220" w:type="dxa"/>
            <w:shd w:val="clear" w:color="auto" w:fill="auto"/>
            <w:noWrap/>
            <w:vAlign w:val="bottom"/>
          </w:tcPr>
          <w:p w:rsidR="004B4974" w:rsidRDefault="008A3211" w:rsidP="00BD0D16">
            <w:pPr>
              <w:pStyle w:val="TableText"/>
              <w:jc w:val="right"/>
            </w:pPr>
            <w:r>
              <w:t>-</w:t>
            </w:r>
          </w:p>
        </w:tc>
        <w:tc>
          <w:tcPr>
            <w:tcW w:w="1220" w:type="dxa"/>
            <w:shd w:val="clear" w:color="auto" w:fill="auto"/>
            <w:noWrap/>
            <w:vAlign w:val="bottom"/>
          </w:tcPr>
          <w:p w:rsidR="004B4974" w:rsidRDefault="008A3211" w:rsidP="00BD0D16">
            <w:pPr>
              <w:pStyle w:val="TableText"/>
              <w:jc w:val="right"/>
            </w:pPr>
            <w:r>
              <w:t>-</w:t>
            </w:r>
          </w:p>
        </w:tc>
      </w:tr>
      <w:tr w:rsidR="00BD0D16" w:rsidRPr="00C132C7" w:rsidTr="008A3211">
        <w:trPr>
          <w:trHeight w:val="300"/>
          <w:tblHeader/>
        </w:trPr>
        <w:tc>
          <w:tcPr>
            <w:tcW w:w="2446" w:type="dxa"/>
            <w:shd w:val="clear" w:color="auto" w:fill="auto"/>
            <w:noWrap/>
            <w:vAlign w:val="bottom"/>
            <w:hideMark/>
          </w:tcPr>
          <w:p w:rsidR="00BD0D16" w:rsidRPr="00C132C7" w:rsidRDefault="00BD0D16" w:rsidP="0070291A">
            <w:pPr>
              <w:pStyle w:val="TableText"/>
              <w:rPr>
                <w:bCs/>
              </w:rPr>
            </w:pPr>
            <w:r w:rsidRPr="00C132C7">
              <w:rPr>
                <w:bCs/>
              </w:rPr>
              <w:t>Total MBS Costs</w:t>
            </w:r>
          </w:p>
        </w:tc>
        <w:tc>
          <w:tcPr>
            <w:tcW w:w="1393" w:type="dxa"/>
            <w:shd w:val="clear" w:color="auto" w:fill="auto"/>
            <w:noWrap/>
            <w:vAlign w:val="bottom"/>
            <w:hideMark/>
          </w:tcPr>
          <w:p w:rsidR="00BD0D16" w:rsidRDefault="00BD0D16" w:rsidP="00BD0D16">
            <w:pPr>
              <w:pStyle w:val="TableText"/>
              <w:jc w:val="right"/>
            </w:pPr>
            <w:r>
              <w:t xml:space="preserve">865,074 </w:t>
            </w:r>
          </w:p>
        </w:tc>
        <w:tc>
          <w:tcPr>
            <w:tcW w:w="1198" w:type="dxa"/>
            <w:shd w:val="clear" w:color="auto" w:fill="auto"/>
            <w:noWrap/>
            <w:vAlign w:val="bottom"/>
            <w:hideMark/>
          </w:tcPr>
          <w:p w:rsidR="00BD0D16" w:rsidRDefault="00BD0D16" w:rsidP="00BD0D16">
            <w:pPr>
              <w:pStyle w:val="TableText"/>
              <w:jc w:val="right"/>
            </w:pPr>
            <w:r>
              <w:t xml:space="preserve">   1,749,927 </w:t>
            </w:r>
          </w:p>
        </w:tc>
        <w:tc>
          <w:tcPr>
            <w:tcW w:w="1120" w:type="dxa"/>
            <w:shd w:val="clear" w:color="auto" w:fill="auto"/>
            <w:noWrap/>
            <w:vAlign w:val="bottom"/>
            <w:hideMark/>
          </w:tcPr>
          <w:p w:rsidR="00BD0D16" w:rsidRDefault="00BD0D16" w:rsidP="00BD0D16">
            <w:pPr>
              <w:pStyle w:val="TableText"/>
              <w:jc w:val="right"/>
            </w:pPr>
            <w:r>
              <w:t xml:space="preserve">   2,654,694 </w:t>
            </w:r>
          </w:p>
        </w:tc>
        <w:tc>
          <w:tcPr>
            <w:tcW w:w="1220" w:type="dxa"/>
            <w:shd w:val="clear" w:color="auto" w:fill="auto"/>
            <w:noWrap/>
            <w:vAlign w:val="bottom"/>
            <w:hideMark/>
          </w:tcPr>
          <w:p w:rsidR="00BD0D16" w:rsidRDefault="00BD0D16" w:rsidP="00BD0D16">
            <w:pPr>
              <w:pStyle w:val="TableText"/>
              <w:jc w:val="right"/>
            </w:pPr>
            <w:r>
              <w:t xml:space="preserve">3,579,156 </w:t>
            </w:r>
          </w:p>
        </w:tc>
        <w:tc>
          <w:tcPr>
            <w:tcW w:w="1220" w:type="dxa"/>
            <w:shd w:val="clear" w:color="auto" w:fill="auto"/>
            <w:noWrap/>
            <w:vAlign w:val="bottom"/>
            <w:hideMark/>
          </w:tcPr>
          <w:p w:rsidR="00BD0D16" w:rsidRDefault="00BD0D16" w:rsidP="00BD0D16">
            <w:pPr>
              <w:pStyle w:val="TableText"/>
              <w:jc w:val="right"/>
            </w:pPr>
            <w:r>
              <w:t xml:space="preserve">4,523,487 </w:t>
            </w:r>
          </w:p>
        </w:tc>
      </w:tr>
      <w:tr w:rsidR="00BD0D16" w:rsidRPr="0070291A" w:rsidTr="008A3211">
        <w:trPr>
          <w:trHeight w:val="300"/>
          <w:tblHeader/>
        </w:trPr>
        <w:tc>
          <w:tcPr>
            <w:tcW w:w="2446" w:type="dxa"/>
            <w:shd w:val="clear" w:color="auto" w:fill="auto"/>
            <w:noWrap/>
            <w:vAlign w:val="bottom"/>
            <w:hideMark/>
          </w:tcPr>
          <w:p w:rsidR="00BD0D16" w:rsidRPr="0070291A" w:rsidRDefault="00BD0D16" w:rsidP="0070291A">
            <w:pPr>
              <w:pStyle w:val="TableText"/>
            </w:pPr>
            <w:r w:rsidRPr="0070291A">
              <w:t>Total PBS Costs</w:t>
            </w:r>
          </w:p>
        </w:tc>
        <w:tc>
          <w:tcPr>
            <w:tcW w:w="1393" w:type="dxa"/>
            <w:shd w:val="clear" w:color="auto" w:fill="auto"/>
            <w:noWrap/>
            <w:vAlign w:val="bottom"/>
            <w:hideMark/>
          </w:tcPr>
          <w:p w:rsidR="00BD0D16" w:rsidRDefault="00BD0D16" w:rsidP="00BD0D16">
            <w:pPr>
              <w:pStyle w:val="TableText"/>
              <w:jc w:val="right"/>
            </w:pPr>
            <w:r>
              <w:t xml:space="preserve">473,815 </w:t>
            </w:r>
          </w:p>
        </w:tc>
        <w:tc>
          <w:tcPr>
            <w:tcW w:w="1198" w:type="dxa"/>
            <w:shd w:val="clear" w:color="auto" w:fill="auto"/>
            <w:noWrap/>
            <w:vAlign w:val="bottom"/>
            <w:hideMark/>
          </w:tcPr>
          <w:p w:rsidR="00BD0D16" w:rsidRDefault="00BD0D16" w:rsidP="00BD0D16">
            <w:pPr>
              <w:pStyle w:val="TableText"/>
              <w:jc w:val="right"/>
            </w:pPr>
            <w:r>
              <w:t xml:space="preserve">910,560 </w:t>
            </w:r>
          </w:p>
        </w:tc>
        <w:tc>
          <w:tcPr>
            <w:tcW w:w="1120" w:type="dxa"/>
            <w:shd w:val="clear" w:color="auto" w:fill="auto"/>
            <w:noWrap/>
            <w:vAlign w:val="bottom"/>
            <w:hideMark/>
          </w:tcPr>
          <w:p w:rsidR="00BD0D16" w:rsidRDefault="00BD0D16" w:rsidP="00BD0D16">
            <w:pPr>
              <w:pStyle w:val="TableText"/>
              <w:jc w:val="right"/>
            </w:pPr>
            <w:r>
              <w:t xml:space="preserve">   1,308,605 </w:t>
            </w:r>
          </w:p>
        </w:tc>
        <w:tc>
          <w:tcPr>
            <w:tcW w:w="1220" w:type="dxa"/>
            <w:shd w:val="clear" w:color="auto" w:fill="auto"/>
            <w:noWrap/>
            <w:vAlign w:val="bottom"/>
            <w:hideMark/>
          </w:tcPr>
          <w:p w:rsidR="00BD0D16" w:rsidRDefault="00BD0D16" w:rsidP="00BD0D16">
            <w:pPr>
              <w:pStyle w:val="TableText"/>
              <w:jc w:val="right"/>
            </w:pPr>
            <w:r>
              <w:t xml:space="preserve">1,666,324 </w:t>
            </w:r>
          </w:p>
        </w:tc>
        <w:tc>
          <w:tcPr>
            <w:tcW w:w="1220" w:type="dxa"/>
            <w:shd w:val="clear" w:color="auto" w:fill="auto"/>
            <w:noWrap/>
            <w:vAlign w:val="bottom"/>
            <w:hideMark/>
          </w:tcPr>
          <w:p w:rsidR="00BD0D16" w:rsidRDefault="00BD0D16" w:rsidP="00BD0D16">
            <w:pPr>
              <w:pStyle w:val="TableText"/>
              <w:jc w:val="right"/>
            </w:pPr>
            <w:r>
              <w:t xml:space="preserve">1,982,089 </w:t>
            </w:r>
          </w:p>
        </w:tc>
      </w:tr>
      <w:tr w:rsidR="00BD0D16" w:rsidRPr="0070291A" w:rsidTr="008A3211">
        <w:trPr>
          <w:trHeight w:val="300"/>
          <w:tblHeader/>
        </w:trPr>
        <w:tc>
          <w:tcPr>
            <w:tcW w:w="2446" w:type="dxa"/>
            <w:shd w:val="clear" w:color="auto" w:fill="auto"/>
            <w:noWrap/>
            <w:vAlign w:val="bottom"/>
            <w:hideMark/>
          </w:tcPr>
          <w:p w:rsidR="00BD0D16" w:rsidRPr="0070291A" w:rsidRDefault="00BD0D16" w:rsidP="0070291A">
            <w:pPr>
              <w:pStyle w:val="TableText"/>
            </w:pPr>
            <w:r w:rsidRPr="0070291A">
              <w:t>Total OTHER cost savings</w:t>
            </w:r>
          </w:p>
        </w:tc>
        <w:tc>
          <w:tcPr>
            <w:tcW w:w="1393" w:type="dxa"/>
            <w:shd w:val="clear" w:color="auto" w:fill="auto"/>
            <w:noWrap/>
            <w:vAlign w:val="bottom"/>
            <w:hideMark/>
          </w:tcPr>
          <w:p w:rsidR="00BD0D16" w:rsidRDefault="00BD0D16" w:rsidP="00C91D8A">
            <w:pPr>
              <w:pStyle w:val="TableText"/>
              <w:jc w:val="right"/>
            </w:pPr>
            <w:r>
              <w:t xml:space="preserve">-67,819 </w:t>
            </w:r>
          </w:p>
        </w:tc>
        <w:tc>
          <w:tcPr>
            <w:tcW w:w="1198" w:type="dxa"/>
            <w:shd w:val="clear" w:color="auto" w:fill="auto"/>
            <w:noWrap/>
            <w:vAlign w:val="bottom"/>
            <w:hideMark/>
          </w:tcPr>
          <w:p w:rsidR="00BD0D16" w:rsidRDefault="00BD0D16" w:rsidP="00C91D8A">
            <w:pPr>
              <w:pStyle w:val="TableText"/>
              <w:jc w:val="right"/>
            </w:pPr>
            <w:r>
              <w:t xml:space="preserve">-137,191 </w:t>
            </w:r>
          </w:p>
        </w:tc>
        <w:tc>
          <w:tcPr>
            <w:tcW w:w="1120" w:type="dxa"/>
            <w:shd w:val="clear" w:color="auto" w:fill="auto"/>
            <w:noWrap/>
            <w:vAlign w:val="bottom"/>
            <w:hideMark/>
          </w:tcPr>
          <w:p w:rsidR="00BD0D16" w:rsidRDefault="00BD0D16" w:rsidP="00C91D8A">
            <w:pPr>
              <w:pStyle w:val="TableText"/>
              <w:jc w:val="right"/>
            </w:pPr>
            <w:r>
              <w:t xml:space="preserve">-208,116 </w:t>
            </w:r>
          </w:p>
        </w:tc>
        <w:tc>
          <w:tcPr>
            <w:tcW w:w="1220" w:type="dxa"/>
            <w:shd w:val="clear" w:color="auto" w:fill="auto"/>
            <w:noWrap/>
            <w:vAlign w:val="bottom"/>
            <w:hideMark/>
          </w:tcPr>
          <w:p w:rsidR="00BD0D16" w:rsidRDefault="00BD0D16" w:rsidP="00C91D8A">
            <w:pPr>
              <w:pStyle w:val="TableText"/>
              <w:jc w:val="right"/>
            </w:pPr>
            <w:r>
              <w:t xml:space="preserve">-280,596 </w:t>
            </w:r>
          </w:p>
        </w:tc>
        <w:tc>
          <w:tcPr>
            <w:tcW w:w="1220" w:type="dxa"/>
            <w:shd w:val="clear" w:color="auto" w:fill="auto"/>
            <w:noWrap/>
            <w:vAlign w:val="bottom"/>
            <w:hideMark/>
          </w:tcPr>
          <w:p w:rsidR="00BD0D16" w:rsidRDefault="00BD0D16" w:rsidP="00C91D8A">
            <w:pPr>
              <w:pStyle w:val="TableText"/>
              <w:jc w:val="right"/>
            </w:pPr>
            <w:r>
              <w:t xml:space="preserve">-354,628 </w:t>
            </w:r>
          </w:p>
        </w:tc>
      </w:tr>
      <w:tr w:rsidR="00BD0D16" w:rsidRPr="0070291A" w:rsidTr="008A3211">
        <w:trPr>
          <w:trHeight w:val="300"/>
          <w:tblHeader/>
        </w:trPr>
        <w:tc>
          <w:tcPr>
            <w:tcW w:w="2446" w:type="dxa"/>
            <w:shd w:val="clear" w:color="auto" w:fill="auto"/>
            <w:noWrap/>
            <w:vAlign w:val="bottom"/>
            <w:hideMark/>
          </w:tcPr>
          <w:p w:rsidR="00BD0D16" w:rsidRPr="0070291A" w:rsidRDefault="00BD0D16" w:rsidP="004D5309">
            <w:pPr>
              <w:pStyle w:val="TableText"/>
            </w:pPr>
            <w:r w:rsidRPr="0070291A">
              <w:t>Total Costs</w:t>
            </w:r>
          </w:p>
        </w:tc>
        <w:tc>
          <w:tcPr>
            <w:tcW w:w="1393" w:type="dxa"/>
            <w:shd w:val="clear" w:color="auto" w:fill="auto"/>
            <w:noWrap/>
            <w:vAlign w:val="bottom"/>
            <w:hideMark/>
          </w:tcPr>
          <w:p w:rsidR="00BD0D16" w:rsidRDefault="00BD0D16" w:rsidP="00BD0D16">
            <w:pPr>
              <w:pStyle w:val="TableText"/>
              <w:jc w:val="right"/>
            </w:pPr>
            <w:r>
              <w:t xml:space="preserve">1,271,070 </w:t>
            </w:r>
          </w:p>
        </w:tc>
        <w:tc>
          <w:tcPr>
            <w:tcW w:w="1198" w:type="dxa"/>
            <w:shd w:val="clear" w:color="auto" w:fill="auto"/>
            <w:noWrap/>
            <w:vAlign w:val="bottom"/>
            <w:hideMark/>
          </w:tcPr>
          <w:p w:rsidR="00BD0D16" w:rsidRDefault="00BD0D16" w:rsidP="00BD0D16">
            <w:pPr>
              <w:pStyle w:val="TableText"/>
              <w:jc w:val="right"/>
            </w:pPr>
            <w:r>
              <w:t xml:space="preserve">   2,523,296 </w:t>
            </w:r>
          </w:p>
        </w:tc>
        <w:tc>
          <w:tcPr>
            <w:tcW w:w="1120" w:type="dxa"/>
            <w:shd w:val="clear" w:color="auto" w:fill="auto"/>
            <w:noWrap/>
            <w:vAlign w:val="bottom"/>
            <w:hideMark/>
          </w:tcPr>
          <w:p w:rsidR="00BD0D16" w:rsidRDefault="00BD0D16" w:rsidP="00BD0D16">
            <w:pPr>
              <w:pStyle w:val="TableText"/>
              <w:jc w:val="right"/>
            </w:pPr>
            <w:r>
              <w:t xml:space="preserve">   3,755,183 </w:t>
            </w:r>
          </w:p>
        </w:tc>
        <w:tc>
          <w:tcPr>
            <w:tcW w:w="1220" w:type="dxa"/>
            <w:shd w:val="clear" w:color="auto" w:fill="auto"/>
            <w:noWrap/>
            <w:vAlign w:val="bottom"/>
            <w:hideMark/>
          </w:tcPr>
          <w:p w:rsidR="00BD0D16" w:rsidRDefault="00BD0D16" w:rsidP="00BD0D16">
            <w:pPr>
              <w:pStyle w:val="TableText"/>
              <w:jc w:val="right"/>
            </w:pPr>
            <w:r>
              <w:t xml:space="preserve">4,964,885 </w:t>
            </w:r>
          </w:p>
        </w:tc>
        <w:tc>
          <w:tcPr>
            <w:tcW w:w="1220" w:type="dxa"/>
            <w:shd w:val="clear" w:color="auto" w:fill="auto"/>
            <w:noWrap/>
            <w:vAlign w:val="bottom"/>
            <w:hideMark/>
          </w:tcPr>
          <w:p w:rsidR="00BD0D16" w:rsidRDefault="00BD0D16" w:rsidP="00BD0D16">
            <w:pPr>
              <w:pStyle w:val="TableText"/>
              <w:jc w:val="right"/>
            </w:pPr>
            <w:r>
              <w:t xml:space="preserve">6,150,948 </w:t>
            </w:r>
          </w:p>
        </w:tc>
      </w:tr>
      <w:tr w:rsidR="004B4974" w:rsidRPr="00C132C7" w:rsidTr="008A3211">
        <w:trPr>
          <w:trHeight w:val="300"/>
          <w:tblHeader/>
        </w:trPr>
        <w:tc>
          <w:tcPr>
            <w:tcW w:w="2446" w:type="dxa"/>
            <w:shd w:val="clear" w:color="auto" w:fill="auto"/>
            <w:noWrap/>
            <w:vAlign w:val="bottom"/>
          </w:tcPr>
          <w:p w:rsidR="004B4974" w:rsidRPr="00C132C7" w:rsidRDefault="008A3211" w:rsidP="0070291A">
            <w:pPr>
              <w:pStyle w:val="TableText"/>
              <w:rPr>
                <w:bCs/>
              </w:rPr>
            </w:pPr>
            <w:r w:rsidRPr="00C132C7">
              <w:rPr>
                <w:b/>
              </w:rPr>
              <w:t>RR fracture is higher = 0.8455</w:t>
            </w:r>
          </w:p>
        </w:tc>
        <w:tc>
          <w:tcPr>
            <w:tcW w:w="1393" w:type="dxa"/>
            <w:shd w:val="clear" w:color="auto" w:fill="auto"/>
            <w:noWrap/>
            <w:vAlign w:val="bottom"/>
          </w:tcPr>
          <w:p w:rsidR="004B4974" w:rsidRDefault="008A3211" w:rsidP="00BD0D16">
            <w:pPr>
              <w:pStyle w:val="TableText"/>
              <w:jc w:val="right"/>
            </w:pPr>
            <w:r>
              <w:t>-</w:t>
            </w:r>
          </w:p>
        </w:tc>
        <w:tc>
          <w:tcPr>
            <w:tcW w:w="1198" w:type="dxa"/>
            <w:shd w:val="clear" w:color="auto" w:fill="auto"/>
            <w:noWrap/>
            <w:vAlign w:val="bottom"/>
          </w:tcPr>
          <w:p w:rsidR="004B4974" w:rsidRDefault="008A3211" w:rsidP="00BD0D16">
            <w:pPr>
              <w:pStyle w:val="TableText"/>
              <w:jc w:val="right"/>
            </w:pPr>
            <w:r>
              <w:t>-</w:t>
            </w:r>
          </w:p>
        </w:tc>
        <w:tc>
          <w:tcPr>
            <w:tcW w:w="1120" w:type="dxa"/>
            <w:shd w:val="clear" w:color="auto" w:fill="auto"/>
            <w:noWrap/>
            <w:vAlign w:val="bottom"/>
          </w:tcPr>
          <w:p w:rsidR="004B4974" w:rsidRDefault="008A3211" w:rsidP="00BD0D16">
            <w:pPr>
              <w:pStyle w:val="TableText"/>
              <w:jc w:val="right"/>
            </w:pPr>
            <w:r>
              <w:t>-</w:t>
            </w:r>
          </w:p>
        </w:tc>
        <w:tc>
          <w:tcPr>
            <w:tcW w:w="1220" w:type="dxa"/>
            <w:shd w:val="clear" w:color="auto" w:fill="auto"/>
            <w:noWrap/>
            <w:vAlign w:val="bottom"/>
          </w:tcPr>
          <w:p w:rsidR="004B4974" w:rsidRDefault="008A3211" w:rsidP="00BD0D16">
            <w:pPr>
              <w:pStyle w:val="TableText"/>
              <w:jc w:val="right"/>
            </w:pPr>
            <w:r>
              <w:t>-</w:t>
            </w:r>
          </w:p>
        </w:tc>
        <w:tc>
          <w:tcPr>
            <w:tcW w:w="1220" w:type="dxa"/>
            <w:shd w:val="clear" w:color="auto" w:fill="auto"/>
            <w:noWrap/>
            <w:vAlign w:val="bottom"/>
          </w:tcPr>
          <w:p w:rsidR="004B4974" w:rsidRDefault="008A3211" w:rsidP="00BD0D16">
            <w:pPr>
              <w:pStyle w:val="TableText"/>
              <w:jc w:val="right"/>
            </w:pPr>
            <w:r>
              <w:t>-</w:t>
            </w:r>
          </w:p>
        </w:tc>
      </w:tr>
      <w:tr w:rsidR="00BD0D16" w:rsidRPr="00C132C7" w:rsidTr="008A3211">
        <w:trPr>
          <w:trHeight w:val="300"/>
          <w:tblHeader/>
        </w:trPr>
        <w:tc>
          <w:tcPr>
            <w:tcW w:w="2446" w:type="dxa"/>
            <w:shd w:val="clear" w:color="auto" w:fill="auto"/>
            <w:noWrap/>
            <w:vAlign w:val="bottom"/>
            <w:hideMark/>
          </w:tcPr>
          <w:p w:rsidR="00BD0D16" w:rsidRPr="00C132C7" w:rsidRDefault="00BD0D16" w:rsidP="0070291A">
            <w:pPr>
              <w:pStyle w:val="TableText"/>
              <w:rPr>
                <w:bCs/>
              </w:rPr>
            </w:pPr>
            <w:r w:rsidRPr="00C132C7">
              <w:rPr>
                <w:bCs/>
              </w:rPr>
              <w:t>Total MBS Costs</w:t>
            </w:r>
          </w:p>
        </w:tc>
        <w:tc>
          <w:tcPr>
            <w:tcW w:w="1393" w:type="dxa"/>
            <w:shd w:val="clear" w:color="auto" w:fill="auto"/>
            <w:noWrap/>
            <w:vAlign w:val="bottom"/>
            <w:hideMark/>
          </w:tcPr>
          <w:p w:rsidR="00BD0D16" w:rsidRDefault="00BD0D16" w:rsidP="00BD0D16">
            <w:pPr>
              <w:pStyle w:val="TableText"/>
              <w:jc w:val="right"/>
            </w:pPr>
            <w:r>
              <w:t xml:space="preserve">865,074 </w:t>
            </w:r>
          </w:p>
        </w:tc>
        <w:tc>
          <w:tcPr>
            <w:tcW w:w="1198" w:type="dxa"/>
            <w:shd w:val="clear" w:color="auto" w:fill="auto"/>
            <w:noWrap/>
            <w:vAlign w:val="bottom"/>
            <w:hideMark/>
          </w:tcPr>
          <w:p w:rsidR="00BD0D16" w:rsidRDefault="00BD0D16" w:rsidP="00BD0D16">
            <w:pPr>
              <w:pStyle w:val="TableText"/>
              <w:jc w:val="right"/>
            </w:pPr>
            <w:r>
              <w:t xml:space="preserve">   1,749,927 </w:t>
            </w:r>
          </w:p>
        </w:tc>
        <w:tc>
          <w:tcPr>
            <w:tcW w:w="1120" w:type="dxa"/>
            <w:shd w:val="clear" w:color="auto" w:fill="auto"/>
            <w:noWrap/>
            <w:vAlign w:val="bottom"/>
            <w:hideMark/>
          </w:tcPr>
          <w:p w:rsidR="00BD0D16" w:rsidRDefault="00BD0D16" w:rsidP="00BD0D16">
            <w:pPr>
              <w:pStyle w:val="TableText"/>
              <w:jc w:val="right"/>
            </w:pPr>
            <w:r>
              <w:t xml:space="preserve">   2,654,694 </w:t>
            </w:r>
          </w:p>
        </w:tc>
        <w:tc>
          <w:tcPr>
            <w:tcW w:w="1220" w:type="dxa"/>
            <w:shd w:val="clear" w:color="auto" w:fill="auto"/>
            <w:noWrap/>
            <w:vAlign w:val="bottom"/>
            <w:hideMark/>
          </w:tcPr>
          <w:p w:rsidR="00BD0D16" w:rsidRDefault="00BD0D16" w:rsidP="00BD0D16">
            <w:pPr>
              <w:pStyle w:val="TableText"/>
              <w:jc w:val="right"/>
            </w:pPr>
            <w:r>
              <w:t xml:space="preserve">3,579,156 </w:t>
            </w:r>
          </w:p>
        </w:tc>
        <w:tc>
          <w:tcPr>
            <w:tcW w:w="1220" w:type="dxa"/>
            <w:shd w:val="clear" w:color="auto" w:fill="auto"/>
            <w:noWrap/>
            <w:vAlign w:val="bottom"/>
            <w:hideMark/>
          </w:tcPr>
          <w:p w:rsidR="00BD0D16" w:rsidRDefault="00BD0D16" w:rsidP="00BD0D16">
            <w:pPr>
              <w:pStyle w:val="TableText"/>
              <w:jc w:val="right"/>
            </w:pPr>
            <w:r>
              <w:t xml:space="preserve">4,523,487 </w:t>
            </w:r>
          </w:p>
        </w:tc>
      </w:tr>
      <w:tr w:rsidR="00BD0D16" w:rsidRPr="0070291A" w:rsidTr="008A3211">
        <w:trPr>
          <w:trHeight w:val="300"/>
          <w:tblHeader/>
        </w:trPr>
        <w:tc>
          <w:tcPr>
            <w:tcW w:w="2446" w:type="dxa"/>
            <w:shd w:val="clear" w:color="auto" w:fill="auto"/>
            <w:noWrap/>
            <w:vAlign w:val="bottom"/>
            <w:hideMark/>
          </w:tcPr>
          <w:p w:rsidR="00BD0D16" w:rsidRPr="0070291A" w:rsidRDefault="00BD0D16" w:rsidP="0070291A">
            <w:pPr>
              <w:pStyle w:val="TableText"/>
            </w:pPr>
            <w:r w:rsidRPr="0070291A">
              <w:t>Total PBS Costs</w:t>
            </w:r>
          </w:p>
        </w:tc>
        <w:tc>
          <w:tcPr>
            <w:tcW w:w="1393" w:type="dxa"/>
            <w:shd w:val="clear" w:color="auto" w:fill="auto"/>
            <w:noWrap/>
            <w:vAlign w:val="bottom"/>
            <w:hideMark/>
          </w:tcPr>
          <w:p w:rsidR="00BD0D16" w:rsidRDefault="00BD0D16" w:rsidP="00BD0D16">
            <w:pPr>
              <w:pStyle w:val="TableText"/>
              <w:jc w:val="right"/>
            </w:pPr>
            <w:r>
              <w:t xml:space="preserve">473,815 </w:t>
            </w:r>
          </w:p>
        </w:tc>
        <w:tc>
          <w:tcPr>
            <w:tcW w:w="1198" w:type="dxa"/>
            <w:shd w:val="clear" w:color="auto" w:fill="auto"/>
            <w:noWrap/>
            <w:vAlign w:val="bottom"/>
            <w:hideMark/>
          </w:tcPr>
          <w:p w:rsidR="00BD0D16" w:rsidRDefault="00BD0D16" w:rsidP="00BD0D16">
            <w:pPr>
              <w:pStyle w:val="TableText"/>
              <w:jc w:val="right"/>
            </w:pPr>
            <w:r>
              <w:t xml:space="preserve">910,560 </w:t>
            </w:r>
          </w:p>
        </w:tc>
        <w:tc>
          <w:tcPr>
            <w:tcW w:w="1120" w:type="dxa"/>
            <w:shd w:val="clear" w:color="auto" w:fill="auto"/>
            <w:noWrap/>
            <w:vAlign w:val="bottom"/>
            <w:hideMark/>
          </w:tcPr>
          <w:p w:rsidR="00BD0D16" w:rsidRDefault="00BD0D16" w:rsidP="00BD0D16">
            <w:pPr>
              <w:pStyle w:val="TableText"/>
              <w:jc w:val="right"/>
            </w:pPr>
            <w:r>
              <w:t xml:space="preserve">   1,308,605 </w:t>
            </w:r>
          </w:p>
        </w:tc>
        <w:tc>
          <w:tcPr>
            <w:tcW w:w="1220" w:type="dxa"/>
            <w:shd w:val="clear" w:color="auto" w:fill="auto"/>
            <w:noWrap/>
            <w:vAlign w:val="bottom"/>
            <w:hideMark/>
          </w:tcPr>
          <w:p w:rsidR="00BD0D16" w:rsidRDefault="00BD0D16" w:rsidP="00BD0D16">
            <w:pPr>
              <w:pStyle w:val="TableText"/>
              <w:jc w:val="right"/>
            </w:pPr>
            <w:r>
              <w:t xml:space="preserve">1,666,324 </w:t>
            </w:r>
          </w:p>
        </w:tc>
        <w:tc>
          <w:tcPr>
            <w:tcW w:w="1220" w:type="dxa"/>
            <w:shd w:val="clear" w:color="auto" w:fill="auto"/>
            <w:noWrap/>
            <w:vAlign w:val="bottom"/>
            <w:hideMark/>
          </w:tcPr>
          <w:p w:rsidR="00BD0D16" w:rsidRDefault="00BD0D16" w:rsidP="00BD0D16">
            <w:pPr>
              <w:pStyle w:val="TableText"/>
              <w:jc w:val="right"/>
            </w:pPr>
            <w:r>
              <w:t xml:space="preserve">1,982,089 </w:t>
            </w:r>
          </w:p>
        </w:tc>
      </w:tr>
      <w:tr w:rsidR="00BD0D16" w:rsidRPr="0070291A" w:rsidTr="008A3211">
        <w:trPr>
          <w:trHeight w:val="300"/>
          <w:tblHeader/>
        </w:trPr>
        <w:tc>
          <w:tcPr>
            <w:tcW w:w="2446" w:type="dxa"/>
            <w:shd w:val="clear" w:color="auto" w:fill="auto"/>
            <w:noWrap/>
            <w:vAlign w:val="bottom"/>
            <w:hideMark/>
          </w:tcPr>
          <w:p w:rsidR="00BD0D16" w:rsidRPr="0070291A" w:rsidRDefault="00BD0D16" w:rsidP="0070291A">
            <w:pPr>
              <w:pStyle w:val="TableText"/>
            </w:pPr>
            <w:r w:rsidRPr="0070291A">
              <w:t>Total OTHER cost savings</w:t>
            </w:r>
          </w:p>
        </w:tc>
        <w:tc>
          <w:tcPr>
            <w:tcW w:w="1393" w:type="dxa"/>
            <w:shd w:val="clear" w:color="auto" w:fill="auto"/>
            <w:noWrap/>
            <w:vAlign w:val="bottom"/>
            <w:hideMark/>
          </w:tcPr>
          <w:p w:rsidR="00BD0D16" w:rsidRDefault="00BD0D16" w:rsidP="00C91D8A">
            <w:pPr>
              <w:pStyle w:val="TableText"/>
              <w:jc w:val="right"/>
            </w:pPr>
            <w:r>
              <w:t xml:space="preserve">-17,463 </w:t>
            </w:r>
          </w:p>
        </w:tc>
        <w:tc>
          <w:tcPr>
            <w:tcW w:w="1198" w:type="dxa"/>
            <w:shd w:val="clear" w:color="auto" w:fill="auto"/>
            <w:noWrap/>
            <w:vAlign w:val="bottom"/>
            <w:hideMark/>
          </w:tcPr>
          <w:p w:rsidR="00BD0D16" w:rsidRDefault="00BD0D16" w:rsidP="00C91D8A">
            <w:pPr>
              <w:pStyle w:val="TableText"/>
              <w:jc w:val="right"/>
            </w:pPr>
            <w:r>
              <w:t xml:space="preserve">-35,327 </w:t>
            </w:r>
          </w:p>
        </w:tc>
        <w:tc>
          <w:tcPr>
            <w:tcW w:w="1120" w:type="dxa"/>
            <w:shd w:val="clear" w:color="auto" w:fill="auto"/>
            <w:noWrap/>
            <w:vAlign w:val="bottom"/>
            <w:hideMark/>
          </w:tcPr>
          <w:p w:rsidR="00BD0D16" w:rsidRDefault="00BD0D16" w:rsidP="00C91D8A">
            <w:pPr>
              <w:pStyle w:val="TableText"/>
              <w:jc w:val="right"/>
            </w:pPr>
            <w:r>
              <w:t xml:space="preserve">-53,590 </w:t>
            </w:r>
          </w:p>
        </w:tc>
        <w:tc>
          <w:tcPr>
            <w:tcW w:w="1220" w:type="dxa"/>
            <w:shd w:val="clear" w:color="auto" w:fill="auto"/>
            <w:noWrap/>
            <w:vAlign w:val="bottom"/>
            <w:hideMark/>
          </w:tcPr>
          <w:p w:rsidR="00BD0D16" w:rsidRDefault="00BD0D16" w:rsidP="00C91D8A">
            <w:pPr>
              <w:pStyle w:val="TableText"/>
              <w:jc w:val="right"/>
            </w:pPr>
            <w:r>
              <w:t xml:space="preserve">-72,253 </w:t>
            </w:r>
          </w:p>
        </w:tc>
        <w:tc>
          <w:tcPr>
            <w:tcW w:w="1220" w:type="dxa"/>
            <w:shd w:val="clear" w:color="auto" w:fill="auto"/>
            <w:noWrap/>
            <w:vAlign w:val="bottom"/>
            <w:hideMark/>
          </w:tcPr>
          <w:p w:rsidR="00BD0D16" w:rsidRDefault="00BD0D16" w:rsidP="00C91D8A">
            <w:pPr>
              <w:pStyle w:val="TableText"/>
              <w:jc w:val="right"/>
            </w:pPr>
            <w:r>
              <w:t xml:space="preserve">-91,317 </w:t>
            </w:r>
          </w:p>
        </w:tc>
      </w:tr>
      <w:tr w:rsidR="00BD0D16" w:rsidRPr="0070291A" w:rsidTr="008A3211">
        <w:trPr>
          <w:trHeight w:val="300"/>
          <w:tblHeader/>
        </w:trPr>
        <w:tc>
          <w:tcPr>
            <w:tcW w:w="2446" w:type="dxa"/>
            <w:shd w:val="clear" w:color="auto" w:fill="auto"/>
            <w:noWrap/>
            <w:vAlign w:val="bottom"/>
            <w:hideMark/>
          </w:tcPr>
          <w:p w:rsidR="00BD0D16" w:rsidRPr="0070291A" w:rsidRDefault="00BD0D16" w:rsidP="004D5309">
            <w:pPr>
              <w:pStyle w:val="TableText"/>
            </w:pPr>
            <w:r w:rsidRPr="0070291A">
              <w:t>Total Costs</w:t>
            </w:r>
          </w:p>
        </w:tc>
        <w:tc>
          <w:tcPr>
            <w:tcW w:w="1393" w:type="dxa"/>
            <w:shd w:val="clear" w:color="auto" w:fill="auto"/>
            <w:noWrap/>
            <w:vAlign w:val="bottom"/>
            <w:hideMark/>
          </w:tcPr>
          <w:p w:rsidR="00BD0D16" w:rsidRDefault="00BD0D16" w:rsidP="00BD0D16">
            <w:pPr>
              <w:pStyle w:val="TableText"/>
              <w:jc w:val="right"/>
            </w:pPr>
            <w:r>
              <w:t xml:space="preserve">1,321,426 </w:t>
            </w:r>
          </w:p>
        </w:tc>
        <w:tc>
          <w:tcPr>
            <w:tcW w:w="1198" w:type="dxa"/>
            <w:shd w:val="clear" w:color="auto" w:fill="auto"/>
            <w:noWrap/>
            <w:vAlign w:val="bottom"/>
            <w:hideMark/>
          </w:tcPr>
          <w:p w:rsidR="00BD0D16" w:rsidRDefault="00BD0D16" w:rsidP="00BD0D16">
            <w:pPr>
              <w:pStyle w:val="TableText"/>
              <w:jc w:val="right"/>
            </w:pPr>
            <w:r>
              <w:t xml:space="preserve">   2,625,160 </w:t>
            </w:r>
          </w:p>
        </w:tc>
        <w:tc>
          <w:tcPr>
            <w:tcW w:w="1120" w:type="dxa"/>
            <w:shd w:val="clear" w:color="auto" w:fill="auto"/>
            <w:noWrap/>
            <w:vAlign w:val="bottom"/>
            <w:hideMark/>
          </w:tcPr>
          <w:p w:rsidR="00BD0D16" w:rsidRDefault="00BD0D16" w:rsidP="00BD0D16">
            <w:pPr>
              <w:pStyle w:val="TableText"/>
              <w:jc w:val="right"/>
            </w:pPr>
            <w:r>
              <w:t xml:space="preserve">   3,909,710 </w:t>
            </w:r>
          </w:p>
        </w:tc>
        <w:tc>
          <w:tcPr>
            <w:tcW w:w="1220" w:type="dxa"/>
            <w:shd w:val="clear" w:color="auto" w:fill="auto"/>
            <w:noWrap/>
            <w:vAlign w:val="bottom"/>
            <w:hideMark/>
          </w:tcPr>
          <w:p w:rsidR="00BD0D16" w:rsidRDefault="00BD0D16" w:rsidP="00BD0D16">
            <w:pPr>
              <w:pStyle w:val="TableText"/>
              <w:jc w:val="right"/>
            </w:pPr>
            <w:r>
              <w:t xml:space="preserve">5,173,227 </w:t>
            </w:r>
          </w:p>
        </w:tc>
        <w:tc>
          <w:tcPr>
            <w:tcW w:w="1220" w:type="dxa"/>
            <w:shd w:val="clear" w:color="auto" w:fill="auto"/>
            <w:noWrap/>
            <w:vAlign w:val="bottom"/>
            <w:hideMark/>
          </w:tcPr>
          <w:p w:rsidR="00BD0D16" w:rsidRDefault="00BD0D16" w:rsidP="00BD0D16">
            <w:pPr>
              <w:pStyle w:val="TableText"/>
              <w:jc w:val="right"/>
            </w:pPr>
            <w:r>
              <w:t xml:space="preserve">6,414,259 </w:t>
            </w:r>
          </w:p>
        </w:tc>
      </w:tr>
    </w:tbl>
    <w:p w:rsidR="00C132C7" w:rsidRDefault="00C132C7" w:rsidP="00C132C7">
      <w:pPr>
        <w:pStyle w:val="TableText"/>
        <w:ind w:left="1134"/>
      </w:pPr>
      <w:r>
        <w:t xml:space="preserve">AI = aromatase inhibitor, AR-DRG = Australian Related Diagnosis Relative Group, BMD = bone mineral density, DXA = dual x-ray absorptiometry, MBS = Medical Benefits Schedule , RR =relative risk, PBS= Pharmaceutical Benefits Schedule. </w:t>
      </w:r>
    </w:p>
    <w:p w:rsidR="00C132C7" w:rsidRDefault="00C132C7" w:rsidP="00C118E9">
      <w:pPr>
        <w:pStyle w:val="Heading4"/>
      </w:pPr>
    </w:p>
    <w:p w:rsidR="00C132C7" w:rsidRDefault="003A290E" w:rsidP="00DD1FFC">
      <w:r>
        <w:t xml:space="preserve">When more women are treated with DXA and bone therapy, the PBS costs </w:t>
      </w:r>
      <w:r w:rsidR="00BD0D16">
        <w:t>increased</w:t>
      </w:r>
      <w:r>
        <w:t xml:space="preserve"> markedly but the MBS costs are fewer than in the base case because there is less vitamin D testing and GP visits undertaken in a large proportion of women. The relative risk of</w:t>
      </w:r>
      <w:r w:rsidR="00722BAB">
        <w:t xml:space="preserve"> fractures only impacts on the S</w:t>
      </w:r>
      <w:r>
        <w:t xml:space="preserve">tate hospital budget and not the MBS or PBS costs.  Similarly, PBS costs are implicated when zoledronic acid is used rather than oral risedronate and are significantly higher with zoledronic acid. When the proportion of women with early stage breast cancer </w:t>
      </w:r>
      <w:r w:rsidR="00BD0D16">
        <w:t xml:space="preserve">taking AIs </w:t>
      </w:r>
      <w:r>
        <w:t>changes from the base case of 81% to 95%, all costs increase</w:t>
      </w:r>
    </w:p>
    <w:p w:rsidR="003E61DB" w:rsidRDefault="003E61DB" w:rsidP="00C118E9">
      <w:pPr>
        <w:pStyle w:val="Heading4"/>
      </w:pPr>
      <w:r w:rsidRPr="00C9782D">
        <w:t>Costs to</w:t>
      </w:r>
      <w:r w:rsidR="00152E8E">
        <w:t xml:space="preserve"> the</w:t>
      </w:r>
      <w:r w:rsidRPr="00C9782D">
        <w:t xml:space="preserve"> patient</w:t>
      </w:r>
    </w:p>
    <w:p w:rsidR="00801825" w:rsidRDefault="00D775CC" w:rsidP="00C118E9">
      <w:r>
        <w:t>O</w:t>
      </w:r>
      <w:r w:rsidR="00152E8E">
        <w:t>ver-the-counter vitamin D</w:t>
      </w:r>
      <w:r w:rsidR="00722BAB">
        <w:rPr>
          <w:vertAlign w:val="subscript"/>
        </w:rPr>
        <w:t>3</w:t>
      </w:r>
      <w:r w:rsidR="00152E8E">
        <w:t xml:space="preserve"> supplement</w:t>
      </w:r>
      <w:r w:rsidR="00722BAB">
        <w:t>s</w:t>
      </w:r>
      <w:r w:rsidR="00152E8E">
        <w:t xml:space="preserve"> </w:t>
      </w:r>
      <w:r>
        <w:t xml:space="preserve">in tablet form </w:t>
      </w:r>
      <w:r w:rsidR="00722BAB">
        <w:t>are</w:t>
      </w:r>
      <w:r>
        <w:t xml:space="preserve"> widely available in Australia. There are many suppliers and as mentioned in the </w:t>
      </w:r>
      <w:r w:rsidR="00722BAB">
        <w:t>B</w:t>
      </w:r>
      <w:r>
        <w:t>ackground, sales of vitamin D</w:t>
      </w:r>
      <w:r w:rsidR="00722BAB">
        <w:rPr>
          <w:vertAlign w:val="subscript"/>
        </w:rPr>
        <w:t>3</w:t>
      </w:r>
      <w:r>
        <w:t xml:space="preserve"> products have increased 122% over the past 5 years. Vitamin D</w:t>
      </w:r>
      <w:r w:rsidR="00722BAB">
        <w:rPr>
          <w:vertAlign w:val="subscript"/>
        </w:rPr>
        <w:t>3</w:t>
      </w:r>
      <w:r>
        <w:t xml:space="preserve"> </w:t>
      </w:r>
      <w:r w:rsidR="002B4189">
        <w:t xml:space="preserve">tablets are </w:t>
      </w:r>
      <w:r>
        <w:t xml:space="preserve">available in different pack sizes, </w:t>
      </w:r>
      <w:r w:rsidR="00152E8E">
        <w:t>with or without calcium</w:t>
      </w:r>
      <w:r>
        <w:t xml:space="preserve">, and in </w:t>
      </w:r>
      <w:r w:rsidR="00801825">
        <w:t xml:space="preserve">hard or </w:t>
      </w:r>
      <w:r>
        <w:t>chewable tablet form</w:t>
      </w:r>
      <w:r w:rsidR="002B4189">
        <w:t xml:space="preserve">s. They are sold </w:t>
      </w:r>
      <w:r w:rsidR="00E03722">
        <w:t xml:space="preserve">from chemists, health food shops, supermarkets and online pharmacy outlets. </w:t>
      </w:r>
    </w:p>
    <w:p w:rsidR="00E03722" w:rsidRPr="0088225C" w:rsidRDefault="00E03722" w:rsidP="00C118E9">
      <w:r>
        <w:t>The unit costs of common brands of vitamin D</w:t>
      </w:r>
      <w:r w:rsidR="00722BAB">
        <w:rPr>
          <w:vertAlign w:val="subscript"/>
        </w:rPr>
        <w:t>3</w:t>
      </w:r>
      <w:r>
        <w:t xml:space="preserve"> tablets from online companies are provided in Table </w:t>
      </w:r>
      <w:r w:rsidR="00801825">
        <w:t>32</w:t>
      </w:r>
      <w:r>
        <w:t>.</w:t>
      </w:r>
      <w:r w:rsidR="0088225C">
        <w:t xml:space="preserve">  Based on an average cost per tablet of 1000IU of vitamin D</w:t>
      </w:r>
      <w:r w:rsidR="0088225C" w:rsidRPr="0088225C">
        <w:rPr>
          <w:vertAlign w:val="subscript"/>
        </w:rPr>
        <w:t>3</w:t>
      </w:r>
      <w:r w:rsidR="0088225C">
        <w:t xml:space="preserve"> taken once per day for 12 months, the estimated costs of taking vitamin D</w:t>
      </w:r>
      <w:r w:rsidR="00722BAB" w:rsidRPr="00722BAB">
        <w:rPr>
          <w:vertAlign w:val="subscript"/>
        </w:rPr>
        <w:t>3</w:t>
      </w:r>
      <w:r w:rsidR="0088225C">
        <w:t xml:space="preserve"> and calcium tablets in women on ‘lifestyle advice’ is $57.63. This assumes online purchases where recommended retail prices are often discounted.</w:t>
      </w:r>
    </w:p>
    <w:p w:rsidR="00E03722" w:rsidRDefault="00E03722" w:rsidP="002E22BB">
      <w:pPr>
        <w:pStyle w:val="TableName"/>
      </w:pPr>
      <w:bookmarkStart w:id="139" w:name="_Toc386112701"/>
      <w:r>
        <w:t xml:space="preserve">Table </w:t>
      </w:r>
      <w:r w:rsidR="00801825">
        <w:t>32</w:t>
      </w:r>
      <w:r>
        <w:t xml:space="preserve">: Unit </w:t>
      </w:r>
      <w:r w:rsidR="002E22BB">
        <w:t>price</w:t>
      </w:r>
      <w:r>
        <w:t xml:space="preserve"> of common brands of Vitamin D products in Australia</w:t>
      </w:r>
      <w:bookmarkEnd w:id="139"/>
    </w:p>
    <w:tbl>
      <w:tblPr>
        <w:tblStyle w:val="TableGrid"/>
        <w:tblW w:w="0" w:type="auto"/>
        <w:tblInd w:w="720" w:type="dxa"/>
        <w:tblLook w:val="04A0" w:firstRow="1" w:lastRow="0" w:firstColumn="1" w:lastColumn="0" w:noHBand="0" w:noVBand="1"/>
        <w:tblCaption w:val="Table 32 Price of common vitamin D products"/>
      </w:tblPr>
      <w:tblGrid>
        <w:gridCol w:w="1070"/>
        <w:gridCol w:w="3104"/>
        <w:gridCol w:w="1464"/>
        <w:gridCol w:w="750"/>
      </w:tblGrid>
      <w:tr w:rsidR="00A52A07" w:rsidRPr="00A52A07" w:rsidTr="00C262EC">
        <w:trPr>
          <w:tblHeader/>
        </w:trPr>
        <w:tc>
          <w:tcPr>
            <w:tcW w:w="1070" w:type="dxa"/>
          </w:tcPr>
          <w:p w:rsidR="002E22BB" w:rsidRPr="00A52A07" w:rsidRDefault="002E22BB" w:rsidP="002E22BB">
            <w:pPr>
              <w:pStyle w:val="TableText"/>
              <w:rPr>
                <w:b/>
              </w:rPr>
            </w:pPr>
            <w:r w:rsidRPr="00A52A07">
              <w:rPr>
                <w:b/>
              </w:rPr>
              <w:t>Brand</w:t>
            </w:r>
          </w:p>
        </w:tc>
        <w:tc>
          <w:tcPr>
            <w:tcW w:w="3104" w:type="dxa"/>
          </w:tcPr>
          <w:p w:rsidR="002E22BB" w:rsidRPr="00A52A07" w:rsidRDefault="002E22BB" w:rsidP="002E22BB">
            <w:pPr>
              <w:pStyle w:val="TableText"/>
              <w:rPr>
                <w:b/>
              </w:rPr>
            </w:pPr>
            <w:r w:rsidRPr="00A52A07">
              <w:rPr>
                <w:b/>
              </w:rPr>
              <w:t>Product</w:t>
            </w:r>
          </w:p>
        </w:tc>
        <w:tc>
          <w:tcPr>
            <w:tcW w:w="1464" w:type="dxa"/>
          </w:tcPr>
          <w:p w:rsidR="002E22BB" w:rsidRPr="00A52A07" w:rsidRDefault="002E22BB" w:rsidP="00A52A07">
            <w:pPr>
              <w:pStyle w:val="TableText"/>
              <w:jc w:val="center"/>
              <w:rPr>
                <w:b/>
              </w:rPr>
            </w:pPr>
            <w:r w:rsidRPr="00A52A07">
              <w:rPr>
                <w:b/>
              </w:rPr>
              <w:t>Tablets per pack</w:t>
            </w:r>
          </w:p>
        </w:tc>
        <w:tc>
          <w:tcPr>
            <w:tcW w:w="750" w:type="dxa"/>
          </w:tcPr>
          <w:p w:rsidR="002E22BB" w:rsidRPr="00A52A07" w:rsidRDefault="002E22BB" w:rsidP="002E22BB">
            <w:pPr>
              <w:pStyle w:val="TableText"/>
              <w:rPr>
                <w:b/>
              </w:rPr>
            </w:pPr>
            <w:r w:rsidRPr="00A52A07">
              <w:rPr>
                <w:b/>
              </w:rPr>
              <w:t>Price</w:t>
            </w:r>
          </w:p>
        </w:tc>
      </w:tr>
      <w:tr w:rsidR="008A3211" w:rsidTr="00C262EC">
        <w:trPr>
          <w:tblHeader/>
        </w:trPr>
        <w:tc>
          <w:tcPr>
            <w:tcW w:w="1070" w:type="dxa"/>
            <w:vAlign w:val="center"/>
          </w:tcPr>
          <w:p w:rsidR="008A3211" w:rsidRDefault="008A3211" w:rsidP="00A52A07">
            <w:pPr>
              <w:pStyle w:val="TableText"/>
            </w:pPr>
            <w:r>
              <w:t>Ostelin</w:t>
            </w:r>
          </w:p>
        </w:tc>
        <w:tc>
          <w:tcPr>
            <w:tcW w:w="3104" w:type="dxa"/>
          </w:tcPr>
          <w:p w:rsidR="008A3211" w:rsidRDefault="008A3211" w:rsidP="002E22BB">
            <w:pPr>
              <w:pStyle w:val="TableText"/>
            </w:pPr>
            <w:r>
              <w:t xml:space="preserve">Vitamin D 500 IU and Calcium – chewable </w:t>
            </w:r>
          </w:p>
        </w:tc>
        <w:tc>
          <w:tcPr>
            <w:tcW w:w="1464" w:type="dxa"/>
          </w:tcPr>
          <w:p w:rsidR="008A3211" w:rsidRDefault="008A3211" w:rsidP="00A52A07">
            <w:pPr>
              <w:pStyle w:val="TableText"/>
              <w:jc w:val="center"/>
            </w:pPr>
            <w:r>
              <w:t>60</w:t>
            </w:r>
          </w:p>
        </w:tc>
        <w:tc>
          <w:tcPr>
            <w:tcW w:w="750" w:type="dxa"/>
          </w:tcPr>
          <w:p w:rsidR="008A3211" w:rsidRDefault="008A3211" w:rsidP="002E22BB">
            <w:pPr>
              <w:pStyle w:val="TableText"/>
            </w:pPr>
            <w:r>
              <w:t>$10.69</w:t>
            </w:r>
          </w:p>
        </w:tc>
      </w:tr>
      <w:tr w:rsidR="008A3211" w:rsidTr="00C262EC">
        <w:trPr>
          <w:tblHeader/>
        </w:trPr>
        <w:tc>
          <w:tcPr>
            <w:tcW w:w="1070" w:type="dxa"/>
          </w:tcPr>
          <w:p w:rsidR="008A3211" w:rsidRDefault="008A3211" w:rsidP="002E22BB">
            <w:pPr>
              <w:pStyle w:val="TableText"/>
            </w:pPr>
            <w:r>
              <w:t>Ostelin</w:t>
            </w:r>
          </w:p>
        </w:tc>
        <w:tc>
          <w:tcPr>
            <w:tcW w:w="3104" w:type="dxa"/>
          </w:tcPr>
          <w:p w:rsidR="008A3211" w:rsidRDefault="008A3211" w:rsidP="002E22BB">
            <w:pPr>
              <w:pStyle w:val="TableText"/>
            </w:pPr>
            <w:r>
              <w:t>Vitamin D</w:t>
            </w:r>
            <w:r w:rsidRPr="00572C77">
              <w:rPr>
                <w:vertAlign w:val="subscript"/>
              </w:rPr>
              <w:t>3</w:t>
            </w:r>
            <w:r>
              <w:t xml:space="preserve"> 1000IU and calcium</w:t>
            </w:r>
          </w:p>
        </w:tc>
        <w:tc>
          <w:tcPr>
            <w:tcW w:w="1464" w:type="dxa"/>
          </w:tcPr>
          <w:p w:rsidR="008A3211" w:rsidRDefault="008A3211" w:rsidP="00A52A07">
            <w:pPr>
              <w:pStyle w:val="TableText"/>
              <w:jc w:val="center"/>
            </w:pPr>
            <w:r>
              <w:t>60</w:t>
            </w:r>
          </w:p>
        </w:tc>
        <w:tc>
          <w:tcPr>
            <w:tcW w:w="750" w:type="dxa"/>
          </w:tcPr>
          <w:p w:rsidR="008A3211" w:rsidRDefault="008A3211" w:rsidP="002E22BB">
            <w:pPr>
              <w:pStyle w:val="TableText"/>
            </w:pPr>
            <w:r>
              <w:t>$13.26</w:t>
            </w:r>
          </w:p>
        </w:tc>
      </w:tr>
      <w:tr w:rsidR="008A3211" w:rsidTr="00C262EC">
        <w:trPr>
          <w:tblHeader/>
        </w:trPr>
        <w:tc>
          <w:tcPr>
            <w:tcW w:w="1070" w:type="dxa"/>
          </w:tcPr>
          <w:p w:rsidR="008A3211" w:rsidRDefault="008A3211" w:rsidP="002E22BB">
            <w:pPr>
              <w:pStyle w:val="TableText"/>
            </w:pPr>
            <w:r>
              <w:t>Ostelin</w:t>
            </w:r>
          </w:p>
        </w:tc>
        <w:tc>
          <w:tcPr>
            <w:tcW w:w="3104" w:type="dxa"/>
          </w:tcPr>
          <w:p w:rsidR="008A3211" w:rsidRDefault="008A3211" w:rsidP="002E22BB">
            <w:pPr>
              <w:pStyle w:val="TableText"/>
            </w:pPr>
            <w:r>
              <w:t>Vitamin D</w:t>
            </w:r>
            <w:r w:rsidRPr="00572C77">
              <w:rPr>
                <w:vertAlign w:val="subscript"/>
              </w:rPr>
              <w:t>3</w:t>
            </w:r>
            <w:r>
              <w:t xml:space="preserve"> 1000IU and calcium</w:t>
            </w:r>
          </w:p>
        </w:tc>
        <w:tc>
          <w:tcPr>
            <w:tcW w:w="1464" w:type="dxa"/>
          </w:tcPr>
          <w:p w:rsidR="008A3211" w:rsidRDefault="008A3211" w:rsidP="00A52A07">
            <w:pPr>
              <w:pStyle w:val="TableText"/>
              <w:jc w:val="center"/>
            </w:pPr>
            <w:r>
              <w:t>250</w:t>
            </w:r>
          </w:p>
        </w:tc>
        <w:tc>
          <w:tcPr>
            <w:tcW w:w="750" w:type="dxa"/>
          </w:tcPr>
          <w:p w:rsidR="008A3211" w:rsidRDefault="008A3211" w:rsidP="002E22BB">
            <w:pPr>
              <w:pStyle w:val="TableText"/>
            </w:pPr>
            <w:r>
              <w:t>$36.99</w:t>
            </w:r>
          </w:p>
        </w:tc>
      </w:tr>
      <w:tr w:rsidR="008A3211" w:rsidTr="00C262EC">
        <w:trPr>
          <w:tblHeader/>
        </w:trPr>
        <w:tc>
          <w:tcPr>
            <w:tcW w:w="1070" w:type="dxa"/>
            <w:vAlign w:val="center"/>
          </w:tcPr>
          <w:p w:rsidR="008A3211" w:rsidRDefault="008A3211" w:rsidP="00A52A07">
            <w:pPr>
              <w:pStyle w:val="TableText"/>
            </w:pPr>
            <w:r>
              <w:t>Swisse</w:t>
            </w:r>
          </w:p>
        </w:tc>
        <w:tc>
          <w:tcPr>
            <w:tcW w:w="3104" w:type="dxa"/>
          </w:tcPr>
          <w:p w:rsidR="008A3211" w:rsidRDefault="008A3211" w:rsidP="002E22BB">
            <w:pPr>
              <w:pStyle w:val="TableText"/>
            </w:pPr>
            <w:r>
              <w:t>Vitamin D</w:t>
            </w:r>
            <w:r w:rsidRPr="00572C77">
              <w:rPr>
                <w:vertAlign w:val="subscript"/>
              </w:rPr>
              <w:t>3</w:t>
            </w:r>
            <w:r>
              <w:t xml:space="preserve"> 1000IU and calcium</w:t>
            </w:r>
          </w:p>
        </w:tc>
        <w:tc>
          <w:tcPr>
            <w:tcW w:w="1464" w:type="dxa"/>
          </w:tcPr>
          <w:p w:rsidR="008A3211" w:rsidRDefault="008A3211" w:rsidP="00A52A07">
            <w:pPr>
              <w:pStyle w:val="TableText"/>
              <w:jc w:val="center"/>
            </w:pPr>
            <w:r>
              <w:t>250</w:t>
            </w:r>
          </w:p>
        </w:tc>
        <w:tc>
          <w:tcPr>
            <w:tcW w:w="750" w:type="dxa"/>
          </w:tcPr>
          <w:p w:rsidR="008A3211" w:rsidRDefault="008A3211" w:rsidP="002E22BB">
            <w:pPr>
              <w:pStyle w:val="TableText"/>
            </w:pPr>
            <w:r>
              <w:t>$27.99</w:t>
            </w:r>
          </w:p>
        </w:tc>
      </w:tr>
      <w:tr w:rsidR="008A3211" w:rsidTr="00C262EC">
        <w:trPr>
          <w:tblHeader/>
        </w:trPr>
        <w:tc>
          <w:tcPr>
            <w:tcW w:w="1070" w:type="dxa"/>
          </w:tcPr>
          <w:p w:rsidR="008A3211" w:rsidRDefault="008A3211" w:rsidP="002E22BB">
            <w:pPr>
              <w:pStyle w:val="TableText"/>
            </w:pPr>
            <w:r>
              <w:t>Swisse</w:t>
            </w:r>
          </w:p>
        </w:tc>
        <w:tc>
          <w:tcPr>
            <w:tcW w:w="3104" w:type="dxa"/>
          </w:tcPr>
          <w:p w:rsidR="008A3211" w:rsidRDefault="008A3211" w:rsidP="002E22BB">
            <w:pPr>
              <w:pStyle w:val="TableText"/>
            </w:pPr>
            <w:r>
              <w:t>Ultraboost Vit D and Ca</w:t>
            </w:r>
          </w:p>
        </w:tc>
        <w:tc>
          <w:tcPr>
            <w:tcW w:w="1464" w:type="dxa"/>
          </w:tcPr>
          <w:p w:rsidR="008A3211" w:rsidRDefault="008A3211" w:rsidP="00A52A07">
            <w:pPr>
              <w:pStyle w:val="TableText"/>
              <w:jc w:val="center"/>
            </w:pPr>
            <w:r>
              <w:t>90</w:t>
            </w:r>
          </w:p>
        </w:tc>
        <w:tc>
          <w:tcPr>
            <w:tcW w:w="750" w:type="dxa"/>
          </w:tcPr>
          <w:p w:rsidR="008A3211" w:rsidRDefault="008A3211" w:rsidP="002E22BB">
            <w:pPr>
              <w:pStyle w:val="TableText"/>
            </w:pPr>
            <w:r>
              <w:t>$14.99</w:t>
            </w:r>
          </w:p>
        </w:tc>
      </w:tr>
      <w:tr w:rsidR="008A3211" w:rsidTr="00C262EC">
        <w:trPr>
          <w:tblHeader/>
        </w:trPr>
        <w:tc>
          <w:tcPr>
            <w:tcW w:w="1070" w:type="dxa"/>
          </w:tcPr>
          <w:p w:rsidR="008A3211" w:rsidRDefault="008A3211" w:rsidP="002E22BB">
            <w:pPr>
              <w:pStyle w:val="TableText"/>
            </w:pPr>
            <w:r>
              <w:t>Swisse</w:t>
            </w:r>
          </w:p>
        </w:tc>
        <w:tc>
          <w:tcPr>
            <w:tcW w:w="3104" w:type="dxa"/>
          </w:tcPr>
          <w:p w:rsidR="008A3211" w:rsidRDefault="008A3211" w:rsidP="002E22BB">
            <w:pPr>
              <w:pStyle w:val="TableText"/>
            </w:pPr>
            <w:r>
              <w:t>Vitamin D</w:t>
            </w:r>
            <w:r w:rsidRPr="00572C77">
              <w:rPr>
                <w:vertAlign w:val="subscript"/>
              </w:rPr>
              <w:t>3</w:t>
            </w:r>
            <w:r>
              <w:t xml:space="preserve"> 1000IU and calcium</w:t>
            </w:r>
          </w:p>
        </w:tc>
        <w:tc>
          <w:tcPr>
            <w:tcW w:w="1464" w:type="dxa"/>
          </w:tcPr>
          <w:p w:rsidR="008A3211" w:rsidRDefault="008A3211" w:rsidP="00A52A07">
            <w:pPr>
              <w:pStyle w:val="TableText"/>
              <w:jc w:val="center"/>
            </w:pPr>
            <w:r>
              <w:t>150</w:t>
            </w:r>
          </w:p>
        </w:tc>
        <w:tc>
          <w:tcPr>
            <w:tcW w:w="750" w:type="dxa"/>
          </w:tcPr>
          <w:p w:rsidR="008A3211" w:rsidRDefault="008A3211" w:rsidP="002E22BB">
            <w:pPr>
              <w:pStyle w:val="TableText"/>
            </w:pPr>
            <w:r>
              <w:t>$10.98</w:t>
            </w:r>
          </w:p>
        </w:tc>
      </w:tr>
      <w:tr w:rsidR="008A3211" w:rsidTr="00C262EC">
        <w:trPr>
          <w:tblHeader/>
        </w:trPr>
        <w:tc>
          <w:tcPr>
            <w:tcW w:w="1070" w:type="dxa"/>
            <w:vAlign w:val="center"/>
          </w:tcPr>
          <w:p w:rsidR="008A3211" w:rsidRDefault="008A3211" w:rsidP="00A52A07">
            <w:pPr>
              <w:pStyle w:val="TableText"/>
            </w:pPr>
            <w:r>
              <w:t>Blackmores</w:t>
            </w:r>
          </w:p>
        </w:tc>
        <w:tc>
          <w:tcPr>
            <w:tcW w:w="3104" w:type="dxa"/>
          </w:tcPr>
          <w:p w:rsidR="008A3211" w:rsidRDefault="008A3211" w:rsidP="002E22BB">
            <w:pPr>
              <w:pStyle w:val="TableText"/>
            </w:pPr>
            <w:r>
              <w:t>Vitamin D</w:t>
            </w:r>
          </w:p>
        </w:tc>
        <w:tc>
          <w:tcPr>
            <w:tcW w:w="1464" w:type="dxa"/>
          </w:tcPr>
          <w:p w:rsidR="008A3211" w:rsidRDefault="008A3211" w:rsidP="00A52A07">
            <w:pPr>
              <w:pStyle w:val="TableText"/>
              <w:jc w:val="center"/>
            </w:pPr>
            <w:r>
              <w:t>200</w:t>
            </w:r>
          </w:p>
        </w:tc>
        <w:tc>
          <w:tcPr>
            <w:tcW w:w="750" w:type="dxa"/>
          </w:tcPr>
          <w:p w:rsidR="008A3211" w:rsidRDefault="008A3211" w:rsidP="002E22BB">
            <w:pPr>
              <w:pStyle w:val="TableText"/>
            </w:pPr>
            <w:r>
              <w:t>$29.95</w:t>
            </w:r>
          </w:p>
        </w:tc>
      </w:tr>
      <w:tr w:rsidR="008A3211" w:rsidTr="00C262EC">
        <w:trPr>
          <w:tblHeader/>
        </w:trPr>
        <w:tc>
          <w:tcPr>
            <w:tcW w:w="1070" w:type="dxa"/>
          </w:tcPr>
          <w:p w:rsidR="008A3211" w:rsidRDefault="008A3211" w:rsidP="002E22BB">
            <w:pPr>
              <w:pStyle w:val="TableText"/>
            </w:pPr>
            <w:r>
              <w:t>Blackmores</w:t>
            </w:r>
          </w:p>
        </w:tc>
        <w:tc>
          <w:tcPr>
            <w:tcW w:w="3104" w:type="dxa"/>
          </w:tcPr>
          <w:p w:rsidR="008A3211" w:rsidRDefault="008A3211" w:rsidP="002E22BB">
            <w:pPr>
              <w:pStyle w:val="TableText"/>
            </w:pPr>
            <w:r>
              <w:t>Vitamin D</w:t>
            </w:r>
            <w:r w:rsidRPr="00572C77">
              <w:rPr>
                <w:vertAlign w:val="subscript"/>
              </w:rPr>
              <w:t>3</w:t>
            </w:r>
            <w:r>
              <w:t xml:space="preserve"> 1000IU and calcium</w:t>
            </w:r>
          </w:p>
        </w:tc>
        <w:tc>
          <w:tcPr>
            <w:tcW w:w="1464" w:type="dxa"/>
          </w:tcPr>
          <w:p w:rsidR="008A3211" w:rsidRDefault="008A3211" w:rsidP="00A52A07">
            <w:pPr>
              <w:pStyle w:val="TableText"/>
              <w:jc w:val="center"/>
            </w:pPr>
            <w:r>
              <w:t>100</w:t>
            </w:r>
          </w:p>
        </w:tc>
        <w:tc>
          <w:tcPr>
            <w:tcW w:w="750" w:type="dxa"/>
          </w:tcPr>
          <w:p w:rsidR="008A3211" w:rsidRDefault="008A3211" w:rsidP="002E22BB">
            <w:pPr>
              <w:pStyle w:val="TableText"/>
            </w:pPr>
            <w:r>
              <w:t>$17.95</w:t>
            </w:r>
          </w:p>
        </w:tc>
      </w:tr>
      <w:tr w:rsidR="008A3211" w:rsidTr="00C262EC">
        <w:trPr>
          <w:tblHeader/>
        </w:trPr>
        <w:tc>
          <w:tcPr>
            <w:tcW w:w="1070" w:type="dxa"/>
          </w:tcPr>
          <w:p w:rsidR="008A3211" w:rsidRDefault="008A3211" w:rsidP="002E22BB">
            <w:pPr>
              <w:pStyle w:val="TableText"/>
            </w:pPr>
            <w:r>
              <w:t>Blackmores</w:t>
            </w:r>
          </w:p>
        </w:tc>
        <w:tc>
          <w:tcPr>
            <w:tcW w:w="3104" w:type="dxa"/>
          </w:tcPr>
          <w:p w:rsidR="008A3211" w:rsidRDefault="008A3211" w:rsidP="002E22BB">
            <w:pPr>
              <w:pStyle w:val="TableText"/>
            </w:pPr>
            <w:r>
              <w:t>Vitamin D</w:t>
            </w:r>
            <w:r w:rsidRPr="00572C77">
              <w:rPr>
                <w:vertAlign w:val="subscript"/>
              </w:rPr>
              <w:t>3</w:t>
            </w:r>
            <w:r>
              <w:t xml:space="preserve"> 1000IU and calcium</w:t>
            </w:r>
          </w:p>
        </w:tc>
        <w:tc>
          <w:tcPr>
            <w:tcW w:w="1464" w:type="dxa"/>
          </w:tcPr>
          <w:p w:rsidR="008A3211" w:rsidRDefault="008A3211" w:rsidP="00A52A07">
            <w:pPr>
              <w:pStyle w:val="TableText"/>
              <w:jc w:val="center"/>
            </w:pPr>
            <w:r>
              <w:t>60</w:t>
            </w:r>
          </w:p>
        </w:tc>
        <w:tc>
          <w:tcPr>
            <w:tcW w:w="750" w:type="dxa"/>
          </w:tcPr>
          <w:p w:rsidR="008A3211" w:rsidRDefault="008A3211" w:rsidP="002E22BB">
            <w:pPr>
              <w:pStyle w:val="TableText"/>
            </w:pPr>
            <w:r>
              <w:t>$10.99</w:t>
            </w:r>
          </w:p>
        </w:tc>
      </w:tr>
    </w:tbl>
    <w:p w:rsidR="00C118E9" w:rsidRDefault="00D775CC" w:rsidP="00A52A07">
      <w:pPr>
        <w:pStyle w:val="TableText"/>
        <w:ind w:firstLine="567"/>
      </w:pPr>
      <w:r>
        <w:t xml:space="preserve"> </w:t>
      </w:r>
      <w:r w:rsidR="00A52A07">
        <w:t>Source: Website search accessed on 11/4/14</w:t>
      </w:r>
    </w:p>
    <w:p w:rsidR="00A52A07" w:rsidRDefault="00A52A07" w:rsidP="00A52A07"/>
    <w:p w:rsidR="0092546A" w:rsidRDefault="000E6802" w:rsidP="00A52A07">
      <w:r>
        <w:t xml:space="preserve">If DXA scans in this population are funded, patients will face a small co-payment of $15.36 for each DXA scan received during treatment. Currently women are spending $300-$500 on DXA scans in addition to their overall out-of-pocket expenses for breast cancer treatment.  </w:t>
      </w:r>
    </w:p>
    <w:p w:rsidR="003E61DB" w:rsidRPr="00C9782D" w:rsidRDefault="003E61DB" w:rsidP="00A158A3">
      <w:pPr>
        <w:pStyle w:val="Heading2"/>
      </w:pPr>
      <w:bookmarkStart w:id="140" w:name="_Toc386092527"/>
      <w:bookmarkStart w:id="141" w:name="_Toc386093165"/>
      <w:bookmarkStart w:id="142" w:name="_Toc386093662"/>
      <w:bookmarkStart w:id="143" w:name="_Toc386093717"/>
      <w:r w:rsidRPr="00C9782D">
        <w:lastRenderedPageBreak/>
        <w:t>Discussion</w:t>
      </w:r>
      <w:bookmarkEnd w:id="140"/>
      <w:bookmarkEnd w:id="141"/>
      <w:bookmarkEnd w:id="142"/>
      <w:bookmarkEnd w:id="143"/>
      <w:r w:rsidRPr="00C9782D">
        <w:t xml:space="preserve"> </w:t>
      </w:r>
    </w:p>
    <w:p w:rsidR="003E61DB" w:rsidRPr="00C9782D" w:rsidRDefault="003E61DB" w:rsidP="00C33B0E">
      <w:pPr>
        <w:pStyle w:val="Heading3"/>
      </w:pPr>
      <w:bookmarkStart w:id="144" w:name="_Toc386093718"/>
      <w:r w:rsidRPr="00C9782D">
        <w:t>Is it safe?</w:t>
      </w:r>
      <w:bookmarkEnd w:id="144"/>
      <w:r w:rsidRPr="00C9782D">
        <w:t xml:space="preserve"> </w:t>
      </w:r>
    </w:p>
    <w:p w:rsidR="0088225C" w:rsidRDefault="0088225C" w:rsidP="0088225C">
      <w:pPr>
        <w:pStyle w:val="Heading5"/>
      </w:pPr>
      <w:r>
        <w:t>DXA</w:t>
      </w:r>
    </w:p>
    <w:p w:rsidR="003E61DB" w:rsidRDefault="005165F1" w:rsidP="003E61DB">
      <w:r>
        <w:t>DXA scans are regarded</w:t>
      </w:r>
      <w:r w:rsidR="00BD0D16">
        <w:t xml:space="preserve"> as safe, </w:t>
      </w:r>
      <w:r>
        <w:t xml:space="preserve">non-invasive and </w:t>
      </w:r>
      <w:r w:rsidR="00BD0D16">
        <w:t xml:space="preserve">are </w:t>
      </w:r>
      <w:r>
        <w:t>widely available in Australia.  The main concern for DXA scans is the emission</w:t>
      </w:r>
      <w:r w:rsidR="008644F4">
        <w:t xml:space="preserve"> of radiation and the accumulation of radiation from multiple scans over time. </w:t>
      </w:r>
    </w:p>
    <w:p w:rsidR="00DD1FFC" w:rsidRDefault="008644F4" w:rsidP="003E61DB">
      <w:r>
        <w:t xml:space="preserve">HESP advice has indicated that DXA scans are safe and </w:t>
      </w:r>
      <w:r w:rsidR="00A561C8">
        <w:t>use</w:t>
      </w:r>
      <w:r>
        <w:t xml:space="preserve"> </w:t>
      </w:r>
      <w:r w:rsidR="00A561C8">
        <w:t>very low radiation x-ray and the x-ray emitted is highly collimated or focused with little radiation scatter. There are pencil beam, narrow angle and broad angle fan beam DXA systems available. In general, the broader the x-ray beam the higher the radiation dose to the patient.</w:t>
      </w:r>
    </w:p>
    <w:p w:rsidR="008644F4" w:rsidRDefault="008644F4" w:rsidP="003E61DB">
      <w:r>
        <w:t xml:space="preserve">Although, </w:t>
      </w:r>
      <w:r w:rsidR="00E05993">
        <w:t xml:space="preserve">there is little evidence on the radiation safety of DXA scans, one study on patients receiving 36 DXA scans over </w:t>
      </w:r>
      <w:r w:rsidR="00A561C8">
        <w:t xml:space="preserve">a longer period of </w:t>
      </w:r>
      <w:r w:rsidR="00E05993">
        <w:t xml:space="preserve">time confirmed the negligible </w:t>
      </w:r>
      <w:r w:rsidR="00A561C8">
        <w:t xml:space="preserve">quantity of </w:t>
      </w:r>
      <w:r w:rsidR="00E05993">
        <w:t xml:space="preserve">total radiation emitting from repeated DXA scans </w:t>
      </w:r>
      <w:r w:rsidR="003F6A33">
        <w:fldChar w:fldCharType="begin"/>
      </w:r>
      <w:r w:rsidR="003F6A33">
        <w:instrText xml:space="preserve"> ADDIN EN.CITE &lt;EndNote&gt;&lt;Cite&gt;&lt;Author&gt;Bandirali&lt;/Author&gt;&lt;Year&gt;2013&lt;/Year&gt;&lt;RecNum&gt;263&lt;/RecNum&gt;&lt;DisplayText&gt;(Bandirali, Lanza et al. 2013)&lt;/DisplayText&gt;&lt;record&gt;&lt;rec-number&gt;263&lt;/rec-number&gt;&lt;foreign-keys&gt;&lt;key app="EN" db-id="v9edw0zeqvve5nedzvjx29f1df2z2tvpvw55" timestamp="1398315548"&gt;263&lt;/key&gt;&lt;/foreign-keys&gt;&lt;ref-type name="Journal Article"&gt;17&lt;/ref-type&gt;&lt;contributors&gt;&lt;authors&gt;&lt;author&gt;Bandirali, M.&lt;/author&gt;&lt;author&gt;Lanza, E.&lt;/author&gt;&lt;author&gt;Messina, C.&lt;/author&gt;&lt;author&gt;Sconfienza, L. M.&lt;/author&gt;&lt;author&gt;Brambilla, R.&lt;/author&gt;&lt;author&gt;Maurizio, R.&lt;/author&gt;&lt;author&gt;Marchelli, D.&lt;/author&gt;&lt;author&gt;Piodi, L. P.&lt;/author&gt;&lt;author&gt;Di Leo, G.&lt;/author&gt;&lt;author&gt;Ulivieri, F. M.&lt;/author&gt;&lt;author&gt;Sardanelli, F.&lt;/author&gt;&lt;/authors&gt;&lt;/contributors&gt;&lt;titles&gt;&lt;title&gt;Dose absorption in lumbar and femoral dual energy X-ray absorptiometry examinations using three different scan modalities: an anthropomorphic phantom study&lt;/title&gt;&lt;secondary-title&gt;J Clin Densitom.&lt;/secondary-title&gt;&lt;/titles&gt;&lt;periodical&gt;&lt;full-title&gt;J Clin Densitom.&lt;/full-title&gt;&lt;/periodical&gt;&lt;pages&gt;279-82. doi: 10.1016/j.jocd.2013.02.005. Epub 2013 Mar 25.&lt;/pages&gt;&lt;volume&gt;16&lt;/volume&gt;&lt;number&gt;3&lt;/number&gt;&lt;keywords&gt;&lt;keyword&gt;Absorptiometry, Photon/*instrumentation&lt;/keyword&gt;&lt;keyword&gt;Absorption&lt;/keyword&gt;&lt;keyword&gt;*Bone Density&lt;/keyword&gt;&lt;keyword&gt;Dose-Response Relationship, Radiation&lt;/keyword&gt;&lt;keyword&gt;Female&lt;/keyword&gt;&lt;keyword&gt;Femur/radiation effects/*radiography&lt;/keyword&gt;&lt;keyword&gt;Humans&lt;/keyword&gt;&lt;keyword&gt;Lumbar Vertebrae/radiation effects/*radiography&lt;/keyword&gt;&lt;keyword&gt;Male&lt;/keyword&gt;&lt;keyword&gt;Osteoporosis/metabolism/radiography&lt;/keyword&gt;&lt;keyword&gt;*Phantoms, Imaging&lt;/keyword&gt;&lt;keyword&gt;Thermoluminescent Dosimetry/methods&lt;/keyword&gt;&lt;/keywords&gt;&lt;dates&gt;&lt;year&gt;2013&lt;/year&gt;&lt;pub-dates&gt;&lt;date&gt;Jul-Sep&lt;/date&gt;&lt;/pub-dates&gt;&lt;/dates&gt;&lt;orig-pub&gt;Anthropomorphic phantom&amp;#xD;dual energy X-ray absorptiometry&amp;#xD;radiation exposure&lt;/orig-pub&gt;&lt;isbn&gt;1094-6950 (Print)&amp;#xD;1094-6950 (Linking)&lt;/isbn&gt;&lt;work-type&gt;Comparative Study&lt;/work-type&gt;&lt;urls&gt;&lt;/urls&gt;&lt;/record&gt;&lt;/Cite&gt;&lt;/EndNote&gt;</w:instrText>
      </w:r>
      <w:r w:rsidR="003F6A33">
        <w:fldChar w:fldCharType="separate"/>
      </w:r>
      <w:r w:rsidR="003F6A33">
        <w:rPr>
          <w:noProof/>
        </w:rPr>
        <w:t>(</w:t>
      </w:r>
      <w:hyperlink w:anchor="_ENREF_4" w:tooltip="Bandirali, 2013 #263" w:history="1">
        <w:r w:rsidR="006F79C1">
          <w:rPr>
            <w:noProof/>
          </w:rPr>
          <w:t>Bandirali, Lanza et al. 2013</w:t>
        </w:r>
      </w:hyperlink>
      <w:r w:rsidR="003F6A33">
        <w:rPr>
          <w:noProof/>
        </w:rPr>
        <w:t>)</w:t>
      </w:r>
      <w:r w:rsidR="003F6A33">
        <w:fldChar w:fldCharType="end"/>
      </w:r>
      <w:r w:rsidR="00E05993">
        <w:t>.</w:t>
      </w:r>
      <w:r w:rsidR="0092546A">
        <w:t xml:space="preserve"> An earlier review has </w:t>
      </w:r>
      <w:r w:rsidR="00A84E8E">
        <w:t xml:space="preserve">also </w:t>
      </w:r>
      <w:r w:rsidR="0092546A">
        <w:t>confirmed the very small amount of radiation from various DXA scanners</w:t>
      </w:r>
      <w:r w:rsidR="003F6A33">
        <w:t xml:space="preserve"> </w:t>
      </w:r>
      <w:r w:rsidR="003F6A33">
        <w:fldChar w:fldCharType="begin"/>
      </w:r>
      <w:r w:rsidR="003F6A33">
        <w:instrText xml:space="preserve"> ADDIN EN.CITE &lt;EndNote&gt;&lt;Cite&gt;&lt;Author&gt;Njeh&lt;/Author&gt;&lt;Year&gt;1999&lt;/Year&gt;&lt;RecNum&gt;114&lt;/RecNum&gt;&lt;DisplayText&gt;(Njeh, Fuerst et al. 1999)&lt;/DisplayText&gt;&lt;record&gt;&lt;rec-number&gt;114&lt;/rec-number&gt;&lt;foreign-keys&gt;&lt;key app="EN" db-id="v9edw0zeqvve5nedzvjx29f1df2z2tvpvw55" timestamp="1398301499"&gt;114&lt;/key&gt;&lt;/foreign-keys&gt;&lt;ref-type name="Journal Article"&gt;17&lt;/ref-type&gt;&lt;contributors&gt;&lt;authors&gt;&lt;author&gt;Njeh, C. F.&lt;/author&gt;&lt;author&gt;Fuerst, T.&lt;/author&gt;&lt;author&gt;Hans, D.&lt;/author&gt;&lt;author&gt;Blake, G. M.&lt;/author&gt;&lt;author&gt;Genant, H. K.&lt;/author&gt;&lt;/authors&gt;&lt;/contributors&gt;&lt;titles&gt;&lt;title&gt;Radiation exposure in bone mineral density assessment&lt;/title&gt;&lt;secondary-title&gt;Appl Radiat Isot.&lt;/secondary-title&gt;&lt;/titles&gt;&lt;periodical&gt;&lt;full-title&gt;Appl Radiat Isot.&lt;/full-title&gt;&lt;/periodical&gt;&lt;pages&gt;215-36.&lt;/pages&gt;&lt;volume&gt;50&lt;/volume&gt;&lt;number&gt;1&lt;/number&gt;&lt;keywords&gt;&lt;keyword&gt;Absorptiometry, Photon/adverse effects&lt;/keyword&gt;&lt;keyword&gt;Aged&lt;/keyword&gt;&lt;keyword&gt;*Bone Density&lt;/keyword&gt;&lt;keyword&gt;Bone Diseases, Metabolic/diagnosis&lt;/keyword&gt;&lt;keyword&gt;Child&lt;/keyword&gt;&lt;keyword&gt;Densitometry/adverse effects/instrumentation/*methods&lt;/keyword&gt;&lt;keyword&gt;Female&lt;/keyword&gt;&lt;keyword&gt;Humans&lt;/keyword&gt;&lt;keyword&gt;Male&lt;/keyword&gt;&lt;keyword&gt;Occupational Exposure&lt;/keyword&gt;&lt;keyword&gt;Osteoporosis/diagnosis&lt;/keyword&gt;&lt;keyword&gt;Radiation Dosage&lt;/keyword&gt;&lt;keyword&gt;Radiation Protection&lt;/keyword&gt;&lt;keyword&gt;Radiometry&lt;/keyword&gt;&lt;keyword&gt;Tomography, X-Ray Computed/adverse effects&lt;/keyword&gt;&lt;/keywords&gt;&lt;dates&gt;&lt;year&gt;1999&lt;/year&gt;&lt;pub-dates&gt;&lt;date&gt;Jan&lt;/date&gt;&lt;/pub-dates&gt;&lt;/dates&gt;&lt;orig-pub&gt;Non-programmatic&lt;/orig-pub&gt;&lt;isbn&gt;0969-8043 (Print)&amp;#xD;0969-8043 (Linking)&lt;/isbn&gt;&lt;work-type&gt;Review&lt;/work-type&gt;&lt;urls&gt;&lt;/urls&gt;&lt;/record&gt;&lt;/Cite&gt;&lt;/EndNote&gt;</w:instrText>
      </w:r>
      <w:r w:rsidR="003F6A33">
        <w:fldChar w:fldCharType="separate"/>
      </w:r>
      <w:r w:rsidR="003F6A33">
        <w:rPr>
          <w:noProof/>
        </w:rPr>
        <w:t>(</w:t>
      </w:r>
      <w:hyperlink w:anchor="_ENREF_47" w:tooltip="Njeh, 1999 #114" w:history="1">
        <w:r w:rsidR="006F79C1">
          <w:rPr>
            <w:noProof/>
          </w:rPr>
          <w:t>Njeh, Fuerst et al. 1999</w:t>
        </w:r>
      </w:hyperlink>
      <w:r w:rsidR="003F6A33">
        <w:rPr>
          <w:noProof/>
        </w:rPr>
        <w:t>)</w:t>
      </w:r>
      <w:r w:rsidR="003F6A33">
        <w:fldChar w:fldCharType="end"/>
      </w:r>
      <w:r w:rsidR="0092546A">
        <w:t>.</w:t>
      </w:r>
    </w:p>
    <w:p w:rsidR="00273D65" w:rsidRDefault="00273D65" w:rsidP="003E61DB">
      <w:r>
        <w:t>Whether there are variations in safety risk pertaining to personnel with different qualifications, training or expertise when operating the DXA equipment is currently unknown.</w:t>
      </w:r>
      <w:r w:rsidR="00005041">
        <w:t xml:space="preserve"> </w:t>
      </w:r>
      <w:r w:rsidR="00005041">
        <w:rPr>
          <w:lang w:val="en-US"/>
        </w:rPr>
        <w:t>This would be difficult to measure as errors do not solely arise from the operator (such as patient positioning and study analysis) but also from machine factors (such as calibration drift and inherent system variability), and also patient factors (such as changes in the distribution of patient weight as well as fat and soft tissue which can affect the bone density measurement). HESP have advised that DXA is safe as only very low radiation doses are used, that is, the patient receives approximately 1/10</w:t>
      </w:r>
      <w:r w:rsidR="00005041" w:rsidRPr="00D96877">
        <w:rPr>
          <w:vertAlign w:val="superscript"/>
          <w:lang w:val="en-US"/>
        </w:rPr>
        <w:t>th</w:t>
      </w:r>
      <w:r w:rsidR="00005041">
        <w:rPr>
          <w:lang w:val="en-US"/>
        </w:rPr>
        <w:t xml:space="preserve"> of the radiation dose from a standard chest x-ray. There is also minimal radiation scatter affecting the operator as the x-ray beam has low energies</w:t>
      </w:r>
      <w:r w:rsidR="00005041" w:rsidRPr="006A1E55">
        <w:rPr>
          <w:lang w:val="en-US"/>
        </w:rPr>
        <w:t xml:space="preserve"> </w:t>
      </w:r>
      <w:r w:rsidR="00005041">
        <w:rPr>
          <w:lang w:val="en-US"/>
        </w:rPr>
        <w:t>and is highly collimated. Nevertheless, requirement of a Radiation Use licence is appropriate to ensure appropriate radiation practice despite the low radiation doses.</w:t>
      </w:r>
      <w:r w:rsidR="00005041">
        <w:t xml:space="preserve">Site accreditation </w:t>
      </w:r>
      <w:r w:rsidR="00A84E8E">
        <w:t>is also required to ensure sites maintain high standards of practice.</w:t>
      </w:r>
    </w:p>
    <w:p w:rsidR="00E05993" w:rsidRDefault="00E05993" w:rsidP="00E05993">
      <w:pPr>
        <w:pStyle w:val="Heading5"/>
      </w:pPr>
      <w:r>
        <w:t>Anti-resorptive therapies for fracture prevention</w:t>
      </w:r>
    </w:p>
    <w:p w:rsidR="004F095C" w:rsidRDefault="002B4189" w:rsidP="00815B1F">
      <w:r>
        <w:t>In the randomised controlled trial evidence in this assessment, the common adverse events for women on anti-resorptive treatments (</w:t>
      </w:r>
      <w:r w:rsidR="00A84E8E">
        <w:t xml:space="preserve">i.e., </w:t>
      </w:r>
      <w:r>
        <w:t xml:space="preserve">arthralgia, hot flushes, fatigue, myalgia, bone pain and fever) were not significantly different </w:t>
      </w:r>
      <w:r w:rsidR="00A84E8E">
        <w:t>across</w:t>
      </w:r>
      <w:r>
        <w:t xml:space="preserve"> treatment arms.  Whether all these events are </w:t>
      </w:r>
      <w:r w:rsidR="00A561C8">
        <w:t xml:space="preserve">considered to be </w:t>
      </w:r>
      <w:r>
        <w:t xml:space="preserve">attributed to anti-resorptive therapies is difficult because some </w:t>
      </w:r>
      <w:r w:rsidR="00DB1928">
        <w:t>symptoms (e.g., f</w:t>
      </w:r>
      <w:r>
        <w:t>ever, hot flushes and fatigue</w:t>
      </w:r>
      <w:r w:rsidR="00DB1928">
        <w:t>)</w:t>
      </w:r>
      <w:r>
        <w:t xml:space="preserve"> are also symptoms common for AIs</w:t>
      </w:r>
      <w:r w:rsidR="00A561C8">
        <w:t xml:space="preserve">, breast cancer </w:t>
      </w:r>
      <w:r w:rsidR="00DB1928">
        <w:t>and menopause</w:t>
      </w:r>
      <w:r w:rsidR="00A84E8E" w:rsidRPr="00A84E8E">
        <w:t xml:space="preserve"> </w:t>
      </w:r>
      <w:r w:rsidR="00A84E8E">
        <w:t>in general</w:t>
      </w:r>
      <w:r>
        <w:t xml:space="preserve">. </w:t>
      </w:r>
      <w:r w:rsidR="00136910">
        <w:t xml:space="preserve">Osteonecrosis of the jaw was an infrequent adverse event with most studies reporting no cases. </w:t>
      </w:r>
      <w:r w:rsidR="004F095C">
        <w:t>Areas of uncertainty for anti</w:t>
      </w:r>
      <w:r w:rsidR="00815B1F">
        <w:t>-</w:t>
      </w:r>
      <w:r w:rsidR="004F095C">
        <w:t>resorptive treatments</w:t>
      </w:r>
      <w:r w:rsidR="00136910">
        <w:t xml:space="preserve"> include their</w:t>
      </w:r>
      <w:r w:rsidR="004F095C">
        <w:t>:</w:t>
      </w:r>
    </w:p>
    <w:p w:rsidR="004F095C" w:rsidRDefault="004F095C" w:rsidP="00534D10">
      <w:pPr>
        <w:pStyle w:val="ListParagraph"/>
        <w:numPr>
          <w:ilvl w:val="0"/>
          <w:numId w:val="43"/>
        </w:numPr>
      </w:pPr>
      <w:r>
        <w:t>Optimal dose and schedule</w:t>
      </w:r>
      <w:r w:rsidR="00136910">
        <w:t>;</w:t>
      </w:r>
    </w:p>
    <w:p w:rsidR="004F095C" w:rsidRDefault="00136910" w:rsidP="00534D10">
      <w:pPr>
        <w:pStyle w:val="ListParagraph"/>
        <w:numPr>
          <w:ilvl w:val="0"/>
          <w:numId w:val="43"/>
        </w:numPr>
      </w:pPr>
      <w:r>
        <w:t>D</w:t>
      </w:r>
      <w:r w:rsidR="004F095C">
        <w:t xml:space="preserve">ose relationship with </w:t>
      </w:r>
      <w:r>
        <w:t>osteonecrosis of the jaw; and</w:t>
      </w:r>
    </w:p>
    <w:p w:rsidR="004F095C" w:rsidRDefault="00FE0F92" w:rsidP="00534D10">
      <w:pPr>
        <w:pStyle w:val="ListParagraph"/>
        <w:numPr>
          <w:ilvl w:val="0"/>
          <w:numId w:val="43"/>
        </w:numPr>
      </w:pPr>
      <w:r>
        <w:t>E</w:t>
      </w:r>
      <w:r w:rsidR="004F095C">
        <w:t>ffect on survival and cancer recurrence</w:t>
      </w:r>
      <w:r w:rsidR="00136910">
        <w:t>.</w:t>
      </w:r>
    </w:p>
    <w:p w:rsidR="004F095C" w:rsidRDefault="004F095C" w:rsidP="002B4189"/>
    <w:p w:rsidR="003E61DB" w:rsidRPr="00C9782D" w:rsidRDefault="003E61DB" w:rsidP="00C33B0E">
      <w:pPr>
        <w:pStyle w:val="Heading3"/>
      </w:pPr>
      <w:bookmarkStart w:id="145" w:name="_Toc386093719"/>
      <w:r w:rsidRPr="00C9782D">
        <w:lastRenderedPageBreak/>
        <w:t>Is it effective?</w:t>
      </w:r>
      <w:bookmarkEnd w:id="145"/>
      <w:r w:rsidRPr="00C9782D">
        <w:t xml:space="preserve"> </w:t>
      </w:r>
    </w:p>
    <w:p w:rsidR="003E61DB" w:rsidRDefault="0088225C" w:rsidP="0088225C">
      <w:pPr>
        <w:pStyle w:val="Heading5"/>
      </w:pPr>
      <w:r>
        <w:t>DXA</w:t>
      </w:r>
    </w:p>
    <w:p w:rsidR="00917EDB" w:rsidRDefault="0088225C" w:rsidP="00917EDB">
      <w:r>
        <w:t xml:space="preserve">The primary purpose of DXA scans is to predict low BMD and evidence suggests that DXA scans </w:t>
      </w:r>
      <w:r w:rsidR="00A561C8">
        <w:t xml:space="preserve">do this reasonably well, better than other modalities but they </w:t>
      </w:r>
      <w:r>
        <w:t xml:space="preserve">are not strong at predicting </w:t>
      </w:r>
      <w:r w:rsidR="00A561C8">
        <w:t xml:space="preserve">who will get </w:t>
      </w:r>
      <w:r>
        <w:t xml:space="preserve">fractures. This is partly due to there being many additional risk factors for fractures other than low BMD. So although poor BMD is a very strong risk factor for fractures, women with low BMD will not necessarily have a fracture. </w:t>
      </w:r>
      <w:r w:rsidR="00917EDB">
        <w:t>The relationship between low BMD and fracture incidence is also complicated due potential behavioural changes that occur when patients learn they have low BMD. For example, patients may change their health behaviours to avoid a fracture, by reduc</w:t>
      </w:r>
      <w:r w:rsidR="004F378F">
        <w:t>ing</w:t>
      </w:r>
      <w:r w:rsidR="00917EDB">
        <w:t xml:space="preserve"> their physical activity (to avoid falling) or they may boost their calcium intake.</w:t>
      </w:r>
      <w:r w:rsidR="00A84E8E">
        <w:t xml:space="preserve"> </w:t>
      </w:r>
    </w:p>
    <w:p w:rsidR="002E2B94" w:rsidRDefault="00136910" w:rsidP="0092546A">
      <w:r>
        <w:t>Since the p</w:t>
      </w:r>
      <w:r w:rsidR="002E2B94">
        <w:t>redictive performance</w:t>
      </w:r>
      <w:r>
        <w:t xml:space="preserve"> of DXA for fractures is suboptimal, </w:t>
      </w:r>
      <w:r w:rsidR="002E2B94">
        <w:t>formal widespread osteoporosis screening</w:t>
      </w:r>
      <w:r w:rsidR="00FE0F92">
        <w:t xml:space="preserve"> is not recommended</w:t>
      </w:r>
      <w:r w:rsidR="00A84E8E">
        <w:t xml:space="preserve"> by leading health authorities</w:t>
      </w:r>
      <w:r>
        <w:t xml:space="preserve">. However, there are limited options for clinicians </w:t>
      </w:r>
      <w:r w:rsidR="004F378F">
        <w:t>to accurately</w:t>
      </w:r>
      <w:r w:rsidR="00FE0F92">
        <w:t xml:space="preserve"> measure </w:t>
      </w:r>
      <w:r w:rsidR="00A84E8E">
        <w:t xml:space="preserve">BMD </w:t>
      </w:r>
      <w:r>
        <w:t>and currently doctors place greater weight on a</w:t>
      </w:r>
      <w:r w:rsidR="002E2B94">
        <w:t xml:space="preserve"> DXA </w:t>
      </w:r>
      <w:r>
        <w:t>report than a fracture risk factor assessment</w:t>
      </w:r>
      <w:r w:rsidR="004F378F">
        <w:t xml:space="preserve"> (HESP advice)</w:t>
      </w:r>
      <w:r>
        <w:t>. In women with breast cancer, many international guidelines specifically advocate DXA. For example, the NICE recommendation is:</w:t>
      </w:r>
    </w:p>
    <w:p w:rsidR="00136910" w:rsidRDefault="00136910" w:rsidP="00136910">
      <w:pPr>
        <w:pStyle w:val="Quote"/>
        <w:rPr>
          <w:lang w:val="en-GB"/>
        </w:rPr>
      </w:pPr>
      <w:r>
        <w:rPr>
          <w:lang w:val="en-GB"/>
        </w:rPr>
        <w:t>‘</w:t>
      </w:r>
      <w:r w:rsidRPr="00E01675">
        <w:rPr>
          <w:lang w:val="en-GB"/>
        </w:rPr>
        <w:t>Patients with early invasive breast cancer should have a baseline dual</w:t>
      </w:r>
      <w:r>
        <w:rPr>
          <w:lang w:val="en-GB"/>
        </w:rPr>
        <w:t xml:space="preserve"> energy X-ray absorptiometry (D</w:t>
      </w:r>
      <w:r w:rsidRPr="00E01675">
        <w:rPr>
          <w:lang w:val="en-GB"/>
        </w:rPr>
        <w:t>XA) scan to assess bone mineral density if they</w:t>
      </w:r>
      <w:r>
        <w:rPr>
          <w:lang w:val="en-GB"/>
        </w:rPr>
        <w:t xml:space="preserve"> </w:t>
      </w:r>
      <w:r w:rsidRPr="00E01675">
        <w:rPr>
          <w:lang w:val="en-GB"/>
        </w:rPr>
        <w:t>are starting adjuvant aromatase inhibitor treatment</w:t>
      </w:r>
      <w:r>
        <w:rPr>
          <w:lang w:val="en-GB"/>
        </w:rPr>
        <w:t>’</w:t>
      </w:r>
      <w:r w:rsidRPr="00E01675">
        <w:rPr>
          <w:lang w:val="en-GB"/>
        </w:rPr>
        <w:t xml:space="preserve"> </w:t>
      </w:r>
    </w:p>
    <w:p w:rsidR="00136910" w:rsidRDefault="00136910" w:rsidP="00136910">
      <w:r>
        <w:t xml:space="preserve">Fracture risk increases between 1.5 to 2.0 fold for every one standard deviation of BMD </w:t>
      </w:r>
      <w:r w:rsidR="00A84E8E">
        <w:t xml:space="preserve">T-score </w:t>
      </w:r>
      <w:r>
        <w:t>below normal. However, despite the consistently reported link between BMD and relative fracture risk, the absolute number of fractures is low even in a high-risk popula</w:t>
      </w:r>
      <w:r w:rsidR="00917EDB">
        <w:t>tion like post-menopausal women taking aromatase inhibitors.</w:t>
      </w:r>
    </w:p>
    <w:p w:rsidR="003E0A52" w:rsidRDefault="00A561C8" w:rsidP="0088225C">
      <w:r>
        <w:t xml:space="preserve">Low BMD may be considered an important health issue in its own right without the subsequent link to osteoporosis and fractures. </w:t>
      </w:r>
      <w:r w:rsidR="003E0A52">
        <w:t xml:space="preserve">Observations of background BMD levels as measured by DXA and using T-scores shows </w:t>
      </w:r>
      <w:r w:rsidR="00A84E8E">
        <w:t>a large number of</w:t>
      </w:r>
      <w:r w:rsidR="003E0A52">
        <w:t xml:space="preserve"> women are classified </w:t>
      </w:r>
      <w:r w:rsidR="004F378F">
        <w:t>with</w:t>
      </w:r>
      <w:r w:rsidR="00136910">
        <w:t xml:space="preserve"> </w:t>
      </w:r>
      <w:r w:rsidR="004F378F">
        <w:t>osteopenia</w:t>
      </w:r>
      <w:r w:rsidR="00136910">
        <w:t xml:space="preserve"> and osteoporo</w:t>
      </w:r>
      <w:r w:rsidR="004F378F">
        <w:t>sis</w:t>
      </w:r>
      <w:r w:rsidR="00A84E8E">
        <w:t xml:space="preserve"> in Australia</w:t>
      </w:r>
      <w:r w:rsidR="00136910">
        <w:t xml:space="preserve">. </w:t>
      </w:r>
      <w:r w:rsidR="003E0A52">
        <w:t xml:space="preserve">These women are expected to have worse BMD levels with aromatase inhibitors and subsequently higher risk of fractures. </w:t>
      </w:r>
    </w:p>
    <w:p w:rsidR="002E2B94" w:rsidRDefault="00136910" w:rsidP="0088225C">
      <w:r>
        <w:t xml:space="preserve">One clear advantage of DXA for determining BMD is that </w:t>
      </w:r>
      <w:r w:rsidR="002E2B94">
        <w:t xml:space="preserve">BMD scoring is linked directly to </w:t>
      </w:r>
      <w:r>
        <w:t xml:space="preserve">the </w:t>
      </w:r>
      <w:r w:rsidR="002E2B94">
        <w:t xml:space="preserve">WHO osteoporosis definitions and reference ranges are available </w:t>
      </w:r>
      <w:r>
        <w:t>for</w:t>
      </w:r>
      <w:r w:rsidR="002E2B94">
        <w:t xml:space="preserve"> Australia. However, there is presently non-uniform use of BMD reporting in Australia and quality control of densiometers and maintenance is very important.</w:t>
      </w:r>
    </w:p>
    <w:p w:rsidR="0088225C" w:rsidRDefault="0088225C" w:rsidP="0088225C">
      <w:pPr>
        <w:pStyle w:val="Heading5"/>
      </w:pPr>
      <w:r>
        <w:t>Anti-resorptive therapy for fracture prevention</w:t>
      </w:r>
    </w:p>
    <w:p w:rsidR="002E2B94" w:rsidRDefault="002E2B94" w:rsidP="002E2B94">
      <w:r>
        <w:t xml:space="preserve">In relation to the population of women taking aromatase inhibitors and </w:t>
      </w:r>
      <w:r w:rsidR="00917EDB">
        <w:t xml:space="preserve">bone </w:t>
      </w:r>
      <w:r>
        <w:t>fractures as a potential adverse event, the number n</w:t>
      </w:r>
      <w:r w:rsidR="00917EDB">
        <w:t>eeded to harm is high (46 women, pooled analysis by Amir et al. 2011)</w:t>
      </w:r>
      <w:r w:rsidR="00DF0B34">
        <w:t xml:space="preserve">.  This </w:t>
      </w:r>
      <w:r w:rsidR="00917EDB">
        <w:t>challenges</w:t>
      </w:r>
      <w:r w:rsidR="00DF0B34">
        <w:t xml:space="preserve"> the clinical need of treating all women on aromatase inhibitors with anti-resorptive therapy when so few fractures are likely to be prevented.</w:t>
      </w:r>
      <w:r>
        <w:t xml:space="preserve"> </w:t>
      </w:r>
    </w:p>
    <w:p w:rsidR="00633794" w:rsidRDefault="002E2B94" w:rsidP="00FE1E4F">
      <w:pPr>
        <w:spacing w:after="0"/>
      </w:pPr>
      <w:r>
        <w:t xml:space="preserve">Age remains a strong risk factor for fractures and women with early breast cancer are mostly under age 70 </w:t>
      </w:r>
      <w:r w:rsidRPr="003703C9">
        <w:t>(7</w:t>
      </w:r>
      <w:r w:rsidR="003703C9" w:rsidRPr="003703C9">
        <w:t>5</w:t>
      </w:r>
      <w:r w:rsidRPr="003703C9">
        <w:t>%).</w:t>
      </w:r>
      <w:r>
        <w:t xml:space="preserve"> </w:t>
      </w:r>
      <w:r w:rsidR="00633794">
        <w:t>Nevertheless, osteopenia, the precursor of osteoporosis is very common in younger ages. Approximately 7% of major osteoporotic fractures occur in individuals aged between 35 and</w:t>
      </w:r>
      <w:r w:rsidR="00FE1E4F">
        <w:t xml:space="preserve"> </w:t>
      </w:r>
      <w:r w:rsidR="00633794">
        <w:t>49 years</w:t>
      </w:r>
      <w:r w:rsidR="003F6A33">
        <w:t xml:space="preserve"> </w:t>
      </w:r>
      <w:r w:rsidR="003F6A33">
        <w:fldChar w:fldCharType="begin"/>
      </w:r>
      <w:r w:rsidR="003F6A33">
        <w:instrText xml:space="preserve"> ADDIN EN.CITE &lt;EndNote&gt;&lt;Cite&gt;&lt;Author&gt;Torpy&lt;/Author&gt;&lt;Year&gt;2012&lt;/Year&gt;&lt;RecNum&gt;111&lt;/RecNum&gt;&lt;DisplayText&gt;(Torpy, Brennan et al. 2012)&lt;/DisplayText&gt;&lt;record&gt;&lt;rec-number&gt;111&lt;/rec-number&gt;&lt;foreign-keys&gt;&lt;key app="EN" db-id="v9edw0zeqvve5nedzvjx29f1df2z2tvpvw55" timestamp="1396841366"&gt;111&lt;/key&gt;&lt;/foreign-keys&gt;&lt;ref-type name="Journal Article"&gt;17&lt;/ref-type&gt;&lt;contributors&gt;&lt;authors&gt;&lt;author&gt;Torpy, A. M.&lt;/author&gt;&lt;author&gt;Brennan, S. L.&lt;/author&gt;&lt;author&gt;Kotowicz, M. A.&lt;/author&gt;&lt;author&gt;Pasco, J. A.&lt;/author&gt;&lt;/authors&gt;&lt;/contributors&gt;&lt;titles&gt;&lt;title&gt;Reasons for referral to bone densitometry in men and women aged 20-49 years: population-based data&lt;/title&gt;&lt;secondary-title&gt;Arch Osteoporos.&lt;/secondary-title&gt;&lt;/titles&gt;&lt;periodical&gt;&lt;full-title&gt;Arch Osteoporos.&lt;/full-title&gt;&lt;/periodical&gt;&lt;pages&gt;173-8. doi: 10.1007/s11657-012-0094-z. Epub 2012 Aug 29.&lt;/pages&gt;&lt;volume&gt;7&lt;/volume&gt;&lt;number&gt;1-2&lt;/number&gt;&lt;keywords&gt;&lt;keyword&gt;0 (Glucocorticoids)&lt;/keyword&gt;&lt;keyword&gt;Absorptiometry, Photon/*utilization&lt;/keyword&gt;&lt;keyword&gt;Adult&lt;/keyword&gt;&lt;keyword&gt;Age Distribution&lt;/keyword&gt;&lt;keyword&gt;Bone Diseases, Metabolic/*epidemiology/*radiography&lt;/keyword&gt;&lt;keyword&gt;Drug Monitoring/utilization&lt;/keyword&gt;&lt;keyword&gt;Female&lt;/keyword&gt;&lt;keyword&gt;Fractures, Bone/epidemiology/radiography&lt;/keyword&gt;&lt;keyword&gt;Glucocorticoids/therapeutic use&lt;/keyword&gt;&lt;keyword&gt;Humans&lt;/keyword&gt;&lt;keyword&gt;Male&lt;/keyword&gt;&lt;keyword&gt;Middle Aged&lt;/keyword&gt;&lt;keyword&gt;Osteoporosis/epidemiology/radiography&lt;/keyword&gt;&lt;keyword&gt;Referral and Consultation/*utilization&lt;/keyword&gt;&lt;keyword&gt;Risk Factors&lt;/keyword&gt;&lt;keyword&gt;Sex Distribution&lt;/keyword&gt;&lt;keyword&gt;Victoria/epidemiology&lt;/keyword&gt;&lt;keyword&gt;Young Adult&lt;/keyword&gt;&lt;/keywords&gt;&lt;dates&gt;&lt;year&gt;2012&lt;/year&gt;&lt;pub-dates&gt;&lt;date&gt;Dec&lt;/date&gt;&lt;/pub-dates&gt;&lt;/dates&gt;&lt;isbn&gt;1862-3514 (Electronic)&lt;/isbn&gt;&lt;work-type&gt;Research Support, Non-U.S. Gov&amp;apos;t&lt;/work-type&gt;&lt;urls&gt;&lt;/urls&gt;&lt;/record&gt;&lt;/Cite&gt;&lt;/EndNote&gt;</w:instrText>
      </w:r>
      <w:r w:rsidR="003F6A33">
        <w:fldChar w:fldCharType="separate"/>
      </w:r>
      <w:r w:rsidR="003F6A33">
        <w:rPr>
          <w:noProof/>
        </w:rPr>
        <w:t>(</w:t>
      </w:r>
      <w:hyperlink w:anchor="_ENREF_60" w:tooltip="Torpy, 2012 #111" w:history="1">
        <w:r w:rsidR="006F79C1">
          <w:rPr>
            <w:noProof/>
          </w:rPr>
          <w:t>Torpy, Brennan et al. 2012</w:t>
        </w:r>
      </w:hyperlink>
      <w:r w:rsidR="003F6A33">
        <w:rPr>
          <w:noProof/>
        </w:rPr>
        <w:t>)</w:t>
      </w:r>
      <w:r w:rsidR="003F6A33">
        <w:fldChar w:fldCharType="end"/>
      </w:r>
      <w:r w:rsidR="00FE1E4F">
        <w:t xml:space="preserve">. This </w:t>
      </w:r>
      <w:r w:rsidR="00633794">
        <w:t>contribut</w:t>
      </w:r>
      <w:r w:rsidR="00FE1E4F">
        <w:t>es</w:t>
      </w:r>
      <w:r w:rsidR="00633794">
        <w:t xml:space="preserve"> to the high lifetime fracture risk</w:t>
      </w:r>
      <w:r w:rsidR="00FE1E4F">
        <w:t xml:space="preserve"> </w:t>
      </w:r>
      <w:r w:rsidR="00633794" w:rsidRPr="00FE1E4F">
        <w:t>in women and men after age 50 years</w:t>
      </w:r>
      <w:r w:rsidR="00FE1E4F">
        <w:t>.</w:t>
      </w:r>
      <w:r w:rsidR="00FE1E4F">
        <w:rPr>
          <w:rFonts w:ascii="AdvTT3713a231" w:hAnsi="AdvTT3713a231" w:cs="AdvTT3713a231"/>
          <w:color w:val="131413"/>
          <w:sz w:val="20"/>
        </w:rPr>
        <w:t xml:space="preserve"> </w:t>
      </w:r>
      <w:r w:rsidR="003703C9">
        <w:t xml:space="preserve">Furthermore, of all </w:t>
      </w:r>
      <w:r w:rsidR="003703C9">
        <w:lastRenderedPageBreak/>
        <w:t>women with breast cancer, 51% are between ages 50 and 70</w:t>
      </w:r>
      <w:r>
        <w:t xml:space="preserve">, </w:t>
      </w:r>
      <w:r w:rsidR="003703C9">
        <w:t>and 1759 will be experiencing early menopause (age 50-54 years)</w:t>
      </w:r>
      <w:r w:rsidR="00FE1E4F">
        <w:t xml:space="preserve"> and rapid bone loss</w:t>
      </w:r>
      <w:r w:rsidR="003F6A33">
        <w:t xml:space="preserve"> (ACIM books 2014)</w:t>
      </w:r>
      <w:r w:rsidR="003703C9">
        <w:t xml:space="preserve">. Women who are over age 45 but undergo premature menopause will not be eligible for MBS item </w:t>
      </w:r>
      <w:r w:rsidR="00633794">
        <w:t>12313 but bone loss may be particularly important in these women.</w:t>
      </w:r>
      <w:r w:rsidR="003703C9">
        <w:t xml:space="preserve"> </w:t>
      </w:r>
    </w:p>
    <w:p w:rsidR="00FE1E4F" w:rsidRDefault="00FE1E4F" w:rsidP="00FE1E4F">
      <w:pPr>
        <w:spacing w:after="0"/>
      </w:pPr>
    </w:p>
    <w:p w:rsidR="003E0A52" w:rsidRDefault="002E2B94" w:rsidP="00633794">
      <w:r>
        <w:t>In</w:t>
      </w:r>
      <w:r w:rsidR="003E0A52">
        <w:t xml:space="preserve"> Australia, a recent publication on the Geelong Osteoporosis Study has shown that the incidence of fractures is </w:t>
      </w:r>
      <w:r w:rsidR="00DF0B34">
        <w:t xml:space="preserve">declining in women. </w:t>
      </w:r>
      <w:r w:rsidR="00633794">
        <w:t>Significant reductions in hip fracture rates were observed for women: 32% for ages 75 to 84 years and 29% for ages 85 years or older</w:t>
      </w:r>
      <w:r w:rsidR="003F6A33">
        <w:t xml:space="preserve"> </w:t>
      </w:r>
      <w:r w:rsidR="003F6A33">
        <w:fldChar w:fldCharType="begin"/>
      </w:r>
      <w:r w:rsidR="003F6A33">
        <w:instrText xml:space="preserve"> ADDIN EN.CITE &lt;EndNote&gt;&lt;Cite&gt;&lt;Author&gt;Pasco&lt;/Author&gt;&lt;Year&gt;2011&lt;/Year&gt;&lt;RecNum&gt;92&lt;/RecNum&gt;&lt;DisplayText&gt;(Pasco, Brennan et al. 2011)&lt;/DisplayText&gt;&lt;record&gt;&lt;rec-number&gt;92&lt;/rec-number&gt;&lt;foreign-keys&gt;&lt;key app="EN" db-id="v9edw0zeqvve5nedzvjx29f1df2z2tvpvw55" timestamp="1396841366"&gt;92&lt;/key&gt;&lt;/foreign-keys&gt;&lt;ref-type name="Journal Article"&gt;17&lt;/ref-type&gt;&lt;contributors&gt;&lt;authors&gt;&lt;author&gt;Pasco, J. A.&lt;/author&gt;&lt;author&gt;Brennan, S. L.&lt;/author&gt;&lt;author&gt;Henry, M. J.&lt;/author&gt;&lt;author&gt;Nicholson, G. C.&lt;/author&gt;&lt;author&gt;Sanders, K. M.&lt;/author&gt;&lt;author&gt;Zhang, Y.&lt;/author&gt;&lt;author&gt;Kotowicz, M. A.&lt;/author&gt;&lt;/authors&gt;&lt;/contributors&gt;&lt;titles&gt;&lt;title&gt;Changes in hip fracture rates in southeastern Australia spanning the period 1994-2007&lt;/title&gt;&lt;secondary-title&gt;J Bone Miner Res.&lt;/secondary-title&gt;&lt;/titles&gt;&lt;periodical&gt;&lt;full-title&gt;J Bone Miner Res.&lt;/full-title&gt;&lt;/periodical&gt;&lt;pages&gt;1648-54. doi: 10.1002/jbmr.393.&lt;/pages&gt;&lt;volume&gt;26&lt;/volume&gt;&lt;number&gt;7&lt;/number&gt;&lt;keywords&gt;&lt;keyword&gt;Aged&lt;/keyword&gt;&lt;keyword&gt;Aged, 80 and over&lt;/keyword&gt;&lt;keyword&gt;Australia&lt;/keyword&gt;&lt;keyword&gt;Female&lt;/keyword&gt;&lt;keyword&gt;Hip Fractures/*epidemiology&lt;/keyword&gt;&lt;keyword&gt;Humans&lt;/keyword&gt;&lt;keyword&gt;Incidence&lt;/keyword&gt;&lt;keyword&gt;Male&lt;/keyword&gt;&lt;keyword&gt;Middle Aged&lt;/keyword&gt;&lt;keyword&gt;Regression Analysis&lt;/keyword&gt;&lt;keyword&gt;Risk Factors&lt;/keyword&gt;&lt;/keywords&gt;&lt;dates&gt;&lt;year&gt;2011&lt;/year&gt;&lt;pub-dates&gt;&lt;date&gt;Jul&lt;/date&gt;&lt;/pub-dates&gt;&lt;/dates&gt;&lt;isbn&gt;1523-4681 (Electronic)&amp;#xD;0884-0431 (Linking)&lt;/isbn&gt;&lt;work-type&gt;Research Support, Non-U.S. Gov&amp;apos;t&lt;/work-type&gt;&lt;urls&gt;&lt;/urls&gt;&lt;/record&gt;&lt;/Cite&gt;&lt;/EndNote&gt;</w:instrText>
      </w:r>
      <w:r w:rsidR="003F6A33">
        <w:fldChar w:fldCharType="separate"/>
      </w:r>
      <w:r w:rsidR="003F6A33">
        <w:rPr>
          <w:noProof/>
        </w:rPr>
        <w:t>(</w:t>
      </w:r>
      <w:hyperlink w:anchor="_ENREF_50" w:tooltip="Pasco, 2011 #92" w:history="1">
        <w:r w:rsidR="006F79C1">
          <w:rPr>
            <w:noProof/>
          </w:rPr>
          <w:t>Pasco, Brennan et al. 2011</w:t>
        </w:r>
      </w:hyperlink>
      <w:r w:rsidR="003F6A33">
        <w:rPr>
          <w:noProof/>
        </w:rPr>
        <w:t>)</w:t>
      </w:r>
      <w:r w:rsidR="003F6A33">
        <w:fldChar w:fldCharType="end"/>
      </w:r>
      <w:r w:rsidR="00633794">
        <w:t>.</w:t>
      </w:r>
      <w:r w:rsidR="00DF0B34">
        <w:t xml:space="preserve"> This is most likely explained, according to their analyses, </w:t>
      </w:r>
      <w:r w:rsidR="003E0A52">
        <w:t>to trends</w:t>
      </w:r>
      <w:r w:rsidR="00DF0B34">
        <w:t xml:space="preserve"> over time</w:t>
      </w:r>
      <w:r w:rsidR="003E0A52">
        <w:t xml:space="preserve"> of increased body weight and obesity rates across all age groups </w:t>
      </w:r>
      <w:r w:rsidR="003F6A33">
        <w:t xml:space="preserve"> </w:t>
      </w:r>
      <w:r w:rsidR="003F6A33">
        <w:fldChar w:fldCharType="begin"/>
      </w:r>
      <w:r w:rsidR="003F6A33">
        <w:instrText xml:space="preserve"> ADDIN EN.CITE &lt;EndNote&gt;&lt;Cite&gt;&lt;Author&gt;Pasco&lt;/Author&gt;&lt;Year&gt;2011&lt;/Year&gt;&lt;RecNum&gt;92&lt;/RecNum&gt;&lt;DisplayText&gt;(Pasco, Brennan et al. 2011)&lt;/DisplayText&gt;&lt;record&gt;&lt;rec-number&gt;92&lt;/rec-number&gt;&lt;foreign-keys&gt;&lt;key app="EN" db-id="v9edw0zeqvve5nedzvjx29f1df2z2tvpvw55" timestamp="1396841366"&gt;92&lt;/key&gt;&lt;/foreign-keys&gt;&lt;ref-type name="Journal Article"&gt;17&lt;/ref-type&gt;&lt;contributors&gt;&lt;authors&gt;&lt;author&gt;Pasco, J. A.&lt;/author&gt;&lt;author&gt;Brennan, S. L.&lt;/author&gt;&lt;author&gt;Henry, M. J.&lt;/author&gt;&lt;author&gt;Nicholson, G. C.&lt;/author&gt;&lt;author&gt;Sanders, K. M.&lt;/author&gt;&lt;author&gt;Zhang, Y.&lt;/author&gt;&lt;author&gt;Kotowicz, M. A.&lt;/author&gt;&lt;/authors&gt;&lt;/contributors&gt;&lt;titles&gt;&lt;title&gt;Changes in hip fracture rates in southeastern Australia spanning the period 1994-2007&lt;/title&gt;&lt;secondary-title&gt;J Bone Miner Res.&lt;/secondary-title&gt;&lt;/titles&gt;&lt;periodical&gt;&lt;full-title&gt;J Bone Miner Res.&lt;/full-title&gt;&lt;/periodical&gt;&lt;pages&gt;1648-54. doi: 10.1002/jbmr.393.&lt;/pages&gt;&lt;volume&gt;26&lt;/volume&gt;&lt;number&gt;7&lt;/number&gt;&lt;keywords&gt;&lt;keyword&gt;Aged&lt;/keyword&gt;&lt;keyword&gt;Aged, 80 and over&lt;/keyword&gt;&lt;keyword&gt;Australia&lt;/keyword&gt;&lt;keyword&gt;Female&lt;/keyword&gt;&lt;keyword&gt;Hip Fractures/*epidemiology&lt;/keyword&gt;&lt;keyword&gt;Humans&lt;/keyword&gt;&lt;keyword&gt;Incidence&lt;/keyword&gt;&lt;keyword&gt;Male&lt;/keyword&gt;&lt;keyword&gt;Middle Aged&lt;/keyword&gt;&lt;keyword&gt;Regression Analysis&lt;/keyword&gt;&lt;keyword&gt;Risk Factors&lt;/keyword&gt;&lt;/keywords&gt;&lt;dates&gt;&lt;year&gt;2011&lt;/year&gt;&lt;pub-dates&gt;&lt;date&gt;Jul&lt;/date&gt;&lt;/pub-dates&gt;&lt;/dates&gt;&lt;isbn&gt;1523-4681 (Electronic)&amp;#xD;0884-0431 (Linking)&lt;/isbn&gt;&lt;work-type&gt;Research Support, Non-U.S. Gov&amp;apos;t&lt;/work-type&gt;&lt;urls&gt;&lt;/urls&gt;&lt;/record&gt;&lt;/Cite&gt;&lt;/EndNote&gt;</w:instrText>
      </w:r>
      <w:r w:rsidR="003F6A33">
        <w:fldChar w:fldCharType="separate"/>
      </w:r>
      <w:r w:rsidR="003F6A33">
        <w:rPr>
          <w:noProof/>
        </w:rPr>
        <w:t>(</w:t>
      </w:r>
      <w:hyperlink w:anchor="_ENREF_50" w:tooltip="Pasco, 2011 #92" w:history="1">
        <w:r w:rsidR="006F79C1">
          <w:rPr>
            <w:noProof/>
          </w:rPr>
          <w:t>Pasco, Brennan et al. 2011</w:t>
        </w:r>
      </w:hyperlink>
      <w:r w:rsidR="003F6A33">
        <w:rPr>
          <w:noProof/>
        </w:rPr>
        <w:t>)</w:t>
      </w:r>
      <w:r w:rsidR="003F6A33">
        <w:fldChar w:fldCharType="end"/>
      </w:r>
      <w:r w:rsidR="003E0A52">
        <w:t xml:space="preserve">. They also state that the </w:t>
      </w:r>
      <w:r w:rsidR="00DF0B34">
        <w:t>increased use of bone mineralisation treatments may also be contributing to the reduced incidence.</w:t>
      </w:r>
    </w:p>
    <w:p w:rsidR="0088225C" w:rsidRDefault="00DF0B34" w:rsidP="003E61DB">
      <w:r>
        <w:t>Anti-resorptive therapies in women taking aromatase inhibitors are effective according to the evidence base.  The evidence for this statement is summarised in the matrix below.</w:t>
      </w:r>
    </w:p>
    <w:p w:rsidR="003E61DB" w:rsidRPr="00C262EC" w:rsidRDefault="003E61DB" w:rsidP="00C262EC">
      <w:pPr>
        <w:pStyle w:val="TableName"/>
      </w:pPr>
      <w:bookmarkStart w:id="146" w:name="_Ref173810382"/>
      <w:bookmarkStart w:id="147" w:name="_Toc386112702"/>
      <w:r w:rsidRPr="00C262EC">
        <w:t xml:space="preserve">Table </w:t>
      </w:r>
      <w:bookmarkEnd w:id="146"/>
      <w:r w:rsidR="00DF0B34" w:rsidRPr="00C262EC">
        <w:t>33</w:t>
      </w:r>
      <w:r w:rsidR="00C262EC" w:rsidRPr="00C262EC">
        <w:t xml:space="preserve">: </w:t>
      </w:r>
      <w:r w:rsidRPr="00C262EC">
        <w:t>Completed body of evidence assessment matrix</w:t>
      </w:r>
      <w:bookmarkEnd w:id="147"/>
      <w:r w:rsidRPr="00C262EC">
        <w:t xml:space="preserve"> </w:t>
      </w:r>
    </w:p>
    <w:tbl>
      <w:tblPr>
        <w:tblW w:w="8441" w:type="dxa"/>
        <w:tblInd w:w="739" w:type="dxa"/>
        <w:tblLook w:val="01E0" w:firstRow="1" w:lastRow="1" w:firstColumn="1" w:lastColumn="1" w:noHBand="0" w:noVBand="0"/>
        <w:tblCaption w:val="Body of evidence results"/>
      </w:tblPr>
      <w:tblGrid>
        <w:gridCol w:w="1943"/>
        <w:gridCol w:w="1414"/>
        <w:gridCol w:w="1695"/>
        <w:gridCol w:w="1694"/>
        <w:gridCol w:w="1695"/>
      </w:tblGrid>
      <w:tr w:rsidR="00BE5D4E" w:rsidRPr="005442FD" w:rsidTr="00C262EC">
        <w:trPr>
          <w:cantSplit/>
          <w:tblHeader/>
        </w:trPr>
        <w:tc>
          <w:tcPr>
            <w:tcW w:w="1943" w:type="dxa"/>
            <w:tcBorders>
              <w:top w:val="single" w:sz="2" w:space="0" w:color="auto"/>
              <w:left w:val="single" w:sz="4" w:space="0" w:color="auto"/>
              <w:bottom w:val="nil"/>
              <w:right w:val="single" w:sz="2" w:space="0" w:color="auto"/>
              <w:tl2br w:val="nil"/>
            </w:tcBorders>
            <w:shd w:val="clear" w:color="auto" w:fill="auto"/>
            <w:tcMar>
              <w:right w:w="57" w:type="dxa"/>
            </w:tcMar>
            <w:vAlign w:val="center"/>
          </w:tcPr>
          <w:p w:rsidR="00BE5D4E" w:rsidRPr="00C9782D" w:rsidRDefault="00BE5D4E" w:rsidP="00B7360E">
            <w:pPr>
              <w:pStyle w:val="TableHeading"/>
              <w:rPr>
                <w:b w:val="0"/>
              </w:rPr>
            </w:pPr>
            <w:r w:rsidRPr="00C9782D">
              <w:rPr>
                <w:b w:val="0"/>
              </w:rPr>
              <w:t>Body of evidence</w:t>
            </w:r>
            <w:r>
              <w:rPr>
                <w:b w:val="0"/>
              </w:rPr>
              <w:t xml:space="preserve"> (X</w:t>
            </w:r>
            <w:r w:rsidRPr="00BE5D4E">
              <w:rPr>
                <w:b w:val="0"/>
              </w:rPr>
              <w:t xml:space="preserve"> axis</w:t>
            </w:r>
            <w:r>
              <w:rPr>
                <w:b w:val="0"/>
              </w:rPr>
              <w:t>)</w:t>
            </w:r>
          </w:p>
        </w:tc>
        <w:tc>
          <w:tcPr>
            <w:tcW w:w="1414" w:type="dxa"/>
            <w:tcBorders>
              <w:top w:val="single" w:sz="2" w:space="0" w:color="auto"/>
              <w:left w:val="single" w:sz="2" w:space="0" w:color="auto"/>
              <w:bottom w:val="nil"/>
              <w:right w:val="single" w:sz="2" w:space="0" w:color="auto"/>
            </w:tcBorders>
            <w:shd w:val="clear" w:color="auto" w:fill="auto"/>
          </w:tcPr>
          <w:p w:rsidR="00BE5D4E" w:rsidRPr="00C9782D" w:rsidRDefault="00BE5D4E" w:rsidP="003E61DB">
            <w:pPr>
              <w:pStyle w:val="TableHeading"/>
              <w:jc w:val="center"/>
              <w:rPr>
                <w:b w:val="0"/>
              </w:rPr>
            </w:pPr>
            <w:r w:rsidRPr="00C9782D">
              <w:rPr>
                <w:b w:val="0"/>
              </w:rPr>
              <w:t>A</w:t>
            </w:r>
          </w:p>
        </w:tc>
        <w:tc>
          <w:tcPr>
            <w:tcW w:w="1695" w:type="dxa"/>
            <w:tcBorders>
              <w:top w:val="single" w:sz="2" w:space="0" w:color="auto"/>
              <w:left w:val="single" w:sz="2" w:space="0" w:color="auto"/>
              <w:bottom w:val="nil"/>
              <w:right w:val="single" w:sz="2" w:space="0" w:color="auto"/>
            </w:tcBorders>
            <w:shd w:val="clear" w:color="auto" w:fill="auto"/>
          </w:tcPr>
          <w:p w:rsidR="00BE5D4E" w:rsidRPr="00C9782D" w:rsidRDefault="00BE5D4E" w:rsidP="003E61DB">
            <w:pPr>
              <w:pStyle w:val="TableHeading"/>
              <w:jc w:val="center"/>
              <w:rPr>
                <w:b w:val="0"/>
              </w:rPr>
            </w:pPr>
            <w:r w:rsidRPr="00C9782D">
              <w:rPr>
                <w:b w:val="0"/>
              </w:rPr>
              <w:t>B</w:t>
            </w:r>
          </w:p>
        </w:tc>
        <w:tc>
          <w:tcPr>
            <w:tcW w:w="1694" w:type="dxa"/>
            <w:tcBorders>
              <w:top w:val="single" w:sz="2" w:space="0" w:color="auto"/>
              <w:left w:val="single" w:sz="2" w:space="0" w:color="auto"/>
              <w:bottom w:val="nil"/>
              <w:right w:val="single" w:sz="2" w:space="0" w:color="auto"/>
            </w:tcBorders>
            <w:shd w:val="clear" w:color="auto" w:fill="auto"/>
          </w:tcPr>
          <w:p w:rsidR="00BE5D4E" w:rsidRPr="00C9782D" w:rsidRDefault="00BE5D4E" w:rsidP="003E61DB">
            <w:pPr>
              <w:pStyle w:val="TableHeading"/>
              <w:jc w:val="center"/>
              <w:rPr>
                <w:b w:val="0"/>
              </w:rPr>
            </w:pPr>
            <w:r w:rsidRPr="00C9782D">
              <w:rPr>
                <w:b w:val="0"/>
              </w:rPr>
              <w:t>C</w:t>
            </w:r>
          </w:p>
        </w:tc>
        <w:tc>
          <w:tcPr>
            <w:tcW w:w="1695" w:type="dxa"/>
            <w:tcBorders>
              <w:top w:val="single" w:sz="2" w:space="0" w:color="auto"/>
              <w:left w:val="single" w:sz="2" w:space="0" w:color="auto"/>
              <w:bottom w:val="nil"/>
              <w:right w:val="single" w:sz="2" w:space="0" w:color="auto"/>
            </w:tcBorders>
            <w:shd w:val="clear" w:color="auto" w:fill="auto"/>
          </w:tcPr>
          <w:p w:rsidR="00BE5D4E" w:rsidRPr="00C9782D" w:rsidRDefault="00BE5D4E" w:rsidP="003E61DB">
            <w:pPr>
              <w:pStyle w:val="TableHeading"/>
              <w:jc w:val="center"/>
              <w:rPr>
                <w:b w:val="0"/>
              </w:rPr>
            </w:pPr>
            <w:r w:rsidRPr="00C9782D">
              <w:rPr>
                <w:b w:val="0"/>
              </w:rPr>
              <w:t>D</w:t>
            </w:r>
          </w:p>
        </w:tc>
      </w:tr>
      <w:tr w:rsidR="00BE5D4E" w:rsidRPr="005442FD" w:rsidTr="00C262EC">
        <w:trPr>
          <w:cantSplit/>
          <w:tblHeader/>
        </w:trPr>
        <w:tc>
          <w:tcPr>
            <w:tcW w:w="1943" w:type="dxa"/>
            <w:tcBorders>
              <w:top w:val="nil"/>
              <w:left w:val="single" w:sz="4" w:space="0" w:color="auto"/>
              <w:bottom w:val="single" w:sz="2" w:space="0" w:color="auto"/>
              <w:right w:val="single" w:sz="2" w:space="0" w:color="auto"/>
              <w:tl2br w:val="nil"/>
            </w:tcBorders>
            <w:shd w:val="clear" w:color="auto" w:fill="auto"/>
            <w:tcMar>
              <w:left w:w="57" w:type="dxa"/>
            </w:tcMar>
            <w:vAlign w:val="bottom"/>
          </w:tcPr>
          <w:p w:rsidR="00BE5D4E" w:rsidRPr="00C9782D" w:rsidRDefault="00BE5D4E" w:rsidP="00B7360E">
            <w:pPr>
              <w:pStyle w:val="TableHeading"/>
              <w:rPr>
                <w:b w:val="0"/>
              </w:rPr>
            </w:pPr>
            <w:r w:rsidRPr="00C9782D">
              <w:rPr>
                <w:b w:val="0"/>
              </w:rPr>
              <w:t>Component</w:t>
            </w:r>
            <w:r>
              <w:rPr>
                <w:b w:val="0"/>
              </w:rPr>
              <w:t xml:space="preserve"> (Y</w:t>
            </w:r>
            <w:r w:rsidRPr="00BE5D4E">
              <w:rPr>
                <w:b w:val="0"/>
              </w:rPr>
              <w:t xml:space="preserve"> axis</w:t>
            </w:r>
            <w:r>
              <w:rPr>
                <w:b w:val="0"/>
              </w:rPr>
              <w:t>)</w:t>
            </w:r>
          </w:p>
        </w:tc>
        <w:tc>
          <w:tcPr>
            <w:tcW w:w="1414" w:type="dxa"/>
            <w:tcBorders>
              <w:top w:val="nil"/>
              <w:left w:val="single" w:sz="2" w:space="0" w:color="auto"/>
              <w:bottom w:val="single" w:sz="2" w:space="0" w:color="auto"/>
              <w:right w:val="single" w:sz="2" w:space="0" w:color="auto"/>
            </w:tcBorders>
            <w:shd w:val="clear" w:color="auto" w:fill="auto"/>
          </w:tcPr>
          <w:p w:rsidR="00BE5D4E" w:rsidRPr="00C9782D" w:rsidRDefault="00BE5D4E" w:rsidP="003E61DB">
            <w:pPr>
              <w:pStyle w:val="TableHeading"/>
              <w:jc w:val="center"/>
              <w:rPr>
                <w:b w:val="0"/>
              </w:rPr>
            </w:pPr>
            <w:r w:rsidRPr="00C9782D">
              <w:rPr>
                <w:b w:val="0"/>
              </w:rPr>
              <w:t>Excellent</w:t>
            </w:r>
          </w:p>
        </w:tc>
        <w:tc>
          <w:tcPr>
            <w:tcW w:w="1695" w:type="dxa"/>
            <w:tcBorders>
              <w:top w:val="nil"/>
              <w:left w:val="single" w:sz="2" w:space="0" w:color="auto"/>
              <w:bottom w:val="single" w:sz="2" w:space="0" w:color="auto"/>
              <w:right w:val="single" w:sz="2" w:space="0" w:color="auto"/>
            </w:tcBorders>
            <w:shd w:val="clear" w:color="auto" w:fill="auto"/>
          </w:tcPr>
          <w:p w:rsidR="00BE5D4E" w:rsidRPr="00C9782D" w:rsidRDefault="00BE5D4E" w:rsidP="003E61DB">
            <w:pPr>
              <w:pStyle w:val="TableHeading"/>
              <w:jc w:val="center"/>
              <w:rPr>
                <w:b w:val="0"/>
              </w:rPr>
            </w:pPr>
            <w:r w:rsidRPr="00C9782D">
              <w:rPr>
                <w:b w:val="0"/>
              </w:rPr>
              <w:t>Good</w:t>
            </w:r>
          </w:p>
        </w:tc>
        <w:tc>
          <w:tcPr>
            <w:tcW w:w="1694" w:type="dxa"/>
            <w:tcBorders>
              <w:top w:val="nil"/>
              <w:left w:val="single" w:sz="2" w:space="0" w:color="auto"/>
              <w:bottom w:val="single" w:sz="2" w:space="0" w:color="auto"/>
              <w:right w:val="single" w:sz="2" w:space="0" w:color="auto"/>
            </w:tcBorders>
            <w:shd w:val="clear" w:color="auto" w:fill="auto"/>
          </w:tcPr>
          <w:p w:rsidR="00BE5D4E" w:rsidRPr="00C9782D" w:rsidRDefault="00BE5D4E" w:rsidP="003E61DB">
            <w:pPr>
              <w:pStyle w:val="TableHeading"/>
              <w:jc w:val="center"/>
              <w:rPr>
                <w:b w:val="0"/>
              </w:rPr>
            </w:pPr>
            <w:r w:rsidRPr="00C9782D">
              <w:rPr>
                <w:b w:val="0"/>
              </w:rPr>
              <w:t>Satisfactory</w:t>
            </w:r>
          </w:p>
        </w:tc>
        <w:tc>
          <w:tcPr>
            <w:tcW w:w="1695" w:type="dxa"/>
            <w:tcBorders>
              <w:top w:val="nil"/>
              <w:left w:val="single" w:sz="2" w:space="0" w:color="auto"/>
              <w:bottom w:val="single" w:sz="2" w:space="0" w:color="auto"/>
              <w:right w:val="single" w:sz="2" w:space="0" w:color="auto"/>
            </w:tcBorders>
            <w:shd w:val="clear" w:color="auto" w:fill="auto"/>
          </w:tcPr>
          <w:p w:rsidR="00BE5D4E" w:rsidRPr="00C9782D" w:rsidRDefault="00BE5D4E" w:rsidP="003E61DB">
            <w:pPr>
              <w:pStyle w:val="TableHeading"/>
              <w:jc w:val="center"/>
              <w:rPr>
                <w:b w:val="0"/>
              </w:rPr>
            </w:pPr>
            <w:r w:rsidRPr="00C9782D">
              <w:rPr>
                <w:b w:val="0"/>
              </w:rPr>
              <w:t>Poor</w:t>
            </w:r>
          </w:p>
        </w:tc>
      </w:tr>
      <w:tr w:rsidR="003E61DB" w:rsidRPr="005442FD" w:rsidTr="00C262EC">
        <w:tblPrEx>
          <w:tblCellMar>
            <w:right w:w="57" w:type="dxa"/>
          </w:tblCellMar>
        </w:tblPrEx>
        <w:trPr>
          <w:cantSplit/>
          <w:tblHeader/>
        </w:trPr>
        <w:tc>
          <w:tcPr>
            <w:tcW w:w="1943"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Heading"/>
              <w:rPr>
                <w:b w:val="0"/>
              </w:rPr>
            </w:pPr>
            <w:r w:rsidRPr="00C9782D">
              <w:rPr>
                <w:b w:val="0"/>
              </w:rPr>
              <w:t>Evidence base</w:t>
            </w:r>
          </w:p>
        </w:tc>
        <w:tc>
          <w:tcPr>
            <w:tcW w:w="1414"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r w:rsidRPr="00C9782D">
              <w:rPr>
                <w:b/>
              </w:rPr>
              <w:t>several level I or II studies with low risk of bias</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A3211" w:rsidP="003E61DB">
            <w:pPr>
              <w:pStyle w:val="TableText"/>
              <w:rPr>
                <w:b/>
              </w:rPr>
            </w:pPr>
            <w:r>
              <w:rPr>
                <w:b/>
              </w:rPr>
              <w:t>-</w:t>
            </w:r>
          </w:p>
        </w:tc>
        <w:tc>
          <w:tcPr>
            <w:tcW w:w="1694"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A3211" w:rsidP="003E61DB">
            <w:pPr>
              <w:pStyle w:val="TableText"/>
              <w:rPr>
                <w:b/>
              </w:rPr>
            </w:pPr>
            <w:r>
              <w:rPr>
                <w:b/>
              </w:rPr>
              <w:t>-</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A3211" w:rsidP="003E61DB">
            <w:pPr>
              <w:pStyle w:val="TableText"/>
              <w:rPr>
                <w:b/>
              </w:rPr>
            </w:pPr>
            <w:r>
              <w:rPr>
                <w:b/>
              </w:rPr>
              <w:t>-</w:t>
            </w:r>
          </w:p>
        </w:tc>
      </w:tr>
      <w:tr w:rsidR="003E61DB" w:rsidRPr="005442FD" w:rsidTr="00C262EC">
        <w:tblPrEx>
          <w:tblCellMar>
            <w:right w:w="57" w:type="dxa"/>
          </w:tblCellMar>
        </w:tblPrEx>
        <w:trPr>
          <w:cantSplit/>
          <w:tblHeader/>
        </w:trPr>
        <w:tc>
          <w:tcPr>
            <w:tcW w:w="1943"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Heading"/>
              <w:rPr>
                <w:b w:val="0"/>
              </w:rPr>
            </w:pPr>
            <w:r w:rsidRPr="00C9782D">
              <w:rPr>
                <w:b w:val="0"/>
              </w:rPr>
              <w:t>Consistency</w:t>
            </w:r>
          </w:p>
        </w:tc>
        <w:tc>
          <w:tcPr>
            <w:tcW w:w="1414"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A3211" w:rsidP="003E61DB">
            <w:pPr>
              <w:pStyle w:val="TableText"/>
              <w:rPr>
                <w:b/>
              </w:rPr>
            </w:pPr>
            <w:r>
              <w:rPr>
                <w:b/>
              </w:rPr>
              <w:t>-</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r w:rsidRPr="00C9782D">
              <w:rPr>
                <w:b/>
              </w:rPr>
              <w:t>most studies consistent and inconsistency may be explained</w:t>
            </w:r>
          </w:p>
        </w:tc>
        <w:tc>
          <w:tcPr>
            <w:tcW w:w="1694"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A3211" w:rsidP="003E61DB">
            <w:pPr>
              <w:pStyle w:val="TableText"/>
              <w:rPr>
                <w:b/>
              </w:rPr>
            </w:pPr>
            <w:r>
              <w:rPr>
                <w:b/>
              </w:rPr>
              <w:t>-</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A3211" w:rsidP="003E61DB">
            <w:pPr>
              <w:pStyle w:val="TableText"/>
              <w:rPr>
                <w:b/>
              </w:rPr>
            </w:pPr>
            <w:r>
              <w:rPr>
                <w:b/>
              </w:rPr>
              <w:t>-</w:t>
            </w:r>
          </w:p>
        </w:tc>
      </w:tr>
      <w:tr w:rsidR="003E61DB" w:rsidRPr="005442FD" w:rsidTr="00C262EC">
        <w:tblPrEx>
          <w:tblCellMar>
            <w:right w:w="57" w:type="dxa"/>
          </w:tblCellMar>
        </w:tblPrEx>
        <w:trPr>
          <w:cantSplit/>
          <w:trHeight w:val="462"/>
          <w:tblHeader/>
        </w:trPr>
        <w:tc>
          <w:tcPr>
            <w:tcW w:w="1943"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Heading"/>
              <w:rPr>
                <w:b w:val="0"/>
              </w:rPr>
            </w:pPr>
            <w:r w:rsidRPr="00C9782D">
              <w:rPr>
                <w:b w:val="0"/>
              </w:rPr>
              <w:t>Clinical impact</w:t>
            </w:r>
          </w:p>
        </w:tc>
        <w:tc>
          <w:tcPr>
            <w:tcW w:w="1414"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A3211" w:rsidP="003E61DB">
            <w:pPr>
              <w:pStyle w:val="TableText"/>
              <w:rPr>
                <w:b/>
              </w:rPr>
            </w:pPr>
            <w:r>
              <w:rPr>
                <w:b/>
              </w:rPr>
              <w:t>-</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A3211" w:rsidP="003E61DB">
            <w:pPr>
              <w:pStyle w:val="TableText"/>
              <w:rPr>
                <w:b/>
              </w:rPr>
            </w:pPr>
            <w:r>
              <w:rPr>
                <w:b/>
              </w:rPr>
              <w:t>-</w:t>
            </w:r>
          </w:p>
        </w:tc>
        <w:tc>
          <w:tcPr>
            <w:tcW w:w="1694"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r w:rsidRPr="00C9782D">
              <w:rPr>
                <w:b/>
              </w:rPr>
              <w:t>moderate</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A3211" w:rsidP="003E61DB">
            <w:pPr>
              <w:pStyle w:val="TableText"/>
              <w:rPr>
                <w:b/>
              </w:rPr>
            </w:pPr>
            <w:r>
              <w:rPr>
                <w:b/>
              </w:rPr>
              <w:t>-</w:t>
            </w:r>
          </w:p>
        </w:tc>
      </w:tr>
      <w:tr w:rsidR="003E61DB" w:rsidRPr="005442FD" w:rsidTr="00C262EC">
        <w:tblPrEx>
          <w:tblCellMar>
            <w:right w:w="57" w:type="dxa"/>
          </w:tblCellMar>
        </w:tblPrEx>
        <w:trPr>
          <w:cantSplit/>
          <w:tblHeader/>
        </w:trPr>
        <w:tc>
          <w:tcPr>
            <w:tcW w:w="1943"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A3211" w:rsidP="003E61DB">
            <w:pPr>
              <w:pStyle w:val="TableHeading"/>
              <w:rPr>
                <w:b w:val="0"/>
              </w:rPr>
            </w:pPr>
            <w:r w:rsidRPr="00C9782D">
              <w:rPr>
                <w:b w:val="0"/>
              </w:rPr>
              <w:t>Generalizability</w:t>
            </w:r>
          </w:p>
        </w:tc>
        <w:tc>
          <w:tcPr>
            <w:tcW w:w="1414"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A3211" w:rsidP="003E61DB">
            <w:pPr>
              <w:pStyle w:val="TableText"/>
              <w:rPr>
                <w:b/>
              </w:rPr>
            </w:pPr>
            <w:r>
              <w:rPr>
                <w:b/>
              </w:rPr>
              <w:t>-</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r w:rsidRPr="00C9782D">
              <w:rPr>
                <w:b/>
              </w:rPr>
              <w:t xml:space="preserve">population/s studied in the body of evidence are similar to the target population </w:t>
            </w:r>
          </w:p>
        </w:tc>
        <w:tc>
          <w:tcPr>
            <w:tcW w:w="1694"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A3211" w:rsidP="003E61DB">
            <w:pPr>
              <w:pStyle w:val="TableText"/>
              <w:rPr>
                <w:b/>
              </w:rPr>
            </w:pPr>
            <w:r>
              <w:rPr>
                <w:b/>
              </w:rPr>
              <w:t>-</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A3211" w:rsidP="003E61DB">
            <w:pPr>
              <w:pStyle w:val="TableText"/>
              <w:rPr>
                <w:b/>
              </w:rPr>
            </w:pPr>
            <w:r>
              <w:rPr>
                <w:b/>
              </w:rPr>
              <w:t>-</w:t>
            </w:r>
          </w:p>
        </w:tc>
      </w:tr>
      <w:tr w:rsidR="003E61DB" w:rsidRPr="005442FD" w:rsidTr="00C262EC">
        <w:tblPrEx>
          <w:tblCellMar>
            <w:right w:w="57" w:type="dxa"/>
          </w:tblCellMar>
        </w:tblPrEx>
        <w:trPr>
          <w:cantSplit/>
          <w:tblHeader/>
        </w:trPr>
        <w:tc>
          <w:tcPr>
            <w:tcW w:w="1943"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Heading"/>
              <w:rPr>
                <w:b w:val="0"/>
              </w:rPr>
            </w:pPr>
            <w:r w:rsidRPr="00C9782D">
              <w:rPr>
                <w:b w:val="0"/>
              </w:rPr>
              <w:t>Applicability</w:t>
            </w:r>
          </w:p>
        </w:tc>
        <w:tc>
          <w:tcPr>
            <w:tcW w:w="1414"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A3211" w:rsidP="003E61DB">
            <w:pPr>
              <w:pStyle w:val="TableText"/>
              <w:rPr>
                <w:b/>
              </w:rPr>
            </w:pPr>
            <w:r>
              <w:rPr>
                <w:b/>
              </w:rPr>
              <w:t>-</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3E61DB" w:rsidP="003E61DB">
            <w:pPr>
              <w:pStyle w:val="TableText"/>
              <w:rPr>
                <w:b/>
              </w:rPr>
            </w:pPr>
            <w:r w:rsidRPr="00C9782D">
              <w:rPr>
                <w:b/>
              </w:rPr>
              <w:t xml:space="preserve">applicable to Australian healthcare context with few caveats </w:t>
            </w:r>
          </w:p>
        </w:tc>
        <w:tc>
          <w:tcPr>
            <w:tcW w:w="1694"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A3211" w:rsidP="003E61DB">
            <w:pPr>
              <w:pStyle w:val="TableText"/>
              <w:rPr>
                <w:b/>
              </w:rPr>
            </w:pPr>
            <w:r>
              <w:rPr>
                <w:b/>
              </w:rPr>
              <w:t>-</w:t>
            </w:r>
          </w:p>
        </w:tc>
        <w:tc>
          <w:tcPr>
            <w:tcW w:w="1695" w:type="dxa"/>
            <w:tcBorders>
              <w:top w:val="single" w:sz="2" w:space="0" w:color="auto"/>
              <w:left w:val="single" w:sz="2" w:space="0" w:color="auto"/>
              <w:bottom w:val="single" w:sz="2" w:space="0" w:color="auto"/>
              <w:right w:val="single" w:sz="2" w:space="0" w:color="auto"/>
            </w:tcBorders>
            <w:shd w:val="clear" w:color="auto" w:fill="auto"/>
          </w:tcPr>
          <w:p w:rsidR="003E61DB" w:rsidRPr="00C9782D" w:rsidRDefault="008A3211" w:rsidP="003E61DB">
            <w:pPr>
              <w:pStyle w:val="TableText"/>
              <w:rPr>
                <w:b/>
              </w:rPr>
            </w:pPr>
            <w:r>
              <w:rPr>
                <w:b/>
              </w:rPr>
              <w:t>-</w:t>
            </w:r>
          </w:p>
        </w:tc>
      </w:tr>
    </w:tbl>
    <w:p w:rsidR="003E61DB" w:rsidRPr="00C9782D" w:rsidRDefault="003E61DB" w:rsidP="003E61DB">
      <w:pPr>
        <w:pStyle w:val="TableNotes"/>
        <w:spacing w:after="100" w:afterAutospacing="1"/>
      </w:pPr>
      <w:r w:rsidRPr="00C9782D">
        <w:t xml:space="preserve">Adapted from </w:t>
      </w:r>
      <w:r w:rsidRPr="00C9782D">
        <w:fldChar w:fldCharType="begin"/>
      </w:r>
      <w:r w:rsidR="00803152">
        <w:instrText xml:space="preserve"> ADDIN EN.CITE &lt;EndNote&gt;&lt;Cite&gt;&lt;Author&gt;NHMRC&lt;/Author&gt;&lt;Year&gt;2008&lt;/Year&gt;&lt;RecNum&gt;132&lt;/RecNum&gt;&lt;DisplayText&gt;(NHMRC 2008)&lt;/DisplayText&gt;&lt;record&gt;&lt;rec-number&gt;132&lt;/rec-number&gt;&lt;ref-type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Pr="00C9782D">
        <w:fldChar w:fldCharType="separate"/>
      </w:r>
      <w:r w:rsidR="00803152">
        <w:rPr>
          <w:noProof/>
        </w:rPr>
        <w:t>(</w:t>
      </w:r>
      <w:hyperlink w:anchor="_ENREF_46" w:tooltip="NHMRC, 2008 #132" w:history="1">
        <w:r w:rsidR="006F79C1">
          <w:rPr>
            <w:noProof/>
          </w:rPr>
          <w:t>NHMRC 2008</w:t>
        </w:r>
      </w:hyperlink>
      <w:r w:rsidR="00803152">
        <w:rPr>
          <w:noProof/>
        </w:rPr>
        <w:t>)</w:t>
      </w:r>
      <w:r w:rsidRPr="00C9782D">
        <w:fldChar w:fldCharType="end"/>
      </w:r>
    </w:p>
    <w:p w:rsidR="00FE1E4F" w:rsidRDefault="00FE1E4F" w:rsidP="00DF0B34">
      <w:r>
        <w:t>Osteoporotic medications and particularly oral bisphosphonates have been linked with poor adherence and compliance</w:t>
      </w:r>
      <w:r w:rsidR="003F6A33">
        <w:t xml:space="preserve"> </w:t>
      </w:r>
      <w:r w:rsidR="003F6A33">
        <w:fldChar w:fldCharType="begin"/>
      </w:r>
      <w:r w:rsidR="003F6A33">
        <w:instrText xml:space="preserve"> ADDIN EN.CITE &lt;EndNote&gt;&lt;Cite&gt;&lt;Author&gt;Silverman&lt;/Author&gt;&lt;Year&gt;2011&lt;/Year&gt;&lt;RecNum&gt;115&lt;/RecNum&gt;&lt;DisplayText&gt;(Silverman, Schousboe et al. 2011)&lt;/DisplayText&gt;&lt;record&gt;&lt;rec-number&gt;115&lt;/rec-number&gt;&lt;foreign-keys&gt;&lt;key app="EN" db-id="v9edw0zeqvve5nedzvjx29f1df2z2tvpvw55" timestamp="1398301511"&gt;115&lt;/key&gt;&lt;/foreign-keys&gt;&lt;ref-type name="Journal Article"&gt;17&lt;/ref-type&gt;&lt;contributors&gt;&lt;authors&gt;&lt;author&gt;Silverman, S. L.&lt;/author&gt;&lt;author&gt;Schousboe, J. T.&lt;/author&gt;&lt;author&gt;Gold, D. T.&lt;/author&gt;&lt;/authors&gt;&lt;/contributors&gt;&lt;titles&gt;&lt;title&gt;Oral bisphosphonate compliance and persistence: a matter of choice?&lt;/title&gt;&lt;secondary-title&gt;Osteoporos Int.&lt;/secondary-title&gt;&lt;/titles&gt;&lt;periodical&gt;&lt;full-title&gt;Osteoporos Int.&lt;/full-title&gt;&lt;/periodical&gt;&lt;pages&gt;21-6. doi: 10.1007/s00198-010-1274-6. Epub 2010 May 11.&lt;/pages&gt;&lt;volume&gt;22&lt;/volume&gt;&lt;number&gt;1&lt;/number&gt;&lt;keywords&gt;&lt;keyword&gt;0 (Bone Density Conservation Agents)&lt;/keyword&gt;&lt;keyword&gt;0 (Diphosphonates)&lt;/keyword&gt;&lt;keyword&gt;Attitude to Health&lt;/keyword&gt;&lt;keyword&gt;Bone Density Conservation Agents/*administration &amp;amp; dosage/therapeutic use&lt;/keyword&gt;&lt;keyword&gt;Diphosphonates/*administration &amp;amp; dosage/therapeutic use&lt;/keyword&gt;&lt;keyword&gt;Drug Administration Schedule&lt;/keyword&gt;&lt;keyword&gt;Humans&lt;/keyword&gt;&lt;keyword&gt;Medication Adherence/*psychology&lt;/keyword&gt;&lt;keyword&gt;Osteoporosis/*drug therapy&lt;/keyword&gt;&lt;keyword&gt;Osteoporotic Fractures/prevention &amp;amp; control&lt;/keyword&gt;&lt;/keywords&gt;&lt;dates&gt;&lt;year&gt;2011&lt;/year&gt;&lt;pub-dates&gt;&lt;date&gt;Jan&lt;/date&gt;&lt;/pub-dates&gt;&lt;/dates&gt;&lt;isbn&gt;1433-2965 (Electronic)&amp;#xD;0937-941X (Linking)&lt;/isbn&gt;&lt;work-type&gt;Review&lt;/work-type&gt;&lt;urls&gt;&lt;/urls&gt;&lt;/record&gt;&lt;/Cite&gt;&lt;/EndNote&gt;</w:instrText>
      </w:r>
      <w:r w:rsidR="003F6A33">
        <w:fldChar w:fldCharType="separate"/>
      </w:r>
      <w:r w:rsidR="003F6A33">
        <w:rPr>
          <w:noProof/>
        </w:rPr>
        <w:t>(</w:t>
      </w:r>
      <w:hyperlink w:anchor="_ENREF_58" w:tooltip="Silverman, 2011 #115" w:history="1">
        <w:r w:rsidR="006F79C1">
          <w:rPr>
            <w:noProof/>
          </w:rPr>
          <w:t>Silverman, Schousboe et al. 2011</w:t>
        </w:r>
      </w:hyperlink>
      <w:r w:rsidR="003F6A33">
        <w:rPr>
          <w:noProof/>
        </w:rPr>
        <w:t>)</w:t>
      </w:r>
      <w:r w:rsidR="003F6A33">
        <w:fldChar w:fldCharType="end"/>
      </w:r>
      <w:r>
        <w:t xml:space="preserve"> outside of trial settings. The </w:t>
      </w:r>
      <w:r w:rsidR="008B6EFB">
        <w:t>reasons for this are</w:t>
      </w:r>
      <w:r>
        <w:t xml:space="preserve"> unclear but observations </w:t>
      </w:r>
      <w:r w:rsidR="00FE0F92">
        <w:t xml:space="preserve">of poor compliance </w:t>
      </w:r>
      <w:r>
        <w:t xml:space="preserve">are common to other </w:t>
      </w:r>
      <w:r w:rsidR="00FE0F92">
        <w:t xml:space="preserve">patients where medications for </w:t>
      </w:r>
      <w:r>
        <w:t>chronic diseases are taken in asymptomatic patients. Stomach complaints</w:t>
      </w:r>
      <w:r w:rsidR="008B6EFB">
        <w:t xml:space="preserve"> and other adverse events</w:t>
      </w:r>
      <w:r>
        <w:t xml:space="preserve"> have been attributed to non</w:t>
      </w:r>
      <w:r w:rsidR="00FE0F92">
        <w:t>-</w:t>
      </w:r>
      <w:r>
        <w:t xml:space="preserve">compliance </w:t>
      </w:r>
      <w:r w:rsidR="00FE0F92">
        <w:t xml:space="preserve">of bisphosphonates </w:t>
      </w:r>
      <w:r>
        <w:t>but other possible explanations include</w:t>
      </w:r>
      <w:r w:rsidR="00453E7E">
        <w:t>; the</w:t>
      </w:r>
      <w:r>
        <w:t xml:space="preserve"> perceived lack of fracture </w:t>
      </w:r>
      <w:r w:rsidR="00FE0F92">
        <w:t xml:space="preserve">risk </w:t>
      </w:r>
      <w:r>
        <w:t xml:space="preserve">and benefit of taking the medication, </w:t>
      </w:r>
      <w:r w:rsidR="00453E7E">
        <w:t>scepticism</w:t>
      </w:r>
      <w:r>
        <w:t xml:space="preserve"> of the effectiveness of the medication, forgetfulness, belief that nutritional interventions (vitamin D and calcium) may be better or cost barriers.  Further Australian research on the extent and nature of non-compliance is important if the potential health benefits of the intervention (DXA and bone treatment) are to be fully realised.  </w:t>
      </w:r>
    </w:p>
    <w:p w:rsidR="00DF0B34" w:rsidRDefault="00453E7E" w:rsidP="00DF0B34">
      <w:r>
        <w:t xml:space="preserve">Table 18 shows that the evidence for aromatase-inhibitor bone loss treatments </w:t>
      </w:r>
      <w:r w:rsidR="008B6EFB">
        <w:t>involves study</w:t>
      </w:r>
      <w:r>
        <w:t xml:space="preserve"> populations outside Australia with the largest studies in the UK and US.  Based on the average age of women in the studies (~60 years)</w:t>
      </w:r>
      <w:r w:rsidR="00FE0F92">
        <w:t>,</w:t>
      </w:r>
      <w:r>
        <w:t xml:space="preserve"> which is the same for women </w:t>
      </w:r>
      <w:r>
        <w:lastRenderedPageBreak/>
        <w:t>diagnosed with breast cancer in Australia, the similar doses and duration of treatments for these women, the applicability of the findings</w:t>
      </w:r>
      <w:r w:rsidR="00DF0B34">
        <w:t xml:space="preserve"> to Australian women </w:t>
      </w:r>
      <w:r>
        <w:t>with breast cancer is likely to be reasonable.  The consistency of the findings across different populations adds s</w:t>
      </w:r>
      <w:r w:rsidR="008B6EFB">
        <w:t>upport to these results.</w:t>
      </w:r>
    </w:p>
    <w:p w:rsidR="002B73E5" w:rsidRDefault="002B73E5" w:rsidP="002B73E5">
      <w:pPr>
        <w:rPr>
          <w:rFonts w:ascii="Arial" w:hAnsi="Arial" w:cs="Arial"/>
          <w:color w:val="3366FF"/>
          <w:szCs w:val="24"/>
        </w:rPr>
      </w:pPr>
      <w:r>
        <w:t xml:space="preserve">Issues that remain as sources </w:t>
      </w:r>
      <w:r w:rsidRPr="002B73E5">
        <w:t>of uncertainty relate</w:t>
      </w:r>
      <w:r>
        <w:t xml:space="preserve"> to clinical practice in Australia and the expected role of clinicians in performing risk assessments, the non-uniform reporting requirements of BMD analyses in practice and the frequency of DXA scans needed.</w:t>
      </w:r>
      <w:r w:rsidR="00296195">
        <w:t xml:space="preserve"> There are also controversies around whether a BMD test should be personally performed by the specialist physician or by a trained operator under supervision.</w:t>
      </w:r>
    </w:p>
    <w:p w:rsidR="00DC4F15" w:rsidRPr="00DC4F15" w:rsidRDefault="00296195" w:rsidP="00DC4F15">
      <w:pPr>
        <w:rPr>
          <w:vertAlign w:val="subscript"/>
        </w:rPr>
      </w:pPr>
      <w:r>
        <w:t xml:space="preserve">An additional study on vitamin D supplements provides supplementary evidence for this application. </w:t>
      </w:r>
      <w:r w:rsidR="00DC4F15">
        <w:t xml:space="preserve">A 2014 systematic review on the effects of vitamin D supplements on bone mineral density showed an overall small benefit at the femoral neck (weighted mean difference 0.8% 95%CI 0.2-1.4%) with </w:t>
      </w:r>
      <w:r>
        <w:t xml:space="preserve">moderate </w:t>
      </w:r>
      <w:r w:rsidR="00DC4F15">
        <w:t>trial heterogeneity (I</w:t>
      </w:r>
      <w:r w:rsidR="00DC4F15">
        <w:rPr>
          <w:vertAlign w:val="superscript"/>
        </w:rPr>
        <w:t>2</w:t>
      </w:r>
      <w:r w:rsidR="00DC4F15">
        <w:t xml:space="preserve">=67% p&lt;0.01) </w:t>
      </w:r>
      <w:r w:rsidR="003F6A33">
        <w:fldChar w:fldCharType="begin"/>
      </w:r>
      <w:r w:rsidR="003F6A33">
        <w:instrText xml:space="preserve"> ADDIN EN.CITE &lt;EndNote&gt;&lt;Cite&gt;&lt;Author&gt;Reid&lt;/Author&gt;&lt;Year&gt;2014&lt;/Year&gt;&lt;RecNum&gt;258&lt;/RecNum&gt;&lt;DisplayText&gt;(Reid, Bolland et al. 2014)&lt;/DisplayText&gt;&lt;record&gt;&lt;rec-number&gt;258&lt;/rec-number&gt;&lt;foreign-keys&gt;&lt;key app="EN" db-id="v9edw0zeqvve5nedzvjx29f1df2z2tvpvw55" timestamp="1398313915"&gt;258&lt;/key&gt;&lt;/foreign-keys&gt;&lt;ref-type name="Journal Article"&gt;17&lt;/ref-type&gt;&lt;contributors&gt;&lt;authors&gt;&lt;author&gt;Reid, I. R.&lt;/author&gt;&lt;author&gt;Bolland, M. J.&lt;/author&gt;&lt;author&gt;Grey, A.&lt;/author&gt;&lt;/authors&gt;&lt;/contributors&gt;&lt;titles&gt;&lt;title&gt;Effects of vitamin D supplements on bone mineral density: a systematic review and meta-analysis&lt;/title&gt;&lt;secondary-title&gt;Lancet.&lt;/secondary-title&gt;&lt;/titles&gt;&lt;periodical&gt;&lt;full-title&gt;Lancet.&lt;/full-title&gt;&lt;/periodical&gt;&lt;pages&gt;146-55. doi: 10.1016/S0140-6736(13)61647-5. Epub 2013 Oct 11.&lt;/pages&gt;&lt;volume&gt;383&lt;/volume&gt;&lt;number&gt;9912&lt;/number&gt;&lt;keywords&gt;&lt;keyword&gt;0 (Ergocalciferols)&lt;/keyword&gt;&lt;keyword&gt;1406-16-2 (Vitamin D)&lt;/keyword&gt;&lt;keyword&gt;1C6V77QF41 (Cholecalciferol)&lt;/keyword&gt;&lt;keyword&gt;Aged&lt;/keyword&gt;&lt;keyword&gt;Bone Density/*drug effects&lt;/keyword&gt;&lt;keyword&gt;Cholecalciferol/pharmacology&lt;/keyword&gt;&lt;keyword&gt;Dietary Supplements&lt;/keyword&gt;&lt;keyword&gt;Ergocalciferols/pharmacology&lt;/keyword&gt;&lt;keyword&gt;Female&lt;/keyword&gt;&lt;keyword&gt;Humans&lt;/keyword&gt;&lt;keyword&gt;Male&lt;/keyword&gt;&lt;keyword&gt;Osteoporosis/prevention &amp;amp; control&lt;/keyword&gt;&lt;keyword&gt;Vitamin D/*pharmacology&lt;/keyword&gt;&lt;/keywords&gt;&lt;dates&gt;&lt;year&gt;2014&lt;/year&gt;&lt;pub-dates&gt;&lt;date&gt;Jan 11&lt;/date&gt;&lt;/pub-dates&gt;&lt;/dates&gt;&lt;isbn&gt;1474-547X (Electronic)&amp;#xD;0140-6736 (Linking)&lt;/isbn&gt;&lt;work-type&gt;Meta-Analysis&amp;#xD;Research Support, Non-U.S. Gov&amp;apos;t&amp;#xD;Review&lt;/work-type&gt;&lt;urls&gt;&lt;/urls&gt;&lt;/record&gt;&lt;/Cite&gt;&lt;/EndNote&gt;</w:instrText>
      </w:r>
      <w:r w:rsidR="003F6A33">
        <w:fldChar w:fldCharType="separate"/>
      </w:r>
      <w:r w:rsidR="003F6A33">
        <w:rPr>
          <w:noProof/>
        </w:rPr>
        <w:t>(</w:t>
      </w:r>
      <w:hyperlink w:anchor="_ENREF_53" w:tooltip="Reid, 2014 #258" w:history="1">
        <w:r w:rsidR="006F79C1">
          <w:rPr>
            <w:noProof/>
          </w:rPr>
          <w:t>Reid, Bolland et al. 2014</w:t>
        </w:r>
      </w:hyperlink>
      <w:r w:rsidR="003F6A33">
        <w:rPr>
          <w:noProof/>
        </w:rPr>
        <w:t>)</w:t>
      </w:r>
      <w:r w:rsidR="003F6A33">
        <w:fldChar w:fldCharType="end"/>
      </w:r>
      <w:r w:rsidR="00DC4F15">
        <w:t>. The authors have concluded that widespread use of vitamin D for osteoporosis prevention in adults without specific risk factors for vitamin D deficiency is inappropriate. Further they suggest that the effects of combination calcium and vitamin D on fracture risk are similar to those for calcium alone, suggesting the negligible effect</w:t>
      </w:r>
      <w:r w:rsidR="003F6A33">
        <w:t xml:space="preserve"> of vitamin D.  The implication</w:t>
      </w:r>
      <w:r w:rsidR="00DC4F15">
        <w:t xml:space="preserve"> of this </w:t>
      </w:r>
      <w:r>
        <w:t>systematic review is</w:t>
      </w:r>
      <w:r w:rsidR="00DC4F15">
        <w:t xml:space="preserve"> that vitamin D</w:t>
      </w:r>
      <w:r>
        <w:t xml:space="preserve"> supplements may be inferior to bone resorptive agents.  Following on from this, vitamin D</w:t>
      </w:r>
      <w:r w:rsidR="00DC4F15">
        <w:t xml:space="preserve"> testing </w:t>
      </w:r>
      <w:r>
        <w:t>will</w:t>
      </w:r>
      <w:r w:rsidR="00DC4F15">
        <w:t xml:space="preserve"> be </w:t>
      </w:r>
      <w:r>
        <w:t xml:space="preserve">unnecessary </w:t>
      </w:r>
      <w:r w:rsidR="00DC4F15">
        <w:t xml:space="preserve">particularly if bone </w:t>
      </w:r>
      <w:r>
        <w:t>medications become routinely</w:t>
      </w:r>
      <w:r w:rsidR="00DC4F15">
        <w:t xml:space="preserve"> prescribed and combined with calcium and vitamin D</w:t>
      </w:r>
      <w:r w:rsidR="00DC4F15">
        <w:rPr>
          <w:vertAlign w:val="subscript"/>
        </w:rPr>
        <w:t>3.</w:t>
      </w:r>
    </w:p>
    <w:p w:rsidR="003E61DB" w:rsidRPr="00C9782D" w:rsidRDefault="003E61DB" w:rsidP="00C33B0E">
      <w:pPr>
        <w:pStyle w:val="Heading3"/>
      </w:pPr>
      <w:bookmarkStart w:id="148" w:name="_Toc386093720"/>
      <w:r w:rsidRPr="00C9782D">
        <w:t>What are the economic considerations?</w:t>
      </w:r>
      <w:bookmarkEnd w:id="148"/>
    </w:p>
    <w:p w:rsidR="003E61DB" w:rsidRDefault="008B6EFB" w:rsidP="00465570">
      <w:r>
        <w:t xml:space="preserve">Using the conventional </w:t>
      </w:r>
      <w:r w:rsidR="00296195">
        <w:t xml:space="preserve">economic </w:t>
      </w:r>
      <w:r>
        <w:t xml:space="preserve">outcome of incremental cost per QALY ratios, the results of the cost-utility analysis showed that DXA and bone treatment for women with osteoporosis </w:t>
      </w:r>
      <w:r w:rsidR="00FE0F92">
        <w:t>was</w:t>
      </w:r>
      <w:r>
        <w:t xml:space="preserve"> </w:t>
      </w:r>
      <w:r w:rsidR="00465570">
        <w:t>strongly cost-effective</w:t>
      </w:r>
      <w:r>
        <w:t xml:space="preserve"> and relatively stable according to one-way and proba</w:t>
      </w:r>
      <w:r w:rsidR="00FE0F92">
        <w:t xml:space="preserve">bilistic sensitivity analyses. </w:t>
      </w:r>
      <w:r>
        <w:t>The ICERs were driven more by cost than by treatment effect with the modelling results showing</w:t>
      </w:r>
      <w:r w:rsidR="00465570">
        <w:t xml:space="preserve"> small overall QALY gains </w:t>
      </w:r>
      <w:r>
        <w:t>(</w:t>
      </w:r>
      <w:r w:rsidR="00465570">
        <w:t>0.3</w:t>
      </w:r>
      <w:r>
        <w:t xml:space="preserve">) that were </w:t>
      </w:r>
      <w:r w:rsidR="00465570">
        <w:t>relatively inexpensive.</w:t>
      </w:r>
      <w:r>
        <w:t xml:space="preserve"> However, when assessing cost-effectiveness using fractures avoided as the main clinical outcome, the ICERs would not be considered cost-effective. This presents a conflicting result</w:t>
      </w:r>
      <w:r w:rsidR="009C207E">
        <w:t xml:space="preserve"> but highlights the issue </w:t>
      </w:r>
      <w:r w:rsidR="00FE0F92">
        <w:t>that</w:t>
      </w:r>
      <w:r w:rsidR="009C207E">
        <w:t xml:space="preserve"> </w:t>
      </w:r>
      <w:r w:rsidR="00C33DC2">
        <w:t xml:space="preserve">the number of </w:t>
      </w:r>
      <w:r w:rsidR="009C207E">
        <w:t>fractures</w:t>
      </w:r>
      <w:r w:rsidR="00FE0F92">
        <w:t xml:space="preserve"> avoided</w:t>
      </w:r>
      <w:r w:rsidR="009C207E">
        <w:t xml:space="preserve"> </w:t>
      </w:r>
      <w:r w:rsidR="00FE0F92">
        <w:t>will be</w:t>
      </w:r>
      <w:r w:rsidR="009C207E">
        <w:t xml:space="preserve"> </w:t>
      </w:r>
      <w:r w:rsidR="008A3211">
        <w:t>small;</w:t>
      </w:r>
      <w:r w:rsidR="009C207E">
        <w:t xml:space="preserve"> </w:t>
      </w:r>
      <w:r w:rsidR="00FE0F92">
        <w:t xml:space="preserve">they are </w:t>
      </w:r>
      <w:r w:rsidR="00C33DC2">
        <w:t xml:space="preserve">a tangible </w:t>
      </w:r>
      <w:r w:rsidR="009C207E">
        <w:t>patient-relevant outcome and ultimately, the purpose of the nominated intervention.</w:t>
      </w:r>
    </w:p>
    <w:p w:rsidR="00DF0B34" w:rsidRDefault="009C207E" w:rsidP="00465570">
      <w:r>
        <w:t>The b</w:t>
      </w:r>
      <w:r w:rsidR="00DF0B34">
        <w:t>udget</w:t>
      </w:r>
      <w:r>
        <w:t>ary</w:t>
      </w:r>
      <w:r w:rsidR="00DF0B34">
        <w:t xml:space="preserve"> impact</w:t>
      </w:r>
      <w:r>
        <w:t xml:space="preserve"> also shows the small cost-savings for expected fracture prevention to the MBS budget cost over the next 5 year</w:t>
      </w:r>
      <w:r w:rsidR="004458B0">
        <w:t xml:space="preserve">s. </w:t>
      </w:r>
      <w:r w:rsidR="003B7997">
        <w:t xml:space="preserve">Annual DXA scans may be routine in women taking aromatase inhibitors and Clinical Practice Guidelines already support this frequency. However, this is not informed by the evidence </w:t>
      </w:r>
      <w:r w:rsidR="003B7997" w:rsidRPr="00C33DC2">
        <w:rPr>
          <w:i/>
        </w:rPr>
        <w:t>per se</w:t>
      </w:r>
      <w:r w:rsidR="003B7997">
        <w:t xml:space="preserve">. Clearly, the frequency of DXA scans will have a strong impact on the financial costs to MBS. </w:t>
      </w:r>
      <w:r>
        <w:t>DXA scans will aff</w:t>
      </w:r>
      <w:r w:rsidR="00465570">
        <w:t>ect</w:t>
      </w:r>
      <w:r w:rsidR="00DF0B34">
        <w:t xml:space="preserve"> 30</w:t>
      </w:r>
      <w:r w:rsidR="003B7997">
        <w:t>,</w:t>
      </w:r>
      <w:r w:rsidR="004458B0">
        <w:t>000 women by Y</w:t>
      </w:r>
      <w:r w:rsidR="00DF0B34">
        <w:t>ear 5 as they continue to have annual DXA scans</w:t>
      </w:r>
      <w:r w:rsidR="00465570">
        <w:t xml:space="preserve"> for 5 years</w:t>
      </w:r>
      <w:r w:rsidR="00DF0B34">
        <w:t xml:space="preserve">. </w:t>
      </w:r>
      <w:r>
        <w:t xml:space="preserve">The total MBS costs are </w:t>
      </w:r>
      <w:r w:rsidR="00C33DC2">
        <w:t>somewhat</w:t>
      </w:r>
      <w:r>
        <w:t xml:space="preserve"> lower </w:t>
      </w:r>
      <w:r w:rsidR="00C33DC2">
        <w:t>if</w:t>
      </w:r>
      <w:r>
        <w:t xml:space="preserve"> DXA scans are </w:t>
      </w:r>
      <w:r w:rsidR="00C33DC2">
        <w:t xml:space="preserve">offered </w:t>
      </w:r>
      <w:r>
        <w:t xml:space="preserve">every two years, from </w:t>
      </w:r>
      <w:r w:rsidRPr="00C33DC2">
        <w:t>$</w:t>
      </w:r>
      <w:r w:rsidR="00C33DC2">
        <w:t>13.372 million</w:t>
      </w:r>
      <w:r w:rsidR="003B7997" w:rsidRPr="00C33DC2">
        <w:t xml:space="preserve"> to $</w:t>
      </w:r>
      <w:r w:rsidR="00C33DC2">
        <w:t>10.203 million</w:t>
      </w:r>
      <w:r w:rsidR="003B7997" w:rsidRPr="00C33DC2">
        <w:t>.</w:t>
      </w:r>
    </w:p>
    <w:p w:rsidR="00DF0B34" w:rsidRDefault="002B73E5" w:rsidP="00465570">
      <w:r>
        <w:t>Currently</w:t>
      </w:r>
      <w:r w:rsidR="003B7997">
        <w:t>,</w:t>
      </w:r>
      <w:r>
        <w:t xml:space="preserve"> women are spending $300-$500 on DXA scans in addition to their overall out-of-pocket expenses for breast cancer treatment.  Two Australian studies on the out-of-pocket expenses faced by women are now outdated but report wide ranges in patient costs.  One report observed direct expenses </w:t>
      </w:r>
      <w:r w:rsidR="00C33DC2">
        <w:t>with</w:t>
      </w:r>
      <w:r>
        <w:t xml:space="preserve"> an interquartile range from $563 to $6231 using cancer patients (mostly breast cancer) receiving treatment in Townsville (data from 2006-07)</w:t>
      </w:r>
      <w:r w:rsidR="006F79C1">
        <w:t xml:space="preserve"> </w:t>
      </w:r>
      <w:r w:rsidR="006F79C1">
        <w:fldChar w:fldCharType="begin"/>
      </w:r>
      <w:r w:rsidR="006F79C1">
        <w:instrText xml:space="preserve"> ADDIN EN.CITE &lt;EndNote&gt;&lt;Cite&gt;&lt;Author&gt;Gordon&lt;/Author&gt;&lt;Year&gt;2009&lt;/Year&gt;&lt;RecNum&gt;272&lt;/RecNum&gt;&lt;DisplayText&gt;(Gordon, Ferguson et al. 2009)&lt;/DisplayText&gt;&lt;record&gt;&lt;rec-number&gt;272&lt;/rec-number&gt;&lt;foreign-keys&gt;&lt;key app="EN" db-id="v9edw0zeqvve5nedzvjx29f1df2z2tvpvw55" timestamp="1398317851"&gt;272&lt;/key&gt;&lt;/foreign-keys&gt;&lt;ref-type name="Journal Article"&gt;17&lt;/ref-type&gt;&lt;contributors&gt;&lt;authors&gt;&lt;author&gt;Gordon, L.G,&lt;/author&gt;&lt;author&gt;Ferguson, M.&lt;/author&gt;&lt;author&gt;Chambers, S.K.&lt;/author&gt;&lt;author&gt;Dunn, J.&lt;/author&gt;&lt;/authors&gt;&lt;/contributors&gt;&lt;titles&gt;&lt;title&gt;Fuel, beds, meals and meds: out-of-pocket expenses for patients with cancer in rural Queensland.&lt;/title&gt;&lt;secondary-title&gt;Cancer Forum&lt;/secondary-title&gt;&lt;/titles&gt;&lt;periodical&gt;&lt;full-title&gt;Cancer Forum&lt;/full-title&gt;&lt;/periodical&gt;&lt;pages&gt;202-208&lt;/pages&gt;&lt;volume&gt;33 &lt;/volume&gt;&lt;number&gt;3&lt;/number&gt;&lt;dates&gt;&lt;year&gt;2009&lt;/year&gt;&lt;/dates&gt;&lt;urls&gt;&lt;/urls&gt;&lt;/record&gt;&lt;/Cite&gt;&lt;/EndNote&gt;</w:instrText>
      </w:r>
      <w:r w:rsidR="006F79C1">
        <w:fldChar w:fldCharType="separate"/>
      </w:r>
      <w:r w:rsidR="006F79C1">
        <w:rPr>
          <w:noProof/>
        </w:rPr>
        <w:t>(</w:t>
      </w:r>
      <w:hyperlink w:anchor="_ENREF_19" w:tooltip="Gordon, 2009 #272" w:history="1">
        <w:r w:rsidR="006F79C1">
          <w:rPr>
            <w:noProof/>
          </w:rPr>
          <w:t>Gordon, Ferguson et al. 2009</w:t>
        </w:r>
      </w:hyperlink>
      <w:r w:rsidR="006F79C1">
        <w:rPr>
          <w:noProof/>
        </w:rPr>
        <w:t>)</w:t>
      </w:r>
      <w:r w:rsidR="006F79C1">
        <w:fldChar w:fldCharType="end"/>
      </w:r>
      <w:r>
        <w:t xml:space="preserve">. A second population-based Queensland study reported </w:t>
      </w:r>
      <w:r>
        <w:lastRenderedPageBreak/>
        <w:t>direct and indirect costs of $3855 in 2005 for women aged &gt;50 years and lymph node negative breast cancer</w:t>
      </w:r>
      <w:r w:rsidR="003F6A33">
        <w:t xml:space="preserve"> </w:t>
      </w:r>
      <w:r w:rsidR="003F6A33">
        <w:fldChar w:fldCharType="begin"/>
      </w:r>
      <w:r w:rsidR="003F6A33">
        <w:instrText xml:space="preserve"> ADDIN EN.CITE &lt;EndNote&gt;&lt;Cite&gt;&lt;Author&gt;Gordon&lt;/Author&gt;&lt;Year&gt;2007&lt;/Year&gt;&lt;RecNum&gt;271&lt;/RecNum&gt;&lt;DisplayText&gt;(Gordon, Scuffham et al. 2007)&lt;/DisplayText&gt;&lt;record&gt;&lt;rec-number&gt;271&lt;/rec-number&gt;&lt;foreign-keys&gt;&lt;key app="EN" db-id="v9edw0zeqvve5nedzvjx29f1df2z2tvpvw55" timestamp="1398317529"&gt;271&lt;/key&gt;&lt;/foreign-keys&gt;&lt;ref-type name="Journal Article"&gt;17&lt;/ref-type&gt;&lt;contributors&gt;&lt;authors&gt;&lt;author&gt;Gordon, L.&lt;/author&gt;&lt;author&gt;Scuffham, P.&lt;/author&gt;&lt;author&gt;Hayes, S.&lt;/author&gt;&lt;author&gt;Newman, B.&lt;/author&gt;&lt;/authors&gt;&lt;/contributors&gt;&lt;titles&gt;&lt;title&gt;Exploring the economic impact of breast cancers during the 18 months following diagnosis&lt;/title&gt;&lt;secondary-title&gt;Psychooncology.&lt;/secondary-title&gt;&lt;/titles&gt;&lt;periodical&gt;&lt;full-title&gt;Psychooncology.&lt;/full-title&gt;&lt;/periodical&gt;&lt;pages&gt;1130-9.&lt;/pages&gt;&lt;volume&gt;16&lt;/volume&gt;&lt;number&gt;12&lt;/number&gt;&lt;keywords&gt;&lt;keyword&gt;Adult&lt;/keyword&gt;&lt;keyword&gt;Aged&lt;/keyword&gt;&lt;keyword&gt;Breast Neoplasms/*economics&lt;/keyword&gt;&lt;keyword&gt;*Cost of Illness&lt;/keyword&gt;&lt;keyword&gt;Employment&lt;/keyword&gt;&lt;keyword&gt;Female&lt;/keyword&gt;&lt;keyword&gt;Financing, Personal&lt;/keyword&gt;&lt;keyword&gt;Humans&lt;/keyword&gt;&lt;keyword&gt;Income&lt;/keyword&gt;&lt;keyword&gt;Longitudinal Studies&lt;/keyword&gt;&lt;keyword&gt;Middle Aged&lt;/keyword&gt;&lt;keyword&gt;Queensland&lt;/keyword&gt;&lt;keyword&gt;Survivors&lt;/keyword&gt;&lt;/keywords&gt;&lt;dates&gt;&lt;year&gt;2007&lt;/year&gt;&lt;pub-dates&gt;&lt;date&gt;Dec&lt;/date&gt;&lt;/pub-dates&gt;&lt;/dates&gt;&lt;isbn&gt;1057-9249 (Print)&amp;#xD;1057-9249 (Linking)&lt;/isbn&gt;&lt;work-type&gt;Research Support, Non-U.S. Gov&amp;apos;t&lt;/work-type&gt;&lt;urls&gt;&lt;/urls&gt;&lt;/record&gt;&lt;/Cite&gt;&lt;/EndNote&gt;</w:instrText>
      </w:r>
      <w:r w:rsidR="003F6A33">
        <w:fldChar w:fldCharType="separate"/>
      </w:r>
      <w:r w:rsidR="003F6A33">
        <w:rPr>
          <w:noProof/>
        </w:rPr>
        <w:t>(</w:t>
      </w:r>
      <w:hyperlink w:anchor="_ENREF_18" w:tooltip="Gordon, 2007 #271" w:history="1">
        <w:r w:rsidR="006F79C1">
          <w:rPr>
            <w:noProof/>
          </w:rPr>
          <w:t>Gordon, Scuffham et al. 2007</w:t>
        </w:r>
      </w:hyperlink>
      <w:r w:rsidR="003F6A33">
        <w:rPr>
          <w:noProof/>
        </w:rPr>
        <w:t>)</w:t>
      </w:r>
      <w:r w:rsidR="003F6A33">
        <w:fldChar w:fldCharType="end"/>
      </w:r>
      <w:r>
        <w:t xml:space="preserve">.  The additional expenses of DXA scans without MBS funding may be seen as </w:t>
      </w:r>
      <w:r w:rsidR="00465570">
        <w:t xml:space="preserve">excessive for many women already facing other substantial costs for </w:t>
      </w:r>
      <w:r>
        <w:t>their cancer treatment</w:t>
      </w:r>
      <w:r w:rsidR="00465570">
        <w:t>.</w:t>
      </w:r>
    </w:p>
    <w:p w:rsidR="003E61DB" w:rsidRPr="00C9782D" w:rsidRDefault="003E61DB" w:rsidP="00A158A3">
      <w:pPr>
        <w:pStyle w:val="Heading2"/>
      </w:pPr>
      <w:bookmarkStart w:id="149" w:name="_Toc386092528"/>
      <w:bookmarkStart w:id="150" w:name="_Toc386093166"/>
      <w:bookmarkStart w:id="151" w:name="_Toc386093663"/>
      <w:bookmarkStart w:id="152" w:name="_Toc386093721"/>
      <w:r w:rsidRPr="00C9782D">
        <w:lastRenderedPageBreak/>
        <w:t>Conclusions</w:t>
      </w:r>
      <w:bookmarkEnd w:id="149"/>
      <w:bookmarkEnd w:id="150"/>
      <w:bookmarkEnd w:id="151"/>
      <w:bookmarkEnd w:id="152"/>
      <w:r w:rsidRPr="00C9782D">
        <w:t xml:space="preserve"> </w:t>
      </w:r>
    </w:p>
    <w:p w:rsidR="003E61DB" w:rsidRPr="00C9782D" w:rsidRDefault="003E61DB" w:rsidP="00C33B0E">
      <w:pPr>
        <w:pStyle w:val="Heading3"/>
      </w:pPr>
      <w:bookmarkStart w:id="153" w:name="_Toc386093722"/>
      <w:r w:rsidRPr="00C9782D">
        <w:t>Safety</w:t>
      </w:r>
      <w:bookmarkEnd w:id="153"/>
      <w:r w:rsidRPr="00C9782D">
        <w:t xml:space="preserve"> </w:t>
      </w:r>
    </w:p>
    <w:p w:rsidR="003E61DB" w:rsidRDefault="00C33DC2" w:rsidP="003E61DB">
      <w:r>
        <w:t>DXA scans are a non-invasive and safe procedure with no serious patient safety issues. Despite emitting radiation, the levels emitted are negligible and are observed to be similar or lower than background radiation levels.</w:t>
      </w:r>
    </w:p>
    <w:p w:rsidR="00C33DC2" w:rsidRPr="00C9782D" w:rsidRDefault="00C33DC2" w:rsidP="003E61DB">
      <w:r>
        <w:t xml:space="preserve">Women with breast cancer on aromatase inhibitors and taking anti-resorptive agents have reported some adverse events such as </w:t>
      </w:r>
      <w:r w:rsidR="00177EF2">
        <w:t xml:space="preserve">arthralgia, hot flushes, </w:t>
      </w:r>
      <w:r>
        <w:t xml:space="preserve">myalgia, </w:t>
      </w:r>
      <w:r w:rsidR="00177EF2">
        <w:t>bone paid and fever. Some of these symptoms are also reported for aromatase inhibitors alone. In trial evidence, there are no statistically significant differences in adverse events in the intervention and comparator arms. One serious side effect, osteonecrosis of the jaw, is an infrequent occurrence.</w:t>
      </w:r>
      <w:r>
        <w:t xml:space="preserve"> </w:t>
      </w:r>
    </w:p>
    <w:p w:rsidR="003E61DB" w:rsidRPr="00C9782D" w:rsidRDefault="003E61DB" w:rsidP="00C33B0E">
      <w:pPr>
        <w:pStyle w:val="Heading3"/>
      </w:pPr>
      <w:bookmarkStart w:id="154" w:name="_Toc386093723"/>
      <w:r w:rsidRPr="00C9782D">
        <w:t>Effectiveness</w:t>
      </w:r>
      <w:bookmarkEnd w:id="154"/>
      <w:r w:rsidRPr="00C9782D">
        <w:t xml:space="preserve"> </w:t>
      </w:r>
    </w:p>
    <w:p w:rsidR="003E61DB" w:rsidRDefault="003E61DB" w:rsidP="00C33B0E">
      <w:pPr>
        <w:pStyle w:val="Heading4"/>
      </w:pPr>
      <w:bookmarkStart w:id="155" w:name="_Toc188861208"/>
      <w:r w:rsidRPr="00C9782D">
        <w:t>Impact on patient management</w:t>
      </w:r>
      <w:bookmarkEnd w:id="155"/>
    </w:p>
    <w:p w:rsidR="003E48C6" w:rsidRDefault="00177EF2" w:rsidP="003E48C6">
      <w:r>
        <w:t>There is clear evidence that the risk of fractures or reduction in bone density in women on aromatase inhibitors is higher than women not taking this treatment and otherwise healthy post-menopausal women. The combined use of clinical risk factor assessment and BMD analysis provides the best prediction of fracture risk.</w:t>
      </w:r>
      <w:r w:rsidR="003E48C6">
        <w:t xml:space="preserve"> However, although the relative risk is higher among these women, the absolute fracture risk is low and fractures are a very rare event (NNH = 46). The higher fracture risk for aromatase inhibitor users remains regardless of: </w:t>
      </w:r>
    </w:p>
    <w:p w:rsidR="003E48C6" w:rsidRDefault="003E48C6" w:rsidP="00534D10">
      <w:pPr>
        <w:pStyle w:val="ListParagraph"/>
        <w:numPr>
          <w:ilvl w:val="1"/>
          <w:numId w:val="32"/>
        </w:numPr>
      </w:pPr>
      <w:r>
        <w:t xml:space="preserve">prior tamoxifen or </w:t>
      </w:r>
    </w:p>
    <w:p w:rsidR="003E48C6" w:rsidRDefault="003E48C6" w:rsidP="00534D10">
      <w:pPr>
        <w:pStyle w:val="ListParagraph"/>
        <w:numPr>
          <w:ilvl w:val="1"/>
          <w:numId w:val="32"/>
        </w:numPr>
      </w:pPr>
      <w:r>
        <w:t>the sequencing of aromatase inhibitor and tamoxifen or</w:t>
      </w:r>
    </w:p>
    <w:p w:rsidR="003E48C6" w:rsidRDefault="003E48C6" w:rsidP="00534D10">
      <w:pPr>
        <w:pStyle w:val="ListParagraph"/>
        <w:numPr>
          <w:ilvl w:val="1"/>
          <w:numId w:val="32"/>
        </w:numPr>
      </w:pPr>
      <w:r>
        <w:t>aromatase inhibitor compliance rates or</w:t>
      </w:r>
    </w:p>
    <w:p w:rsidR="003E48C6" w:rsidRDefault="003E48C6" w:rsidP="00534D10">
      <w:pPr>
        <w:pStyle w:val="ListParagraph"/>
        <w:numPr>
          <w:ilvl w:val="1"/>
          <w:numId w:val="32"/>
        </w:numPr>
      </w:pPr>
      <w:r>
        <w:t>the type of aromatase inhibitor.</w:t>
      </w:r>
    </w:p>
    <w:p w:rsidR="003E48C6" w:rsidRDefault="003E48C6" w:rsidP="003E48C6">
      <w:pPr>
        <w:pStyle w:val="ListParagraph"/>
        <w:ind w:left="1800"/>
      </w:pPr>
    </w:p>
    <w:p w:rsidR="00177EF2" w:rsidRDefault="003E48C6" w:rsidP="003E48C6">
      <w:r>
        <w:t>Risk of fractures and declines in bone density subside when aromatase therapy stops but may not return to baseline pre-therapy levels. Risk of bone loss caused by aromatase inhibitor therapy is independent and additional to bone loss from ovarian failure secondary to chemotherapy which subsequently cases premature menopause</w:t>
      </w:r>
    </w:p>
    <w:p w:rsidR="00177EF2" w:rsidRPr="00177EF2" w:rsidRDefault="003E48C6" w:rsidP="00177EF2">
      <w:r>
        <w:t>The evidence consistently shows</w:t>
      </w:r>
      <w:r w:rsidR="00177EF2">
        <w:t xml:space="preserve"> that anti-resorptive treatment significantly improve</w:t>
      </w:r>
      <w:r>
        <w:t>s</w:t>
      </w:r>
      <w:r w:rsidR="00177EF2">
        <w:t xml:space="preserve"> BMD in women taking aromatase inhibitors. Studies with 60 month follow-ups showed linear increases in BMD in each successive year. Positive BMD occurred regardless of whether women were treated with prior chemotherapy or prior tamoxifen. Meta-analyses for BMD lumbar spine and total hip confirmed positive mean differences between the intervention and comparator arms but study heterogeneity was problematic.  </w:t>
      </w:r>
    </w:p>
    <w:p w:rsidR="003E61DB" w:rsidRPr="00C9782D" w:rsidRDefault="003E61DB" w:rsidP="00C33B0E">
      <w:pPr>
        <w:pStyle w:val="Heading4"/>
      </w:pPr>
      <w:bookmarkStart w:id="156" w:name="_Toc188861209"/>
      <w:r w:rsidRPr="00C9782D">
        <w:t>Impact on health outcomes</w:t>
      </w:r>
      <w:bookmarkEnd w:id="156"/>
    </w:p>
    <w:p w:rsidR="003E48C6" w:rsidRPr="00177EF2" w:rsidRDefault="003E48C6" w:rsidP="003E48C6">
      <w:r>
        <w:t>Fracture incidence was lower in anti-resorptive treatment arms but the trials included in this assessment were not of sufficient power or duration to detect differences in minimal trauma fractures across treatment and comparator arms.</w:t>
      </w:r>
      <w:r w:rsidRPr="005E7F24">
        <w:t xml:space="preserve"> </w:t>
      </w:r>
      <w:r>
        <w:t>C</w:t>
      </w:r>
      <w:r w:rsidRPr="00C9782D">
        <w:t xml:space="preserve">linical management with the proposed intervention </w:t>
      </w:r>
      <w:r>
        <w:t xml:space="preserve">is </w:t>
      </w:r>
      <w:r w:rsidRPr="00C9782D">
        <w:t xml:space="preserve">more effective </w:t>
      </w:r>
      <w:r w:rsidRPr="00C9782D">
        <w:rPr>
          <w:szCs w:val="24"/>
        </w:rPr>
        <w:t>than clinical management without it</w:t>
      </w:r>
      <w:r>
        <w:rPr>
          <w:szCs w:val="24"/>
        </w:rPr>
        <w:t>.</w:t>
      </w:r>
    </w:p>
    <w:p w:rsidR="003E61DB" w:rsidRPr="00C9782D" w:rsidRDefault="003E61DB" w:rsidP="00C33B0E">
      <w:pPr>
        <w:pStyle w:val="Heading3"/>
      </w:pPr>
      <w:bookmarkStart w:id="157" w:name="_Toc386093724"/>
      <w:r w:rsidRPr="00C9782D">
        <w:lastRenderedPageBreak/>
        <w:t>Economic considerations</w:t>
      </w:r>
      <w:bookmarkEnd w:id="157"/>
    </w:p>
    <w:p w:rsidR="003E61DB" w:rsidRPr="00C9782D" w:rsidRDefault="003E48C6" w:rsidP="003E61DB">
      <w:r>
        <w:t>DXA scans offered annually to women taking aromatase inhibitors and anti-resorptive treatment for those with osteoporosis (BMD T-score &gt;-2.5) is highly cost-effective in terms of incremental cost per QALY gain.</w:t>
      </w:r>
    </w:p>
    <w:p w:rsidR="003E61DB" w:rsidRPr="00C9782D" w:rsidRDefault="003E61DB" w:rsidP="00C33B0E">
      <w:pPr>
        <w:pStyle w:val="Heading4"/>
      </w:pPr>
      <w:r w:rsidRPr="00C9782D">
        <w:t>Costing</w:t>
      </w:r>
    </w:p>
    <w:p w:rsidR="003E61DB" w:rsidRPr="00C9782D" w:rsidRDefault="003E61DB" w:rsidP="003E61DB">
      <w:r w:rsidRPr="00C9782D">
        <w:t xml:space="preserve">The expected uptake of </w:t>
      </w:r>
      <w:r w:rsidR="003E48C6">
        <w:t xml:space="preserve">DXA scans </w:t>
      </w:r>
      <w:r w:rsidRPr="00C9782D">
        <w:t xml:space="preserve">is estimated at </w:t>
      </w:r>
      <w:r w:rsidR="00B16286">
        <w:t>5911</w:t>
      </w:r>
      <w:r w:rsidRPr="00C9782D">
        <w:t xml:space="preserve"> </w:t>
      </w:r>
      <w:r w:rsidRPr="00B16286">
        <w:t>procedures</w:t>
      </w:r>
      <w:r w:rsidRPr="00C9782D">
        <w:t xml:space="preserve"> for </w:t>
      </w:r>
      <w:r w:rsidR="00B16286">
        <w:t>5911</w:t>
      </w:r>
      <w:r w:rsidRPr="00C9782D">
        <w:t xml:space="preserve"> patients </w:t>
      </w:r>
      <w:r w:rsidR="00B16286">
        <w:t>in Year 1 rising to 30,906 DXA scans for 30,906 patients in Year 5</w:t>
      </w:r>
      <w:r w:rsidRPr="00C9782D">
        <w:t>.</w:t>
      </w:r>
    </w:p>
    <w:p w:rsidR="003E61DB" w:rsidRPr="00C9782D" w:rsidRDefault="003E61DB" w:rsidP="003E61DB">
      <w:r w:rsidRPr="00C9782D">
        <w:t xml:space="preserve">The total cost to the Medical Benefits Scheme for the </w:t>
      </w:r>
      <w:r w:rsidR="003E48C6" w:rsidRPr="003E48C6">
        <w:t>DXA plus anti-resorptives for osteoporotic women</w:t>
      </w:r>
      <w:r w:rsidRPr="00C9782D">
        <w:t xml:space="preserve"> is estimated to be $</w:t>
      </w:r>
      <w:r w:rsidR="003E48C6">
        <w:t>13.372</w:t>
      </w:r>
      <w:r w:rsidRPr="00C9782D">
        <w:t xml:space="preserve"> million </w:t>
      </w:r>
      <w:r w:rsidR="003E48C6">
        <w:t>over the next five years</w:t>
      </w:r>
      <w:r w:rsidRPr="00C9782D">
        <w:t>.</w:t>
      </w:r>
    </w:p>
    <w:p w:rsidR="003E61DB" w:rsidRPr="00C9782D" w:rsidRDefault="003E61DB" w:rsidP="003E61DB">
      <w:r w:rsidRPr="00C9782D">
        <w:t xml:space="preserve">Total cost to the Australian healthcare system including MBS for </w:t>
      </w:r>
      <w:r w:rsidR="003E48C6" w:rsidRPr="003E48C6">
        <w:t>DXA plus anti-resorptives for osteoporotic women</w:t>
      </w:r>
      <w:r w:rsidR="003E48C6" w:rsidRPr="00C9782D">
        <w:t xml:space="preserve"> </w:t>
      </w:r>
      <w:r w:rsidRPr="00C9782D">
        <w:t>is estimated to be $</w:t>
      </w:r>
      <w:r w:rsidR="00B16286">
        <w:t>19.119</w:t>
      </w:r>
      <w:r w:rsidRPr="00C9782D">
        <w:t xml:space="preserve"> million </w:t>
      </w:r>
      <w:r w:rsidR="00B16286">
        <w:t>over the next five years</w:t>
      </w:r>
      <w:r w:rsidRPr="00C9782D">
        <w:t>.</w:t>
      </w:r>
    </w:p>
    <w:p w:rsidR="003E61DB" w:rsidRPr="00C9782D" w:rsidRDefault="003E61DB" w:rsidP="00A158A3">
      <w:pPr>
        <w:pStyle w:val="Heading2"/>
      </w:pPr>
      <w:bookmarkStart w:id="158" w:name="_Ref206484417"/>
      <w:bookmarkStart w:id="159" w:name="_Toc386092529"/>
      <w:bookmarkStart w:id="160" w:name="_Toc386093167"/>
      <w:bookmarkStart w:id="161" w:name="_Toc386093664"/>
      <w:bookmarkStart w:id="162" w:name="_Toc386093725"/>
      <w:r w:rsidRPr="00C9782D">
        <w:lastRenderedPageBreak/>
        <w:t>Appendix A</w:t>
      </w:r>
      <w:bookmarkEnd w:id="158"/>
      <w:r w:rsidR="0013164F">
        <w:t xml:space="preserve"> </w:t>
      </w:r>
      <w:r w:rsidRPr="00C9782D">
        <w:t>Health Expert Standing Panel Members and Evaluators</w:t>
      </w:r>
      <w:bookmarkEnd w:id="159"/>
      <w:bookmarkEnd w:id="160"/>
      <w:bookmarkEnd w:id="161"/>
      <w:bookmarkEnd w:id="162"/>
    </w:p>
    <w:p w:rsidR="003E61DB" w:rsidRPr="004A554A" w:rsidRDefault="003E61DB" w:rsidP="004A554A">
      <w:pPr>
        <w:rPr>
          <w:rFonts w:ascii="Tahoma" w:hAnsi="Tahoma" w:cs="Tahoma"/>
          <w:b/>
          <w:sz w:val="28"/>
          <w:szCs w:val="28"/>
        </w:rPr>
      </w:pPr>
      <w:r w:rsidRPr="004A554A">
        <w:rPr>
          <w:rFonts w:ascii="Tahoma" w:hAnsi="Tahoma" w:cs="Tahoma"/>
          <w:b/>
          <w:sz w:val="28"/>
          <w:szCs w:val="28"/>
        </w:rPr>
        <w:t>Health Expert Standing Panel Members</w:t>
      </w:r>
    </w:p>
    <w:p w:rsidR="003E61DB" w:rsidRPr="00C9782D" w:rsidRDefault="003E61DB" w:rsidP="003E61DB"/>
    <w:tbl>
      <w:tblPr>
        <w:tblW w:w="0" w:type="auto"/>
        <w:tblInd w:w="816" w:type="dxa"/>
        <w:tblLayout w:type="fixed"/>
        <w:tblLook w:val="0000" w:firstRow="0" w:lastRow="0" w:firstColumn="0" w:lastColumn="0" w:noHBand="0" w:noVBand="0"/>
      </w:tblPr>
      <w:tblGrid>
        <w:gridCol w:w="3261"/>
        <w:gridCol w:w="5103"/>
      </w:tblGrid>
      <w:tr w:rsidR="003E61DB" w:rsidRPr="00C9782D" w:rsidTr="003E61DB">
        <w:trPr>
          <w:cantSplit/>
        </w:trPr>
        <w:tc>
          <w:tcPr>
            <w:tcW w:w="3261" w:type="dxa"/>
            <w:tcBorders>
              <w:top w:val="single" w:sz="4" w:space="0" w:color="auto"/>
            </w:tcBorders>
          </w:tcPr>
          <w:p w:rsidR="003E61DB" w:rsidRPr="00C9782D" w:rsidRDefault="003E61DB" w:rsidP="003E61DB">
            <w:pPr>
              <w:autoSpaceDE w:val="0"/>
              <w:autoSpaceDN w:val="0"/>
              <w:adjustRightInd w:val="0"/>
              <w:spacing w:after="120"/>
              <w:ind w:left="11" w:hanging="11"/>
              <w:rPr>
                <w:b/>
                <w:sz w:val="22"/>
                <w:szCs w:val="22"/>
              </w:rPr>
            </w:pPr>
            <w:bookmarkStart w:id="163" w:name="OLE_LINK1"/>
            <w:bookmarkStart w:id="164" w:name="OLE_LINK2"/>
            <w:r w:rsidRPr="00C9782D">
              <w:rPr>
                <w:b/>
                <w:sz w:val="22"/>
                <w:szCs w:val="22"/>
              </w:rPr>
              <w:t>Member</w:t>
            </w:r>
          </w:p>
        </w:tc>
        <w:tc>
          <w:tcPr>
            <w:tcW w:w="5103" w:type="dxa"/>
            <w:tcBorders>
              <w:top w:val="single" w:sz="4" w:space="0" w:color="auto"/>
            </w:tcBorders>
          </w:tcPr>
          <w:p w:rsidR="003E61DB" w:rsidRPr="00C9782D" w:rsidRDefault="003E61DB" w:rsidP="003E61DB">
            <w:pPr>
              <w:autoSpaceDE w:val="0"/>
              <w:autoSpaceDN w:val="0"/>
              <w:adjustRightInd w:val="0"/>
              <w:spacing w:after="120"/>
              <w:ind w:left="11" w:hanging="11"/>
              <w:rPr>
                <w:b/>
                <w:sz w:val="22"/>
                <w:szCs w:val="22"/>
              </w:rPr>
            </w:pPr>
            <w:r w:rsidRPr="00C9782D">
              <w:rPr>
                <w:b/>
                <w:sz w:val="22"/>
                <w:szCs w:val="22"/>
              </w:rPr>
              <w:t>Nomination / Expertise or Affiliation</w:t>
            </w:r>
          </w:p>
        </w:tc>
      </w:tr>
      <w:bookmarkEnd w:id="163"/>
      <w:bookmarkEnd w:id="164"/>
      <w:tr w:rsidR="003E61DB" w:rsidRPr="00C9782D" w:rsidTr="003E61DB">
        <w:trPr>
          <w:cantSplit/>
        </w:trPr>
        <w:tc>
          <w:tcPr>
            <w:tcW w:w="3261" w:type="dxa"/>
          </w:tcPr>
          <w:p w:rsidR="003E61DB" w:rsidRPr="00C9782D" w:rsidRDefault="00265997" w:rsidP="003E61DB">
            <w:pPr>
              <w:autoSpaceDE w:val="0"/>
              <w:autoSpaceDN w:val="0"/>
              <w:adjustRightInd w:val="0"/>
              <w:spacing w:after="0"/>
              <w:ind w:left="34" w:hanging="34"/>
              <w:rPr>
                <w:sz w:val="22"/>
                <w:szCs w:val="22"/>
              </w:rPr>
            </w:pPr>
            <w:r>
              <w:rPr>
                <w:sz w:val="22"/>
                <w:szCs w:val="22"/>
              </w:rPr>
              <w:t>Joseph Wong FRACP</w:t>
            </w:r>
          </w:p>
        </w:tc>
        <w:tc>
          <w:tcPr>
            <w:tcW w:w="5103" w:type="dxa"/>
          </w:tcPr>
          <w:p w:rsidR="003E61DB" w:rsidRPr="00C9782D" w:rsidRDefault="00265997" w:rsidP="00265997">
            <w:pPr>
              <w:ind w:left="0"/>
              <w:rPr>
                <w:sz w:val="22"/>
                <w:szCs w:val="22"/>
              </w:rPr>
            </w:pPr>
            <w:r w:rsidRPr="00265997">
              <w:rPr>
                <w:lang w:val="en-US"/>
              </w:rPr>
              <w:t>Physician, Nuclear Medicine and Bone Densitometry</w:t>
            </w:r>
            <w:r>
              <w:rPr>
                <w:lang w:val="en-US"/>
              </w:rPr>
              <w:t xml:space="preserve">, </w:t>
            </w:r>
            <w:r w:rsidRPr="00265997">
              <w:rPr>
                <w:lang w:val="en-US"/>
              </w:rPr>
              <w:t>Qscan Radiology Clinics</w:t>
            </w:r>
          </w:p>
        </w:tc>
      </w:tr>
      <w:tr w:rsidR="003E61DB" w:rsidRPr="00C9782D" w:rsidTr="003E61DB">
        <w:trPr>
          <w:cantSplit/>
        </w:trPr>
        <w:tc>
          <w:tcPr>
            <w:tcW w:w="3261" w:type="dxa"/>
          </w:tcPr>
          <w:p w:rsidR="003E61DB" w:rsidRPr="00C9782D" w:rsidRDefault="00265997" w:rsidP="003E61DB">
            <w:pPr>
              <w:autoSpaceDE w:val="0"/>
              <w:autoSpaceDN w:val="0"/>
              <w:adjustRightInd w:val="0"/>
              <w:spacing w:after="0"/>
              <w:ind w:left="34" w:hanging="34"/>
              <w:rPr>
                <w:sz w:val="22"/>
                <w:szCs w:val="22"/>
              </w:rPr>
            </w:pPr>
            <w:r>
              <w:rPr>
                <w:sz w:val="22"/>
                <w:szCs w:val="22"/>
              </w:rPr>
              <w:t>Michael Hooper</w:t>
            </w:r>
          </w:p>
        </w:tc>
        <w:tc>
          <w:tcPr>
            <w:tcW w:w="5103" w:type="dxa"/>
          </w:tcPr>
          <w:p w:rsidR="003E61DB" w:rsidRPr="00C9782D" w:rsidRDefault="00D009D1" w:rsidP="003E61DB">
            <w:pPr>
              <w:autoSpaceDE w:val="0"/>
              <w:autoSpaceDN w:val="0"/>
              <w:adjustRightInd w:val="0"/>
              <w:spacing w:after="0"/>
              <w:ind w:left="34" w:hanging="34"/>
              <w:rPr>
                <w:sz w:val="22"/>
                <w:szCs w:val="22"/>
              </w:rPr>
            </w:pPr>
            <w:r>
              <w:rPr>
                <w:sz w:val="22"/>
                <w:szCs w:val="22"/>
              </w:rPr>
              <w:t>Endocrinologist</w:t>
            </w:r>
          </w:p>
        </w:tc>
      </w:tr>
    </w:tbl>
    <w:p w:rsidR="003E61DB" w:rsidRPr="00C9782D" w:rsidRDefault="003E61DB" w:rsidP="003E61DB"/>
    <w:p w:rsidR="003E61DB" w:rsidRPr="004A554A" w:rsidRDefault="003E61DB" w:rsidP="004A554A">
      <w:pPr>
        <w:rPr>
          <w:rFonts w:ascii="Tahoma" w:hAnsi="Tahoma" w:cs="Tahoma"/>
          <w:b/>
          <w:sz w:val="28"/>
          <w:szCs w:val="28"/>
        </w:rPr>
      </w:pPr>
      <w:r w:rsidRPr="004A554A">
        <w:rPr>
          <w:rFonts w:ascii="Tahoma" w:hAnsi="Tahoma" w:cs="Tahoma"/>
          <w:b/>
          <w:sz w:val="28"/>
          <w:szCs w:val="28"/>
        </w:rPr>
        <w:t>Evaluators</w:t>
      </w:r>
    </w:p>
    <w:tbl>
      <w:tblPr>
        <w:tblW w:w="0" w:type="auto"/>
        <w:tblInd w:w="816" w:type="dxa"/>
        <w:tblLayout w:type="fixed"/>
        <w:tblLook w:val="0000" w:firstRow="0" w:lastRow="0" w:firstColumn="0" w:lastColumn="0" w:noHBand="0" w:noVBand="0"/>
      </w:tblPr>
      <w:tblGrid>
        <w:gridCol w:w="3261"/>
        <w:gridCol w:w="5103"/>
      </w:tblGrid>
      <w:tr w:rsidR="003E61DB" w:rsidRPr="00C9782D" w:rsidTr="003E61DB">
        <w:trPr>
          <w:cantSplit/>
        </w:trPr>
        <w:tc>
          <w:tcPr>
            <w:tcW w:w="3261" w:type="dxa"/>
            <w:tcBorders>
              <w:top w:val="single" w:sz="4" w:space="0" w:color="auto"/>
            </w:tcBorders>
          </w:tcPr>
          <w:p w:rsidR="003E61DB" w:rsidRPr="00C9782D" w:rsidRDefault="003E61DB" w:rsidP="003E61DB">
            <w:pPr>
              <w:autoSpaceDE w:val="0"/>
              <w:autoSpaceDN w:val="0"/>
              <w:adjustRightInd w:val="0"/>
              <w:spacing w:after="120"/>
              <w:ind w:left="11" w:hanging="11"/>
              <w:rPr>
                <w:b/>
                <w:sz w:val="22"/>
                <w:szCs w:val="22"/>
              </w:rPr>
            </w:pPr>
            <w:r w:rsidRPr="00C9782D">
              <w:rPr>
                <w:b/>
                <w:sz w:val="22"/>
                <w:szCs w:val="22"/>
              </w:rPr>
              <w:t>Name</w:t>
            </w:r>
          </w:p>
        </w:tc>
        <w:tc>
          <w:tcPr>
            <w:tcW w:w="5103" w:type="dxa"/>
            <w:tcBorders>
              <w:top w:val="single" w:sz="4" w:space="0" w:color="auto"/>
            </w:tcBorders>
          </w:tcPr>
          <w:p w:rsidR="003E61DB" w:rsidRPr="00C9782D" w:rsidRDefault="003E61DB" w:rsidP="003E61DB">
            <w:pPr>
              <w:autoSpaceDE w:val="0"/>
              <w:autoSpaceDN w:val="0"/>
              <w:adjustRightInd w:val="0"/>
              <w:spacing w:after="120"/>
              <w:ind w:left="11" w:hanging="11"/>
              <w:rPr>
                <w:b/>
                <w:sz w:val="22"/>
                <w:szCs w:val="22"/>
              </w:rPr>
            </w:pPr>
            <w:r w:rsidRPr="00C9782D">
              <w:rPr>
                <w:b/>
                <w:sz w:val="22"/>
                <w:szCs w:val="22"/>
              </w:rPr>
              <w:t>Organisation</w:t>
            </w:r>
          </w:p>
        </w:tc>
      </w:tr>
      <w:tr w:rsidR="003E61DB" w:rsidRPr="00C9782D" w:rsidTr="003E61DB">
        <w:trPr>
          <w:cantSplit/>
        </w:trPr>
        <w:tc>
          <w:tcPr>
            <w:tcW w:w="3261" w:type="dxa"/>
            <w:tcBorders>
              <w:top w:val="single" w:sz="4" w:space="0" w:color="auto"/>
              <w:bottom w:val="single" w:sz="4" w:space="0" w:color="auto"/>
            </w:tcBorders>
          </w:tcPr>
          <w:p w:rsidR="003E61DB" w:rsidRPr="00C9782D" w:rsidRDefault="002571D9" w:rsidP="003E61DB">
            <w:pPr>
              <w:autoSpaceDE w:val="0"/>
              <w:autoSpaceDN w:val="0"/>
              <w:adjustRightInd w:val="0"/>
              <w:spacing w:after="0"/>
              <w:ind w:left="34" w:hanging="34"/>
              <w:rPr>
                <w:sz w:val="22"/>
                <w:szCs w:val="22"/>
              </w:rPr>
            </w:pPr>
            <w:r>
              <w:rPr>
                <w:sz w:val="22"/>
                <w:szCs w:val="22"/>
              </w:rPr>
              <w:t>Louisa Gordon</w:t>
            </w:r>
          </w:p>
        </w:tc>
        <w:tc>
          <w:tcPr>
            <w:tcW w:w="5103" w:type="dxa"/>
            <w:tcBorders>
              <w:top w:val="single" w:sz="4" w:space="0" w:color="auto"/>
              <w:bottom w:val="single" w:sz="4" w:space="0" w:color="auto"/>
            </w:tcBorders>
          </w:tcPr>
          <w:p w:rsidR="003E61DB" w:rsidRPr="00C9782D" w:rsidRDefault="002571D9" w:rsidP="003E61DB">
            <w:pPr>
              <w:autoSpaceDE w:val="0"/>
              <w:autoSpaceDN w:val="0"/>
              <w:adjustRightInd w:val="0"/>
              <w:spacing w:after="0"/>
              <w:ind w:left="34" w:hanging="34"/>
              <w:rPr>
                <w:sz w:val="22"/>
                <w:szCs w:val="22"/>
              </w:rPr>
            </w:pPr>
            <w:r>
              <w:rPr>
                <w:sz w:val="22"/>
                <w:szCs w:val="22"/>
              </w:rPr>
              <w:t>Griffith University</w:t>
            </w:r>
          </w:p>
        </w:tc>
      </w:tr>
      <w:tr w:rsidR="003E61DB" w:rsidRPr="00C9782D" w:rsidTr="002571D9">
        <w:trPr>
          <w:cantSplit/>
        </w:trPr>
        <w:tc>
          <w:tcPr>
            <w:tcW w:w="3261" w:type="dxa"/>
            <w:tcBorders>
              <w:top w:val="single" w:sz="4" w:space="0" w:color="auto"/>
              <w:bottom w:val="single" w:sz="4" w:space="0" w:color="auto"/>
            </w:tcBorders>
          </w:tcPr>
          <w:p w:rsidR="003E61DB" w:rsidRPr="00C9782D" w:rsidRDefault="002571D9" w:rsidP="003E61DB">
            <w:pPr>
              <w:autoSpaceDE w:val="0"/>
              <w:autoSpaceDN w:val="0"/>
              <w:adjustRightInd w:val="0"/>
              <w:spacing w:after="0"/>
              <w:ind w:left="34" w:hanging="34"/>
              <w:rPr>
                <w:sz w:val="22"/>
                <w:szCs w:val="22"/>
              </w:rPr>
            </w:pPr>
            <w:r>
              <w:rPr>
                <w:sz w:val="22"/>
                <w:szCs w:val="22"/>
              </w:rPr>
              <w:t>Martin Downes</w:t>
            </w:r>
          </w:p>
        </w:tc>
        <w:tc>
          <w:tcPr>
            <w:tcW w:w="5103" w:type="dxa"/>
            <w:tcBorders>
              <w:top w:val="single" w:sz="4" w:space="0" w:color="auto"/>
              <w:bottom w:val="single" w:sz="4" w:space="0" w:color="auto"/>
            </w:tcBorders>
          </w:tcPr>
          <w:p w:rsidR="003E61DB" w:rsidRPr="00C9782D" w:rsidRDefault="002571D9" w:rsidP="003E61DB">
            <w:pPr>
              <w:autoSpaceDE w:val="0"/>
              <w:autoSpaceDN w:val="0"/>
              <w:adjustRightInd w:val="0"/>
              <w:spacing w:after="0"/>
              <w:ind w:left="34" w:hanging="34"/>
              <w:rPr>
                <w:sz w:val="22"/>
                <w:szCs w:val="22"/>
              </w:rPr>
            </w:pPr>
            <w:r>
              <w:rPr>
                <w:sz w:val="22"/>
                <w:szCs w:val="22"/>
              </w:rPr>
              <w:t>Griffith University</w:t>
            </w:r>
          </w:p>
        </w:tc>
      </w:tr>
      <w:tr w:rsidR="002571D9" w:rsidRPr="00C9782D" w:rsidTr="002571D9">
        <w:trPr>
          <w:cantSplit/>
        </w:trPr>
        <w:tc>
          <w:tcPr>
            <w:tcW w:w="3261" w:type="dxa"/>
            <w:tcBorders>
              <w:top w:val="single" w:sz="4" w:space="0" w:color="auto"/>
              <w:bottom w:val="single" w:sz="4" w:space="0" w:color="auto"/>
            </w:tcBorders>
          </w:tcPr>
          <w:p w:rsidR="002571D9" w:rsidRDefault="002571D9" w:rsidP="003E61DB">
            <w:pPr>
              <w:autoSpaceDE w:val="0"/>
              <w:autoSpaceDN w:val="0"/>
              <w:adjustRightInd w:val="0"/>
              <w:spacing w:after="0"/>
              <w:ind w:left="34" w:hanging="34"/>
              <w:rPr>
                <w:sz w:val="22"/>
                <w:szCs w:val="22"/>
              </w:rPr>
            </w:pPr>
            <w:r>
              <w:rPr>
                <w:sz w:val="22"/>
                <w:szCs w:val="22"/>
              </w:rPr>
              <w:t>Marcin Sowa</w:t>
            </w:r>
          </w:p>
        </w:tc>
        <w:tc>
          <w:tcPr>
            <w:tcW w:w="5103" w:type="dxa"/>
            <w:tcBorders>
              <w:top w:val="single" w:sz="4" w:space="0" w:color="auto"/>
              <w:bottom w:val="single" w:sz="4" w:space="0" w:color="auto"/>
            </w:tcBorders>
          </w:tcPr>
          <w:p w:rsidR="002571D9" w:rsidRDefault="002571D9" w:rsidP="003E61DB">
            <w:pPr>
              <w:autoSpaceDE w:val="0"/>
              <w:autoSpaceDN w:val="0"/>
              <w:adjustRightInd w:val="0"/>
              <w:spacing w:after="0"/>
              <w:ind w:left="34" w:hanging="34"/>
              <w:rPr>
                <w:sz w:val="22"/>
                <w:szCs w:val="22"/>
              </w:rPr>
            </w:pPr>
            <w:r>
              <w:rPr>
                <w:sz w:val="22"/>
                <w:szCs w:val="22"/>
              </w:rPr>
              <w:t>Griffith University</w:t>
            </w:r>
          </w:p>
        </w:tc>
      </w:tr>
    </w:tbl>
    <w:p w:rsidR="003E61DB" w:rsidRPr="00C9782D" w:rsidRDefault="003E61DB" w:rsidP="003E61DB"/>
    <w:p w:rsidR="00F402B7" w:rsidRDefault="0013164F" w:rsidP="00A158A3">
      <w:pPr>
        <w:pStyle w:val="Heading2"/>
      </w:pPr>
      <w:bookmarkStart w:id="165" w:name="_Toc386092530"/>
      <w:bookmarkStart w:id="166" w:name="_Toc386093168"/>
      <w:bookmarkStart w:id="167" w:name="_Toc386093665"/>
      <w:bookmarkStart w:id="168" w:name="_Toc386093726"/>
      <w:r>
        <w:lastRenderedPageBreak/>
        <w:t xml:space="preserve">Appendix B </w:t>
      </w:r>
      <w:r w:rsidR="003E61DB" w:rsidRPr="00C9782D">
        <w:t>Search strategies</w:t>
      </w:r>
      <w:bookmarkEnd w:id="165"/>
      <w:bookmarkEnd w:id="166"/>
      <w:bookmarkEnd w:id="167"/>
      <w:bookmarkEnd w:id="168"/>
    </w:p>
    <w:p w:rsidR="00D009D1" w:rsidRDefault="00D009D1" w:rsidP="00F402B7">
      <w:pPr>
        <w:sectPr w:rsidR="00D009D1" w:rsidSect="0013164F">
          <w:footerReference w:type="even" r:id="rId57"/>
          <w:type w:val="continuous"/>
          <w:pgSz w:w="11906" w:h="16838"/>
          <w:pgMar w:top="1440" w:right="1274" w:bottom="1440" w:left="1440" w:header="720" w:footer="720" w:gutter="0"/>
          <w:paperSrc w:first="7" w:other="7"/>
          <w:cols w:space="720"/>
        </w:sectPr>
      </w:pPr>
    </w:p>
    <w:p w:rsidR="003E61DB" w:rsidRDefault="00F402B7" w:rsidP="00D009D1">
      <w:pPr>
        <w:ind w:left="0"/>
      </w:pPr>
      <w:r>
        <w:lastRenderedPageBreak/>
        <w:t>Search terms were</w:t>
      </w:r>
      <w:r w:rsidR="00193BED">
        <w:t>:</w:t>
      </w:r>
    </w:p>
    <w:p w:rsidR="00F402B7" w:rsidRPr="00F402B7" w:rsidRDefault="00FF1CAF" w:rsidP="00D009D1">
      <w:pPr>
        <w:ind w:left="0"/>
        <w:rPr>
          <w:b/>
        </w:rPr>
      </w:pPr>
      <w:r>
        <w:rPr>
          <w:b/>
        </w:rPr>
        <w:t>Search 1</w:t>
      </w:r>
    </w:p>
    <w:p w:rsidR="00F402B7" w:rsidRPr="00F402B7" w:rsidRDefault="00F402B7" w:rsidP="00D009D1">
      <w:pPr>
        <w:spacing w:after="0"/>
        <w:ind w:left="0"/>
        <w:rPr>
          <w:b/>
          <w:sz w:val="16"/>
          <w:szCs w:val="16"/>
        </w:rPr>
      </w:pPr>
      <w:r w:rsidRPr="00F402B7">
        <w:rPr>
          <w:b/>
          <w:sz w:val="16"/>
          <w:szCs w:val="16"/>
        </w:rPr>
        <w:t>Ovid MEDLINE Search:</w:t>
      </w:r>
    </w:p>
    <w:p w:rsidR="00F402B7" w:rsidRPr="00F402B7" w:rsidRDefault="00F402B7" w:rsidP="00D009D1">
      <w:pPr>
        <w:spacing w:after="0"/>
        <w:ind w:left="0"/>
        <w:rPr>
          <w:sz w:val="16"/>
          <w:szCs w:val="16"/>
        </w:rPr>
      </w:pPr>
      <w:r w:rsidRPr="00F402B7">
        <w:rPr>
          <w:sz w:val="16"/>
          <w:szCs w:val="16"/>
        </w:rPr>
        <w:t xml:space="preserve">1. </w:t>
      </w:r>
      <w:r w:rsidRPr="00F402B7">
        <w:rPr>
          <w:sz w:val="16"/>
          <w:szCs w:val="16"/>
        </w:rPr>
        <w:tab/>
        <w:t>Aromatase inhibitors.mp.</w:t>
      </w:r>
    </w:p>
    <w:p w:rsidR="00F402B7" w:rsidRPr="00F402B7" w:rsidRDefault="00F402B7" w:rsidP="00D009D1">
      <w:pPr>
        <w:spacing w:after="0"/>
        <w:ind w:left="0"/>
        <w:rPr>
          <w:sz w:val="16"/>
          <w:szCs w:val="16"/>
        </w:rPr>
      </w:pPr>
      <w:r w:rsidRPr="00F402B7">
        <w:rPr>
          <w:sz w:val="16"/>
          <w:szCs w:val="16"/>
        </w:rPr>
        <w:t xml:space="preserve">2. </w:t>
      </w:r>
      <w:r w:rsidRPr="00F402B7">
        <w:rPr>
          <w:sz w:val="16"/>
          <w:szCs w:val="16"/>
        </w:rPr>
        <w:tab/>
        <w:t>exp Aromatase Inhibitors/</w:t>
      </w:r>
    </w:p>
    <w:p w:rsidR="00F402B7" w:rsidRPr="00F402B7" w:rsidRDefault="00F402B7" w:rsidP="00D009D1">
      <w:pPr>
        <w:spacing w:after="0"/>
        <w:ind w:left="0"/>
        <w:rPr>
          <w:sz w:val="16"/>
          <w:szCs w:val="16"/>
        </w:rPr>
      </w:pPr>
      <w:r w:rsidRPr="00F402B7">
        <w:rPr>
          <w:sz w:val="16"/>
          <w:szCs w:val="16"/>
        </w:rPr>
        <w:t xml:space="preserve">3. </w:t>
      </w:r>
      <w:r w:rsidRPr="00F402B7">
        <w:rPr>
          <w:sz w:val="16"/>
          <w:szCs w:val="16"/>
        </w:rPr>
        <w:tab/>
        <w:t>Aminoglutethimide.mp.</w:t>
      </w:r>
    </w:p>
    <w:p w:rsidR="00F402B7" w:rsidRPr="00F402B7" w:rsidRDefault="00F402B7" w:rsidP="00D009D1">
      <w:pPr>
        <w:spacing w:after="0"/>
        <w:ind w:left="0"/>
        <w:rPr>
          <w:sz w:val="16"/>
          <w:szCs w:val="16"/>
        </w:rPr>
      </w:pPr>
      <w:r w:rsidRPr="00F402B7">
        <w:rPr>
          <w:sz w:val="16"/>
          <w:szCs w:val="16"/>
        </w:rPr>
        <w:t xml:space="preserve">4. </w:t>
      </w:r>
      <w:r w:rsidRPr="00F402B7">
        <w:rPr>
          <w:sz w:val="16"/>
          <w:szCs w:val="16"/>
        </w:rPr>
        <w:tab/>
        <w:t>exp Aminoglutethimide/</w:t>
      </w:r>
    </w:p>
    <w:p w:rsidR="00F402B7" w:rsidRPr="00F402B7" w:rsidRDefault="00F402B7" w:rsidP="00D009D1">
      <w:pPr>
        <w:spacing w:after="0"/>
        <w:ind w:left="0"/>
        <w:rPr>
          <w:sz w:val="16"/>
          <w:szCs w:val="16"/>
        </w:rPr>
      </w:pPr>
      <w:r w:rsidRPr="00F402B7">
        <w:rPr>
          <w:sz w:val="16"/>
          <w:szCs w:val="16"/>
        </w:rPr>
        <w:t xml:space="preserve">5. </w:t>
      </w:r>
      <w:r w:rsidRPr="00F402B7">
        <w:rPr>
          <w:sz w:val="16"/>
          <w:szCs w:val="16"/>
        </w:rPr>
        <w:tab/>
        <w:t>Testolactone.mp.</w:t>
      </w:r>
    </w:p>
    <w:p w:rsidR="00F402B7" w:rsidRPr="00F402B7" w:rsidRDefault="00F402B7" w:rsidP="00D009D1">
      <w:pPr>
        <w:spacing w:after="0"/>
        <w:ind w:left="0"/>
        <w:rPr>
          <w:sz w:val="16"/>
          <w:szCs w:val="16"/>
        </w:rPr>
      </w:pPr>
      <w:r w:rsidRPr="00F402B7">
        <w:rPr>
          <w:sz w:val="16"/>
          <w:szCs w:val="16"/>
        </w:rPr>
        <w:t xml:space="preserve">6. </w:t>
      </w:r>
      <w:r w:rsidRPr="00F402B7">
        <w:rPr>
          <w:sz w:val="16"/>
          <w:szCs w:val="16"/>
        </w:rPr>
        <w:tab/>
        <w:t>exp Testolactone/</w:t>
      </w:r>
    </w:p>
    <w:p w:rsidR="00F402B7" w:rsidRPr="00F402B7" w:rsidRDefault="00F402B7" w:rsidP="00D009D1">
      <w:pPr>
        <w:spacing w:after="0"/>
        <w:ind w:left="0"/>
        <w:rPr>
          <w:sz w:val="16"/>
          <w:szCs w:val="16"/>
        </w:rPr>
      </w:pPr>
      <w:r w:rsidRPr="00F402B7">
        <w:rPr>
          <w:sz w:val="16"/>
          <w:szCs w:val="16"/>
        </w:rPr>
        <w:t xml:space="preserve">7. </w:t>
      </w:r>
      <w:r w:rsidRPr="00F402B7">
        <w:rPr>
          <w:sz w:val="16"/>
          <w:szCs w:val="16"/>
        </w:rPr>
        <w:tab/>
        <w:t>Anastrozole.mp.</w:t>
      </w:r>
    </w:p>
    <w:p w:rsidR="00F402B7" w:rsidRPr="00F402B7" w:rsidRDefault="00F402B7" w:rsidP="00D009D1">
      <w:pPr>
        <w:spacing w:after="0"/>
        <w:ind w:left="0"/>
        <w:rPr>
          <w:sz w:val="16"/>
          <w:szCs w:val="16"/>
        </w:rPr>
      </w:pPr>
      <w:r w:rsidRPr="00F402B7">
        <w:rPr>
          <w:sz w:val="16"/>
          <w:szCs w:val="16"/>
        </w:rPr>
        <w:t xml:space="preserve">8. </w:t>
      </w:r>
      <w:r w:rsidRPr="00F402B7">
        <w:rPr>
          <w:sz w:val="16"/>
          <w:szCs w:val="16"/>
        </w:rPr>
        <w:tab/>
        <w:t>Letrozole.mp.</w:t>
      </w:r>
    </w:p>
    <w:p w:rsidR="00F402B7" w:rsidRPr="00F402B7" w:rsidRDefault="00F402B7" w:rsidP="00D009D1">
      <w:pPr>
        <w:spacing w:after="0"/>
        <w:ind w:left="0"/>
        <w:rPr>
          <w:sz w:val="16"/>
          <w:szCs w:val="16"/>
        </w:rPr>
      </w:pPr>
      <w:r w:rsidRPr="00F402B7">
        <w:rPr>
          <w:sz w:val="16"/>
          <w:szCs w:val="16"/>
        </w:rPr>
        <w:t xml:space="preserve">9. </w:t>
      </w:r>
      <w:r w:rsidRPr="00F402B7">
        <w:rPr>
          <w:sz w:val="16"/>
          <w:szCs w:val="16"/>
        </w:rPr>
        <w:tab/>
        <w:t>Exemestane.mp.</w:t>
      </w:r>
    </w:p>
    <w:p w:rsidR="00F402B7" w:rsidRPr="00F402B7" w:rsidRDefault="00F402B7" w:rsidP="00D009D1">
      <w:pPr>
        <w:spacing w:after="0"/>
        <w:ind w:left="0"/>
        <w:rPr>
          <w:sz w:val="16"/>
          <w:szCs w:val="16"/>
        </w:rPr>
      </w:pPr>
      <w:r w:rsidRPr="00F402B7">
        <w:rPr>
          <w:sz w:val="16"/>
          <w:szCs w:val="16"/>
        </w:rPr>
        <w:t xml:space="preserve">10. </w:t>
      </w:r>
      <w:r w:rsidRPr="00F402B7">
        <w:rPr>
          <w:sz w:val="16"/>
          <w:szCs w:val="16"/>
        </w:rPr>
        <w:tab/>
        <w:t>Vorozole.mp.</w:t>
      </w:r>
    </w:p>
    <w:p w:rsidR="00F402B7" w:rsidRPr="00F402B7" w:rsidRDefault="00F402B7" w:rsidP="00D009D1">
      <w:pPr>
        <w:spacing w:after="0"/>
        <w:ind w:left="0"/>
        <w:rPr>
          <w:sz w:val="16"/>
          <w:szCs w:val="16"/>
        </w:rPr>
      </w:pPr>
      <w:r w:rsidRPr="00F402B7">
        <w:rPr>
          <w:sz w:val="16"/>
          <w:szCs w:val="16"/>
        </w:rPr>
        <w:t xml:space="preserve">11. </w:t>
      </w:r>
      <w:r w:rsidRPr="00F402B7">
        <w:rPr>
          <w:sz w:val="16"/>
          <w:szCs w:val="16"/>
        </w:rPr>
        <w:tab/>
        <w:t>Formestane.mp.</w:t>
      </w:r>
    </w:p>
    <w:p w:rsidR="00F402B7" w:rsidRPr="00F402B7" w:rsidRDefault="00F402B7" w:rsidP="00D009D1">
      <w:pPr>
        <w:spacing w:after="0"/>
        <w:ind w:left="0"/>
        <w:rPr>
          <w:sz w:val="16"/>
          <w:szCs w:val="16"/>
        </w:rPr>
      </w:pPr>
      <w:r w:rsidRPr="00F402B7">
        <w:rPr>
          <w:sz w:val="16"/>
          <w:szCs w:val="16"/>
        </w:rPr>
        <w:t xml:space="preserve">12. </w:t>
      </w:r>
      <w:r w:rsidRPr="00F402B7">
        <w:rPr>
          <w:sz w:val="16"/>
          <w:szCs w:val="16"/>
        </w:rPr>
        <w:tab/>
        <w:t>Fadrozole.mp.</w:t>
      </w:r>
    </w:p>
    <w:p w:rsidR="00F402B7" w:rsidRPr="00F402B7" w:rsidRDefault="00F402B7" w:rsidP="00D009D1">
      <w:pPr>
        <w:spacing w:after="0"/>
        <w:ind w:left="0"/>
        <w:rPr>
          <w:sz w:val="16"/>
          <w:szCs w:val="16"/>
        </w:rPr>
      </w:pPr>
      <w:r w:rsidRPr="00F402B7">
        <w:rPr>
          <w:sz w:val="16"/>
          <w:szCs w:val="16"/>
        </w:rPr>
        <w:t xml:space="preserve">13. </w:t>
      </w:r>
      <w:r w:rsidRPr="00F402B7">
        <w:rPr>
          <w:sz w:val="16"/>
          <w:szCs w:val="16"/>
        </w:rPr>
        <w:tab/>
        <w:t>exp Fadrozole/</w:t>
      </w:r>
    </w:p>
    <w:p w:rsidR="00F402B7" w:rsidRPr="00F402B7" w:rsidRDefault="00F402B7" w:rsidP="00D009D1">
      <w:pPr>
        <w:spacing w:after="0"/>
        <w:ind w:left="0"/>
        <w:rPr>
          <w:sz w:val="16"/>
          <w:szCs w:val="16"/>
        </w:rPr>
      </w:pPr>
      <w:r w:rsidRPr="00F402B7">
        <w:rPr>
          <w:sz w:val="16"/>
          <w:szCs w:val="16"/>
        </w:rPr>
        <w:t xml:space="preserve">14. </w:t>
      </w:r>
      <w:r w:rsidRPr="00F402B7">
        <w:rPr>
          <w:sz w:val="16"/>
          <w:szCs w:val="16"/>
        </w:rPr>
        <w:tab/>
        <w:t>Hydroxyandrostenedione.mp.</w:t>
      </w:r>
    </w:p>
    <w:p w:rsidR="00F402B7" w:rsidRPr="00F402B7" w:rsidRDefault="00F402B7" w:rsidP="00D009D1">
      <w:pPr>
        <w:spacing w:after="0"/>
        <w:ind w:left="0"/>
        <w:rPr>
          <w:sz w:val="16"/>
          <w:szCs w:val="16"/>
        </w:rPr>
      </w:pPr>
      <w:r w:rsidRPr="00F402B7">
        <w:rPr>
          <w:sz w:val="16"/>
          <w:szCs w:val="16"/>
        </w:rPr>
        <w:t xml:space="preserve">15. </w:t>
      </w:r>
      <w:r w:rsidRPr="00F402B7">
        <w:rPr>
          <w:sz w:val="16"/>
          <w:szCs w:val="16"/>
        </w:rPr>
        <w:tab/>
        <w:t>Androstatrien.mp.</w:t>
      </w:r>
    </w:p>
    <w:p w:rsidR="00F402B7" w:rsidRPr="00F402B7" w:rsidRDefault="00F402B7" w:rsidP="00D009D1">
      <w:pPr>
        <w:spacing w:after="0"/>
        <w:ind w:left="0"/>
        <w:rPr>
          <w:sz w:val="16"/>
          <w:szCs w:val="16"/>
        </w:rPr>
      </w:pPr>
      <w:r w:rsidRPr="00F402B7">
        <w:rPr>
          <w:sz w:val="16"/>
          <w:szCs w:val="16"/>
        </w:rPr>
        <w:t xml:space="preserve">16. </w:t>
      </w:r>
      <w:r w:rsidRPr="00F402B7">
        <w:rPr>
          <w:sz w:val="16"/>
          <w:szCs w:val="16"/>
        </w:rPr>
        <w:tab/>
        <w:t>exp Androstatrienes/</w:t>
      </w:r>
    </w:p>
    <w:p w:rsidR="00F402B7" w:rsidRPr="00F402B7" w:rsidRDefault="00F402B7" w:rsidP="00D009D1">
      <w:pPr>
        <w:spacing w:after="0"/>
        <w:ind w:left="0"/>
        <w:rPr>
          <w:sz w:val="16"/>
          <w:szCs w:val="16"/>
        </w:rPr>
      </w:pPr>
      <w:r w:rsidRPr="00F402B7">
        <w:rPr>
          <w:sz w:val="16"/>
          <w:szCs w:val="16"/>
        </w:rPr>
        <w:t xml:space="preserve">17. </w:t>
      </w:r>
      <w:r w:rsidRPr="00F402B7">
        <w:rPr>
          <w:sz w:val="16"/>
          <w:szCs w:val="16"/>
        </w:rPr>
        <w:tab/>
        <w:t>Androstene.mp.</w:t>
      </w:r>
    </w:p>
    <w:p w:rsidR="00F402B7" w:rsidRPr="00F402B7" w:rsidRDefault="00F402B7" w:rsidP="00D009D1">
      <w:pPr>
        <w:spacing w:after="0"/>
        <w:ind w:left="0"/>
        <w:rPr>
          <w:sz w:val="16"/>
          <w:szCs w:val="16"/>
        </w:rPr>
      </w:pPr>
      <w:r w:rsidRPr="00F402B7">
        <w:rPr>
          <w:sz w:val="16"/>
          <w:szCs w:val="16"/>
        </w:rPr>
        <w:t xml:space="preserve">18. </w:t>
      </w:r>
      <w:r w:rsidRPr="00F402B7">
        <w:rPr>
          <w:sz w:val="16"/>
          <w:szCs w:val="16"/>
        </w:rPr>
        <w:tab/>
        <w:t>exp Androstenes/</w:t>
      </w:r>
    </w:p>
    <w:p w:rsidR="00F402B7" w:rsidRPr="00F402B7" w:rsidRDefault="00F402B7" w:rsidP="00D009D1">
      <w:pPr>
        <w:spacing w:after="0"/>
        <w:ind w:left="0"/>
        <w:rPr>
          <w:sz w:val="16"/>
          <w:szCs w:val="16"/>
        </w:rPr>
      </w:pPr>
      <w:r w:rsidRPr="00F402B7">
        <w:rPr>
          <w:sz w:val="16"/>
          <w:szCs w:val="16"/>
        </w:rPr>
        <w:t xml:space="preserve">19. </w:t>
      </w:r>
      <w:r w:rsidRPr="00F402B7">
        <w:rPr>
          <w:sz w:val="16"/>
          <w:szCs w:val="16"/>
        </w:rPr>
        <w:tab/>
        <w:t xml:space="preserve">Arimidex.mp. </w:t>
      </w:r>
    </w:p>
    <w:p w:rsidR="00F402B7" w:rsidRPr="00F402B7" w:rsidRDefault="00F402B7" w:rsidP="00D009D1">
      <w:pPr>
        <w:spacing w:after="0"/>
        <w:ind w:left="0"/>
        <w:rPr>
          <w:sz w:val="16"/>
          <w:szCs w:val="16"/>
        </w:rPr>
      </w:pPr>
      <w:r w:rsidRPr="00F402B7">
        <w:rPr>
          <w:sz w:val="16"/>
          <w:szCs w:val="16"/>
        </w:rPr>
        <w:t xml:space="preserve">20. </w:t>
      </w:r>
      <w:r w:rsidRPr="00F402B7">
        <w:rPr>
          <w:sz w:val="16"/>
          <w:szCs w:val="16"/>
        </w:rPr>
        <w:tab/>
        <w:t xml:space="preserve">Femara.mp. </w:t>
      </w:r>
    </w:p>
    <w:p w:rsidR="00F402B7" w:rsidRPr="00F402B7" w:rsidRDefault="00F402B7" w:rsidP="00D009D1">
      <w:pPr>
        <w:spacing w:after="0"/>
        <w:ind w:left="0"/>
        <w:rPr>
          <w:sz w:val="16"/>
          <w:szCs w:val="16"/>
        </w:rPr>
      </w:pPr>
      <w:r w:rsidRPr="00F402B7">
        <w:rPr>
          <w:sz w:val="16"/>
          <w:szCs w:val="16"/>
        </w:rPr>
        <w:t xml:space="preserve">21. </w:t>
      </w:r>
      <w:r w:rsidRPr="00F402B7">
        <w:rPr>
          <w:sz w:val="16"/>
          <w:szCs w:val="16"/>
        </w:rPr>
        <w:tab/>
        <w:t xml:space="preserve">Aromasin.mp. </w:t>
      </w:r>
    </w:p>
    <w:p w:rsidR="00F402B7" w:rsidRPr="00F402B7" w:rsidRDefault="00F402B7" w:rsidP="00D009D1">
      <w:pPr>
        <w:spacing w:after="0"/>
        <w:ind w:left="0"/>
        <w:rPr>
          <w:sz w:val="16"/>
          <w:szCs w:val="16"/>
        </w:rPr>
      </w:pPr>
      <w:r w:rsidRPr="00F402B7">
        <w:rPr>
          <w:sz w:val="16"/>
          <w:szCs w:val="16"/>
        </w:rPr>
        <w:t xml:space="preserve">22. </w:t>
      </w:r>
      <w:r w:rsidRPr="00F402B7">
        <w:rPr>
          <w:sz w:val="16"/>
          <w:szCs w:val="16"/>
        </w:rPr>
        <w:tab/>
        <w:t xml:space="preserve">Rivizor.mp. </w:t>
      </w:r>
    </w:p>
    <w:p w:rsidR="00F402B7" w:rsidRPr="00F402B7" w:rsidRDefault="00F402B7" w:rsidP="00D009D1">
      <w:pPr>
        <w:spacing w:after="0"/>
        <w:ind w:left="0"/>
        <w:rPr>
          <w:sz w:val="16"/>
          <w:szCs w:val="16"/>
        </w:rPr>
      </w:pPr>
      <w:r w:rsidRPr="00F402B7">
        <w:rPr>
          <w:sz w:val="16"/>
          <w:szCs w:val="16"/>
        </w:rPr>
        <w:t xml:space="preserve">23. </w:t>
      </w:r>
      <w:r w:rsidRPr="00F402B7">
        <w:rPr>
          <w:sz w:val="16"/>
          <w:szCs w:val="16"/>
        </w:rPr>
        <w:tab/>
        <w:t xml:space="preserve">Formestane.mp. </w:t>
      </w:r>
    </w:p>
    <w:p w:rsidR="00F402B7" w:rsidRPr="00F402B7" w:rsidRDefault="00F402B7" w:rsidP="00D009D1">
      <w:pPr>
        <w:spacing w:after="0"/>
        <w:ind w:left="0"/>
        <w:rPr>
          <w:sz w:val="16"/>
          <w:szCs w:val="16"/>
        </w:rPr>
      </w:pPr>
      <w:r w:rsidRPr="00F402B7">
        <w:rPr>
          <w:sz w:val="16"/>
          <w:szCs w:val="16"/>
        </w:rPr>
        <w:t xml:space="preserve">24. </w:t>
      </w:r>
      <w:r w:rsidRPr="00F402B7">
        <w:rPr>
          <w:sz w:val="16"/>
          <w:szCs w:val="16"/>
        </w:rPr>
        <w:tab/>
        <w:t xml:space="preserve">Lentaron.mp. </w:t>
      </w:r>
    </w:p>
    <w:p w:rsidR="00F402B7" w:rsidRPr="00F402B7" w:rsidRDefault="00F402B7" w:rsidP="00D009D1">
      <w:pPr>
        <w:spacing w:after="0"/>
        <w:ind w:left="0"/>
        <w:rPr>
          <w:sz w:val="16"/>
          <w:szCs w:val="16"/>
        </w:rPr>
      </w:pPr>
      <w:r w:rsidRPr="00F402B7">
        <w:rPr>
          <w:sz w:val="16"/>
          <w:szCs w:val="16"/>
        </w:rPr>
        <w:t xml:space="preserve">25. </w:t>
      </w:r>
      <w:r w:rsidRPr="00F402B7">
        <w:rPr>
          <w:sz w:val="16"/>
          <w:szCs w:val="16"/>
        </w:rPr>
        <w:tab/>
        <w:t xml:space="preserve">Afema.mp. </w:t>
      </w:r>
    </w:p>
    <w:p w:rsidR="00F402B7" w:rsidRPr="00F402B7" w:rsidRDefault="00F402B7" w:rsidP="00D009D1">
      <w:pPr>
        <w:spacing w:after="0"/>
        <w:ind w:left="0"/>
        <w:rPr>
          <w:sz w:val="16"/>
          <w:szCs w:val="16"/>
        </w:rPr>
      </w:pPr>
      <w:r w:rsidRPr="00F402B7">
        <w:rPr>
          <w:sz w:val="16"/>
          <w:szCs w:val="16"/>
        </w:rPr>
        <w:t xml:space="preserve">26. </w:t>
      </w:r>
      <w:r w:rsidRPr="00F402B7">
        <w:rPr>
          <w:sz w:val="16"/>
          <w:szCs w:val="16"/>
        </w:rPr>
        <w:tab/>
        <w:t xml:space="preserve">Teslac.mp. </w:t>
      </w:r>
    </w:p>
    <w:p w:rsidR="00F402B7" w:rsidRPr="00F402B7" w:rsidRDefault="00F402B7" w:rsidP="00D009D1">
      <w:pPr>
        <w:spacing w:after="0"/>
        <w:ind w:left="0"/>
        <w:rPr>
          <w:sz w:val="16"/>
          <w:szCs w:val="16"/>
        </w:rPr>
      </w:pPr>
      <w:r w:rsidRPr="00F402B7">
        <w:rPr>
          <w:sz w:val="16"/>
          <w:szCs w:val="16"/>
        </w:rPr>
        <w:t xml:space="preserve">27. </w:t>
      </w:r>
      <w:r w:rsidRPr="00F402B7">
        <w:rPr>
          <w:sz w:val="16"/>
          <w:szCs w:val="16"/>
        </w:rPr>
        <w:tab/>
        <w:t xml:space="preserve">ATD.mp. </w:t>
      </w:r>
    </w:p>
    <w:p w:rsidR="00F402B7" w:rsidRPr="00F402B7" w:rsidRDefault="00F402B7" w:rsidP="00D009D1">
      <w:pPr>
        <w:spacing w:after="0"/>
        <w:ind w:left="0"/>
        <w:rPr>
          <w:sz w:val="16"/>
          <w:szCs w:val="16"/>
        </w:rPr>
      </w:pPr>
      <w:r w:rsidRPr="00F402B7">
        <w:rPr>
          <w:sz w:val="16"/>
          <w:szCs w:val="16"/>
        </w:rPr>
        <w:t xml:space="preserve">28. </w:t>
      </w:r>
      <w:r w:rsidRPr="00F402B7">
        <w:rPr>
          <w:sz w:val="16"/>
          <w:szCs w:val="16"/>
        </w:rPr>
        <w:tab/>
        <w:t xml:space="preserve">OXO-6.mp. </w:t>
      </w:r>
    </w:p>
    <w:p w:rsidR="00F402B7" w:rsidRPr="00F402B7" w:rsidRDefault="00F402B7" w:rsidP="00D009D1">
      <w:pPr>
        <w:spacing w:after="0"/>
        <w:ind w:left="0"/>
        <w:rPr>
          <w:sz w:val="16"/>
          <w:szCs w:val="16"/>
        </w:rPr>
      </w:pPr>
      <w:r w:rsidRPr="00F402B7">
        <w:rPr>
          <w:sz w:val="16"/>
          <w:szCs w:val="16"/>
        </w:rPr>
        <w:t xml:space="preserve">29. </w:t>
      </w:r>
      <w:r w:rsidRPr="00F402B7">
        <w:rPr>
          <w:sz w:val="16"/>
          <w:szCs w:val="16"/>
        </w:rPr>
        <w:tab/>
        <w:t>1 or 2 or 3 or 4 or 5 or 6 or 7 or 8 or 9 or 10 or 11 or 12 or 13 or 14 or 15 or 16 or 17 or 18 or 19 or 20 or 21 or 22 or 23 or 24 or 25 or 26 or 27 or 28</w:t>
      </w:r>
    </w:p>
    <w:p w:rsidR="00F402B7" w:rsidRPr="00F402B7" w:rsidRDefault="00F402B7" w:rsidP="00D009D1">
      <w:pPr>
        <w:spacing w:after="0"/>
        <w:ind w:left="0"/>
        <w:rPr>
          <w:sz w:val="16"/>
          <w:szCs w:val="16"/>
        </w:rPr>
      </w:pPr>
      <w:r w:rsidRPr="00F402B7">
        <w:rPr>
          <w:sz w:val="16"/>
          <w:szCs w:val="16"/>
        </w:rPr>
        <w:t xml:space="preserve">30. </w:t>
      </w:r>
      <w:r w:rsidRPr="00F402B7">
        <w:rPr>
          <w:sz w:val="16"/>
          <w:szCs w:val="16"/>
        </w:rPr>
        <w:tab/>
        <w:t>Breast cancer.mp.</w:t>
      </w:r>
    </w:p>
    <w:p w:rsidR="00F402B7" w:rsidRPr="00F402B7" w:rsidRDefault="00F402B7" w:rsidP="00D009D1">
      <w:pPr>
        <w:spacing w:after="0"/>
        <w:ind w:left="0"/>
        <w:rPr>
          <w:sz w:val="16"/>
          <w:szCs w:val="16"/>
        </w:rPr>
      </w:pPr>
      <w:r w:rsidRPr="00F402B7">
        <w:rPr>
          <w:sz w:val="16"/>
          <w:szCs w:val="16"/>
        </w:rPr>
        <w:t xml:space="preserve">31. </w:t>
      </w:r>
      <w:r w:rsidRPr="00F402B7">
        <w:rPr>
          <w:sz w:val="16"/>
          <w:szCs w:val="16"/>
        </w:rPr>
        <w:tab/>
        <w:t>exp Breast Neoplasms/</w:t>
      </w:r>
    </w:p>
    <w:p w:rsidR="00F402B7" w:rsidRPr="00F402B7" w:rsidRDefault="00F402B7" w:rsidP="00D009D1">
      <w:pPr>
        <w:spacing w:after="0"/>
        <w:ind w:left="0"/>
        <w:rPr>
          <w:sz w:val="16"/>
          <w:szCs w:val="16"/>
        </w:rPr>
      </w:pPr>
      <w:r w:rsidRPr="00F402B7">
        <w:rPr>
          <w:sz w:val="16"/>
          <w:szCs w:val="16"/>
        </w:rPr>
        <w:t xml:space="preserve">32. </w:t>
      </w:r>
      <w:r w:rsidRPr="00F402B7">
        <w:rPr>
          <w:sz w:val="16"/>
          <w:szCs w:val="16"/>
        </w:rPr>
        <w:tab/>
        <w:t xml:space="preserve">Breast neoplasm.mp. </w:t>
      </w:r>
    </w:p>
    <w:p w:rsidR="00F402B7" w:rsidRPr="00F402B7" w:rsidRDefault="00F402B7" w:rsidP="00D009D1">
      <w:pPr>
        <w:spacing w:after="0"/>
        <w:ind w:left="0"/>
        <w:rPr>
          <w:sz w:val="16"/>
          <w:szCs w:val="16"/>
        </w:rPr>
      </w:pPr>
      <w:r w:rsidRPr="00F402B7">
        <w:rPr>
          <w:sz w:val="16"/>
          <w:szCs w:val="16"/>
        </w:rPr>
        <w:t xml:space="preserve">33. </w:t>
      </w:r>
      <w:r w:rsidRPr="00F402B7">
        <w:rPr>
          <w:sz w:val="16"/>
          <w:szCs w:val="16"/>
        </w:rPr>
        <w:tab/>
        <w:t xml:space="preserve">Breast neoplasia.mp. </w:t>
      </w:r>
    </w:p>
    <w:p w:rsidR="00F402B7" w:rsidRPr="00F402B7" w:rsidRDefault="00F402B7" w:rsidP="00D009D1">
      <w:pPr>
        <w:spacing w:after="0"/>
        <w:ind w:left="0"/>
        <w:rPr>
          <w:sz w:val="16"/>
          <w:szCs w:val="16"/>
        </w:rPr>
      </w:pPr>
      <w:r w:rsidRPr="00F402B7">
        <w:rPr>
          <w:sz w:val="16"/>
          <w:szCs w:val="16"/>
        </w:rPr>
        <w:t xml:space="preserve">34. </w:t>
      </w:r>
      <w:r w:rsidRPr="00F402B7">
        <w:rPr>
          <w:sz w:val="16"/>
          <w:szCs w:val="16"/>
        </w:rPr>
        <w:tab/>
        <w:t xml:space="preserve">mammary gland neoplasia.mp. </w:t>
      </w:r>
    </w:p>
    <w:p w:rsidR="00F402B7" w:rsidRPr="00F402B7" w:rsidRDefault="00F402B7" w:rsidP="00D009D1">
      <w:pPr>
        <w:spacing w:after="0"/>
        <w:ind w:left="0"/>
        <w:rPr>
          <w:sz w:val="16"/>
          <w:szCs w:val="16"/>
        </w:rPr>
      </w:pPr>
      <w:r w:rsidRPr="00F402B7">
        <w:rPr>
          <w:sz w:val="16"/>
          <w:szCs w:val="16"/>
        </w:rPr>
        <w:t xml:space="preserve">35. </w:t>
      </w:r>
      <w:r w:rsidRPr="00F402B7">
        <w:rPr>
          <w:sz w:val="16"/>
          <w:szCs w:val="16"/>
        </w:rPr>
        <w:tab/>
        <w:t xml:space="preserve">mammary gland neoplasm.mp. </w:t>
      </w:r>
    </w:p>
    <w:p w:rsidR="00F402B7" w:rsidRPr="00F402B7" w:rsidRDefault="00F402B7" w:rsidP="00D009D1">
      <w:pPr>
        <w:spacing w:after="0"/>
        <w:ind w:left="0"/>
        <w:rPr>
          <w:sz w:val="16"/>
          <w:szCs w:val="16"/>
        </w:rPr>
      </w:pPr>
      <w:r w:rsidRPr="00F402B7">
        <w:rPr>
          <w:sz w:val="16"/>
          <w:szCs w:val="16"/>
        </w:rPr>
        <w:t xml:space="preserve">36. </w:t>
      </w:r>
      <w:r w:rsidRPr="00F402B7">
        <w:rPr>
          <w:sz w:val="16"/>
          <w:szCs w:val="16"/>
        </w:rPr>
        <w:tab/>
        <w:t>exp Neoplasms, Hormone-Dependent/</w:t>
      </w:r>
    </w:p>
    <w:p w:rsidR="00F402B7" w:rsidRPr="00F402B7" w:rsidRDefault="00F402B7" w:rsidP="00D009D1">
      <w:pPr>
        <w:spacing w:after="0"/>
        <w:ind w:left="0"/>
        <w:rPr>
          <w:sz w:val="16"/>
          <w:szCs w:val="16"/>
        </w:rPr>
      </w:pPr>
      <w:r w:rsidRPr="00F402B7">
        <w:rPr>
          <w:sz w:val="16"/>
          <w:szCs w:val="16"/>
        </w:rPr>
        <w:t xml:space="preserve">37. </w:t>
      </w:r>
      <w:r w:rsidRPr="00F402B7">
        <w:rPr>
          <w:sz w:val="16"/>
          <w:szCs w:val="16"/>
        </w:rPr>
        <w:tab/>
        <w:t xml:space="preserve">ER positive cancers.mp. </w:t>
      </w:r>
    </w:p>
    <w:p w:rsidR="00F402B7" w:rsidRPr="00F402B7" w:rsidRDefault="00F402B7" w:rsidP="00D009D1">
      <w:pPr>
        <w:spacing w:after="0"/>
        <w:ind w:left="0"/>
        <w:rPr>
          <w:sz w:val="16"/>
          <w:szCs w:val="16"/>
        </w:rPr>
      </w:pPr>
      <w:r w:rsidRPr="00F402B7">
        <w:rPr>
          <w:sz w:val="16"/>
          <w:szCs w:val="16"/>
        </w:rPr>
        <w:t xml:space="preserve">38. </w:t>
      </w:r>
      <w:r w:rsidRPr="00F402B7">
        <w:rPr>
          <w:sz w:val="16"/>
          <w:szCs w:val="16"/>
        </w:rPr>
        <w:tab/>
        <w:t xml:space="preserve">Oestrogen receptor positive cancers.mp. </w:t>
      </w:r>
    </w:p>
    <w:p w:rsidR="00F402B7" w:rsidRPr="00F402B7" w:rsidRDefault="00F402B7" w:rsidP="00D009D1">
      <w:pPr>
        <w:spacing w:after="0"/>
        <w:ind w:left="0"/>
        <w:rPr>
          <w:sz w:val="16"/>
          <w:szCs w:val="16"/>
        </w:rPr>
      </w:pPr>
      <w:r w:rsidRPr="00F402B7">
        <w:rPr>
          <w:sz w:val="16"/>
          <w:szCs w:val="16"/>
        </w:rPr>
        <w:t xml:space="preserve">39. </w:t>
      </w:r>
      <w:r w:rsidRPr="00F402B7">
        <w:rPr>
          <w:sz w:val="16"/>
          <w:szCs w:val="16"/>
        </w:rPr>
        <w:tab/>
        <w:t xml:space="preserve">estrogen receptor positive cancers.mp. </w:t>
      </w:r>
    </w:p>
    <w:p w:rsidR="00F402B7" w:rsidRPr="00F402B7" w:rsidRDefault="00F402B7" w:rsidP="00D009D1">
      <w:pPr>
        <w:spacing w:after="0"/>
        <w:ind w:left="0"/>
        <w:rPr>
          <w:sz w:val="16"/>
          <w:szCs w:val="16"/>
        </w:rPr>
      </w:pPr>
      <w:r w:rsidRPr="00F402B7">
        <w:rPr>
          <w:sz w:val="16"/>
          <w:szCs w:val="16"/>
        </w:rPr>
        <w:t xml:space="preserve">40. </w:t>
      </w:r>
      <w:r w:rsidRPr="00F402B7">
        <w:rPr>
          <w:sz w:val="16"/>
          <w:szCs w:val="16"/>
        </w:rPr>
        <w:tab/>
        <w:t>breast carcinoma.mp.</w:t>
      </w:r>
    </w:p>
    <w:p w:rsidR="00F402B7" w:rsidRPr="00F402B7" w:rsidRDefault="00F402B7" w:rsidP="00D009D1">
      <w:pPr>
        <w:spacing w:after="0"/>
        <w:ind w:left="0"/>
        <w:rPr>
          <w:sz w:val="16"/>
          <w:szCs w:val="16"/>
        </w:rPr>
      </w:pPr>
      <w:r w:rsidRPr="00F402B7">
        <w:rPr>
          <w:sz w:val="16"/>
          <w:szCs w:val="16"/>
        </w:rPr>
        <w:t xml:space="preserve">41. </w:t>
      </w:r>
      <w:r w:rsidRPr="00F402B7">
        <w:rPr>
          <w:sz w:val="16"/>
          <w:szCs w:val="16"/>
        </w:rPr>
        <w:tab/>
        <w:t>30 or 31 or 32 or 33 or 34 or 35 or 36 or 37 or 38 or 39 or 40</w:t>
      </w:r>
    </w:p>
    <w:p w:rsidR="00F402B7" w:rsidRPr="00F402B7" w:rsidRDefault="00F402B7" w:rsidP="00D009D1">
      <w:pPr>
        <w:spacing w:after="0"/>
        <w:ind w:left="0"/>
        <w:rPr>
          <w:sz w:val="16"/>
          <w:szCs w:val="16"/>
        </w:rPr>
      </w:pPr>
      <w:r w:rsidRPr="00F402B7">
        <w:rPr>
          <w:sz w:val="16"/>
          <w:szCs w:val="16"/>
        </w:rPr>
        <w:t xml:space="preserve">42. </w:t>
      </w:r>
      <w:r w:rsidRPr="00F402B7">
        <w:rPr>
          <w:sz w:val="16"/>
          <w:szCs w:val="16"/>
        </w:rPr>
        <w:tab/>
        <w:t>cancer treatment induced bone loss.mp.</w:t>
      </w:r>
    </w:p>
    <w:p w:rsidR="00F402B7" w:rsidRPr="00F402B7" w:rsidRDefault="00F402B7" w:rsidP="00D009D1">
      <w:pPr>
        <w:spacing w:after="0"/>
        <w:ind w:left="0"/>
        <w:rPr>
          <w:sz w:val="16"/>
          <w:szCs w:val="16"/>
        </w:rPr>
      </w:pPr>
      <w:r w:rsidRPr="00F402B7">
        <w:rPr>
          <w:sz w:val="16"/>
          <w:szCs w:val="16"/>
        </w:rPr>
        <w:t xml:space="preserve">43. </w:t>
      </w:r>
      <w:r w:rsidRPr="00F402B7">
        <w:rPr>
          <w:sz w:val="16"/>
          <w:szCs w:val="16"/>
        </w:rPr>
        <w:tab/>
        <w:t>CTIBL.mp.</w:t>
      </w:r>
    </w:p>
    <w:p w:rsidR="00F402B7" w:rsidRPr="00F402B7" w:rsidRDefault="00F402B7" w:rsidP="00D009D1">
      <w:pPr>
        <w:spacing w:after="0"/>
        <w:ind w:left="0"/>
        <w:rPr>
          <w:sz w:val="16"/>
          <w:szCs w:val="16"/>
        </w:rPr>
      </w:pPr>
      <w:r w:rsidRPr="00F402B7">
        <w:rPr>
          <w:sz w:val="16"/>
          <w:szCs w:val="16"/>
        </w:rPr>
        <w:t xml:space="preserve">44. </w:t>
      </w:r>
      <w:r w:rsidRPr="00F402B7">
        <w:rPr>
          <w:sz w:val="16"/>
          <w:szCs w:val="16"/>
        </w:rPr>
        <w:tab/>
        <w:t xml:space="preserve">Minimal trauma fracture.mp. </w:t>
      </w:r>
    </w:p>
    <w:p w:rsidR="00F402B7" w:rsidRPr="00F402B7" w:rsidRDefault="00F402B7" w:rsidP="00D009D1">
      <w:pPr>
        <w:spacing w:after="0"/>
        <w:ind w:left="0"/>
        <w:rPr>
          <w:sz w:val="16"/>
          <w:szCs w:val="16"/>
        </w:rPr>
      </w:pPr>
      <w:r w:rsidRPr="00F402B7">
        <w:rPr>
          <w:sz w:val="16"/>
          <w:szCs w:val="16"/>
        </w:rPr>
        <w:t xml:space="preserve">45. </w:t>
      </w:r>
      <w:r w:rsidRPr="00F402B7">
        <w:rPr>
          <w:sz w:val="16"/>
          <w:szCs w:val="16"/>
        </w:rPr>
        <w:tab/>
        <w:t>exp Fractures, Bone/</w:t>
      </w:r>
    </w:p>
    <w:p w:rsidR="00F402B7" w:rsidRPr="00F402B7" w:rsidRDefault="00F402B7" w:rsidP="00D009D1">
      <w:pPr>
        <w:spacing w:after="0"/>
        <w:ind w:left="0"/>
        <w:rPr>
          <w:sz w:val="16"/>
          <w:szCs w:val="16"/>
        </w:rPr>
      </w:pPr>
      <w:r w:rsidRPr="00F402B7">
        <w:rPr>
          <w:sz w:val="16"/>
          <w:szCs w:val="16"/>
        </w:rPr>
        <w:t xml:space="preserve">46. </w:t>
      </w:r>
      <w:r w:rsidRPr="00F402B7">
        <w:rPr>
          <w:sz w:val="16"/>
          <w:szCs w:val="16"/>
        </w:rPr>
        <w:tab/>
        <w:t>Aromatase inhibitor induced bone loss.mp.</w:t>
      </w:r>
    </w:p>
    <w:p w:rsidR="00F402B7" w:rsidRPr="00F402B7" w:rsidRDefault="00F402B7" w:rsidP="00D009D1">
      <w:pPr>
        <w:spacing w:after="0"/>
        <w:ind w:left="0"/>
        <w:rPr>
          <w:sz w:val="16"/>
          <w:szCs w:val="16"/>
        </w:rPr>
      </w:pPr>
      <w:r w:rsidRPr="00F402B7">
        <w:rPr>
          <w:sz w:val="16"/>
          <w:szCs w:val="16"/>
        </w:rPr>
        <w:t xml:space="preserve">47. </w:t>
      </w:r>
      <w:r w:rsidRPr="00F402B7">
        <w:rPr>
          <w:sz w:val="16"/>
          <w:szCs w:val="16"/>
        </w:rPr>
        <w:tab/>
        <w:t>AIBL.mp.</w:t>
      </w:r>
    </w:p>
    <w:p w:rsidR="00F402B7" w:rsidRPr="00F402B7" w:rsidRDefault="00F402B7" w:rsidP="00D009D1">
      <w:pPr>
        <w:spacing w:after="0"/>
        <w:ind w:left="0"/>
        <w:rPr>
          <w:sz w:val="16"/>
          <w:szCs w:val="16"/>
        </w:rPr>
      </w:pPr>
      <w:r w:rsidRPr="00F402B7">
        <w:rPr>
          <w:sz w:val="16"/>
          <w:szCs w:val="16"/>
        </w:rPr>
        <w:t xml:space="preserve">48. </w:t>
      </w:r>
      <w:r w:rsidRPr="00F402B7">
        <w:rPr>
          <w:sz w:val="16"/>
          <w:szCs w:val="16"/>
        </w:rPr>
        <w:tab/>
        <w:t>bone fracture.mp.</w:t>
      </w:r>
    </w:p>
    <w:p w:rsidR="00F402B7" w:rsidRPr="00F402B7" w:rsidRDefault="00F402B7" w:rsidP="00D009D1">
      <w:pPr>
        <w:spacing w:after="0"/>
        <w:ind w:left="0"/>
        <w:rPr>
          <w:sz w:val="16"/>
          <w:szCs w:val="16"/>
        </w:rPr>
      </w:pPr>
      <w:r w:rsidRPr="00F402B7">
        <w:rPr>
          <w:sz w:val="16"/>
          <w:szCs w:val="16"/>
        </w:rPr>
        <w:t xml:space="preserve">49. </w:t>
      </w:r>
      <w:r w:rsidRPr="00F402B7">
        <w:rPr>
          <w:sz w:val="16"/>
          <w:szCs w:val="16"/>
        </w:rPr>
        <w:tab/>
        <w:t>bone loss.mp.</w:t>
      </w:r>
    </w:p>
    <w:p w:rsidR="00F402B7" w:rsidRPr="00F402B7" w:rsidRDefault="00F402B7" w:rsidP="00D009D1">
      <w:pPr>
        <w:spacing w:after="0"/>
        <w:ind w:left="0"/>
        <w:rPr>
          <w:sz w:val="16"/>
          <w:szCs w:val="16"/>
        </w:rPr>
      </w:pPr>
      <w:r w:rsidRPr="00F402B7">
        <w:rPr>
          <w:sz w:val="16"/>
          <w:szCs w:val="16"/>
        </w:rPr>
        <w:t xml:space="preserve">50. </w:t>
      </w:r>
      <w:r w:rsidRPr="00F402B7">
        <w:rPr>
          <w:sz w:val="16"/>
          <w:szCs w:val="16"/>
        </w:rPr>
        <w:tab/>
        <w:t>skeletal fracture.mp.</w:t>
      </w:r>
    </w:p>
    <w:p w:rsidR="00F402B7" w:rsidRPr="00F402B7" w:rsidRDefault="00F402B7" w:rsidP="00D009D1">
      <w:pPr>
        <w:spacing w:after="0"/>
        <w:ind w:left="0"/>
        <w:rPr>
          <w:sz w:val="16"/>
          <w:szCs w:val="16"/>
        </w:rPr>
      </w:pPr>
      <w:r w:rsidRPr="00F402B7">
        <w:rPr>
          <w:sz w:val="16"/>
          <w:szCs w:val="16"/>
        </w:rPr>
        <w:t xml:space="preserve">51. </w:t>
      </w:r>
      <w:r w:rsidRPr="00F402B7">
        <w:rPr>
          <w:sz w:val="16"/>
          <w:szCs w:val="16"/>
        </w:rPr>
        <w:tab/>
        <w:t>exp Bone Resorption/</w:t>
      </w:r>
    </w:p>
    <w:p w:rsidR="00F402B7" w:rsidRPr="00F402B7" w:rsidRDefault="00F402B7" w:rsidP="00D009D1">
      <w:pPr>
        <w:spacing w:after="0"/>
        <w:ind w:left="0"/>
        <w:rPr>
          <w:sz w:val="16"/>
          <w:szCs w:val="16"/>
        </w:rPr>
      </w:pPr>
      <w:r w:rsidRPr="00F402B7">
        <w:rPr>
          <w:sz w:val="16"/>
          <w:szCs w:val="16"/>
        </w:rPr>
        <w:t xml:space="preserve">52. </w:t>
      </w:r>
      <w:r w:rsidRPr="00F402B7">
        <w:rPr>
          <w:sz w:val="16"/>
          <w:szCs w:val="16"/>
        </w:rPr>
        <w:tab/>
        <w:t>Bone Resorption.mp.</w:t>
      </w:r>
    </w:p>
    <w:p w:rsidR="00F402B7" w:rsidRPr="00F402B7" w:rsidRDefault="00F402B7" w:rsidP="00D009D1">
      <w:pPr>
        <w:spacing w:after="0"/>
        <w:ind w:left="0"/>
        <w:rPr>
          <w:sz w:val="16"/>
          <w:szCs w:val="16"/>
        </w:rPr>
      </w:pPr>
      <w:r w:rsidRPr="00F402B7">
        <w:rPr>
          <w:sz w:val="16"/>
          <w:szCs w:val="16"/>
        </w:rPr>
        <w:t xml:space="preserve">53. </w:t>
      </w:r>
      <w:r w:rsidRPr="00F402B7">
        <w:rPr>
          <w:sz w:val="16"/>
          <w:szCs w:val="16"/>
        </w:rPr>
        <w:tab/>
        <w:t>42 or 43 or 44 or 45 or 46 or 47 or 48 or 49 or 50 or 51 or 52</w:t>
      </w:r>
    </w:p>
    <w:p w:rsidR="00F402B7" w:rsidRPr="00F402B7" w:rsidRDefault="00F402B7" w:rsidP="00D009D1">
      <w:pPr>
        <w:spacing w:after="0"/>
        <w:ind w:left="0"/>
        <w:rPr>
          <w:sz w:val="16"/>
          <w:szCs w:val="16"/>
        </w:rPr>
      </w:pPr>
      <w:r w:rsidRPr="00F402B7">
        <w:rPr>
          <w:sz w:val="16"/>
          <w:szCs w:val="16"/>
        </w:rPr>
        <w:t xml:space="preserve">54. </w:t>
      </w:r>
      <w:r w:rsidRPr="00F402B7">
        <w:rPr>
          <w:sz w:val="16"/>
          <w:szCs w:val="16"/>
        </w:rPr>
        <w:tab/>
        <w:t>29 and 41 and 53</w:t>
      </w:r>
    </w:p>
    <w:p w:rsidR="00F402B7" w:rsidRPr="00F402B7" w:rsidRDefault="00F402B7" w:rsidP="00D009D1">
      <w:pPr>
        <w:spacing w:after="0"/>
        <w:ind w:left="0"/>
        <w:rPr>
          <w:sz w:val="16"/>
          <w:szCs w:val="16"/>
        </w:rPr>
      </w:pPr>
      <w:r w:rsidRPr="00F402B7">
        <w:rPr>
          <w:sz w:val="16"/>
          <w:szCs w:val="16"/>
        </w:rPr>
        <w:t xml:space="preserve">55. </w:t>
      </w:r>
      <w:r w:rsidRPr="00F402B7">
        <w:rPr>
          <w:sz w:val="16"/>
          <w:szCs w:val="16"/>
        </w:rPr>
        <w:tab/>
        <w:t>limit 54 to (english language and (clinical trial, all or clinical trial or comparative study or controlled clinical trial or meta analysis or randomized controlled trial or systematic reviews))</w:t>
      </w:r>
    </w:p>
    <w:p w:rsidR="00A948CD" w:rsidRDefault="00A948CD" w:rsidP="00D009D1">
      <w:pPr>
        <w:ind w:left="0"/>
        <w:rPr>
          <w:b/>
          <w:sz w:val="16"/>
          <w:szCs w:val="16"/>
        </w:rPr>
      </w:pPr>
    </w:p>
    <w:p w:rsidR="00F402B7" w:rsidRPr="00F402B7" w:rsidRDefault="00F402B7" w:rsidP="00D009D1">
      <w:pPr>
        <w:ind w:left="0"/>
        <w:rPr>
          <w:b/>
          <w:sz w:val="16"/>
          <w:szCs w:val="16"/>
        </w:rPr>
      </w:pPr>
      <w:r w:rsidRPr="00F402B7">
        <w:rPr>
          <w:b/>
          <w:sz w:val="16"/>
          <w:szCs w:val="16"/>
        </w:rPr>
        <w:t>Cochrane Library</w:t>
      </w:r>
    </w:p>
    <w:p w:rsidR="00F402B7" w:rsidRPr="00F402B7" w:rsidRDefault="00F402B7" w:rsidP="00D009D1">
      <w:pPr>
        <w:spacing w:after="0"/>
        <w:ind w:left="0"/>
        <w:rPr>
          <w:sz w:val="16"/>
          <w:szCs w:val="16"/>
        </w:rPr>
      </w:pPr>
      <w:r w:rsidRPr="00F402B7">
        <w:rPr>
          <w:sz w:val="16"/>
          <w:szCs w:val="16"/>
        </w:rPr>
        <w:t>Search Name:</w:t>
      </w:r>
      <w:r w:rsidRPr="00F402B7">
        <w:rPr>
          <w:sz w:val="16"/>
          <w:szCs w:val="16"/>
        </w:rPr>
        <w:tab/>
        <w:t xml:space="preserve"> Risk of MTF in brca taking AI</w:t>
      </w:r>
    </w:p>
    <w:p w:rsidR="00F402B7" w:rsidRPr="00F402B7" w:rsidRDefault="00F402B7" w:rsidP="00D009D1">
      <w:pPr>
        <w:spacing w:after="0"/>
        <w:ind w:left="0"/>
        <w:rPr>
          <w:sz w:val="16"/>
          <w:szCs w:val="16"/>
        </w:rPr>
      </w:pPr>
      <w:r w:rsidRPr="00F402B7">
        <w:rPr>
          <w:sz w:val="16"/>
          <w:szCs w:val="16"/>
        </w:rPr>
        <w:t>Last Saved:</w:t>
      </w:r>
      <w:r w:rsidRPr="00F402B7">
        <w:rPr>
          <w:sz w:val="16"/>
          <w:szCs w:val="16"/>
        </w:rPr>
        <w:tab/>
        <w:t>18/02/2014 02:10:06.154</w:t>
      </w:r>
    </w:p>
    <w:p w:rsidR="00F402B7" w:rsidRPr="00F402B7" w:rsidRDefault="00F402B7" w:rsidP="00D009D1">
      <w:pPr>
        <w:spacing w:after="0"/>
        <w:ind w:left="0"/>
        <w:rPr>
          <w:sz w:val="16"/>
          <w:szCs w:val="16"/>
        </w:rPr>
      </w:pPr>
      <w:r w:rsidRPr="00F402B7">
        <w:rPr>
          <w:sz w:val="16"/>
          <w:szCs w:val="16"/>
        </w:rPr>
        <w:lastRenderedPageBreak/>
        <w:t>Description:</w:t>
      </w:r>
      <w:r w:rsidRPr="00F402B7">
        <w:rPr>
          <w:sz w:val="16"/>
          <w:szCs w:val="16"/>
        </w:rPr>
        <w:tab/>
        <w:t xml:space="preserve">Is the proposed population (women with brca taking AIs) at greater risk of minimal trauma fracture ? </w:t>
      </w:r>
    </w:p>
    <w:p w:rsidR="00F402B7" w:rsidRPr="00F402B7" w:rsidRDefault="00F402B7" w:rsidP="00D009D1">
      <w:pPr>
        <w:spacing w:after="0"/>
        <w:ind w:left="0"/>
        <w:rPr>
          <w:sz w:val="16"/>
          <w:szCs w:val="16"/>
        </w:rPr>
      </w:pPr>
    </w:p>
    <w:p w:rsidR="00F402B7" w:rsidRPr="00F402B7" w:rsidRDefault="00F402B7" w:rsidP="00D009D1">
      <w:pPr>
        <w:spacing w:after="0"/>
        <w:ind w:left="0"/>
        <w:rPr>
          <w:sz w:val="16"/>
          <w:szCs w:val="16"/>
        </w:rPr>
      </w:pPr>
      <w:r w:rsidRPr="00F402B7">
        <w:rPr>
          <w:sz w:val="16"/>
          <w:szCs w:val="16"/>
        </w:rPr>
        <w:t>ID</w:t>
      </w:r>
      <w:r w:rsidRPr="00F402B7">
        <w:rPr>
          <w:sz w:val="16"/>
          <w:szCs w:val="16"/>
        </w:rPr>
        <w:tab/>
        <w:t>Search</w:t>
      </w:r>
      <w:r w:rsidRPr="00F402B7">
        <w:rPr>
          <w:sz w:val="16"/>
          <w:szCs w:val="16"/>
        </w:rPr>
        <w:tab/>
      </w:r>
    </w:p>
    <w:p w:rsidR="00F402B7" w:rsidRPr="00F402B7" w:rsidRDefault="00F402B7" w:rsidP="00D009D1">
      <w:pPr>
        <w:spacing w:after="0"/>
        <w:ind w:left="0"/>
        <w:rPr>
          <w:sz w:val="16"/>
          <w:szCs w:val="16"/>
        </w:rPr>
      </w:pPr>
      <w:r w:rsidRPr="00F402B7">
        <w:rPr>
          <w:sz w:val="16"/>
          <w:szCs w:val="16"/>
        </w:rPr>
        <w:t>#1</w:t>
      </w:r>
      <w:r w:rsidRPr="00F402B7">
        <w:rPr>
          <w:sz w:val="16"/>
          <w:szCs w:val="16"/>
        </w:rPr>
        <w:tab/>
        <w:t>MeSH descriptor: [Aromatase Inhibitors] explode all trees</w:t>
      </w:r>
    </w:p>
    <w:p w:rsidR="00F402B7" w:rsidRPr="00F402B7" w:rsidRDefault="00F402B7" w:rsidP="00D009D1">
      <w:pPr>
        <w:spacing w:after="0"/>
        <w:ind w:left="0"/>
        <w:rPr>
          <w:sz w:val="16"/>
          <w:szCs w:val="16"/>
        </w:rPr>
      </w:pPr>
      <w:r w:rsidRPr="00F402B7">
        <w:rPr>
          <w:sz w:val="16"/>
          <w:szCs w:val="16"/>
        </w:rPr>
        <w:t>#2</w:t>
      </w:r>
      <w:r w:rsidRPr="00F402B7">
        <w:rPr>
          <w:sz w:val="16"/>
          <w:szCs w:val="16"/>
        </w:rPr>
        <w:tab/>
        <w:t>MeSH descriptor: [Aminoglutethimide] explode all trees</w:t>
      </w:r>
    </w:p>
    <w:p w:rsidR="00F402B7" w:rsidRPr="00F402B7" w:rsidRDefault="00F402B7" w:rsidP="00D009D1">
      <w:pPr>
        <w:spacing w:after="0"/>
        <w:ind w:left="0"/>
        <w:rPr>
          <w:sz w:val="16"/>
          <w:szCs w:val="16"/>
        </w:rPr>
      </w:pPr>
      <w:r w:rsidRPr="00F402B7">
        <w:rPr>
          <w:sz w:val="16"/>
          <w:szCs w:val="16"/>
        </w:rPr>
        <w:t>#3</w:t>
      </w:r>
      <w:r w:rsidRPr="00F402B7">
        <w:rPr>
          <w:sz w:val="16"/>
          <w:szCs w:val="16"/>
        </w:rPr>
        <w:tab/>
        <w:t>MeSH descriptor: [Testolactone] explode all trees</w:t>
      </w:r>
    </w:p>
    <w:p w:rsidR="00F402B7" w:rsidRPr="00F402B7" w:rsidRDefault="00F402B7" w:rsidP="00D009D1">
      <w:pPr>
        <w:spacing w:after="0"/>
        <w:ind w:left="0"/>
        <w:rPr>
          <w:sz w:val="16"/>
          <w:szCs w:val="16"/>
        </w:rPr>
      </w:pPr>
      <w:r w:rsidRPr="00F402B7">
        <w:rPr>
          <w:sz w:val="16"/>
          <w:szCs w:val="16"/>
        </w:rPr>
        <w:t>#4</w:t>
      </w:r>
      <w:r w:rsidRPr="00F402B7">
        <w:rPr>
          <w:sz w:val="16"/>
          <w:szCs w:val="16"/>
        </w:rPr>
        <w:tab/>
        <w:t>MeSH descriptor: [Fadrozole] explode all trees</w:t>
      </w:r>
    </w:p>
    <w:p w:rsidR="00F402B7" w:rsidRPr="00F402B7" w:rsidRDefault="00F402B7" w:rsidP="00D009D1">
      <w:pPr>
        <w:spacing w:after="0"/>
        <w:ind w:left="0"/>
        <w:rPr>
          <w:sz w:val="16"/>
          <w:szCs w:val="16"/>
        </w:rPr>
      </w:pPr>
      <w:r w:rsidRPr="00F402B7">
        <w:rPr>
          <w:sz w:val="16"/>
          <w:szCs w:val="16"/>
        </w:rPr>
        <w:t>#5</w:t>
      </w:r>
      <w:r w:rsidRPr="00F402B7">
        <w:rPr>
          <w:sz w:val="16"/>
          <w:szCs w:val="16"/>
        </w:rPr>
        <w:tab/>
        <w:t>MeSH descriptor: [Androstatrienes] explode all trees</w:t>
      </w:r>
    </w:p>
    <w:p w:rsidR="00F402B7" w:rsidRPr="00F402B7" w:rsidRDefault="00F402B7" w:rsidP="00D009D1">
      <w:pPr>
        <w:spacing w:after="0"/>
        <w:ind w:left="0"/>
        <w:rPr>
          <w:sz w:val="16"/>
          <w:szCs w:val="16"/>
        </w:rPr>
      </w:pPr>
      <w:r w:rsidRPr="00F402B7">
        <w:rPr>
          <w:sz w:val="16"/>
          <w:szCs w:val="16"/>
        </w:rPr>
        <w:t>#6</w:t>
      </w:r>
      <w:r w:rsidRPr="00F402B7">
        <w:rPr>
          <w:sz w:val="16"/>
          <w:szCs w:val="16"/>
        </w:rPr>
        <w:tab/>
        <w:t>MeSH descriptor: [Androstenedione] explode all trees</w:t>
      </w:r>
    </w:p>
    <w:p w:rsidR="00F402B7" w:rsidRPr="00F402B7" w:rsidRDefault="00F402B7" w:rsidP="00D009D1">
      <w:pPr>
        <w:spacing w:after="0"/>
        <w:ind w:left="0"/>
        <w:rPr>
          <w:sz w:val="16"/>
          <w:szCs w:val="16"/>
        </w:rPr>
      </w:pPr>
      <w:r w:rsidRPr="00F402B7">
        <w:rPr>
          <w:sz w:val="16"/>
          <w:szCs w:val="16"/>
        </w:rPr>
        <w:t>#7</w:t>
      </w:r>
      <w:r w:rsidRPr="00F402B7">
        <w:rPr>
          <w:sz w:val="16"/>
          <w:szCs w:val="16"/>
        </w:rPr>
        <w:tab/>
        <w:t xml:space="preserve">Aromatase inhibitors </w:t>
      </w:r>
    </w:p>
    <w:p w:rsidR="00F402B7" w:rsidRPr="00F402B7" w:rsidRDefault="00F402B7" w:rsidP="00D009D1">
      <w:pPr>
        <w:spacing w:after="0"/>
        <w:ind w:left="0"/>
        <w:rPr>
          <w:sz w:val="16"/>
          <w:szCs w:val="16"/>
        </w:rPr>
      </w:pPr>
      <w:r w:rsidRPr="00F402B7">
        <w:rPr>
          <w:sz w:val="16"/>
          <w:szCs w:val="16"/>
        </w:rPr>
        <w:t>#8</w:t>
      </w:r>
      <w:r w:rsidRPr="00F402B7">
        <w:rPr>
          <w:sz w:val="16"/>
          <w:szCs w:val="16"/>
        </w:rPr>
        <w:tab/>
        <w:t xml:space="preserve">Aminoglutethimide </w:t>
      </w:r>
    </w:p>
    <w:p w:rsidR="00F402B7" w:rsidRPr="00F402B7" w:rsidRDefault="00F402B7" w:rsidP="00D009D1">
      <w:pPr>
        <w:spacing w:after="0"/>
        <w:ind w:left="0"/>
        <w:rPr>
          <w:sz w:val="16"/>
          <w:szCs w:val="16"/>
        </w:rPr>
      </w:pPr>
      <w:r w:rsidRPr="00F402B7">
        <w:rPr>
          <w:sz w:val="16"/>
          <w:szCs w:val="16"/>
        </w:rPr>
        <w:t>#9</w:t>
      </w:r>
      <w:r w:rsidRPr="00F402B7">
        <w:rPr>
          <w:sz w:val="16"/>
          <w:szCs w:val="16"/>
        </w:rPr>
        <w:tab/>
        <w:t xml:space="preserve">Testolactone </w:t>
      </w:r>
    </w:p>
    <w:p w:rsidR="00F402B7" w:rsidRPr="00F402B7" w:rsidRDefault="00F402B7" w:rsidP="00D009D1">
      <w:pPr>
        <w:spacing w:after="0"/>
        <w:ind w:left="0"/>
        <w:rPr>
          <w:sz w:val="16"/>
          <w:szCs w:val="16"/>
        </w:rPr>
      </w:pPr>
      <w:r w:rsidRPr="00F402B7">
        <w:rPr>
          <w:sz w:val="16"/>
          <w:szCs w:val="16"/>
        </w:rPr>
        <w:t>#10</w:t>
      </w:r>
      <w:r w:rsidRPr="00F402B7">
        <w:rPr>
          <w:sz w:val="16"/>
          <w:szCs w:val="16"/>
        </w:rPr>
        <w:tab/>
        <w:t xml:space="preserve">Anastrozole </w:t>
      </w:r>
    </w:p>
    <w:p w:rsidR="00F402B7" w:rsidRPr="00F402B7" w:rsidRDefault="00F402B7" w:rsidP="00D009D1">
      <w:pPr>
        <w:spacing w:after="0"/>
        <w:ind w:left="0"/>
        <w:rPr>
          <w:sz w:val="16"/>
          <w:szCs w:val="16"/>
        </w:rPr>
      </w:pPr>
      <w:r w:rsidRPr="00F402B7">
        <w:rPr>
          <w:sz w:val="16"/>
          <w:szCs w:val="16"/>
        </w:rPr>
        <w:t>#11</w:t>
      </w:r>
      <w:r w:rsidRPr="00F402B7">
        <w:rPr>
          <w:sz w:val="16"/>
          <w:szCs w:val="16"/>
        </w:rPr>
        <w:tab/>
        <w:t xml:space="preserve">Letrozole </w:t>
      </w:r>
    </w:p>
    <w:p w:rsidR="00F402B7" w:rsidRPr="00F402B7" w:rsidRDefault="00F402B7" w:rsidP="00D009D1">
      <w:pPr>
        <w:spacing w:after="0"/>
        <w:ind w:left="0"/>
        <w:rPr>
          <w:sz w:val="16"/>
          <w:szCs w:val="16"/>
        </w:rPr>
      </w:pPr>
      <w:r w:rsidRPr="00F402B7">
        <w:rPr>
          <w:sz w:val="16"/>
          <w:szCs w:val="16"/>
        </w:rPr>
        <w:t>#12</w:t>
      </w:r>
      <w:r w:rsidRPr="00F402B7">
        <w:rPr>
          <w:sz w:val="16"/>
          <w:szCs w:val="16"/>
        </w:rPr>
        <w:tab/>
        <w:t xml:space="preserve">Exemestane </w:t>
      </w:r>
    </w:p>
    <w:p w:rsidR="00F402B7" w:rsidRPr="00F402B7" w:rsidRDefault="00F402B7" w:rsidP="00D009D1">
      <w:pPr>
        <w:spacing w:after="0"/>
        <w:ind w:left="0"/>
        <w:rPr>
          <w:sz w:val="16"/>
          <w:szCs w:val="16"/>
        </w:rPr>
      </w:pPr>
      <w:r w:rsidRPr="00F402B7">
        <w:rPr>
          <w:sz w:val="16"/>
          <w:szCs w:val="16"/>
        </w:rPr>
        <w:t>#13</w:t>
      </w:r>
      <w:r w:rsidRPr="00F402B7">
        <w:rPr>
          <w:sz w:val="16"/>
          <w:szCs w:val="16"/>
        </w:rPr>
        <w:tab/>
        <w:t xml:space="preserve">Vorozole </w:t>
      </w:r>
    </w:p>
    <w:p w:rsidR="00F402B7" w:rsidRPr="00F402B7" w:rsidRDefault="00F402B7" w:rsidP="00D009D1">
      <w:pPr>
        <w:spacing w:after="0"/>
        <w:ind w:left="0"/>
        <w:rPr>
          <w:sz w:val="16"/>
          <w:szCs w:val="16"/>
        </w:rPr>
      </w:pPr>
      <w:r w:rsidRPr="00F402B7">
        <w:rPr>
          <w:sz w:val="16"/>
          <w:szCs w:val="16"/>
        </w:rPr>
        <w:t>#14</w:t>
      </w:r>
      <w:r w:rsidRPr="00F402B7">
        <w:rPr>
          <w:sz w:val="16"/>
          <w:szCs w:val="16"/>
        </w:rPr>
        <w:tab/>
        <w:t xml:space="preserve">Formestane </w:t>
      </w:r>
    </w:p>
    <w:p w:rsidR="00F402B7" w:rsidRPr="00F402B7" w:rsidRDefault="00F402B7" w:rsidP="00D009D1">
      <w:pPr>
        <w:spacing w:after="0"/>
        <w:ind w:left="0"/>
        <w:rPr>
          <w:sz w:val="16"/>
          <w:szCs w:val="16"/>
        </w:rPr>
      </w:pPr>
      <w:r w:rsidRPr="00F402B7">
        <w:rPr>
          <w:sz w:val="16"/>
          <w:szCs w:val="16"/>
        </w:rPr>
        <w:t>#15</w:t>
      </w:r>
      <w:r w:rsidRPr="00F402B7">
        <w:rPr>
          <w:sz w:val="16"/>
          <w:szCs w:val="16"/>
        </w:rPr>
        <w:tab/>
        <w:t xml:space="preserve">Fadrozole </w:t>
      </w:r>
    </w:p>
    <w:p w:rsidR="00F402B7" w:rsidRPr="00F402B7" w:rsidRDefault="00F402B7" w:rsidP="00D009D1">
      <w:pPr>
        <w:spacing w:after="0"/>
        <w:ind w:left="0"/>
        <w:rPr>
          <w:sz w:val="16"/>
          <w:szCs w:val="16"/>
        </w:rPr>
      </w:pPr>
      <w:r w:rsidRPr="00F402B7">
        <w:rPr>
          <w:sz w:val="16"/>
          <w:szCs w:val="16"/>
        </w:rPr>
        <w:t>#16</w:t>
      </w:r>
      <w:r w:rsidRPr="00F402B7">
        <w:rPr>
          <w:sz w:val="16"/>
          <w:szCs w:val="16"/>
        </w:rPr>
        <w:tab/>
        <w:t xml:space="preserve">Hydroxyandrostenedione </w:t>
      </w:r>
    </w:p>
    <w:p w:rsidR="00F402B7" w:rsidRPr="00F402B7" w:rsidRDefault="00F402B7" w:rsidP="00D009D1">
      <w:pPr>
        <w:spacing w:after="0"/>
        <w:ind w:left="0"/>
        <w:rPr>
          <w:sz w:val="16"/>
          <w:szCs w:val="16"/>
        </w:rPr>
      </w:pPr>
      <w:r w:rsidRPr="00F402B7">
        <w:rPr>
          <w:sz w:val="16"/>
          <w:szCs w:val="16"/>
        </w:rPr>
        <w:t>#17</w:t>
      </w:r>
      <w:r w:rsidRPr="00F402B7">
        <w:rPr>
          <w:sz w:val="16"/>
          <w:szCs w:val="16"/>
        </w:rPr>
        <w:tab/>
        <w:t xml:space="preserve">Hydroxyandrostenedione </w:t>
      </w:r>
    </w:p>
    <w:p w:rsidR="00F402B7" w:rsidRPr="00F402B7" w:rsidRDefault="00F402B7" w:rsidP="00D009D1">
      <w:pPr>
        <w:spacing w:after="0"/>
        <w:ind w:left="0"/>
        <w:rPr>
          <w:sz w:val="16"/>
          <w:szCs w:val="16"/>
        </w:rPr>
      </w:pPr>
      <w:r w:rsidRPr="00F402B7">
        <w:rPr>
          <w:sz w:val="16"/>
          <w:szCs w:val="16"/>
        </w:rPr>
        <w:t>#18</w:t>
      </w:r>
      <w:r w:rsidRPr="00F402B7">
        <w:rPr>
          <w:sz w:val="16"/>
          <w:szCs w:val="16"/>
        </w:rPr>
        <w:tab/>
        <w:t xml:space="preserve">Androstatrien </w:t>
      </w:r>
    </w:p>
    <w:p w:rsidR="00F402B7" w:rsidRPr="00F402B7" w:rsidRDefault="00F402B7" w:rsidP="00D009D1">
      <w:pPr>
        <w:spacing w:after="0"/>
        <w:ind w:left="0"/>
        <w:rPr>
          <w:sz w:val="16"/>
          <w:szCs w:val="16"/>
        </w:rPr>
      </w:pPr>
      <w:r w:rsidRPr="00F402B7">
        <w:rPr>
          <w:sz w:val="16"/>
          <w:szCs w:val="16"/>
        </w:rPr>
        <w:t>#19</w:t>
      </w:r>
      <w:r w:rsidRPr="00F402B7">
        <w:rPr>
          <w:sz w:val="16"/>
          <w:szCs w:val="16"/>
        </w:rPr>
        <w:tab/>
        <w:t xml:space="preserve">Androstene </w:t>
      </w:r>
    </w:p>
    <w:p w:rsidR="00F402B7" w:rsidRPr="00F402B7" w:rsidRDefault="00F402B7" w:rsidP="00D009D1">
      <w:pPr>
        <w:spacing w:after="0"/>
        <w:ind w:left="0"/>
        <w:rPr>
          <w:sz w:val="16"/>
          <w:szCs w:val="16"/>
        </w:rPr>
      </w:pPr>
      <w:r w:rsidRPr="00F402B7">
        <w:rPr>
          <w:sz w:val="16"/>
          <w:szCs w:val="16"/>
        </w:rPr>
        <w:t>#20</w:t>
      </w:r>
      <w:r w:rsidRPr="00F402B7">
        <w:rPr>
          <w:sz w:val="16"/>
          <w:szCs w:val="16"/>
        </w:rPr>
        <w:tab/>
        <w:t xml:space="preserve">Arimidex </w:t>
      </w:r>
    </w:p>
    <w:p w:rsidR="00F402B7" w:rsidRPr="00F402B7" w:rsidRDefault="00F402B7" w:rsidP="00D009D1">
      <w:pPr>
        <w:spacing w:after="0"/>
        <w:ind w:left="0"/>
        <w:rPr>
          <w:sz w:val="16"/>
          <w:szCs w:val="16"/>
        </w:rPr>
      </w:pPr>
      <w:r w:rsidRPr="00F402B7">
        <w:rPr>
          <w:sz w:val="16"/>
          <w:szCs w:val="16"/>
        </w:rPr>
        <w:t>#21</w:t>
      </w:r>
      <w:r w:rsidRPr="00F402B7">
        <w:rPr>
          <w:sz w:val="16"/>
          <w:szCs w:val="16"/>
        </w:rPr>
        <w:tab/>
        <w:t xml:space="preserve">Femara </w:t>
      </w:r>
    </w:p>
    <w:p w:rsidR="00F402B7" w:rsidRPr="00F402B7" w:rsidRDefault="00F402B7" w:rsidP="00D009D1">
      <w:pPr>
        <w:spacing w:after="0"/>
        <w:ind w:left="0"/>
        <w:rPr>
          <w:sz w:val="16"/>
          <w:szCs w:val="16"/>
        </w:rPr>
      </w:pPr>
      <w:r w:rsidRPr="00F402B7">
        <w:rPr>
          <w:sz w:val="16"/>
          <w:szCs w:val="16"/>
        </w:rPr>
        <w:t>#22</w:t>
      </w:r>
      <w:r w:rsidRPr="00F402B7">
        <w:rPr>
          <w:sz w:val="16"/>
          <w:szCs w:val="16"/>
        </w:rPr>
        <w:tab/>
        <w:t xml:space="preserve">Aromasin </w:t>
      </w:r>
    </w:p>
    <w:p w:rsidR="00F402B7" w:rsidRPr="00F402B7" w:rsidRDefault="00F402B7" w:rsidP="00D009D1">
      <w:pPr>
        <w:spacing w:after="0"/>
        <w:ind w:left="0"/>
        <w:rPr>
          <w:sz w:val="16"/>
          <w:szCs w:val="16"/>
        </w:rPr>
      </w:pPr>
      <w:r w:rsidRPr="00F402B7">
        <w:rPr>
          <w:sz w:val="16"/>
          <w:szCs w:val="16"/>
        </w:rPr>
        <w:t>#23</w:t>
      </w:r>
      <w:r w:rsidRPr="00F402B7">
        <w:rPr>
          <w:sz w:val="16"/>
          <w:szCs w:val="16"/>
        </w:rPr>
        <w:tab/>
        <w:t xml:space="preserve">Rivizor </w:t>
      </w:r>
    </w:p>
    <w:p w:rsidR="00F402B7" w:rsidRPr="00F402B7" w:rsidRDefault="00F402B7" w:rsidP="00D009D1">
      <w:pPr>
        <w:spacing w:after="0"/>
        <w:ind w:left="0"/>
        <w:rPr>
          <w:sz w:val="16"/>
          <w:szCs w:val="16"/>
        </w:rPr>
      </w:pPr>
      <w:r w:rsidRPr="00F402B7">
        <w:rPr>
          <w:sz w:val="16"/>
          <w:szCs w:val="16"/>
        </w:rPr>
        <w:t>#24</w:t>
      </w:r>
      <w:r w:rsidRPr="00F402B7">
        <w:rPr>
          <w:sz w:val="16"/>
          <w:szCs w:val="16"/>
        </w:rPr>
        <w:tab/>
        <w:t xml:space="preserve">Formestane </w:t>
      </w:r>
    </w:p>
    <w:p w:rsidR="00F402B7" w:rsidRPr="00F402B7" w:rsidRDefault="00F402B7" w:rsidP="00D009D1">
      <w:pPr>
        <w:spacing w:after="0"/>
        <w:ind w:left="0"/>
        <w:rPr>
          <w:sz w:val="16"/>
          <w:szCs w:val="16"/>
        </w:rPr>
      </w:pPr>
      <w:r w:rsidRPr="00F402B7">
        <w:rPr>
          <w:sz w:val="16"/>
          <w:szCs w:val="16"/>
        </w:rPr>
        <w:t>#25</w:t>
      </w:r>
      <w:r w:rsidRPr="00F402B7">
        <w:rPr>
          <w:sz w:val="16"/>
          <w:szCs w:val="16"/>
        </w:rPr>
        <w:tab/>
        <w:t xml:space="preserve">Lentaron </w:t>
      </w:r>
    </w:p>
    <w:p w:rsidR="00F402B7" w:rsidRPr="00F402B7" w:rsidRDefault="00F402B7" w:rsidP="00D009D1">
      <w:pPr>
        <w:spacing w:after="0"/>
        <w:ind w:left="0"/>
        <w:rPr>
          <w:sz w:val="16"/>
          <w:szCs w:val="16"/>
        </w:rPr>
      </w:pPr>
      <w:r w:rsidRPr="00F402B7">
        <w:rPr>
          <w:sz w:val="16"/>
          <w:szCs w:val="16"/>
        </w:rPr>
        <w:t>#26</w:t>
      </w:r>
      <w:r w:rsidRPr="00F402B7">
        <w:rPr>
          <w:sz w:val="16"/>
          <w:szCs w:val="16"/>
        </w:rPr>
        <w:tab/>
        <w:t xml:space="preserve">Afema </w:t>
      </w:r>
    </w:p>
    <w:p w:rsidR="00F402B7" w:rsidRPr="00F402B7" w:rsidRDefault="00F402B7" w:rsidP="00D009D1">
      <w:pPr>
        <w:spacing w:after="0"/>
        <w:ind w:left="0"/>
        <w:rPr>
          <w:sz w:val="16"/>
          <w:szCs w:val="16"/>
        </w:rPr>
      </w:pPr>
      <w:r w:rsidRPr="00F402B7">
        <w:rPr>
          <w:sz w:val="16"/>
          <w:szCs w:val="16"/>
        </w:rPr>
        <w:t>#27</w:t>
      </w:r>
      <w:r w:rsidRPr="00F402B7">
        <w:rPr>
          <w:sz w:val="16"/>
          <w:szCs w:val="16"/>
        </w:rPr>
        <w:tab/>
        <w:t xml:space="preserve">Teslac </w:t>
      </w:r>
    </w:p>
    <w:p w:rsidR="00F402B7" w:rsidRPr="00F402B7" w:rsidRDefault="00F402B7" w:rsidP="00D009D1">
      <w:pPr>
        <w:spacing w:after="0"/>
        <w:ind w:left="0"/>
        <w:rPr>
          <w:sz w:val="16"/>
          <w:szCs w:val="16"/>
        </w:rPr>
      </w:pPr>
      <w:r w:rsidRPr="00F402B7">
        <w:rPr>
          <w:sz w:val="16"/>
          <w:szCs w:val="16"/>
        </w:rPr>
        <w:t>#28</w:t>
      </w:r>
      <w:r w:rsidRPr="00F402B7">
        <w:rPr>
          <w:sz w:val="16"/>
          <w:szCs w:val="16"/>
        </w:rPr>
        <w:tab/>
        <w:t xml:space="preserve">ATD </w:t>
      </w:r>
    </w:p>
    <w:p w:rsidR="00F402B7" w:rsidRPr="00F402B7" w:rsidRDefault="00F402B7" w:rsidP="00D009D1">
      <w:pPr>
        <w:spacing w:after="0"/>
        <w:ind w:left="0"/>
        <w:rPr>
          <w:sz w:val="16"/>
          <w:szCs w:val="16"/>
        </w:rPr>
      </w:pPr>
      <w:r w:rsidRPr="00F402B7">
        <w:rPr>
          <w:sz w:val="16"/>
          <w:szCs w:val="16"/>
        </w:rPr>
        <w:t>#29</w:t>
      </w:r>
      <w:r w:rsidRPr="00F402B7">
        <w:rPr>
          <w:sz w:val="16"/>
          <w:szCs w:val="16"/>
        </w:rPr>
        <w:tab/>
        <w:t xml:space="preserve">OXO-6 </w:t>
      </w:r>
    </w:p>
    <w:p w:rsidR="00F402B7" w:rsidRPr="00F402B7" w:rsidRDefault="00F402B7" w:rsidP="00D009D1">
      <w:pPr>
        <w:spacing w:after="0"/>
        <w:ind w:left="0"/>
        <w:rPr>
          <w:sz w:val="16"/>
          <w:szCs w:val="16"/>
        </w:rPr>
      </w:pPr>
      <w:r w:rsidRPr="00F402B7">
        <w:rPr>
          <w:sz w:val="16"/>
          <w:szCs w:val="16"/>
        </w:rPr>
        <w:t>#30</w:t>
      </w:r>
      <w:r w:rsidRPr="00F402B7">
        <w:rPr>
          <w:sz w:val="16"/>
          <w:szCs w:val="16"/>
        </w:rPr>
        <w:tab/>
        <w:t xml:space="preserve">#1 or #2 or #3 or #4 or #5 or #6 or #7 or #8 or #9 or #10 or #11 or #12 or #13 or #14 or #15 or #16 or #17 or #18 or #19 or #20 or #21 or #22 or #23 or #24 or #25 or #26 or #27 or #28 or #29 </w:t>
      </w:r>
    </w:p>
    <w:p w:rsidR="00F402B7" w:rsidRPr="00F402B7" w:rsidRDefault="00F402B7" w:rsidP="00D009D1">
      <w:pPr>
        <w:spacing w:after="0"/>
        <w:ind w:left="0"/>
        <w:rPr>
          <w:sz w:val="16"/>
          <w:szCs w:val="16"/>
        </w:rPr>
      </w:pPr>
      <w:r w:rsidRPr="00F402B7">
        <w:rPr>
          <w:sz w:val="16"/>
          <w:szCs w:val="16"/>
        </w:rPr>
        <w:t>#31</w:t>
      </w:r>
      <w:r w:rsidRPr="00F402B7">
        <w:rPr>
          <w:sz w:val="16"/>
          <w:szCs w:val="16"/>
        </w:rPr>
        <w:tab/>
        <w:t xml:space="preserve">Breast cancer </w:t>
      </w:r>
    </w:p>
    <w:p w:rsidR="00F402B7" w:rsidRPr="00F402B7" w:rsidRDefault="00F402B7" w:rsidP="00D009D1">
      <w:pPr>
        <w:spacing w:after="0"/>
        <w:ind w:left="0"/>
        <w:rPr>
          <w:sz w:val="16"/>
          <w:szCs w:val="16"/>
        </w:rPr>
      </w:pPr>
      <w:r w:rsidRPr="00F402B7">
        <w:rPr>
          <w:sz w:val="16"/>
          <w:szCs w:val="16"/>
        </w:rPr>
        <w:t>#32</w:t>
      </w:r>
      <w:r w:rsidRPr="00F402B7">
        <w:rPr>
          <w:sz w:val="16"/>
          <w:szCs w:val="16"/>
        </w:rPr>
        <w:tab/>
        <w:t xml:space="preserve">Breast neoplasm </w:t>
      </w:r>
    </w:p>
    <w:p w:rsidR="00F402B7" w:rsidRPr="00F402B7" w:rsidRDefault="00F402B7" w:rsidP="00D009D1">
      <w:pPr>
        <w:spacing w:after="0"/>
        <w:ind w:left="0"/>
        <w:rPr>
          <w:sz w:val="16"/>
          <w:szCs w:val="16"/>
        </w:rPr>
      </w:pPr>
      <w:r w:rsidRPr="00F402B7">
        <w:rPr>
          <w:sz w:val="16"/>
          <w:szCs w:val="16"/>
        </w:rPr>
        <w:t>#33</w:t>
      </w:r>
      <w:r w:rsidRPr="00F402B7">
        <w:rPr>
          <w:sz w:val="16"/>
          <w:szCs w:val="16"/>
        </w:rPr>
        <w:tab/>
        <w:t xml:space="preserve">Breast neoplasia </w:t>
      </w:r>
    </w:p>
    <w:p w:rsidR="00F402B7" w:rsidRPr="00F402B7" w:rsidRDefault="00F402B7" w:rsidP="00D009D1">
      <w:pPr>
        <w:spacing w:after="0"/>
        <w:ind w:left="0"/>
        <w:rPr>
          <w:sz w:val="16"/>
          <w:szCs w:val="16"/>
        </w:rPr>
      </w:pPr>
      <w:r w:rsidRPr="00F402B7">
        <w:rPr>
          <w:sz w:val="16"/>
          <w:szCs w:val="16"/>
        </w:rPr>
        <w:t>#34</w:t>
      </w:r>
      <w:r w:rsidRPr="00F402B7">
        <w:rPr>
          <w:sz w:val="16"/>
          <w:szCs w:val="16"/>
        </w:rPr>
        <w:tab/>
        <w:t xml:space="preserve">mammary gland neoplasia </w:t>
      </w:r>
    </w:p>
    <w:p w:rsidR="00F402B7" w:rsidRPr="00F402B7" w:rsidRDefault="00F402B7" w:rsidP="00D009D1">
      <w:pPr>
        <w:spacing w:after="0"/>
        <w:ind w:left="0"/>
        <w:rPr>
          <w:sz w:val="16"/>
          <w:szCs w:val="16"/>
        </w:rPr>
      </w:pPr>
      <w:r w:rsidRPr="00F402B7">
        <w:rPr>
          <w:sz w:val="16"/>
          <w:szCs w:val="16"/>
        </w:rPr>
        <w:t>#35</w:t>
      </w:r>
      <w:r w:rsidRPr="00F402B7">
        <w:rPr>
          <w:sz w:val="16"/>
          <w:szCs w:val="16"/>
        </w:rPr>
        <w:tab/>
        <w:t xml:space="preserve">mammary gland neoplasm </w:t>
      </w:r>
    </w:p>
    <w:p w:rsidR="00F402B7" w:rsidRPr="00F402B7" w:rsidRDefault="00F402B7" w:rsidP="00D009D1">
      <w:pPr>
        <w:spacing w:after="0"/>
        <w:ind w:left="0"/>
        <w:rPr>
          <w:sz w:val="16"/>
          <w:szCs w:val="16"/>
        </w:rPr>
      </w:pPr>
      <w:r w:rsidRPr="00F402B7">
        <w:rPr>
          <w:sz w:val="16"/>
          <w:szCs w:val="16"/>
        </w:rPr>
        <w:t>#36</w:t>
      </w:r>
      <w:r w:rsidRPr="00F402B7">
        <w:rPr>
          <w:sz w:val="16"/>
          <w:szCs w:val="16"/>
        </w:rPr>
        <w:tab/>
        <w:t xml:space="preserve">Hormone Dependent Neoplasms </w:t>
      </w:r>
    </w:p>
    <w:p w:rsidR="00F402B7" w:rsidRPr="00F402B7" w:rsidRDefault="00F402B7" w:rsidP="00D009D1">
      <w:pPr>
        <w:spacing w:after="0"/>
        <w:ind w:left="0"/>
        <w:rPr>
          <w:sz w:val="16"/>
          <w:szCs w:val="16"/>
        </w:rPr>
      </w:pPr>
      <w:r w:rsidRPr="00F402B7">
        <w:rPr>
          <w:sz w:val="16"/>
          <w:szCs w:val="16"/>
        </w:rPr>
        <w:t>#37</w:t>
      </w:r>
      <w:r w:rsidRPr="00F402B7">
        <w:rPr>
          <w:sz w:val="16"/>
          <w:szCs w:val="16"/>
        </w:rPr>
        <w:tab/>
        <w:t xml:space="preserve">ER positive cancers </w:t>
      </w:r>
    </w:p>
    <w:p w:rsidR="00F402B7" w:rsidRPr="00F402B7" w:rsidRDefault="00F402B7" w:rsidP="00D009D1">
      <w:pPr>
        <w:spacing w:after="0"/>
        <w:ind w:left="0"/>
        <w:rPr>
          <w:sz w:val="16"/>
          <w:szCs w:val="16"/>
        </w:rPr>
      </w:pPr>
      <w:r w:rsidRPr="00F402B7">
        <w:rPr>
          <w:sz w:val="16"/>
          <w:szCs w:val="16"/>
        </w:rPr>
        <w:t>#38</w:t>
      </w:r>
      <w:r w:rsidRPr="00F402B7">
        <w:rPr>
          <w:sz w:val="16"/>
          <w:szCs w:val="16"/>
        </w:rPr>
        <w:tab/>
        <w:t xml:space="preserve">Oestrogen receptor positive cancers </w:t>
      </w:r>
    </w:p>
    <w:p w:rsidR="00F402B7" w:rsidRPr="00F402B7" w:rsidRDefault="00F402B7" w:rsidP="00D009D1">
      <w:pPr>
        <w:spacing w:after="0"/>
        <w:ind w:left="0"/>
        <w:rPr>
          <w:sz w:val="16"/>
          <w:szCs w:val="16"/>
        </w:rPr>
      </w:pPr>
      <w:r w:rsidRPr="00F402B7">
        <w:rPr>
          <w:sz w:val="16"/>
          <w:szCs w:val="16"/>
        </w:rPr>
        <w:t>#39</w:t>
      </w:r>
      <w:r w:rsidRPr="00F402B7">
        <w:rPr>
          <w:sz w:val="16"/>
          <w:szCs w:val="16"/>
        </w:rPr>
        <w:tab/>
        <w:t xml:space="preserve">estrogen receptor positive cancers </w:t>
      </w:r>
    </w:p>
    <w:p w:rsidR="00F402B7" w:rsidRPr="00F402B7" w:rsidRDefault="00F402B7" w:rsidP="00D009D1">
      <w:pPr>
        <w:spacing w:after="0"/>
        <w:ind w:left="0"/>
        <w:rPr>
          <w:sz w:val="16"/>
          <w:szCs w:val="16"/>
        </w:rPr>
      </w:pPr>
      <w:r w:rsidRPr="00F402B7">
        <w:rPr>
          <w:sz w:val="16"/>
          <w:szCs w:val="16"/>
        </w:rPr>
        <w:t>#40</w:t>
      </w:r>
      <w:r w:rsidRPr="00F402B7">
        <w:rPr>
          <w:sz w:val="16"/>
          <w:szCs w:val="16"/>
        </w:rPr>
        <w:tab/>
        <w:t xml:space="preserve">breast carcinoma </w:t>
      </w:r>
    </w:p>
    <w:p w:rsidR="00F402B7" w:rsidRPr="00F402B7" w:rsidRDefault="00F402B7" w:rsidP="00D009D1">
      <w:pPr>
        <w:spacing w:after="0"/>
        <w:ind w:left="0"/>
        <w:rPr>
          <w:sz w:val="16"/>
          <w:szCs w:val="16"/>
        </w:rPr>
      </w:pPr>
      <w:r w:rsidRPr="00F402B7">
        <w:rPr>
          <w:sz w:val="16"/>
          <w:szCs w:val="16"/>
        </w:rPr>
        <w:t>#41</w:t>
      </w:r>
      <w:r w:rsidRPr="00F402B7">
        <w:rPr>
          <w:sz w:val="16"/>
          <w:szCs w:val="16"/>
        </w:rPr>
        <w:tab/>
        <w:t>MeSH descriptor: [Breast Neoplasms] explode all trees</w:t>
      </w:r>
    </w:p>
    <w:p w:rsidR="00F402B7" w:rsidRPr="00F402B7" w:rsidRDefault="00F402B7" w:rsidP="00D009D1">
      <w:pPr>
        <w:spacing w:after="0"/>
        <w:ind w:left="0"/>
        <w:rPr>
          <w:sz w:val="16"/>
          <w:szCs w:val="16"/>
        </w:rPr>
      </w:pPr>
      <w:r w:rsidRPr="00F402B7">
        <w:rPr>
          <w:sz w:val="16"/>
          <w:szCs w:val="16"/>
        </w:rPr>
        <w:t>#42</w:t>
      </w:r>
      <w:r w:rsidRPr="00F402B7">
        <w:rPr>
          <w:sz w:val="16"/>
          <w:szCs w:val="16"/>
        </w:rPr>
        <w:tab/>
        <w:t>MeSH descriptor: [Neoplasms, Hormone-Dependent] explode all trees</w:t>
      </w:r>
    </w:p>
    <w:p w:rsidR="00F402B7" w:rsidRPr="00F402B7" w:rsidRDefault="00F402B7" w:rsidP="00D009D1">
      <w:pPr>
        <w:spacing w:after="0"/>
        <w:ind w:left="0"/>
        <w:rPr>
          <w:sz w:val="16"/>
          <w:szCs w:val="16"/>
        </w:rPr>
      </w:pPr>
      <w:r w:rsidRPr="00F402B7">
        <w:rPr>
          <w:sz w:val="16"/>
          <w:szCs w:val="16"/>
        </w:rPr>
        <w:t>#43</w:t>
      </w:r>
      <w:r w:rsidRPr="00F402B7">
        <w:rPr>
          <w:sz w:val="16"/>
          <w:szCs w:val="16"/>
        </w:rPr>
        <w:tab/>
        <w:t xml:space="preserve">#31 or #32 or #33 or #34 or #35 or #36 or #37 or #38 or #39 or #40 or #41 or #42 </w:t>
      </w:r>
    </w:p>
    <w:p w:rsidR="00F402B7" w:rsidRPr="00F402B7" w:rsidRDefault="00F402B7" w:rsidP="00D009D1">
      <w:pPr>
        <w:spacing w:after="0"/>
        <w:ind w:left="0"/>
        <w:rPr>
          <w:sz w:val="16"/>
          <w:szCs w:val="16"/>
        </w:rPr>
      </w:pPr>
      <w:r w:rsidRPr="00F402B7">
        <w:rPr>
          <w:sz w:val="16"/>
          <w:szCs w:val="16"/>
        </w:rPr>
        <w:t>#44</w:t>
      </w:r>
      <w:r w:rsidRPr="00F402B7">
        <w:rPr>
          <w:sz w:val="16"/>
          <w:szCs w:val="16"/>
        </w:rPr>
        <w:tab/>
        <w:t xml:space="preserve">cancer treatment induced bone loss </w:t>
      </w:r>
    </w:p>
    <w:p w:rsidR="00F402B7" w:rsidRPr="00F402B7" w:rsidRDefault="00F402B7" w:rsidP="00D009D1">
      <w:pPr>
        <w:spacing w:after="0"/>
        <w:ind w:left="0"/>
        <w:rPr>
          <w:sz w:val="16"/>
          <w:szCs w:val="16"/>
        </w:rPr>
      </w:pPr>
      <w:r w:rsidRPr="00F402B7">
        <w:rPr>
          <w:sz w:val="16"/>
          <w:szCs w:val="16"/>
        </w:rPr>
        <w:t>#45</w:t>
      </w:r>
      <w:r w:rsidRPr="00F402B7">
        <w:rPr>
          <w:sz w:val="16"/>
          <w:szCs w:val="16"/>
        </w:rPr>
        <w:tab/>
        <w:t xml:space="preserve">CTIBL </w:t>
      </w:r>
    </w:p>
    <w:p w:rsidR="00F402B7" w:rsidRPr="00F402B7" w:rsidRDefault="00F402B7" w:rsidP="00D009D1">
      <w:pPr>
        <w:spacing w:after="0"/>
        <w:ind w:left="0"/>
        <w:rPr>
          <w:sz w:val="16"/>
          <w:szCs w:val="16"/>
        </w:rPr>
      </w:pPr>
      <w:r w:rsidRPr="00F402B7">
        <w:rPr>
          <w:sz w:val="16"/>
          <w:szCs w:val="16"/>
        </w:rPr>
        <w:t>#46</w:t>
      </w:r>
      <w:r w:rsidRPr="00F402B7">
        <w:rPr>
          <w:sz w:val="16"/>
          <w:szCs w:val="16"/>
        </w:rPr>
        <w:tab/>
        <w:t xml:space="preserve">Minimal trauma fracture </w:t>
      </w:r>
    </w:p>
    <w:p w:rsidR="00F402B7" w:rsidRPr="00F402B7" w:rsidRDefault="00F402B7" w:rsidP="00D009D1">
      <w:pPr>
        <w:spacing w:after="0"/>
        <w:ind w:left="0"/>
        <w:rPr>
          <w:sz w:val="16"/>
          <w:szCs w:val="16"/>
        </w:rPr>
      </w:pPr>
      <w:r w:rsidRPr="00F402B7">
        <w:rPr>
          <w:sz w:val="16"/>
          <w:szCs w:val="16"/>
        </w:rPr>
        <w:t>#47</w:t>
      </w:r>
      <w:r w:rsidRPr="00F402B7">
        <w:rPr>
          <w:sz w:val="16"/>
          <w:szCs w:val="16"/>
        </w:rPr>
        <w:tab/>
        <w:t xml:space="preserve">Aromatase inhibitor induced bone loss </w:t>
      </w:r>
    </w:p>
    <w:p w:rsidR="00F402B7" w:rsidRPr="00F402B7" w:rsidRDefault="00F402B7" w:rsidP="00D009D1">
      <w:pPr>
        <w:spacing w:after="0"/>
        <w:ind w:left="0"/>
        <w:rPr>
          <w:sz w:val="16"/>
          <w:szCs w:val="16"/>
        </w:rPr>
      </w:pPr>
      <w:r w:rsidRPr="00F402B7">
        <w:rPr>
          <w:sz w:val="16"/>
          <w:szCs w:val="16"/>
        </w:rPr>
        <w:t>#48</w:t>
      </w:r>
      <w:r w:rsidRPr="00F402B7">
        <w:rPr>
          <w:sz w:val="16"/>
          <w:szCs w:val="16"/>
        </w:rPr>
        <w:tab/>
        <w:t xml:space="preserve">AIBL </w:t>
      </w:r>
    </w:p>
    <w:p w:rsidR="00F402B7" w:rsidRPr="00F402B7" w:rsidRDefault="00F402B7" w:rsidP="00D009D1">
      <w:pPr>
        <w:spacing w:after="0"/>
        <w:ind w:left="0"/>
        <w:rPr>
          <w:sz w:val="16"/>
          <w:szCs w:val="16"/>
        </w:rPr>
      </w:pPr>
      <w:r w:rsidRPr="00F402B7">
        <w:rPr>
          <w:sz w:val="16"/>
          <w:szCs w:val="16"/>
        </w:rPr>
        <w:t>#49</w:t>
      </w:r>
      <w:r w:rsidRPr="00F402B7">
        <w:rPr>
          <w:sz w:val="16"/>
          <w:szCs w:val="16"/>
        </w:rPr>
        <w:tab/>
        <w:t xml:space="preserve">bone fracture </w:t>
      </w:r>
    </w:p>
    <w:p w:rsidR="00F402B7" w:rsidRPr="00F402B7" w:rsidRDefault="00F402B7" w:rsidP="00D009D1">
      <w:pPr>
        <w:spacing w:after="0"/>
        <w:ind w:left="0"/>
        <w:rPr>
          <w:sz w:val="16"/>
          <w:szCs w:val="16"/>
        </w:rPr>
      </w:pPr>
      <w:r w:rsidRPr="00F402B7">
        <w:rPr>
          <w:sz w:val="16"/>
          <w:szCs w:val="16"/>
        </w:rPr>
        <w:t>#50</w:t>
      </w:r>
      <w:r w:rsidRPr="00F402B7">
        <w:rPr>
          <w:sz w:val="16"/>
          <w:szCs w:val="16"/>
        </w:rPr>
        <w:tab/>
        <w:t xml:space="preserve">bone loss </w:t>
      </w:r>
    </w:p>
    <w:p w:rsidR="00F402B7" w:rsidRPr="00F402B7" w:rsidRDefault="00F402B7" w:rsidP="00D009D1">
      <w:pPr>
        <w:spacing w:after="0"/>
        <w:ind w:left="0"/>
        <w:rPr>
          <w:sz w:val="16"/>
          <w:szCs w:val="16"/>
        </w:rPr>
      </w:pPr>
      <w:r w:rsidRPr="00F402B7">
        <w:rPr>
          <w:sz w:val="16"/>
          <w:szCs w:val="16"/>
        </w:rPr>
        <w:t>#51</w:t>
      </w:r>
      <w:r w:rsidRPr="00F402B7">
        <w:rPr>
          <w:sz w:val="16"/>
          <w:szCs w:val="16"/>
        </w:rPr>
        <w:tab/>
        <w:t xml:space="preserve">skeletal fracture </w:t>
      </w:r>
    </w:p>
    <w:p w:rsidR="00F402B7" w:rsidRPr="00F402B7" w:rsidRDefault="00F402B7" w:rsidP="00D009D1">
      <w:pPr>
        <w:spacing w:after="0"/>
        <w:ind w:left="0"/>
        <w:rPr>
          <w:sz w:val="16"/>
          <w:szCs w:val="16"/>
        </w:rPr>
      </w:pPr>
      <w:r w:rsidRPr="00F402B7">
        <w:rPr>
          <w:sz w:val="16"/>
          <w:szCs w:val="16"/>
        </w:rPr>
        <w:t>#52</w:t>
      </w:r>
      <w:r w:rsidRPr="00F402B7">
        <w:rPr>
          <w:sz w:val="16"/>
          <w:szCs w:val="16"/>
        </w:rPr>
        <w:tab/>
        <w:t xml:space="preserve">Bone Resorption </w:t>
      </w:r>
    </w:p>
    <w:p w:rsidR="00F402B7" w:rsidRPr="00F402B7" w:rsidRDefault="00F402B7" w:rsidP="00D009D1">
      <w:pPr>
        <w:spacing w:after="0"/>
        <w:ind w:left="0"/>
        <w:rPr>
          <w:sz w:val="16"/>
          <w:szCs w:val="16"/>
        </w:rPr>
      </w:pPr>
      <w:r w:rsidRPr="00F402B7">
        <w:rPr>
          <w:sz w:val="16"/>
          <w:szCs w:val="16"/>
        </w:rPr>
        <w:t>#53</w:t>
      </w:r>
      <w:r w:rsidRPr="00F402B7">
        <w:rPr>
          <w:sz w:val="16"/>
          <w:szCs w:val="16"/>
        </w:rPr>
        <w:tab/>
        <w:t>MeSH descriptor: [Fractures, Bone] explode all trees</w:t>
      </w:r>
    </w:p>
    <w:p w:rsidR="00F402B7" w:rsidRPr="00F402B7" w:rsidRDefault="00F402B7" w:rsidP="00D009D1">
      <w:pPr>
        <w:spacing w:after="0"/>
        <w:ind w:left="0"/>
        <w:rPr>
          <w:sz w:val="16"/>
          <w:szCs w:val="16"/>
        </w:rPr>
      </w:pPr>
      <w:r w:rsidRPr="00F402B7">
        <w:rPr>
          <w:sz w:val="16"/>
          <w:szCs w:val="16"/>
        </w:rPr>
        <w:t>#54</w:t>
      </w:r>
      <w:r w:rsidRPr="00F402B7">
        <w:rPr>
          <w:sz w:val="16"/>
          <w:szCs w:val="16"/>
        </w:rPr>
        <w:tab/>
        <w:t>MeSH descriptor: [Bone Resorption] explode all trees</w:t>
      </w:r>
    </w:p>
    <w:p w:rsidR="00F402B7" w:rsidRPr="00F402B7" w:rsidRDefault="00F402B7" w:rsidP="00D009D1">
      <w:pPr>
        <w:spacing w:after="0"/>
        <w:ind w:left="0"/>
        <w:rPr>
          <w:sz w:val="16"/>
          <w:szCs w:val="16"/>
        </w:rPr>
      </w:pPr>
      <w:r w:rsidRPr="00F402B7">
        <w:rPr>
          <w:sz w:val="16"/>
          <w:szCs w:val="16"/>
        </w:rPr>
        <w:t>#55</w:t>
      </w:r>
      <w:r w:rsidRPr="00F402B7">
        <w:rPr>
          <w:sz w:val="16"/>
          <w:szCs w:val="16"/>
        </w:rPr>
        <w:tab/>
        <w:t xml:space="preserve">#44 or #45 or #46 or #47 or #48 or #49 or #50 or #51 or #52 or #53 or #54 </w:t>
      </w:r>
    </w:p>
    <w:p w:rsidR="00F402B7" w:rsidRPr="00F402B7" w:rsidRDefault="00F402B7" w:rsidP="00D009D1">
      <w:pPr>
        <w:spacing w:after="0"/>
        <w:ind w:left="0"/>
        <w:rPr>
          <w:sz w:val="16"/>
          <w:szCs w:val="16"/>
        </w:rPr>
      </w:pPr>
      <w:r w:rsidRPr="00F402B7">
        <w:rPr>
          <w:sz w:val="16"/>
          <w:szCs w:val="16"/>
        </w:rPr>
        <w:t>#56</w:t>
      </w:r>
      <w:r w:rsidRPr="00F402B7">
        <w:rPr>
          <w:sz w:val="16"/>
          <w:szCs w:val="16"/>
        </w:rPr>
        <w:tab/>
        <w:t>#30 and #43 and #55</w:t>
      </w:r>
    </w:p>
    <w:p w:rsidR="00F402B7" w:rsidRPr="00F402B7" w:rsidRDefault="00F402B7" w:rsidP="00D009D1">
      <w:pPr>
        <w:spacing w:after="0"/>
        <w:ind w:left="0"/>
        <w:rPr>
          <w:sz w:val="16"/>
          <w:szCs w:val="16"/>
        </w:rPr>
      </w:pPr>
    </w:p>
    <w:p w:rsidR="00F402B7" w:rsidRPr="00F402B7" w:rsidRDefault="00F402B7" w:rsidP="00D009D1">
      <w:pPr>
        <w:spacing w:after="0"/>
        <w:ind w:left="0"/>
        <w:rPr>
          <w:b/>
          <w:sz w:val="16"/>
          <w:szCs w:val="16"/>
        </w:rPr>
      </w:pPr>
      <w:r w:rsidRPr="00F402B7">
        <w:rPr>
          <w:b/>
          <w:sz w:val="16"/>
          <w:szCs w:val="16"/>
        </w:rPr>
        <w:t>CRD</w:t>
      </w:r>
    </w:p>
    <w:p w:rsidR="00F402B7" w:rsidRPr="00F402B7" w:rsidRDefault="00F402B7" w:rsidP="00D009D1">
      <w:pPr>
        <w:spacing w:after="0"/>
        <w:ind w:left="0"/>
        <w:rPr>
          <w:sz w:val="16"/>
          <w:szCs w:val="16"/>
        </w:rPr>
      </w:pPr>
      <w:r w:rsidRPr="00F402B7">
        <w:rPr>
          <w:sz w:val="16"/>
          <w:szCs w:val="16"/>
        </w:rPr>
        <w:t>#### Risk of MTF in brca taking AI</w:t>
      </w:r>
    </w:p>
    <w:p w:rsidR="00F402B7" w:rsidRPr="00F402B7" w:rsidRDefault="00F402B7" w:rsidP="00D009D1">
      <w:pPr>
        <w:spacing w:after="0"/>
        <w:ind w:left="0"/>
        <w:rPr>
          <w:sz w:val="16"/>
          <w:szCs w:val="16"/>
        </w:rPr>
      </w:pPr>
      <w:r w:rsidRPr="00F402B7">
        <w:rPr>
          <w:sz w:val="16"/>
          <w:szCs w:val="16"/>
        </w:rPr>
        <w:t xml:space="preserve">1 </w:t>
      </w:r>
      <w:r w:rsidRPr="00F402B7">
        <w:rPr>
          <w:sz w:val="16"/>
          <w:szCs w:val="16"/>
        </w:rPr>
        <w:tab/>
        <w:t>(Aromatase inhibitors) IN DARE, NHSEED, HTA</w:t>
      </w:r>
    </w:p>
    <w:p w:rsidR="00F402B7" w:rsidRPr="00F402B7" w:rsidRDefault="00F402B7" w:rsidP="00D009D1">
      <w:pPr>
        <w:spacing w:after="0"/>
        <w:ind w:left="0"/>
        <w:rPr>
          <w:sz w:val="16"/>
          <w:szCs w:val="16"/>
        </w:rPr>
      </w:pPr>
      <w:r w:rsidRPr="00F402B7">
        <w:rPr>
          <w:sz w:val="16"/>
          <w:szCs w:val="16"/>
        </w:rPr>
        <w:t xml:space="preserve">2 </w:t>
      </w:r>
      <w:r w:rsidRPr="00F402B7">
        <w:rPr>
          <w:sz w:val="16"/>
          <w:szCs w:val="16"/>
        </w:rPr>
        <w:tab/>
        <w:t>(Aminoglutethimide) IN DARE, NHSEED, HTA</w:t>
      </w:r>
    </w:p>
    <w:p w:rsidR="00F402B7" w:rsidRPr="00F402B7" w:rsidRDefault="00F402B7" w:rsidP="00D009D1">
      <w:pPr>
        <w:spacing w:after="0"/>
        <w:ind w:left="0"/>
        <w:rPr>
          <w:sz w:val="16"/>
          <w:szCs w:val="16"/>
        </w:rPr>
      </w:pPr>
      <w:r w:rsidRPr="00F402B7">
        <w:rPr>
          <w:sz w:val="16"/>
          <w:szCs w:val="16"/>
        </w:rPr>
        <w:t xml:space="preserve">3 </w:t>
      </w:r>
      <w:r w:rsidRPr="00F402B7">
        <w:rPr>
          <w:sz w:val="16"/>
          <w:szCs w:val="16"/>
        </w:rPr>
        <w:tab/>
        <w:t>(Testolactone) IN DARE, NHSEED, HTA</w:t>
      </w:r>
    </w:p>
    <w:p w:rsidR="00F402B7" w:rsidRPr="00F402B7" w:rsidRDefault="00F402B7" w:rsidP="00D009D1">
      <w:pPr>
        <w:spacing w:after="0"/>
        <w:ind w:left="0"/>
        <w:rPr>
          <w:sz w:val="16"/>
          <w:szCs w:val="16"/>
        </w:rPr>
      </w:pPr>
      <w:r w:rsidRPr="00F402B7">
        <w:rPr>
          <w:sz w:val="16"/>
          <w:szCs w:val="16"/>
        </w:rPr>
        <w:lastRenderedPageBreak/>
        <w:t xml:space="preserve">4 </w:t>
      </w:r>
      <w:r w:rsidRPr="00F402B7">
        <w:rPr>
          <w:sz w:val="16"/>
          <w:szCs w:val="16"/>
        </w:rPr>
        <w:tab/>
        <w:t>( Anastrozole) IN DARE, NHSEED, HTA</w:t>
      </w:r>
    </w:p>
    <w:p w:rsidR="00F402B7" w:rsidRPr="00F402B7" w:rsidRDefault="00F402B7" w:rsidP="00D009D1">
      <w:pPr>
        <w:spacing w:after="0"/>
        <w:ind w:left="0"/>
        <w:rPr>
          <w:sz w:val="16"/>
          <w:szCs w:val="16"/>
        </w:rPr>
      </w:pPr>
      <w:r w:rsidRPr="00F402B7">
        <w:rPr>
          <w:sz w:val="16"/>
          <w:szCs w:val="16"/>
        </w:rPr>
        <w:t xml:space="preserve">5 </w:t>
      </w:r>
      <w:r w:rsidRPr="00F402B7">
        <w:rPr>
          <w:sz w:val="16"/>
          <w:szCs w:val="16"/>
        </w:rPr>
        <w:tab/>
        <w:t>( Letrozole) IN DARE, NHSEED, HTA</w:t>
      </w:r>
    </w:p>
    <w:p w:rsidR="00F402B7" w:rsidRPr="00F402B7" w:rsidRDefault="00F402B7" w:rsidP="00D009D1">
      <w:pPr>
        <w:spacing w:after="0"/>
        <w:ind w:left="0"/>
        <w:rPr>
          <w:sz w:val="16"/>
          <w:szCs w:val="16"/>
        </w:rPr>
      </w:pPr>
      <w:r w:rsidRPr="00F402B7">
        <w:rPr>
          <w:sz w:val="16"/>
          <w:szCs w:val="16"/>
        </w:rPr>
        <w:t xml:space="preserve">6 </w:t>
      </w:r>
      <w:r w:rsidRPr="00F402B7">
        <w:rPr>
          <w:sz w:val="16"/>
          <w:szCs w:val="16"/>
        </w:rPr>
        <w:tab/>
        <w:t>( Exemestane) IN DARE, NHSEED, HTA</w:t>
      </w:r>
    </w:p>
    <w:p w:rsidR="00F402B7" w:rsidRPr="00F402B7" w:rsidRDefault="00F402B7" w:rsidP="00D009D1">
      <w:pPr>
        <w:spacing w:after="0"/>
        <w:ind w:left="0"/>
        <w:rPr>
          <w:sz w:val="16"/>
          <w:szCs w:val="16"/>
        </w:rPr>
      </w:pPr>
      <w:r w:rsidRPr="00F402B7">
        <w:rPr>
          <w:sz w:val="16"/>
          <w:szCs w:val="16"/>
        </w:rPr>
        <w:t xml:space="preserve">7 </w:t>
      </w:r>
      <w:r w:rsidRPr="00F402B7">
        <w:rPr>
          <w:sz w:val="16"/>
          <w:szCs w:val="16"/>
        </w:rPr>
        <w:tab/>
        <w:t>(Vorozole) IN DARE, NHSEED, HTA</w:t>
      </w:r>
    </w:p>
    <w:p w:rsidR="00F402B7" w:rsidRPr="00F402B7" w:rsidRDefault="00F402B7" w:rsidP="00D009D1">
      <w:pPr>
        <w:spacing w:after="0"/>
        <w:ind w:left="0"/>
        <w:rPr>
          <w:sz w:val="16"/>
          <w:szCs w:val="16"/>
        </w:rPr>
      </w:pPr>
      <w:r w:rsidRPr="00F402B7">
        <w:rPr>
          <w:sz w:val="16"/>
          <w:szCs w:val="16"/>
        </w:rPr>
        <w:t xml:space="preserve">8 </w:t>
      </w:r>
      <w:r w:rsidRPr="00F402B7">
        <w:rPr>
          <w:sz w:val="16"/>
          <w:szCs w:val="16"/>
        </w:rPr>
        <w:tab/>
        <w:t>(Formestane) IN DARE, NHSEED, HTA</w:t>
      </w:r>
    </w:p>
    <w:p w:rsidR="00F402B7" w:rsidRPr="00F402B7" w:rsidRDefault="00F402B7" w:rsidP="00D009D1">
      <w:pPr>
        <w:spacing w:after="0"/>
        <w:ind w:left="0"/>
        <w:rPr>
          <w:sz w:val="16"/>
          <w:szCs w:val="16"/>
        </w:rPr>
      </w:pPr>
      <w:r w:rsidRPr="00F402B7">
        <w:rPr>
          <w:sz w:val="16"/>
          <w:szCs w:val="16"/>
        </w:rPr>
        <w:t xml:space="preserve">9 </w:t>
      </w:r>
      <w:r w:rsidRPr="00F402B7">
        <w:rPr>
          <w:sz w:val="16"/>
          <w:szCs w:val="16"/>
        </w:rPr>
        <w:tab/>
        <w:t>(Fadrozole) IN DARE, NHSEED, HTA</w:t>
      </w:r>
    </w:p>
    <w:p w:rsidR="00F402B7" w:rsidRPr="00F402B7" w:rsidRDefault="00F402B7" w:rsidP="00D009D1">
      <w:pPr>
        <w:spacing w:after="0"/>
        <w:ind w:left="0"/>
        <w:rPr>
          <w:sz w:val="16"/>
          <w:szCs w:val="16"/>
        </w:rPr>
      </w:pPr>
      <w:r w:rsidRPr="00F402B7">
        <w:rPr>
          <w:sz w:val="16"/>
          <w:szCs w:val="16"/>
        </w:rPr>
        <w:t>10</w:t>
      </w:r>
      <w:r w:rsidRPr="00F402B7">
        <w:rPr>
          <w:sz w:val="16"/>
          <w:szCs w:val="16"/>
        </w:rPr>
        <w:tab/>
        <w:t xml:space="preserve"> (Hydroxyandrostenedione) IN DARE, NHSEED, HTA</w:t>
      </w:r>
    </w:p>
    <w:p w:rsidR="00F402B7" w:rsidRPr="00F402B7" w:rsidRDefault="00F402B7" w:rsidP="00D009D1">
      <w:pPr>
        <w:spacing w:after="0"/>
        <w:ind w:left="0"/>
        <w:rPr>
          <w:sz w:val="16"/>
          <w:szCs w:val="16"/>
        </w:rPr>
      </w:pPr>
      <w:r w:rsidRPr="00F402B7">
        <w:rPr>
          <w:sz w:val="16"/>
          <w:szCs w:val="16"/>
        </w:rPr>
        <w:t>11</w:t>
      </w:r>
      <w:r w:rsidRPr="00F402B7">
        <w:rPr>
          <w:sz w:val="16"/>
          <w:szCs w:val="16"/>
        </w:rPr>
        <w:tab/>
        <w:t xml:space="preserve"> (Androstatrien) IN DARE, NHSEED, HTA</w:t>
      </w:r>
    </w:p>
    <w:p w:rsidR="00F402B7" w:rsidRPr="00F402B7" w:rsidRDefault="00F402B7" w:rsidP="00D009D1">
      <w:pPr>
        <w:spacing w:after="0"/>
        <w:ind w:left="0"/>
        <w:rPr>
          <w:sz w:val="16"/>
          <w:szCs w:val="16"/>
        </w:rPr>
      </w:pPr>
      <w:r w:rsidRPr="00F402B7">
        <w:rPr>
          <w:sz w:val="16"/>
          <w:szCs w:val="16"/>
        </w:rPr>
        <w:t>12</w:t>
      </w:r>
      <w:r w:rsidRPr="00F402B7">
        <w:rPr>
          <w:sz w:val="16"/>
          <w:szCs w:val="16"/>
        </w:rPr>
        <w:tab/>
        <w:t xml:space="preserve"> (Androstene) IN DARE, NHSEED, HTA</w:t>
      </w:r>
    </w:p>
    <w:p w:rsidR="00F402B7" w:rsidRPr="00F402B7" w:rsidRDefault="00F402B7" w:rsidP="00D009D1">
      <w:pPr>
        <w:spacing w:after="0"/>
        <w:ind w:left="0"/>
        <w:rPr>
          <w:sz w:val="16"/>
          <w:szCs w:val="16"/>
        </w:rPr>
      </w:pPr>
      <w:r w:rsidRPr="00F402B7">
        <w:rPr>
          <w:sz w:val="16"/>
          <w:szCs w:val="16"/>
        </w:rPr>
        <w:t>13</w:t>
      </w:r>
      <w:r w:rsidRPr="00F402B7">
        <w:rPr>
          <w:sz w:val="16"/>
          <w:szCs w:val="16"/>
        </w:rPr>
        <w:tab/>
        <w:t xml:space="preserve"> (Arimidex) IN DARE, NHSEED, HTA</w:t>
      </w:r>
    </w:p>
    <w:p w:rsidR="00F402B7" w:rsidRPr="00F402B7" w:rsidRDefault="00F402B7" w:rsidP="00D009D1">
      <w:pPr>
        <w:spacing w:after="0"/>
        <w:ind w:left="0"/>
        <w:rPr>
          <w:sz w:val="16"/>
          <w:szCs w:val="16"/>
        </w:rPr>
      </w:pPr>
      <w:r w:rsidRPr="00F402B7">
        <w:rPr>
          <w:sz w:val="16"/>
          <w:szCs w:val="16"/>
        </w:rPr>
        <w:t>14</w:t>
      </w:r>
      <w:r w:rsidRPr="00F402B7">
        <w:rPr>
          <w:sz w:val="16"/>
          <w:szCs w:val="16"/>
        </w:rPr>
        <w:tab/>
        <w:t xml:space="preserve"> (Femara) IN DARE, NHSEED, HTA</w:t>
      </w:r>
    </w:p>
    <w:p w:rsidR="00F402B7" w:rsidRPr="00F402B7" w:rsidRDefault="00F402B7" w:rsidP="00D009D1">
      <w:pPr>
        <w:spacing w:after="0"/>
        <w:ind w:left="0"/>
        <w:rPr>
          <w:sz w:val="16"/>
          <w:szCs w:val="16"/>
        </w:rPr>
      </w:pPr>
      <w:r w:rsidRPr="00F402B7">
        <w:rPr>
          <w:sz w:val="16"/>
          <w:szCs w:val="16"/>
        </w:rPr>
        <w:t>15</w:t>
      </w:r>
      <w:r w:rsidRPr="00F402B7">
        <w:rPr>
          <w:sz w:val="16"/>
          <w:szCs w:val="16"/>
        </w:rPr>
        <w:tab/>
        <w:t xml:space="preserve"> (Aromasin) IN DARE, NHSEED, HTA</w:t>
      </w:r>
    </w:p>
    <w:p w:rsidR="00F402B7" w:rsidRPr="00F402B7" w:rsidRDefault="00F402B7" w:rsidP="00D009D1">
      <w:pPr>
        <w:spacing w:after="0"/>
        <w:ind w:left="0"/>
        <w:rPr>
          <w:sz w:val="16"/>
          <w:szCs w:val="16"/>
        </w:rPr>
      </w:pPr>
      <w:r w:rsidRPr="00F402B7">
        <w:rPr>
          <w:sz w:val="16"/>
          <w:szCs w:val="16"/>
        </w:rPr>
        <w:t>16</w:t>
      </w:r>
      <w:r w:rsidRPr="00F402B7">
        <w:rPr>
          <w:sz w:val="16"/>
          <w:szCs w:val="16"/>
        </w:rPr>
        <w:tab/>
        <w:t xml:space="preserve"> (Rivizor) IN DARE, NHSEED, HTA</w:t>
      </w:r>
    </w:p>
    <w:p w:rsidR="00F402B7" w:rsidRPr="00F402B7" w:rsidRDefault="00F402B7" w:rsidP="00D009D1">
      <w:pPr>
        <w:spacing w:after="0"/>
        <w:ind w:left="0"/>
        <w:rPr>
          <w:sz w:val="16"/>
          <w:szCs w:val="16"/>
        </w:rPr>
      </w:pPr>
      <w:r w:rsidRPr="00F402B7">
        <w:rPr>
          <w:sz w:val="16"/>
          <w:szCs w:val="16"/>
        </w:rPr>
        <w:t>17</w:t>
      </w:r>
      <w:r w:rsidRPr="00F402B7">
        <w:rPr>
          <w:sz w:val="16"/>
          <w:szCs w:val="16"/>
        </w:rPr>
        <w:tab/>
        <w:t xml:space="preserve"> (Formestane) IN DARE, NHSEED, HTA</w:t>
      </w:r>
    </w:p>
    <w:p w:rsidR="00F402B7" w:rsidRPr="00F402B7" w:rsidRDefault="00F402B7" w:rsidP="00D009D1">
      <w:pPr>
        <w:spacing w:after="0"/>
        <w:ind w:left="0"/>
        <w:rPr>
          <w:sz w:val="16"/>
          <w:szCs w:val="16"/>
        </w:rPr>
      </w:pPr>
      <w:r w:rsidRPr="00F402B7">
        <w:rPr>
          <w:sz w:val="16"/>
          <w:szCs w:val="16"/>
        </w:rPr>
        <w:t>18</w:t>
      </w:r>
      <w:r w:rsidRPr="00F402B7">
        <w:rPr>
          <w:sz w:val="16"/>
          <w:szCs w:val="16"/>
        </w:rPr>
        <w:tab/>
        <w:t xml:space="preserve"> (Lentaron) IN DARE, NHSEED, HTA</w:t>
      </w:r>
    </w:p>
    <w:p w:rsidR="00F402B7" w:rsidRPr="00F402B7" w:rsidRDefault="00F402B7" w:rsidP="00D009D1">
      <w:pPr>
        <w:spacing w:after="0"/>
        <w:ind w:left="0"/>
        <w:rPr>
          <w:sz w:val="16"/>
          <w:szCs w:val="16"/>
        </w:rPr>
      </w:pPr>
      <w:r w:rsidRPr="00F402B7">
        <w:rPr>
          <w:sz w:val="16"/>
          <w:szCs w:val="16"/>
        </w:rPr>
        <w:t>19</w:t>
      </w:r>
      <w:r w:rsidRPr="00F402B7">
        <w:rPr>
          <w:sz w:val="16"/>
          <w:szCs w:val="16"/>
        </w:rPr>
        <w:tab/>
        <w:t xml:space="preserve"> (Afema) IN DARE, NHSEED, HTA</w:t>
      </w:r>
    </w:p>
    <w:p w:rsidR="00F402B7" w:rsidRPr="00F402B7" w:rsidRDefault="00F402B7" w:rsidP="00D009D1">
      <w:pPr>
        <w:spacing w:after="0"/>
        <w:ind w:left="0"/>
        <w:rPr>
          <w:sz w:val="16"/>
          <w:szCs w:val="16"/>
        </w:rPr>
      </w:pPr>
      <w:r w:rsidRPr="00F402B7">
        <w:rPr>
          <w:sz w:val="16"/>
          <w:szCs w:val="16"/>
        </w:rPr>
        <w:t>20</w:t>
      </w:r>
      <w:r w:rsidRPr="00F402B7">
        <w:rPr>
          <w:sz w:val="16"/>
          <w:szCs w:val="16"/>
        </w:rPr>
        <w:tab/>
        <w:t xml:space="preserve"> (Teslac) IN DARE, NHSEED, HTA</w:t>
      </w:r>
    </w:p>
    <w:p w:rsidR="00F402B7" w:rsidRPr="00F402B7" w:rsidRDefault="00F402B7" w:rsidP="00D009D1">
      <w:pPr>
        <w:spacing w:after="0"/>
        <w:ind w:left="0"/>
        <w:rPr>
          <w:sz w:val="16"/>
          <w:szCs w:val="16"/>
        </w:rPr>
      </w:pPr>
      <w:r w:rsidRPr="00F402B7">
        <w:rPr>
          <w:sz w:val="16"/>
          <w:szCs w:val="16"/>
        </w:rPr>
        <w:t>21</w:t>
      </w:r>
      <w:r w:rsidRPr="00F402B7">
        <w:rPr>
          <w:sz w:val="16"/>
          <w:szCs w:val="16"/>
        </w:rPr>
        <w:tab/>
        <w:t xml:space="preserve"> (ATD) IN DARE, NHSEED, HTA</w:t>
      </w:r>
    </w:p>
    <w:p w:rsidR="00F402B7" w:rsidRPr="00F402B7" w:rsidRDefault="00F402B7" w:rsidP="00D009D1">
      <w:pPr>
        <w:spacing w:after="0"/>
        <w:ind w:left="0"/>
        <w:rPr>
          <w:sz w:val="16"/>
          <w:szCs w:val="16"/>
        </w:rPr>
      </w:pPr>
      <w:r w:rsidRPr="00F402B7">
        <w:rPr>
          <w:sz w:val="16"/>
          <w:szCs w:val="16"/>
        </w:rPr>
        <w:t>22</w:t>
      </w:r>
      <w:r w:rsidRPr="00F402B7">
        <w:rPr>
          <w:sz w:val="16"/>
          <w:szCs w:val="16"/>
        </w:rPr>
        <w:tab/>
        <w:t xml:space="preserve"> (OXO-6) IN DARE, NHSEED, HTA</w:t>
      </w:r>
    </w:p>
    <w:p w:rsidR="00F402B7" w:rsidRPr="00F402B7" w:rsidRDefault="00F402B7" w:rsidP="00D009D1">
      <w:pPr>
        <w:spacing w:after="0"/>
        <w:ind w:left="0"/>
        <w:rPr>
          <w:sz w:val="16"/>
          <w:szCs w:val="16"/>
        </w:rPr>
      </w:pPr>
      <w:r w:rsidRPr="00F402B7">
        <w:rPr>
          <w:sz w:val="16"/>
          <w:szCs w:val="16"/>
        </w:rPr>
        <w:t>23</w:t>
      </w:r>
      <w:r w:rsidRPr="00F402B7">
        <w:rPr>
          <w:sz w:val="16"/>
          <w:szCs w:val="16"/>
        </w:rPr>
        <w:tab/>
        <w:t xml:space="preserve"> MeSH DESCRIPTOR Aromatase Inhibitors EXPLODE ALL TREES</w:t>
      </w:r>
    </w:p>
    <w:p w:rsidR="00F402B7" w:rsidRPr="00F402B7" w:rsidRDefault="00F402B7" w:rsidP="00D009D1">
      <w:pPr>
        <w:spacing w:after="0"/>
        <w:ind w:left="0"/>
        <w:rPr>
          <w:sz w:val="16"/>
          <w:szCs w:val="16"/>
        </w:rPr>
      </w:pPr>
      <w:r w:rsidRPr="00F402B7">
        <w:rPr>
          <w:sz w:val="16"/>
          <w:szCs w:val="16"/>
        </w:rPr>
        <w:t>24</w:t>
      </w:r>
      <w:r w:rsidRPr="00F402B7">
        <w:rPr>
          <w:sz w:val="16"/>
          <w:szCs w:val="16"/>
        </w:rPr>
        <w:tab/>
        <w:t xml:space="preserve"> MeSH DESCRIPTOR Aminoglutethimide EXPLODE ALL TREES</w:t>
      </w:r>
    </w:p>
    <w:p w:rsidR="00F402B7" w:rsidRPr="00F402B7" w:rsidRDefault="00F402B7" w:rsidP="00D009D1">
      <w:pPr>
        <w:spacing w:after="0"/>
        <w:ind w:left="0"/>
        <w:rPr>
          <w:sz w:val="16"/>
          <w:szCs w:val="16"/>
        </w:rPr>
      </w:pPr>
      <w:r w:rsidRPr="00F402B7">
        <w:rPr>
          <w:sz w:val="16"/>
          <w:szCs w:val="16"/>
        </w:rPr>
        <w:t>25</w:t>
      </w:r>
      <w:r w:rsidRPr="00F402B7">
        <w:rPr>
          <w:sz w:val="16"/>
          <w:szCs w:val="16"/>
        </w:rPr>
        <w:tab/>
        <w:t xml:space="preserve"> MeSH DESCRIPTOR Testolactone EXPLODE ALL TREES</w:t>
      </w:r>
    </w:p>
    <w:p w:rsidR="00F402B7" w:rsidRPr="00F402B7" w:rsidRDefault="00F402B7" w:rsidP="00D009D1">
      <w:pPr>
        <w:spacing w:after="0"/>
        <w:ind w:left="0"/>
        <w:rPr>
          <w:sz w:val="16"/>
          <w:szCs w:val="16"/>
        </w:rPr>
      </w:pPr>
      <w:r w:rsidRPr="00F402B7">
        <w:rPr>
          <w:sz w:val="16"/>
          <w:szCs w:val="16"/>
        </w:rPr>
        <w:t>26</w:t>
      </w:r>
      <w:r w:rsidRPr="00F402B7">
        <w:rPr>
          <w:sz w:val="16"/>
          <w:szCs w:val="16"/>
        </w:rPr>
        <w:tab/>
        <w:t xml:space="preserve"> MeSH DESCRIPTOR Fadrozole EXPLODE ALL TREES</w:t>
      </w:r>
    </w:p>
    <w:p w:rsidR="00F402B7" w:rsidRPr="00F402B7" w:rsidRDefault="00F402B7" w:rsidP="00D009D1">
      <w:pPr>
        <w:spacing w:after="0"/>
        <w:ind w:left="0"/>
        <w:rPr>
          <w:sz w:val="16"/>
          <w:szCs w:val="16"/>
        </w:rPr>
      </w:pPr>
      <w:r w:rsidRPr="00F402B7">
        <w:rPr>
          <w:sz w:val="16"/>
          <w:szCs w:val="16"/>
        </w:rPr>
        <w:t>27</w:t>
      </w:r>
      <w:r w:rsidRPr="00F402B7">
        <w:rPr>
          <w:sz w:val="16"/>
          <w:szCs w:val="16"/>
        </w:rPr>
        <w:tab/>
        <w:t xml:space="preserve"> MeSH DESCRIPTOR Androstatrienes EXPLODE ALL TREES</w:t>
      </w:r>
    </w:p>
    <w:p w:rsidR="00F402B7" w:rsidRPr="00F402B7" w:rsidRDefault="00F402B7" w:rsidP="00D009D1">
      <w:pPr>
        <w:spacing w:after="0"/>
        <w:ind w:left="0"/>
        <w:rPr>
          <w:sz w:val="16"/>
          <w:szCs w:val="16"/>
        </w:rPr>
      </w:pPr>
      <w:r w:rsidRPr="00F402B7">
        <w:rPr>
          <w:sz w:val="16"/>
          <w:szCs w:val="16"/>
        </w:rPr>
        <w:t>28</w:t>
      </w:r>
      <w:r w:rsidRPr="00F402B7">
        <w:rPr>
          <w:sz w:val="16"/>
          <w:szCs w:val="16"/>
        </w:rPr>
        <w:tab/>
        <w:t xml:space="preserve"> MeSH DESCRIPTOR Androstenes EXPLODE ALL TREES</w:t>
      </w:r>
    </w:p>
    <w:p w:rsidR="00F402B7" w:rsidRPr="00F402B7" w:rsidRDefault="00F402B7" w:rsidP="00D009D1">
      <w:pPr>
        <w:spacing w:after="0"/>
        <w:ind w:left="0"/>
        <w:rPr>
          <w:sz w:val="16"/>
          <w:szCs w:val="16"/>
        </w:rPr>
      </w:pPr>
      <w:r w:rsidRPr="00F402B7">
        <w:rPr>
          <w:sz w:val="16"/>
          <w:szCs w:val="16"/>
        </w:rPr>
        <w:t>29</w:t>
      </w:r>
      <w:r w:rsidRPr="00F402B7">
        <w:rPr>
          <w:sz w:val="16"/>
          <w:szCs w:val="16"/>
        </w:rPr>
        <w:tab/>
        <w:t xml:space="preserve"> #1 OR #2 OR #3 OR #4 OR #5 OR #6 OR #7 OR #8 OR #9 OR #10 OR #11 OR #12 OR #13 OR #14 OR #15 OR #16 OR #17 OR #18 OR #19 OR #20 OR #21 OR #22 OR #23 OR #24 OR #25 OR #26 OR #27 OR #28</w:t>
      </w:r>
    </w:p>
    <w:p w:rsidR="00F402B7" w:rsidRPr="00F402B7" w:rsidRDefault="00F402B7" w:rsidP="00D009D1">
      <w:pPr>
        <w:spacing w:after="0"/>
        <w:ind w:left="0"/>
        <w:rPr>
          <w:sz w:val="16"/>
          <w:szCs w:val="16"/>
        </w:rPr>
      </w:pPr>
      <w:r w:rsidRPr="00F402B7">
        <w:rPr>
          <w:sz w:val="16"/>
          <w:szCs w:val="16"/>
        </w:rPr>
        <w:t>30</w:t>
      </w:r>
      <w:r w:rsidRPr="00F402B7">
        <w:rPr>
          <w:sz w:val="16"/>
          <w:szCs w:val="16"/>
        </w:rPr>
        <w:tab/>
        <w:t>(Breast cancer) IN DARE, NHSEED, HTA</w:t>
      </w:r>
    </w:p>
    <w:p w:rsidR="00F402B7" w:rsidRPr="00F402B7" w:rsidRDefault="00F402B7" w:rsidP="00D009D1">
      <w:pPr>
        <w:spacing w:after="0"/>
        <w:ind w:left="0"/>
        <w:rPr>
          <w:sz w:val="16"/>
          <w:szCs w:val="16"/>
        </w:rPr>
      </w:pPr>
      <w:r w:rsidRPr="00F402B7">
        <w:rPr>
          <w:sz w:val="16"/>
          <w:szCs w:val="16"/>
        </w:rPr>
        <w:t xml:space="preserve">31 </w:t>
      </w:r>
      <w:r w:rsidRPr="00F402B7">
        <w:rPr>
          <w:sz w:val="16"/>
          <w:szCs w:val="16"/>
        </w:rPr>
        <w:tab/>
        <w:t>(Breast neoplasm) IN DARE, NHSEED, HTA</w:t>
      </w:r>
    </w:p>
    <w:p w:rsidR="00F402B7" w:rsidRPr="00F402B7" w:rsidRDefault="00F402B7" w:rsidP="00D009D1">
      <w:pPr>
        <w:spacing w:after="0"/>
        <w:ind w:left="0"/>
        <w:rPr>
          <w:sz w:val="16"/>
          <w:szCs w:val="16"/>
        </w:rPr>
      </w:pPr>
      <w:r w:rsidRPr="00F402B7">
        <w:rPr>
          <w:sz w:val="16"/>
          <w:szCs w:val="16"/>
        </w:rPr>
        <w:t xml:space="preserve">32 </w:t>
      </w:r>
      <w:r w:rsidRPr="00F402B7">
        <w:rPr>
          <w:sz w:val="16"/>
          <w:szCs w:val="16"/>
        </w:rPr>
        <w:tab/>
        <w:t>(Breast neoplasia) IN DARE, NHSEED, HTA</w:t>
      </w:r>
    </w:p>
    <w:p w:rsidR="00F402B7" w:rsidRPr="00F402B7" w:rsidRDefault="00F402B7" w:rsidP="00D009D1">
      <w:pPr>
        <w:spacing w:after="0"/>
        <w:ind w:left="0"/>
        <w:rPr>
          <w:sz w:val="16"/>
          <w:szCs w:val="16"/>
        </w:rPr>
      </w:pPr>
      <w:r w:rsidRPr="00F402B7">
        <w:rPr>
          <w:sz w:val="16"/>
          <w:szCs w:val="16"/>
        </w:rPr>
        <w:t xml:space="preserve">33 </w:t>
      </w:r>
      <w:r w:rsidRPr="00F402B7">
        <w:rPr>
          <w:sz w:val="16"/>
          <w:szCs w:val="16"/>
        </w:rPr>
        <w:tab/>
        <w:t>(mammary gland neoplasia) IN DARE, NHSEED, HTA</w:t>
      </w:r>
    </w:p>
    <w:p w:rsidR="00F402B7" w:rsidRPr="00F402B7" w:rsidRDefault="00F402B7" w:rsidP="00D009D1">
      <w:pPr>
        <w:spacing w:after="0"/>
        <w:ind w:left="0"/>
        <w:rPr>
          <w:sz w:val="16"/>
          <w:szCs w:val="16"/>
        </w:rPr>
      </w:pPr>
      <w:r w:rsidRPr="00F402B7">
        <w:rPr>
          <w:sz w:val="16"/>
          <w:szCs w:val="16"/>
        </w:rPr>
        <w:t xml:space="preserve">34 </w:t>
      </w:r>
      <w:r w:rsidRPr="00F402B7">
        <w:rPr>
          <w:sz w:val="16"/>
          <w:szCs w:val="16"/>
        </w:rPr>
        <w:tab/>
        <w:t>(mammary gland neoplasm) IN DARE, NHSEED, HTA</w:t>
      </w:r>
    </w:p>
    <w:p w:rsidR="00F402B7" w:rsidRPr="00F402B7" w:rsidRDefault="00F402B7" w:rsidP="00D009D1">
      <w:pPr>
        <w:spacing w:after="0"/>
        <w:ind w:left="0"/>
        <w:rPr>
          <w:sz w:val="16"/>
          <w:szCs w:val="16"/>
        </w:rPr>
      </w:pPr>
      <w:r w:rsidRPr="00F402B7">
        <w:rPr>
          <w:sz w:val="16"/>
          <w:szCs w:val="16"/>
        </w:rPr>
        <w:t xml:space="preserve">35 </w:t>
      </w:r>
      <w:r w:rsidRPr="00F402B7">
        <w:rPr>
          <w:sz w:val="16"/>
          <w:szCs w:val="16"/>
        </w:rPr>
        <w:tab/>
        <w:t>(Hormone Dependent Neoplasms) IN DARE, NHSEED, HTA</w:t>
      </w:r>
    </w:p>
    <w:p w:rsidR="00F402B7" w:rsidRPr="00F402B7" w:rsidRDefault="00F402B7" w:rsidP="00D009D1">
      <w:pPr>
        <w:spacing w:after="0"/>
        <w:ind w:left="0"/>
        <w:rPr>
          <w:sz w:val="16"/>
          <w:szCs w:val="16"/>
        </w:rPr>
      </w:pPr>
      <w:r w:rsidRPr="00F402B7">
        <w:rPr>
          <w:sz w:val="16"/>
          <w:szCs w:val="16"/>
        </w:rPr>
        <w:t xml:space="preserve">36 </w:t>
      </w:r>
      <w:r w:rsidRPr="00F402B7">
        <w:rPr>
          <w:sz w:val="16"/>
          <w:szCs w:val="16"/>
        </w:rPr>
        <w:tab/>
        <w:t>(ER positive cancers) IN DARE, NHSEED, HTA</w:t>
      </w:r>
    </w:p>
    <w:p w:rsidR="00F402B7" w:rsidRPr="00F402B7" w:rsidRDefault="00F402B7" w:rsidP="00D009D1">
      <w:pPr>
        <w:spacing w:after="0"/>
        <w:ind w:left="0"/>
        <w:rPr>
          <w:sz w:val="16"/>
          <w:szCs w:val="16"/>
        </w:rPr>
      </w:pPr>
      <w:r w:rsidRPr="00F402B7">
        <w:rPr>
          <w:sz w:val="16"/>
          <w:szCs w:val="16"/>
        </w:rPr>
        <w:t xml:space="preserve">37 </w:t>
      </w:r>
      <w:r w:rsidRPr="00F402B7">
        <w:rPr>
          <w:sz w:val="16"/>
          <w:szCs w:val="16"/>
        </w:rPr>
        <w:tab/>
        <w:t>(Oestrogen receptor positive cancers) IN DARE, NHSEED, HTA</w:t>
      </w:r>
    </w:p>
    <w:p w:rsidR="00F402B7" w:rsidRPr="00F402B7" w:rsidRDefault="00F402B7" w:rsidP="00D009D1">
      <w:pPr>
        <w:spacing w:after="0"/>
        <w:ind w:left="0"/>
        <w:rPr>
          <w:sz w:val="16"/>
          <w:szCs w:val="16"/>
        </w:rPr>
      </w:pPr>
      <w:r w:rsidRPr="00F402B7">
        <w:rPr>
          <w:sz w:val="16"/>
          <w:szCs w:val="16"/>
        </w:rPr>
        <w:t xml:space="preserve">38 </w:t>
      </w:r>
      <w:r w:rsidRPr="00F402B7">
        <w:rPr>
          <w:sz w:val="16"/>
          <w:szCs w:val="16"/>
        </w:rPr>
        <w:tab/>
        <w:t>(estrogen receptor positive cancers) IN DARE, NHSEED, HTA</w:t>
      </w:r>
    </w:p>
    <w:p w:rsidR="00F402B7" w:rsidRPr="00F402B7" w:rsidRDefault="00F402B7" w:rsidP="00D009D1">
      <w:pPr>
        <w:spacing w:after="0"/>
        <w:ind w:left="0"/>
        <w:rPr>
          <w:sz w:val="16"/>
          <w:szCs w:val="16"/>
        </w:rPr>
      </w:pPr>
      <w:r w:rsidRPr="00F402B7">
        <w:rPr>
          <w:sz w:val="16"/>
          <w:szCs w:val="16"/>
        </w:rPr>
        <w:t xml:space="preserve">39 </w:t>
      </w:r>
      <w:r w:rsidRPr="00F402B7">
        <w:rPr>
          <w:sz w:val="16"/>
          <w:szCs w:val="16"/>
        </w:rPr>
        <w:tab/>
        <w:t>(breast carcinoma) IN DARE, NHSEED, HTA</w:t>
      </w:r>
    </w:p>
    <w:p w:rsidR="00F402B7" w:rsidRPr="00F402B7" w:rsidRDefault="00F402B7" w:rsidP="00D009D1">
      <w:pPr>
        <w:spacing w:after="0"/>
        <w:ind w:left="0"/>
        <w:rPr>
          <w:sz w:val="16"/>
          <w:szCs w:val="16"/>
        </w:rPr>
      </w:pPr>
      <w:r w:rsidRPr="00F402B7">
        <w:rPr>
          <w:sz w:val="16"/>
          <w:szCs w:val="16"/>
        </w:rPr>
        <w:t xml:space="preserve">40 </w:t>
      </w:r>
      <w:r w:rsidRPr="00F402B7">
        <w:rPr>
          <w:sz w:val="16"/>
          <w:szCs w:val="16"/>
        </w:rPr>
        <w:tab/>
        <w:t>MeSH DESCRIPTOR Breast Neoplasms EXPLODE ALL TREES</w:t>
      </w:r>
    </w:p>
    <w:p w:rsidR="00F402B7" w:rsidRPr="00F402B7" w:rsidRDefault="00F402B7" w:rsidP="00D009D1">
      <w:pPr>
        <w:spacing w:after="0"/>
        <w:ind w:left="0"/>
        <w:rPr>
          <w:sz w:val="16"/>
          <w:szCs w:val="16"/>
        </w:rPr>
      </w:pPr>
      <w:r w:rsidRPr="00F402B7">
        <w:rPr>
          <w:sz w:val="16"/>
          <w:szCs w:val="16"/>
        </w:rPr>
        <w:t xml:space="preserve">41 </w:t>
      </w:r>
      <w:r w:rsidRPr="00F402B7">
        <w:rPr>
          <w:sz w:val="16"/>
          <w:szCs w:val="16"/>
        </w:rPr>
        <w:tab/>
        <w:t>#30 OR #31 OR #32 OR #33 OR #34 OR #35 OR #36 OR #37 OR #38 OR #39 OR #40</w:t>
      </w:r>
    </w:p>
    <w:p w:rsidR="00F402B7" w:rsidRPr="00F402B7" w:rsidRDefault="00F402B7" w:rsidP="00D009D1">
      <w:pPr>
        <w:spacing w:after="0"/>
        <w:ind w:left="0"/>
        <w:rPr>
          <w:sz w:val="16"/>
          <w:szCs w:val="16"/>
        </w:rPr>
      </w:pPr>
      <w:r w:rsidRPr="00F402B7">
        <w:rPr>
          <w:sz w:val="16"/>
          <w:szCs w:val="16"/>
        </w:rPr>
        <w:t xml:space="preserve">42 </w:t>
      </w:r>
      <w:r w:rsidRPr="00F402B7">
        <w:rPr>
          <w:sz w:val="16"/>
          <w:szCs w:val="16"/>
        </w:rPr>
        <w:tab/>
        <w:t>(cancer treatment induced bone loss) IN DARE, NHSEED, HTA</w:t>
      </w:r>
    </w:p>
    <w:p w:rsidR="00F402B7" w:rsidRPr="00F402B7" w:rsidRDefault="00F402B7" w:rsidP="00D009D1">
      <w:pPr>
        <w:spacing w:after="0"/>
        <w:ind w:left="0"/>
        <w:rPr>
          <w:sz w:val="16"/>
          <w:szCs w:val="16"/>
        </w:rPr>
      </w:pPr>
      <w:r w:rsidRPr="00F402B7">
        <w:rPr>
          <w:sz w:val="16"/>
          <w:szCs w:val="16"/>
        </w:rPr>
        <w:t xml:space="preserve">43 </w:t>
      </w:r>
      <w:r w:rsidRPr="00F402B7">
        <w:rPr>
          <w:sz w:val="16"/>
          <w:szCs w:val="16"/>
        </w:rPr>
        <w:tab/>
        <w:t>(CTIBL) IN DARE, NHSEED, HTA</w:t>
      </w:r>
    </w:p>
    <w:p w:rsidR="00F402B7" w:rsidRPr="00F402B7" w:rsidRDefault="00F402B7" w:rsidP="00D009D1">
      <w:pPr>
        <w:spacing w:after="0"/>
        <w:ind w:left="0"/>
        <w:rPr>
          <w:sz w:val="16"/>
          <w:szCs w:val="16"/>
        </w:rPr>
      </w:pPr>
      <w:r w:rsidRPr="00F402B7">
        <w:rPr>
          <w:sz w:val="16"/>
          <w:szCs w:val="16"/>
        </w:rPr>
        <w:t xml:space="preserve">44 </w:t>
      </w:r>
      <w:r w:rsidRPr="00F402B7">
        <w:rPr>
          <w:sz w:val="16"/>
          <w:szCs w:val="16"/>
        </w:rPr>
        <w:tab/>
        <w:t>(Minimal trauma fracture) IN DARE, NHSEED, HTA</w:t>
      </w:r>
    </w:p>
    <w:p w:rsidR="00F402B7" w:rsidRPr="00F402B7" w:rsidRDefault="00F402B7" w:rsidP="00D009D1">
      <w:pPr>
        <w:spacing w:after="0"/>
        <w:ind w:left="0"/>
        <w:rPr>
          <w:sz w:val="16"/>
          <w:szCs w:val="16"/>
        </w:rPr>
      </w:pPr>
      <w:r w:rsidRPr="00F402B7">
        <w:rPr>
          <w:sz w:val="16"/>
          <w:szCs w:val="16"/>
        </w:rPr>
        <w:t xml:space="preserve">45 </w:t>
      </w:r>
      <w:r w:rsidRPr="00F402B7">
        <w:rPr>
          <w:sz w:val="16"/>
          <w:szCs w:val="16"/>
        </w:rPr>
        <w:tab/>
        <w:t>(Aromatase inhibitor induced bone loss) IN DARE, NHSEED, HTA</w:t>
      </w:r>
    </w:p>
    <w:p w:rsidR="00F402B7" w:rsidRPr="00F402B7" w:rsidRDefault="00F402B7" w:rsidP="00D009D1">
      <w:pPr>
        <w:spacing w:after="0"/>
        <w:ind w:left="0"/>
        <w:rPr>
          <w:sz w:val="16"/>
          <w:szCs w:val="16"/>
        </w:rPr>
      </w:pPr>
      <w:r w:rsidRPr="00F402B7">
        <w:rPr>
          <w:sz w:val="16"/>
          <w:szCs w:val="16"/>
        </w:rPr>
        <w:t xml:space="preserve">46 </w:t>
      </w:r>
      <w:r w:rsidRPr="00F402B7">
        <w:rPr>
          <w:sz w:val="16"/>
          <w:szCs w:val="16"/>
        </w:rPr>
        <w:tab/>
        <w:t>(AIBL) IN DARE, NHSEED, HTA</w:t>
      </w:r>
    </w:p>
    <w:p w:rsidR="00F402B7" w:rsidRPr="00F402B7" w:rsidRDefault="00F402B7" w:rsidP="00D009D1">
      <w:pPr>
        <w:spacing w:after="0"/>
        <w:ind w:left="0"/>
        <w:rPr>
          <w:sz w:val="16"/>
          <w:szCs w:val="16"/>
        </w:rPr>
      </w:pPr>
      <w:r w:rsidRPr="00F402B7">
        <w:rPr>
          <w:sz w:val="16"/>
          <w:szCs w:val="16"/>
        </w:rPr>
        <w:t xml:space="preserve">47 </w:t>
      </w:r>
      <w:r w:rsidRPr="00F402B7">
        <w:rPr>
          <w:sz w:val="16"/>
          <w:szCs w:val="16"/>
        </w:rPr>
        <w:tab/>
        <w:t>(bone fracture) IN DARE, NHSEED, HTA</w:t>
      </w:r>
    </w:p>
    <w:p w:rsidR="00F402B7" w:rsidRPr="00F402B7" w:rsidRDefault="00F402B7" w:rsidP="00D009D1">
      <w:pPr>
        <w:spacing w:after="0"/>
        <w:ind w:left="0"/>
        <w:rPr>
          <w:sz w:val="16"/>
          <w:szCs w:val="16"/>
        </w:rPr>
      </w:pPr>
      <w:r w:rsidRPr="00F402B7">
        <w:rPr>
          <w:sz w:val="16"/>
          <w:szCs w:val="16"/>
        </w:rPr>
        <w:t xml:space="preserve">48 </w:t>
      </w:r>
      <w:r w:rsidRPr="00F402B7">
        <w:rPr>
          <w:sz w:val="16"/>
          <w:szCs w:val="16"/>
        </w:rPr>
        <w:tab/>
        <w:t>(bone loss) IN DARE, NHSEED, HTA</w:t>
      </w:r>
    </w:p>
    <w:p w:rsidR="00F402B7" w:rsidRPr="00F402B7" w:rsidRDefault="00F402B7" w:rsidP="00A948CD">
      <w:pPr>
        <w:spacing w:after="0"/>
        <w:ind w:left="0"/>
        <w:rPr>
          <w:sz w:val="16"/>
          <w:szCs w:val="16"/>
        </w:rPr>
      </w:pPr>
      <w:r w:rsidRPr="00F402B7">
        <w:rPr>
          <w:sz w:val="16"/>
          <w:szCs w:val="16"/>
        </w:rPr>
        <w:t xml:space="preserve">49 </w:t>
      </w:r>
      <w:r w:rsidRPr="00F402B7">
        <w:rPr>
          <w:sz w:val="16"/>
          <w:szCs w:val="16"/>
        </w:rPr>
        <w:tab/>
        <w:t>(skeletal fracture) IN DARE, NHSEED, HTA</w:t>
      </w:r>
    </w:p>
    <w:p w:rsidR="00F402B7" w:rsidRPr="00F402B7" w:rsidRDefault="00F402B7" w:rsidP="00A948CD">
      <w:pPr>
        <w:spacing w:after="0"/>
        <w:ind w:left="0"/>
        <w:rPr>
          <w:sz w:val="16"/>
          <w:szCs w:val="16"/>
        </w:rPr>
      </w:pPr>
      <w:r w:rsidRPr="00F402B7">
        <w:rPr>
          <w:sz w:val="16"/>
          <w:szCs w:val="16"/>
        </w:rPr>
        <w:t xml:space="preserve">50 </w:t>
      </w:r>
      <w:r w:rsidRPr="00F402B7">
        <w:rPr>
          <w:sz w:val="16"/>
          <w:szCs w:val="16"/>
        </w:rPr>
        <w:tab/>
        <w:t>(Bone Resorption) IN DARE, NHSEED, HTA</w:t>
      </w:r>
    </w:p>
    <w:p w:rsidR="00F402B7" w:rsidRPr="00F402B7" w:rsidRDefault="00F402B7" w:rsidP="00A948CD">
      <w:pPr>
        <w:spacing w:after="0"/>
        <w:ind w:left="0"/>
        <w:rPr>
          <w:sz w:val="16"/>
          <w:szCs w:val="16"/>
        </w:rPr>
      </w:pPr>
      <w:r w:rsidRPr="00F402B7">
        <w:rPr>
          <w:sz w:val="16"/>
          <w:szCs w:val="16"/>
        </w:rPr>
        <w:t xml:space="preserve">51 </w:t>
      </w:r>
      <w:r w:rsidRPr="00F402B7">
        <w:rPr>
          <w:sz w:val="16"/>
          <w:szCs w:val="16"/>
        </w:rPr>
        <w:tab/>
        <w:t>MeSH DESCRIPTOR Bone Resorption EXPLODE ALL TREES</w:t>
      </w:r>
    </w:p>
    <w:p w:rsidR="00F402B7" w:rsidRPr="00F402B7" w:rsidRDefault="00F402B7" w:rsidP="00A948CD">
      <w:pPr>
        <w:spacing w:after="0"/>
        <w:ind w:left="0"/>
        <w:rPr>
          <w:sz w:val="16"/>
          <w:szCs w:val="16"/>
        </w:rPr>
      </w:pPr>
      <w:r w:rsidRPr="00F402B7">
        <w:rPr>
          <w:sz w:val="16"/>
          <w:szCs w:val="16"/>
        </w:rPr>
        <w:t xml:space="preserve">52 </w:t>
      </w:r>
      <w:r w:rsidRPr="00F402B7">
        <w:rPr>
          <w:sz w:val="16"/>
          <w:szCs w:val="16"/>
        </w:rPr>
        <w:tab/>
        <w:t>#42 OR #43 OR #44 OR #45 OR #46 OR #47 OR #48 OR #49 OR #50 OR #51</w:t>
      </w:r>
    </w:p>
    <w:p w:rsidR="00F402B7" w:rsidRPr="00F402B7" w:rsidRDefault="00F402B7" w:rsidP="00A948CD">
      <w:pPr>
        <w:spacing w:after="0"/>
        <w:ind w:left="0"/>
        <w:rPr>
          <w:sz w:val="16"/>
          <w:szCs w:val="16"/>
        </w:rPr>
      </w:pPr>
      <w:r w:rsidRPr="00F402B7">
        <w:rPr>
          <w:sz w:val="16"/>
          <w:szCs w:val="16"/>
        </w:rPr>
        <w:t xml:space="preserve">53 </w:t>
      </w:r>
      <w:r w:rsidRPr="00F402B7">
        <w:rPr>
          <w:sz w:val="16"/>
          <w:szCs w:val="16"/>
        </w:rPr>
        <w:tab/>
        <w:t>#29 AND #41 AND #52</w:t>
      </w:r>
    </w:p>
    <w:p w:rsidR="00F402B7" w:rsidRDefault="00F402B7" w:rsidP="00A948CD">
      <w:pPr>
        <w:ind w:left="0"/>
        <w:rPr>
          <w:sz w:val="16"/>
          <w:szCs w:val="16"/>
        </w:rPr>
      </w:pPr>
    </w:p>
    <w:p w:rsidR="00F402B7" w:rsidRPr="00F402B7" w:rsidRDefault="00FF1CAF" w:rsidP="00A948CD">
      <w:pPr>
        <w:ind w:left="0"/>
        <w:rPr>
          <w:b/>
          <w:szCs w:val="24"/>
        </w:rPr>
      </w:pPr>
      <w:r>
        <w:rPr>
          <w:b/>
          <w:szCs w:val="24"/>
        </w:rPr>
        <w:t xml:space="preserve">Search </w:t>
      </w:r>
      <w:r w:rsidR="00F402B7" w:rsidRPr="00F402B7">
        <w:rPr>
          <w:b/>
          <w:szCs w:val="24"/>
        </w:rPr>
        <w:t>2</w:t>
      </w:r>
    </w:p>
    <w:p w:rsidR="00F402B7" w:rsidRPr="00F402B7" w:rsidRDefault="00F402B7" w:rsidP="00A948CD">
      <w:pPr>
        <w:spacing w:after="0"/>
        <w:ind w:left="0"/>
        <w:rPr>
          <w:b/>
          <w:sz w:val="16"/>
          <w:szCs w:val="16"/>
        </w:rPr>
      </w:pPr>
      <w:r w:rsidRPr="00F402B7">
        <w:rPr>
          <w:b/>
          <w:sz w:val="16"/>
          <w:szCs w:val="16"/>
        </w:rPr>
        <w:t>Ovid Medline:</w:t>
      </w:r>
    </w:p>
    <w:p w:rsidR="00F402B7" w:rsidRPr="00F402B7" w:rsidRDefault="00F402B7" w:rsidP="00A948CD">
      <w:pPr>
        <w:spacing w:after="0"/>
        <w:ind w:left="0"/>
        <w:rPr>
          <w:sz w:val="16"/>
          <w:szCs w:val="16"/>
        </w:rPr>
      </w:pPr>
      <w:r w:rsidRPr="00F402B7">
        <w:rPr>
          <w:sz w:val="16"/>
          <w:szCs w:val="16"/>
        </w:rPr>
        <w:t xml:space="preserve">1. </w:t>
      </w:r>
      <w:r w:rsidRPr="00F402B7">
        <w:rPr>
          <w:sz w:val="16"/>
          <w:szCs w:val="16"/>
        </w:rPr>
        <w:tab/>
        <w:t xml:space="preserve">FRAX.mp. </w:t>
      </w:r>
    </w:p>
    <w:p w:rsidR="00C91D8A" w:rsidRDefault="00F402B7" w:rsidP="00A948CD">
      <w:pPr>
        <w:spacing w:after="0"/>
        <w:ind w:left="0"/>
        <w:rPr>
          <w:sz w:val="16"/>
          <w:szCs w:val="16"/>
        </w:rPr>
      </w:pPr>
      <w:r w:rsidRPr="00F402B7">
        <w:rPr>
          <w:sz w:val="16"/>
          <w:szCs w:val="16"/>
        </w:rPr>
        <w:t xml:space="preserve">2. </w:t>
      </w:r>
      <w:r w:rsidRPr="00F402B7">
        <w:rPr>
          <w:sz w:val="16"/>
          <w:szCs w:val="16"/>
        </w:rPr>
        <w:tab/>
        <w:t>osteoporosis screening.mp.</w:t>
      </w:r>
    </w:p>
    <w:p w:rsidR="00C91D8A" w:rsidRDefault="00F402B7" w:rsidP="00A948CD">
      <w:pPr>
        <w:spacing w:after="0"/>
        <w:ind w:left="0"/>
        <w:rPr>
          <w:sz w:val="16"/>
          <w:szCs w:val="16"/>
        </w:rPr>
      </w:pPr>
      <w:r w:rsidRPr="00F402B7">
        <w:rPr>
          <w:sz w:val="16"/>
          <w:szCs w:val="16"/>
        </w:rPr>
        <w:t xml:space="preserve">3. </w:t>
      </w:r>
      <w:r w:rsidRPr="00F402B7">
        <w:rPr>
          <w:sz w:val="16"/>
          <w:szCs w:val="16"/>
        </w:rPr>
        <w:tab/>
        <w:t>QFracture.mp.</w:t>
      </w:r>
    </w:p>
    <w:p w:rsidR="00C91D8A" w:rsidRDefault="00F402B7" w:rsidP="00A948CD">
      <w:pPr>
        <w:spacing w:after="0"/>
        <w:ind w:left="0"/>
        <w:rPr>
          <w:sz w:val="16"/>
          <w:szCs w:val="16"/>
        </w:rPr>
      </w:pPr>
      <w:r w:rsidRPr="00F402B7">
        <w:rPr>
          <w:sz w:val="16"/>
          <w:szCs w:val="16"/>
        </w:rPr>
        <w:t xml:space="preserve">4. </w:t>
      </w:r>
      <w:r w:rsidRPr="00F402B7">
        <w:rPr>
          <w:sz w:val="16"/>
          <w:szCs w:val="16"/>
        </w:rPr>
        <w:tab/>
        <w:t>risk of fragility fracture.mp.</w:t>
      </w:r>
    </w:p>
    <w:p w:rsidR="00C91D8A" w:rsidRDefault="00F402B7" w:rsidP="00A948CD">
      <w:pPr>
        <w:spacing w:after="0"/>
        <w:ind w:left="0"/>
        <w:rPr>
          <w:sz w:val="16"/>
          <w:szCs w:val="16"/>
        </w:rPr>
      </w:pPr>
      <w:r w:rsidRPr="00F402B7">
        <w:rPr>
          <w:sz w:val="16"/>
          <w:szCs w:val="16"/>
        </w:rPr>
        <w:lastRenderedPageBreak/>
        <w:t xml:space="preserve">5. </w:t>
      </w:r>
      <w:r w:rsidRPr="00F402B7">
        <w:rPr>
          <w:sz w:val="16"/>
          <w:szCs w:val="16"/>
        </w:rPr>
        <w:tab/>
        <w:t>fracture risk assessment.mp.</w:t>
      </w:r>
      <w:r w:rsidR="00C91D8A" w:rsidRPr="00F402B7">
        <w:rPr>
          <w:sz w:val="16"/>
          <w:szCs w:val="16"/>
        </w:rPr>
        <w:t xml:space="preserve"> </w:t>
      </w:r>
    </w:p>
    <w:p w:rsidR="00F402B7" w:rsidRPr="00F402B7" w:rsidRDefault="00F402B7" w:rsidP="00A948CD">
      <w:pPr>
        <w:spacing w:after="0"/>
        <w:ind w:left="0"/>
        <w:rPr>
          <w:sz w:val="16"/>
          <w:szCs w:val="16"/>
        </w:rPr>
      </w:pPr>
      <w:r w:rsidRPr="00F402B7">
        <w:rPr>
          <w:sz w:val="16"/>
          <w:szCs w:val="16"/>
        </w:rPr>
        <w:t xml:space="preserve">6. </w:t>
      </w:r>
      <w:r w:rsidRPr="00F402B7">
        <w:rPr>
          <w:sz w:val="16"/>
          <w:szCs w:val="16"/>
        </w:rPr>
        <w:tab/>
        <w:t>clinical assessment.mp.</w:t>
      </w:r>
      <w:r w:rsidRPr="00F402B7">
        <w:rPr>
          <w:sz w:val="16"/>
          <w:szCs w:val="16"/>
        </w:rPr>
        <w:tab/>
      </w:r>
      <w:r w:rsidRPr="00F402B7">
        <w:rPr>
          <w:sz w:val="16"/>
          <w:szCs w:val="16"/>
        </w:rPr>
        <w:tab/>
      </w:r>
    </w:p>
    <w:p w:rsidR="00C91D8A" w:rsidRDefault="00F402B7" w:rsidP="00A948CD">
      <w:pPr>
        <w:spacing w:after="0"/>
        <w:ind w:left="0"/>
        <w:rPr>
          <w:sz w:val="16"/>
          <w:szCs w:val="16"/>
        </w:rPr>
      </w:pPr>
      <w:r w:rsidRPr="00F402B7">
        <w:rPr>
          <w:sz w:val="16"/>
          <w:szCs w:val="16"/>
        </w:rPr>
        <w:t xml:space="preserve">7. </w:t>
      </w:r>
      <w:r w:rsidRPr="00F402B7">
        <w:rPr>
          <w:sz w:val="16"/>
          <w:szCs w:val="16"/>
        </w:rPr>
        <w:tab/>
        <w:t>1 or 2 or 3 or 4 or 5 or 6</w:t>
      </w:r>
    </w:p>
    <w:p w:rsidR="00F402B7" w:rsidRPr="00F402B7" w:rsidRDefault="00F402B7" w:rsidP="00A948CD">
      <w:pPr>
        <w:spacing w:after="0"/>
        <w:ind w:left="0"/>
        <w:rPr>
          <w:sz w:val="16"/>
          <w:szCs w:val="16"/>
        </w:rPr>
      </w:pPr>
      <w:r w:rsidRPr="00F402B7">
        <w:rPr>
          <w:sz w:val="16"/>
          <w:szCs w:val="16"/>
        </w:rPr>
        <w:t xml:space="preserve">8. </w:t>
      </w:r>
      <w:r w:rsidRPr="00F402B7">
        <w:rPr>
          <w:sz w:val="16"/>
          <w:szCs w:val="16"/>
        </w:rPr>
        <w:tab/>
        <w:t>Dual-energy X-ray absorptiometry.mp.</w:t>
      </w:r>
    </w:p>
    <w:p w:rsidR="00C91D8A" w:rsidRDefault="00F402B7" w:rsidP="00A948CD">
      <w:pPr>
        <w:spacing w:after="0"/>
        <w:ind w:left="0"/>
        <w:rPr>
          <w:sz w:val="16"/>
          <w:szCs w:val="16"/>
        </w:rPr>
      </w:pPr>
      <w:r w:rsidRPr="00F402B7">
        <w:rPr>
          <w:sz w:val="16"/>
          <w:szCs w:val="16"/>
        </w:rPr>
        <w:t xml:space="preserve">9. </w:t>
      </w:r>
      <w:r w:rsidRPr="00F402B7">
        <w:rPr>
          <w:sz w:val="16"/>
          <w:szCs w:val="16"/>
        </w:rPr>
        <w:tab/>
        <w:t>exp Absorptiometry, Photon/</w:t>
      </w:r>
    </w:p>
    <w:p w:rsidR="00C91D8A" w:rsidRDefault="00F402B7" w:rsidP="00A948CD">
      <w:pPr>
        <w:spacing w:after="0"/>
        <w:ind w:left="0"/>
        <w:rPr>
          <w:sz w:val="16"/>
          <w:szCs w:val="16"/>
        </w:rPr>
      </w:pPr>
      <w:r w:rsidRPr="00F402B7">
        <w:rPr>
          <w:sz w:val="16"/>
          <w:szCs w:val="16"/>
        </w:rPr>
        <w:t xml:space="preserve">10. </w:t>
      </w:r>
      <w:r w:rsidRPr="00F402B7">
        <w:rPr>
          <w:sz w:val="16"/>
          <w:szCs w:val="16"/>
        </w:rPr>
        <w:tab/>
        <w:t>DXA.mp.</w:t>
      </w:r>
    </w:p>
    <w:p w:rsidR="00F402B7" w:rsidRPr="00F402B7" w:rsidRDefault="00F402B7" w:rsidP="00A948CD">
      <w:pPr>
        <w:spacing w:after="0"/>
        <w:ind w:left="0"/>
        <w:rPr>
          <w:sz w:val="16"/>
          <w:szCs w:val="16"/>
        </w:rPr>
      </w:pPr>
      <w:r w:rsidRPr="00F402B7">
        <w:rPr>
          <w:sz w:val="16"/>
          <w:szCs w:val="16"/>
        </w:rPr>
        <w:t xml:space="preserve">11. </w:t>
      </w:r>
      <w:r w:rsidRPr="00F402B7">
        <w:rPr>
          <w:sz w:val="16"/>
          <w:szCs w:val="16"/>
        </w:rPr>
        <w:tab/>
        <w:t>DEXA.mp.</w:t>
      </w:r>
      <w:r w:rsidRPr="00F402B7">
        <w:rPr>
          <w:sz w:val="16"/>
          <w:szCs w:val="16"/>
        </w:rPr>
        <w:tab/>
      </w:r>
      <w:r w:rsidRPr="00F402B7">
        <w:rPr>
          <w:sz w:val="16"/>
          <w:szCs w:val="16"/>
        </w:rPr>
        <w:tab/>
      </w:r>
    </w:p>
    <w:p w:rsidR="00C91D8A" w:rsidRDefault="00F402B7" w:rsidP="00A948CD">
      <w:pPr>
        <w:spacing w:after="0"/>
        <w:ind w:left="0"/>
        <w:rPr>
          <w:sz w:val="16"/>
          <w:szCs w:val="16"/>
        </w:rPr>
      </w:pPr>
      <w:r w:rsidRPr="00F402B7">
        <w:rPr>
          <w:sz w:val="16"/>
          <w:szCs w:val="16"/>
        </w:rPr>
        <w:t xml:space="preserve">12. </w:t>
      </w:r>
      <w:r w:rsidRPr="00F402B7">
        <w:rPr>
          <w:sz w:val="16"/>
          <w:szCs w:val="16"/>
        </w:rPr>
        <w:tab/>
        <w:t>8 or 9 or 10 or 11</w:t>
      </w:r>
    </w:p>
    <w:p w:rsidR="00F402B7" w:rsidRPr="00F402B7" w:rsidRDefault="00F402B7" w:rsidP="00A948CD">
      <w:pPr>
        <w:spacing w:after="0"/>
        <w:ind w:left="0"/>
        <w:rPr>
          <w:sz w:val="16"/>
          <w:szCs w:val="16"/>
        </w:rPr>
      </w:pPr>
      <w:r w:rsidRPr="00F402B7">
        <w:rPr>
          <w:sz w:val="16"/>
          <w:szCs w:val="16"/>
        </w:rPr>
        <w:t xml:space="preserve">13. </w:t>
      </w:r>
      <w:r w:rsidRPr="00F402B7">
        <w:rPr>
          <w:sz w:val="16"/>
          <w:szCs w:val="16"/>
        </w:rPr>
        <w:tab/>
        <w:t>7 and 12</w:t>
      </w:r>
      <w:r w:rsidRPr="00F402B7">
        <w:rPr>
          <w:sz w:val="16"/>
          <w:szCs w:val="16"/>
        </w:rPr>
        <w:tab/>
      </w:r>
      <w:r w:rsidRPr="00F402B7">
        <w:rPr>
          <w:sz w:val="16"/>
          <w:szCs w:val="16"/>
        </w:rPr>
        <w:tab/>
      </w:r>
    </w:p>
    <w:p w:rsidR="00F402B7" w:rsidRPr="00F402B7" w:rsidRDefault="00F402B7" w:rsidP="00A948CD">
      <w:pPr>
        <w:spacing w:after="0"/>
        <w:ind w:left="0"/>
        <w:rPr>
          <w:sz w:val="16"/>
          <w:szCs w:val="16"/>
        </w:rPr>
      </w:pPr>
      <w:r w:rsidRPr="00F402B7">
        <w:rPr>
          <w:sz w:val="16"/>
          <w:szCs w:val="16"/>
        </w:rPr>
        <w:t xml:space="preserve">15. </w:t>
      </w:r>
      <w:r w:rsidRPr="00F402B7">
        <w:rPr>
          <w:sz w:val="16"/>
          <w:szCs w:val="16"/>
        </w:rPr>
        <w:tab/>
        <w:t>limit 13 to (english language and (clinical trial, all or clinical trial or comparative study or controlled clinical trial or meta analysis or randomized controlled trial or systematic reviews))</w:t>
      </w:r>
    </w:p>
    <w:p w:rsidR="00514D47" w:rsidRDefault="00514D47" w:rsidP="00A948CD">
      <w:pPr>
        <w:spacing w:after="0"/>
        <w:ind w:left="0"/>
        <w:rPr>
          <w:b/>
          <w:sz w:val="16"/>
          <w:szCs w:val="16"/>
        </w:rPr>
      </w:pPr>
    </w:p>
    <w:p w:rsidR="00F402B7" w:rsidRPr="00F402B7" w:rsidRDefault="00F402B7" w:rsidP="00A948CD">
      <w:pPr>
        <w:spacing w:after="0"/>
        <w:ind w:left="0"/>
        <w:rPr>
          <w:b/>
          <w:sz w:val="16"/>
          <w:szCs w:val="16"/>
        </w:rPr>
      </w:pPr>
      <w:r w:rsidRPr="00F402B7">
        <w:rPr>
          <w:b/>
          <w:sz w:val="16"/>
          <w:szCs w:val="16"/>
        </w:rPr>
        <w:t>Cochrane Library</w:t>
      </w:r>
    </w:p>
    <w:p w:rsidR="00F402B7" w:rsidRPr="00F402B7" w:rsidRDefault="00F402B7" w:rsidP="00A948CD">
      <w:pPr>
        <w:spacing w:after="0"/>
        <w:ind w:left="0"/>
        <w:rPr>
          <w:sz w:val="16"/>
          <w:szCs w:val="16"/>
        </w:rPr>
      </w:pPr>
      <w:r w:rsidRPr="00F402B7">
        <w:rPr>
          <w:sz w:val="16"/>
          <w:szCs w:val="16"/>
        </w:rPr>
        <w:t>Search Name:</w:t>
      </w:r>
      <w:r w:rsidRPr="00F402B7">
        <w:rPr>
          <w:sz w:val="16"/>
          <w:szCs w:val="16"/>
        </w:rPr>
        <w:tab/>
        <w:t>DXA vs Clinical assessment</w:t>
      </w:r>
    </w:p>
    <w:p w:rsidR="00F402B7" w:rsidRPr="00F402B7" w:rsidRDefault="00F402B7" w:rsidP="00A948CD">
      <w:pPr>
        <w:spacing w:after="0"/>
        <w:ind w:left="0"/>
        <w:rPr>
          <w:sz w:val="16"/>
          <w:szCs w:val="16"/>
        </w:rPr>
      </w:pPr>
      <w:r w:rsidRPr="00F402B7">
        <w:rPr>
          <w:sz w:val="16"/>
          <w:szCs w:val="16"/>
        </w:rPr>
        <w:t>Last Saved:</w:t>
      </w:r>
      <w:r w:rsidRPr="00F402B7">
        <w:rPr>
          <w:sz w:val="16"/>
          <w:szCs w:val="16"/>
        </w:rPr>
        <w:tab/>
        <w:t>19/02/2014 23:44:26.451</w:t>
      </w:r>
    </w:p>
    <w:p w:rsidR="00C91D8A" w:rsidRDefault="00F402B7" w:rsidP="00A948CD">
      <w:pPr>
        <w:spacing w:after="0"/>
        <w:ind w:left="0"/>
        <w:rPr>
          <w:sz w:val="16"/>
          <w:szCs w:val="16"/>
        </w:rPr>
      </w:pPr>
      <w:r w:rsidRPr="00F402B7">
        <w:rPr>
          <w:sz w:val="16"/>
          <w:szCs w:val="16"/>
        </w:rPr>
        <w:t>Description:</w:t>
      </w:r>
    </w:p>
    <w:p w:rsidR="00F402B7" w:rsidRPr="00F402B7" w:rsidRDefault="00F402B7" w:rsidP="00A948CD">
      <w:pPr>
        <w:spacing w:after="0"/>
        <w:ind w:left="0"/>
        <w:rPr>
          <w:sz w:val="16"/>
          <w:szCs w:val="16"/>
        </w:rPr>
      </w:pPr>
      <w:r w:rsidRPr="00F402B7">
        <w:rPr>
          <w:sz w:val="16"/>
          <w:szCs w:val="16"/>
        </w:rPr>
        <w:t>ID</w:t>
      </w:r>
      <w:r w:rsidRPr="00F402B7">
        <w:rPr>
          <w:sz w:val="16"/>
          <w:szCs w:val="16"/>
        </w:rPr>
        <w:tab/>
        <w:t>Search</w:t>
      </w:r>
      <w:r w:rsidRPr="00F402B7">
        <w:rPr>
          <w:sz w:val="16"/>
          <w:szCs w:val="16"/>
        </w:rPr>
        <w:tab/>
      </w:r>
    </w:p>
    <w:p w:rsidR="00F402B7" w:rsidRPr="00F402B7" w:rsidRDefault="00F402B7" w:rsidP="00A948CD">
      <w:pPr>
        <w:spacing w:after="0"/>
        <w:ind w:left="0"/>
        <w:rPr>
          <w:sz w:val="16"/>
          <w:szCs w:val="16"/>
        </w:rPr>
      </w:pPr>
      <w:r w:rsidRPr="00F402B7">
        <w:rPr>
          <w:sz w:val="16"/>
          <w:szCs w:val="16"/>
        </w:rPr>
        <w:t>#1</w:t>
      </w:r>
      <w:r w:rsidRPr="00F402B7">
        <w:rPr>
          <w:sz w:val="16"/>
          <w:szCs w:val="16"/>
        </w:rPr>
        <w:tab/>
        <w:t xml:space="preserve">Dual-energy X-ray absorptiometry </w:t>
      </w:r>
    </w:p>
    <w:p w:rsidR="00F402B7" w:rsidRPr="00F402B7" w:rsidRDefault="00F402B7" w:rsidP="00A948CD">
      <w:pPr>
        <w:spacing w:after="0"/>
        <w:ind w:left="0"/>
        <w:rPr>
          <w:sz w:val="16"/>
          <w:szCs w:val="16"/>
        </w:rPr>
      </w:pPr>
      <w:r w:rsidRPr="00F402B7">
        <w:rPr>
          <w:sz w:val="16"/>
          <w:szCs w:val="16"/>
        </w:rPr>
        <w:t>#2</w:t>
      </w:r>
      <w:r w:rsidRPr="00F402B7">
        <w:rPr>
          <w:sz w:val="16"/>
          <w:szCs w:val="16"/>
        </w:rPr>
        <w:tab/>
        <w:t>MeSH descriptor: [Absorptiometry, Photon] explode all trees</w:t>
      </w:r>
    </w:p>
    <w:p w:rsidR="00F402B7" w:rsidRPr="00F402B7" w:rsidRDefault="00F402B7" w:rsidP="00A948CD">
      <w:pPr>
        <w:spacing w:after="0"/>
        <w:ind w:left="0"/>
        <w:rPr>
          <w:sz w:val="16"/>
          <w:szCs w:val="16"/>
        </w:rPr>
      </w:pPr>
      <w:r w:rsidRPr="00F402B7">
        <w:rPr>
          <w:sz w:val="16"/>
          <w:szCs w:val="16"/>
        </w:rPr>
        <w:t>#3</w:t>
      </w:r>
      <w:r w:rsidRPr="00F402B7">
        <w:rPr>
          <w:sz w:val="16"/>
          <w:szCs w:val="16"/>
        </w:rPr>
        <w:tab/>
        <w:t xml:space="preserve">DXA.mp </w:t>
      </w:r>
    </w:p>
    <w:p w:rsidR="00F402B7" w:rsidRPr="00F402B7" w:rsidRDefault="00F402B7" w:rsidP="00A948CD">
      <w:pPr>
        <w:spacing w:after="0"/>
        <w:ind w:left="0"/>
        <w:rPr>
          <w:sz w:val="16"/>
          <w:szCs w:val="16"/>
        </w:rPr>
      </w:pPr>
      <w:r w:rsidRPr="00F402B7">
        <w:rPr>
          <w:sz w:val="16"/>
          <w:szCs w:val="16"/>
        </w:rPr>
        <w:t>#4</w:t>
      </w:r>
      <w:r w:rsidRPr="00F402B7">
        <w:rPr>
          <w:sz w:val="16"/>
          <w:szCs w:val="16"/>
        </w:rPr>
        <w:tab/>
        <w:t xml:space="preserve">DEXA </w:t>
      </w:r>
    </w:p>
    <w:p w:rsidR="00F402B7" w:rsidRPr="00F402B7" w:rsidRDefault="00F402B7" w:rsidP="00A948CD">
      <w:pPr>
        <w:spacing w:after="0"/>
        <w:ind w:left="0"/>
        <w:rPr>
          <w:sz w:val="16"/>
          <w:szCs w:val="16"/>
        </w:rPr>
      </w:pPr>
      <w:r w:rsidRPr="00F402B7">
        <w:rPr>
          <w:sz w:val="16"/>
          <w:szCs w:val="16"/>
        </w:rPr>
        <w:t>#5</w:t>
      </w:r>
      <w:r w:rsidRPr="00F402B7">
        <w:rPr>
          <w:sz w:val="16"/>
          <w:szCs w:val="16"/>
        </w:rPr>
        <w:tab/>
        <w:t xml:space="preserve">#1 or #2 or #3 or #4 </w:t>
      </w:r>
    </w:p>
    <w:p w:rsidR="00F402B7" w:rsidRPr="00F402B7" w:rsidRDefault="00F402B7" w:rsidP="00A948CD">
      <w:pPr>
        <w:spacing w:after="0"/>
        <w:ind w:left="0"/>
        <w:rPr>
          <w:sz w:val="16"/>
          <w:szCs w:val="16"/>
        </w:rPr>
      </w:pPr>
      <w:r w:rsidRPr="00F402B7">
        <w:rPr>
          <w:sz w:val="16"/>
          <w:szCs w:val="16"/>
        </w:rPr>
        <w:t>#6</w:t>
      </w:r>
      <w:r w:rsidRPr="00F402B7">
        <w:rPr>
          <w:sz w:val="16"/>
          <w:szCs w:val="16"/>
        </w:rPr>
        <w:tab/>
        <w:t xml:space="preserve">FRAX </w:t>
      </w:r>
    </w:p>
    <w:p w:rsidR="00F402B7" w:rsidRPr="00F402B7" w:rsidRDefault="00F402B7" w:rsidP="00A948CD">
      <w:pPr>
        <w:spacing w:after="0"/>
        <w:ind w:left="0"/>
        <w:rPr>
          <w:sz w:val="16"/>
          <w:szCs w:val="16"/>
        </w:rPr>
      </w:pPr>
      <w:r w:rsidRPr="00F402B7">
        <w:rPr>
          <w:sz w:val="16"/>
          <w:szCs w:val="16"/>
        </w:rPr>
        <w:t>#7</w:t>
      </w:r>
      <w:r w:rsidRPr="00F402B7">
        <w:rPr>
          <w:sz w:val="16"/>
          <w:szCs w:val="16"/>
        </w:rPr>
        <w:tab/>
        <w:t xml:space="preserve">osteoporosis screening </w:t>
      </w:r>
    </w:p>
    <w:p w:rsidR="00F402B7" w:rsidRPr="00F402B7" w:rsidRDefault="00F402B7" w:rsidP="00A948CD">
      <w:pPr>
        <w:spacing w:after="0"/>
        <w:ind w:left="0"/>
        <w:rPr>
          <w:sz w:val="16"/>
          <w:szCs w:val="16"/>
        </w:rPr>
      </w:pPr>
      <w:r w:rsidRPr="00F402B7">
        <w:rPr>
          <w:sz w:val="16"/>
          <w:szCs w:val="16"/>
        </w:rPr>
        <w:t>#8</w:t>
      </w:r>
      <w:r w:rsidRPr="00F402B7">
        <w:rPr>
          <w:sz w:val="16"/>
          <w:szCs w:val="16"/>
        </w:rPr>
        <w:tab/>
        <w:t xml:space="preserve">clinical assesment </w:t>
      </w:r>
    </w:p>
    <w:p w:rsidR="00F402B7" w:rsidRPr="00F402B7" w:rsidRDefault="00F402B7" w:rsidP="00A948CD">
      <w:pPr>
        <w:spacing w:after="0"/>
        <w:ind w:left="0"/>
        <w:rPr>
          <w:sz w:val="16"/>
          <w:szCs w:val="16"/>
        </w:rPr>
      </w:pPr>
      <w:r w:rsidRPr="00F402B7">
        <w:rPr>
          <w:sz w:val="16"/>
          <w:szCs w:val="16"/>
        </w:rPr>
        <w:t>#9</w:t>
      </w:r>
      <w:r w:rsidRPr="00F402B7">
        <w:rPr>
          <w:sz w:val="16"/>
          <w:szCs w:val="16"/>
        </w:rPr>
        <w:tab/>
        <w:t xml:space="preserve">QFracture </w:t>
      </w:r>
    </w:p>
    <w:p w:rsidR="00F402B7" w:rsidRPr="00F402B7" w:rsidRDefault="00F402B7" w:rsidP="00A948CD">
      <w:pPr>
        <w:spacing w:after="0"/>
        <w:ind w:left="0"/>
        <w:rPr>
          <w:sz w:val="16"/>
          <w:szCs w:val="16"/>
        </w:rPr>
      </w:pPr>
      <w:r w:rsidRPr="00F402B7">
        <w:rPr>
          <w:sz w:val="16"/>
          <w:szCs w:val="16"/>
        </w:rPr>
        <w:t>#10</w:t>
      </w:r>
      <w:r w:rsidRPr="00F402B7">
        <w:rPr>
          <w:sz w:val="16"/>
          <w:szCs w:val="16"/>
        </w:rPr>
        <w:tab/>
        <w:t xml:space="preserve">risk of fragility fracture </w:t>
      </w:r>
    </w:p>
    <w:p w:rsidR="00F402B7" w:rsidRPr="00F402B7" w:rsidRDefault="00F402B7" w:rsidP="00A948CD">
      <w:pPr>
        <w:spacing w:after="0"/>
        <w:ind w:left="0"/>
        <w:rPr>
          <w:sz w:val="16"/>
          <w:szCs w:val="16"/>
        </w:rPr>
      </w:pPr>
      <w:r w:rsidRPr="00F402B7">
        <w:rPr>
          <w:sz w:val="16"/>
          <w:szCs w:val="16"/>
        </w:rPr>
        <w:t>#11</w:t>
      </w:r>
      <w:r w:rsidRPr="00F402B7">
        <w:rPr>
          <w:sz w:val="16"/>
          <w:szCs w:val="16"/>
        </w:rPr>
        <w:tab/>
        <w:t xml:space="preserve">fracture risk assessment </w:t>
      </w:r>
    </w:p>
    <w:p w:rsidR="00F402B7" w:rsidRPr="00F402B7" w:rsidRDefault="00F402B7" w:rsidP="00A948CD">
      <w:pPr>
        <w:spacing w:after="0"/>
        <w:ind w:left="0"/>
        <w:rPr>
          <w:sz w:val="16"/>
          <w:szCs w:val="16"/>
        </w:rPr>
      </w:pPr>
      <w:r w:rsidRPr="00F402B7">
        <w:rPr>
          <w:sz w:val="16"/>
          <w:szCs w:val="16"/>
        </w:rPr>
        <w:t>#12</w:t>
      </w:r>
      <w:r w:rsidRPr="00F402B7">
        <w:rPr>
          <w:sz w:val="16"/>
          <w:szCs w:val="16"/>
        </w:rPr>
        <w:tab/>
        <w:t xml:space="preserve">#6 or #7 or #8 or #9 or #10 or #11 </w:t>
      </w:r>
    </w:p>
    <w:p w:rsidR="00F402B7" w:rsidRDefault="00F402B7" w:rsidP="00A948CD">
      <w:pPr>
        <w:spacing w:after="0"/>
        <w:ind w:left="0"/>
        <w:rPr>
          <w:sz w:val="16"/>
          <w:szCs w:val="16"/>
        </w:rPr>
      </w:pPr>
      <w:r w:rsidRPr="00F402B7">
        <w:rPr>
          <w:sz w:val="16"/>
          <w:szCs w:val="16"/>
        </w:rPr>
        <w:t>#13</w:t>
      </w:r>
      <w:r w:rsidRPr="00F402B7">
        <w:rPr>
          <w:sz w:val="16"/>
          <w:szCs w:val="16"/>
        </w:rPr>
        <w:tab/>
        <w:t>#5 and #12</w:t>
      </w:r>
    </w:p>
    <w:p w:rsidR="00F402B7" w:rsidRPr="00F402B7" w:rsidRDefault="00F402B7" w:rsidP="00A948CD">
      <w:pPr>
        <w:spacing w:after="0"/>
        <w:ind w:left="0"/>
        <w:rPr>
          <w:sz w:val="16"/>
          <w:szCs w:val="16"/>
        </w:rPr>
      </w:pPr>
    </w:p>
    <w:p w:rsidR="00F402B7" w:rsidRPr="00F402B7" w:rsidRDefault="00F402B7" w:rsidP="00A948CD">
      <w:pPr>
        <w:spacing w:after="0"/>
        <w:ind w:left="0"/>
        <w:rPr>
          <w:b/>
          <w:sz w:val="16"/>
          <w:szCs w:val="16"/>
        </w:rPr>
      </w:pPr>
      <w:r w:rsidRPr="00F402B7">
        <w:rPr>
          <w:b/>
          <w:sz w:val="16"/>
          <w:szCs w:val="16"/>
        </w:rPr>
        <w:t>CRD</w:t>
      </w:r>
    </w:p>
    <w:p w:rsidR="00F402B7" w:rsidRPr="00F402B7" w:rsidRDefault="00F402B7" w:rsidP="00A948CD">
      <w:pPr>
        <w:spacing w:after="0"/>
        <w:ind w:left="0"/>
        <w:rPr>
          <w:sz w:val="16"/>
          <w:szCs w:val="16"/>
        </w:rPr>
      </w:pPr>
      <w:r w:rsidRPr="00F402B7">
        <w:rPr>
          <w:sz w:val="16"/>
          <w:szCs w:val="16"/>
        </w:rPr>
        <w:t>1</w:t>
      </w:r>
      <w:r w:rsidRPr="00F402B7">
        <w:rPr>
          <w:sz w:val="16"/>
          <w:szCs w:val="16"/>
        </w:rPr>
        <w:tab/>
        <w:t>(Dual-energy X-ray absorptiometry )</w:t>
      </w:r>
    </w:p>
    <w:p w:rsidR="00F402B7" w:rsidRPr="00F402B7" w:rsidRDefault="00F402B7" w:rsidP="00A948CD">
      <w:pPr>
        <w:spacing w:after="0"/>
        <w:ind w:left="0"/>
        <w:rPr>
          <w:sz w:val="16"/>
          <w:szCs w:val="16"/>
        </w:rPr>
      </w:pPr>
      <w:r w:rsidRPr="00F402B7">
        <w:rPr>
          <w:sz w:val="16"/>
          <w:szCs w:val="16"/>
        </w:rPr>
        <w:t>2</w:t>
      </w:r>
      <w:r w:rsidRPr="00F402B7">
        <w:rPr>
          <w:sz w:val="16"/>
          <w:szCs w:val="16"/>
        </w:rPr>
        <w:tab/>
        <w:t>MeSH DESCRIPTOR Absorptiometry, Photon EXPLODE ALL TREES</w:t>
      </w:r>
      <w:r w:rsidRPr="00F402B7">
        <w:rPr>
          <w:sz w:val="16"/>
          <w:szCs w:val="16"/>
        </w:rPr>
        <w:tab/>
      </w:r>
    </w:p>
    <w:p w:rsidR="00F402B7" w:rsidRPr="00F402B7" w:rsidRDefault="00F402B7" w:rsidP="00A948CD">
      <w:pPr>
        <w:spacing w:after="0"/>
        <w:ind w:left="0"/>
        <w:rPr>
          <w:sz w:val="16"/>
          <w:szCs w:val="16"/>
        </w:rPr>
      </w:pPr>
      <w:r w:rsidRPr="00F402B7">
        <w:rPr>
          <w:sz w:val="16"/>
          <w:szCs w:val="16"/>
        </w:rPr>
        <w:t>3</w:t>
      </w:r>
      <w:r w:rsidRPr="00F402B7">
        <w:rPr>
          <w:sz w:val="16"/>
          <w:szCs w:val="16"/>
        </w:rPr>
        <w:tab/>
        <w:t>(DXA)</w:t>
      </w:r>
      <w:r w:rsidRPr="00F402B7">
        <w:rPr>
          <w:sz w:val="16"/>
          <w:szCs w:val="16"/>
        </w:rPr>
        <w:tab/>
      </w:r>
    </w:p>
    <w:p w:rsidR="00F402B7" w:rsidRPr="00F402B7" w:rsidRDefault="00F402B7" w:rsidP="00A948CD">
      <w:pPr>
        <w:spacing w:after="0"/>
        <w:ind w:left="0"/>
        <w:rPr>
          <w:sz w:val="16"/>
          <w:szCs w:val="16"/>
        </w:rPr>
      </w:pPr>
      <w:r w:rsidRPr="00F402B7">
        <w:rPr>
          <w:sz w:val="16"/>
          <w:szCs w:val="16"/>
        </w:rPr>
        <w:t>4</w:t>
      </w:r>
      <w:r w:rsidRPr="00F402B7">
        <w:rPr>
          <w:sz w:val="16"/>
          <w:szCs w:val="16"/>
        </w:rPr>
        <w:tab/>
        <w:t>(DEXA)</w:t>
      </w:r>
      <w:r w:rsidRPr="00F402B7">
        <w:rPr>
          <w:sz w:val="16"/>
          <w:szCs w:val="16"/>
        </w:rPr>
        <w:tab/>
      </w:r>
    </w:p>
    <w:p w:rsidR="00F402B7" w:rsidRPr="00F402B7" w:rsidRDefault="00F402B7" w:rsidP="00A948CD">
      <w:pPr>
        <w:spacing w:after="0"/>
        <w:ind w:left="0"/>
        <w:rPr>
          <w:sz w:val="16"/>
          <w:szCs w:val="16"/>
        </w:rPr>
      </w:pPr>
      <w:r w:rsidRPr="00F402B7">
        <w:rPr>
          <w:sz w:val="16"/>
          <w:szCs w:val="16"/>
        </w:rPr>
        <w:t>5</w:t>
      </w:r>
      <w:r w:rsidRPr="00F402B7">
        <w:rPr>
          <w:sz w:val="16"/>
          <w:szCs w:val="16"/>
        </w:rPr>
        <w:tab/>
        <w:t>#1 OR #2 OR #3 OR #4</w:t>
      </w:r>
      <w:r w:rsidRPr="00F402B7">
        <w:rPr>
          <w:sz w:val="16"/>
          <w:szCs w:val="16"/>
        </w:rPr>
        <w:tab/>
      </w:r>
    </w:p>
    <w:p w:rsidR="00F402B7" w:rsidRPr="00F402B7" w:rsidRDefault="00F402B7" w:rsidP="00A948CD">
      <w:pPr>
        <w:spacing w:after="0"/>
        <w:ind w:left="0"/>
        <w:rPr>
          <w:sz w:val="16"/>
          <w:szCs w:val="16"/>
        </w:rPr>
      </w:pPr>
      <w:r w:rsidRPr="00F402B7">
        <w:rPr>
          <w:sz w:val="16"/>
          <w:szCs w:val="16"/>
        </w:rPr>
        <w:t>6</w:t>
      </w:r>
      <w:r w:rsidRPr="00F402B7">
        <w:rPr>
          <w:sz w:val="16"/>
          <w:szCs w:val="16"/>
        </w:rPr>
        <w:tab/>
        <w:t>(FRAX)</w:t>
      </w:r>
      <w:r w:rsidRPr="00F402B7">
        <w:rPr>
          <w:sz w:val="16"/>
          <w:szCs w:val="16"/>
        </w:rPr>
        <w:tab/>
      </w:r>
    </w:p>
    <w:p w:rsidR="00F402B7" w:rsidRPr="00F402B7" w:rsidRDefault="00F402B7" w:rsidP="00A948CD">
      <w:pPr>
        <w:spacing w:after="0"/>
        <w:ind w:left="0"/>
        <w:rPr>
          <w:sz w:val="16"/>
          <w:szCs w:val="16"/>
        </w:rPr>
      </w:pPr>
      <w:r w:rsidRPr="00F402B7">
        <w:rPr>
          <w:sz w:val="16"/>
          <w:szCs w:val="16"/>
        </w:rPr>
        <w:t>7</w:t>
      </w:r>
      <w:r w:rsidRPr="00F402B7">
        <w:rPr>
          <w:sz w:val="16"/>
          <w:szCs w:val="16"/>
        </w:rPr>
        <w:tab/>
        <w:t>(osteoporosis screening)</w:t>
      </w:r>
    </w:p>
    <w:p w:rsidR="00F402B7" w:rsidRPr="00F402B7" w:rsidRDefault="00F402B7" w:rsidP="00A948CD">
      <w:pPr>
        <w:spacing w:after="0"/>
        <w:ind w:left="0"/>
        <w:rPr>
          <w:sz w:val="16"/>
          <w:szCs w:val="16"/>
        </w:rPr>
      </w:pPr>
      <w:r w:rsidRPr="00F402B7">
        <w:rPr>
          <w:sz w:val="16"/>
          <w:szCs w:val="16"/>
        </w:rPr>
        <w:t>8</w:t>
      </w:r>
      <w:r w:rsidRPr="00F402B7">
        <w:rPr>
          <w:sz w:val="16"/>
          <w:szCs w:val="16"/>
        </w:rPr>
        <w:tab/>
        <w:t>(QFracture)</w:t>
      </w:r>
    </w:p>
    <w:p w:rsidR="00F402B7" w:rsidRPr="00F402B7" w:rsidRDefault="00F402B7" w:rsidP="00A948CD">
      <w:pPr>
        <w:spacing w:after="0"/>
        <w:ind w:left="0"/>
        <w:rPr>
          <w:sz w:val="16"/>
          <w:szCs w:val="16"/>
        </w:rPr>
      </w:pPr>
      <w:r w:rsidRPr="00F402B7">
        <w:rPr>
          <w:sz w:val="16"/>
          <w:szCs w:val="16"/>
        </w:rPr>
        <w:t>9</w:t>
      </w:r>
      <w:r w:rsidRPr="00F402B7">
        <w:rPr>
          <w:sz w:val="16"/>
          <w:szCs w:val="16"/>
        </w:rPr>
        <w:tab/>
        <w:t>(risk of fragility fracture)</w:t>
      </w:r>
    </w:p>
    <w:p w:rsidR="00F402B7" w:rsidRPr="00F402B7" w:rsidRDefault="00F402B7" w:rsidP="00A948CD">
      <w:pPr>
        <w:spacing w:after="0"/>
        <w:ind w:left="0"/>
        <w:rPr>
          <w:sz w:val="16"/>
          <w:szCs w:val="16"/>
        </w:rPr>
      </w:pPr>
      <w:r w:rsidRPr="00F402B7">
        <w:rPr>
          <w:sz w:val="16"/>
          <w:szCs w:val="16"/>
        </w:rPr>
        <w:t>10</w:t>
      </w:r>
      <w:r w:rsidRPr="00F402B7">
        <w:rPr>
          <w:sz w:val="16"/>
          <w:szCs w:val="16"/>
        </w:rPr>
        <w:tab/>
        <w:t>(clinical assessment)</w:t>
      </w:r>
    </w:p>
    <w:p w:rsidR="00F402B7" w:rsidRPr="00F402B7" w:rsidRDefault="00F402B7" w:rsidP="00A948CD">
      <w:pPr>
        <w:spacing w:after="0"/>
        <w:ind w:left="0"/>
        <w:rPr>
          <w:sz w:val="16"/>
          <w:szCs w:val="16"/>
        </w:rPr>
      </w:pPr>
      <w:r w:rsidRPr="00F402B7">
        <w:rPr>
          <w:sz w:val="16"/>
          <w:szCs w:val="16"/>
        </w:rPr>
        <w:t>11</w:t>
      </w:r>
      <w:r w:rsidRPr="00F402B7">
        <w:rPr>
          <w:sz w:val="16"/>
          <w:szCs w:val="16"/>
        </w:rPr>
        <w:tab/>
        <w:t>#6 OR #7 OR #8 OR #9 OR #10</w:t>
      </w:r>
    </w:p>
    <w:p w:rsidR="00F402B7" w:rsidRDefault="00F402B7" w:rsidP="00A948CD">
      <w:pPr>
        <w:spacing w:after="0"/>
        <w:ind w:left="0"/>
        <w:rPr>
          <w:sz w:val="16"/>
          <w:szCs w:val="16"/>
        </w:rPr>
      </w:pPr>
      <w:r w:rsidRPr="00F402B7">
        <w:rPr>
          <w:sz w:val="16"/>
          <w:szCs w:val="16"/>
        </w:rPr>
        <w:t>12</w:t>
      </w:r>
      <w:r w:rsidRPr="00F402B7">
        <w:rPr>
          <w:sz w:val="16"/>
          <w:szCs w:val="16"/>
        </w:rPr>
        <w:tab/>
        <w:t>#5 AND #11</w:t>
      </w:r>
    </w:p>
    <w:p w:rsidR="00F402B7" w:rsidRDefault="00F402B7" w:rsidP="00A948CD">
      <w:pPr>
        <w:spacing w:after="0"/>
        <w:ind w:left="0"/>
        <w:rPr>
          <w:sz w:val="16"/>
          <w:szCs w:val="16"/>
        </w:rPr>
      </w:pPr>
    </w:p>
    <w:p w:rsidR="00F402B7" w:rsidRPr="00F402B7" w:rsidRDefault="00FF1CAF" w:rsidP="00A948CD">
      <w:pPr>
        <w:ind w:left="0"/>
        <w:rPr>
          <w:b/>
          <w:szCs w:val="24"/>
        </w:rPr>
      </w:pPr>
      <w:r>
        <w:rPr>
          <w:b/>
          <w:szCs w:val="24"/>
        </w:rPr>
        <w:t xml:space="preserve">Search </w:t>
      </w:r>
      <w:r w:rsidR="00F402B7" w:rsidRPr="00F402B7">
        <w:rPr>
          <w:b/>
          <w:szCs w:val="24"/>
        </w:rPr>
        <w:t>3</w:t>
      </w:r>
    </w:p>
    <w:p w:rsidR="00F402B7" w:rsidRPr="00F402B7" w:rsidRDefault="00F402B7" w:rsidP="00A948CD">
      <w:pPr>
        <w:spacing w:after="0"/>
        <w:ind w:left="0"/>
        <w:rPr>
          <w:b/>
          <w:sz w:val="16"/>
          <w:szCs w:val="16"/>
        </w:rPr>
      </w:pPr>
      <w:r w:rsidRPr="00F402B7">
        <w:rPr>
          <w:b/>
          <w:sz w:val="16"/>
          <w:szCs w:val="16"/>
        </w:rPr>
        <w:t>Ovid Medline:</w:t>
      </w:r>
    </w:p>
    <w:p w:rsidR="00F402B7" w:rsidRPr="00F402B7" w:rsidRDefault="00F402B7" w:rsidP="00A948CD">
      <w:pPr>
        <w:spacing w:after="0"/>
        <w:ind w:left="0"/>
        <w:rPr>
          <w:sz w:val="16"/>
          <w:szCs w:val="16"/>
        </w:rPr>
      </w:pPr>
      <w:r w:rsidRPr="00F402B7">
        <w:rPr>
          <w:sz w:val="16"/>
          <w:szCs w:val="16"/>
        </w:rPr>
        <w:t xml:space="preserve">1. </w:t>
      </w:r>
      <w:r w:rsidRPr="00F402B7">
        <w:rPr>
          <w:sz w:val="16"/>
          <w:szCs w:val="16"/>
        </w:rPr>
        <w:tab/>
        <w:t xml:space="preserve">risedronate.mp. </w:t>
      </w:r>
      <w:r w:rsidRPr="00F402B7">
        <w:rPr>
          <w:sz w:val="16"/>
          <w:szCs w:val="16"/>
        </w:rPr>
        <w:tab/>
      </w:r>
    </w:p>
    <w:p w:rsidR="00C91D8A" w:rsidRDefault="00F402B7" w:rsidP="00A948CD">
      <w:pPr>
        <w:spacing w:after="0"/>
        <w:ind w:left="0"/>
        <w:rPr>
          <w:sz w:val="16"/>
          <w:szCs w:val="16"/>
        </w:rPr>
      </w:pPr>
      <w:r w:rsidRPr="00F402B7">
        <w:rPr>
          <w:sz w:val="16"/>
          <w:szCs w:val="16"/>
        </w:rPr>
        <w:t xml:space="preserve">2. </w:t>
      </w:r>
      <w:r w:rsidRPr="00F402B7">
        <w:rPr>
          <w:sz w:val="16"/>
          <w:szCs w:val="16"/>
        </w:rPr>
        <w:tab/>
        <w:t>ibandronate.mp.</w:t>
      </w:r>
    </w:p>
    <w:p w:rsidR="00F402B7" w:rsidRPr="00F402B7" w:rsidRDefault="00F402B7" w:rsidP="00A948CD">
      <w:pPr>
        <w:spacing w:after="0"/>
        <w:ind w:left="0"/>
        <w:rPr>
          <w:sz w:val="16"/>
          <w:szCs w:val="16"/>
        </w:rPr>
      </w:pPr>
      <w:r w:rsidRPr="00F402B7">
        <w:rPr>
          <w:sz w:val="16"/>
          <w:szCs w:val="16"/>
        </w:rPr>
        <w:t xml:space="preserve">3. </w:t>
      </w:r>
      <w:r w:rsidRPr="00F402B7">
        <w:rPr>
          <w:sz w:val="16"/>
          <w:szCs w:val="16"/>
        </w:rPr>
        <w:tab/>
        <w:t>zoledronic.mp.</w:t>
      </w:r>
    </w:p>
    <w:p w:rsidR="00F402B7" w:rsidRPr="00F402B7" w:rsidRDefault="00F402B7" w:rsidP="00A948CD">
      <w:pPr>
        <w:spacing w:after="0"/>
        <w:ind w:left="0"/>
        <w:rPr>
          <w:sz w:val="16"/>
          <w:szCs w:val="16"/>
        </w:rPr>
      </w:pPr>
      <w:r w:rsidRPr="00F402B7">
        <w:rPr>
          <w:sz w:val="16"/>
          <w:szCs w:val="16"/>
        </w:rPr>
        <w:t xml:space="preserve">4. </w:t>
      </w:r>
      <w:r w:rsidRPr="00F402B7">
        <w:rPr>
          <w:sz w:val="16"/>
          <w:szCs w:val="16"/>
        </w:rPr>
        <w:tab/>
        <w:t>exp Diphosphonates/</w:t>
      </w:r>
    </w:p>
    <w:p w:rsidR="00C91D8A" w:rsidRDefault="00F402B7" w:rsidP="00D009D1">
      <w:pPr>
        <w:spacing w:after="0"/>
        <w:ind w:left="0"/>
        <w:rPr>
          <w:sz w:val="16"/>
          <w:szCs w:val="16"/>
        </w:rPr>
      </w:pPr>
      <w:r w:rsidRPr="00F402B7">
        <w:rPr>
          <w:sz w:val="16"/>
          <w:szCs w:val="16"/>
        </w:rPr>
        <w:t xml:space="preserve">5. </w:t>
      </w:r>
      <w:r w:rsidRPr="00F402B7">
        <w:rPr>
          <w:sz w:val="16"/>
          <w:szCs w:val="16"/>
        </w:rPr>
        <w:tab/>
        <w:t>Bisphosphonates.mp.</w:t>
      </w:r>
    </w:p>
    <w:p w:rsidR="00F402B7" w:rsidRPr="00F402B7" w:rsidRDefault="00F402B7" w:rsidP="00D009D1">
      <w:pPr>
        <w:spacing w:after="0"/>
        <w:ind w:left="0"/>
        <w:rPr>
          <w:sz w:val="16"/>
          <w:szCs w:val="16"/>
        </w:rPr>
      </w:pPr>
      <w:r w:rsidRPr="00F402B7">
        <w:rPr>
          <w:sz w:val="16"/>
          <w:szCs w:val="16"/>
        </w:rPr>
        <w:t xml:space="preserve">6. </w:t>
      </w:r>
      <w:r w:rsidRPr="00F402B7">
        <w:rPr>
          <w:sz w:val="16"/>
          <w:szCs w:val="16"/>
        </w:rPr>
        <w:tab/>
        <w:t>alendronate.mp.</w:t>
      </w:r>
      <w:r w:rsidRPr="00F402B7">
        <w:rPr>
          <w:sz w:val="16"/>
          <w:szCs w:val="16"/>
        </w:rPr>
        <w:tab/>
      </w:r>
      <w:r w:rsidRPr="00F402B7">
        <w:rPr>
          <w:sz w:val="16"/>
          <w:szCs w:val="16"/>
        </w:rPr>
        <w:tab/>
      </w:r>
    </w:p>
    <w:p w:rsidR="00F402B7" w:rsidRPr="00F402B7" w:rsidRDefault="00F402B7" w:rsidP="00D009D1">
      <w:pPr>
        <w:spacing w:after="0"/>
        <w:ind w:left="0"/>
        <w:rPr>
          <w:sz w:val="16"/>
          <w:szCs w:val="16"/>
        </w:rPr>
      </w:pPr>
      <w:r w:rsidRPr="00F402B7">
        <w:rPr>
          <w:sz w:val="16"/>
          <w:szCs w:val="16"/>
        </w:rPr>
        <w:t xml:space="preserve">7. </w:t>
      </w:r>
      <w:r w:rsidRPr="00F402B7">
        <w:rPr>
          <w:sz w:val="16"/>
          <w:szCs w:val="16"/>
        </w:rPr>
        <w:tab/>
        <w:t>Denosumab.mp.</w:t>
      </w:r>
      <w:r w:rsidRPr="00F402B7">
        <w:rPr>
          <w:sz w:val="16"/>
          <w:szCs w:val="16"/>
        </w:rPr>
        <w:tab/>
      </w:r>
      <w:r w:rsidRPr="00F402B7">
        <w:rPr>
          <w:sz w:val="16"/>
          <w:szCs w:val="16"/>
        </w:rPr>
        <w:tab/>
      </w:r>
    </w:p>
    <w:p w:rsidR="00C91D8A" w:rsidRDefault="00F402B7" w:rsidP="00D009D1">
      <w:pPr>
        <w:spacing w:after="0"/>
        <w:ind w:left="0"/>
        <w:rPr>
          <w:sz w:val="16"/>
          <w:szCs w:val="16"/>
        </w:rPr>
      </w:pPr>
      <w:r w:rsidRPr="00F402B7">
        <w:rPr>
          <w:sz w:val="16"/>
          <w:szCs w:val="16"/>
        </w:rPr>
        <w:t xml:space="preserve">8. </w:t>
      </w:r>
      <w:r w:rsidRPr="00F402B7">
        <w:rPr>
          <w:sz w:val="16"/>
          <w:szCs w:val="16"/>
        </w:rPr>
        <w:tab/>
        <w:t>strontium ranelate.mp.</w:t>
      </w:r>
    </w:p>
    <w:p w:rsidR="00C91D8A" w:rsidRDefault="00F402B7" w:rsidP="00D009D1">
      <w:pPr>
        <w:spacing w:after="0"/>
        <w:ind w:left="0"/>
        <w:rPr>
          <w:sz w:val="16"/>
          <w:szCs w:val="16"/>
        </w:rPr>
      </w:pPr>
      <w:r w:rsidRPr="00F402B7">
        <w:rPr>
          <w:sz w:val="16"/>
          <w:szCs w:val="16"/>
        </w:rPr>
        <w:t xml:space="preserve">9. </w:t>
      </w:r>
      <w:r w:rsidRPr="00F402B7">
        <w:rPr>
          <w:sz w:val="16"/>
          <w:szCs w:val="16"/>
        </w:rPr>
        <w:tab/>
        <w:t>exp Bone Density Conservation Agents/</w:t>
      </w:r>
    </w:p>
    <w:p w:rsidR="00C91D8A" w:rsidRDefault="00F402B7" w:rsidP="00D009D1">
      <w:pPr>
        <w:spacing w:after="0"/>
        <w:ind w:left="0"/>
        <w:rPr>
          <w:sz w:val="16"/>
          <w:szCs w:val="16"/>
        </w:rPr>
      </w:pPr>
      <w:r w:rsidRPr="00F402B7">
        <w:rPr>
          <w:sz w:val="16"/>
          <w:szCs w:val="16"/>
        </w:rPr>
        <w:t xml:space="preserve">10. </w:t>
      </w:r>
      <w:r w:rsidRPr="00F402B7">
        <w:rPr>
          <w:sz w:val="16"/>
          <w:szCs w:val="16"/>
        </w:rPr>
        <w:tab/>
        <w:t>exp Raloxifene/</w:t>
      </w:r>
    </w:p>
    <w:p w:rsidR="00C91D8A" w:rsidRDefault="00F402B7" w:rsidP="00D009D1">
      <w:pPr>
        <w:spacing w:after="0"/>
        <w:ind w:left="0"/>
        <w:rPr>
          <w:sz w:val="16"/>
          <w:szCs w:val="16"/>
        </w:rPr>
      </w:pPr>
      <w:r w:rsidRPr="00F402B7">
        <w:rPr>
          <w:sz w:val="16"/>
          <w:szCs w:val="16"/>
        </w:rPr>
        <w:t xml:space="preserve">11. </w:t>
      </w:r>
      <w:r w:rsidRPr="00F402B7">
        <w:rPr>
          <w:sz w:val="16"/>
          <w:szCs w:val="16"/>
        </w:rPr>
        <w:tab/>
        <w:t>Raloxifene.mp.</w:t>
      </w:r>
    </w:p>
    <w:p w:rsidR="00C91D8A" w:rsidRDefault="00F402B7" w:rsidP="00D009D1">
      <w:pPr>
        <w:spacing w:after="0"/>
        <w:ind w:left="0"/>
        <w:rPr>
          <w:sz w:val="16"/>
          <w:szCs w:val="16"/>
        </w:rPr>
      </w:pPr>
      <w:r w:rsidRPr="00F402B7">
        <w:rPr>
          <w:sz w:val="16"/>
          <w:szCs w:val="16"/>
        </w:rPr>
        <w:t xml:space="preserve">12. </w:t>
      </w:r>
      <w:r w:rsidRPr="00F402B7">
        <w:rPr>
          <w:sz w:val="16"/>
          <w:szCs w:val="16"/>
        </w:rPr>
        <w:tab/>
        <w:t>exp Teriparatide/</w:t>
      </w:r>
    </w:p>
    <w:p w:rsidR="00C91D8A" w:rsidRDefault="00F402B7" w:rsidP="00D009D1">
      <w:pPr>
        <w:spacing w:after="0"/>
        <w:ind w:left="0"/>
        <w:rPr>
          <w:sz w:val="16"/>
          <w:szCs w:val="16"/>
        </w:rPr>
      </w:pPr>
      <w:r w:rsidRPr="00F402B7">
        <w:rPr>
          <w:sz w:val="16"/>
          <w:szCs w:val="16"/>
        </w:rPr>
        <w:t xml:space="preserve">13. </w:t>
      </w:r>
      <w:r w:rsidRPr="00F402B7">
        <w:rPr>
          <w:sz w:val="16"/>
          <w:szCs w:val="16"/>
        </w:rPr>
        <w:tab/>
        <w:t>Teriparatide.mp.</w:t>
      </w:r>
    </w:p>
    <w:p w:rsidR="000453C7" w:rsidRDefault="00F402B7" w:rsidP="00D009D1">
      <w:pPr>
        <w:spacing w:after="0"/>
        <w:ind w:left="0"/>
        <w:rPr>
          <w:sz w:val="16"/>
          <w:szCs w:val="16"/>
        </w:rPr>
      </w:pPr>
      <w:r w:rsidRPr="00F402B7">
        <w:rPr>
          <w:sz w:val="16"/>
          <w:szCs w:val="16"/>
        </w:rPr>
        <w:t xml:space="preserve">14. </w:t>
      </w:r>
      <w:r w:rsidRPr="00F402B7">
        <w:rPr>
          <w:sz w:val="16"/>
          <w:szCs w:val="16"/>
        </w:rPr>
        <w:tab/>
        <w:t>anti-resorptive.mp.</w:t>
      </w:r>
    </w:p>
    <w:p w:rsidR="000453C7" w:rsidRDefault="00F402B7" w:rsidP="00D009D1">
      <w:pPr>
        <w:spacing w:after="0"/>
        <w:ind w:left="0"/>
        <w:rPr>
          <w:sz w:val="16"/>
          <w:szCs w:val="16"/>
        </w:rPr>
      </w:pPr>
      <w:r w:rsidRPr="00F402B7">
        <w:rPr>
          <w:sz w:val="16"/>
          <w:szCs w:val="16"/>
        </w:rPr>
        <w:t xml:space="preserve">15. </w:t>
      </w:r>
      <w:r w:rsidRPr="00F402B7">
        <w:rPr>
          <w:sz w:val="16"/>
          <w:szCs w:val="16"/>
        </w:rPr>
        <w:tab/>
        <w:t>Fosamax.mp.</w:t>
      </w:r>
    </w:p>
    <w:p w:rsidR="000453C7" w:rsidRDefault="00F402B7" w:rsidP="00D009D1">
      <w:pPr>
        <w:spacing w:after="0"/>
        <w:ind w:left="0"/>
        <w:rPr>
          <w:sz w:val="16"/>
          <w:szCs w:val="16"/>
        </w:rPr>
      </w:pPr>
      <w:r w:rsidRPr="00F402B7">
        <w:rPr>
          <w:sz w:val="16"/>
          <w:szCs w:val="16"/>
        </w:rPr>
        <w:t xml:space="preserve">16. </w:t>
      </w:r>
      <w:r w:rsidRPr="00F402B7">
        <w:rPr>
          <w:sz w:val="16"/>
          <w:szCs w:val="16"/>
        </w:rPr>
        <w:tab/>
        <w:t>Actonel.mp.</w:t>
      </w:r>
    </w:p>
    <w:p w:rsidR="000453C7" w:rsidRDefault="00F402B7" w:rsidP="00D009D1">
      <w:pPr>
        <w:spacing w:after="0"/>
        <w:ind w:left="0"/>
        <w:rPr>
          <w:sz w:val="16"/>
          <w:szCs w:val="16"/>
        </w:rPr>
      </w:pPr>
      <w:r w:rsidRPr="00F402B7">
        <w:rPr>
          <w:sz w:val="16"/>
          <w:szCs w:val="16"/>
        </w:rPr>
        <w:t xml:space="preserve">17. </w:t>
      </w:r>
      <w:r w:rsidRPr="00F402B7">
        <w:rPr>
          <w:sz w:val="16"/>
          <w:szCs w:val="16"/>
        </w:rPr>
        <w:tab/>
        <w:t>Atelvia.mp.</w:t>
      </w:r>
    </w:p>
    <w:p w:rsidR="000453C7" w:rsidRDefault="00F402B7" w:rsidP="00D009D1">
      <w:pPr>
        <w:spacing w:after="0"/>
        <w:ind w:left="0"/>
        <w:rPr>
          <w:sz w:val="16"/>
          <w:szCs w:val="16"/>
        </w:rPr>
      </w:pPr>
      <w:r w:rsidRPr="00F402B7">
        <w:rPr>
          <w:sz w:val="16"/>
          <w:szCs w:val="16"/>
        </w:rPr>
        <w:t xml:space="preserve">18. </w:t>
      </w:r>
      <w:r w:rsidRPr="00F402B7">
        <w:rPr>
          <w:sz w:val="16"/>
          <w:szCs w:val="16"/>
        </w:rPr>
        <w:tab/>
        <w:t>disodium.mp.</w:t>
      </w:r>
    </w:p>
    <w:p w:rsidR="000453C7" w:rsidRDefault="00F402B7" w:rsidP="00D009D1">
      <w:pPr>
        <w:spacing w:after="0"/>
        <w:ind w:left="0"/>
        <w:rPr>
          <w:sz w:val="16"/>
          <w:szCs w:val="16"/>
        </w:rPr>
      </w:pPr>
      <w:r w:rsidRPr="00F402B7">
        <w:rPr>
          <w:sz w:val="16"/>
          <w:szCs w:val="16"/>
        </w:rPr>
        <w:t xml:space="preserve">19. </w:t>
      </w:r>
      <w:r w:rsidRPr="00F402B7">
        <w:rPr>
          <w:sz w:val="16"/>
          <w:szCs w:val="16"/>
        </w:rPr>
        <w:tab/>
        <w:t>Didronel.mp.</w:t>
      </w:r>
    </w:p>
    <w:p w:rsidR="000453C7" w:rsidRDefault="00F402B7" w:rsidP="00D009D1">
      <w:pPr>
        <w:spacing w:after="0"/>
        <w:ind w:left="0"/>
        <w:rPr>
          <w:sz w:val="16"/>
          <w:szCs w:val="16"/>
        </w:rPr>
      </w:pPr>
      <w:r w:rsidRPr="00F402B7">
        <w:rPr>
          <w:sz w:val="16"/>
          <w:szCs w:val="16"/>
        </w:rPr>
        <w:t xml:space="preserve">20. </w:t>
      </w:r>
      <w:r w:rsidRPr="00F402B7">
        <w:rPr>
          <w:sz w:val="16"/>
          <w:szCs w:val="16"/>
        </w:rPr>
        <w:tab/>
        <w:t>clodronate.mp.</w:t>
      </w:r>
    </w:p>
    <w:p w:rsidR="000453C7" w:rsidRDefault="00F402B7" w:rsidP="00D009D1">
      <w:pPr>
        <w:spacing w:after="0"/>
        <w:ind w:left="0"/>
        <w:rPr>
          <w:sz w:val="16"/>
          <w:szCs w:val="16"/>
        </w:rPr>
      </w:pPr>
      <w:r w:rsidRPr="00F402B7">
        <w:rPr>
          <w:sz w:val="16"/>
          <w:szCs w:val="16"/>
        </w:rPr>
        <w:t xml:space="preserve">21. </w:t>
      </w:r>
      <w:r w:rsidRPr="00F402B7">
        <w:rPr>
          <w:sz w:val="16"/>
          <w:szCs w:val="16"/>
        </w:rPr>
        <w:tab/>
        <w:t>BONEFOS.mp.</w:t>
      </w:r>
    </w:p>
    <w:p w:rsidR="000453C7" w:rsidRDefault="00F402B7" w:rsidP="00D009D1">
      <w:pPr>
        <w:spacing w:after="0"/>
        <w:ind w:left="0"/>
        <w:rPr>
          <w:sz w:val="16"/>
          <w:szCs w:val="16"/>
        </w:rPr>
      </w:pPr>
      <w:r w:rsidRPr="00F402B7">
        <w:rPr>
          <w:sz w:val="16"/>
          <w:szCs w:val="16"/>
        </w:rPr>
        <w:t xml:space="preserve">22. </w:t>
      </w:r>
      <w:r w:rsidRPr="00F402B7">
        <w:rPr>
          <w:sz w:val="16"/>
          <w:szCs w:val="16"/>
        </w:rPr>
        <w:tab/>
        <w:t>ibandronic acid.mp.</w:t>
      </w:r>
    </w:p>
    <w:p w:rsidR="000453C7" w:rsidRDefault="00F402B7" w:rsidP="00D009D1">
      <w:pPr>
        <w:spacing w:after="0"/>
        <w:ind w:left="0"/>
        <w:rPr>
          <w:sz w:val="16"/>
          <w:szCs w:val="16"/>
        </w:rPr>
      </w:pPr>
      <w:r w:rsidRPr="00F402B7">
        <w:rPr>
          <w:sz w:val="16"/>
          <w:szCs w:val="16"/>
        </w:rPr>
        <w:t xml:space="preserve">23. </w:t>
      </w:r>
      <w:r w:rsidRPr="00F402B7">
        <w:rPr>
          <w:sz w:val="16"/>
          <w:szCs w:val="16"/>
        </w:rPr>
        <w:tab/>
        <w:t>Bonviva.mp.</w:t>
      </w:r>
    </w:p>
    <w:p w:rsidR="000453C7" w:rsidRDefault="00F402B7" w:rsidP="00D009D1">
      <w:pPr>
        <w:spacing w:after="0"/>
        <w:ind w:left="0"/>
        <w:rPr>
          <w:sz w:val="16"/>
          <w:szCs w:val="16"/>
        </w:rPr>
      </w:pPr>
      <w:r w:rsidRPr="00F402B7">
        <w:rPr>
          <w:sz w:val="16"/>
          <w:szCs w:val="16"/>
        </w:rPr>
        <w:t xml:space="preserve">24. </w:t>
      </w:r>
      <w:r w:rsidRPr="00F402B7">
        <w:rPr>
          <w:sz w:val="16"/>
          <w:szCs w:val="16"/>
        </w:rPr>
        <w:tab/>
        <w:t>Zometa.mp.</w:t>
      </w:r>
    </w:p>
    <w:p w:rsidR="000453C7" w:rsidRDefault="00F402B7" w:rsidP="00D009D1">
      <w:pPr>
        <w:spacing w:after="0"/>
        <w:ind w:left="0"/>
        <w:rPr>
          <w:sz w:val="16"/>
          <w:szCs w:val="16"/>
        </w:rPr>
      </w:pPr>
      <w:r w:rsidRPr="00F402B7">
        <w:rPr>
          <w:sz w:val="16"/>
          <w:szCs w:val="16"/>
        </w:rPr>
        <w:t xml:space="preserve">25. </w:t>
      </w:r>
      <w:r w:rsidRPr="00F402B7">
        <w:rPr>
          <w:sz w:val="16"/>
          <w:szCs w:val="16"/>
        </w:rPr>
        <w:tab/>
        <w:t>Zomera.mp.</w:t>
      </w:r>
    </w:p>
    <w:p w:rsidR="000453C7" w:rsidRDefault="00F402B7" w:rsidP="00D009D1">
      <w:pPr>
        <w:spacing w:after="0"/>
        <w:ind w:left="0"/>
        <w:rPr>
          <w:sz w:val="16"/>
          <w:szCs w:val="16"/>
        </w:rPr>
      </w:pPr>
      <w:r w:rsidRPr="00F402B7">
        <w:rPr>
          <w:sz w:val="16"/>
          <w:szCs w:val="16"/>
        </w:rPr>
        <w:t xml:space="preserve">26. </w:t>
      </w:r>
      <w:r w:rsidRPr="00F402B7">
        <w:rPr>
          <w:sz w:val="16"/>
          <w:szCs w:val="16"/>
        </w:rPr>
        <w:tab/>
        <w:t>Aclasta.mp.</w:t>
      </w:r>
    </w:p>
    <w:p w:rsidR="000453C7" w:rsidRDefault="00F402B7" w:rsidP="00D009D1">
      <w:pPr>
        <w:spacing w:after="0"/>
        <w:ind w:left="0"/>
        <w:rPr>
          <w:sz w:val="16"/>
          <w:szCs w:val="16"/>
        </w:rPr>
      </w:pPr>
      <w:r w:rsidRPr="00F402B7">
        <w:rPr>
          <w:sz w:val="16"/>
          <w:szCs w:val="16"/>
        </w:rPr>
        <w:lastRenderedPageBreak/>
        <w:t xml:space="preserve">27. </w:t>
      </w:r>
      <w:r w:rsidRPr="00F402B7">
        <w:rPr>
          <w:sz w:val="16"/>
          <w:szCs w:val="16"/>
        </w:rPr>
        <w:tab/>
        <w:t>Reclast.mp.</w:t>
      </w:r>
    </w:p>
    <w:p w:rsidR="000453C7" w:rsidRDefault="00F402B7" w:rsidP="00D009D1">
      <w:pPr>
        <w:spacing w:after="0"/>
        <w:ind w:left="0"/>
        <w:rPr>
          <w:sz w:val="16"/>
          <w:szCs w:val="16"/>
        </w:rPr>
      </w:pPr>
      <w:r w:rsidRPr="00F402B7">
        <w:rPr>
          <w:sz w:val="16"/>
          <w:szCs w:val="16"/>
        </w:rPr>
        <w:t xml:space="preserve">28. </w:t>
      </w:r>
      <w:r w:rsidRPr="00F402B7">
        <w:rPr>
          <w:sz w:val="16"/>
          <w:szCs w:val="16"/>
        </w:rPr>
        <w:tab/>
        <w:t>selective estrogen receptor modulator.mp.</w:t>
      </w:r>
    </w:p>
    <w:p w:rsidR="000453C7" w:rsidRDefault="00F402B7" w:rsidP="00D009D1">
      <w:pPr>
        <w:spacing w:after="0"/>
        <w:ind w:left="0"/>
        <w:rPr>
          <w:sz w:val="16"/>
          <w:szCs w:val="16"/>
        </w:rPr>
      </w:pPr>
      <w:r w:rsidRPr="00F402B7">
        <w:rPr>
          <w:sz w:val="16"/>
          <w:szCs w:val="16"/>
        </w:rPr>
        <w:t xml:space="preserve">29. </w:t>
      </w:r>
      <w:r w:rsidRPr="00F402B7">
        <w:rPr>
          <w:sz w:val="16"/>
          <w:szCs w:val="16"/>
        </w:rPr>
        <w:tab/>
        <w:t>SERM.mp.</w:t>
      </w:r>
    </w:p>
    <w:p w:rsidR="000453C7" w:rsidRDefault="00F402B7" w:rsidP="00D009D1">
      <w:pPr>
        <w:spacing w:after="0"/>
        <w:ind w:left="0"/>
        <w:rPr>
          <w:sz w:val="16"/>
          <w:szCs w:val="16"/>
        </w:rPr>
      </w:pPr>
      <w:r w:rsidRPr="00F402B7">
        <w:rPr>
          <w:sz w:val="16"/>
          <w:szCs w:val="16"/>
        </w:rPr>
        <w:t xml:space="preserve">30. </w:t>
      </w:r>
      <w:r w:rsidRPr="00F402B7">
        <w:rPr>
          <w:sz w:val="16"/>
          <w:szCs w:val="16"/>
        </w:rPr>
        <w:tab/>
        <w:t>Prolia.mp.</w:t>
      </w:r>
    </w:p>
    <w:p w:rsidR="000453C7" w:rsidRDefault="00F402B7" w:rsidP="00D009D1">
      <w:pPr>
        <w:spacing w:after="0"/>
        <w:ind w:left="0"/>
        <w:rPr>
          <w:sz w:val="16"/>
          <w:szCs w:val="16"/>
        </w:rPr>
      </w:pPr>
      <w:r w:rsidRPr="00F402B7">
        <w:rPr>
          <w:sz w:val="16"/>
          <w:szCs w:val="16"/>
        </w:rPr>
        <w:t xml:space="preserve">31. </w:t>
      </w:r>
      <w:r w:rsidRPr="00F402B7">
        <w:rPr>
          <w:sz w:val="16"/>
          <w:szCs w:val="16"/>
        </w:rPr>
        <w:tab/>
        <w:t>Xgeva.mp.</w:t>
      </w:r>
    </w:p>
    <w:p w:rsidR="000453C7" w:rsidRDefault="00F402B7" w:rsidP="00D009D1">
      <w:pPr>
        <w:spacing w:after="0"/>
        <w:ind w:left="0"/>
        <w:rPr>
          <w:sz w:val="16"/>
          <w:szCs w:val="16"/>
        </w:rPr>
      </w:pPr>
      <w:r w:rsidRPr="00F402B7">
        <w:rPr>
          <w:sz w:val="16"/>
          <w:szCs w:val="16"/>
        </w:rPr>
        <w:t xml:space="preserve">32. </w:t>
      </w:r>
      <w:r w:rsidRPr="00F402B7">
        <w:rPr>
          <w:sz w:val="16"/>
          <w:szCs w:val="16"/>
        </w:rPr>
        <w:tab/>
        <w:t>carbamazepine.mp.</w:t>
      </w:r>
    </w:p>
    <w:p w:rsidR="000453C7" w:rsidRDefault="00F402B7" w:rsidP="00D009D1">
      <w:pPr>
        <w:spacing w:after="0"/>
        <w:ind w:left="0"/>
        <w:rPr>
          <w:sz w:val="16"/>
          <w:szCs w:val="16"/>
        </w:rPr>
      </w:pPr>
      <w:r w:rsidRPr="00F402B7">
        <w:rPr>
          <w:sz w:val="16"/>
          <w:szCs w:val="16"/>
        </w:rPr>
        <w:t xml:space="preserve">33. </w:t>
      </w:r>
      <w:r w:rsidRPr="00F402B7">
        <w:rPr>
          <w:sz w:val="16"/>
          <w:szCs w:val="16"/>
        </w:rPr>
        <w:tab/>
        <w:t>parathyroid hormone.mp.</w:t>
      </w:r>
    </w:p>
    <w:p w:rsidR="000453C7" w:rsidRDefault="00F402B7" w:rsidP="00D009D1">
      <w:pPr>
        <w:spacing w:after="0"/>
        <w:ind w:left="0"/>
        <w:rPr>
          <w:sz w:val="16"/>
          <w:szCs w:val="16"/>
        </w:rPr>
      </w:pPr>
      <w:r w:rsidRPr="00F402B7">
        <w:rPr>
          <w:sz w:val="16"/>
          <w:szCs w:val="16"/>
        </w:rPr>
        <w:t xml:space="preserve">34. </w:t>
      </w:r>
      <w:r w:rsidRPr="00F402B7">
        <w:rPr>
          <w:sz w:val="16"/>
          <w:szCs w:val="16"/>
        </w:rPr>
        <w:tab/>
        <w:t>Protelos.mp.</w:t>
      </w:r>
    </w:p>
    <w:p w:rsidR="000453C7" w:rsidRDefault="00F402B7" w:rsidP="00D009D1">
      <w:pPr>
        <w:spacing w:after="0"/>
        <w:ind w:left="0"/>
        <w:rPr>
          <w:sz w:val="16"/>
          <w:szCs w:val="16"/>
        </w:rPr>
      </w:pPr>
      <w:r w:rsidRPr="00F402B7">
        <w:rPr>
          <w:sz w:val="16"/>
          <w:szCs w:val="16"/>
        </w:rPr>
        <w:t xml:space="preserve">35. </w:t>
      </w:r>
      <w:r w:rsidRPr="00F402B7">
        <w:rPr>
          <w:sz w:val="16"/>
          <w:szCs w:val="16"/>
        </w:rPr>
        <w:tab/>
        <w:t>Protos.mp.</w:t>
      </w:r>
    </w:p>
    <w:p w:rsidR="000453C7" w:rsidRDefault="00F402B7" w:rsidP="00D009D1">
      <w:pPr>
        <w:spacing w:after="0"/>
        <w:ind w:left="0"/>
        <w:rPr>
          <w:sz w:val="16"/>
          <w:szCs w:val="16"/>
        </w:rPr>
      </w:pPr>
      <w:r w:rsidRPr="00F402B7">
        <w:rPr>
          <w:sz w:val="16"/>
          <w:szCs w:val="16"/>
        </w:rPr>
        <w:t xml:space="preserve">36. </w:t>
      </w:r>
      <w:r w:rsidRPr="00F402B7">
        <w:rPr>
          <w:sz w:val="16"/>
          <w:szCs w:val="16"/>
        </w:rPr>
        <w:tab/>
        <w:t>calcitrol.mp.</w:t>
      </w:r>
    </w:p>
    <w:p w:rsidR="00F402B7" w:rsidRPr="00F402B7" w:rsidRDefault="00F402B7" w:rsidP="00D009D1">
      <w:pPr>
        <w:spacing w:after="0"/>
        <w:ind w:left="0"/>
        <w:rPr>
          <w:sz w:val="16"/>
          <w:szCs w:val="16"/>
        </w:rPr>
      </w:pPr>
      <w:r w:rsidRPr="00F402B7">
        <w:rPr>
          <w:sz w:val="16"/>
          <w:szCs w:val="16"/>
        </w:rPr>
        <w:t xml:space="preserve">37. </w:t>
      </w:r>
      <w:r w:rsidRPr="00F402B7">
        <w:rPr>
          <w:sz w:val="16"/>
          <w:szCs w:val="16"/>
        </w:rPr>
        <w:tab/>
        <w:t xml:space="preserve">exp Selective Estrogen Receptor Modulators/ </w:t>
      </w:r>
      <w:r w:rsidRPr="00F402B7">
        <w:rPr>
          <w:sz w:val="16"/>
          <w:szCs w:val="16"/>
        </w:rPr>
        <w:tab/>
      </w:r>
    </w:p>
    <w:p w:rsidR="000453C7" w:rsidRDefault="00F402B7" w:rsidP="00D009D1">
      <w:pPr>
        <w:spacing w:after="0"/>
        <w:ind w:left="0"/>
        <w:rPr>
          <w:sz w:val="16"/>
          <w:szCs w:val="16"/>
        </w:rPr>
      </w:pPr>
      <w:r w:rsidRPr="00F402B7">
        <w:rPr>
          <w:sz w:val="16"/>
          <w:szCs w:val="16"/>
        </w:rPr>
        <w:t xml:space="preserve">38. </w:t>
      </w:r>
      <w:r w:rsidRPr="00F402B7">
        <w:rPr>
          <w:sz w:val="16"/>
          <w:szCs w:val="16"/>
        </w:rPr>
        <w:tab/>
        <w:t>exp Carbamazepine/</w:t>
      </w:r>
    </w:p>
    <w:p w:rsidR="000453C7" w:rsidRDefault="00F402B7" w:rsidP="00D009D1">
      <w:pPr>
        <w:spacing w:after="0"/>
        <w:ind w:left="0"/>
        <w:rPr>
          <w:sz w:val="16"/>
          <w:szCs w:val="16"/>
        </w:rPr>
      </w:pPr>
      <w:r w:rsidRPr="00F402B7">
        <w:rPr>
          <w:sz w:val="16"/>
          <w:szCs w:val="16"/>
        </w:rPr>
        <w:t xml:space="preserve">39. </w:t>
      </w:r>
      <w:r w:rsidRPr="00F402B7">
        <w:rPr>
          <w:sz w:val="16"/>
          <w:szCs w:val="16"/>
        </w:rPr>
        <w:tab/>
        <w:t>exp Parathyroid Hormone/</w:t>
      </w:r>
    </w:p>
    <w:p w:rsidR="000453C7" w:rsidRDefault="00F402B7" w:rsidP="00D009D1">
      <w:pPr>
        <w:spacing w:after="0"/>
        <w:ind w:left="0"/>
        <w:rPr>
          <w:sz w:val="16"/>
          <w:szCs w:val="16"/>
        </w:rPr>
      </w:pPr>
      <w:r w:rsidRPr="00F402B7">
        <w:rPr>
          <w:sz w:val="16"/>
          <w:szCs w:val="16"/>
        </w:rPr>
        <w:t xml:space="preserve">40. </w:t>
      </w:r>
      <w:r w:rsidRPr="00F402B7">
        <w:rPr>
          <w:sz w:val="16"/>
          <w:szCs w:val="16"/>
        </w:rPr>
        <w:tab/>
        <w:t>exp Calcitriol/</w:t>
      </w:r>
    </w:p>
    <w:p w:rsidR="000453C7" w:rsidRDefault="00F402B7" w:rsidP="00D009D1">
      <w:pPr>
        <w:spacing w:after="0"/>
        <w:ind w:left="0"/>
        <w:rPr>
          <w:sz w:val="16"/>
          <w:szCs w:val="16"/>
        </w:rPr>
      </w:pPr>
      <w:r w:rsidRPr="00F402B7">
        <w:rPr>
          <w:sz w:val="16"/>
          <w:szCs w:val="16"/>
        </w:rPr>
        <w:t xml:space="preserve">41. </w:t>
      </w:r>
      <w:r w:rsidRPr="00F402B7">
        <w:rPr>
          <w:sz w:val="16"/>
          <w:szCs w:val="16"/>
        </w:rPr>
        <w:tab/>
        <w:t>1 or 2 or 3 or 4 or 5 or 6 or 7 or 8 or 9 or 10 or 11 or 12 or 13 or 14 or 15 or 16 or 17 or 18 or 19 or 20 or 21 or 22 or 23 or 24 or 25 or 26 or 27 or 28 or 29 or 30 or 31 or 32 or 33 or 34 or 35 or 36 or 37 or 38 or 39 or 40</w:t>
      </w:r>
    </w:p>
    <w:p w:rsidR="000453C7" w:rsidRDefault="00F402B7" w:rsidP="00D009D1">
      <w:pPr>
        <w:spacing w:after="0"/>
        <w:ind w:left="0"/>
        <w:rPr>
          <w:sz w:val="16"/>
          <w:szCs w:val="16"/>
        </w:rPr>
      </w:pPr>
      <w:r w:rsidRPr="00F402B7">
        <w:rPr>
          <w:sz w:val="16"/>
          <w:szCs w:val="16"/>
        </w:rPr>
        <w:t xml:space="preserve">42. </w:t>
      </w:r>
      <w:r w:rsidRPr="00F402B7">
        <w:rPr>
          <w:sz w:val="16"/>
          <w:szCs w:val="16"/>
        </w:rPr>
        <w:tab/>
        <w:t>Aromatase inhibitors.mp.</w:t>
      </w:r>
    </w:p>
    <w:p w:rsidR="000453C7" w:rsidRDefault="00F402B7" w:rsidP="00D009D1">
      <w:pPr>
        <w:spacing w:after="0"/>
        <w:ind w:left="0"/>
        <w:rPr>
          <w:sz w:val="16"/>
          <w:szCs w:val="16"/>
        </w:rPr>
      </w:pPr>
      <w:r w:rsidRPr="00F402B7">
        <w:rPr>
          <w:sz w:val="16"/>
          <w:szCs w:val="16"/>
        </w:rPr>
        <w:t xml:space="preserve">43. </w:t>
      </w:r>
      <w:r w:rsidRPr="00F402B7">
        <w:rPr>
          <w:sz w:val="16"/>
          <w:szCs w:val="16"/>
        </w:rPr>
        <w:tab/>
        <w:t>exp Aromatase Inhibitors/</w:t>
      </w:r>
    </w:p>
    <w:p w:rsidR="000453C7" w:rsidRDefault="00F402B7" w:rsidP="00D009D1">
      <w:pPr>
        <w:spacing w:after="0"/>
        <w:ind w:left="0"/>
        <w:rPr>
          <w:sz w:val="16"/>
          <w:szCs w:val="16"/>
        </w:rPr>
      </w:pPr>
      <w:r w:rsidRPr="00F402B7">
        <w:rPr>
          <w:sz w:val="16"/>
          <w:szCs w:val="16"/>
        </w:rPr>
        <w:t xml:space="preserve">44. </w:t>
      </w:r>
      <w:r w:rsidRPr="00F402B7">
        <w:rPr>
          <w:sz w:val="16"/>
          <w:szCs w:val="16"/>
        </w:rPr>
        <w:tab/>
        <w:t>Aminoglutethimide.mp.</w:t>
      </w:r>
    </w:p>
    <w:p w:rsidR="000453C7" w:rsidRDefault="00F402B7" w:rsidP="00D009D1">
      <w:pPr>
        <w:spacing w:after="0"/>
        <w:ind w:left="0"/>
        <w:rPr>
          <w:sz w:val="16"/>
          <w:szCs w:val="16"/>
        </w:rPr>
      </w:pPr>
      <w:r w:rsidRPr="00F402B7">
        <w:rPr>
          <w:sz w:val="16"/>
          <w:szCs w:val="16"/>
        </w:rPr>
        <w:t xml:space="preserve">45. </w:t>
      </w:r>
      <w:r w:rsidRPr="00F402B7">
        <w:rPr>
          <w:sz w:val="16"/>
          <w:szCs w:val="16"/>
        </w:rPr>
        <w:tab/>
        <w:t>exp Aminoglutethimide/</w:t>
      </w:r>
    </w:p>
    <w:p w:rsidR="000453C7" w:rsidRDefault="00F402B7" w:rsidP="00D009D1">
      <w:pPr>
        <w:spacing w:after="0"/>
        <w:ind w:left="0"/>
        <w:rPr>
          <w:sz w:val="16"/>
          <w:szCs w:val="16"/>
        </w:rPr>
      </w:pPr>
      <w:r w:rsidRPr="00F402B7">
        <w:rPr>
          <w:sz w:val="16"/>
          <w:szCs w:val="16"/>
        </w:rPr>
        <w:t xml:space="preserve">46. </w:t>
      </w:r>
      <w:r w:rsidRPr="00F402B7">
        <w:rPr>
          <w:sz w:val="16"/>
          <w:szCs w:val="16"/>
        </w:rPr>
        <w:tab/>
        <w:t>Testolactone.mp.</w:t>
      </w:r>
    </w:p>
    <w:p w:rsidR="000453C7" w:rsidRDefault="00F402B7" w:rsidP="00D009D1">
      <w:pPr>
        <w:spacing w:after="0"/>
        <w:ind w:left="0"/>
        <w:rPr>
          <w:sz w:val="16"/>
          <w:szCs w:val="16"/>
        </w:rPr>
      </w:pPr>
      <w:r w:rsidRPr="00F402B7">
        <w:rPr>
          <w:sz w:val="16"/>
          <w:szCs w:val="16"/>
        </w:rPr>
        <w:t xml:space="preserve">47. </w:t>
      </w:r>
      <w:r w:rsidRPr="00F402B7">
        <w:rPr>
          <w:sz w:val="16"/>
          <w:szCs w:val="16"/>
        </w:rPr>
        <w:tab/>
        <w:t>exp Testolactone/</w:t>
      </w:r>
    </w:p>
    <w:p w:rsidR="000453C7" w:rsidRDefault="00F402B7" w:rsidP="00D009D1">
      <w:pPr>
        <w:spacing w:after="0"/>
        <w:ind w:left="0"/>
        <w:rPr>
          <w:sz w:val="16"/>
          <w:szCs w:val="16"/>
        </w:rPr>
      </w:pPr>
      <w:r w:rsidRPr="00F402B7">
        <w:rPr>
          <w:sz w:val="16"/>
          <w:szCs w:val="16"/>
        </w:rPr>
        <w:t xml:space="preserve">48. </w:t>
      </w:r>
      <w:r w:rsidRPr="00F402B7">
        <w:rPr>
          <w:sz w:val="16"/>
          <w:szCs w:val="16"/>
        </w:rPr>
        <w:tab/>
        <w:t>Anastrozole.mp.</w:t>
      </w:r>
    </w:p>
    <w:p w:rsidR="000453C7" w:rsidRDefault="00F402B7" w:rsidP="00D009D1">
      <w:pPr>
        <w:spacing w:after="0"/>
        <w:ind w:left="0"/>
        <w:rPr>
          <w:sz w:val="16"/>
          <w:szCs w:val="16"/>
        </w:rPr>
      </w:pPr>
      <w:r w:rsidRPr="00F402B7">
        <w:rPr>
          <w:sz w:val="16"/>
          <w:szCs w:val="16"/>
        </w:rPr>
        <w:t xml:space="preserve">49. </w:t>
      </w:r>
      <w:r w:rsidRPr="00F402B7">
        <w:rPr>
          <w:sz w:val="16"/>
          <w:szCs w:val="16"/>
        </w:rPr>
        <w:tab/>
        <w:t>Letrozole.mp.</w:t>
      </w:r>
    </w:p>
    <w:p w:rsidR="000453C7" w:rsidRDefault="00F402B7" w:rsidP="00D009D1">
      <w:pPr>
        <w:spacing w:after="0"/>
        <w:ind w:left="0"/>
        <w:rPr>
          <w:sz w:val="16"/>
          <w:szCs w:val="16"/>
        </w:rPr>
      </w:pPr>
      <w:r w:rsidRPr="00F402B7">
        <w:rPr>
          <w:sz w:val="16"/>
          <w:szCs w:val="16"/>
        </w:rPr>
        <w:t xml:space="preserve">50. </w:t>
      </w:r>
      <w:r w:rsidRPr="00F402B7">
        <w:rPr>
          <w:sz w:val="16"/>
          <w:szCs w:val="16"/>
        </w:rPr>
        <w:tab/>
        <w:t>Exemestane.mp.</w:t>
      </w:r>
    </w:p>
    <w:p w:rsidR="000453C7" w:rsidRDefault="00F402B7" w:rsidP="00D009D1">
      <w:pPr>
        <w:spacing w:after="0"/>
        <w:ind w:left="0"/>
        <w:rPr>
          <w:sz w:val="16"/>
          <w:szCs w:val="16"/>
        </w:rPr>
      </w:pPr>
      <w:r w:rsidRPr="00F402B7">
        <w:rPr>
          <w:sz w:val="16"/>
          <w:szCs w:val="16"/>
        </w:rPr>
        <w:t xml:space="preserve">51. </w:t>
      </w:r>
      <w:r w:rsidRPr="00F402B7">
        <w:rPr>
          <w:sz w:val="16"/>
          <w:szCs w:val="16"/>
        </w:rPr>
        <w:tab/>
        <w:t>Vorozole.mp.</w:t>
      </w:r>
    </w:p>
    <w:p w:rsidR="000453C7" w:rsidRDefault="00F402B7" w:rsidP="00D009D1">
      <w:pPr>
        <w:spacing w:after="0"/>
        <w:ind w:left="0"/>
        <w:rPr>
          <w:sz w:val="16"/>
          <w:szCs w:val="16"/>
        </w:rPr>
      </w:pPr>
      <w:r w:rsidRPr="00F402B7">
        <w:rPr>
          <w:sz w:val="16"/>
          <w:szCs w:val="16"/>
        </w:rPr>
        <w:t xml:space="preserve">52. </w:t>
      </w:r>
      <w:r w:rsidRPr="00F402B7">
        <w:rPr>
          <w:sz w:val="16"/>
          <w:szCs w:val="16"/>
        </w:rPr>
        <w:tab/>
        <w:t>Formestane.mp.</w:t>
      </w:r>
    </w:p>
    <w:p w:rsidR="000453C7" w:rsidRDefault="00F402B7" w:rsidP="00D009D1">
      <w:pPr>
        <w:spacing w:after="0"/>
        <w:ind w:left="0"/>
        <w:rPr>
          <w:sz w:val="16"/>
          <w:szCs w:val="16"/>
        </w:rPr>
      </w:pPr>
      <w:r w:rsidRPr="00F402B7">
        <w:rPr>
          <w:sz w:val="16"/>
          <w:szCs w:val="16"/>
        </w:rPr>
        <w:t xml:space="preserve">53. </w:t>
      </w:r>
      <w:r w:rsidRPr="00F402B7">
        <w:rPr>
          <w:sz w:val="16"/>
          <w:szCs w:val="16"/>
        </w:rPr>
        <w:tab/>
        <w:t>Fadrozole.mp.</w:t>
      </w:r>
    </w:p>
    <w:p w:rsidR="000453C7" w:rsidRDefault="00F402B7" w:rsidP="00D009D1">
      <w:pPr>
        <w:spacing w:after="0"/>
        <w:ind w:left="0"/>
        <w:rPr>
          <w:sz w:val="16"/>
          <w:szCs w:val="16"/>
        </w:rPr>
      </w:pPr>
      <w:r w:rsidRPr="00F402B7">
        <w:rPr>
          <w:sz w:val="16"/>
          <w:szCs w:val="16"/>
        </w:rPr>
        <w:t xml:space="preserve">54. </w:t>
      </w:r>
      <w:r w:rsidRPr="00F402B7">
        <w:rPr>
          <w:sz w:val="16"/>
          <w:szCs w:val="16"/>
        </w:rPr>
        <w:tab/>
        <w:t>exp Fadrozole/</w:t>
      </w:r>
    </w:p>
    <w:p w:rsidR="000453C7" w:rsidRDefault="00F402B7" w:rsidP="00D009D1">
      <w:pPr>
        <w:spacing w:after="0"/>
        <w:ind w:left="0"/>
        <w:rPr>
          <w:sz w:val="16"/>
          <w:szCs w:val="16"/>
        </w:rPr>
      </w:pPr>
      <w:r w:rsidRPr="00F402B7">
        <w:rPr>
          <w:sz w:val="16"/>
          <w:szCs w:val="16"/>
        </w:rPr>
        <w:t xml:space="preserve">55. </w:t>
      </w:r>
      <w:r w:rsidRPr="00F402B7">
        <w:rPr>
          <w:sz w:val="16"/>
          <w:szCs w:val="16"/>
        </w:rPr>
        <w:tab/>
        <w:t>Hydroxyandrostenedione.mp.</w:t>
      </w:r>
    </w:p>
    <w:p w:rsidR="000453C7" w:rsidRDefault="00F402B7" w:rsidP="00D009D1">
      <w:pPr>
        <w:spacing w:after="0"/>
        <w:ind w:left="0"/>
        <w:rPr>
          <w:sz w:val="16"/>
          <w:szCs w:val="16"/>
        </w:rPr>
      </w:pPr>
      <w:r w:rsidRPr="00F402B7">
        <w:rPr>
          <w:sz w:val="16"/>
          <w:szCs w:val="16"/>
        </w:rPr>
        <w:t xml:space="preserve">56. </w:t>
      </w:r>
      <w:r w:rsidRPr="00F402B7">
        <w:rPr>
          <w:sz w:val="16"/>
          <w:szCs w:val="16"/>
        </w:rPr>
        <w:tab/>
        <w:t>Androstatrien.mp.</w:t>
      </w:r>
    </w:p>
    <w:p w:rsidR="000453C7" w:rsidRDefault="00F402B7" w:rsidP="00D009D1">
      <w:pPr>
        <w:spacing w:after="0"/>
        <w:ind w:left="0"/>
        <w:rPr>
          <w:sz w:val="16"/>
          <w:szCs w:val="16"/>
        </w:rPr>
      </w:pPr>
      <w:r w:rsidRPr="00F402B7">
        <w:rPr>
          <w:sz w:val="16"/>
          <w:szCs w:val="16"/>
        </w:rPr>
        <w:t xml:space="preserve">57. </w:t>
      </w:r>
      <w:r w:rsidRPr="00F402B7">
        <w:rPr>
          <w:sz w:val="16"/>
          <w:szCs w:val="16"/>
        </w:rPr>
        <w:tab/>
        <w:t>exp Androstatrienes/</w:t>
      </w:r>
    </w:p>
    <w:p w:rsidR="000453C7" w:rsidRDefault="00F402B7" w:rsidP="00D009D1">
      <w:pPr>
        <w:spacing w:after="0"/>
        <w:ind w:left="0"/>
        <w:rPr>
          <w:sz w:val="16"/>
          <w:szCs w:val="16"/>
        </w:rPr>
      </w:pPr>
      <w:r w:rsidRPr="00F402B7">
        <w:rPr>
          <w:sz w:val="16"/>
          <w:szCs w:val="16"/>
        </w:rPr>
        <w:t xml:space="preserve">58. </w:t>
      </w:r>
      <w:r w:rsidRPr="00F402B7">
        <w:rPr>
          <w:sz w:val="16"/>
          <w:szCs w:val="16"/>
        </w:rPr>
        <w:tab/>
        <w:t>Androstene.mp.</w:t>
      </w:r>
    </w:p>
    <w:p w:rsidR="000453C7" w:rsidRDefault="00F402B7" w:rsidP="00D009D1">
      <w:pPr>
        <w:spacing w:after="0"/>
        <w:ind w:left="0"/>
        <w:rPr>
          <w:sz w:val="16"/>
          <w:szCs w:val="16"/>
        </w:rPr>
      </w:pPr>
      <w:r w:rsidRPr="00F402B7">
        <w:rPr>
          <w:sz w:val="16"/>
          <w:szCs w:val="16"/>
        </w:rPr>
        <w:t xml:space="preserve">59. </w:t>
      </w:r>
      <w:r w:rsidRPr="00F402B7">
        <w:rPr>
          <w:sz w:val="16"/>
          <w:szCs w:val="16"/>
        </w:rPr>
        <w:tab/>
        <w:t>exp Androstenes/</w:t>
      </w:r>
    </w:p>
    <w:p w:rsidR="000453C7" w:rsidRDefault="00F402B7" w:rsidP="00D009D1">
      <w:pPr>
        <w:spacing w:after="0"/>
        <w:ind w:left="0"/>
        <w:rPr>
          <w:sz w:val="16"/>
          <w:szCs w:val="16"/>
        </w:rPr>
      </w:pPr>
      <w:r w:rsidRPr="00F402B7">
        <w:rPr>
          <w:sz w:val="16"/>
          <w:szCs w:val="16"/>
        </w:rPr>
        <w:t xml:space="preserve">60. </w:t>
      </w:r>
      <w:r w:rsidRPr="00F402B7">
        <w:rPr>
          <w:sz w:val="16"/>
          <w:szCs w:val="16"/>
        </w:rPr>
        <w:tab/>
        <w:t>Arimidex.mp.</w:t>
      </w:r>
    </w:p>
    <w:p w:rsidR="000453C7" w:rsidRDefault="00F402B7" w:rsidP="00D009D1">
      <w:pPr>
        <w:spacing w:after="0"/>
        <w:ind w:left="0"/>
        <w:rPr>
          <w:sz w:val="16"/>
          <w:szCs w:val="16"/>
        </w:rPr>
      </w:pPr>
      <w:r w:rsidRPr="00F402B7">
        <w:rPr>
          <w:sz w:val="16"/>
          <w:szCs w:val="16"/>
        </w:rPr>
        <w:t xml:space="preserve">61. </w:t>
      </w:r>
      <w:r w:rsidRPr="00F402B7">
        <w:rPr>
          <w:sz w:val="16"/>
          <w:szCs w:val="16"/>
        </w:rPr>
        <w:tab/>
        <w:t>Femara.mp.</w:t>
      </w:r>
    </w:p>
    <w:p w:rsidR="00F402B7" w:rsidRPr="00F402B7" w:rsidRDefault="00F402B7" w:rsidP="00D009D1">
      <w:pPr>
        <w:spacing w:after="0"/>
        <w:ind w:left="0"/>
        <w:rPr>
          <w:sz w:val="16"/>
          <w:szCs w:val="16"/>
        </w:rPr>
      </w:pPr>
      <w:r w:rsidRPr="00F402B7">
        <w:rPr>
          <w:sz w:val="16"/>
          <w:szCs w:val="16"/>
        </w:rPr>
        <w:t xml:space="preserve">62. </w:t>
      </w:r>
      <w:r w:rsidRPr="00F402B7">
        <w:rPr>
          <w:sz w:val="16"/>
          <w:szCs w:val="16"/>
        </w:rPr>
        <w:tab/>
        <w:t>Aromasin.mp.</w:t>
      </w:r>
    </w:p>
    <w:p w:rsidR="000453C7" w:rsidRDefault="00F402B7" w:rsidP="00D009D1">
      <w:pPr>
        <w:spacing w:after="0"/>
        <w:ind w:left="0"/>
        <w:rPr>
          <w:sz w:val="16"/>
          <w:szCs w:val="16"/>
        </w:rPr>
      </w:pPr>
      <w:r w:rsidRPr="00F402B7">
        <w:rPr>
          <w:sz w:val="16"/>
          <w:szCs w:val="16"/>
        </w:rPr>
        <w:t xml:space="preserve">63. </w:t>
      </w:r>
      <w:r w:rsidRPr="00F402B7">
        <w:rPr>
          <w:sz w:val="16"/>
          <w:szCs w:val="16"/>
        </w:rPr>
        <w:tab/>
        <w:t>Rivizor.mp.</w:t>
      </w:r>
    </w:p>
    <w:p w:rsidR="000453C7" w:rsidRDefault="00F402B7" w:rsidP="00D009D1">
      <w:pPr>
        <w:spacing w:after="0"/>
        <w:ind w:left="0"/>
        <w:rPr>
          <w:sz w:val="16"/>
          <w:szCs w:val="16"/>
        </w:rPr>
      </w:pPr>
      <w:r w:rsidRPr="00F402B7">
        <w:rPr>
          <w:sz w:val="16"/>
          <w:szCs w:val="16"/>
        </w:rPr>
        <w:t xml:space="preserve">64. </w:t>
      </w:r>
      <w:r w:rsidRPr="00F402B7">
        <w:rPr>
          <w:sz w:val="16"/>
          <w:szCs w:val="16"/>
        </w:rPr>
        <w:tab/>
        <w:t>Formestane.mp.</w:t>
      </w:r>
    </w:p>
    <w:p w:rsidR="000453C7" w:rsidRDefault="00F402B7" w:rsidP="00D009D1">
      <w:pPr>
        <w:spacing w:after="0"/>
        <w:ind w:left="0"/>
        <w:rPr>
          <w:sz w:val="16"/>
          <w:szCs w:val="16"/>
        </w:rPr>
      </w:pPr>
      <w:r w:rsidRPr="00F402B7">
        <w:rPr>
          <w:sz w:val="16"/>
          <w:szCs w:val="16"/>
        </w:rPr>
        <w:t xml:space="preserve">65. </w:t>
      </w:r>
      <w:r w:rsidRPr="00F402B7">
        <w:rPr>
          <w:sz w:val="16"/>
          <w:szCs w:val="16"/>
        </w:rPr>
        <w:tab/>
        <w:t>Lentaron.mp.</w:t>
      </w:r>
    </w:p>
    <w:p w:rsidR="000453C7" w:rsidRDefault="00F402B7" w:rsidP="00D009D1">
      <w:pPr>
        <w:spacing w:after="0"/>
        <w:ind w:left="0"/>
        <w:rPr>
          <w:sz w:val="16"/>
          <w:szCs w:val="16"/>
        </w:rPr>
      </w:pPr>
      <w:r w:rsidRPr="00F402B7">
        <w:rPr>
          <w:sz w:val="16"/>
          <w:szCs w:val="16"/>
        </w:rPr>
        <w:t xml:space="preserve">66. </w:t>
      </w:r>
      <w:r w:rsidRPr="00F402B7">
        <w:rPr>
          <w:sz w:val="16"/>
          <w:szCs w:val="16"/>
        </w:rPr>
        <w:tab/>
        <w:t>Afema.mp.</w:t>
      </w:r>
    </w:p>
    <w:p w:rsidR="000453C7" w:rsidRDefault="00F402B7" w:rsidP="00D009D1">
      <w:pPr>
        <w:spacing w:after="0"/>
        <w:ind w:left="0"/>
        <w:rPr>
          <w:sz w:val="16"/>
          <w:szCs w:val="16"/>
        </w:rPr>
      </w:pPr>
      <w:r w:rsidRPr="00F402B7">
        <w:rPr>
          <w:sz w:val="16"/>
          <w:szCs w:val="16"/>
        </w:rPr>
        <w:t xml:space="preserve">67. </w:t>
      </w:r>
      <w:r w:rsidRPr="00F402B7">
        <w:rPr>
          <w:sz w:val="16"/>
          <w:szCs w:val="16"/>
        </w:rPr>
        <w:tab/>
        <w:t>Teslac.mp.</w:t>
      </w:r>
    </w:p>
    <w:p w:rsidR="000453C7" w:rsidRDefault="00F402B7" w:rsidP="00D009D1">
      <w:pPr>
        <w:spacing w:after="0"/>
        <w:ind w:left="0"/>
        <w:rPr>
          <w:sz w:val="16"/>
          <w:szCs w:val="16"/>
        </w:rPr>
      </w:pPr>
      <w:r w:rsidRPr="00F402B7">
        <w:rPr>
          <w:sz w:val="16"/>
          <w:szCs w:val="16"/>
        </w:rPr>
        <w:t xml:space="preserve">68. </w:t>
      </w:r>
      <w:r w:rsidRPr="00F402B7">
        <w:rPr>
          <w:sz w:val="16"/>
          <w:szCs w:val="16"/>
        </w:rPr>
        <w:tab/>
        <w:t>ATD.mp.</w:t>
      </w:r>
    </w:p>
    <w:p w:rsidR="00F402B7" w:rsidRPr="00F402B7" w:rsidRDefault="00F402B7" w:rsidP="00D009D1">
      <w:pPr>
        <w:spacing w:after="0"/>
        <w:ind w:left="0"/>
        <w:rPr>
          <w:sz w:val="16"/>
          <w:szCs w:val="16"/>
        </w:rPr>
      </w:pPr>
      <w:r w:rsidRPr="00F402B7">
        <w:rPr>
          <w:sz w:val="16"/>
          <w:szCs w:val="16"/>
        </w:rPr>
        <w:t xml:space="preserve">69. </w:t>
      </w:r>
      <w:r w:rsidRPr="00F402B7">
        <w:rPr>
          <w:sz w:val="16"/>
          <w:szCs w:val="16"/>
        </w:rPr>
        <w:tab/>
        <w:t>OXO-6.mp.</w:t>
      </w:r>
      <w:r w:rsidRPr="00F402B7">
        <w:rPr>
          <w:sz w:val="16"/>
          <w:szCs w:val="16"/>
        </w:rPr>
        <w:tab/>
      </w:r>
      <w:r w:rsidRPr="00F402B7">
        <w:rPr>
          <w:sz w:val="16"/>
          <w:szCs w:val="16"/>
        </w:rPr>
        <w:tab/>
      </w:r>
    </w:p>
    <w:p w:rsidR="00F402B7" w:rsidRPr="00F402B7" w:rsidRDefault="00F402B7" w:rsidP="00D009D1">
      <w:pPr>
        <w:spacing w:after="0"/>
        <w:ind w:left="0"/>
        <w:rPr>
          <w:sz w:val="16"/>
          <w:szCs w:val="16"/>
        </w:rPr>
      </w:pPr>
      <w:r w:rsidRPr="00F402B7">
        <w:rPr>
          <w:sz w:val="16"/>
          <w:szCs w:val="16"/>
        </w:rPr>
        <w:t xml:space="preserve">70. </w:t>
      </w:r>
      <w:r w:rsidRPr="00F402B7">
        <w:rPr>
          <w:sz w:val="16"/>
          <w:szCs w:val="16"/>
        </w:rPr>
        <w:tab/>
        <w:t xml:space="preserve">42 or 43 or 44 or 45 or 46 or 47 or 48 or 49 or 50 or 51 or 52 or 53 or 54 or 55 or 56 or 57 or 58 or 59 or 60 or 61 or 62 or 63 or 64 or 65 or 66 or 67 or 68 or 69 </w:t>
      </w:r>
      <w:r w:rsidRPr="00F402B7">
        <w:rPr>
          <w:sz w:val="16"/>
          <w:szCs w:val="16"/>
        </w:rPr>
        <w:tab/>
      </w:r>
    </w:p>
    <w:p w:rsidR="000453C7" w:rsidRDefault="00F402B7" w:rsidP="00A948CD">
      <w:pPr>
        <w:spacing w:after="0"/>
        <w:ind w:left="0"/>
        <w:rPr>
          <w:sz w:val="16"/>
          <w:szCs w:val="16"/>
        </w:rPr>
      </w:pPr>
      <w:r w:rsidRPr="00F402B7">
        <w:rPr>
          <w:sz w:val="16"/>
          <w:szCs w:val="16"/>
        </w:rPr>
        <w:t xml:space="preserve">71. </w:t>
      </w:r>
      <w:r w:rsidRPr="00F402B7">
        <w:rPr>
          <w:sz w:val="16"/>
          <w:szCs w:val="16"/>
        </w:rPr>
        <w:tab/>
        <w:t>Breast cancer.mp.</w:t>
      </w:r>
    </w:p>
    <w:p w:rsidR="006755DD" w:rsidRDefault="00F402B7" w:rsidP="00A948CD">
      <w:pPr>
        <w:spacing w:after="0"/>
        <w:ind w:left="0"/>
        <w:rPr>
          <w:sz w:val="16"/>
          <w:szCs w:val="16"/>
        </w:rPr>
      </w:pPr>
      <w:r w:rsidRPr="00F402B7">
        <w:rPr>
          <w:sz w:val="16"/>
          <w:szCs w:val="16"/>
        </w:rPr>
        <w:t xml:space="preserve">72. </w:t>
      </w:r>
      <w:r w:rsidRPr="00F402B7">
        <w:rPr>
          <w:sz w:val="16"/>
          <w:szCs w:val="16"/>
        </w:rPr>
        <w:tab/>
        <w:t>exp Breast Neoplasms/</w:t>
      </w:r>
    </w:p>
    <w:p w:rsidR="00F402B7" w:rsidRPr="00F402B7" w:rsidRDefault="00F402B7" w:rsidP="00A948CD">
      <w:pPr>
        <w:spacing w:after="0"/>
        <w:ind w:left="0"/>
        <w:rPr>
          <w:sz w:val="16"/>
          <w:szCs w:val="16"/>
        </w:rPr>
      </w:pPr>
      <w:r w:rsidRPr="00F402B7">
        <w:rPr>
          <w:sz w:val="16"/>
          <w:szCs w:val="16"/>
        </w:rPr>
        <w:t xml:space="preserve">73. </w:t>
      </w:r>
      <w:r w:rsidRPr="00F402B7">
        <w:rPr>
          <w:sz w:val="16"/>
          <w:szCs w:val="16"/>
        </w:rPr>
        <w:tab/>
        <w:t>Breast neoplasm.mp.</w:t>
      </w:r>
      <w:r w:rsidRPr="00F402B7">
        <w:rPr>
          <w:sz w:val="16"/>
          <w:szCs w:val="16"/>
        </w:rPr>
        <w:tab/>
      </w:r>
      <w:r w:rsidRPr="00F402B7">
        <w:rPr>
          <w:sz w:val="16"/>
          <w:szCs w:val="16"/>
        </w:rPr>
        <w:tab/>
      </w:r>
    </w:p>
    <w:p w:rsidR="00F402B7" w:rsidRPr="00F402B7" w:rsidRDefault="00F402B7" w:rsidP="00A948CD">
      <w:pPr>
        <w:spacing w:after="0"/>
        <w:ind w:left="0"/>
        <w:rPr>
          <w:sz w:val="16"/>
          <w:szCs w:val="16"/>
        </w:rPr>
      </w:pPr>
      <w:r w:rsidRPr="00F402B7">
        <w:rPr>
          <w:sz w:val="16"/>
          <w:szCs w:val="16"/>
        </w:rPr>
        <w:t xml:space="preserve">74. </w:t>
      </w:r>
      <w:r w:rsidRPr="00F402B7">
        <w:rPr>
          <w:sz w:val="16"/>
          <w:szCs w:val="16"/>
        </w:rPr>
        <w:tab/>
        <w:t>Breast neoplasia.mp.</w:t>
      </w:r>
      <w:r w:rsidRPr="00F402B7">
        <w:rPr>
          <w:sz w:val="16"/>
          <w:szCs w:val="16"/>
        </w:rPr>
        <w:tab/>
      </w:r>
      <w:r w:rsidRPr="00F402B7">
        <w:rPr>
          <w:sz w:val="16"/>
          <w:szCs w:val="16"/>
        </w:rPr>
        <w:tab/>
      </w:r>
    </w:p>
    <w:p w:rsidR="006755DD" w:rsidRDefault="00F402B7" w:rsidP="00A948CD">
      <w:pPr>
        <w:spacing w:after="0"/>
        <w:ind w:left="0"/>
        <w:rPr>
          <w:sz w:val="16"/>
          <w:szCs w:val="16"/>
        </w:rPr>
      </w:pPr>
      <w:r w:rsidRPr="00F402B7">
        <w:rPr>
          <w:sz w:val="16"/>
          <w:szCs w:val="16"/>
        </w:rPr>
        <w:t xml:space="preserve">75. </w:t>
      </w:r>
      <w:r w:rsidRPr="00F402B7">
        <w:rPr>
          <w:sz w:val="16"/>
          <w:szCs w:val="16"/>
        </w:rPr>
        <w:tab/>
        <w:t>mammary gland neoplasia.mp.</w:t>
      </w:r>
    </w:p>
    <w:p w:rsidR="00F402B7" w:rsidRPr="00F402B7" w:rsidRDefault="00F402B7" w:rsidP="00A948CD">
      <w:pPr>
        <w:spacing w:after="0"/>
        <w:ind w:left="0"/>
        <w:rPr>
          <w:sz w:val="16"/>
          <w:szCs w:val="16"/>
        </w:rPr>
      </w:pPr>
      <w:r w:rsidRPr="00F402B7">
        <w:rPr>
          <w:sz w:val="16"/>
          <w:szCs w:val="16"/>
        </w:rPr>
        <w:t xml:space="preserve">76. </w:t>
      </w:r>
      <w:r w:rsidRPr="00F402B7">
        <w:rPr>
          <w:sz w:val="16"/>
          <w:szCs w:val="16"/>
        </w:rPr>
        <w:tab/>
        <w:t>mammary gland neoplasm.mp.</w:t>
      </w:r>
      <w:r w:rsidRPr="00F402B7">
        <w:rPr>
          <w:sz w:val="16"/>
          <w:szCs w:val="16"/>
        </w:rPr>
        <w:tab/>
      </w:r>
      <w:r w:rsidRPr="00F402B7">
        <w:rPr>
          <w:sz w:val="16"/>
          <w:szCs w:val="16"/>
        </w:rPr>
        <w:tab/>
      </w:r>
    </w:p>
    <w:p w:rsidR="006755DD" w:rsidRDefault="00F402B7" w:rsidP="00A948CD">
      <w:pPr>
        <w:spacing w:after="0"/>
        <w:ind w:left="0"/>
        <w:rPr>
          <w:sz w:val="16"/>
          <w:szCs w:val="16"/>
        </w:rPr>
      </w:pPr>
      <w:r w:rsidRPr="00F402B7">
        <w:rPr>
          <w:sz w:val="16"/>
          <w:szCs w:val="16"/>
        </w:rPr>
        <w:t xml:space="preserve">77. </w:t>
      </w:r>
      <w:r w:rsidRPr="00F402B7">
        <w:rPr>
          <w:sz w:val="16"/>
          <w:szCs w:val="16"/>
        </w:rPr>
        <w:tab/>
        <w:t>exp Neoplasms, Hormone-Dependent/</w:t>
      </w:r>
    </w:p>
    <w:p w:rsidR="006755DD" w:rsidRDefault="00F402B7" w:rsidP="00A948CD">
      <w:pPr>
        <w:spacing w:after="0"/>
        <w:ind w:left="0"/>
        <w:rPr>
          <w:sz w:val="16"/>
          <w:szCs w:val="16"/>
        </w:rPr>
      </w:pPr>
      <w:r w:rsidRPr="00F402B7">
        <w:rPr>
          <w:sz w:val="16"/>
          <w:szCs w:val="16"/>
        </w:rPr>
        <w:t xml:space="preserve">78. </w:t>
      </w:r>
      <w:r w:rsidRPr="00F402B7">
        <w:rPr>
          <w:sz w:val="16"/>
          <w:szCs w:val="16"/>
        </w:rPr>
        <w:tab/>
        <w:t>ER positive cancers.mp.</w:t>
      </w:r>
    </w:p>
    <w:p w:rsidR="00F402B7" w:rsidRPr="00F402B7" w:rsidRDefault="00F402B7" w:rsidP="00A948CD">
      <w:pPr>
        <w:spacing w:after="0"/>
        <w:ind w:left="0"/>
        <w:rPr>
          <w:sz w:val="16"/>
          <w:szCs w:val="16"/>
        </w:rPr>
      </w:pPr>
      <w:r w:rsidRPr="00F402B7">
        <w:rPr>
          <w:sz w:val="16"/>
          <w:szCs w:val="16"/>
        </w:rPr>
        <w:t xml:space="preserve">79. </w:t>
      </w:r>
      <w:r w:rsidRPr="00F402B7">
        <w:rPr>
          <w:sz w:val="16"/>
          <w:szCs w:val="16"/>
        </w:rPr>
        <w:tab/>
        <w:t>Oestrogen receptor positive cancers.mp.</w:t>
      </w:r>
      <w:r w:rsidRPr="00F402B7">
        <w:rPr>
          <w:sz w:val="16"/>
          <w:szCs w:val="16"/>
        </w:rPr>
        <w:tab/>
      </w:r>
      <w:r w:rsidRPr="00F402B7">
        <w:rPr>
          <w:sz w:val="16"/>
          <w:szCs w:val="16"/>
        </w:rPr>
        <w:tab/>
      </w:r>
    </w:p>
    <w:p w:rsidR="00F402B7" w:rsidRPr="00F402B7" w:rsidRDefault="00F402B7" w:rsidP="00A948CD">
      <w:pPr>
        <w:spacing w:after="0"/>
        <w:ind w:left="0"/>
        <w:rPr>
          <w:sz w:val="16"/>
          <w:szCs w:val="16"/>
        </w:rPr>
      </w:pPr>
      <w:r w:rsidRPr="00F402B7">
        <w:rPr>
          <w:sz w:val="16"/>
          <w:szCs w:val="16"/>
        </w:rPr>
        <w:t xml:space="preserve">80. </w:t>
      </w:r>
      <w:r w:rsidRPr="00F402B7">
        <w:rPr>
          <w:sz w:val="16"/>
          <w:szCs w:val="16"/>
        </w:rPr>
        <w:tab/>
        <w:t>estrogen receptor positive cancers.mp.</w:t>
      </w:r>
      <w:r w:rsidRPr="00F402B7">
        <w:rPr>
          <w:sz w:val="16"/>
          <w:szCs w:val="16"/>
        </w:rPr>
        <w:tab/>
      </w:r>
      <w:r w:rsidRPr="00F402B7">
        <w:rPr>
          <w:sz w:val="16"/>
          <w:szCs w:val="16"/>
        </w:rPr>
        <w:tab/>
      </w:r>
    </w:p>
    <w:p w:rsidR="006755DD" w:rsidRDefault="00F402B7" w:rsidP="00A948CD">
      <w:pPr>
        <w:spacing w:after="0"/>
        <w:ind w:left="0"/>
        <w:rPr>
          <w:sz w:val="16"/>
          <w:szCs w:val="16"/>
        </w:rPr>
      </w:pPr>
      <w:r w:rsidRPr="00F402B7">
        <w:rPr>
          <w:sz w:val="16"/>
          <w:szCs w:val="16"/>
        </w:rPr>
        <w:t xml:space="preserve">81. </w:t>
      </w:r>
      <w:r w:rsidRPr="00F402B7">
        <w:rPr>
          <w:sz w:val="16"/>
          <w:szCs w:val="16"/>
        </w:rPr>
        <w:tab/>
        <w:t>breast carcinoma.mp.</w:t>
      </w:r>
    </w:p>
    <w:p w:rsidR="00F402B7" w:rsidRPr="00F402B7" w:rsidRDefault="00F402B7" w:rsidP="00A948CD">
      <w:pPr>
        <w:spacing w:after="0"/>
        <w:ind w:left="0"/>
        <w:rPr>
          <w:sz w:val="16"/>
          <w:szCs w:val="16"/>
        </w:rPr>
      </w:pPr>
      <w:r w:rsidRPr="00F402B7">
        <w:rPr>
          <w:sz w:val="16"/>
          <w:szCs w:val="16"/>
        </w:rPr>
        <w:t xml:space="preserve">82. </w:t>
      </w:r>
      <w:r w:rsidRPr="00F402B7">
        <w:rPr>
          <w:sz w:val="16"/>
          <w:szCs w:val="16"/>
        </w:rPr>
        <w:tab/>
        <w:t xml:space="preserve">71 or 72 or 73 or 74 or 75 or 76 or 77 or 78 or 79 or 80 or 81 </w:t>
      </w:r>
    </w:p>
    <w:p w:rsidR="006755DD" w:rsidRDefault="00F402B7" w:rsidP="00A948CD">
      <w:pPr>
        <w:spacing w:after="0"/>
        <w:ind w:left="0"/>
        <w:rPr>
          <w:sz w:val="16"/>
          <w:szCs w:val="16"/>
        </w:rPr>
      </w:pPr>
      <w:r w:rsidRPr="00F402B7">
        <w:rPr>
          <w:sz w:val="16"/>
          <w:szCs w:val="16"/>
        </w:rPr>
        <w:t xml:space="preserve">83. </w:t>
      </w:r>
      <w:r w:rsidRPr="00F402B7">
        <w:rPr>
          <w:sz w:val="16"/>
          <w:szCs w:val="16"/>
        </w:rPr>
        <w:tab/>
        <w:t>41 and 70 and 82</w:t>
      </w:r>
    </w:p>
    <w:p w:rsidR="00F402B7" w:rsidRPr="00F402B7" w:rsidRDefault="00F402B7" w:rsidP="00A948CD">
      <w:pPr>
        <w:spacing w:after="0"/>
        <w:ind w:left="0"/>
        <w:rPr>
          <w:sz w:val="16"/>
          <w:szCs w:val="16"/>
        </w:rPr>
      </w:pPr>
      <w:r w:rsidRPr="00F402B7">
        <w:rPr>
          <w:sz w:val="16"/>
          <w:szCs w:val="16"/>
        </w:rPr>
        <w:t xml:space="preserve">84. </w:t>
      </w:r>
      <w:r w:rsidRPr="00F402B7">
        <w:rPr>
          <w:sz w:val="16"/>
          <w:szCs w:val="16"/>
        </w:rPr>
        <w:tab/>
        <w:t>limit 83 to (english language and (clinical trial, all or clinical trial or comparative study or controlled clinical trial or meta analysis or randomized controlled trial or systematic reviews))</w:t>
      </w:r>
    </w:p>
    <w:p w:rsidR="00F402B7" w:rsidRPr="00F402B7" w:rsidRDefault="00F402B7" w:rsidP="00A948CD">
      <w:pPr>
        <w:spacing w:after="0"/>
        <w:ind w:left="0"/>
        <w:rPr>
          <w:sz w:val="16"/>
          <w:szCs w:val="16"/>
        </w:rPr>
      </w:pPr>
    </w:p>
    <w:p w:rsidR="00F402B7" w:rsidRDefault="00F402B7" w:rsidP="00A948CD">
      <w:pPr>
        <w:spacing w:after="0"/>
        <w:ind w:left="0"/>
        <w:rPr>
          <w:b/>
          <w:sz w:val="16"/>
          <w:szCs w:val="16"/>
        </w:rPr>
      </w:pPr>
      <w:r w:rsidRPr="00F402B7">
        <w:rPr>
          <w:b/>
          <w:sz w:val="16"/>
          <w:szCs w:val="16"/>
        </w:rPr>
        <w:t>Cochrane</w:t>
      </w:r>
    </w:p>
    <w:p w:rsidR="00F402B7" w:rsidRPr="00F402B7" w:rsidRDefault="00F402B7" w:rsidP="00A948CD">
      <w:pPr>
        <w:spacing w:after="0"/>
        <w:ind w:left="0"/>
        <w:rPr>
          <w:sz w:val="16"/>
          <w:szCs w:val="16"/>
        </w:rPr>
      </w:pPr>
      <w:r w:rsidRPr="00F402B7">
        <w:rPr>
          <w:sz w:val="16"/>
          <w:szCs w:val="16"/>
        </w:rPr>
        <w:t>Search Name:</w:t>
      </w:r>
      <w:r w:rsidRPr="00F402B7">
        <w:rPr>
          <w:sz w:val="16"/>
          <w:szCs w:val="16"/>
        </w:rPr>
        <w:tab/>
        <w:t>Stage 2 search</w:t>
      </w:r>
    </w:p>
    <w:p w:rsidR="00F402B7" w:rsidRPr="00F402B7" w:rsidRDefault="00F402B7" w:rsidP="00A948CD">
      <w:pPr>
        <w:spacing w:after="0"/>
        <w:ind w:left="0"/>
        <w:rPr>
          <w:sz w:val="16"/>
          <w:szCs w:val="16"/>
        </w:rPr>
      </w:pPr>
      <w:r w:rsidRPr="00F402B7">
        <w:rPr>
          <w:sz w:val="16"/>
          <w:szCs w:val="16"/>
        </w:rPr>
        <w:t>Last Saved:</w:t>
      </w:r>
      <w:r w:rsidRPr="00F402B7">
        <w:rPr>
          <w:sz w:val="16"/>
          <w:szCs w:val="16"/>
        </w:rPr>
        <w:tab/>
        <w:t>20/02/2014 01:57:27.540</w:t>
      </w:r>
    </w:p>
    <w:p w:rsidR="006755DD" w:rsidRDefault="00F402B7" w:rsidP="00A948CD">
      <w:pPr>
        <w:spacing w:after="0"/>
        <w:ind w:left="0"/>
        <w:rPr>
          <w:sz w:val="16"/>
          <w:szCs w:val="16"/>
        </w:rPr>
      </w:pPr>
      <w:r w:rsidRPr="00F402B7">
        <w:rPr>
          <w:sz w:val="16"/>
          <w:szCs w:val="16"/>
        </w:rPr>
        <w:t>Description:</w:t>
      </w:r>
    </w:p>
    <w:p w:rsidR="006755DD" w:rsidRDefault="006755DD" w:rsidP="00A948CD">
      <w:pPr>
        <w:spacing w:after="0"/>
        <w:ind w:left="0"/>
        <w:rPr>
          <w:sz w:val="16"/>
          <w:szCs w:val="16"/>
        </w:rPr>
      </w:pPr>
    </w:p>
    <w:p w:rsidR="00F402B7" w:rsidRPr="00F402B7" w:rsidRDefault="00F402B7" w:rsidP="00A948CD">
      <w:pPr>
        <w:spacing w:after="0"/>
        <w:ind w:left="0"/>
        <w:rPr>
          <w:sz w:val="16"/>
          <w:szCs w:val="16"/>
        </w:rPr>
      </w:pPr>
      <w:r w:rsidRPr="00F402B7">
        <w:rPr>
          <w:sz w:val="16"/>
          <w:szCs w:val="16"/>
        </w:rPr>
        <w:t>ID</w:t>
      </w:r>
      <w:r w:rsidRPr="00F402B7">
        <w:rPr>
          <w:sz w:val="16"/>
          <w:szCs w:val="16"/>
        </w:rPr>
        <w:tab/>
        <w:t>Search</w:t>
      </w:r>
      <w:r w:rsidRPr="00F402B7">
        <w:rPr>
          <w:sz w:val="16"/>
          <w:szCs w:val="16"/>
        </w:rPr>
        <w:tab/>
      </w:r>
    </w:p>
    <w:p w:rsidR="00F402B7" w:rsidRPr="00F402B7" w:rsidRDefault="00F402B7" w:rsidP="00A948CD">
      <w:pPr>
        <w:spacing w:after="0"/>
        <w:ind w:left="0"/>
        <w:rPr>
          <w:sz w:val="16"/>
          <w:szCs w:val="16"/>
        </w:rPr>
      </w:pPr>
      <w:r w:rsidRPr="00F402B7">
        <w:rPr>
          <w:sz w:val="16"/>
          <w:szCs w:val="16"/>
        </w:rPr>
        <w:t>#1</w:t>
      </w:r>
      <w:r w:rsidRPr="00F402B7">
        <w:rPr>
          <w:sz w:val="16"/>
          <w:szCs w:val="16"/>
        </w:rPr>
        <w:tab/>
        <w:t>risedronate:ti,ab,kw  (Word variations have been searched)</w:t>
      </w:r>
    </w:p>
    <w:p w:rsidR="00F402B7" w:rsidRPr="00F402B7" w:rsidRDefault="00F402B7" w:rsidP="00A948CD">
      <w:pPr>
        <w:spacing w:after="0"/>
        <w:ind w:left="0"/>
        <w:rPr>
          <w:sz w:val="16"/>
          <w:szCs w:val="16"/>
        </w:rPr>
      </w:pPr>
      <w:r w:rsidRPr="00F402B7">
        <w:rPr>
          <w:sz w:val="16"/>
          <w:szCs w:val="16"/>
        </w:rPr>
        <w:t>#2</w:t>
      </w:r>
      <w:r w:rsidRPr="00F402B7">
        <w:rPr>
          <w:sz w:val="16"/>
          <w:szCs w:val="16"/>
        </w:rPr>
        <w:tab/>
        <w:t xml:space="preserve">ibandronate </w:t>
      </w:r>
    </w:p>
    <w:p w:rsidR="00F402B7" w:rsidRPr="00F402B7" w:rsidRDefault="00F402B7" w:rsidP="00A948CD">
      <w:pPr>
        <w:spacing w:after="0"/>
        <w:ind w:left="0"/>
        <w:rPr>
          <w:sz w:val="16"/>
          <w:szCs w:val="16"/>
        </w:rPr>
      </w:pPr>
      <w:r w:rsidRPr="00F402B7">
        <w:rPr>
          <w:sz w:val="16"/>
          <w:szCs w:val="16"/>
        </w:rPr>
        <w:t>#3</w:t>
      </w:r>
      <w:r w:rsidRPr="00F402B7">
        <w:rPr>
          <w:sz w:val="16"/>
          <w:szCs w:val="16"/>
        </w:rPr>
        <w:tab/>
        <w:t xml:space="preserve">zoledronic </w:t>
      </w:r>
    </w:p>
    <w:p w:rsidR="00F402B7" w:rsidRPr="00F402B7" w:rsidRDefault="00F402B7" w:rsidP="00A948CD">
      <w:pPr>
        <w:spacing w:after="0"/>
        <w:ind w:left="0"/>
        <w:rPr>
          <w:sz w:val="16"/>
          <w:szCs w:val="16"/>
        </w:rPr>
      </w:pPr>
      <w:r w:rsidRPr="00F402B7">
        <w:rPr>
          <w:sz w:val="16"/>
          <w:szCs w:val="16"/>
        </w:rPr>
        <w:t>#4</w:t>
      </w:r>
      <w:r w:rsidRPr="00F402B7">
        <w:rPr>
          <w:sz w:val="16"/>
          <w:szCs w:val="16"/>
        </w:rPr>
        <w:tab/>
        <w:t xml:space="preserve">Diphosphonates </w:t>
      </w:r>
    </w:p>
    <w:p w:rsidR="00F402B7" w:rsidRPr="00F402B7" w:rsidRDefault="00F402B7" w:rsidP="00A948CD">
      <w:pPr>
        <w:spacing w:after="0"/>
        <w:ind w:left="0"/>
        <w:rPr>
          <w:sz w:val="16"/>
          <w:szCs w:val="16"/>
        </w:rPr>
      </w:pPr>
      <w:r w:rsidRPr="00F402B7">
        <w:rPr>
          <w:sz w:val="16"/>
          <w:szCs w:val="16"/>
        </w:rPr>
        <w:t>#5</w:t>
      </w:r>
      <w:r w:rsidRPr="00F402B7">
        <w:rPr>
          <w:sz w:val="16"/>
          <w:szCs w:val="16"/>
        </w:rPr>
        <w:tab/>
        <w:t>MeSH descriptor: [Diphosphonates] explode all trees</w:t>
      </w:r>
    </w:p>
    <w:p w:rsidR="00F402B7" w:rsidRPr="00F402B7" w:rsidRDefault="00F402B7" w:rsidP="00A948CD">
      <w:pPr>
        <w:spacing w:after="0"/>
        <w:ind w:left="0"/>
        <w:rPr>
          <w:sz w:val="16"/>
          <w:szCs w:val="16"/>
        </w:rPr>
      </w:pPr>
      <w:r w:rsidRPr="00F402B7">
        <w:rPr>
          <w:sz w:val="16"/>
          <w:szCs w:val="16"/>
        </w:rPr>
        <w:lastRenderedPageBreak/>
        <w:t>#6</w:t>
      </w:r>
      <w:r w:rsidRPr="00F402B7">
        <w:rPr>
          <w:sz w:val="16"/>
          <w:szCs w:val="16"/>
        </w:rPr>
        <w:tab/>
        <w:t xml:space="preserve">Bisphosphonates </w:t>
      </w:r>
    </w:p>
    <w:p w:rsidR="00F402B7" w:rsidRPr="00F402B7" w:rsidRDefault="00F402B7" w:rsidP="00A948CD">
      <w:pPr>
        <w:spacing w:after="0"/>
        <w:ind w:left="0"/>
        <w:rPr>
          <w:sz w:val="16"/>
          <w:szCs w:val="16"/>
        </w:rPr>
      </w:pPr>
      <w:r w:rsidRPr="00F402B7">
        <w:rPr>
          <w:sz w:val="16"/>
          <w:szCs w:val="16"/>
        </w:rPr>
        <w:t>#7</w:t>
      </w:r>
      <w:r w:rsidRPr="00F402B7">
        <w:rPr>
          <w:sz w:val="16"/>
          <w:szCs w:val="16"/>
        </w:rPr>
        <w:tab/>
        <w:t xml:space="preserve">alendronate </w:t>
      </w:r>
    </w:p>
    <w:p w:rsidR="00F402B7" w:rsidRPr="00F402B7" w:rsidRDefault="00F402B7" w:rsidP="00A948CD">
      <w:pPr>
        <w:spacing w:after="0"/>
        <w:ind w:left="0"/>
        <w:rPr>
          <w:sz w:val="16"/>
          <w:szCs w:val="16"/>
        </w:rPr>
      </w:pPr>
      <w:r w:rsidRPr="00F402B7">
        <w:rPr>
          <w:sz w:val="16"/>
          <w:szCs w:val="16"/>
        </w:rPr>
        <w:t>#8</w:t>
      </w:r>
      <w:r w:rsidRPr="00F402B7">
        <w:rPr>
          <w:sz w:val="16"/>
          <w:szCs w:val="16"/>
        </w:rPr>
        <w:tab/>
        <w:t xml:space="preserve">Denosumab </w:t>
      </w:r>
    </w:p>
    <w:p w:rsidR="00F402B7" w:rsidRPr="00F402B7" w:rsidRDefault="00F402B7" w:rsidP="00A948CD">
      <w:pPr>
        <w:spacing w:after="0"/>
        <w:ind w:left="0"/>
        <w:rPr>
          <w:sz w:val="16"/>
          <w:szCs w:val="16"/>
        </w:rPr>
      </w:pPr>
      <w:r w:rsidRPr="00F402B7">
        <w:rPr>
          <w:sz w:val="16"/>
          <w:szCs w:val="16"/>
        </w:rPr>
        <w:t>#9</w:t>
      </w:r>
      <w:r w:rsidRPr="00F402B7">
        <w:rPr>
          <w:sz w:val="16"/>
          <w:szCs w:val="16"/>
        </w:rPr>
        <w:tab/>
        <w:t xml:space="preserve">strontium ranelate </w:t>
      </w:r>
    </w:p>
    <w:p w:rsidR="00F402B7" w:rsidRPr="00F402B7" w:rsidRDefault="00F402B7" w:rsidP="00A948CD">
      <w:pPr>
        <w:spacing w:after="0"/>
        <w:ind w:left="0"/>
        <w:rPr>
          <w:sz w:val="16"/>
          <w:szCs w:val="16"/>
        </w:rPr>
      </w:pPr>
      <w:r w:rsidRPr="00F402B7">
        <w:rPr>
          <w:sz w:val="16"/>
          <w:szCs w:val="16"/>
        </w:rPr>
        <w:t>#10</w:t>
      </w:r>
      <w:r w:rsidRPr="00F402B7">
        <w:rPr>
          <w:sz w:val="16"/>
          <w:szCs w:val="16"/>
        </w:rPr>
        <w:tab/>
        <w:t>MeSH descriptor: [Bone Density Conservation Agents] explode all trees</w:t>
      </w:r>
    </w:p>
    <w:p w:rsidR="00F402B7" w:rsidRPr="00F402B7" w:rsidRDefault="00F402B7" w:rsidP="00A948CD">
      <w:pPr>
        <w:spacing w:after="0"/>
        <w:ind w:left="0"/>
        <w:rPr>
          <w:sz w:val="16"/>
          <w:szCs w:val="16"/>
        </w:rPr>
      </w:pPr>
      <w:r w:rsidRPr="00F402B7">
        <w:rPr>
          <w:sz w:val="16"/>
          <w:szCs w:val="16"/>
        </w:rPr>
        <w:t>#11</w:t>
      </w:r>
      <w:r w:rsidRPr="00F402B7">
        <w:rPr>
          <w:sz w:val="16"/>
          <w:szCs w:val="16"/>
        </w:rPr>
        <w:tab/>
        <w:t xml:space="preserve">Raloxifene </w:t>
      </w:r>
    </w:p>
    <w:p w:rsidR="00F402B7" w:rsidRPr="00F402B7" w:rsidRDefault="00F402B7" w:rsidP="00A948CD">
      <w:pPr>
        <w:spacing w:after="0"/>
        <w:ind w:left="0"/>
        <w:rPr>
          <w:sz w:val="16"/>
          <w:szCs w:val="16"/>
        </w:rPr>
      </w:pPr>
      <w:r w:rsidRPr="00F402B7">
        <w:rPr>
          <w:sz w:val="16"/>
          <w:szCs w:val="16"/>
        </w:rPr>
        <w:t>#12</w:t>
      </w:r>
      <w:r w:rsidRPr="00F402B7">
        <w:rPr>
          <w:sz w:val="16"/>
          <w:szCs w:val="16"/>
        </w:rPr>
        <w:tab/>
        <w:t>MeSH descriptor: [Raloxifene] explode all trees</w:t>
      </w:r>
    </w:p>
    <w:p w:rsidR="00F402B7" w:rsidRPr="00F402B7" w:rsidRDefault="00F402B7" w:rsidP="00A948CD">
      <w:pPr>
        <w:spacing w:after="0"/>
        <w:ind w:left="0"/>
        <w:rPr>
          <w:sz w:val="16"/>
          <w:szCs w:val="16"/>
        </w:rPr>
      </w:pPr>
      <w:r w:rsidRPr="00F402B7">
        <w:rPr>
          <w:sz w:val="16"/>
          <w:szCs w:val="16"/>
        </w:rPr>
        <w:t>#13</w:t>
      </w:r>
      <w:r w:rsidRPr="00F402B7">
        <w:rPr>
          <w:sz w:val="16"/>
          <w:szCs w:val="16"/>
        </w:rPr>
        <w:tab/>
        <w:t xml:space="preserve">Teriparatide </w:t>
      </w:r>
    </w:p>
    <w:p w:rsidR="00F402B7" w:rsidRPr="00F402B7" w:rsidRDefault="00F402B7" w:rsidP="00A948CD">
      <w:pPr>
        <w:spacing w:after="0"/>
        <w:ind w:left="0"/>
        <w:rPr>
          <w:sz w:val="16"/>
          <w:szCs w:val="16"/>
        </w:rPr>
      </w:pPr>
      <w:r w:rsidRPr="00F402B7">
        <w:rPr>
          <w:sz w:val="16"/>
          <w:szCs w:val="16"/>
        </w:rPr>
        <w:t>#14</w:t>
      </w:r>
      <w:r w:rsidRPr="00F402B7">
        <w:rPr>
          <w:sz w:val="16"/>
          <w:szCs w:val="16"/>
        </w:rPr>
        <w:tab/>
        <w:t xml:space="preserve">anti-resorptive </w:t>
      </w:r>
    </w:p>
    <w:p w:rsidR="00F402B7" w:rsidRPr="00F402B7" w:rsidRDefault="00F402B7" w:rsidP="00A948CD">
      <w:pPr>
        <w:spacing w:after="0"/>
        <w:ind w:left="0"/>
        <w:rPr>
          <w:sz w:val="16"/>
          <w:szCs w:val="16"/>
        </w:rPr>
      </w:pPr>
      <w:r w:rsidRPr="00F402B7">
        <w:rPr>
          <w:sz w:val="16"/>
          <w:szCs w:val="16"/>
        </w:rPr>
        <w:t>#15</w:t>
      </w:r>
      <w:r w:rsidRPr="00F402B7">
        <w:rPr>
          <w:sz w:val="16"/>
          <w:szCs w:val="16"/>
        </w:rPr>
        <w:tab/>
        <w:t xml:space="preserve">Fosamax </w:t>
      </w:r>
    </w:p>
    <w:p w:rsidR="00F402B7" w:rsidRPr="00F402B7" w:rsidRDefault="00F402B7" w:rsidP="00A948CD">
      <w:pPr>
        <w:spacing w:after="0"/>
        <w:ind w:left="0"/>
        <w:rPr>
          <w:sz w:val="16"/>
          <w:szCs w:val="16"/>
        </w:rPr>
      </w:pPr>
      <w:r w:rsidRPr="00F402B7">
        <w:rPr>
          <w:sz w:val="16"/>
          <w:szCs w:val="16"/>
        </w:rPr>
        <w:t>#16</w:t>
      </w:r>
      <w:r w:rsidRPr="00F402B7">
        <w:rPr>
          <w:sz w:val="16"/>
          <w:szCs w:val="16"/>
        </w:rPr>
        <w:tab/>
        <w:t xml:space="preserve">Actonel </w:t>
      </w:r>
    </w:p>
    <w:p w:rsidR="00F402B7" w:rsidRPr="00F402B7" w:rsidRDefault="00F402B7" w:rsidP="00A948CD">
      <w:pPr>
        <w:spacing w:after="0"/>
        <w:ind w:left="0"/>
        <w:rPr>
          <w:sz w:val="16"/>
          <w:szCs w:val="16"/>
        </w:rPr>
      </w:pPr>
      <w:r w:rsidRPr="00F402B7">
        <w:rPr>
          <w:sz w:val="16"/>
          <w:szCs w:val="16"/>
        </w:rPr>
        <w:t>#17</w:t>
      </w:r>
      <w:r w:rsidRPr="00F402B7">
        <w:rPr>
          <w:sz w:val="16"/>
          <w:szCs w:val="16"/>
        </w:rPr>
        <w:tab/>
        <w:t xml:space="preserve">Atelvia </w:t>
      </w:r>
    </w:p>
    <w:p w:rsidR="00F402B7" w:rsidRPr="00F402B7" w:rsidRDefault="00F402B7" w:rsidP="00A948CD">
      <w:pPr>
        <w:spacing w:after="0"/>
        <w:ind w:left="0"/>
        <w:rPr>
          <w:sz w:val="16"/>
          <w:szCs w:val="16"/>
        </w:rPr>
      </w:pPr>
      <w:r w:rsidRPr="00F402B7">
        <w:rPr>
          <w:sz w:val="16"/>
          <w:szCs w:val="16"/>
        </w:rPr>
        <w:t>#18</w:t>
      </w:r>
      <w:r w:rsidRPr="00F402B7">
        <w:rPr>
          <w:sz w:val="16"/>
          <w:szCs w:val="16"/>
        </w:rPr>
        <w:tab/>
        <w:t xml:space="preserve">disodium </w:t>
      </w:r>
    </w:p>
    <w:p w:rsidR="00F402B7" w:rsidRPr="00F402B7" w:rsidRDefault="00F402B7" w:rsidP="00A948CD">
      <w:pPr>
        <w:spacing w:after="0"/>
        <w:ind w:left="0"/>
        <w:rPr>
          <w:sz w:val="16"/>
          <w:szCs w:val="16"/>
        </w:rPr>
      </w:pPr>
      <w:r w:rsidRPr="00F402B7">
        <w:rPr>
          <w:sz w:val="16"/>
          <w:szCs w:val="16"/>
        </w:rPr>
        <w:t>#19</w:t>
      </w:r>
      <w:r w:rsidRPr="00F402B7">
        <w:rPr>
          <w:sz w:val="16"/>
          <w:szCs w:val="16"/>
        </w:rPr>
        <w:tab/>
        <w:t xml:space="preserve">Didronel </w:t>
      </w:r>
    </w:p>
    <w:p w:rsidR="00F402B7" w:rsidRPr="00F402B7" w:rsidRDefault="00F402B7" w:rsidP="00A948CD">
      <w:pPr>
        <w:spacing w:after="0"/>
        <w:ind w:left="0"/>
        <w:rPr>
          <w:sz w:val="16"/>
          <w:szCs w:val="16"/>
        </w:rPr>
      </w:pPr>
      <w:r w:rsidRPr="00F402B7">
        <w:rPr>
          <w:sz w:val="16"/>
          <w:szCs w:val="16"/>
        </w:rPr>
        <w:t>#20</w:t>
      </w:r>
      <w:r w:rsidRPr="00F402B7">
        <w:rPr>
          <w:sz w:val="16"/>
          <w:szCs w:val="16"/>
        </w:rPr>
        <w:tab/>
        <w:t xml:space="preserve">clodronate </w:t>
      </w:r>
    </w:p>
    <w:p w:rsidR="00F402B7" w:rsidRPr="00F402B7" w:rsidRDefault="00F402B7" w:rsidP="00A948CD">
      <w:pPr>
        <w:spacing w:after="0"/>
        <w:ind w:left="0"/>
        <w:rPr>
          <w:sz w:val="16"/>
          <w:szCs w:val="16"/>
        </w:rPr>
      </w:pPr>
      <w:r w:rsidRPr="00F402B7">
        <w:rPr>
          <w:sz w:val="16"/>
          <w:szCs w:val="16"/>
        </w:rPr>
        <w:t>#21</w:t>
      </w:r>
      <w:r w:rsidRPr="00F402B7">
        <w:rPr>
          <w:sz w:val="16"/>
          <w:szCs w:val="16"/>
        </w:rPr>
        <w:tab/>
        <w:t>MeSH descriptor: [Clodronic Acid] explode all trees</w:t>
      </w:r>
    </w:p>
    <w:p w:rsidR="00F402B7" w:rsidRPr="00F402B7" w:rsidRDefault="00F402B7" w:rsidP="00A948CD">
      <w:pPr>
        <w:spacing w:after="0"/>
        <w:ind w:left="0"/>
        <w:rPr>
          <w:sz w:val="16"/>
          <w:szCs w:val="16"/>
        </w:rPr>
      </w:pPr>
      <w:r w:rsidRPr="00F402B7">
        <w:rPr>
          <w:sz w:val="16"/>
          <w:szCs w:val="16"/>
        </w:rPr>
        <w:t>#22</w:t>
      </w:r>
      <w:r w:rsidRPr="00F402B7">
        <w:rPr>
          <w:sz w:val="16"/>
          <w:szCs w:val="16"/>
        </w:rPr>
        <w:tab/>
        <w:t xml:space="preserve">BONEFOS </w:t>
      </w:r>
    </w:p>
    <w:p w:rsidR="00F402B7" w:rsidRPr="00F402B7" w:rsidRDefault="00F402B7" w:rsidP="00A948CD">
      <w:pPr>
        <w:spacing w:after="0"/>
        <w:ind w:left="0"/>
        <w:rPr>
          <w:sz w:val="16"/>
          <w:szCs w:val="16"/>
        </w:rPr>
      </w:pPr>
      <w:r w:rsidRPr="00F402B7">
        <w:rPr>
          <w:sz w:val="16"/>
          <w:szCs w:val="16"/>
        </w:rPr>
        <w:t>#23</w:t>
      </w:r>
      <w:r w:rsidRPr="00F402B7">
        <w:rPr>
          <w:sz w:val="16"/>
          <w:szCs w:val="16"/>
        </w:rPr>
        <w:tab/>
        <w:t xml:space="preserve">ibandronic acid </w:t>
      </w:r>
    </w:p>
    <w:p w:rsidR="00F402B7" w:rsidRPr="00F402B7" w:rsidRDefault="00F402B7" w:rsidP="00A948CD">
      <w:pPr>
        <w:spacing w:after="0"/>
        <w:ind w:left="0"/>
        <w:rPr>
          <w:sz w:val="16"/>
          <w:szCs w:val="16"/>
        </w:rPr>
      </w:pPr>
      <w:r w:rsidRPr="00F402B7">
        <w:rPr>
          <w:sz w:val="16"/>
          <w:szCs w:val="16"/>
        </w:rPr>
        <w:t>#24</w:t>
      </w:r>
      <w:r w:rsidRPr="00F402B7">
        <w:rPr>
          <w:sz w:val="16"/>
          <w:szCs w:val="16"/>
        </w:rPr>
        <w:tab/>
        <w:t xml:space="preserve">Bonviva </w:t>
      </w:r>
    </w:p>
    <w:p w:rsidR="00F402B7" w:rsidRPr="00F402B7" w:rsidRDefault="00F402B7" w:rsidP="00A948CD">
      <w:pPr>
        <w:spacing w:after="0"/>
        <w:ind w:left="0"/>
        <w:rPr>
          <w:sz w:val="16"/>
          <w:szCs w:val="16"/>
        </w:rPr>
      </w:pPr>
      <w:r w:rsidRPr="00F402B7">
        <w:rPr>
          <w:sz w:val="16"/>
          <w:szCs w:val="16"/>
        </w:rPr>
        <w:t>#25</w:t>
      </w:r>
      <w:r w:rsidRPr="00F402B7">
        <w:rPr>
          <w:sz w:val="16"/>
          <w:szCs w:val="16"/>
        </w:rPr>
        <w:tab/>
        <w:t xml:space="preserve">Zometa </w:t>
      </w:r>
    </w:p>
    <w:p w:rsidR="00F402B7" w:rsidRPr="00F402B7" w:rsidRDefault="00F402B7" w:rsidP="00A948CD">
      <w:pPr>
        <w:spacing w:after="0"/>
        <w:ind w:left="0"/>
        <w:rPr>
          <w:sz w:val="16"/>
          <w:szCs w:val="16"/>
        </w:rPr>
      </w:pPr>
      <w:r w:rsidRPr="00F402B7">
        <w:rPr>
          <w:sz w:val="16"/>
          <w:szCs w:val="16"/>
        </w:rPr>
        <w:t>#26</w:t>
      </w:r>
      <w:r w:rsidRPr="00F402B7">
        <w:rPr>
          <w:sz w:val="16"/>
          <w:szCs w:val="16"/>
        </w:rPr>
        <w:tab/>
        <w:t xml:space="preserve">Zomera </w:t>
      </w:r>
    </w:p>
    <w:p w:rsidR="00F402B7" w:rsidRPr="00F402B7" w:rsidRDefault="00F402B7" w:rsidP="00A948CD">
      <w:pPr>
        <w:spacing w:after="0"/>
        <w:ind w:left="0"/>
        <w:rPr>
          <w:sz w:val="16"/>
          <w:szCs w:val="16"/>
        </w:rPr>
      </w:pPr>
      <w:r w:rsidRPr="00F402B7">
        <w:rPr>
          <w:sz w:val="16"/>
          <w:szCs w:val="16"/>
        </w:rPr>
        <w:t>#27</w:t>
      </w:r>
      <w:r w:rsidRPr="00F402B7">
        <w:rPr>
          <w:sz w:val="16"/>
          <w:szCs w:val="16"/>
        </w:rPr>
        <w:tab/>
        <w:t xml:space="preserve">Aclasta </w:t>
      </w:r>
    </w:p>
    <w:p w:rsidR="00F402B7" w:rsidRPr="00F402B7" w:rsidRDefault="00F402B7" w:rsidP="00A948CD">
      <w:pPr>
        <w:spacing w:after="0"/>
        <w:ind w:left="0"/>
        <w:rPr>
          <w:sz w:val="16"/>
          <w:szCs w:val="16"/>
        </w:rPr>
      </w:pPr>
      <w:r w:rsidRPr="00F402B7">
        <w:rPr>
          <w:sz w:val="16"/>
          <w:szCs w:val="16"/>
        </w:rPr>
        <w:t>#28</w:t>
      </w:r>
      <w:r w:rsidRPr="00F402B7">
        <w:rPr>
          <w:sz w:val="16"/>
          <w:szCs w:val="16"/>
        </w:rPr>
        <w:tab/>
        <w:t xml:space="preserve">Reclast </w:t>
      </w:r>
    </w:p>
    <w:p w:rsidR="00F402B7" w:rsidRPr="00F402B7" w:rsidRDefault="00F402B7" w:rsidP="00A948CD">
      <w:pPr>
        <w:spacing w:after="0"/>
        <w:ind w:left="0"/>
        <w:rPr>
          <w:sz w:val="16"/>
          <w:szCs w:val="16"/>
        </w:rPr>
      </w:pPr>
      <w:r w:rsidRPr="00F402B7">
        <w:rPr>
          <w:sz w:val="16"/>
          <w:szCs w:val="16"/>
        </w:rPr>
        <w:t>#29</w:t>
      </w:r>
      <w:r w:rsidRPr="00F402B7">
        <w:rPr>
          <w:sz w:val="16"/>
          <w:szCs w:val="16"/>
        </w:rPr>
        <w:tab/>
        <w:t xml:space="preserve">selective estrogen receptor modulator </w:t>
      </w:r>
    </w:p>
    <w:p w:rsidR="00F402B7" w:rsidRPr="00F402B7" w:rsidRDefault="00F402B7" w:rsidP="00A948CD">
      <w:pPr>
        <w:spacing w:after="0"/>
        <w:ind w:left="0"/>
        <w:rPr>
          <w:sz w:val="16"/>
          <w:szCs w:val="16"/>
        </w:rPr>
      </w:pPr>
      <w:r w:rsidRPr="00F402B7">
        <w:rPr>
          <w:sz w:val="16"/>
          <w:szCs w:val="16"/>
        </w:rPr>
        <w:t>#30</w:t>
      </w:r>
      <w:r w:rsidRPr="00F402B7">
        <w:rPr>
          <w:sz w:val="16"/>
          <w:szCs w:val="16"/>
        </w:rPr>
        <w:tab/>
        <w:t>MeSH descriptor: [Selective Estrogen Receptor Modulators] explode all trees</w:t>
      </w:r>
    </w:p>
    <w:p w:rsidR="00F402B7" w:rsidRPr="00F402B7" w:rsidRDefault="00F402B7" w:rsidP="00A948CD">
      <w:pPr>
        <w:spacing w:after="0"/>
        <w:ind w:left="0"/>
        <w:rPr>
          <w:sz w:val="16"/>
          <w:szCs w:val="16"/>
        </w:rPr>
      </w:pPr>
      <w:r w:rsidRPr="00F402B7">
        <w:rPr>
          <w:sz w:val="16"/>
          <w:szCs w:val="16"/>
        </w:rPr>
        <w:t>#31</w:t>
      </w:r>
      <w:r w:rsidRPr="00F402B7">
        <w:rPr>
          <w:sz w:val="16"/>
          <w:szCs w:val="16"/>
        </w:rPr>
        <w:tab/>
        <w:t xml:space="preserve">SERM </w:t>
      </w:r>
    </w:p>
    <w:p w:rsidR="00F402B7" w:rsidRPr="00F402B7" w:rsidRDefault="00F402B7" w:rsidP="00A948CD">
      <w:pPr>
        <w:spacing w:after="0"/>
        <w:ind w:left="0"/>
        <w:rPr>
          <w:sz w:val="16"/>
          <w:szCs w:val="16"/>
        </w:rPr>
      </w:pPr>
      <w:r w:rsidRPr="00F402B7">
        <w:rPr>
          <w:sz w:val="16"/>
          <w:szCs w:val="16"/>
        </w:rPr>
        <w:t>#32</w:t>
      </w:r>
      <w:r w:rsidRPr="00F402B7">
        <w:rPr>
          <w:sz w:val="16"/>
          <w:szCs w:val="16"/>
        </w:rPr>
        <w:tab/>
        <w:t xml:space="preserve">Prolia </w:t>
      </w:r>
    </w:p>
    <w:p w:rsidR="00F402B7" w:rsidRPr="00F402B7" w:rsidRDefault="00F402B7" w:rsidP="00A948CD">
      <w:pPr>
        <w:spacing w:after="0"/>
        <w:ind w:left="0"/>
        <w:rPr>
          <w:sz w:val="16"/>
          <w:szCs w:val="16"/>
        </w:rPr>
      </w:pPr>
      <w:r w:rsidRPr="00F402B7">
        <w:rPr>
          <w:sz w:val="16"/>
          <w:szCs w:val="16"/>
        </w:rPr>
        <w:t>#33</w:t>
      </w:r>
      <w:r w:rsidRPr="00F402B7">
        <w:rPr>
          <w:sz w:val="16"/>
          <w:szCs w:val="16"/>
        </w:rPr>
        <w:tab/>
        <w:t xml:space="preserve">Xgeva </w:t>
      </w:r>
    </w:p>
    <w:p w:rsidR="00F402B7" w:rsidRPr="00F402B7" w:rsidRDefault="00F402B7" w:rsidP="00A948CD">
      <w:pPr>
        <w:spacing w:after="0"/>
        <w:ind w:left="0"/>
        <w:rPr>
          <w:sz w:val="16"/>
          <w:szCs w:val="16"/>
        </w:rPr>
      </w:pPr>
      <w:r w:rsidRPr="00F402B7">
        <w:rPr>
          <w:sz w:val="16"/>
          <w:szCs w:val="16"/>
        </w:rPr>
        <w:t>#34</w:t>
      </w:r>
      <w:r w:rsidRPr="00F402B7">
        <w:rPr>
          <w:sz w:val="16"/>
          <w:szCs w:val="16"/>
        </w:rPr>
        <w:tab/>
        <w:t xml:space="preserve">carbamazepine </w:t>
      </w:r>
    </w:p>
    <w:p w:rsidR="00F402B7" w:rsidRPr="00F402B7" w:rsidRDefault="00F402B7" w:rsidP="00A948CD">
      <w:pPr>
        <w:spacing w:after="0"/>
        <w:ind w:left="0"/>
        <w:rPr>
          <w:sz w:val="16"/>
          <w:szCs w:val="16"/>
        </w:rPr>
      </w:pPr>
      <w:r w:rsidRPr="00F402B7">
        <w:rPr>
          <w:sz w:val="16"/>
          <w:szCs w:val="16"/>
        </w:rPr>
        <w:t>#35</w:t>
      </w:r>
      <w:r w:rsidRPr="00F402B7">
        <w:rPr>
          <w:sz w:val="16"/>
          <w:szCs w:val="16"/>
        </w:rPr>
        <w:tab/>
        <w:t>MeSH descriptor: [Carbamazepine] explode all trees</w:t>
      </w:r>
    </w:p>
    <w:p w:rsidR="00F402B7" w:rsidRPr="00F402B7" w:rsidRDefault="00F402B7" w:rsidP="00A948CD">
      <w:pPr>
        <w:spacing w:after="0"/>
        <w:ind w:left="0"/>
        <w:rPr>
          <w:sz w:val="16"/>
          <w:szCs w:val="16"/>
        </w:rPr>
      </w:pPr>
      <w:r w:rsidRPr="00F402B7">
        <w:rPr>
          <w:sz w:val="16"/>
          <w:szCs w:val="16"/>
        </w:rPr>
        <w:t>#36</w:t>
      </w:r>
      <w:r w:rsidRPr="00F402B7">
        <w:rPr>
          <w:sz w:val="16"/>
          <w:szCs w:val="16"/>
        </w:rPr>
        <w:tab/>
        <w:t xml:space="preserve">parathyroid hormone </w:t>
      </w:r>
    </w:p>
    <w:p w:rsidR="00F402B7" w:rsidRPr="00F402B7" w:rsidRDefault="00F402B7" w:rsidP="00A948CD">
      <w:pPr>
        <w:spacing w:after="0"/>
        <w:ind w:left="0"/>
        <w:rPr>
          <w:sz w:val="16"/>
          <w:szCs w:val="16"/>
        </w:rPr>
      </w:pPr>
      <w:r w:rsidRPr="00F402B7">
        <w:rPr>
          <w:sz w:val="16"/>
          <w:szCs w:val="16"/>
        </w:rPr>
        <w:t>#37</w:t>
      </w:r>
      <w:r w:rsidRPr="00F402B7">
        <w:rPr>
          <w:sz w:val="16"/>
          <w:szCs w:val="16"/>
        </w:rPr>
        <w:tab/>
        <w:t>MeSH descriptor: [Parathyroid Hormone] explode all trees</w:t>
      </w:r>
    </w:p>
    <w:p w:rsidR="00F402B7" w:rsidRPr="00F402B7" w:rsidRDefault="00F402B7" w:rsidP="00A948CD">
      <w:pPr>
        <w:spacing w:after="0"/>
        <w:ind w:left="0"/>
        <w:rPr>
          <w:sz w:val="16"/>
          <w:szCs w:val="16"/>
        </w:rPr>
      </w:pPr>
      <w:r w:rsidRPr="00F402B7">
        <w:rPr>
          <w:sz w:val="16"/>
          <w:szCs w:val="16"/>
        </w:rPr>
        <w:t>#38</w:t>
      </w:r>
      <w:r w:rsidRPr="00F402B7">
        <w:rPr>
          <w:sz w:val="16"/>
          <w:szCs w:val="16"/>
        </w:rPr>
        <w:tab/>
        <w:t xml:space="preserve">Protelos </w:t>
      </w:r>
    </w:p>
    <w:p w:rsidR="00F402B7" w:rsidRPr="00F402B7" w:rsidRDefault="00F402B7" w:rsidP="00A948CD">
      <w:pPr>
        <w:spacing w:after="0"/>
        <w:ind w:left="0"/>
        <w:rPr>
          <w:sz w:val="16"/>
          <w:szCs w:val="16"/>
        </w:rPr>
      </w:pPr>
      <w:r w:rsidRPr="00F402B7">
        <w:rPr>
          <w:sz w:val="16"/>
          <w:szCs w:val="16"/>
        </w:rPr>
        <w:t>#39</w:t>
      </w:r>
      <w:r w:rsidRPr="00F402B7">
        <w:rPr>
          <w:sz w:val="16"/>
          <w:szCs w:val="16"/>
        </w:rPr>
        <w:tab/>
        <w:t xml:space="preserve">Protos </w:t>
      </w:r>
    </w:p>
    <w:p w:rsidR="00F402B7" w:rsidRPr="00F402B7" w:rsidRDefault="00F402B7" w:rsidP="00A948CD">
      <w:pPr>
        <w:spacing w:after="0"/>
        <w:ind w:left="0"/>
        <w:rPr>
          <w:sz w:val="16"/>
          <w:szCs w:val="16"/>
        </w:rPr>
      </w:pPr>
      <w:r w:rsidRPr="00F402B7">
        <w:rPr>
          <w:sz w:val="16"/>
          <w:szCs w:val="16"/>
        </w:rPr>
        <w:t>#40</w:t>
      </w:r>
      <w:r w:rsidRPr="00F402B7">
        <w:rPr>
          <w:sz w:val="16"/>
          <w:szCs w:val="16"/>
        </w:rPr>
        <w:tab/>
        <w:t xml:space="preserve">calcitrol </w:t>
      </w:r>
    </w:p>
    <w:p w:rsidR="00F402B7" w:rsidRPr="00F402B7" w:rsidRDefault="00F402B7" w:rsidP="00D009D1">
      <w:pPr>
        <w:spacing w:after="0"/>
        <w:ind w:left="0"/>
        <w:rPr>
          <w:sz w:val="16"/>
          <w:szCs w:val="16"/>
        </w:rPr>
      </w:pPr>
      <w:r w:rsidRPr="00F402B7">
        <w:rPr>
          <w:sz w:val="16"/>
          <w:szCs w:val="16"/>
        </w:rPr>
        <w:t>#41</w:t>
      </w:r>
      <w:r w:rsidRPr="00F402B7">
        <w:rPr>
          <w:sz w:val="16"/>
          <w:szCs w:val="16"/>
        </w:rPr>
        <w:tab/>
        <w:t xml:space="preserve">#1 or #2 or #3 or #4 or #5 or #6 or #7 or #8 or #9 or #10 or #11 or #12 or #13 or #14 or #15 or #16 or #17 or #18 or #19 or #20 or #21 or #22 or #23 or #24 or #25 or #26 or #27 or #28 or #29 or #30 or #31 or #32 or #33 or #34 or #35 or #36 or #37 or #38 or #39 or #40 </w:t>
      </w:r>
    </w:p>
    <w:p w:rsidR="00F402B7" w:rsidRPr="00F402B7" w:rsidRDefault="00F402B7" w:rsidP="00D009D1">
      <w:pPr>
        <w:spacing w:after="0"/>
        <w:ind w:left="0"/>
        <w:rPr>
          <w:sz w:val="16"/>
          <w:szCs w:val="16"/>
        </w:rPr>
      </w:pPr>
      <w:r w:rsidRPr="00F402B7">
        <w:rPr>
          <w:sz w:val="16"/>
          <w:szCs w:val="16"/>
        </w:rPr>
        <w:t>#42</w:t>
      </w:r>
      <w:r w:rsidRPr="00F402B7">
        <w:rPr>
          <w:sz w:val="16"/>
          <w:szCs w:val="16"/>
        </w:rPr>
        <w:tab/>
        <w:t>MeSH descriptor: [Aromatase Inhibitors] explode all trees</w:t>
      </w:r>
    </w:p>
    <w:p w:rsidR="00F402B7" w:rsidRPr="00F402B7" w:rsidRDefault="00F402B7" w:rsidP="00D009D1">
      <w:pPr>
        <w:spacing w:after="0"/>
        <w:ind w:left="0"/>
        <w:rPr>
          <w:sz w:val="16"/>
          <w:szCs w:val="16"/>
        </w:rPr>
      </w:pPr>
      <w:r w:rsidRPr="00F402B7">
        <w:rPr>
          <w:sz w:val="16"/>
          <w:szCs w:val="16"/>
        </w:rPr>
        <w:t>#43</w:t>
      </w:r>
      <w:r w:rsidRPr="00F402B7">
        <w:rPr>
          <w:sz w:val="16"/>
          <w:szCs w:val="16"/>
        </w:rPr>
        <w:tab/>
        <w:t>MeSH descriptor: [Aminoglutethimide] explode all trees</w:t>
      </w:r>
    </w:p>
    <w:p w:rsidR="00F402B7" w:rsidRPr="00F402B7" w:rsidRDefault="00F402B7" w:rsidP="00D009D1">
      <w:pPr>
        <w:spacing w:after="0"/>
        <w:ind w:left="0"/>
        <w:rPr>
          <w:sz w:val="16"/>
          <w:szCs w:val="16"/>
        </w:rPr>
      </w:pPr>
      <w:r w:rsidRPr="00F402B7">
        <w:rPr>
          <w:sz w:val="16"/>
          <w:szCs w:val="16"/>
        </w:rPr>
        <w:t>#44</w:t>
      </w:r>
      <w:r w:rsidRPr="00F402B7">
        <w:rPr>
          <w:sz w:val="16"/>
          <w:szCs w:val="16"/>
        </w:rPr>
        <w:tab/>
        <w:t>MeSH descriptor: [Testolactone] explode all trees</w:t>
      </w:r>
    </w:p>
    <w:p w:rsidR="00F402B7" w:rsidRPr="00F402B7" w:rsidRDefault="00F402B7" w:rsidP="00D009D1">
      <w:pPr>
        <w:spacing w:after="0"/>
        <w:ind w:left="0"/>
        <w:rPr>
          <w:sz w:val="16"/>
          <w:szCs w:val="16"/>
        </w:rPr>
      </w:pPr>
      <w:r w:rsidRPr="00F402B7">
        <w:rPr>
          <w:sz w:val="16"/>
          <w:szCs w:val="16"/>
        </w:rPr>
        <w:t>#45</w:t>
      </w:r>
      <w:r w:rsidRPr="00F402B7">
        <w:rPr>
          <w:sz w:val="16"/>
          <w:szCs w:val="16"/>
        </w:rPr>
        <w:tab/>
        <w:t>MeSH descriptor: [Fadrozole] explode all trees</w:t>
      </w:r>
    </w:p>
    <w:p w:rsidR="00F402B7" w:rsidRPr="00F402B7" w:rsidRDefault="00F402B7" w:rsidP="00D009D1">
      <w:pPr>
        <w:spacing w:after="0"/>
        <w:ind w:left="0"/>
        <w:rPr>
          <w:sz w:val="16"/>
          <w:szCs w:val="16"/>
        </w:rPr>
      </w:pPr>
      <w:r w:rsidRPr="00F402B7">
        <w:rPr>
          <w:sz w:val="16"/>
          <w:szCs w:val="16"/>
        </w:rPr>
        <w:t>#46</w:t>
      </w:r>
      <w:r w:rsidRPr="00F402B7">
        <w:rPr>
          <w:sz w:val="16"/>
          <w:szCs w:val="16"/>
        </w:rPr>
        <w:tab/>
        <w:t>MeSH descriptor: [Androstatrienes] explode all trees</w:t>
      </w:r>
    </w:p>
    <w:p w:rsidR="00F402B7" w:rsidRPr="00F402B7" w:rsidRDefault="00F402B7" w:rsidP="00D009D1">
      <w:pPr>
        <w:spacing w:after="0"/>
        <w:ind w:left="0"/>
        <w:rPr>
          <w:sz w:val="16"/>
          <w:szCs w:val="16"/>
        </w:rPr>
      </w:pPr>
      <w:r w:rsidRPr="00F402B7">
        <w:rPr>
          <w:sz w:val="16"/>
          <w:szCs w:val="16"/>
        </w:rPr>
        <w:t>#47</w:t>
      </w:r>
      <w:r w:rsidRPr="00F402B7">
        <w:rPr>
          <w:sz w:val="16"/>
          <w:szCs w:val="16"/>
        </w:rPr>
        <w:tab/>
        <w:t>MeSH descriptor: [Androstenedione] explode all trees</w:t>
      </w:r>
    </w:p>
    <w:p w:rsidR="00F402B7" w:rsidRPr="00F402B7" w:rsidRDefault="00F402B7" w:rsidP="00D009D1">
      <w:pPr>
        <w:spacing w:after="0"/>
        <w:ind w:left="0"/>
        <w:rPr>
          <w:sz w:val="16"/>
          <w:szCs w:val="16"/>
        </w:rPr>
      </w:pPr>
      <w:r w:rsidRPr="00F402B7">
        <w:rPr>
          <w:sz w:val="16"/>
          <w:szCs w:val="16"/>
        </w:rPr>
        <w:t>#48</w:t>
      </w:r>
      <w:r w:rsidRPr="00F402B7">
        <w:rPr>
          <w:sz w:val="16"/>
          <w:szCs w:val="16"/>
        </w:rPr>
        <w:tab/>
        <w:t xml:space="preserve">Aromatase inhibitors </w:t>
      </w:r>
    </w:p>
    <w:p w:rsidR="00F402B7" w:rsidRPr="00F402B7" w:rsidRDefault="00F402B7" w:rsidP="00D009D1">
      <w:pPr>
        <w:spacing w:after="0"/>
        <w:ind w:left="0"/>
        <w:rPr>
          <w:sz w:val="16"/>
          <w:szCs w:val="16"/>
        </w:rPr>
      </w:pPr>
      <w:r w:rsidRPr="00F402B7">
        <w:rPr>
          <w:sz w:val="16"/>
          <w:szCs w:val="16"/>
        </w:rPr>
        <w:t>#49</w:t>
      </w:r>
      <w:r w:rsidRPr="00F402B7">
        <w:rPr>
          <w:sz w:val="16"/>
          <w:szCs w:val="16"/>
        </w:rPr>
        <w:tab/>
        <w:t xml:space="preserve">Aminoglutethimide </w:t>
      </w:r>
    </w:p>
    <w:p w:rsidR="00F402B7" w:rsidRPr="00F402B7" w:rsidRDefault="00F402B7" w:rsidP="00D009D1">
      <w:pPr>
        <w:spacing w:after="0"/>
        <w:ind w:left="0"/>
        <w:rPr>
          <w:sz w:val="16"/>
          <w:szCs w:val="16"/>
        </w:rPr>
      </w:pPr>
      <w:r w:rsidRPr="00F402B7">
        <w:rPr>
          <w:sz w:val="16"/>
          <w:szCs w:val="16"/>
        </w:rPr>
        <w:t>#50</w:t>
      </w:r>
      <w:r w:rsidRPr="00F402B7">
        <w:rPr>
          <w:sz w:val="16"/>
          <w:szCs w:val="16"/>
        </w:rPr>
        <w:tab/>
        <w:t xml:space="preserve">Testolactone </w:t>
      </w:r>
    </w:p>
    <w:p w:rsidR="00F402B7" w:rsidRPr="00F402B7" w:rsidRDefault="00F402B7" w:rsidP="00D009D1">
      <w:pPr>
        <w:spacing w:after="0"/>
        <w:ind w:left="0"/>
        <w:rPr>
          <w:sz w:val="16"/>
          <w:szCs w:val="16"/>
        </w:rPr>
      </w:pPr>
      <w:r w:rsidRPr="00F402B7">
        <w:rPr>
          <w:sz w:val="16"/>
          <w:szCs w:val="16"/>
        </w:rPr>
        <w:t>#51</w:t>
      </w:r>
      <w:r w:rsidRPr="00F402B7">
        <w:rPr>
          <w:sz w:val="16"/>
          <w:szCs w:val="16"/>
        </w:rPr>
        <w:tab/>
        <w:t xml:space="preserve">Anastrozole </w:t>
      </w:r>
    </w:p>
    <w:p w:rsidR="00F402B7" w:rsidRPr="00F402B7" w:rsidRDefault="00F402B7" w:rsidP="00D009D1">
      <w:pPr>
        <w:spacing w:after="0"/>
        <w:ind w:left="0"/>
        <w:rPr>
          <w:sz w:val="16"/>
          <w:szCs w:val="16"/>
        </w:rPr>
      </w:pPr>
      <w:r w:rsidRPr="00F402B7">
        <w:rPr>
          <w:sz w:val="16"/>
          <w:szCs w:val="16"/>
        </w:rPr>
        <w:t>#52</w:t>
      </w:r>
      <w:r w:rsidRPr="00F402B7">
        <w:rPr>
          <w:sz w:val="16"/>
          <w:szCs w:val="16"/>
        </w:rPr>
        <w:tab/>
        <w:t xml:space="preserve">Letrozole </w:t>
      </w:r>
    </w:p>
    <w:p w:rsidR="00F402B7" w:rsidRPr="00F402B7" w:rsidRDefault="00F402B7" w:rsidP="00D009D1">
      <w:pPr>
        <w:spacing w:after="0"/>
        <w:ind w:left="0"/>
        <w:rPr>
          <w:sz w:val="16"/>
          <w:szCs w:val="16"/>
        </w:rPr>
      </w:pPr>
      <w:r w:rsidRPr="00F402B7">
        <w:rPr>
          <w:sz w:val="16"/>
          <w:szCs w:val="16"/>
        </w:rPr>
        <w:t>#53</w:t>
      </w:r>
      <w:r w:rsidRPr="00F402B7">
        <w:rPr>
          <w:sz w:val="16"/>
          <w:szCs w:val="16"/>
        </w:rPr>
        <w:tab/>
        <w:t xml:space="preserve">Exemestane </w:t>
      </w:r>
    </w:p>
    <w:p w:rsidR="00F402B7" w:rsidRPr="00F402B7" w:rsidRDefault="00F402B7" w:rsidP="00D009D1">
      <w:pPr>
        <w:spacing w:after="0"/>
        <w:ind w:left="0"/>
        <w:rPr>
          <w:sz w:val="16"/>
          <w:szCs w:val="16"/>
        </w:rPr>
      </w:pPr>
      <w:r w:rsidRPr="00F402B7">
        <w:rPr>
          <w:sz w:val="16"/>
          <w:szCs w:val="16"/>
        </w:rPr>
        <w:t>#54</w:t>
      </w:r>
      <w:r w:rsidRPr="00F402B7">
        <w:rPr>
          <w:sz w:val="16"/>
          <w:szCs w:val="16"/>
        </w:rPr>
        <w:tab/>
        <w:t xml:space="preserve">Vorozole </w:t>
      </w:r>
    </w:p>
    <w:p w:rsidR="00F402B7" w:rsidRPr="00F402B7" w:rsidRDefault="00F402B7" w:rsidP="00D009D1">
      <w:pPr>
        <w:spacing w:after="0"/>
        <w:ind w:left="0"/>
        <w:rPr>
          <w:sz w:val="16"/>
          <w:szCs w:val="16"/>
        </w:rPr>
      </w:pPr>
      <w:r w:rsidRPr="00F402B7">
        <w:rPr>
          <w:sz w:val="16"/>
          <w:szCs w:val="16"/>
        </w:rPr>
        <w:t>#55</w:t>
      </w:r>
      <w:r w:rsidRPr="00F402B7">
        <w:rPr>
          <w:sz w:val="16"/>
          <w:szCs w:val="16"/>
        </w:rPr>
        <w:tab/>
        <w:t xml:space="preserve">Formestane </w:t>
      </w:r>
    </w:p>
    <w:p w:rsidR="00F402B7" w:rsidRPr="00F402B7" w:rsidRDefault="00F402B7" w:rsidP="00D009D1">
      <w:pPr>
        <w:spacing w:after="0"/>
        <w:ind w:left="0"/>
        <w:rPr>
          <w:sz w:val="16"/>
          <w:szCs w:val="16"/>
        </w:rPr>
      </w:pPr>
      <w:r w:rsidRPr="00F402B7">
        <w:rPr>
          <w:sz w:val="16"/>
          <w:szCs w:val="16"/>
        </w:rPr>
        <w:t>#56</w:t>
      </w:r>
      <w:r w:rsidRPr="00F402B7">
        <w:rPr>
          <w:sz w:val="16"/>
          <w:szCs w:val="16"/>
        </w:rPr>
        <w:tab/>
        <w:t xml:space="preserve">Fadrozole </w:t>
      </w:r>
    </w:p>
    <w:p w:rsidR="00F402B7" w:rsidRPr="00F402B7" w:rsidRDefault="00F402B7" w:rsidP="00D009D1">
      <w:pPr>
        <w:spacing w:after="0"/>
        <w:ind w:left="0"/>
        <w:rPr>
          <w:sz w:val="16"/>
          <w:szCs w:val="16"/>
        </w:rPr>
      </w:pPr>
      <w:r w:rsidRPr="00F402B7">
        <w:rPr>
          <w:sz w:val="16"/>
          <w:szCs w:val="16"/>
        </w:rPr>
        <w:t>#57</w:t>
      </w:r>
      <w:r w:rsidRPr="00F402B7">
        <w:rPr>
          <w:sz w:val="16"/>
          <w:szCs w:val="16"/>
        </w:rPr>
        <w:tab/>
        <w:t xml:space="preserve">Hydroxyandrostenedione </w:t>
      </w:r>
    </w:p>
    <w:p w:rsidR="00F402B7" w:rsidRPr="00F402B7" w:rsidRDefault="00F402B7" w:rsidP="00D009D1">
      <w:pPr>
        <w:spacing w:after="0"/>
        <w:ind w:left="0"/>
        <w:rPr>
          <w:sz w:val="16"/>
          <w:szCs w:val="16"/>
        </w:rPr>
      </w:pPr>
      <w:r w:rsidRPr="00F402B7">
        <w:rPr>
          <w:sz w:val="16"/>
          <w:szCs w:val="16"/>
        </w:rPr>
        <w:t>#58</w:t>
      </w:r>
      <w:r w:rsidRPr="00F402B7">
        <w:rPr>
          <w:sz w:val="16"/>
          <w:szCs w:val="16"/>
        </w:rPr>
        <w:tab/>
        <w:t xml:space="preserve">Hydroxyandrostenedione </w:t>
      </w:r>
    </w:p>
    <w:p w:rsidR="00F402B7" w:rsidRPr="00F402B7" w:rsidRDefault="00F402B7" w:rsidP="00D009D1">
      <w:pPr>
        <w:spacing w:after="0"/>
        <w:ind w:left="0"/>
        <w:rPr>
          <w:sz w:val="16"/>
          <w:szCs w:val="16"/>
        </w:rPr>
      </w:pPr>
      <w:r w:rsidRPr="00F402B7">
        <w:rPr>
          <w:sz w:val="16"/>
          <w:szCs w:val="16"/>
        </w:rPr>
        <w:t>#59</w:t>
      </w:r>
      <w:r w:rsidRPr="00F402B7">
        <w:rPr>
          <w:sz w:val="16"/>
          <w:szCs w:val="16"/>
        </w:rPr>
        <w:tab/>
        <w:t xml:space="preserve">Androstatrien </w:t>
      </w:r>
    </w:p>
    <w:p w:rsidR="00F402B7" w:rsidRPr="00F402B7" w:rsidRDefault="00F402B7" w:rsidP="00D009D1">
      <w:pPr>
        <w:spacing w:after="0"/>
        <w:ind w:left="0"/>
        <w:rPr>
          <w:sz w:val="16"/>
          <w:szCs w:val="16"/>
        </w:rPr>
      </w:pPr>
      <w:r w:rsidRPr="00F402B7">
        <w:rPr>
          <w:sz w:val="16"/>
          <w:szCs w:val="16"/>
        </w:rPr>
        <w:t>#60</w:t>
      </w:r>
      <w:r w:rsidRPr="00F402B7">
        <w:rPr>
          <w:sz w:val="16"/>
          <w:szCs w:val="16"/>
        </w:rPr>
        <w:tab/>
        <w:t xml:space="preserve">Androstene </w:t>
      </w:r>
    </w:p>
    <w:p w:rsidR="00F402B7" w:rsidRPr="00F402B7" w:rsidRDefault="00F402B7" w:rsidP="00D009D1">
      <w:pPr>
        <w:spacing w:after="0"/>
        <w:ind w:left="0"/>
        <w:rPr>
          <w:sz w:val="16"/>
          <w:szCs w:val="16"/>
        </w:rPr>
      </w:pPr>
      <w:r w:rsidRPr="00F402B7">
        <w:rPr>
          <w:sz w:val="16"/>
          <w:szCs w:val="16"/>
        </w:rPr>
        <w:t>#61</w:t>
      </w:r>
      <w:r w:rsidRPr="00F402B7">
        <w:rPr>
          <w:sz w:val="16"/>
          <w:szCs w:val="16"/>
        </w:rPr>
        <w:tab/>
        <w:t xml:space="preserve">Arimidex </w:t>
      </w:r>
    </w:p>
    <w:p w:rsidR="00F402B7" w:rsidRPr="00F402B7" w:rsidRDefault="00F402B7" w:rsidP="00D009D1">
      <w:pPr>
        <w:spacing w:after="0"/>
        <w:ind w:left="0"/>
        <w:rPr>
          <w:sz w:val="16"/>
          <w:szCs w:val="16"/>
        </w:rPr>
      </w:pPr>
      <w:r w:rsidRPr="00F402B7">
        <w:rPr>
          <w:sz w:val="16"/>
          <w:szCs w:val="16"/>
        </w:rPr>
        <w:t>#62</w:t>
      </w:r>
      <w:r w:rsidRPr="00F402B7">
        <w:rPr>
          <w:sz w:val="16"/>
          <w:szCs w:val="16"/>
        </w:rPr>
        <w:tab/>
        <w:t xml:space="preserve">Femara </w:t>
      </w:r>
    </w:p>
    <w:p w:rsidR="00F402B7" w:rsidRPr="00F402B7" w:rsidRDefault="00F402B7" w:rsidP="00D009D1">
      <w:pPr>
        <w:spacing w:after="0"/>
        <w:ind w:left="0"/>
        <w:rPr>
          <w:sz w:val="16"/>
          <w:szCs w:val="16"/>
        </w:rPr>
      </w:pPr>
      <w:r w:rsidRPr="00F402B7">
        <w:rPr>
          <w:sz w:val="16"/>
          <w:szCs w:val="16"/>
        </w:rPr>
        <w:t>#63</w:t>
      </w:r>
      <w:r w:rsidRPr="00F402B7">
        <w:rPr>
          <w:sz w:val="16"/>
          <w:szCs w:val="16"/>
        </w:rPr>
        <w:tab/>
        <w:t xml:space="preserve">Aromasin </w:t>
      </w:r>
    </w:p>
    <w:p w:rsidR="00F402B7" w:rsidRPr="00F402B7" w:rsidRDefault="00F402B7" w:rsidP="00D009D1">
      <w:pPr>
        <w:spacing w:after="0"/>
        <w:ind w:left="0"/>
        <w:rPr>
          <w:sz w:val="16"/>
          <w:szCs w:val="16"/>
        </w:rPr>
      </w:pPr>
      <w:r w:rsidRPr="00F402B7">
        <w:rPr>
          <w:sz w:val="16"/>
          <w:szCs w:val="16"/>
        </w:rPr>
        <w:t>#64</w:t>
      </w:r>
      <w:r w:rsidRPr="00F402B7">
        <w:rPr>
          <w:sz w:val="16"/>
          <w:szCs w:val="16"/>
        </w:rPr>
        <w:tab/>
        <w:t xml:space="preserve">Rivizor </w:t>
      </w:r>
    </w:p>
    <w:p w:rsidR="00F402B7" w:rsidRPr="00F402B7" w:rsidRDefault="00F402B7" w:rsidP="00D009D1">
      <w:pPr>
        <w:spacing w:after="0"/>
        <w:ind w:left="0"/>
        <w:rPr>
          <w:sz w:val="16"/>
          <w:szCs w:val="16"/>
        </w:rPr>
      </w:pPr>
      <w:r w:rsidRPr="00F402B7">
        <w:rPr>
          <w:sz w:val="16"/>
          <w:szCs w:val="16"/>
        </w:rPr>
        <w:t>#65</w:t>
      </w:r>
      <w:r w:rsidRPr="00F402B7">
        <w:rPr>
          <w:sz w:val="16"/>
          <w:szCs w:val="16"/>
        </w:rPr>
        <w:tab/>
        <w:t xml:space="preserve">Formestane </w:t>
      </w:r>
    </w:p>
    <w:p w:rsidR="00F402B7" w:rsidRPr="00F402B7" w:rsidRDefault="00F402B7" w:rsidP="00D009D1">
      <w:pPr>
        <w:spacing w:after="0"/>
        <w:ind w:left="0"/>
        <w:rPr>
          <w:sz w:val="16"/>
          <w:szCs w:val="16"/>
        </w:rPr>
      </w:pPr>
      <w:r w:rsidRPr="00F402B7">
        <w:rPr>
          <w:sz w:val="16"/>
          <w:szCs w:val="16"/>
        </w:rPr>
        <w:t>#66</w:t>
      </w:r>
      <w:r w:rsidRPr="00F402B7">
        <w:rPr>
          <w:sz w:val="16"/>
          <w:szCs w:val="16"/>
        </w:rPr>
        <w:tab/>
        <w:t xml:space="preserve">Lentaron </w:t>
      </w:r>
    </w:p>
    <w:p w:rsidR="00F402B7" w:rsidRPr="00F402B7" w:rsidRDefault="00F402B7" w:rsidP="00D009D1">
      <w:pPr>
        <w:spacing w:after="0"/>
        <w:ind w:left="0"/>
        <w:rPr>
          <w:sz w:val="16"/>
          <w:szCs w:val="16"/>
        </w:rPr>
      </w:pPr>
      <w:r w:rsidRPr="00F402B7">
        <w:rPr>
          <w:sz w:val="16"/>
          <w:szCs w:val="16"/>
        </w:rPr>
        <w:t>#67</w:t>
      </w:r>
      <w:r w:rsidRPr="00F402B7">
        <w:rPr>
          <w:sz w:val="16"/>
          <w:szCs w:val="16"/>
        </w:rPr>
        <w:tab/>
        <w:t xml:space="preserve">Afema </w:t>
      </w:r>
    </w:p>
    <w:p w:rsidR="00F402B7" w:rsidRPr="00F402B7" w:rsidRDefault="00F402B7" w:rsidP="00D009D1">
      <w:pPr>
        <w:spacing w:after="0"/>
        <w:ind w:left="0"/>
        <w:rPr>
          <w:sz w:val="16"/>
          <w:szCs w:val="16"/>
        </w:rPr>
      </w:pPr>
      <w:r w:rsidRPr="00F402B7">
        <w:rPr>
          <w:sz w:val="16"/>
          <w:szCs w:val="16"/>
        </w:rPr>
        <w:t>#68</w:t>
      </w:r>
      <w:r w:rsidRPr="00F402B7">
        <w:rPr>
          <w:sz w:val="16"/>
          <w:szCs w:val="16"/>
        </w:rPr>
        <w:tab/>
        <w:t xml:space="preserve">Teslac </w:t>
      </w:r>
    </w:p>
    <w:p w:rsidR="00F402B7" w:rsidRPr="00F402B7" w:rsidRDefault="00F402B7" w:rsidP="00D009D1">
      <w:pPr>
        <w:spacing w:after="0"/>
        <w:ind w:left="0"/>
        <w:rPr>
          <w:sz w:val="16"/>
          <w:szCs w:val="16"/>
        </w:rPr>
      </w:pPr>
      <w:r w:rsidRPr="00F402B7">
        <w:rPr>
          <w:sz w:val="16"/>
          <w:szCs w:val="16"/>
        </w:rPr>
        <w:t>#69</w:t>
      </w:r>
      <w:r w:rsidRPr="00F402B7">
        <w:rPr>
          <w:sz w:val="16"/>
          <w:szCs w:val="16"/>
        </w:rPr>
        <w:tab/>
        <w:t xml:space="preserve">ATD </w:t>
      </w:r>
    </w:p>
    <w:p w:rsidR="00F402B7" w:rsidRPr="00F402B7" w:rsidRDefault="00F402B7" w:rsidP="00D009D1">
      <w:pPr>
        <w:spacing w:after="0"/>
        <w:ind w:left="0"/>
        <w:rPr>
          <w:sz w:val="16"/>
          <w:szCs w:val="16"/>
        </w:rPr>
      </w:pPr>
      <w:r w:rsidRPr="00F402B7">
        <w:rPr>
          <w:sz w:val="16"/>
          <w:szCs w:val="16"/>
        </w:rPr>
        <w:t>#70</w:t>
      </w:r>
      <w:r w:rsidRPr="00F402B7">
        <w:rPr>
          <w:sz w:val="16"/>
          <w:szCs w:val="16"/>
        </w:rPr>
        <w:tab/>
        <w:t xml:space="preserve">OXO-6 </w:t>
      </w:r>
    </w:p>
    <w:p w:rsidR="00F402B7" w:rsidRPr="00F402B7" w:rsidRDefault="00F402B7" w:rsidP="00D009D1">
      <w:pPr>
        <w:spacing w:after="0"/>
        <w:ind w:left="0"/>
        <w:rPr>
          <w:sz w:val="16"/>
          <w:szCs w:val="16"/>
        </w:rPr>
      </w:pPr>
      <w:r w:rsidRPr="00F402B7">
        <w:rPr>
          <w:sz w:val="16"/>
          <w:szCs w:val="16"/>
        </w:rPr>
        <w:t>#71</w:t>
      </w:r>
      <w:r w:rsidRPr="00F402B7">
        <w:rPr>
          <w:sz w:val="16"/>
          <w:szCs w:val="16"/>
        </w:rPr>
        <w:tab/>
        <w:t xml:space="preserve">#42 or #43 or #44 or #45 or #46 or #47 or #48 or #49 or #50 or #51 or #52 or #53 or #54 or #55 or #56 or #57 or #58 or #59 or #60 or #61 or #62 or #63 or #64 or #65 or #66 or #67 or #68 or #69 or #70 </w:t>
      </w:r>
    </w:p>
    <w:p w:rsidR="00F402B7" w:rsidRPr="00F402B7" w:rsidRDefault="00F402B7" w:rsidP="00D009D1">
      <w:pPr>
        <w:spacing w:after="0"/>
        <w:ind w:left="0"/>
        <w:rPr>
          <w:sz w:val="16"/>
          <w:szCs w:val="16"/>
        </w:rPr>
      </w:pPr>
      <w:r w:rsidRPr="00F402B7">
        <w:rPr>
          <w:sz w:val="16"/>
          <w:szCs w:val="16"/>
        </w:rPr>
        <w:t>#72</w:t>
      </w:r>
      <w:r w:rsidRPr="00F402B7">
        <w:rPr>
          <w:sz w:val="16"/>
          <w:szCs w:val="16"/>
        </w:rPr>
        <w:tab/>
        <w:t xml:space="preserve">Breast cancer </w:t>
      </w:r>
    </w:p>
    <w:p w:rsidR="00F402B7" w:rsidRPr="00F402B7" w:rsidRDefault="00F402B7" w:rsidP="00D009D1">
      <w:pPr>
        <w:spacing w:after="0"/>
        <w:ind w:left="0"/>
        <w:rPr>
          <w:sz w:val="16"/>
          <w:szCs w:val="16"/>
        </w:rPr>
      </w:pPr>
      <w:r w:rsidRPr="00F402B7">
        <w:rPr>
          <w:sz w:val="16"/>
          <w:szCs w:val="16"/>
        </w:rPr>
        <w:t>#73</w:t>
      </w:r>
      <w:r w:rsidRPr="00F402B7">
        <w:rPr>
          <w:sz w:val="16"/>
          <w:szCs w:val="16"/>
        </w:rPr>
        <w:tab/>
        <w:t xml:space="preserve">Breast neoplasm </w:t>
      </w:r>
    </w:p>
    <w:p w:rsidR="00F402B7" w:rsidRPr="00F402B7" w:rsidRDefault="00F402B7" w:rsidP="00D009D1">
      <w:pPr>
        <w:spacing w:after="0"/>
        <w:ind w:left="0"/>
        <w:rPr>
          <w:sz w:val="16"/>
          <w:szCs w:val="16"/>
        </w:rPr>
      </w:pPr>
      <w:r w:rsidRPr="00F402B7">
        <w:rPr>
          <w:sz w:val="16"/>
          <w:szCs w:val="16"/>
        </w:rPr>
        <w:lastRenderedPageBreak/>
        <w:t>#74</w:t>
      </w:r>
      <w:r w:rsidRPr="00F402B7">
        <w:rPr>
          <w:sz w:val="16"/>
          <w:szCs w:val="16"/>
        </w:rPr>
        <w:tab/>
        <w:t xml:space="preserve">Breast neoplasia </w:t>
      </w:r>
    </w:p>
    <w:p w:rsidR="00F402B7" w:rsidRPr="00F402B7" w:rsidRDefault="00F402B7" w:rsidP="00D009D1">
      <w:pPr>
        <w:spacing w:after="0"/>
        <w:ind w:left="0"/>
        <w:rPr>
          <w:sz w:val="16"/>
          <w:szCs w:val="16"/>
        </w:rPr>
      </w:pPr>
      <w:r w:rsidRPr="00F402B7">
        <w:rPr>
          <w:sz w:val="16"/>
          <w:szCs w:val="16"/>
        </w:rPr>
        <w:t>#75</w:t>
      </w:r>
      <w:r w:rsidRPr="00F402B7">
        <w:rPr>
          <w:sz w:val="16"/>
          <w:szCs w:val="16"/>
        </w:rPr>
        <w:tab/>
        <w:t xml:space="preserve">mammary gland neoplasia </w:t>
      </w:r>
    </w:p>
    <w:p w:rsidR="00F402B7" w:rsidRPr="00F402B7" w:rsidRDefault="00F402B7" w:rsidP="00D009D1">
      <w:pPr>
        <w:spacing w:after="0"/>
        <w:ind w:left="0"/>
        <w:rPr>
          <w:sz w:val="16"/>
          <w:szCs w:val="16"/>
        </w:rPr>
      </w:pPr>
      <w:r w:rsidRPr="00F402B7">
        <w:rPr>
          <w:sz w:val="16"/>
          <w:szCs w:val="16"/>
        </w:rPr>
        <w:t>#76</w:t>
      </w:r>
      <w:r w:rsidRPr="00F402B7">
        <w:rPr>
          <w:sz w:val="16"/>
          <w:szCs w:val="16"/>
        </w:rPr>
        <w:tab/>
        <w:t xml:space="preserve">mammary gland neoplasm </w:t>
      </w:r>
    </w:p>
    <w:p w:rsidR="00F402B7" w:rsidRPr="00F402B7" w:rsidRDefault="00F402B7" w:rsidP="00D009D1">
      <w:pPr>
        <w:spacing w:after="0"/>
        <w:ind w:left="0"/>
        <w:rPr>
          <w:sz w:val="16"/>
          <w:szCs w:val="16"/>
        </w:rPr>
      </w:pPr>
      <w:r w:rsidRPr="00F402B7">
        <w:rPr>
          <w:sz w:val="16"/>
          <w:szCs w:val="16"/>
        </w:rPr>
        <w:t>#77</w:t>
      </w:r>
      <w:r w:rsidRPr="00F402B7">
        <w:rPr>
          <w:sz w:val="16"/>
          <w:szCs w:val="16"/>
        </w:rPr>
        <w:tab/>
        <w:t xml:space="preserve">Hormone Dependent Neoplasms </w:t>
      </w:r>
    </w:p>
    <w:p w:rsidR="00F402B7" w:rsidRPr="00F402B7" w:rsidRDefault="00F402B7" w:rsidP="00D009D1">
      <w:pPr>
        <w:spacing w:after="0"/>
        <w:ind w:left="0"/>
        <w:rPr>
          <w:sz w:val="16"/>
          <w:szCs w:val="16"/>
        </w:rPr>
      </w:pPr>
      <w:r w:rsidRPr="00F402B7">
        <w:rPr>
          <w:sz w:val="16"/>
          <w:szCs w:val="16"/>
        </w:rPr>
        <w:t>#78</w:t>
      </w:r>
      <w:r w:rsidRPr="00F402B7">
        <w:rPr>
          <w:sz w:val="16"/>
          <w:szCs w:val="16"/>
        </w:rPr>
        <w:tab/>
        <w:t xml:space="preserve">ER positive cancers </w:t>
      </w:r>
    </w:p>
    <w:p w:rsidR="00F402B7" w:rsidRPr="00F402B7" w:rsidRDefault="00F402B7" w:rsidP="00D009D1">
      <w:pPr>
        <w:spacing w:after="0"/>
        <w:ind w:left="0"/>
        <w:rPr>
          <w:sz w:val="16"/>
          <w:szCs w:val="16"/>
        </w:rPr>
      </w:pPr>
      <w:r w:rsidRPr="00F402B7">
        <w:rPr>
          <w:sz w:val="16"/>
          <w:szCs w:val="16"/>
        </w:rPr>
        <w:t>#79</w:t>
      </w:r>
      <w:r w:rsidRPr="00F402B7">
        <w:rPr>
          <w:sz w:val="16"/>
          <w:szCs w:val="16"/>
        </w:rPr>
        <w:tab/>
        <w:t xml:space="preserve">Oestrogen receptor positive cancers </w:t>
      </w:r>
    </w:p>
    <w:p w:rsidR="00F402B7" w:rsidRPr="00F402B7" w:rsidRDefault="00F402B7" w:rsidP="00D009D1">
      <w:pPr>
        <w:spacing w:after="0"/>
        <w:ind w:left="0"/>
        <w:rPr>
          <w:sz w:val="16"/>
          <w:szCs w:val="16"/>
        </w:rPr>
      </w:pPr>
      <w:r w:rsidRPr="00F402B7">
        <w:rPr>
          <w:sz w:val="16"/>
          <w:szCs w:val="16"/>
        </w:rPr>
        <w:t>#80</w:t>
      </w:r>
      <w:r w:rsidRPr="00F402B7">
        <w:rPr>
          <w:sz w:val="16"/>
          <w:szCs w:val="16"/>
        </w:rPr>
        <w:tab/>
        <w:t xml:space="preserve">estrogen receptor positive cancers </w:t>
      </w:r>
    </w:p>
    <w:p w:rsidR="00F402B7" w:rsidRPr="00F402B7" w:rsidRDefault="00F402B7" w:rsidP="00D009D1">
      <w:pPr>
        <w:spacing w:after="0"/>
        <w:ind w:left="0"/>
        <w:rPr>
          <w:sz w:val="16"/>
          <w:szCs w:val="16"/>
        </w:rPr>
      </w:pPr>
      <w:r w:rsidRPr="00F402B7">
        <w:rPr>
          <w:sz w:val="16"/>
          <w:szCs w:val="16"/>
        </w:rPr>
        <w:t>#81</w:t>
      </w:r>
      <w:r w:rsidRPr="00F402B7">
        <w:rPr>
          <w:sz w:val="16"/>
          <w:szCs w:val="16"/>
        </w:rPr>
        <w:tab/>
        <w:t xml:space="preserve">breast carcinoma </w:t>
      </w:r>
    </w:p>
    <w:p w:rsidR="00F402B7" w:rsidRPr="00F402B7" w:rsidRDefault="00F402B7" w:rsidP="00D009D1">
      <w:pPr>
        <w:spacing w:after="0"/>
        <w:ind w:left="0"/>
        <w:rPr>
          <w:sz w:val="16"/>
          <w:szCs w:val="16"/>
        </w:rPr>
      </w:pPr>
      <w:r w:rsidRPr="00F402B7">
        <w:rPr>
          <w:sz w:val="16"/>
          <w:szCs w:val="16"/>
        </w:rPr>
        <w:t>#82</w:t>
      </w:r>
      <w:r w:rsidRPr="00F402B7">
        <w:rPr>
          <w:sz w:val="16"/>
          <w:szCs w:val="16"/>
        </w:rPr>
        <w:tab/>
        <w:t>MeSH descriptor: [Breast Neoplasms] explode all trees</w:t>
      </w:r>
    </w:p>
    <w:p w:rsidR="00F402B7" w:rsidRPr="00F402B7" w:rsidRDefault="00F402B7" w:rsidP="00D009D1">
      <w:pPr>
        <w:spacing w:after="0"/>
        <w:ind w:left="0"/>
        <w:rPr>
          <w:sz w:val="16"/>
          <w:szCs w:val="16"/>
        </w:rPr>
      </w:pPr>
      <w:r w:rsidRPr="00F402B7">
        <w:rPr>
          <w:sz w:val="16"/>
          <w:szCs w:val="16"/>
        </w:rPr>
        <w:t>#83</w:t>
      </w:r>
      <w:r w:rsidRPr="00F402B7">
        <w:rPr>
          <w:sz w:val="16"/>
          <w:szCs w:val="16"/>
        </w:rPr>
        <w:tab/>
        <w:t>MeSH descriptor: [Neoplasms, Hormone-Dependent] explode all trees</w:t>
      </w:r>
    </w:p>
    <w:p w:rsidR="00F402B7" w:rsidRPr="00F402B7" w:rsidRDefault="00F402B7" w:rsidP="00D009D1">
      <w:pPr>
        <w:spacing w:after="0"/>
        <w:ind w:left="0"/>
        <w:rPr>
          <w:sz w:val="16"/>
          <w:szCs w:val="16"/>
        </w:rPr>
      </w:pPr>
      <w:r w:rsidRPr="00F402B7">
        <w:rPr>
          <w:sz w:val="16"/>
          <w:szCs w:val="16"/>
        </w:rPr>
        <w:t>#84</w:t>
      </w:r>
      <w:r w:rsidRPr="00F402B7">
        <w:rPr>
          <w:sz w:val="16"/>
          <w:szCs w:val="16"/>
        </w:rPr>
        <w:tab/>
        <w:t xml:space="preserve">#72 or #73 or #74 or #75 or #76 or #77 or #78 or #79 or #80 or #81 or #82 or #83 </w:t>
      </w:r>
    </w:p>
    <w:p w:rsidR="00F402B7" w:rsidRPr="00F402B7" w:rsidRDefault="00F402B7" w:rsidP="00D009D1">
      <w:pPr>
        <w:spacing w:after="0"/>
        <w:ind w:left="0"/>
        <w:rPr>
          <w:sz w:val="16"/>
          <w:szCs w:val="16"/>
        </w:rPr>
      </w:pPr>
      <w:r w:rsidRPr="00F402B7">
        <w:rPr>
          <w:sz w:val="16"/>
          <w:szCs w:val="16"/>
        </w:rPr>
        <w:t>#85</w:t>
      </w:r>
      <w:r w:rsidRPr="00F402B7">
        <w:rPr>
          <w:sz w:val="16"/>
          <w:szCs w:val="16"/>
        </w:rPr>
        <w:tab/>
        <w:t>#41 and #71 and #84</w:t>
      </w:r>
    </w:p>
    <w:p w:rsidR="00F402B7" w:rsidRDefault="00F402B7" w:rsidP="00D009D1">
      <w:pPr>
        <w:spacing w:after="0"/>
        <w:ind w:left="0"/>
        <w:rPr>
          <w:b/>
          <w:sz w:val="16"/>
          <w:szCs w:val="16"/>
        </w:rPr>
      </w:pPr>
    </w:p>
    <w:p w:rsidR="00F402B7" w:rsidRPr="00F402B7" w:rsidRDefault="00F402B7" w:rsidP="00D009D1">
      <w:pPr>
        <w:spacing w:after="0"/>
        <w:ind w:left="0"/>
        <w:rPr>
          <w:b/>
          <w:sz w:val="16"/>
          <w:szCs w:val="16"/>
        </w:rPr>
      </w:pPr>
      <w:r>
        <w:rPr>
          <w:b/>
          <w:sz w:val="16"/>
          <w:szCs w:val="16"/>
        </w:rPr>
        <w:t>C</w:t>
      </w:r>
      <w:r w:rsidRPr="00F402B7">
        <w:rPr>
          <w:b/>
          <w:sz w:val="16"/>
          <w:szCs w:val="16"/>
        </w:rPr>
        <w:t>RD</w:t>
      </w:r>
    </w:p>
    <w:p w:rsidR="00F402B7" w:rsidRPr="00F402B7" w:rsidRDefault="00F402B7" w:rsidP="00D009D1">
      <w:pPr>
        <w:spacing w:after="0"/>
        <w:ind w:left="0"/>
        <w:rPr>
          <w:sz w:val="16"/>
          <w:szCs w:val="16"/>
        </w:rPr>
      </w:pPr>
      <w:r w:rsidRPr="00F402B7">
        <w:rPr>
          <w:sz w:val="16"/>
          <w:szCs w:val="16"/>
        </w:rPr>
        <w:t>1</w:t>
      </w:r>
      <w:r w:rsidRPr="00F402B7">
        <w:rPr>
          <w:sz w:val="16"/>
          <w:szCs w:val="16"/>
        </w:rPr>
        <w:tab/>
        <w:t xml:space="preserve">(Breast cancer) </w:t>
      </w:r>
    </w:p>
    <w:p w:rsidR="00F402B7" w:rsidRPr="00F402B7" w:rsidRDefault="00F402B7" w:rsidP="00D009D1">
      <w:pPr>
        <w:spacing w:after="0"/>
        <w:ind w:left="0"/>
        <w:rPr>
          <w:sz w:val="16"/>
          <w:szCs w:val="16"/>
        </w:rPr>
      </w:pPr>
      <w:r w:rsidRPr="00F402B7">
        <w:rPr>
          <w:sz w:val="16"/>
          <w:szCs w:val="16"/>
        </w:rPr>
        <w:t>2</w:t>
      </w:r>
      <w:r w:rsidRPr="00F402B7">
        <w:rPr>
          <w:sz w:val="16"/>
          <w:szCs w:val="16"/>
        </w:rPr>
        <w:tab/>
        <w:t xml:space="preserve">(Breast neoplasm) </w:t>
      </w:r>
    </w:p>
    <w:p w:rsidR="00F402B7" w:rsidRPr="00F402B7" w:rsidRDefault="00F402B7" w:rsidP="00D009D1">
      <w:pPr>
        <w:spacing w:after="0"/>
        <w:ind w:left="0"/>
        <w:rPr>
          <w:sz w:val="16"/>
          <w:szCs w:val="16"/>
        </w:rPr>
      </w:pPr>
      <w:r w:rsidRPr="00F402B7">
        <w:rPr>
          <w:sz w:val="16"/>
          <w:szCs w:val="16"/>
        </w:rPr>
        <w:t>3</w:t>
      </w:r>
      <w:r w:rsidRPr="00F402B7">
        <w:rPr>
          <w:sz w:val="16"/>
          <w:szCs w:val="16"/>
        </w:rPr>
        <w:tab/>
        <w:t xml:space="preserve">(Breast neoplasia) </w:t>
      </w:r>
    </w:p>
    <w:p w:rsidR="00F402B7" w:rsidRPr="00F402B7" w:rsidRDefault="00F402B7" w:rsidP="00D009D1">
      <w:pPr>
        <w:spacing w:after="0"/>
        <w:ind w:left="0"/>
        <w:rPr>
          <w:sz w:val="16"/>
          <w:szCs w:val="16"/>
        </w:rPr>
      </w:pPr>
      <w:r w:rsidRPr="00F402B7">
        <w:rPr>
          <w:sz w:val="16"/>
          <w:szCs w:val="16"/>
        </w:rPr>
        <w:t>4</w:t>
      </w:r>
      <w:r w:rsidRPr="00F402B7">
        <w:rPr>
          <w:sz w:val="16"/>
          <w:szCs w:val="16"/>
        </w:rPr>
        <w:tab/>
        <w:t xml:space="preserve">(mammary gland neoplasia) </w:t>
      </w:r>
    </w:p>
    <w:p w:rsidR="00F402B7" w:rsidRPr="00F402B7" w:rsidRDefault="00F402B7" w:rsidP="00D009D1">
      <w:pPr>
        <w:spacing w:after="0"/>
        <w:ind w:left="0"/>
        <w:rPr>
          <w:sz w:val="16"/>
          <w:szCs w:val="16"/>
        </w:rPr>
      </w:pPr>
      <w:r w:rsidRPr="00F402B7">
        <w:rPr>
          <w:sz w:val="16"/>
          <w:szCs w:val="16"/>
        </w:rPr>
        <w:t>5</w:t>
      </w:r>
      <w:r w:rsidRPr="00F402B7">
        <w:rPr>
          <w:sz w:val="16"/>
          <w:szCs w:val="16"/>
        </w:rPr>
        <w:tab/>
        <w:t xml:space="preserve">(mammary gland neoplasm) </w:t>
      </w:r>
    </w:p>
    <w:p w:rsidR="00F402B7" w:rsidRPr="00F402B7" w:rsidRDefault="00F402B7" w:rsidP="00D009D1">
      <w:pPr>
        <w:spacing w:after="0"/>
        <w:ind w:left="0"/>
        <w:rPr>
          <w:sz w:val="16"/>
          <w:szCs w:val="16"/>
        </w:rPr>
      </w:pPr>
      <w:r w:rsidRPr="00F402B7">
        <w:rPr>
          <w:sz w:val="16"/>
          <w:szCs w:val="16"/>
        </w:rPr>
        <w:t>6</w:t>
      </w:r>
      <w:r w:rsidRPr="00F402B7">
        <w:rPr>
          <w:sz w:val="16"/>
          <w:szCs w:val="16"/>
        </w:rPr>
        <w:tab/>
        <w:t xml:space="preserve">(Hormone Dependent Neoplasms) </w:t>
      </w:r>
    </w:p>
    <w:p w:rsidR="00F402B7" w:rsidRPr="00F402B7" w:rsidRDefault="00F402B7" w:rsidP="00D009D1">
      <w:pPr>
        <w:spacing w:after="0"/>
        <w:ind w:left="0"/>
        <w:rPr>
          <w:sz w:val="16"/>
          <w:szCs w:val="16"/>
        </w:rPr>
      </w:pPr>
      <w:r w:rsidRPr="00F402B7">
        <w:rPr>
          <w:sz w:val="16"/>
          <w:szCs w:val="16"/>
        </w:rPr>
        <w:t>7</w:t>
      </w:r>
      <w:r w:rsidRPr="00F402B7">
        <w:rPr>
          <w:sz w:val="16"/>
          <w:szCs w:val="16"/>
        </w:rPr>
        <w:tab/>
        <w:t xml:space="preserve">(ER positive cancers) </w:t>
      </w:r>
    </w:p>
    <w:p w:rsidR="00F402B7" w:rsidRPr="00F402B7" w:rsidRDefault="00F402B7" w:rsidP="00D009D1">
      <w:pPr>
        <w:spacing w:after="0"/>
        <w:ind w:left="0"/>
        <w:rPr>
          <w:sz w:val="16"/>
          <w:szCs w:val="16"/>
        </w:rPr>
      </w:pPr>
      <w:r w:rsidRPr="00F402B7">
        <w:rPr>
          <w:sz w:val="16"/>
          <w:szCs w:val="16"/>
        </w:rPr>
        <w:t>8</w:t>
      </w:r>
      <w:r w:rsidRPr="00F402B7">
        <w:rPr>
          <w:sz w:val="16"/>
          <w:szCs w:val="16"/>
        </w:rPr>
        <w:tab/>
        <w:t>(Oestrogen receptor positive cancers)</w:t>
      </w:r>
    </w:p>
    <w:p w:rsidR="00F402B7" w:rsidRPr="00F402B7" w:rsidRDefault="00F402B7" w:rsidP="00D009D1">
      <w:pPr>
        <w:spacing w:after="0"/>
        <w:ind w:left="0"/>
        <w:rPr>
          <w:sz w:val="16"/>
          <w:szCs w:val="16"/>
        </w:rPr>
      </w:pPr>
      <w:r w:rsidRPr="00F402B7">
        <w:rPr>
          <w:sz w:val="16"/>
          <w:szCs w:val="16"/>
        </w:rPr>
        <w:t>9</w:t>
      </w:r>
      <w:r w:rsidRPr="00F402B7">
        <w:rPr>
          <w:sz w:val="16"/>
          <w:szCs w:val="16"/>
        </w:rPr>
        <w:tab/>
        <w:t xml:space="preserve">(estrogen receptor positive cancers) </w:t>
      </w:r>
    </w:p>
    <w:p w:rsidR="00F402B7" w:rsidRPr="00F402B7" w:rsidRDefault="00F402B7" w:rsidP="00D009D1">
      <w:pPr>
        <w:spacing w:after="0"/>
        <w:ind w:left="0"/>
        <w:rPr>
          <w:sz w:val="16"/>
          <w:szCs w:val="16"/>
        </w:rPr>
      </w:pPr>
      <w:r w:rsidRPr="00F402B7">
        <w:rPr>
          <w:sz w:val="16"/>
          <w:szCs w:val="16"/>
        </w:rPr>
        <w:t>10</w:t>
      </w:r>
      <w:r w:rsidRPr="00F402B7">
        <w:rPr>
          <w:sz w:val="16"/>
          <w:szCs w:val="16"/>
        </w:rPr>
        <w:tab/>
        <w:t xml:space="preserve">(breast carcinoma) </w:t>
      </w:r>
    </w:p>
    <w:p w:rsidR="00F402B7" w:rsidRPr="00F402B7" w:rsidRDefault="00F402B7" w:rsidP="00D009D1">
      <w:pPr>
        <w:spacing w:after="0"/>
        <w:ind w:left="0"/>
        <w:rPr>
          <w:sz w:val="16"/>
          <w:szCs w:val="16"/>
        </w:rPr>
      </w:pPr>
      <w:r w:rsidRPr="00F402B7">
        <w:rPr>
          <w:sz w:val="16"/>
          <w:szCs w:val="16"/>
        </w:rPr>
        <w:t>11</w:t>
      </w:r>
      <w:r w:rsidRPr="00F402B7">
        <w:rPr>
          <w:sz w:val="16"/>
          <w:szCs w:val="16"/>
        </w:rPr>
        <w:tab/>
        <w:t>MeSH DESCRIPTOR Breast Neoplasms EXPLODE ALL TREES</w:t>
      </w:r>
      <w:r w:rsidRPr="00F402B7">
        <w:rPr>
          <w:sz w:val="16"/>
          <w:szCs w:val="16"/>
        </w:rPr>
        <w:tab/>
      </w:r>
    </w:p>
    <w:p w:rsidR="00F402B7" w:rsidRPr="00F402B7" w:rsidRDefault="00F402B7" w:rsidP="00D009D1">
      <w:pPr>
        <w:spacing w:after="0"/>
        <w:ind w:left="0"/>
        <w:rPr>
          <w:sz w:val="16"/>
          <w:szCs w:val="16"/>
        </w:rPr>
      </w:pPr>
      <w:r w:rsidRPr="00F402B7">
        <w:rPr>
          <w:sz w:val="16"/>
          <w:szCs w:val="16"/>
        </w:rPr>
        <w:t>12</w:t>
      </w:r>
      <w:r w:rsidRPr="00F402B7">
        <w:rPr>
          <w:sz w:val="16"/>
          <w:szCs w:val="16"/>
        </w:rPr>
        <w:tab/>
        <w:t>#1 OR #2 OR #3 OR #4 OR #5 OR #6 OR #7 OR #8 OR #9 OR #10 OR #11</w:t>
      </w:r>
    </w:p>
    <w:p w:rsidR="00F402B7" w:rsidRPr="00F402B7" w:rsidRDefault="00F402B7" w:rsidP="00D009D1">
      <w:pPr>
        <w:spacing w:after="0"/>
        <w:ind w:left="0"/>
        <w:rPr>
          <w:sz w:val="16"/>
          <w:szCs w:val="16"/>
        </w:rPr>
      </w:pPr>
      <w:r w:rsidRPr="00F402B7">
        <w:rPr>
          <w:sz w:val="16"/>
          <w:szCs w:val="16"/>
        </w:rPr>
        <w:t>13</w:t>
      </w:r>
      <w:r w:rsidRPr="00F402B7">
        <w:rPr>
          <w:sz w:val="16"/>
          <w:szCs w:val="16"/>
        </w:rPr>
        <w:tab/>
        <w:t xml:space="preserve">(risedronate) </w:t>
      </w:r>
    </w:p>
    <w:p w:rsidR="00F402B7" w:rsidRPr="00F402B7" w:rsidRDefault="00F402B7" w:rsidP="00A948CD">
      <w:pPr>
        <w:spacing w:after="0"/>
        <w:ind w:left="0"/>
        <w:rPr>
          <w:sz w:val="16"/>
          <w:szCs w:val="16"/>
        </w:rPr>
      </w:pPr>
      <w:r w:rsidRPr="00F402B7">
        <w:rPr>
          <w:sz w:val="16"/>
          <w:szCs w:val="16"/>
        </w:rPr>
        <w:t>14</w:t>
      </w:r>
      <w:r w:rsidRPr="00F402B7">
        <w:rPr>
          <w:sz w:val="16"/>
          <w:szCs w:val="16"/>
        </w:rPr>
        <w:tab/>
        <w:t xml:space="preserve">(ibandronate) </w:t>
      </w:r>
    </w:p>
    <w:p w:rsidR="00F402B7" w:rsidRPr="00F402B7" w:rsidRDefault="00F402B7" w:rsidP="00A948CD">
      <w:pPr>
        <w:spacing w:after="0"/>
        <w:ind w:left="0"/>
        <w:rPr>
          <w:sz w:val="16"/>
          <w:szCs w:val="16"/>
        </w:rPr>
      </w:pPr>
      <w:r w:rsidRPr="00F402B7">
        <w:rPr>
          <w:sz w:val="16"/>
          <w:szCs w:val="16"/>
        </w:rPr>
        <w:t>15</w:t>
      </w:r>
      <w:r w:rsidRPr="00F402B7">
        <w:rPr>
          <w:sz w:val="16"/>
          <w:szCs w:val="16"/>
        </w:rPr>
        <w:tab/>
        <w:t xml:space="preserve">(zoledronic) </w:t>
      </w:r>
    </w:p>
    <w:p w:rsidR="00F402B7" w:rsidRPr="00F402B7" w:rsidRDefault="00F402B7" w:rsidP="00A948CD">
      <w:pPr>
        <w:spacing w:after="0"/>
        <w:ind w:left="0"/>
        <w:rPr>
          <w:sz w:val="16"/>
          <w:szCs w:val="16"/>
        </w:rPr>
      </w:pPr>
      <w:r w:rsidRPr="00F402B7">
        <w:rPr>
          <w:sz w:val="16"/>
          <w:szCs w:val="16"/>
        </w:rPr>
        <w:t>16</w:t>
      </w:r>
      <w:r w:rsidRPr="00F402B7">
        <w:rPr>
          <w:sz w:val="16"/>
          <w:szCs w:val="16"/>
        </w:rPr>
        <w:tab/>
        <w:t>MeSH DESCRIPTOR Diphosphonates EXPLODE ALL TREES</w:t>
      </w:r>
      <w:r w:rsidRPr="00F402B7">
        <w:rPr>
          <w:sz w:val="16"/>
          <w:szCs w:val="16"/>
        </w:rPr>
        <w:tab/>
      </w:r>
    </w:p>
    <w:p w:rsidR="00F402B7" w:rsidRPr="00F402B7" w:rsidRDefault="00F402B7" w:rsidP="00D009D1">
      <w:pPr>
        <w:spacing w:after="0"/>
        <w:ind w:left="0"/>
        <w:rPr>
          <w:sz w:val="16"/>
          <w:szCs w:val="16"/>
        </w:rPr>
      </w:pPr>
      <w:r w:rsidRPr="00F402B7">
        <w:rPr>
          <w:sz w:val="16"/>
          <w:szCs w:val="16"/>
        </w:rPr>
        <w:t>17</w:t>
      </w:r>
      <w:r w:rsidRPr="00F402B7">
        <w:rPr>
          <w:sz w:val="16"/>
          <w:szCs w:val="16"/>
        </w:rPr>
        <w:tab/>
        <w:t xml:space="preserve">(Diphosphonates) </w:t>
      </w:r>
    </w:p>
    <w:p w:rsidR="00F402B7" w:rsidRPr="00F402B7" w:rsidRDefault="00F402B7" w:rsidP="00D009D1">
      <w:pPr>
        <w:spacing w:after="0"/>
        <w:ind w:left="0"/>
        <w:rPr>
          <w:sz w:val="16"/>
          <w:szCs w:val="16"/>
        </w:rPr>
      </w:pPr>
      <w:r w:rsidRPr="00F402B7">
        <w:rPr>
          <w:sz w:val="16"/>
          <w:szCs w:val="16"/>
        </w:rPr>
        <w:t>18</w:t>
      </w:r>
      <w:r w:rsidRPr="00F402B7">
        <w:rPr>
          <w:sz w:val="16"/>
          <w:szCs w:val="16"/>
        </w:rPr>
        <w:tab/>
        <w:t xml:space="preserve">(Bisphosphonates) </w:t>
      </w:r>
    </w:p>
    <w:p w:rsidR="00F402B7" w:rsidRPr="00F402B7" w:rsidRDefault="00F402B7" w:rsidP="00D009D1">
      <w:pPr>
        <w:spacing w:after="0"/>
        <w:ind w:left="0"/>
        <w:rPr>
          <w:sz w:val="16"/>
          <w:szCs w:val="16"/>
        </w:rPr>
      </w:pPr>
      <w:r w:rsidRPr="00F402B7">
        <w:rPr>
          <w:sz w:val="16"/>
          <w:szCs w:val="16"/>
        </w:rPr>
        <w:t>19</w:t>
      </w:r>
      <w:r w:rsidRPr="00F402B7">
        <w:rPr>
          <w:sz w:val="16"/>
          <w:szCs w:val="16"/>
        </w:rPr>
        <w:tab/>
        <w:t xml:space="preserve">(alendronate) </w:t>
      </w:r>
    </w:p>
    <w:p w:rsidR="00F402B7" w:rsidRPr="00F402B7" w:rsidRDefault="00F402B7" w:rsidP="00D009D1">
      <w:pPr>
        <w:spacing w:after="0"/>
        <w:ind w:left="0"/>
        <w:rPr>
          <w:sz w:val="16"/>
          <w:szCs w:val="16"/>
        </w:rPr>
      </w:pPr>
      <w:r w:rsidRPr="00F402B7">
        <w:rPr>
          <w:sz w:val="16"/>
          <w:szCs w:val="16"/>
        </w:rPr>
        <w:t>20</w:t>
      </w:r>
      <w:r w:rsidRPr="00F402B7">
        <w:rPr>
          <w:sz w:val="16"/>
          <w:szCs w:val="16"/>
        </w:rPr>
        <w:tab/>
        <w:t xml:space="preserve">(Denosumab) </w:t>
      </w:r>
    </w:p>
    <w:p w:rsidR="00F402B7" w:rsidRPr="00F402B7" w:rsidRDefault="00F402B7" w:rsidP="00D009D1">
      <w:pPr>
        <w:spacing w:after="0"/>
        <w:ind w:left="0"/>
        <w:rPr>
          <w:sz w:val="16"/>
          <w:szCs w:val="16"/>
        </w:rPr>
      </w:pPr>
      <w:r w:rsidRPr="00F402B7">
        <w:rPr>
          <w:sz w:val="16"/>
          <w:szCs w:val="16"/>
        </w:rPr>
        <w:t>21</w:t>
      </w:r>
      <w:r w:rsidRPr="00F402B7">
        <w:rPr>
          <w:sz w:val="16"/>
          <w:szCs w:val="16"/>
        </w:rPr>
        <w:tab/>
        <w:t xml:space="preserve">(strontium ranelate) </w:t>
      </w:r>
    </w:p>
    <w:p w:rsidR="00F402B7" w:rsidRPr="00F402B7" w:rsidRDefault="00F402B7" w:rsidP="00D009D1">
      <w:pPr>
        <w:spacing w:after="0"/>
        <w:ind w:left="0"/>
        <w:rPr>
          <w:sz w:val="16"/>
          <w:szCs w:val="16"/>
        </w:rPr>
      </w:pPr>
      <w:r w:rsidRPr="00F402B7">
        <w:rPr>
          <w:sz w:val="16"/>
          <w:szCs w:val="16"/>
        </w:rPr>
        <w:t>22</w:t>
      </w:r>
      <w:r w:rsidRPr="00F402B7">
        <w:rPr>
          <w:sz w:val="16"/>
          <w:szCs w:val="16"/>
        </w:rPr>
        <w:tab/>
        <w:t>MeSH DESCRIPTOR Bone Density Conservation Agents EXPLODE ALL TREES</w:t>
      </w:r>
      <w:r w:rsidRPr="00F402B7">
        <w:rPr>
          <w:sz w:val="16"/>
          <w:szCs w:val="16"/>
        </w:rPr>
        <w:tab/>
      </w:r>
    </w:p>
    <w:p w:rsidR="00F402B7" w:rsidRPr="00F402B7" w:rsidRDefault="00F402B7" w:rsidP="00D009D1">
      <w:pPr>
        <w:spacing w:after="0"/>
        <w:ind w:left="0"/>
        <w:rPr>
          <w:sz w:val="16"/>
          <w:szCs w:val="16"/>
        </w:rPr>
      </w:pPr>
      <w:r w:rsidRPr="00F402B7">
        <w:rPr>
          <w:sz w:val="16"/>
          <w:szCs w:val="16"/>
        </w:rPr>
        <w:t>23</w:t>
      </w:r>
      <w:r w:rsidRPr="00F402B7">
        <w:rPr>
          <w:sz w:val="16"/>
          <w:szCs w:val="16"/>
        </w:rPr>
        <w:tab/>
        <w:t xml:space="preserve">(Raloxifene) </w:t>
      </w:r>
    </w:p>
    <w:p w:rsidR="00F402B7" w:rsidRPr="00F402B7" w:rsidRDefault="00F402B7" w:rsidP="00D009D1">
      <w:pPr>
        <w:spacing w:after="0"/>
        <w:ind w:left="0"/>
        <w:rPr>
          <w:sz w:val="16"/>
          <w:szCs w:val="16"/>
        </w:rPr>
      </w:pPr>
      <w:r w:rsidRPr="00F402B7">
        <w:rPr>
          <w:sz w:val="16"/>
          <w:szCs w:val="16"/>
        </w:rPr>
        <w:t>24</w:t>
      </w:r>
      <w:r w:rsidRPr="00F402B7">
        <w:rPr>
          <w:sz w:val="16"/>
          <w:szCs w:val="16"/>
        </w:rPr>
        <w:tab/>
        <w:t>MeSH DESCRIPTOR Raloxifene EXPLODE ALL TREES</w:t>
      </w:r>
      <w:r w:rsidRPr="00F402B7">
        <w:rPr>
          <w:sz w:val="16"/>
          <w:szCs w:val="16"/>
        </w:rPr>
        <w:tab/>
      </w:r>
    </w:p>
    <w:p w:rsidR="00F402B7" w:rsidRPr="00F402B7" w:rsidRDefault="00F402B7" w:rsidP="00D009D1">
      <w:pPr>
        <w:spacing w:after="0"/>
        <w:ind w:left="0"/>
        <w:rPr>
          <w:sz w:val="16"/>
          <w:szCs w:val="16"/>
        </w:rPr>
      </w:pPr>
      <w:r w:rsidRPr="00F402B7">
        <w:rPr>
          <w:sz w:val="16"/>
          <w:szCs w:val="16"/>
        </w:rPr>
        <w:t>25</w:t>
      </w:r>
      <w:r w:rsidRPr="00F402B7">
        <w:rPr>
          <w:sz w:val="16"/>
          <w:szCs w:val="16"/>
        </w:rPr>
        <w:tab/>
        <w:t xml:space="preserve">(Teriparatide) </w:t>
      </w:r>
    </w:p>
    <w:p w:rsidR="00F402B7" w:rsidRPr="00F402B7" w:rsidRDefault="00F402B7" w:rsidP="00D009D1">
      <w:pPr>
        <w:spacing w:after="0"/>
        <w:ind w:left="0"/>
        <w:rPr>
          <w:sz w:val="16"/>
          <w:szCs w:val="16"/>
        </w:rPr>
      </w:pPr>
      <w:r w:rsidRPr="00F402B7">
        <w:rPr>
          <w:sz w:val="16"/>
          <w:szCs w:val="16"/>
        </w:rPr>
        <w:t>26</w:t>
      </w:r>
      <w:r w:rsidRPr="00F402B7">
        <w:rPr>
          <w:sz w:val="16"/>
          <w:szCs w:val="16"/>
        </w:rPr>
        <w:tab/>
        <w:t xml:space="preserve">(anti-resorptive) </w:t>
      </w:r>
    </w:p>
    <w:p w:rsidR="00F402B7" w:rsidRPr="00F402B7" w:rsidRDefault="00F402B7" w:rsidP="00D009D1">
      <w:pPr>
        <w:spacing w:after="0"/>
        <w:ind w:left="0"/>
        <w:rPr>
          <w:sz w:val="16"/>
          <w:szCs w:val="16"/>
        </w:rPr>
      </w:pPr>
      <w:r w:rsidRPr="00F402B7">
        <w:rPr>
          <w:sz w:val="16"/>
          <w:szCs w:val="16"/>
        </w:rPr>
        <w:t>27</w:t>
      </w:r>
      <w:r w:rsidRPr="00F402B7">
        <w:rPr>
          <w:sz w:val="16"/>
          <w:szCs w:val="16"/>
        </w:rPr>
        <w:tab/>
        <w:t xml:space="preserve">(Fosamax) </w:t>
      </w:r>
    </w:p>
    <w:p w:rsidR="00F402B7" w:rsidRPr="00F402B7" w:rsidRDefault="00F402B7" w:rsidP="00D009D1">
      <w:pPr>
        <w:spacing w:after="0"/>
        <w:ind w:left="0"/>
        <w:rPr>
          <w:sz w:val="16"/>
          <w:szCs w:val="16"/>
        </w:rPr>
      </w:pPr>
      <w:r w:rsidRPr="00F402B7">
        <w:rPr>
          <w:sz w:val="16"/>
          <w:szCs w:val="16"/>
        </w:rPr>
        <w:t>28</w:t>
      </w:r>
      <w:r w:rsidRPr="00F402B7">
        <w:rPr>
          <w:sz w:val="16"/>
          <w:szCs w:val="16"/>
        </w:rPr>
        <w:tab/>
        <w:t xml:space="preserve">(Actonel) </w:t>
      </w:r>
    </w:p>
    <w:p w:rsidR="00F402B7" w:rsidRPr="00F402B7" w:rsidRDefault="00F402B7" w:rsidP="00D009D1">
      <w:pPr>
        <w:spacing w:after="0"/>
        <w:ind w:left="0"/>
        <w:rPr>
          <w:sz w:val="16"/>
          <w:szCs w:val="16"/>
        </w:rPr>
      </w:pPr>
      <w:r w:rsidRPr="00F402B7">
        <w:rPr>
          <w:sz w:val="16"/>
          <w:szCs w:val="16"/>
        </w:rPr>
        <w:t>29</w:t>
      </w:r>
      <w:r w:rsidRPr="00F402B7">
        <w:rPr>
          <w:sz w:val="16"/>
          <w:szCs w:val="16"/>
        </w:rPr>
        <w:tab/>
        <w:t xml:space="preserve">(Atelvia) </w:t>
      </w:r>
    </w:p>
    <w:p w:rsidR="00F402B7" w:rsidRPr="00F402B7" w:rsidRDefault="00F402B7" w:rsidP="00D009D1">
      <w:pPr>
        <w:spacing w:after="0"/>
        <w:ind w:left="0"/>
        <w:rPr>
          <w:sz w:val="16"/>
          <w:szCs w:val="16"/>
        </w:rPr>
      </w:pPr>
      <w:r w:rsidRPr="00F402B7">
        <w:rPr>
          <w:sz w:val="16"/>
          <w:szCs w:val="16"/>
        </w:rPr>
        <w:t>30</w:t>
      </w:r>
      <w:r w:rsidRPr="00F402B7">
        <w:rPr>
          <w:sz w:val="16"/>
          <w:szCs w:val="16"/>
        </w:rPr>
        <w:tab/>
        <w:t xml:space="preserve">(disodium) </w:t>
      </w:r>
    </w:p>
    <w:p w:rsidR="00F402B7" w:rsidRPr="00F402B7" w:rsidRDefault="00F402B7" w:rsidP="00D009D1">
      <w:pPr>
        <w:spacing w:after="0"/>
        <w:ind w:left="0"/>
        <w:rPr>
          <w:sz w:val="16"/>
          <w:szCs w:val="16"/>
        </w:rPr>
      </w:pPr>
      <w:r w:rsidRPr="00F402B7">
        <w:rPr>
          <w:sz w:val="16"/>
          <w:szCs w:val="16"/>
        </w:rPr>
        <w:t>31</w:t>
      </w:r>
      <w:r w:rsidRPr="00F402B7">
        <w:rPr>
          <w:sz w:val="16"/>
          <w:szCs w:val="16"/>
        </w:rPr>
        <w:tab/>
        <w:t xml:space="preserve">(Didronel) </w:t>
      </w:r>
    </w:p>
    <w:p w:rsidR="00F402B7" w:rsidRPr="00F402B7" w:rsidRDefault="00F402B7" w:rsidP="00D009D1">
      <w:pPr>
        <w:spacing w:after="0"/>
        <w:ind w:left="0"/>
        <w:rPr>
          <w:sz w:val="16"/>
          <w:szCs w:val="16"/>
        </w:rPr>
      </w:pPr>
      <w:r w:rsidRPr="00F402B7">
        <w:rPr>
          <w:sz w:val="16"/>
          <w:szCs w:val="16"/>
        </w:rPr>
        <w:t>32</w:t>
      </w:r>
      <w:r w:rsidRPr="00F402B7">
        <w:rPr>
          <w:sz w:val="16"/>
          <w:szCs w:val="16"/>
        </w:rPr>
        <w:tab/>
        <w:t xml:space="preserve">(clodronate) </w:t>
      </w:r>
    </w:p>
    <w:p w:rsidR="00F402B7" w:rsidRPr="00F402B7" w:rsidRDefault="00F402B7" w:rsidP="00D009D1">
      <w:pPr>
        <w:spacing w:after="0"/>
        <w:ind w:left="0"/>
        <w:rPr>
          <w:sz w:val="16"/>
          <w:szCs w:val="16"/>
        </w:rPr>
      </w:pPr>
      <w:r w:rsidRPr="00F402B7">
        <w:rPr>
          <w:sz w:val="16"/>
          <w:szCs w:val="16"/>
        </w:rPr>
        <w:t>33</w:t>
      </w:r>
      <w:r w:rsidRPr="00F402B7">
        <w:rPr>
          <w:sz w:val="16"/>
          <w:szCs w:val="16"/>
        </w:rPr>
        <w:tab/>
        <w:t xml:space="preserve">(BONEFOS) </w:t>
      </w:r>
    </w:p>
    <w:p w:rsidR="00F402B7" w:rsidRPr="00F402B7" w:rsidRDefault="00F402B7" w:rsidP="00D009D1">
      <w:pPr>
        <w:spacing w:after="0"/>
        <w:ind w:left="0"/>
        <w:rPr>
          <w:sz w:val="16"/>
          <w:szCs w:val="16"/>
        </w:rPr>
      </w:pPr>
      <w:r w:rsidRPr="00F402B7">
        <w:rPr>
          <w:sz w:val="16"/>
          <w:szCs w:val="16"/>
        </w:rPr>
        <w:t>34</w:t>
      </w:r>
      <w:r w:rsidRPr="00F402B7">
        <w:rPr>
          <w:sz w:val="16"/>
          <w:szCs w:val="16"/>
        </w:rPr>
        <w:tab/>
        <w:t xml:space="preserve">(ibandronic acid) </w:t>
      </w:r>
    </w:p>
    <w:p w:rsidR="00F402B7" w:rsidRPr="00F402B7" w:rsidRDefault="00F402B7" w:rsidP="00D009D1">
      <w:pPr>
        <w:spacing w:after="0"/>
        <w:ind w:left="0"/>
        <w:rPr>
          <w:sz w:val="16"/>
          <w:szCs w:val="16"/>
        </w:rPr>
      </w:pPr>
      <w:r w:rsidRPr="00F402B7">
        <w:rPr>
          <w:sz w:val="16"/>
          <w:szCs w:val="16"/>
        </w:rPr>
        <w:t>35</w:t>
      </w:r>
      <w:r w:rsidRPr="00F402B7">
        <w:rPr>
          <w:sz w:val="16"/>
          <w:szCs w:val="16"/>
        </w:rPr>
        <w:tab/>
        <w:t xml:space="preserve">(Bonviva) </w:t>
      </w:r>
    </w:p>
    <w:p w:rsidR="00F402B7" w:rsidRPr="00F402B7" w:rsidRDefault="00F402B7" w:rsidP="00D009D1">
      <w:pPr>
        <w:spacing w:after="0"/>
        <w:ind w:left="0"/>
        <w:rPr>
          <w:sz w:val="16"/>
          <w:szCs w:val="16"/>
        </w:rPr>
      </w:pPr>
      <w:r w:rsidRPr="00F402B7">
        <w:rPr>
          <w:sz w:val="16"/>
          <w:szCs w:val="16"/>
        </w:rPr>
        <w:t>36</w:t>
      </w:r>
      <w:r w:rsidRPr="00F402B7">
        <w:rPr>
          <w:sz w:val="16"/>
          <w:szCs w:val="16"/>
        </w:rPr>
        <w:tab/>
        <w:t xml:space="preserve">(Zometa) </w:t>
      </w:r>
    </w:p>
    <w:p w:rsidR="00F402B7" w:rsidRPr="00F402B7" w:rsidRDefault="00F402B7" w:rsidP="00D009D1">
      <w:pPr>
        <w:spacing w:after="0"/>
        <w:ind w:left="0"/>
        <w:rPr>
          <w:sz w:val="16"/>
          <w:szCs w:val="16"/>
        </w:rPr>
      </w:pPr>
      <w:r w:rsidRPr="00F402B7">
        <w:rPr>
          <w:sz w:val="16"/>
          <w:szCs w:val="16"/>
        </w:rPr>
        <w:t>37</w:t>
      </w:r>
      <w:r w:rsidRPr="00F402B7">
        <w:rPr>
          <w:sz w:val="16"/>
          <w:szCs w:val="16"/>
        </w:rPr>
        <w:tab/>
        <w:t xml:space="preserve">(Aclasta) </w:t>
      </w:r>
    </w:p>
    <w:p w:rsidR="00F402B7" w:rsidRPr="00F402B7" w:rsidRDefault="00F402B7" w:rsidP="00D009D1">
      <w:pPr>
        <w:spacing w:after="0"/>
        <w:ind w:left="0"/>
        <w:rPr>
          <w:sz w:val="16"/>
          <w:szCs w:val="16"/>
        </w:rPr>
      </w:pPr>
      <w:r w:rsidRPr="00F402B7">
        <w:rPr>
          <w:sz w:val="16"/>
          <w:szCs w:val="16"/>
        </w:rPr>
        <w:t>38</w:t>
      </w:r>
      <w:r w:rsidRPr="00F402B7">
        <w:rPr>
          <w:sz w:val="16"/>
          <w:szCs w:val="16"/>
        </w:rPr>
        <w:tab/>
        <w:t xml:space="preserve">(Reclast) </w:t>
      </w:r>
    </w:p>
    <w:p w:rsidR="00F402B7" w:rsidRPr="00F402B7" w:rsidRDefault="00F402B7" w:rsidP="00D009D1">
      <w:pPr>
        <w:spacing w:after="0"/>
        <w:ind w:left="0"/>
        <w:rPr>
          <w:sz w:val="16"/>
          <w:szCs w:val="16"/>
        </w:rPr>
      </w:pPr>
      <w:r w:rsidRPr="00F402B7">
        <w:rPr>
          <w:sz w:val="16"/>
          <w:szCs w:val="16"/>
        </w:rPr>
        <w:t>39</w:t>
      </w:r>
      <w:r w:rsidRPr="00F402B7">
        <w:rPr>
          <w:sz w:val="16"/>
          <w:szCs w:val="16"/>
        </w:rPr>
        <w:tab/>
        <w:t>(selective estrogen receptor modulator)</w:t>
      </w:r>
    </w:p>
    <w:p w:rsidR="00F402B7" w:rsidRPr="00F402B7" w:rsidRDefault="00F402B7" w:rsidP="00D009D1">
      <w:pPr>
        <w:spacing w:after="0"/>
        <w:ind w:left="0"/>
        <w:rPr>
          <w:sz w:val="16"/>
          <w:szCs w:val="16"/>
        </w:rPr>
      </w:pPr>
      <w:r w:rsidRPr="00F402B7">
        <w:rPr>
          <w:sz w:val="16"/>
          <w:szCs w:val="16"/>
        </w:rPr>
        <w:t>40</w:t>
      </w:r>
      <w:r w:rsidRPr="00F402B7">
        <w:rPr>
          <w:sz w:val="16"/>
          <w:szCs w:val="16"/>
        </w:rPr>
        <w:tab/>
        <w:t>MeSH DESCRIPTOR Selective Estrogen Receptor Modulators EXPLODE ALL TREES</w:t>
      </w:r>
      <w:r w:rsidRPr="00F402B7">
        <w:rPr>
          <w:sz w:val="16"/>
          <w:szCs w:val="16"/>
        </w:rPr>
        <w:tab/>
      </w:r>
    </w:p>
    <w:p w:rsidR="00F402B7" w:rsidRPr="00F402B7" w:rsidRDefault="00F402B7" w:rsidP="00D009D1">
      <w:pPr>
        <w:spacing w:after="0"/>
        <w:ind w:left="0"/>
        <w:rPr>
          <w:sz w:val="16"/>
          <w:szCs w:val="16"/>
        </w:rPr>
      </w:pPr>
      <w:r w:rsidRPr="00F402B7">
        <w:rPr>
          <w:sz w:val="16"/>
          <w:szCs w:val="16"/>
        </w:rPr>
        <w:t>41</w:t>
      </w:r>
      <w:r w:rsidRPr="00F402B7">
        <w:rPr>
          <w:sz w:val="16"/>
          <w:szCs w:val="16"/>
        </w:rPr>
        <w:tab/>
        <w:t xml:space="preserve">(SERM) </w:t>
      </w:r>
    </w:p>
    <w:p w:rsidR="00F402B7" w:rsidRPr="00F402B7" w:rsidRDefault="00F402B7" w:rsidP="00D009D1">
      <w:pPr>
        <w:spacing w:after="0"/>
        <w:ind w:left="0"/>
        <w:rPr>
          <w:sz w:val="16"/>
          <w:szCs w:val="16"/>
        </w:rPr>
      </w:pPr>
      <w:r w:rsidRPr="00F402B7">
        <w:rPr>
          <w:sz w:val="16"/>
          <w:szCs w:val="16"/>
        </w:rPr>
        <w:lastRenderedPageBreak/>
        <w:t>42</w:t>
      </w:r>
      <w:r w:rsidRPr="00F402B7">
        <w:rPr>
          <w:sz w:val="16"/>
          <w:szCs w:val="16"/>
        </w:rPr>
        <w:tab/>
        <w:t xml:space="preserve">(Prolia) </w:t>
      </w:r>
    </w:p>
    <w:p w:rsidR="00F402B7" w:rsidRPr="00F402B7" w:rsidRDefault="00F402B7" w:rsidP="00D009D1">
      <w:pPr>
        <w:spacing w:after="0"/>
        <w:ind w:left="0"/>
        <w:rPr>
          <w:sz w:val="16"/>
          <w:szCs w:val="16"/>
        </w:rPr>
      </w:pPr>
      <w:r w:rsidRPr="00F402B7">
        <w:rPr>
          <w:sz w:val="16"/>
          <w:szCs w:val="16"/>
        </w:rPr>
        <w:t>43</w:t>
      </w:r>
      <w:r w:rsidRPr="00F402B7">
        <w:rPr>
          <w:sz w:val="16"/>
          <w:szCs w:val="16"/>
        </w:rPr>
        <w:tab/>
        <w:t xml:space="preserve">(Xgeva) </w:t>
      </w:r>
    </w:p>
    <w:p w:rsidR="00F402B7" w:rsidRPr="00F402B7" w:rsidRDefault="00F402B7" w:rsidP="00D009D1">
      <w:pPr>
        <w:spacing w:after="0"/>
        <w:ind w:left="0"/>
        <w:rPr>
          <w:sz w:val="16"/>
          <w:szCs w:val="16"/>
        </w:rPr>
      </w:pPr>
      <w:r w:rsidRPr="00F402B7">
        <w:rPr>
          <w:sz w:val="16"/>
          <w:szCs w:val="16"/>
        </w:rPr>
        <w:t>44</w:t>
      </w:r>
      <w:r w:rsidRPr="00F402B7">
        <w:rPr>
          <w:sz w:val="16"/>
          <w:szCs w:val="16"/>
        </w:rPr>
        <w:tab/>
        <w:t xml:space="preserve">(carbamazepine) </w:t>
      </w:r>
    </w:p>
    <w:p w:rsidR="00F402B7" w:rsidRPr="00F402B7" w:rsidRDefault="00F402B7" w:rsidP="00D009D1">
      <w:pPr>
        <w:spacing w:after="0"/>
        <w:ind w:left="0"/>
        <w:rPr>
          <w:sz w:val="16"/>
          <w:szCs w:val="16"/>
        </w:rPr>
      </w:pPr>
      <w:r w:rsidRPr="00F402B7">
        <w:rPr>
          <w:sz w:val="16"/>
          <w:szCs w:val="16"/>
        </w:rPr>
        <w:t>45</w:t>
      </w:r>
      <w:r w:rsidRPr="00F402B7">
        <w:rPr>
          <w:sz w:val="16"/>
          <w:szCs w:val="16"/>
        </w:rPr>
        <w:tab/>
        <w:t>MeSH DESCRIPTOR Carbamazepine EXPLODE ALL TREES</w:t>
      </w:r>
    </w:p>
    <w:p w:rsidR="00F402B7" w:rsidRPr="00F402B7" w:rsidRDefault="00F402B7" w:rsidP="00D009D1">
      <w:pPr>
        <w:spacing w:after="0"/>
        <w:ind w:left="0"/>
        <w:rPr>
          <w:sz w:val="16"/>
          <w:szCs w:val="16"/>
        </w:rPr>
      </w:pPr>
      <w:r w:rsidRPr="00F402B7">
        <w:rPr>
          <w:sz w:val="16"/>
          <w:szCs w:val="16"/>
        </w:rPr>
        <w:t>46</w:t>
      </w:r>
      <w:r w:rsidRPr="00F402B7">
        <w:rPr>
          <w:sz w:val="16"/>
          <w:szCs w:val="16"/>
        </w:rPr>
        <w:tab/>
        <w:t xml:space="preserve">(parathyroid hormone) </w:t>
      </w:r>
    </w:p>
    <w:p w:rsidR="00F402B7" w:rsidRPr="00F402B7" w:rsidRDefault="00F402B7" w:rsidP="00D009D1">
      <w:pPr>
        <w:spacing w:after="0"/>
        <w:ind w:left="0"/>
        <w:rPr>
          <w:sz w:val="16"/>
          <w:szCs w:val="16"/>
        </w:rPr>
      </w:pPr>
      <w:r w:rsidRPr="00F402B7">
        <w:rPr>
          <w:sz w:val="16"/>
          <w:szCs w:val="16"/>
        </w:rPr>
        <w:t>47</w:t>
      </w:r>
      <w:r w:rsidRPr="00F402B7">
        <w:rPr>
          <w:sz w:val="16"/>
          <w:szCs w:val="16"/>
        </w:rPr>
        <w:tab/>
        <w:t>MeSH DESCRIPTOR Parathyroid Hormone EXPLODE ALL TREES</w:t>
      </w:r>
    </w:p>
    <w:p w:rsidR="00F402B7" w:rsidRPr="00F402B7" w:rsidRDefault="00F402B7" w:rsidP="00D009D1">
      <w:pPr>
        <w:spacing w:after="0"/>
        <w:ind w:left="0"/>
        <w:rPr>
          <w:sz w:val="16"/>
          <w:szCs w:val="16"/>
        </w:rPr>
      </w:pPr>
      <w:r w:rsidRPr="00F402B7">
        <w:rPr>
          <w:sz w:val="16"/>
          <w:szCs w:val="16"/>
        </w:rPr>
        <w:t>48</w:t>
      </w:r>
      <w:r w:rsidRPr="00F402B7">
        <w:rPr>
          <w:sz w:val="16"/>
          <w:szCs w:val="16"/>
        </w:rPr>
        <w:tab/>
        <w:t xml:space="preserve">(Protelos) </w:t>
      </w:r>
    </w:p>
    <w:p w:rsidR="00F402B7" w:rsidRPr="00F402B7" w:rsidRDefault="00F402B7" w:rsidP="00D009D1">
      <w:pPr>
        <w:spacing w:after="0"/>
        <w:ind w:left="0"/>
        <w:rPr>
          <w:sz w:val="16"/>
          <w:szCs w:val="16"/>
        </w:rPr>
      </w:pPr>
      <w:r w:rsidRPr="00F402B7">
        <w:rPr>
          <w:sz w:val="16"/>
          <w:szCs w:val="16"/>
        </w:rPr>
        <w:t>49</w:t>
      </w:r>
      <w:r w:rsidRPr="00F402B7">
        <w:rPr>
          <w:sz w:val="16"/>
          <w:szCs w:val="16"/>
        </w:rPr>
        <w:tab/>
        <w:t xml:space="preserve">(Protos) </w:t>
      </w:r>
    </w:p>
    <w:p w:rsidR="00F402B7" w:rsidRPr="00F402B7" w:rsidRDefault="00F402B7" w:rsidP="00D009D1">
      <w:pPr>
        <w:spacing w:after="0"/>
        <w:ind w:left="0"/>
        <w:rPr>
          <w:sz w:val="16"/>
          <w:szCs w:val="16"/>
        </w:rPr>
      </w:pPr>
      <w:r w:rsidRPr="00F402B7">
        <w:rPr>
          <w:sz w:val="16"/>
          <w:szCs w:val="16"/>
        </w:rPr>
        <w:t>50</w:t>
      </w:r>
      <w:r w:rsidRPr="00F402B7">
        <w:rPr>
          <w:sz w:val="16"/>
          <w:szCs w:val="16"/>
        </w:rPr>
        <w:tab/>
        <w:t xml:space="preserve">(calcitrol) </w:t>
      </w:r>
    </w:p>
    <w:p w:rsidR="00F402B7" w:rsidRPr="00F402B7" w:rsidRDefault="00F402B7" w:rsidP="00D009D1">
      <w:pPr>
        <w:spacing w:after="0"/>
        <w:ind w:left="0"/>
        <w:rPr>
          <w:sz w:val="16"/>
          <w:szCs w:val="16"/>
        </w:rPr>
      </w:pPr>
      <w:r w:rsidRPr="00F402B7">
        <w:rPr>
          <w:sz w:val="16"/>
          <w:szCs w:val="16"/>
        </w:rPr>
        <w:t>51</w:t>
      </w:r>
      <w:r w:rsidRPr="00F402B7">
        <w:rPr>
          <w:sz w:val="16"/>
          <w:szCs w:val="16"/>
        </w:rPr>
        <w:tab/>
        <w:t>(Zomera)</w:t>
      </w:r>
    </w:p>
    <w:p w:rsidR="00F402B7" w:rsidRPr="00F402B7" w:rsidRDefault="00F402B7" w:rsidP="00D009D1">
      <w:pPr>
        <w:spacing w:after="0"/>
        <w:ind w:left="0"/>
        <w:rPr>
          <w:sz w:val="16"/>
          <w:szCs w:val="16"/>
        </w:rPr>
      </w:pPr>
      <w:r w:rsidRPr="00F402B7">
        <w:rPr>
          <w:sz w:val="16"/>
          <w:szCs w:val="16"/>
        </w:rPr>
        <w:t>52</w:t>
      </w:r>
      <w:r w:rsidRPr="00F402B7">
        <w:rPr>
          <w:sz w:val="16"/>
          <w:szCs w:val="16"/>
        </w:rPr>
        <w:tab/>
        <w:t xml:space="preserve">(Aromatase inhibitors) </w:t>
      </w:r>
    </w:p>
    <w:p w:rsidR="00F402B7" w:rsidRPr="00F402B7" w:rsidRDefault="00F402B7" w:rsidP="00D009D1">
      <w:pPr>
        <w:spacing w:after="0"/>
        <w:ind w:left="0"/>
        <w:rPr>
          <w:sz w:val="16"/>
          <w:szCs w:val="16"/>
        </w:rPr>
      </w:pPr>
      <w:r w:rsidRPr="00F402B7">
        <w:rPr>
          <w:sz w:val="16"/>
          <w:szCs w:val="16"/>
        </w:rPr>
        <w:t>53</w:t>
      </w:r>
      <w:r w:rsidRPr="00F402B7">
        <w:rPr>
          <w:sz w:val="16"/>
          <w:szCs w:val="16"/>
        </w:rPr>
        <w:tab/>
        <w:t xml:space="preserve">(Aminoglutethimide) </w:t>
      </w:r>
    </w:p>
    <w:p w:rsidR="00F402B7" w:rsidRPr="00F402B7" w:rsidRDefault="00F402B7" w:rsidP="00D009D1">
      <w:pPr>
        <w:spacing w:after="0"/>
        <w:ind w:left="0"/>
        <w:rPr>
          <w:sz w:val="16"/>
          <w:szCs w:val="16"/>
        </w:rPr>
      </w:pPr>
      <w:r w:rsidRPr="00F402B7">
        <w:rPr>
          <w:sz w:val="16"/>
          <w:szCs w:val="16"/>
        </w:rPr>
        <w:t>54</w:t>
      </w:r>
      <w:r w:rsidRPr="00F402B7">
        <w:rPr>
          <w:sz w:val="16"/>
          <w:szCs w:val="16"/>
        </w:rPr>
        <w:tab/>
        <w:t xml:space="preserve">(Testolactone) </w:t>
      </w:r>
    </w:p>
    <w:p w:rsidR="00F402B7" w:rsidRPr="00F402B7" w:rsidRDefault="00F402B7" w:rsidP="00D009D1">
      <w:pPr>
        <w:spacing w:after="0"/>
        <w:ind w:left="0"/>
        <w:rPr>
          <w:sz w:val="16"/>
          <w:szCs w:val="16"/>
        </w:rPr>
      </w:pPr>
      <w:r w:rsidRPr="00F402B7">
        <w:rPr>
          <w:sz w:val="16"/>
          <w:szCs w:val="16"/>
        </w:rPr>
        <w:t>55</w:t>
      </w:r>
      <w:r w:rsidRPr="00F402B7">
        <w:rPr>
          <w:sz w:val="16"/>
          <w:szCs w:val="16"/>
        </w:rPr>
        <w:tab/>
        <w:t xml:space="preserve">( Anastrozole) </w:t>
      </w:r>
    </w:p>
    <w:p w:rsidR="00F402B7" w:rsidRPr="00F402B7" w:rsidRDefault="00F402B7" w:rsidP="00D009D1">
      <w:pPr>
        <w:spacing w:after="0"/>
        <w:ind w:left="0"/>
        <w:rPr>
          <w:sz w:val="16"/>
          <w:szCs w:val="16"/>
        </w:rPr>
      </w:pPr>
      <w:r w:rsidRPr="00F402B7">
        <w:rPr>
          <w:sz w:val="16"/>
          <w:szCs w:val="16"/>
        </w:rPr>
        <w:t>56</w:t>
      </w:r>
      <w:r w:rsidRPr="00F402B7">
        <w:rPr>
          <w:sz w:val="16"/>
          <w:szCs w:val="16"/>
        </w:rPr>
        <w:tab/>
        <w:t xml:space="preserve">( Letrozole) </w:t>
      </w:r>
    </w:p>
    <w:p w:rsidR="00F402B7" w:rsidRPr="00F402B7" w:rsidRDefault="00F402B7" w:rsidP="00D009D1">
      <w:pPr>
        <w:spacing w:after="0"/>
        <w:ind w:left="0"/>
        <w:rPr>
          <w:sz w:val="16"/>
          <w:szCs w:val="16"/>
        </w:rPr>
      </w:pPr>
      <w:r w:rsidRPr="00F402B7">
        <w:rPr>
          <w:sz w:val="16"/>
          <w:szCs w:val="16"/>
        </w:rPr>
        <w:t>57</w:t>
      </w:r>
      <w:r w:rsidRPr="00F402B7">
        <w:rPr>
          <w:sz w:val="16"/>
          <w:szCs w:val="16"/>
        </w:rPr>
        <w:tab/>
        <w:t xml:space="preserve">( Exemestane) </w:t>
      </w:r>
    </w:p>
    <w:p w:rsidR="00F402B7" w:rsidRPr="00F402B7" w:rsidRDefault="00F402B7" w:rsidP="00D009D1">
      <w:pPr>
        <w:spacing w:after="0"/>
        <w:ind w:left="0"/>
        <w:rPr>
          <w:sz w:val="16"/>
          <w:szCs w:val="16"/>
        </w:rPr>
      </w:pPr>
      <w:r w:rsidRPr="00F402B7">
        <w:rPr>
          <w:sz w:val="16"/>
          <w:szCs w:val="16"/>
        </w:rPr>
        <w:t>58</w:t>
      </w:r>
      <w:r w:rsidRPr="00F402B7">
        <w:rPr>
          <w:sz w:val="16"/>
          <w:szCs w:val="16"/>
        </w:rPr>
        <w:tab/>
        <w:t xml:space="preserve">(Vorozole) </w:t>
      </w:r>
    </w:p>
    <w:p w:rsidR="00F402B7" w:rsidRPr="00F402B7" w:rsidRDefault="00F402B7" w:rsidP="00D009D1">
      <w:pPr>
        <w:spacing w:after="0"/>
        <w:ind w:left="0"/>
        <w:rPr>
          <w:sz w:val="16"/>
          <w:szCs w:val="16"/>
        </w:rPr>
      </w:pPr>
      <w:r w:rsidRPr="00F402B7">
        <w:rPr>
          <w:sz w:val="16"/>
          <w:szCs w:val="16"/>
        </w:rPr>
        <w:t>59</w:t>
      </w:r>
      <w:r w:rsidRPr="00F402B7">
        <w:rPr>
          <w:sz w:val="16"/>
          <w:szCs w:val="16"/>
        </w:rPr>
        <w:tab/>
        <w:t xml:space="preserve">(Formestane) </w:t>
      </w:r>
    </w:p>
    <w:p w:rsidR="00F402B7" w:rsidRPr="00F402B7" w:rsidRDefault="00F402B7" w:rsidP="00D009D1">
      <w:pPr>
        <w:spacing w:after="0"/>
        <w:ind w:left="0"/>
        <w:rPr>
          <w:sz w:val="16"/>
          <w:szCs w:val="16"/>
        </w:rPr>
      </w:pPr>
      <w:r w:rsidRPr="00F402B7">
        <w:rPr>
          <w:sz w:val="16"/>
          <w:szCs w:val="16"/>
        </w:rPr>
        <w:t>60</w:t>
      </w:r>
      <w:r w:rsidRPr="00F402B7">
        <w:rPr>
          <w:sz w:val="16"/>
          <w:szCs w:val="16"/>
        </w:rPr>
        <w:tab/>
        <w:t>(Fadrozole)</w:t>
      </w:r>
    </w:p>
    <w:p w:rsidR="00F402B7" w:rsidRPr="00F402B7" w:rsidRDefault="00F402B7" w:rsidP="00D009D1">
      <w:pPr>
        <w:spacing w:after="0"/>
        <w:ind w:left="0"/>
        <w:rPr>
          <w:sz w:val="16"/>
          <w:szCs w:val="16"/>
        </w:rPr>
      </w:pPr>
      <w:r w:rsidRPr="00F402B7">
        <w:rPr>
          <w:sz w:val="16"/>
          <w:szCs w:val="16"/>
        </w:rPr>
        <w:t>61</w:t>
      </w:r>
      <w:r w:rsidRPr="00F402B7">
        <w:rPr>
          <w:sz w:val="16"/>
          <w:szCs w:val="16"/>
        </w:rPr>
        <w:tab/>
        <w:t>(Hydroxyandrostenedione)</w:t>
      </w:r>
    </w:p>
    <w:p w:rsidR="00F402B7" w:rsidRPr="00F402B7" w:rsidRDefault="00F402B7" w:rsidP="00D009D1">
      <w:pPr>
        <w:spacing w:after="0"/>
        <w:ind w:left="0"/>
        <w:rPr>
          <w:sz w:val="16"/>
          <w:szCs w:val="16"/>
        </w:rPr>
      </w:pPr>
      <w:r w:rsidRPr="00F402B7">
        <w:rPr>
          <w:sz w:val="16"/>
          <w:szCs w:val="16"/>
        </w:rPr>
        <w:t>62</w:t>
      </w:r>
      <w:r w:rsidRPr="00F402B7">
        <w:rPr>
          <w:sz w:val="16"/>
          <w:szCs w:val="16"/>
        </w:rPr>
        <w:tab/>
        <w:t xml:space="preserve">(Androstatrien) </w:t>
      </w:r>
    </w:p>
    <w:p w:rsidR="00F402B7" w:rsidRPr="00F402B7" w:rsidRDefault="00F402B7" w:rsidP="00D009D1">
      <w:pPr>
        <w:spacing w:after="0"/>
        <w:ind w:left="0"/>
        <w:rPr>
          <w:sz w:val="16"/>
          <w:szCs w:val="16"/>
        </w:rPr>
      </w:pPr>
      <w:r w:rsidRPr="00F402B7">
        <w:rPr>
          <w:sz w:val="16"/>
          <w:szCs w:val="16"/>
        </w:rPr>
        <w:t>63</w:t>
      </w:r>
      <w:r w:rsidRPr="00F402B7">
        <w:rPr>
          <w:sz w:val="16"/>
          <w:szCs w:val="16"/>
        </w:rPr>
        <w:tab/>
        <w:t xml:space="preserve">(Androstene) </w:t>
      </w:r>
    </w:p>
    <w:p w:rsidR="00F402B7" w:rsidRPr="00F402B7" w:rsidRDefault="00F402B7" w:rsidP="00D009D1">
      <w:pPr>
        <w:spacing w:after="0"/>
        <w:ind w:left="0"/>
        <w:rPr>
          <w:sz w:val="16"/>
          <w:szCs w:val="16"/>
        </w:rPr>
      </w:pPr>
      <w:r w:rsidRPr="00F402B7">
        <w:rPr>
          <w:sz w:val="16"/>
          <w:szCs w:val="16"/>
        </w:rPr>
        <w:t>64</w:t>
      </w:r>
      <w:r w:rsidRPr="00F402B7">
        <w:rPr>
          <w:sz w:val="16"/>
          <w:szCs w:val="16"/>
        </w:rPr>
        <w:tab/>
        <w:t xml:space="preserve">(Arimidex) </w:t>
      </w:r>
    </w:p>
    <w:p w:rsidR="00F402B7" w:rsidRPr="00F402B7" w:rsidRDefault="00F402B7" w:rsidP="00D009D1">
      <w:pPr>
        <w:spacing w:after="0"/>
        <w:ind w:left="0"/>
        <w:rPr>
          <w:sz w:val="16"/>
          <w:szCs w:val="16"/>
        </w:rPr>
      </w:pPr>
      <w:r w:rsidRPr="00F402B7">
        <w:rPr>
          <w:sz w:val="16"/>
          <w:szCs w:val="16"/>
        </w:rPr>
        <w:t>65</w:t>
      </w:r>
      <w:r w:rsidRPr="00F402B7">
        <w:rPr>
          <w:sz w:val="16"/>
          <w:szCs w:val="16"/>
        </w:rPr>
        <w:tab/>
        <w:t>(Femara)</w:t>
      </w:r>
    </w:p>
    <w:p w:rsidR="00F402B7" w:rsidRPr="00F402B7" w:rsidRDefault="00F402B7" w:rsidP="00D009D1">
      <w:pPr>
        <w:spacing w:after="0"/>
        <w:ind w:left="0"/>
        <w:rPr>
          <w:sz w:val="16"/>
          <w:szCs w:val="16"/>
        </w:rPr>
      </w:pPr>
      <w:r w:rsidRPr="00F402B7">
        <w:rPr>
          <w:sz w:val="16"/>
          <w:szCs w:val="16"/>
        </w:rPr>
        <w:t>66</w:t>
      </w:r>
      <w:r w:rsidRPr="00F402B7">
        <w:rPr>
          <w:sz w:val="16"/>
          <w:szCs w:val="16"/>
        </w:rPr>
        <w:tab/>
        <w:t xml:space="preserve">(Aromasin) </w:t>
      </w:r>
    </w:p>
    <w:p w:rsidR="00F402B7" w:rsidRPr="00F402B7" w:rsidRDefault="00F402B7" w:rsidP="00D009D1">
      <w:pPr>
        <w:spacing w:after="0"/>
        <w:ind w:left="0"/>
        <w:rPr>
          <w:sz w:val="16"/>
          <w:szCs w:val="16"/>
        </w:rPr>
      </w:pPr>
      <w:r w:rsidRPr="00F402B7">
        <w:rPr>
          <w:sz w:val="16"/>
          <w:szCs w:val="16"/>
        </w:rPr>
        <w:t>67</w:t>
      </w:r>
      <w:r w:rsidRPr="00F402B7">
        <w:rPr>
          <w:sz w:val="16"/>
          <w:szCs w:val="16"/>
        </w:rPr>
        <w:tab/>
        <w:t xml:space="preserve">(Rivizor) </w:t>
      </w:r>
    </w:p>
    <w:p w:rsidR="00F402B7" w:rsidRPr="00F402B7" w:rsidRDefault="00F402B7" w:rsidP="00D009D1">
      <w:pPr>
        <w:spacing w:after="0"/>
        <w:ind w:left="0"/>
        <w:rPr>
          <w:sz w:val="16"/>
          <w:szCs w:val="16"/>
        </w:rPr>
      </w:pPr>
      <w:r w:rsidRPr="00F402B7">
        <w:rPr>
          <w:sz w:val="16"/>
          <w:szCs w:val="16"/>
        </w:rPr>
        <w:t>68</w:t>
      </w:r>
      <w:r w:rsidRPr="00F402B7">
        <w:rPr>
          <w:sz w:val="16"/>
          <w:szCs w:val="16"/>
        </w:rPr>
        <w:tab/>
        <w:t xml:space="preserve">(Formestane) </w:t>
      </w:r>
    </w:p>
    <w:p w:rsidR="00F402B7" w:rsidRPr="00F402B7" w:rsidRDefault="00F402B7" w:rsidP="00D009D1">
      <w:pPr>
        <w:spacing w:after="0"/>
        <w:ind w:left="0"/>
        <w:rPr>
          <w:sz w:val="16"/>
          <w:szCs w:val="16"/>
        </w:rPr>
      </w:pPr>
      <w:r w:rsidRPr="00F402B7">
        <w:rPr>
          <w:sz w:val="16"/>
          <w:szCs w:val="16"/>
        </w:rPr>
        <w:t>69</w:t>
      </w:r>
      <w:r w:rsidRPr="00F402B7">
        <w:rPr>
          <w:sz w:val="16"/>
          <w:szCs w:val="16"/>
        </w:rPr>
        <w:tab/>
        <w:t xml:space="preserve">(Lentaron) </w:t>
      </w:r>
    </w:p>
    <w:p w:rsidR="00F402B7" w:rsidRPr="00F402B7" w:rsidRDefault="00F402B7" w:rsidP="00D009D1">
      <w:pPr>
        <w:spacing w:after="0"/>
        <w:ind w:left="0"/>
        <w:rPr>
          <w:sz w:val="16"/>
          <w:szCs w:val="16"/>
        </w:rPr>
      </w:pPr>
      <w:r w:rsidRPr="00F402B7">
        <w:rPr>
          <w:sz w:val="16"/>
          <w:szCs w:val="16"/>
        </w:rPr>
        <w:t>70</w:t>
      </w:r>
      <w:r w:rsidRPr="00F402B7">
        <w:rPr>
          <w:sz w:val="16"/>
          <w:szCs w:val="16"/>
        </w:rPr>
        <w:tab/>
        <w:t xml:space="preserve">(Afema) </w:t>
      </w:r>
    </w:p>
    <w:p w:rsidR="00F402B7" w:rsidRPr="00F402B7" w:rsidRDefault="00F402B7" w:rsidP="00D009D1">
      <w:pPr>
        <w:spacing w:after="0"/>
        <w:ind w:left="0"/>
        <w:rPr>
          <w:sz w:val="16"/>
          <w:szCs w:val="16"/>
        </w:rPr>
      </w:pPr>
      <w:r w:rsidRPr="00F402B7">
        <w:rPr>
          <w:sz w:val="16"/>
          <w:szCs w:val="16"/>
        </w:rPr>
        <w:t>71</w:t>
      </w:r>
      <w:r w:rsidRPr="00F402B7">
        <w:rPr>
          <w:sz w:val="16"/>
          <w:szCs w:val="16"/>
        </w:rPr>
        <w:tab/>
        <w:t xml:space="preserve">(Teslac) </w:t>
      </w:r>
    </w:p>
    <w:p w:rsidR="00F402B7" w:rsidRPr="00F402B7" w:rsidRDefault="00F402B7" w:rsidP="00D009D1">
      <w:pPr>
        <w:spacing w:after="0"/>
        <w:ind w:left="0"/>
        <w:rPr>
          <w:sz w:val="16"/>
          <w:szCs w:val="16"/>
        </w:rPr>
      </w:pPr>
      <w:r w:rsidRPr="00F402B7">
        <w:rPr>
          <w:sz w:val="16"/>
          <w:szCs w:val="16"/>
        </w:rPr>
        <w:t>72</w:t>
      </w:r>
      <w:r w:rsidRPr="00F402B7">
        <w:rPr>
          <w:sz w:val="16"/>
          <w:szCs w:val="16"/>
        </w:rPr>
        <w:tab/>
        <w:t xml:space="preserve">(ATD) </w:t>
      </w:r>
    </w:p>
    <w:p w:rsidR="00F402B7" w:rsidRPr="00F402B7" w:rsidRDefault="00F402B7" w:rsidP="00D009D1">
      <w:pPr>
        <w:spacing w:after="0"/>
        <w:ind w:left="0"/>
        <w:rPr>
          <w:sz w:val="16"/>
          <w:szCs w:val="16"/>
        </w:rPr>
      </w:pPr>
      <w:r w:rsidRPr="00F402B7">
        <w:rPr>
          <w:sz w:val="16"/>
          <w:szCs w:val="16"/>
        </w:rPr>
        <w:t>73</w:t>
      </w:r>
      <w:r w:rsidRPr="00F402B7">
        <w:rPr>
          <w:sz w:val="16"/>
          <w:szCs w:val="16"/>
        </w:rPr>
        <w:tab/>
        <w:t>(OXO-6)</w:t>
      </w:r>
      <w:r w:rsidRPr="00F402B7">
        <w:rPr>
          <w:sz w:val="16"/>
          <w:szCs w:val="16"/>
        </w:rPr>
        <w:tab/>
      </w:r>
    </w:p>
    <w:p w:rsidR="00F402B7" w:rsidRPr="00F402B7" w:rsidRDefault="00F402B7" w:rsidP="00D009D1">
      <w:pPr>
        <w:spacing w:after="0"/>
        <w:ind w:left="0"/>
        <w:rPr>
          <w:sz w:val="16"/>
          <w:szCs w:val="16"/>
        </w:rPr>
      </w:pPr>
      <w:r w:rsidRPr="00F402B7">
        <w:rPr>
          <w:sz w:val="16"/>
          <w:szCs w:val="16"/>
        </w:rPr>
        <w:t>74</w:t>
      </w:r>
      <w:r w:rsidRPr="00F402B7">
        <w:rPr>
          <w:sz w:val="16"/>
          <w:szCs w:val="16"/>
        </w:rPr>
        <w:tab/>
        <w:t>MeSH DESCRIPTOR Aromatase Inhibitors EXPLODE ALL TREES</w:t>
      </w:r>
    </w:p>
    <w:p w:rsidR="00F402B7" w:rsidRPr="00F402B7" w:rsidRDefault="00F402B7" w:rsidP="00D009D1">
      <w:pPr>
        <w:spacing w:after="0"/>
        <w:ind w:left="0"/>
        <w:rPr>
          <w:sz w:val="16"/>
          <w:szCs w:val="16"/>
        </w:rPr>
      </w:pPr>
      <w:r w:rsidRPr="00F402B7">
        <w:rPr>
          <w:sz w:val="16"/>
          <w:szCs w:val="16"/>
        </w:rPr>
        <w:t>75</w:t>
      </w:r>
      <w:r w:rsidRPr="00F402B7">
        <w:rPr>
          <w:sz w:val="16"/>
          <w:szCs w:val="16"/>
        </w:rPr>
        <w:tab/>
        <w:t>MeSH DESCRIPTOR Aminoglutethimide EXPLODE ALL TREES</w:t>
      </w:r>
    </w:p>
    <w:p w:rsidR="00F402B7" w:rsidRPr="00F402B7" w:rsidRDefault="00F402B7" w:rsidP="00D009D1">
      <w:pPr>
        <w:spacing w:after="0"/>
        <w:ind w:left="0"/>
        <w:rPr>
          <w:sz w:val="16"/>
          <w:szCs w:val="16"/>
        </w:rPr>
      </w:pPr>
      <w:r w:rsidRPr="00F402B7">
        <w:rPr>
          <w:sz w:val="16"/>
          <w:szCs w:val="16"/>
        </w:rPr>
        <w:t>76</w:t>
      </w:r>
      <w:r w:rsidRPr="00F402B7">
        <w:rPr>
          <w:sz w:val="16"/>
          <w:szCs w:val="16"/>
        </w:rPr>
        <w:tab/>
        <w:t>MeSH DESCRIPTOR Testolactone EXPLODE ALL TREES</w:t>
      </w:r>
    </w:p>
    <w:p w:rsidR="00F402B7" w:rsidRPr="00F402B7" w:rsidRDefault="00F402B7" w:rsidP="00D009D1">
      <w:pPr>
        <w:spacing w:after="0"/>
        <w:ind w:left="0"/>
        <w:rPr>
          <w:sz w:val="16"/>
          <w:szCs w:val="16"/>
        </w:rPr>
      </w:pPr>
      <w:r w:rsidRPr="00F402B7">
        <w:rPr>
          <w:sz w:val="16"/>
          <w:szCs w:val="16"/>
        </w:rPr>
        <w:t>77</w:t>
      </w:r>
      <w:r w:rsidRPr="00F402B7">
        <w:rPr>
          <w:sz w:val="16"/>
          <w:szCs w:val="16"/>
        </w:rPr>
        <w:tab/>
        <w:t>MeSH DESCRIPTOR Fadrozole EXPLODE ALL TREES</w:t>
      </w:r>
    </w:p>
    <w:p w:rsidR="00F402B7" w:rsidRPr="00F402B7" w:rsidRDefault="00F402B7" w:rsidP="00D009D1">
      <w:pPr>
        <w:spacing w:after="0"/>
        <w:ind w:left="0"/>
        <w:rPr>
          <w:sz w:val="16"/>
          <w:szCs w:val="16"/>
        </w:rPr>
      </w:pPr>
      <w:r w:rsidRPr="00F402B7">
        <w:rPr>
          <w:sz w:val="16"/>
          <w:szCs w:val="16"/>
        </w:rPr>
        <w:t>78</w:t>
      </w:r>
      <w:r w:rsidRPr="00F402B7">
        <w:rPr>
          <w:sz w:val="16"/>
          <w:szCs w:val="16"/>
        </w:rPr>
        <w:tab/>
        <w:t>MeSH DESCRIPTOR Androstatrienes EXPLODE ALL TREES</w:t>
      </w:r>
    </w:p>
    <w:p w:rsidR="00F402B7" w:rsidRPr="00F402B7" w:rsidRDefault="00F402B7" w:rsidP="00A948CD">
      <w:pPr>
        <w:spacing w:after="0"/>
        <w:ind w:left="0"/>
        <w:rPr>
          <w:sz w:val="16"/>
          <w:szCs w:val="16"/>
        </w:rPr>
      </w:pPr>
      <w:r w:rsidRPr="00F402B7">
        <w:rPr>
          <w:sz w:val="16"/>
          <w:szCs w:val="16"/>
        </w:rPr>
        <w:t>79</w:t>
      </w:r>
      <w:r w:rsidRPr="00F402B7">
        <w:rPr>
          <w:sz w:val="16"/>
          <w:szCs w:val="16"/>
        </w:rPr>
        <w:tab/>
        <w:t>MeSH DESCRIPTOR Androstenes EXPLODE ALL TREES</w:t>
      </w:r>
    </w:p>
    <w:p w:rsidR="00F402B7" w:rsidRPr="00F402B7" w:rsidRDefault="00F402B7" w:rsidP="00A948CD">
      <w:pPr>
        <w:spacing w:after="0"/>
        <w:ind w:left="0"/>
        <w:rPr>
          <w:sz w:val="16"/>
          <w:szCs w:val="16"/>
        </w:rPr>
      </w:pPr>
      <w:r w:rsidRPr="00F402B7">
        <w:rPr>
          <w:sz w:val="16"/>
          <w:szCs w:val="16"/>
        </w:rPr>
        <w:t>80</w:t>
      </w:r>
      <w:r w:rsidRPr="00F402B7">
        <w:rPr>
          <w:sz w:val="16"/>
          <w:szCs w:val="16"/>
        </w:rPr>
        <w:tab/>
        <w:t>( #13 OR #14 OR #15 OR #16 OR #17 OR #18 OR #19 OR #20 OR #21 OR #22 OR #23 OR #24 OR #25 OR #26 OR #27 OR #28 OR #29 OR #30 OR #31 OR #32 OR #33 OR #34 OR #35 OR #36 OR #37 OR #38 OR #39 OR #40 OR #41 OR #42 OR #43 OR #44 OR #45 OR #46 OR #47 OR #48 OR #49 OR #50 OR #51)</w:t>
      </w:r>
    </w:p>
    <w:p w:rsidR="00F402B7" w:rsidRPr="00F402B7" w:rsidRDefault="00F402B7" w:rsidP="00A948CD">
      <w:pPr>
        <w:spacing w:after="0"/>
        <w:ind w:left="0"/>
        <w:rPr>
          <w:sz w:val="16"/>
          <w:szCs w:val="16"/>
        </w:rPr>
      </w:pPr>
      <w:r w:rsidRPr="00F402B7">
        <w:rPr>
          <w:sz w:val="16"/>
          <w:szCs w:val="16"/>
        </w:rPr>
        <w:t>81</w:t>
      </w:r>
      <w:r w:rsidRPr="00F402B7">
        <w:rPr>
          <w:sz w:val="16"/>
          <w:szCs w:val="16"/>
        </w:rPr>
        <w:tab/>
        <w:t>(#52 OR #53 OR #54 OR #55 OR #56 OR #57 OR #58 OR #59 OR #60 OR #61 OR #62 OR #63 OR #64 OR #65 OR #66 OR #67 OR #68 OR #69 OR #70 OR #71 OR #72 OR #73 OR #74 OR #75 OR #76 OR #77 OR #78 OR #79)</w:t>
      </w:r>
      <w:r w:rsidRPr="00F402B7">
        <w:rPr>
          <w:sz w:val="16"/>
          <w:szCs w:val="16"/>
        </w:rPr>
        <w:tab/>
      </w:r>
    </w:p>
    <w:p w:rsidR="00F402B7" w:rsidRDefault="00F402B7" w:rsidP="00A948CD">
      <w:pPr>
        <w:spacing w:after="0"/>
        <w:ind w:left="0"/>
        <w:rPr>
          <w:sz w:val="16"/>
          <w:szCs w:val="16"/>
        </w:rPr>
      </w:pPr>
      <w:r w:rsidRPr="00F402B7">
        <w:rPr>
          <w:sz w:val="16"/>
          <w:szCs w:val="16"/>
        </w:rPr>
        <w:t>82</w:t>
      </w:r>
      <w:r w:rsidRPr="00F402B7">
        <w:rPr>
          <w:sz w:val="16"/>
          <w:szCs w:val="16"/>
        </w:rPr>
        <w:tab/>
        <w:t>#12 AND #80 AND #81</w:t>
      </w:r>
    </w:p>
    <w:p w:rsidR="00F402B7" w:rsidRDefault="00F402B7" w:rsidP="00A948CD">
      <w:pPr>
        <w:spacing w:after="0"/>
        <w:ind w:left="0"/>
        <w:rPr>
          <w:sz w:val="16"/>
          <w:szCs w:val="16"/>
        </w:rPr>
      </w:pPr>
    </w:p>
    <w:p w:rsidR="00F402B7" w:rsidRPr="00F402B7" w:rsidRDefault="00FF1CAF" w:rsidP="00A948CD">
      <w:pPr>
        <w:spacing w:after="0"/>
        <w:ind w:left="0"/>
        <w:rPr>
          <w:b/>
          <w:szCs w:val="24"/>
        </w:rPr>
      </w:pPr>
      <w:r>
        <w:rPr>
          <w:b/>
          <w:szCs w:val="24"/>
        </w:rPr>
        <w:t xml:space="preserve">Search </w:t>
      </w:r>
      <w:r w:rsidR="00F402B7" w:rsidRPr="00F402B7">
        <w:rPr>
          <w:b/>
          <w:szCs w:val="24"/>
        </w:rPr>
        <w:t>4</w:t>
      </w:r>
    </w:p>
    <w:p w:rsidR="00F402B7" w:rsidRDefault="00F402B7" w:rsidP="00A948CD">
      <w:pPr>
        <w:spacing w:after="0"/>
        <w:ind w:left="0"/>
        <w:rPr>
          <w:sz w:val="16"/>
          <w:szCs w:val="16"/>
        </w:rPr>
      </w:pPr>
    </w:p>
    <w:p w:rsidR="00F402B7" w:rsidRPr="00F402B7" w:rsidRDefault="00F402B7" w:rsidP="00534D10">
      <w:pPr>
        <w:pStyle w:val="ListParagraph"/>
        <w:numPr>
          <w:ilvl w:val="0"/>
          <w:numId w:val="17"/>
        </w:numPr>
        <w:spacing w:line="276" w:lineRule="auto"/>
        <w:ind w:left="0"/>
        <w:rPr>
          <w:rFonts w:ascii="Garamond" w:hAnsi="Garamond"/>
          <w:sz w:val="16"/>
          <w:szCs w:val="16"/>
        </w:rPr>
      </w:pPr>
      <w:r w:rsidRPr="00F402B7">
        <w:rPr>
          <w:rFonts w:ascii="Garamond" w:hAnsi="Garamond"/>
          <w:sz w:val="16"/>
          <w:szCs w:val="16"/>
        </w:rPr>
        <w:t>Cost terms (title  field)</w:t>
      </w:r>
    </w:p>
    <w:p w:rsidR="00F402B7" w:rsidRPr="00F402B7" w:rsidRDefault="00F402B7" w:rsidP="00534D10">
      <w:pPr>
        <w:pStyle w:val="ListParagraph"/>
        <w:numPr>
          <w:ilvl w:val="1"/>
          <w:numId w:val="17"/>
        </w:numPr>
        <w:ind w:left="0"/>
        <w:rPr>
          <w:rFonts w:ascii="Garamond" w:hAnsi="Garamond"/>
          <w:sz w:val="16"/>
          <w:szCs w:val="16"/>
        </w:rPr>
      </w:pPr>
      <w:r w:rsidRPr="00F402B7">
        <w:rPr>
          <w:rFonts w:ascii="Garamond" w:hAnsi="Garamond"/>
          <w:sz w:val="16"/>
          <w:szCs w:val="16"/>
        </w:rPr>
        <w:t xml:space="preserve">cost* </w:t>
      </w:r>
    </w:p>
    <w:p w:rsidR="00F402B7" w:rsidRPr="00F402B7" w:rsidRDefault="00F402B7" w:rsidP="00534D10">
      <w:pPr>
        <w:pStyle w:val="ListParagraph"/>
        <w:numPr>
          <w:ilvl w:val="1"/>
          <w:numId w:val="17"/>
        </w:numPr>
        <w:ind w:left="0"/>
        <w:rPr>
          <w:rFonts w:ascii="Garamond" w:hAnsi="Garamond"/>
          <w:sz w:val="16"/>
          <w:szCs w:val="16"/>
        </w:rPr>
      </w:pPr>
      <w:r w:rsidRPr="00F402B7">
        <w:rPr>
          <w:rFonts w:ascii="Garamond" w:hAnsi="Garamond"/>
          <w:sz w:val="16"/>
          <w:szCs w:val="16"/>
        </w:rPr>
        <w:t xml:space="preserve">economic evaluation  </w:t>
      </w:r>
    </w:p>
    <w:p w:rsidR="00F402B7" w:rsidRPr="00F402B7" w:rsidRDefault="00F402B7" w:rsidP="00534D10">
      <w:pPr>
        <w:pStyle w:val="ListParagraph"/>
        <w:numPr>
          <w:ilvl w:val="0"/>
          <w:numId w:val="17"/>
        </w:numPr>
        <w:spacing w:after="200" w:line="276" w:lineRule="auto"/>
        <w:ind w:left="0"/>
        <w:rPr>
          <w:rFonts w:ascii="Garamond" w:hAnsi="Garamond"/>
          <w:sz w:val="16"/>
          <w:szCs w:val="16"/>
        </w:rPr>
      </w:pPr>
      <w:r w:rsidRPr="00F402B7">
        <w:rPr>
          <w:rFonts w:ascii="Garamond" w:hAnsi="Garamond"/>
          <w:sz w:val="16"/>
          <w:szCs w:val="16"/>
        </w:rPr>
        <w:t xml:space="preserve">Add all </w:t>
      </w:r>
      <w:r w:rsidR="00FF1CAF">
        <w:rPr>
          <w:rFonts w:ascii="Garamond" w:hAnsi="Garamond"/>
          <w:sz w:val="16"/>
          <w:szCs w:val="16"/>
        </w:rPr>
        <w:t xml:space="preserve">Search </w:t>
      </w:r>
      <w:r w:rsidRPr="00F402B7">
        <w:rPr>
          <w:rFonts w:ascii="Garamond" w:hAnsi="Garamond"/>
          <w:sz w:val="16"/>
          <w:szCs w:val="16"/>
        </w:rPr>
        <w:t>3 terms above</w:t>
      </w:r>
    </w:p>
    <w:p w:rsidR="00D009D1" w:rsidRDefault="00D009D1" w:rsidP="00F402B7">
      <w:pPr>
        <w:spacing w:after="0"/>
        <w:rPr>
          <w:sz w:val="16"/>
          <w:szCs w:val="16"/>
        </w:rPr>
        <w:sectPr w:rsidR="00D009D1" w:rsidSect="00D009D1">
          <w:type w:val="continuous"/>
          <w:pgSz w:w="11906" w:h="16838"/>
          <w:pgMar w:top="1440" w:right="1440" w:bottom="1440" w:left="1440" w:header="720" w:footer="720" w:gutter="0"/>
          <w:paperSrc w:first="7" w:other="7"/>
          <w:cols w:num="2" w:space="282"/>
        </w:sectPr>
      </w:pPr>
    </w:p>
    <w:p w:rsidR="00F402B7" w:rsidRPr="00F402B7" w:rsidRDefault="00F402B7" w:rsidP="00F402B7">
      <w:pPr>
        <w:spacing w:after="0"/>
        <w:rPr>
          <w:sz w:val="16"/>
          <w:szCs w:val="16"/>
        </w:rPr>
      </w:pPr>
    </w:p>
    <w:p w:rsidR="00F402B7" w:rsidRPr="00F402B7" w:rsidRDefault="00F402B7" w:rsidP="00F402B7">
      <w:pPr>
        <w:rPr>
          <w:sz w:val="16"/>
          <w:szCs w:val="16"/>
        </w:rPr>
      </w:pPr>
    </w:p>
    <w:p w:rsidR="003E61DB" w:rsidRPr="00C9782D" w:rsidRDefault="003E61DB" w:rsidP="003E61DB">
      <w:pPr>
        <w:rPr>
          <w:vanish/>
          <w:color w:val="0000FF"/>
        </w:rPr>
      </w:pPr>
    </w:p>
    <w:p w:rsidR="003E61DB" w:rsidRPr="00C9782D" w:rsidRDefault="003E61DB" w:rsidP="00A158A3">
      <w:pPr>
        <w:pStyle w:val="Heading2"/>
        <w:sectPr w:rsidR="003E61DB" w:rsidRPr="00C9782D" w:rsidSect="00783A80">
          <w:type w:val="continuous"/>
          <w:pgSz w:w="11906" w:h="16838"/>
          <w:pgMar w:top="1440" w:right="1440" w:bottom="1440" w:left="1440" w:header="720" w:footer="720" w:gutter="0"/>
          <w:paperSrc w:first="7" w:other="7"/>
          <w:cols w:space="720"/>
        </w:sectPr>
      </w:pPr>
      <w:bookmarkStart w:id="169" w:name="_Ref170808567"/>
      <w:bookmarkStart w:id="170" w:name="_Toc460813781"/>
      <w:bookmarkStart w:id="171" w:name="_Ref170792604"/>
    </w:p>
    <w:p w:rsidR="003E61DB" w:rsidRPr="00C9782D" w:rsidRDefault="0013164F" w:rsidP="00A158A3">
      <w:pPr>
        <w:pStyle w:val="Heading2"/>
      </w:pPr>
      <w:bookmarkStart w:id="172" w:name="_Ref190841600"/>
      <w:bookmarkStart w:id="173" w:name="_Toc386092531"/>
      <w:bookmarkStart w:id="174" w:name="_Toc386093169"/>
      <w:bookmarkStart w:id="175" w:name="_Toc386093666"/>
      <w:bookmarkStart w:id="176" w:name="_Toc386093727"/>
      <w:bookmarkEnd w:id="169"/>
      <w:r>
        <w:lastRenderedPageBreak/>
        <w:t xml:space="preserve">Appendix C </w:t>
      </w:r>
      <w:r w:rsidR="003E61DB" w:rsidRPr="00C9782D">
        <w:t>Studies included in the review</w:t>
      </w:r>
      <w:bookmarkEnd w:id="170"/>
      <w:bookmarkEnd w:id="171"/>
      <w:bookmarkEnd w:id="172"/>
      <w:bookmarkEnd w:id="173"/>
      <w:bookmarkEnd w:id="174"/>
      <w:bookmarkEnd w:id="175"/>
      <w:bookmarkEnd w:id="176"/>
      <w:r w:rsidR="003E61DB" w:rsidRPr="00C9782D">
        <w:t xml:space="preserve"> </w:t>
      </w:r>
    </w:p>
    <w:p w:rsidR="007261B3" w:rsidRPr="0013164F" w:rsidRDefault="007261B3" w:rsidP="0013164F">
      <w:pPr>
        <w:rPr>
          <w:rFonts w:ascii="Tahoma" w:hAnsi="Tahoma" w:cs="Tahoma"/>
          <w:b/>
          <w:sz w:val="28"/>
          <w:szCs w:val="28"/>
        </w:rPr>
      </w:pPr>
      <w:r w:rsidRPr="0013164F">
        <w:rPr>
          <w:rFonts w:ascii="Tahoma" w:hAnsi="Tahoma" w:cs="Tahoma"/>
          <w:b/>
          <w:sz w:val="28"/>
          <w:szCs w:val="28"/>
        </w:rPr>
        <w:t>Study profiles of included studies on safety and effectiveness</w:t>
      </w:r>
    </w:p>
    <w:tbl>
      <w:tblPr>
        <w:tblW w:w="14142" w:type="dxa"/>
        <w:tblLayout w:type="fixed"/>
        <w:tblLook w:val="01E0" w:firstRow="1" w:lastRow="1" w:firstColumn="1" w:lastColumn="1" w:noHBand="0" w:noVBand="0"/>
        <w:tblCaption w:val="App C Study profiles of included studies (non-reviews)"/>
      </w:tblPr>
      <w:tblGrid>
        <w:gridCol w:w="959"/>
        <w:gridCol w:w="1417"/>
        <w:gridCol w:w="1701"/>
        <w:gridCol w:w="2268"/>
        <w:gridCol w:w="1276"/>
        <w:gridCol w:w="2835"/>
        <w:gridCol w:w="2252"/>
        <w:gridCol w:w="1434"/>
      </w:tblGrid>
      <w:tr w:rsidR="007261B3" w:rsidRPr="00575CF1" w:rsidTr="00D1533C">
        <w:trPr>
          <w:tblHeader/>
        </w:trPr>
        <w:tc>
          <w:tcPr>
            <w:tcW w:w="959" w:type="dxa"/>
            <w:tcBorders>
              <w:top w:val="single" w:sz="4" w:space="0" w:color="auto"/>
              <w:left w:val="single" w:sz="4" w:space="0" w:color="auto"/>
              <w:bottom w:val="single" w:sz="4" w:space="0" w:color="auto"/>
              <w:right w:val="single" w:sz="4" w:space="0" w:color="auto"/>
            </w:tcBorders>
            <w:shd w:val="clear" w:color="auto" w:fill="auto"/>
          </w:tcPr>
          <w:p w:rsidR="007261B3" w:rsidRPr="00575CF1" w:rsidRDefault="007261B3" w:rsidP="00B243E6">
            <w:pPr>
              <w:pStyle w:val="TableHeading"/>
              <w:rPr>
                <w:bCs/>
              </w:rPr>
            </w:pPr>
            <w:r w:rsidRPr="00575CF1">
              <w:rPr>
                <w:bCs/>
              </w:rPr>
              <w:t>Study and location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61B3" w:rsidRPr="00575CF1" w:rsidRDefault="007261B3" w:rsidP="00B243E6">
            <w:pPr>
              <w:pStyle w:val="TableHeading"/>
              <w:rPr>
                <w:bCs/>
              </w:rPr>
            </w:pPr>
            <w:r w:rsidRPr="00575CF1">
              <w:rPr>
                <w:bCs/>
              </w:rPr>
              <w:t>Level of evidence and quality assessment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261B3" w:rsidRPr="00575CF1" w:rsidRDefault="007261B3" w:rsidP="00B243E6">
            <w:pPr>
              <w:pStyle w:val="TableHeading"/>
              <w:rPr>
                <w:bCs/>
              </w:rPr>
            </w:pPr>
            <w:r w:rsidRPr="00575CF1">
              <w:rPr>
                <w:bCs/>
              </w:rPr>
              <w:t>Study design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61B3" w:rsidRPr="00575CF1" w:rsidRDefault="007261B3" w:rsidP="00B243E6">
            <w:pPr>
              <w:pStyle w:val="TableHeading"/>
              <w:rPr>
                <w:bCs/>
              </w:rPr>
            </w:pPr>
            <w:r w:rsidRPr="00575CF1">
              <w:rPr>
                <w:bCs/>
              </w:rPr>
              <w:t>Study population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261B3" w:rsidRPr="00575CF1" w:rsidRDefault="007261B3" w:rsidP="00B243E6">
            <w:pPr>
              <w:pStyle w:val="TableHeading"/>
              <w:rPr>
                <w:bCs/>
              </w:rPr>
            </w:pPr>
            <w:r w:rsidRPr="00575CF1">
              <w:rPr>
                <w:bCs/>
              </w:rPr>
              <w:t>Intervention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261B3" w:rsidRPr="00575CF1" w:rsidRDefault="007261B3" w:rsidP="00B243E6">
            <w:pPr>
              <w:pStyle w:val="TableHeading"/>
              <w:rPr>
                <w:bCs/>
              </w:rPr>
            </w:pPr>
            <w:r w:rsidRPr="00575CF1">
              <w:rPr>
                <w:bCs/>
              </w:rPr>
              <w:t>Inclusion/exclusion criteria</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7261B3" w:rsidRPr="00575CF1" w:rsidRDefault="007261B3" w:rsidP="00B243E6">
            <w:pPr>
              <w:pStyle w:val="TableHeading"/>
              <w:rPr>
                <w:bCs/>
              </w:rPr>
            </w:pPr>
            <w:r w:rsidRPr="00575CF1">
              <w:rPr>
                <w:bCs/>
              </w:rPr>
              <w:t>Outcomes assessed</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7261B3" w:rsidRPr="00575CF1" w:rsidRDefault="007261B3" w:rsidP="00B243E6">
            <w:pPr>
              <w:pStyle w:val="TableHeading"/>
              <w:rPr>
                <w:bCs/>
              </w:rPr>
            </w:pPr>
            <w:r w:rsidRPr="00575CF1">
              <w:rPr>
                <w:bCs/>
              </w:rPr>
              <w:t>Duration of follow-up</w:t>
            </w:r>
          </w:p>
        </w:tc>
      </w:tr>
      <w:tr w:rsidR="007261B3" w:rsidRPr="009C23AF" w:rsidTr="00D1533C">
        <w:trPr>
          <w:tblHeader/>
        </w:trPr>
        <w:tc>
          <w:tcPr>
            <w:tcW w:w="959" w:type="dxa"/>
            <w:tcBorders>
              <w:top w:val="single" w:sz="4" w:space="0" w:color="auto"/>
              <w:left w:val="single" w:sz="4" w:space="0" w:color="auto"/>
              <w:bottom w:val="single" w:sz="4" w:space="0" w:color="auto"/>
              <w:right w:val="single" w:sz="4" w:space="0" w:color="auto"/>
            </w:tcBorders>
            <w:shd w:val="clear" w:color="auto" w:fill="auto"/>
          </w:tcPr>
          <w:p w:rsidR="007261B3" w:rsidRDefault="007261B3" w:rsidP="00B243E6">
            <w:pPr>
              <w:pStyle w:val="TableText"/>
            </w:pPr>
            <w:r w:rsidRPr="009C23AF">
              <w:t>Bell 2007</w:t>
            </w:r>
          </w:p>
          <w:p w:rsidR="007261B3" w:rsidRPr="009C23AF" w:rsidRDefault="007261B3" w:rsidP="00B243E6">
            <w:pPr>
              <w:pStyle w:val="TableText"/>
            </w:pPr>
            <w:r>
              <w:t>Australia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61B3" w:rsidRDefault="007261B3" w:rsidP="00B243E6">
            <w:pPr>
              <w:pStyle w:val="TableText"/>
            </w:pPr>
            <w:r>
              <w:t xml:space="preserve">NHMRC Level III-3 </w:t>
            </w:r>
          </w:p>
          <w:p w:rsidR="007261B3" w:rsidRPr="009C23AF" w:rsidRDefault="007261B3" w:rsidP="00B243E6">
            <w:pPr>
              <w:pStyle w:val="TableText"/>
            </w:pPr>
            <w:r>
              <w:t>POOR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261B3" w:rsidRPr="009C23AF" w:rsidRDefault="007261B3" w:rsidP="00B243E6">
            <w:pPr>
              <w:pStyle w:val="TableText"/>
            </w:pPr>
            <w:r w:rsidRPr="009C23AF">
              <w:t>Cross-study comparison</w:t>
            </w:r>
            <w:r>
              <w:t xml:space="preserve">, modelled the risk of </w:t>
            </w:r>
            <w:r w:rsidR="00200CF4">
              <w:t>anastrozole</w:t>
            </w:r>
            <w:r>
              <w:t xml:space="preserve"> therapy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61B3" w:rsidRDefault="007261B3" w:rsidP="00B243E6">
            <w:pPr>
              <w:pStyle w:val="TableText"/>
            </w:pPr>
            <w:r w:rsidRPr="009C23AF">
              <w:t xml:space="preserve">Healthy </w:t>
            </w:r>
            <w:r w:rsidR="007A119D">
              <w:t>post-menopaus</w:t>
            </w:r>
            <w:r w:rsidRPr="009C23AF">
              <w:t xml:space="preserve">al women, </w:t>
            </w:r>
            <w:r>
              <w:t xml:space="preserve">all </w:t>
            </w:r>
            <w:r w:rsidRPr="009C23AF">
              <w:t xml:space="preserve">women with breast cancer, women with breast cancer on </w:t>
            </w:r>
            <w:r w:rsidR="00200CF4">
              <w:t>anastrozole</w:t>
            </w:r>
            <w:r w:rsidRPr="009C23AF">
              <w:t>, women with breast cancer on tamoxifen</w:t>
            </w:r>
          </w:p>
          <w:p w:rsidR="007261B3" w:rsidRPr="009C23AF" w:rsidRDefault="007261B3" w:rsidP="00B243E6">
            <w:pPr>
              <w:pStyle w:val="TableText"/>
            </w:pPr>
            <w:r>
              <w:t>Aged 64-69 (from ATAC)</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261B3" w:rsidRPr="009C23AF" w:rsidRDefault="007261B3" w:rsidP="00B243E6">
            <w:pPr>
              <w:pStyle w:val="TableText"/>
            </w:pPr>
            <w:r w:rsidRPr="009C23AF">
              <w:t xml:space="preserve">All women with breast cancer </w:t>
            </w:r>
          </w:p>
          <w:p w:rsidR="007261B3" w:rsidRPr="009C23AF" w:rsidRDefault="00200CF4" w:rsidP="00B243E6">
            <w:pPr>
              <w:pStyle w:val="TableText"/>
            </w:pPr>
            <w:r>
              <w:t>Anastrozole</w:t>
            </w:r>
            <w:r w:rsidR="007261B3">
              <w:t xml:space="preserve"> </w:t>
            </w:r>
          </w:p>
          <w:p w:rsidR="007261B3" w:rsidRPr="009C23AF" w:rsidRDefault="007261B3" w:rsidP="00B243E6">
            <w:pPr>
              <w:pStyle w:val="TableText"/>
            </w:pPr>
            <w:r w:rsidRPr="009C23AF">
              <w:t>Tamoxifen</w:t>
            </w:r>
          </w:p>
          <w:p w:rsidR="007261B3" w:rsidRPr="009C23AF" w:rsidRDefault="007261B3" w:rsidP="00B243E6">
            <w:pPr>
              <w:pStyle w:val="TableText"/>
            </w:pPr>
            <w:r w:rsidRPr="009C23AF">
              <w:t>Healthy controls</w:t>
            </w:r>
          </w:p>
          <w:p w:rsidR="007261B3" w:rsidRPr="009C23AF" w:rsidRDefault="007261B3" w:rsidP="00B243E6">
            <w:pPr>
              <w:pStyle w:val="TableText"/>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261B3" w:rsidRDefault="007261B3" w:rsidP="00B243E6">
            <w:pPr>
              <w:pStyle w:val="TableText"/>
              <w:tabs>
                <w:tab w:val="left" w:pos="1026"/>
              </w:tabs>
            </w:pPr>
            <w:r>
              <w:t>None stated.</w:t>
            </w:r>
          </w:p>
          <w:p w:rsidR="007261B3" w:rsidRDefault="007261B3" w:rsidP="00B243E6">
            <w:pPr>
              <w:pStyle w:val="TableText"/>
              <w:tabs>
                <w:tab w:val="left" w:pos="1026"/>
              </w:tabs>
            </w:pPr>
            <w:r>
              <w:t xml:space="preserve">Selected three large prospectively designed clinical studies: </w:t>
            </w:r>
          </w:p>
          <w:p w:rsidR="007261B3" w:rsidRDefault="007261B3" w:rsidP="00534D10">
            <w:pPr>
              <w:pStyle w:val="TableText"/>
              <w:numPr>
                <w:ilvl w:val="0"/>
                <w:numId w:val="21"/>
              </w:numPr>
              <w:tabs>
                <w:tab w:val="left" w:pos="1026"/>
              </w:tabs>
            </w:pPr>
            <w:r>
              <w:t>NSABP-P</w:t>
            </w:r>
          </w:p>
          <w:p w:rsidR="007261B3" w:rsidRDefault="007261B3" w:rsidP="00534D10">
            <w:pPr>
              <w:pStyle w:val="TableText"/>
              <w:numPr>
                <w:ilvl w:val="0"/>
                <w:numId w:val="21"/>
              </w:numPr>
              <w:tabs>
                <w:tab w:val="left" w:pos="1026"/>
              </w:tabs>
            </w:pPr>
            <w:r>
              <w:t>WHI</w:t>
            </w:r>
          </w:p>
          <w:p w:rsidR="007261B3" w:rsidRPr="009C23AF" w:rsidRDefault="007261B3" w:rsidP="00534D10">
            <w:pPr>
              <w:pStyle w:val="TableText"/>
              <w:numPr>
                <w:ilvl w:val="0"/>
                <w:numId w:val="21"/>
              </w:numPr>
              <w:tabs>
                <w:tab w:val="left" w:pos="1026"/>
              </w:tabs>
            </w:pPr>
            <w:r>
              <w:t>ATAC</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7261B3" w:rsidRDefault="007261B3" w:rsidP="00B243E6">
            <w:pPr>
              <w:pStyle w:val="TableText"/>
              <w:tabs>
                <w:tab w:val="left" w:pos="1026"/>
              </w:tabs>
              <w:ind w:left="11"/>
            </w:pPr>
            <w:r>
              <w:t>RR of bone fracture</w:t>
            </w:r>
          </w:p>
          <w:p w:rsidR="007261B3" w:rsidRPr="009C23AF" w:rsidRDefault="007261B3" w:rsidP="00B243E6">
            <w:pPr>
              <w:pStyle w:val="TableText"/>
              <w:tabs>
                <w:tab w:val="left" w:pos="1026"/>
              </w:tabs>
              <w:ind w:left="11"/>
            </w:pPr>
            <w:r>
              <w:t xml:space="preserve">RR of bone fracture for women taking </w:t>
            </w:r>
            <w:r w:rsidR="00200CF4">
              <w:t>anastrozole</w:t>
            </w:r>
            <w:r>
              <w:t xml:space="preserve"> or tamoxifen were modelled/calibrated</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7261B3" w:rsidRDefault="007261B3" w:rsidP="00B243E6">
            <w:pPr>
              <w:pStyle w:val="TableText"/>
              <w:tabs>
                <w:tab w:val="left" w:pos="1026"/>
              </w:tabs>
            </w:pPr>
            <w:r>
              <w:t>5 years</w:t>
            </w:r>
          </w:p>
          <w:p w:rsidR="007261B3" w:rsidRPr="009C23AF" w:rsidRDefault="007261B3" w:rsidP="00B243E6">
            <w:pPr>
              <w:pStyle w:val="TableText"/>
              <w:tabs>
                <w:tab w:val="left" w:pos="1026"/>
              </w:tabs>
            </w:pPr>
            <w:r>
              <w:t>Treatment was 5 years duration</w:t>
            </w:r>
          </w:p>
        </w:tc>
      </w:tr>
      <w:tr w:rsidR="007261B3" w:rsidRPr="007E379A" w:rsidTr="00D1533C">
        <w:trPr>
          <w:tblHeader/>
        </w:trPr>
        <w:tc>
          <w:tcPr>
            <w:tcW w:w="959" w:type="dxa"/>
            <w:tcBorders>
              <w:top w:val="single" w:sz="4" w:space="0" w:color="auto"/>
              <w:left w:val="single" w:sz="4" w:space="0" w:color="auto"/>
              <w:bottom w:val="single" w:sz="4" w:space="0" w:color="auto"/>
              <w:right w:val="single" w:sz="4" w:space="0" w:color="auto"/>
            </w:tcBorders>
            <w:shd w:val="clear" w:color="auto" w:fill="auto"/>
          </w:tcPr>
          <w:p w:rsidR="007261B3" w:rsidRDefault="007261B3" w:rsidP="00B243E6">
            <w:pPr>
              <w:pStyle w:val="TableText"/>
            </w:pPr>
            <w:r w:rsidRPr="007E379A">
              <w:t>Goss 2013</w:t>
            </w:r>
          </w:p>
          <w:p w:rsidR="007261B3" w:rsidRPr="007E379A" w:rsidRDefault="007261B3" w:rsidP="00B243E6">
            <w:pPr>
              <w:pStyle w:val="TableText"/>
            </w:pPr>
            <w:r>
              <w:t>Canada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61B3" w:rsidRPr="007E379A" w:rsidRDefault="007261B3" w:rsidP="00B243E6">
            <w:pPr>
              <w:pStyle w:val="TableText"/>
            </w:pPr>
            <w:r w:rsidRPr="007E379A">
              <w:t>NHMRC Level II</w:t>
            </w:r>
          </w:p>
          <w:p w:rsidR="007261B3" w:rsidRPr="007E379A" w:rsidRDefault="007261B3" w:rsidP="00B243E6">
            <w:pPr>
              <w:pStyle w:val="TableText"/>
            </w:pPr>
            <w:r w:rsidRPr="007E379A">
              <w:t>MEDIUM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261B3" w:rsidRPr="007E379A" w:rsidRDefault="007261B3" w:rsidP="00B243E6">
            <w:pPr>
              <w:pStyle w:val="TableText"/>
            </w:pPr>
            <w:r>
              <w:t>Phase III RCT open-label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61B3" w:rsidRPr="007E379A" w:rsidRDefault="007261B3" w:rsidP="00B243E6">
            <w:pPr>
              <w:pStyle w:val="TableText"/>
            </w:pPr>
            <w:r>
              <w:t>7,576 women, median age 64 years, 4.1 years follow up</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261B3" w:rsidRPr="007E379A" w:rsidRDefault="007261B3" w:rsidP="00B243E6">
            <w:pPr>
              <w:pStyle w:val="TableText"/>
              <w:rPr>
                <w:i/>
              </w:rPr>
            </w:pPr>
            <w:r>
              <w:t xml:space="preserve">Exemestane vs </w:t>
            </w:r>
            <w:r w:rsidR="00200CF4">
              <w:t>anastrozole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261B3" w:rsidRDefault="007261B3" w:rsidP="00B243E6">
            <w:pPr>
              <w:pStyle w:val="TableText"/>
              <w:tabs>
                <w:tab w:val="left" w:pos="1026"/>
              </w:tabs>
            </w:pPr>
            <w:r>
              <w:t>Incl: HR+ breast cancer, postmeno, ECOG &lt;=2, adequately excised</w:t>
            </w:r>
          </w:p>
          <w:p w:rsidR="007261B3" w:rsidRPr="007E379A" w:rsidRDefault="007261B3" w:rsidP="00B243E6">
            <w:pPr>
              <w:pStyle w:val="TableText"/>
              <w:tabs>
                <w:tab w:val="left" w:pos="1026"/>
              </w:tabs>
            </w:pPr>
            <w:r>
              <w:t>Excl: metastatic, history of other cancer, prior tamoxifen</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7261B3" w:rsidRDefault="007261B3" w:rsidP="00B243E6">
            <w:pPr>
              <w:pStyle w:val="TableText"/>
            </w:pPr>
            <w:r>
              <w:t>Event-free survival</w:t>
            </w:r>
          </w:p>
          <w:p w:rsidR="007261B3" w:rsidRDefault="007261B3" w:rsidP="00B243E6">
            <w:pPr>
              <w:pStyle w:val="TableText"/>
            </w:pPr>
            <w:r>
              <w:t>Osteoporosis</w:t>
            </w:r>
          </w:p>
          <w:p w:rsidR="007261B3" w:rsidRDefault="007261B3" w:rsidP="00B243E6">
            <w:pPr>
              <w:pStyle w:val="TableText"/>
            </w:pPr>
            <w:r>
              <w:t xml:space="preserve">Osteopenia </w:t>
            </w:r>
          </w:p>
          <w:p w:rsidR="007261B3" w:rsidRPr="007E379A" w:rsidRDefault="007261B3" w:rsidP="00B243E6">
            <w:pPr>
              <w:pStyle w:val="TableText"/>
              <w:tabs>
                <w:tab w:val="left" w:pos="1026"/>
              </w:tabs>
              <w:ind w:left="11"/>
            </w:pPr>
            <w:r>
              <w:t>(and others)</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7261B3" w:rsidRPr="007E379A" w:rsidRDefault="007261B3" w:rsidP="00B243E6">
            <w:pPr>
              <w:pStyle w:val="TableText"/>
              <w:tabs>
                <w:tab w:val="left" w:pos="1026"/>
              </w:tabs>
            </w:pPr>
            <w:r>
              <w:t>4.1 years median follow up</w:t>
            </w:r>
          </w:p>
        </w:tc>
      </w:tr>
      <w:tr w:rsidR="007261B3" w:rsidRPr="00CE568D" w:rsidTr="00D1533C">
        <w:trPr>
          <w:tblHeader/>
        </w:trPr>
        <w:tc>
          <w:tcPr>
            <w:tcW w:w="959" w:type="dxa"/>
            <w:tcBorders>
              <w:top w:val="single" w:sz="4" w:space="0" w:color="auto"/>
              <w:left w:val="single" w:sz="4" w:space="0" w:color="auto"/>
              <w:bottom w:val="single" w:sz="4" w:space="0" w:color="auto"/>
              <w:right w:val="single" w:sz="4" w:space="0" w:color="auto"/>
            </w:tcBorders>
            <w:shd w:val="clear" w:color="auto" w:fill="auto"/>
          </w:tcPr>
          <w:p w:rsidR="007261B3" w:rsidRPr="00CE568D" w:rsidRDefault="007261B3" w:rsidP="00B243E6">
            <w:pPr>
              <w:pStyle w:val="TableText"/>
            </w:pPr>
            <w:r w:rsidRPr="00CE568D">
              <w:t>Kalder 2013 Germany</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61B3" w:rsidRDefault="007261B3" w:rsidP="00B243E6">
            <w:pPr>
              <w:pStyle w:val="TableText"/>
            </w:pPr>
            <w:r w:rsidRPr="00CE568D">
              <w:t xml:space="preserve">NHMRC </w:t>
            </w:r>
            <w:r>
              <w:t xml:space="preserve">Level </w:t>
            </w:r>
            <w:r w:rsidRPr="00CE568D">
              <w:t>III</w:t>
            </w:r>
          </w:p>
          <w:p w:rsidR="007261B3" w:rsidRPr="00CE568D" w:rsidRDefault="007261B3" w:rsidP="00B243E6">
            <w:pPr>
              <w:pStyle w:val="TableText"/>
            </w:pPr>
            <w:r>
              <w:t>MEDIUM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261B3" w:rsidRPr="00CE568D" w:rsidRDefault="007261B3" w:rsidP="00B243E6">
            <w:pPr>
              <w:pStyle w:val="TableText"/>
            </w:pPr>
            <w:r>
              <w:t>Sub-study of RCT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61B3" w:rsidRPr="00CE568D" w:rsidRDefault="007261B3" w:rsidP="00B243E6">
            <w:pPr>
              <w:pStyle w:val="TableText"/>
            </w:pPr>
            <w:r>
              <w:t>63 women, 180 in RCT core study, matched pair analysis compliant vs non compliant, postmeno brca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261B3" w:rsidRPr="00CE568D" w:rsidRDefault="00200CF4" w:rsidP="00B243E6">
            <w:pPr>
              <w:pStyle w:val="TableText"/>
            </w:pPr>
            <w:r>
              <w:t>Anastrozole</w:t>
            </w:r>
            <w:r w:rsidR="007261B3">
              <w:t xml:space="preserve"> compliant (≥80%) vs </w:t>
            </w:r>
            <w:r>
              <w:t>anastrozole</w:t>
            </w:r>
            <w:r w:rsidR="007261B3">
              <w:t xml:space="preserve"> non-compliant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261B3" w:rsidRDefault="007261B3" w:rsidP="00B243E6">
            <w:pPr>
              <w:pStyle w:val="TableText"/>
              <w:tabs>
                <w:tab w:val="left" w:pos="1026"/>
              </w:tabs>
            </w:pPr>
            <w:r>
              <w:t>Incl: HR+ breast cancer, postmeno, post surgery, radio or chemotherapy</w:t>
            </w:r>
          </w:p>
          <w:p w:rsidR="007261B3" w:rsidRPr="00CE568D" w:rsidRDefault="007261B3" w:rsidP="00B243E6">
            <w:pPr>
              <w:pStyle w:val="TableText"/>
              <w:tabs>
                <w:tab w:val="left" w:pos="1026"/>
              </w:tabs>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7261B3" w:rsidRDefault="007261B3" w:rsidP="00B243E6">
            <w:pPr>
              <w:pStyle w:val="TableText"/>
            </w:pPr>
            <w:r>
              <w:t>% BMD Lumbar spine (baseline to 24 mths)</w:t>
            </w:r>
          </w:p>
          <w:p w:rsidR="007261B3" w:rsidRPr="00CE568D" w:rsidRDefault="007261B3" w:rsidP="00B243E6">
            <w:pPr>
              <w:pStyle w:val="TableText"/>
              <w:tabs>
                <w:tab w:val="left" w:pos="1026"/>
              </w:tabs>
              <w:ind w:left="11"/>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7261B3" w:rsidRPr="00CE568D" w:rsidRDefault="007261B3" w:rsidP="00B243E6">
            <w:pPr>
              <w:pStyle w:val="TableText"/>
              <w:tabs>
                <w:tab w:val="left" w:pos="1026"/>
              </w:tabs>
            </w:pPr>
            <w:r>
              <w:t>24 months</w:t>
            </w:r>
          </w:p>
        </w:tc>
      </w:tr>
      <w:tr w:rsidR="007261B3" w:rsidRPr="002621B0" w:rsidTr="00D1533C">
        <w:trPr>
          <w:tblHeader/>
        </w:trPr>
        <w:tc>
          <w:tcPr>
            <w:tcW w:w="959" w:type="dxa"/>
            <w:tcBorders>
              <w:top w:val="single" w:sz="4" w:space="0" w:color="auto"/>
              <w:left w:val="single" w:sz="4" w:space="0" w:color="auto"/>
              <w:bottom w:val="single" w:sz="4" w:space="0" w:color="auto"/>
              <w:right w:val="single" w:sz="4" w:space="0" w:color="auto"/>
            </w:tcBorders>
            <w:shd w:val="clear" w:color="auto" w:fill="auto"/>
          </w:tcPr>
          <w:p w:rsidR="007261B3" w:rsidRPr="002621B0" w:rsidRDefault="007261B3" w:rsidP="00B243E6">
            <w:pPr>
              <w:pStyle w:val="TableText"/>
            </w:pPr>
            <w:r w:rsidRPr="002621B0">
              <w:t>Neuner 2011 USA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61B3" w:rsidRDefault="007261B3" w:rsidP="00B243E6">
            <w:pPr>
              <w:pStyle w:val="TableText"/>
            </w:pPr>
            <w:r>
              <w:t>NHMRC Level III</w:t>
            </w:r>
          </w:p>
          <w:p w:rsidR="007261B3" w:rsidRPr="002621B0" w:rsidRDefault="007261B3" w:rsidP="00B243E6">
            <w:pPr>
              <w:pStyle w:val="TableText"/>
            </w:pPr>
            <w:r>
              <w:t>MEDIUM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261B3" w:rsidRPr="002621B0" w:rsidRDefault="007261B3" w:rsidP="00B243E6">
            <w:pPr>
              <w:pStyle w:val="TableText"/>
            </w:pPr>
            <w:r>
              <w:t>Population based prospective cohort of community dwelling women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61B3" w:rsidRDefault="007261B3" w:rsidP="00B243E6">
            <w:pPr>
              <w:pStyle w:val="TableText"/>
            </w:pPr>
            <w:r>
              <w:t xml:space="preserve">2,748 women diagnosed with breast cancer in 2003, aged ≥65 yrs, 28% had initial tamoxifen therapy first, 28% initial AI (87% on </w:t>
            </w:r>
            <w:r w:rsidR="00200CF4">
              <w:t>anastrozole</w:t>
            </w:r>
            <w:r>
              <w:t>)</w:t>
            </w:r>
          </w:p>
          <w:p w:rsidR="007261B3" w:rsidRPr="002621B0" w:rsidRDefault="007261B3" w:rsidP="007261B3">
            <w:pPr>
              <w:pStyle w:val="TableText"/>
            </w:pPr>
            <w:r>
              <w:t xml:space="preserve">Women at high risk of fractures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261B3" w:rsidRDefault="007261B3" w:rsidP="00B243E6">
            <w:pPr>
              <w:pStyle w:val="TableText"/>
            </w:pPr>
            <w:r>
              <w:t>AI</w:t>
            </w:r>
          </w:p>
          <w:p w:rsidR="007261B3" w:rsidRDefault="007261B3" w:rsidP="00B243E6">
            <w:pPr>
              <w:pStyle w:val="TableText"/>
            </w:pPr>
            <w:r>
              <w:t>Tamoxifen</w:t>
            </w:r>
          </w:p>
          <w:p w:rsidR="007261B3" w:rsidRPr="002621B0" w:rsidRDefault="007261B3" w:rsidP="00B243E6">
            <w:pPr>
              <w:pStyle w:val="TableText"/>
            </w:pPr>
            <w:r>
              <w:t>No hormone therapy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261B3" w:rsidRPr="002621B0" w:rsidRDefault="007261B3" w:rsidP="00B243E6">
            <w:pPr>
              <w:pStyle w:val="TableText"/>
              <w:tabs>
                <w:tab w:val="left" w:pos="1026"/>
              </w:tabs>
            </w:pPr>
            <w:r>
              <w:t>Incl: incident breast cancer in 2003, in health maintenance org, Medicare claims database</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7261B3" w:rsidRDefault="007261B3" w:rsidP="00B243E6">
            <w:pPr>
              <w:pStyle w:val="TableText"/>
              <w:tabs>
                <w:tab w:val="left" w:pos="1026"/>
              </w:tabs>
              <w:ind w:left="11"/>
            </w:pPr>
            <w:r>
              <w:t>Hip fractures</w:t>
            </w:r>
          </w:p>
          <w:p w:rsidR="007261B3" w:rsidRDefault="007261B3" w:rsidP="00B243E6">
            <w:pPr>
              <w:pStyle w:val="TableText"/>
              <w:tabs>
                <w:tab w:val="left" w:pos="1026"/>
              </w:tabs>
              <w:ind w:left="11"/>
            </w:pPr>
            <w:r>
              <w:t>Non-vertebrae fractures</w:t>
            </w:r>
          </w:p>
          <w:p w:rsidR="007261B3" w:rsidRPr="002621B0" w:rsidRDefault="007261B3" w:rsidP="00B243E6">
            <w:pPr>
              <w:pStyle w:val="TableText"/>
              <w:tabs>
                <w:tab w:val="left" w:pos="1026"/>
              </w:tabs>
              <w:ind w:left="11"/>
            </w:pPr>
            <w:r>
              <w:t>Time to event analyses</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7261B3" w:rsidRPr="002621B0" w:rsidRDefault="007261B3" w:rsidP="00B243E6">
            <w:pPr>
              <w:pStyle w:val="TableText"/>
              <w:tabs>
                <w:tab w:val="left" w:pos="1026"/>
              </w:tabs>
            </w:pPr>
            <w:r>
              <w:t>36 months</w:t>
            </w:r>
          </w:p>
        </w:tc>
      </w:tr>
      <w:tr w:rsidR="007261B3" w:rsidRPr="00EA100F" w:rsidTr="00D1533C">
        <w:trPr>
          <w:tblHeader/>
        </w:trPr>
        <w:tc>
          <w:tcPr>
            <w:tcW w:w="959" w:type="dxa"/>
            <w:tcBorders>
              <w:top w:val="single" w:sz="4" w:space="0" w:color="auto"/>
              <w:left w:val="single" w:sz="4" w:space="0" w:color="auto"/>
              <w:bottom w:val="single" w:sz="4" w:space="0" w:color="auto"/>
              <w:right w:val="single" w:sz="4" w:space="0" w:color="auto"/>
            </w:tcBorders>
            <w:shd w:val="clear" w:color="auto" w:fill="auto"/>
          </w:tcPr>
          <w:p w:rsidR="007261B3" w:rsidRPr="00EA100F" w:rsidRDefault="007261B3" w:rsidP="00B243E6">
            <w:pPr>
              <w:pStyle w:val="TableText"/>
            </w:pPr>
            <w:r w:rsidRPr="00EA100F">
              <w:t>Eastell 2011 UK</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61B3" w:rsidRPr="00EA100F" w:rsidRDefault="007261B3" w:rsidP="00B243E6">
            <w:pPr>
              <w:pStyle w:val="TableText"/>
            </w:pPr>
            <w:r w:rsidRPr="00EA100F">
              <w:t>NHMRC Level II</w:t>
            </w:r>
          </w:p>
          <w:p w:rsidR="007261B3" w:rsidRPr="00EA100F" w:rsidRDefault="007261B3" w:rsidP="00B243E6">
            <w:pPr>
              <w:pStyle w:val="TableText"/>
            </w:pPr>
            <w:r w:rsidRPr="00EA100F">
              <w:t>MEDIUM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261B3" w:rsidRPr="00EA100F" w:rsidRDefault="007261B3" w:rsidP="00B243E6">
            <w:pPr>
              <w:pStyle w:val="TableText"/>
            </w:pPr>
            <w:r>
              <w:t>Phase III RCT – bone sub-study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61B3" w:rsidRPr="00EA100F" w:rsidRDefault="007261B3" w:rsidP="00B243E6">
            <w:pPr>
              <w:pStyle w:val="TableText"/>
            </w:pPr>
            <w:r>
              <w:t xml:space="preserve">60 Post-menopausal women with breast cancer who were participants of ATAC trial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261B3" w:rsidRDefault="00200CF4" w:rsidP="00B243E6">
            <w:pPr>
              <w:pStyle w:val="TableText"/>
            </w:pPr>
            <w:r>
              <w:t>Anastrozole</w:t>
            </w:r>
          </w:p>
          <w:p w:rsidR="007261B3" w:rsidRDefault="007261B3" w:rsidP="00B243E6">
            <w:pPr>
              <w:pStyle w:val="TableText"/>
            </w:pPr>
            <w:r>
              <w:t>Tamoxifen</w:t>
            </w:r>
          </w:p>
          <w:p w:rsidR="007261B3" w:rsidRPr="00EA100F" w:rsidRDefault="007261B3" w:rsidP="00B243E6">
            <w:pPr>
              <w:pStyle w:val="TableText"/>
            </w:pPr>
            <w:r>
              <w:t>Combined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261B3" w:rsidRPr="00EA100F" w:rsidRDefault="007261B3" w:rsidP="007261B3">
            <w:pPr>
              <w:pStyle w:val="TableText"/>
              <w:tabs>
                <w:tab w:val="left" w:pos="1026"/>
              </w:tabs>
            </w:pPr>
            <w:r>
              <w:t>Incl: ATAC trial participants not with recurrence, not osteoporotic at 5 yrs, evaluable 5-yr bone scans. Excl: those taking bisphosphonates</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7261B3" w:rsidRPr="00EA100F" w:rsidRDefault="007261B3" w:rsidP="00B243E6">
            <w:pPr>
              <w:pStyle w:val="TableText"/>
              <w:tabs>
                <w:tab w:val="left" w:pos="1026"/>
              </w:tabs>
            </w:pPr>
            <w:r>
              <w:t>Median % change in lumbar spine and total hip BMD from 5 to 7 years</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7261B3" w:rsidRPr="00EA100F" w:rsidRDefault="007261B3" w:rsidP="00B243E6">
            <w:pPr>
              <w:pStyle w:val="TableText"/>
              <w:tabs>
                <w:tab w:val="left" w:pos="1026"/>
              </w:tabs>
            </w:pPr>
            <w:r>
              <w:t>7 years</w:t>
            </w:r>
          </w:p>
        </w:tc>
      </w:tr>
    </w:tbl>
    <w:p w:rsidR="007261B3" w:rsidRDefault="007261B3" w:rsidP="007261B3">
      <w:pPr>
        <w:pStyle w:val="Heading3"/>
      </w:pPr>
    </w:p>
    <w:p w:rsidR="009C23AF" w:rsidRPr="0013164F" w:rsidRDefault="009C23AF" w:rsidP="0013164F">
      <w:pPr>
        <w:rPr>
          <w:rFonts w:ascii="Tahoma" w:hAnsi="Tahoma" w:cs="Tahoma"/>
          <w:b/>
          <w:sz w:val="28"/>
          <w:szCs w:val="28"/>
        </w:rPr>
      </w:pPr>
      <w:r>
        <w:br w:type="page"/>
      </w:r>
      <w:r w:rsidR="003E61DB" w:rsidRPr="0013164F">
        <w:rPr>
          <w:rFonts w:ascii="Tahoma" w:hAnsi="Tahoma" w:cs="Tahoma"/>
          <w:b/>
          <w:sz w:val="28"/>
          <w:szCs w:val="28"/>
        </w:rPr>
        <w:lastRenderedPageBreak/>
        <w:t xml:space="preserve">Study profiles of included </w:t>
      </w:r>
      <w:r w:rsidRPr="0013164F">
        <w:rPr>
          <w:rFonts w:ascii="Tahoma" w:hAnsi="Tahoma" w:cs="Tahoma"/>
          <w:b/>
          <w:sz w:val="28"/>
          <w:szCs w:val="28"/>
        </w:rPr>
        <w:t>systematic reviews</w:t>
      </w:r>
      <w:r w:rsidR="003E61DB" w:rsidRPr="0013164F">
        <w:rPr>
          <w:rFonts w:ascii="Tahoma" w:hAnsi="Tahoma" w:cs="Tahoma"/>
          <w:b/>
          <w:sz w:val="28"/>
          <w:szCs w:val="28"/>
        </w:rPr>
        <w:t xml:space="preserve"> </w:t>
      </w:r>
      <w:bookmarkStart w:id="177" w:name="_Ref192056948"/>
      <w:bookmarkStart w:id="178" w:name="_Ref169423889"/>
    </w:p>
    <w:tbl>
      <w:tblPr>
        <w:tblW w:w="4804" w:type="pct"/>
        <w:tblLook w:val="01E0" w:firstRow="1" w:lastRow="1" w:firstColumn="1" w:lastColumn="1" w:noHBand="0" w:noVBand="0"/>
        <w:tblCaption w:val="App C Study profile Amir 2011"/>
      </w:tblPr>
      <w:tblGrid>
        <w:gridCol w:w="1405"/>
        <w:gridCol w:w="2105"/>
        <w:gridCol w:w="2408"/>
        <w:gridCol w:w="2691"/>
        <w:gridCol w:w="2334"/>
        <w:gridCol w:w="2675"/>
      </w:tblGrid>
      <w:tr w:rsidR="009C23AF" w:rsidRPr="00FC7FEA" w:rsidTr="009C23AF">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9C23AF" w:rsidRPr="00FC7FEA" w:rsidRDefault="009C23AF" w:rsidP="00B243E6">
            <w:pPr>
              <w:pStyle w:val="TableHeading"/>
              <w:rPr>
                <w:bCs/>
              </w:rPr>
            </w:pPr>
            <w:r w:rsidRPr="00FC7FEA">
              <w:rPr>
                <w:bCs/>
              </w:rPr>
              <w:t>Author/Year</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9C23AF" w:rsidRPr="00FC7FEA" w:rsidRDefault="009C23AF" w:rsidP="00B243E6">
            <w:pPr>
              <w:pStyle w:val="TableHeading"/>
              <w:rPr>
                <w:bCs/>
              </w:rPr>
            </w:pPr>
            <w:r>
              <w:rPr>
                <w:bCs/>
              </w:rPr>
              <w:t>Objective of report</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23AF" w:rsidRPr="00FC7FEA" w:rsidRDefault="009C23AF" w:rsidP="00B243E6">
            <w:pPr>
              <w:pStyle w:val="TableHeading"/>
              <w:rPr>
                <w:bCs/>
              </w:rPr>
            </w:pPr>
            <w:r>
              <w:rPr>
                <w:bCs/>
              </w:rPr>
              <w:t>Number and publication dates</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9C23AF" w:rsidRPr="00FC7FEA" w:rsidRDefault="009C23AF" w:rsidP="00B243E6">
            <w:pPr>
              <w:pStyle w:val="TableHeading"/>
              <w:rPr>
                <w:bCs/>
              </w:rPr>
            </w:pPr>
            <w:r>
              <w:rPr>
                <w:bCs/>
              </w:rPr>
              <w:t>Population considered in included studies, Intvn/ comparison</w:t>
            </w:r>
            <w:r w:rsidRPr="00FC7FEA">
              <w:rPr>
                <w:bCs/>
              </w:rPr>
              <w:t xml:space="preserve"> </w:t>
            </w:r>
          </w:p>
        </w:tc>
        <w:tc>
          <w:tcPr>
            <w:tcW w:w="857" w:type="pct"/>
            <w:tcBorders>
              <w:top w:val="single" w:sz="4" w:space="0" w:color="auto"/>
              <w:left w:val="single" w:sz="4" w:space="0" w:color="auto"/>
              <w:bottom w:val="single" w:sz="4" w:space="0" w:color="auto"/>
              <w:right w:val="single" w:sz="4" w:space="0" w:color="auto"/>
            </w:tcBorders>
          </w:tcPr>
          <w:p w:rsidR="009C23AF" w:rsidRPr="00FC7FEA" w:rsidRDefault="009C23AF" w:rsidP="00B243E6">
            <w:pPr>
              <w:pStyle w:val="TableHeading"/>
              <w:rPr>
                <w:bCs/>
              </w:rPr>
            </w:pPr>
            <w:r>
              <w:rPr>
                <w:bCs/>
              </w:rPr>
              <w:t>Conclusions/recommendation</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9C23AF" w:rsidRPr="00FC7FEA" w:rsidRDefault="009C23AF" w:rsidP="00B243E6">
            <w:pPr>
              <w:pStyle w:val="TableHeading"/>
              <w:rPr>
                <w:bCs/>
              </w:rPr>
            </w:pPr>
            <w:r w:rsidRPr="00FC7FEA">
              <w:rPr>
                <w:bCs/>
              </w:rPr>
              <w:t>Quality assessment</w:t>
            </w:r>
          </w:p>
        </w:tc>
      </w:tr>
      <w:tr w:rsidR="009C23AF" w:rsidRPr="00FE01FE" w:rsidTr="009C23AF">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9C23AF" w:rsidRPr="00FE01FE" w:rsidRDefault="009C23AF" w:rsidP="00B243E6">
            <w:pPr>
              <w:pStyle w:val="TableHeading"/>
              <w:rPr>
                <w:b w:val="0"/>
                <w:bCs/>
              </w:rPr>
            </w:pPr>
            <w:r>
              <w:rPr>
                <w:b w:val="0"/>
                <w:bCs/>
              </w:rPr>
              <w:t>Amir 2011</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9C23AF" w:rsidRPr="001E33F9" w:rsidRDefault="009C23AF" w:rsidP="00B243E6">
            <w:pPr>
              <w:pStyle w:val="TableHeading"/>
              <w:rPr>
                <w:b w:val="0"/>
                <w:bCs/>
              </w:rPr>
            </w:pPr>
            <w:r w:rsidRPr="001E33F9">
              <w:rPr>
                <w:b w:val="0"/>
                <w:bCs/>
              </w:rPr>
              <w:t>Systematic review and meta-analysis of randomized trials that compare</w:t>
            </w:r>
            <w:r>
              <w:rPr>
                <w:b w:val="0"/>
                <w:bCs/>
              </w:rPr>
              <w:t>d</w:t>
            </w:r>
            <w:r w:rsidRPr="001E33F9">
              <w:rPr>
                <w:b w:val="0"/>
                <w:bCs/>
              </w:rPr>
              <w:t xml:space="preserve"> </w:t>
            </w:r>
            <w:r>
              <w:rPr>
                <w:b w:val="0"/>
                <w:bCs/>
              </w:rPr>
              <w:t xml:space="preserve">toxicity of </w:t>
            </w:r>
            <w:r w:rsidRPr="001E33F9">
              <w:rPr>
                <w:b w:val="0"/>
                <w:bCs/>
              </w:rPr>
              <w:t>aromatase inhibitors and tamoxifen as primary adjuvant hormone therapy in post-menopausal women with breast cancer</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23AF" w:rsidRDefault="009C23AF" w:rsidP="00B243E6">
            <w:pPr>
              <w:pStyle w:val="TableHeading"/>
              <w:rPr>
                <w:b w:val="0"/>
                <w:bCs/>
              </w:rPr>
            </w:pPr>
            <w:r w:rsidRPr="00FE01FE">
              <w:rPr>
                <w:bCs/>
              </w:rPr>
              <w:t>Search methods</w:t>
            </w:r>
            <w:r w:rsidRPr="00FE01FE">
              <w:rPr>
                <w:b w:val="0"/>
                <w:bCs/>
              </w:rPr>
              <w:t xml:space="preserve">: Publications from </w:t>
            </w:r>
            <w:r>
              <w:rPr>
                <w:b w:val="0"/>
                <w:bCs/>
              </w:rPr>
              <w:t>1996</w:t>
            </w:r>
            <w:r w:rsidRPr="00FE01FE">
              <w:rPr>
                <w:b w:val="0"/>
                <w:bCs/>
              </w:rPr>
              <w:t xml:space="preserve"> to </w:t>
            </w:r>
            <w:r>
              <w:rPr>
                <w:b w:val="0"/>
                <w:bCs/>
              </w:rPr>
              <w:t>Apr 2010</w:t>
            </w:r>
            <w:r w:rsidRPr="00FE01FE">
              <w:rPr>
                <w:b w:val="0"/>
                <w:bCs/>
              </w:rPr>
              <w:t xml:space="preserve"> were selected from MEDLINE, EMBASE and other electronic databases.</w:t>
            </w:r>
          </w:p>
          <w:p w:rsidR="009C23AF" w:rsidRDefault="009C23AF" w:rsidP="00B243E6">
            <w:pPr>
              <w:pStyle w:val="TableHeading"/>
              <w:rPr>
                <w:b w:val="0"/>
                <w:bCs/>
              </w:rPr>
            </w:pPr>
          </w:p>
          <w:p w:rsidR="009C23AF" w:rsidRPr="00FE01FE" w:rsidRDefault="009C23AF" w:rsidP="00B243E6">
            <w:pPr>
              <w:pStyle w:val="TableHeading"/>
              <w:rPr>
                <w:bCs/>
              </w:rPr>
            </w:pPr>
            <w:r w:rsidRPr="001E33F9">
              <w:rPr>
                <w:bCs/>
                <w:i/>
              </w:rPr>
              <w:t>Studies were included</w:t>
            </w:r>
            <w:r>
              <w:rPr>
                <w:b w:val="0"/>
                <w:bCs/>
              </w:rPr>
              <w:t xml:space="preserve"> if: they were randomized Phase III trials, early stage women with breast cancer, they had treatment duration of 5 years, </w:t>
            </w:r>
            <w:r w:rsidR="007A119D">
              <w:rPr>
                <w:b w:val="0"/>
                <w:bCs/>
              </w:rPr>
              <w:t>post-menopaus</w:t>
            </w:r>
            <w:r>
              <w:rPr>
                <w:b w:val="0"/>
                <w:bCs/>
              </w:rPr>
              <w:t>al women only</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9C23AF" w:rsidRDefault="009C23AF" w:rsidP="00B243E6">
            <w:pPr>
              <w:pStyle w:val="TableHeading"/>
              <w:rPr>
                <w:b w:val="0"/>
                <w:bCs/>
              </w:rPr>
            </w:pPr>
            <w:r>
              <w:rPr>
                <w:b w:val="0"/>
                <w:bCs/>
              </w:rPr>
              <w:t>Mean age range years</w:t>
            </w:r>
          </w:p>
          <w:p w:rsidR="009C23AF" w:rsidRDefault="009C23AF" w:rsidP="00B243E6">
            <w:pPr>
              <w:pStyle w:val="TableHeading"/>
              <w:rPr>
                <w:bCs/>
              </w:rPr>
            </w:pPr>
          </w:p>
          <w:p w:rsidR="009C23AF" w:rsidRDefault="009C23AF" w:rsidP="00B243E6">
            <w:pPr>
              <w:pStyle w:val="TableHeading"/>
              <w:rPr>
                <w:b w:val="0"/>
                <w:bCs/>
              </w:rPr>
            </w:pPr>
            <w:r>
              <w:rPr>
                <w:bCs/>
              </w:rPr>
              <w:t>Intervention/</w:t>
            </w:r>
            <w:r w:rsidRPr="00660B75">
              <w:rPr>
                <w:bCs/>
              </w:rPr>
              <w:t>Comparator</w:t>
            </w:r>
            <w:r>
              <w:rPr>
                <w:b w:val="0"/>
                <w:bCs/>
              </w:rPr>
              <w:t>:</w:t>
            </w:r>
          </w:p>
          <w:p w:rsidR="009C23AF" w:rsidRDefault="009C23AF" w:rsidP="00B243E6">
            <w:pPr>
              <w:pStyle w:val="TableHeading"/>
              <w:rPr>
                <w:b w:val="0"/>
                <w:bCs/>
              </w:rPr>
            </w:pPr>
            <w:r>
              <w:rPr>
                <w:b w:val="0"/>
                <w:bCs/>
              </w:rPr>
              <w:t xml:space="preserve">Three cohorts: </w:t>
            </w:r>
          </w:p>
          <w:p w:rsidR="009C23AF" w:rsidRPr="00800473" w:rsidRDefault="009C23AF" w:rsidP="00534D10">
            <w:pPr>
              <w:pStyle w:val="TableHeading"/>
              <w:numPr>
                <w:ilvl w:val="0"/>
                <w:numId w:val="19"/>
              </w:numPr>
              <w:rPr>
                <w:b w:val="0"/>
                <w:bCs/>
                <w:szCs w:val="18"/>
              </w:rPr>
            </w:pPr>
            <w:r w:rsidRPr="00800473">
              <w:rPr>
                <w:b w:val="0"/>
                <w:bCs/>
                <w:szCs w:val="18"/>
              </w:rPr>
              <w:t>5 years AIs vs 5 years tamoxifen</w:t>
            </w:r>
          </w:p>
          <w:p w:rsidR="009C23AF" w:rsidRPr="00800473" w:rsidRDefault="009C23AF" w:rsidP="00534D10">
            <w:pPr>
              <w:pStyle w:val="TableHeading"/>
              <w:numPr>
                <w:ilvl w:val="0"/>
                <w:numId w:val="19"/>
              </w:numPr>
              <w:rPr>
                <w:b w:val="0"/>
                <w:bCs/>
                <w:szCs w:val="18"/>
              </w:rPr>
            </w:pPr>
            <w:r w:rsidRPr="00800473">
              <w:rPr>
                <w:b w:val="0"/>
                <w:bCs/>
                <w:szCs w:val="18"/>
              </w:rPr>
              <w:t>2-3 years tamoxifen plus 2-3 years AIs vs 5 years tamoxifen</w:t>
            </w:r>
          </w:p>
          <w:p w:rsidR="009C23AF" w:rsidRPr="00800473" w:rsidRDefault="009C23AF" w:rsidP="00534D10">
            <w:pPr>
              <w:pStyle w:val="TableHeading"/>
              <w:numPr>
                <w:ilvl w:val="0"/>
                <w:numId w:val="19"/>
              </w:numPr>
              <w:rPr>
                <w:b w:val="0"/>
                <w:bCs/>
                <w:szCs w:val="18"/>
              </w:rPr>
            </w:pPr>
            <w:r w:rsidRPr="00800473">
              <w:rPr>
                <w:b w:val="0"/>
                <w:bCs/>
                <w:szCs w:val="18"/>
              </w:rPr>
              <w:t>2-3 years tamoxifen plus 2-3 years AIs vs 5 years AIs</w:t>
            </w:r>
          </w:p>
          <w:p w:rsidR="009C23AF" w:rsidRDefault="009C23AF" w:rsidP="00B243E6">
            <w:pPr>
              <w:pStyle w:val="TableHeading"/>
              <w:rPr>
                <w:b w:val="0"/>
                <w:bCs/>
              </w:rPr>
            </w:pPr>
          </w:p>
          <w:p w:rsidR="009C23AF" w:rsidRPr="00FE01FE" w:rsidRDefault="009C23AF" w:rsidP="00B243E6">
            <w:pPr>
              <w:pStyle w:val="TableHeading"/>
              <w:rPr>
                <w:b w:val="0"/>
                <w:bCs/>
              </w:rPr>
            </w:pPr>
            <w:r>
              <w:rPr>
                <w:b w:val="0"/>
                <w:bCs/>
              </w:rPr>
              <w:t xml:space="preserve">Statistics: </w:t>
            </w:r>
          </w:p>
        </w:tc>
        <w:tc>
          <w:tcPr>
            <w:tcW w:w="857" w:type="pct"/>
            <w:tcBorders>
              <w:top w:val="single" w:sz="4" w:space="0" w:color="auto"/>
              <w:left w:val="single" w:sz="4" w:space="0" w:color="auto"/>
              <w:bottom w:val="single" w:sz="4" w:space="0" w:color="auto"/>
              <w:right w:val="single" w:sz="4" w:space="0" w:color="auto"/>
            </w:tcBorders>
          </w:tcPr>
          <w:p w:rsidR="009C23AF" w:rsidRDefault="009C23AF" w:rsidP="00B243E6">
            <w:pPr>
              <w:pStyle w:val="TableHeading"/>
              <w:rPr>
                <w:b w:val="0"/>
                <w:bCs/>
              </w:rPr>
            </w:pPr>
            <w:r>
              <w:rPr>
                <w:b w:val="0"/>
                <w:bCs/>
              </w:rPr>
              <w:t>7 studies included enrolling 30,023 patients</w:t>
            </w:r>
          </w:p>
          <w:p w:rsidR="009C23AF" w:rsidRDefault="009C23AF" w:rsidP="00B243E6">
            <w:pPr>
              <w:pStyle w:val="TableHeading"/>
              <w:rPr>
                <w:b w:val="0"/>
                <w:bCs/>
              </w:rPr>
            </w:pPr>
          </w:p>
          <w:p w:rsidR="009C23AF" w:rsidRDefault="009C23AF" w:rsidP="00B243E6">
            <w:pPr>
              <w:pStyle w:val="TableHeading"/>
              <w:rPr>
                <w:b w:val="0"/>
                <w:bCs/>
              </w:rPr>
            </w:pPr>
            <w:r>
              <w:rPr>
                <w:b w:val="0"/>
                <w:bCs/>
              </w:rPr>
              <w:t>Switching from tamoxifen to AIs is the best balance between efficacy and toxicity.</w:t>
            </w:r>
          </w:p>
          <w:p w:rsidR="009C23AF" w:rsidRPr="00FE01FE" w:rsidRDefault="009C23AF" w:rsidP="00B243E6">
            <w:pPr>
              <w:pStyle w:val="TableHeading"/>
              <w:rPr>
                <w:b w:val="0"/>
                <w:bCs/>
              </w:rPr>
            </w:pPr>
            <w:r>
              <w:rPr>
                <w:b w:val="0"/>
                <w:bCs/>
              </w:rPr>
              <w:t>There was no difference in the odds of cerebrovascular disease, other second cancer or death without breast cancer recurrence between strategies.</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9C23AF" w:rsidRDefault="009C23AF" w:rsidP="00B243E6">
            <w:pPr>
              <w:pStyle w:val="TableText"/>
            </w:pPr>
            <w:r>
              <w:t>HIGH QUALITY</w:t>
            </w:r>
          </w:p>
          <w:p w:rsidR="009C23AF" w:rsidRPr="004D57B3" w:rsidRDefault="009C23AF" w:rsidP="00B243E6">
            <w:pPr>
              <w:pStyle w:val="TableText"/>
            </w:pPr>
            <w:r w:rsidRPr="004D57B3">
              <w:t>Was the research question specified?</w:t>
            </w:r>
            <w:r>
              <w:t xml:space="preserve"> Yes</w:t>
            </w:r>
          </w:p>
          <w:p w:rsidR="009C23AF" w:rsidRPr="004D57B3" w:rsidRDefault="009C23AF" w:rsidP="00B243E6">
            <w:pPr>
              <w:pStyle w:val="TableText"/>
            </w:pPr>
            <w:r w:rsidRPr="004D57B3">
              <w:t>Was the search strategy explicit and comprehensive?</w:t>
            </w:r>
            <w:r>
              <w:t xml:space="preserve"> Yes</w:t>
            </w:r>
          </w:p>
          <w:p w:rsidR="009C23AF" w:rsidRPr="004D57B3" w:rsidRDefault="009C23AF" w:rsidP="00B243E6">
            <w:pPr>
              <w:pStyle w:val="TableText"/>
            </w:pPr>
            <w:r w:rsidRPr="004D57B3">
              <w:t>Were the eligibility criteria explicit and appropriate?</w:t>
            </w:r>
            <w:r>
              <w:t xml:space="preserve"> Yes</w:t>
            </w:r>
          </w:p>
          <w:p w:rsidR="009C23AF" w:rsidRPr="004D57B3" w:rsidRDefault="009C23AF" w:rsidP="00B243E6">
            <w:pPr>
              <w:pStyle w:val="TableText"/>
            </w:pPr>
            <w:r w:rsidRPr="004D57B3">
              <w:t>Was a quality assessment of included studies undertaken?</w:t>
            </w:r>
            <w:r>
              <w:t xml:space="preserve"> Yes</w:t>
            </w:r>
          </w:p>
          <w:p w:rsidR="009C23AF" w:rsidRPr="004D57B3" w:rsidRDefault="009C23AF" w:rsidP="00B243E6">
            <w:pPr>
              <w:pStyle w:val="TableText"/>
            </w:pPr>
            <w:r w:rsidRPr="004D57B3">
              <w:t>Were the methods of the study appraisal reproducible?</w:t>
            </w:r>
            <w:r>
              <w:t xml:space="preserve"> Yes</w:t>
            </w:r>
          </w:p>
          <w:p w:rsidR="009C23AF" w:rsidRPr="004D57B3" w:rsidRDefault="009C23AF" w:rsidP="00B243E6">
            <w:pPr>
              <w:pStyle w:val="TableText"/>
            </w:pPr>
            <w:r w:rsidRPr="004D57B3">
              <w:t>Were sources of heterogeneity explored?</w:t>
            </w:r>
            <w:r>
              <w:t xml:space="preserve"> No</w:t>
            </w:r>
          </w:p>
          <w:p w:rsidR="009C23AF" w:rsidRPr="00636498" w:rsidRDefault="009C23AF" w:rsidP="00B243E6">
            <w:pPr>
              <w:pStyle w:val="TableHeading"/>
              <w:rPr>
                <w:b w:val="0"/>
                <w:bCs/>
              </w:rPr>
            </w:pPr>
            <w:r w:rsidRPr="00636498">
              <w:rPr>
                <w:b w:val="0"/>
              </w:rPr>
              <w:t>Was a summary of the main results clear and appropriate?</w:t>
            </w:r>
            <w:r>
              <w:rPr>
                <w:b w:val="0"/>
              </w:rPr>
              <w:t xml:space="preserve"> Yes</w:t>
            </w:r>
          </w:p>
        </w:tc>
      </w:tr>
      <w:tr w:rsidR="009C23AF" w:rsidRPr="00FC7FEA" w:rsidTr="00B243E6">
        <w:trPr>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9C23AF" w:rsidRDefault="009C23AF" w:rsidP="00B243E6">
            <w:pPr>
              <w:pStyle w:val="TableHeading"/>
              <w:tabs>
                <w:tab w:val="left" w:pos="2266"/>
              </w:tabs>
              <w:rPr>
                <w:bCs/>
              </w:rPr>
            </w:pPr>
            <w:r w:rsidRPr="00AB4DCF">
              <w:rPr>
                <w:bCs/>
              </w:rPr>
              <w:t xml:space="preserve">Meta-analysis pooled results: </w:t>
            </w:r>
          </w:p>
          <w:p w:rsidR="009C23AF" w:rsidRPr="0064342C" w:rsidRDefault="009C23AF" w:rsidP="00B243E6">
            <w:pPr>
              <w:pStyle w:val="TableHeading"/>
              <w:tabs>
                <w:tab w:val="left" w:pos="2266"/>
              </w:tabs>
              <w:rPr>
                <w:b w:val="0"/>
                <w:bCs/>
              </w:rPr>
            </w:pPr>
            <w:r w:rsidRPr="0064342C">
              <w:rPr>
                <w:b w:val="0"/>
                <w:bCs/>
              </w:rPr>
              <w:t>7 Studies included: ATAC, BIG 1-98, ABCSG8/ARNO, IES, ITA, N-SAS BC03, TEAM</w:t>
            </w:r>
          </w:p>
          <w:p w:rsidR="009C23AF" w:rsidRPr="00AB4DCF" w:rsidRDefault="009C23AF" w:rsidP="00B243E6">
            <w:pPr>
              <w:pStyle w:val="TableHeading"/>
              <w:tabs>
                <w:tab w:val="left" w:pos="2266"/>
              </w:tabs>
              <w:rPr>
                <w:bCs/>
              </w:rPr>
            </w:pPr>
          </w:p>
          <w:p w:rsidR="009C23AF" w:rsidRDefault="009C23AF" w:rsidP="00B243E6">
            <w:pPr>
              <w:pStyle w:val="TableHeading"/>
              <w:rPr>
                <w:b w:val="0"/>
                <w:bCs/>
              </w:rPr>
            </w:pPr>
            <w:r>
              <w:rPr>
                <w:b w:val="0"/>
                <w:bCs/>
              </w:rPr>
              <w:t>Cardiovascular disease: Increased odds with longer use of AIs OR 1.26 (95%CI: 1.1, 1.43) p&lt;0.001 NNH 132</w:t>
            </w:r>
          </w:p>
          <w:p w:rsidR="009C23AF" w:rsidRDefault="009C23AF" w:rsidP="00B243E6">
            <w:pPr>
              <w:pStyle w:val="TableHeading"/>
              <w:rPr>
                <w:b w:val="0"/>
                <w:bCs/>
              </w:rPr>
            </w:pPr>
            <w:r>
              <w:rPr>
                <w:b w:val="0"/>
                <w:bCs/>
              </w:rPr>
              <w:t>Bone fractures: Increased odds with longer use of AIs OR 1.47 (95%CI: 1.34, 1.61) p&lt;0.001 NNH 46</w:t>
            </w:r>
          </w:p>
          <w:p w:rsidR="009C23AF" w:rsidRDefault="009C23AF" w:rsidP="00B243E6">
            <w:pPr>
              <w:pStyle w:val="TableHeading"/>
              <w:rPr>
                <w:b w:val="0"/>
                <w:bCs/>
              </w:rPr>
            </w:pPr>
            <w:r>
              <w:rPr>
                <w:b w:val="0"/>
                <w:bCs/>
              </w:rPr>
              <w:t>Venous thrombosis: Decreased odds with AI use OR 0.55 (95%CI: 0.46, 0.64) p&lt;0.001 NNH 79</w:t>
            </w:r>
          </w:p>
          <w:p w:rsidR="009C23AF" w:rsidRDefault="009C23AF" w:rsidP="00B243E6">
            <w:pPr>
              <w:pStyle w:val="TableHeading"/>
              <w:rPr>
                <w:b w:val="0"/>
                <w:bCs/>
              </w:rPr>
            </w:pPr>
            <w:r>
              <w:rPr>
                <w:b w:val="0"/>
                <w:bCs/>
              </w:rPr>
              <w:t>Venous thrombosis: Decreased odds with AI use OR 0.34 (95%CI: 0.22, 0.53) p&lt;0.001 NNH 258</w:t>
            </w:r>
          </w:p>
          <w:p w:rsidR="009C23AF" w:rsidRDefault="009C23AF" w:rsidP="00B243E6">
            <w:pPr>
              <w:pStyle w:val="TableHeading"/>
              <w:tabs>
                <w:tab w:val="left" w:pos="2266"/>
              </w:tabs>
              <w:rPr>
                <w:b w:val="0"/>
                <w:bCs/>
              </w:rPr>
            </w:pPr>
          </w:p>
          <w:p w:rsidR="009C23AF" w:rsidRDefault="009C23AF" w:rsidP="00B243E6">
            <w:pPr>
              <w:pStyle w:val="TableHeading"/>
              <w:rPr>
                <w:b w:val="0"/>
                <w:bCs/>
              </w:rPr>
            </w:pPr>
            <w:r w:rsidRPr="0064342C">
              <w:rPr>
                <w:bCs/>
              </w:rPr>
              <w:t>Authors conclusions:</w:t>
            </w:r>
            <w:r>
              <w:rPr>
                <w:b w:val="0"/>
                <w:bCs/>
              </w:rPr>
              <w:t xml:space="preserve"> Switching from tamoxifen to AIs may be the best strategy to reduce toxicity and maximise effectiveness. Tamoxifen and AIs have different toxicity profiles.</w:t>
            </w:r>
          </w:p>
          <w:p w:rsidR="009C23AF" w:rsidRDefault="009C23AF" w:rsidP="00B243E6">
            <w:pPr>
              <w:pStyle w:val="TableHeading"/>
              <w:rPr>
                <w:b w:val="0"/>
                <w:bCs/>
              </w:rPr>
            </w:pPr>
            <w:r w:rsidRPr="007E6F2C">
              <w:rPr>
                <w:bCs/>
              </w:rPr>
              <w:t>Limitations:</w:t>
            </w:r>
            <w:r>
              <w:rPr>
                <w:b w:val="0"/>
                <w:bCs/>
              </w:rPr>
              <w:t xml:space="preserve"> Studies had different duration of follow up, quality of AEs was variable in the studies included, data was not available on baseline host factors or use of concurrent medications – therefore potential confounding is an issue, AEs included all types not SAEs which may be more relevant</w:t>
            </w:r>
          </w:p>
          <w:p w:rsidR="009C23AF" w:rsidRDefault="009C23AF" w:rsidP="00B243E6">
            <w:pPr>
              <w:pStyle w:val="TableHeading"/>
              <w:rPr>
                <w:b w:val="0"/>
                <w:bCs/>
              </w:rPr>
            </w:pPr>
          </w:p>
          <w:p w:rsidR="009C23AF" w:rsidRPr="00FC7FEA" w:rsidRDefault="009C23AF" w:rsidP="00B243E6">
            <w:pPr>
              <w:pStyle w:val="TableHeading"/>
              <w:rPr>
                <w:bCs/>
              </w:rPr>
            </w:pPr>
          </w:p>
        </w:tc>
      </w:tr>
    </w:tbl>
    <w:p w:rsidR="009C23AF" w:rsidRDefault="009C23AF" w:rsidP="009C23AF"/>
    <w:tbl>
      <w:tblPr>
        <w:tblW w:w="4804" w:type="pct"/>
        <w:tblLook w:val="01E0" w:firstRow="1" w:lastRow="1" w:firstColumn="1" w:lastColumn="1" w:noHBand="0" w:noVBand="0"/>
        <w:tblCaption w:val="App C Study profile Becker 2012"/>
      </w:tblPr>
      <w:tblGrid>
        <w:gridCol w:w="1405"/>
        <w:gridCol w:w="2105"/>
        <w:gridCol w:w="2408"/>
        <w:gridCol w:w="2691"/>
        <w:gridCol w:w="2334"/>
        <w:gridCol w:w="2675"/>
      </w:tblGrid>
      <w:tr w:rsidR="009C23AF" w:rsidRPr="00FC7FEA" w:rsidTr="009C23AF">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9C23AF" w:rsidRPr="00FC7FEA" w:rsidRDefault="009C23AF" w:rsidP="00B243E6">
            <w:pPr>
              <w:pStyle w:val="TableHeading"/>
              <w:rPr>
                <w:bCs/>
              </w:rPr>
            </w:pPr>
            <w:r>
              <w:lastRenderedPageBreak/>
              <w:br w:type="page"/>
            </w:r>
            <w:r w:rsidRPr="00FC7FEA">
              <w:rPr>
                <w:bCs/>
              </w:rPr>
              <w:t>Author/Year</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9C23AF" w:rsidRPr="00FC7FEA" w:rsidRDefault="009C23AF" w:rsidP="00B243E6">
            <w:pPr>
              <w:pStyle w:val="TableHeading"/>
              <w:rPr>
                <w:bCs/>
              </w:rPr>
            </w:pPr>
            <w:r>
              <w:rPr>
                <w:bCs/>
              </w:rPr>
              <w:t>Objective of report</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23AF" w:rsidRPr="00FC7FEA" w:rsidRDefault="009C23AF" w:rsidP="00B243E6">
            <w:pPr>
              <w:pStyle w:val="TableHeading"/>
              <w:rPr>
                <w:bCs/>
              </w:rPr>
            </w:pPr>
            <w:r>
              <w:rPr>
                <w:bCs/>
              </w:rPr>
              <w:t>Number and publication dates</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9C23AF" w:rsidRPr="00FC7FEA" w:rsidRDefault="009C23AF" w:rsidP="00B243E6">
            <w:pPr>
              <w:pStyle w:val="TableHeading"/>
              <w:rPr>
                <w:bCs/>
              </w:rPr>
            </w:pPr>
            <w:r>
              <w:rPr>
                <w:bCs/>
              </w:rPr>
              <w:t>Population considered in included studies, Intvn/ comparison</w:t>
            </w:r>
            <w:r w:rsidRPr="00FC7FEA">
              <w:rPr>
                <w:bCs/>
              </w:rPr>
              <w:t xml:space="preserve"> </w:t>
            </w:r>
          </w:p>
        </w:tc>
        <w:tc>
          <w:tcPr>
            <w:tcW w:w="857" w:type="pct"/>
            <w:tcBorders>
              <w:top w:val="single" w:sz="4" w:space="0" w:color="auto"/>
              <w:left w:val="single" w:sz="4" w:space="0" w:color="auto"/>
              <w:bottom w:val="single" w:sz="4" w:space="0" w:color="auto"/>
              <w:right w:val="single" w:sz="4" w:space="0" w:color="auto"/>
            </w:tcBorders>
          </w:tcPr>
          <w:p w:rsidR="009C23AF" w:rsidRPr="00FC7FEA" w:rsidRDefault="009C23AF" w:rsidP="00B243E6">
            <w:pPr>
              <w:pStyle w:val="TableHeading"/>
              <w:rPr>
                <w:bCs/>
              </w:rPr>
            </w:pPr>
            <w:r>
              <w:rPr>
                <w:bCs/>
              </w:rPr>
              <w:t>Conclusions/recommendation</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9C23AF" w:rsidRPr="00FC7FEA" w:rsidRDefault="009C23AF" w:rsidP="00B243E6">
            <w:pPr>
              <w:pStyle w:val="TableHeading"/>
              <w:rPr>
                <w:bCs/>
              </w:rPr>
            </w:pPr>
            <w:r w:rsidRPr="00FC7FEA">
              <w:rPr>
                <w:bCs/>
              </w:rPr>
              <w:t>Quality assessment</w:t>
            </w:r>
          </w:p>
        </w:tc>
      </w:tr>
      <w:tr w:rsidR="009C23AF" w:rsidRPr="00FE01FE" w:rsidTr="009C23AF">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9C23AF" w:rsidRPr="00FE01FE" w:rsidRDefault="009C23AF" w:rsidP="00B243E6">
            <w:pPr>
              <w:pStyle w:val="TableHeading"/>
              <w:rPr>
                <w:b w:val="0"/>
                <w:bCs/>
              </w:rPr>
            </w:pPr>
            <w:r>
              <w:rPr>
                <w:b w:val="0"/>
                <w:bCs/>
              </w:rPr>
              <w:t>Becker 2012</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9C23AF" w:rsidRPr="001E33F9" w:rsidRDefault="009C23AF" w:rsidP="00B243E6">
            <w:pPr>
              <w:pStyle w:val="TableHeading"/>
              <w:rPr>
                <w:b w:val="0"/>
                <w:bCs/>
              </w:rPr>
            </w:pPr>
            <w:r w:rsidRPr="001E33F9">
              <w:rPr>
                <w:b w:val="0"/>
                <w:bCs/>
              </w:rPr>
              <w:t xml:space="preserve">Systematic review of randomized trials that </w:t>
            </w:r>
            <w:r>
              <w:rPr>
                <w:b w:val="0"/>
                <w:bCs/>
              </w:rPr>
              <w:t xml:space="preserve">assessed adverse bone outcomes after </w:t>
            </w:r>
            <w:r w:rsidRPr="001E33F9">
              <w:rPr>
                <w:b w:val="0"/>
                <w:bCs/>
              </w:rPr>
              <w:t>aromatase inhibitors as primary adjuvant hormone therapy in post-menopausal women with breast cancer</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23AF" w:rsidRDefault="009C23AF" w:rsidP="00B243E6">
            <w:pPr>
              <w:pStyle w:val="TableHeading"/>
              <w:rPr>
                <w:b w:val="0"/>
                <w:bCs/>
              </w:rPr>
            </w:pPr>
            <w:r w:rsidRPr="00FE01FE">
              <w:rPr>
                <w:bCs/>
              </w:rPr>
              <w:t>Search methods</w:t>
            </w:r>
            <w:r w:rsidRPr="00FE01FE">
              <w:rPr>
                <w:b w:val="0"/>
                <w:bCs/>
              </w:rPr>
              <w:t xml:space="preserve">: Publications to </w:t>
            </w:r>
            <w:r>
              <w:rPr>
                <w:b w:val="0"/>
                <w:bCs/>
              </w:rPr>
              <w:t>Apr 2011 were selected from MEDLINE and</w:t>
            </w:r>
            <w:r w:rsidRPr="00FE01FE">
              <w:rPr>
                <w:b w:val="0"/>
                <w:bCs/>
              </w:rPr>
              <w:t xml:space="preserve"> EMBASE.</w:t>
            </w:r>
          </w:p>
          <w:p w:rsidR="009C23AF" w:rsidRDefault="009C23AF" w:rsidP="00B243E6">
            <w:pPr>
              <w:pStyle w:val="TableHeading"/>
              <w:rPr>
                <w:b w:val="0"/>
                <w:bCs/>
              </w:rPr>
            </w:pPr>
          </w:p>
          <w:p w:rsidR="009C23AF" w:rsidRDefault="009C23AF" w:rsidP="00B243E6">
            <w:pPr>
              <w:pStyle w:val="TableHeading"/>
              <w:rPr>
                <w:b w:val="0"/>
                <w:bCs/>
              </w:rPr>
            </w:pPr>
            <w:r w:rsidRPr="001E33F9">
              <w:rPr>
                <w:bCs/>
                <w:i/>
              </w:rPr>
              <w:t>Studies were included</w:t>
            </w:r>
            <w:r>
              <w:rPr>
                <w:b w:val="0"/>
                <w:bCs/>
              </w:rPr>
              <w:t xml:space="preserve"> if: they were randomized Phase III trials, early stage women with breast cancer - </w:t>
            </w:r>
            <w:r w:rsidR="007A119D">
              <w:rPr>
                <w:b w:val="0"/>
                <w:bCs/>
              </w:rPr>
              <w:t>post-menopaus</w:t>
            </w:r>
            <w:r>
              <w:rPr>
                <w:b w:val="0"/>
                <w:bCs/>
              </w:rPr>
              <w:t>al women only</w:t>
            </w:r>
          </w:p>
          <w:p w:rsidR="009C23AF" w:rsidRDefault="009C23AF" w:rsidP="00B243E6">
            <w:pPr>
              <w:pStyle w:val="TableHeading"/>
              <w:rPr>
                <w:b w:val="0"/>
                <w:bCs/>
              </w:rPr>
            </w:pPr>
          </w:p>
          <w:p w:rsidR="009C23AF" w:rsidRPr="00FE01FE" w:rsidRDefault="009C23AF" w:rsidP="00B243E6">
            <w:pPr>
              <w:pStyle w:val="TableHeading"/>
              <w:rPr>
                <w:bCs/>
              </w:rPr>
            </w:pPr>
            <w:r w:rsidRPr="0064342C">
              <w:rPr>
                <w:bCs/>
                <w:i/>
              </w:rPr>
              <w:t>Outcomes</w:t>
            </w:r>
            <w:r>
              <w:rPr>
                <w:b w:val="0"/>
                <w:bCs/>
              </w:rPr>
              <w:t>: bone fractures, bone turnover makers, BMD</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9C23AF" w:rsidRDefault="009C23AF" w:rsidP="00B243E6">
            <w:pPr>
              <w:pStyle w:val="TableHeading"/>
              <w:rPr>
                <w:b w:val="0"/>
                <w:bCs/>
              </w:rPr>
            </w:pPr>
            <w:r>
              <w:rPr>
                <w:b w:val="0"/>
                <w:bCs/>
              </w:rPr>
              <w:t>Mean age range 59.9 to 65 years</w:t>
            </w:r>
          </w:p>
          <w:p w:rsidR="006755DD" w:rsidRDefault="009C23AF" w:rsidP="00B243E6">
            <w:pPr>
              <w:pStyle w:val="TableHeading"/>
              <w:rPr>
                <w:b w:val="0"/>
                <w:bCs/>
              </w:rPr>
            </w:pPr>
            <w:r>
              <w:rPr>
                <w:b w:val="0"/>
                <w:bCs/>
              </w:rPr>
              <w:t>Median follow up: 24 to 100 months</w:t>
            </w:r>
          </w:p>
          <w:p w:rsidR="009C23AF" w:rsidRDefault="009C23AF" w:rsidP="00B243E6">
            <w:pPr>
              <w:pStyle w:val="TableHeading"/>
              <w:rPr>
                <w:b w:val="0"/>
                <w:bCs/>
              </w:rPr>
            </w:pPr>
            <w:r>
              <w:rPr>
                <w:b w:val="0"/>
                <w:bCs/>
              </w:rPr>
              <w:t>11 Studies</w:t>
            </w:r>
          </w:p>
          <w:p w:rsidR="009C23AF" w:rsidRDefault="009C23AF" w:rsidP="00B243E6">
            <w:pPr>
              <w:pStyle w:val="TableHeading"/>
              <w:rPr>
                <w:bCs/>
              </w:rPr>
            </w:pPr>
          </w:p>
          <w:p w:rsidR="009C23AF" w:rsidRDefault="009C23AF" w:rsidP="00B243E6">
            <w:pPr>
              <w:pStyle w:val="TableHeading"/>
              <w:rPr>
                <w:b w:val="0"/>
                <w:bCs/>
              </w:rPr>
            </w:pPr>
            <w:r>
              <w:rPr>
                <w:bCs/>
              </w:rPr>
              <w:t>Intervention/</w:t>
            </w:r>
            <w:r w:rsidRPr="00660B75">
              <w:rPr>
                <w:bCs/>
              </w:rPr>
              <w:t>Comparator</w:t>
            </w:r>
            <w:r>
              <w:rPr>
                <w:b w:val="0"/>
                <w:bCs/>
              </w:rPr>
              <w:t>:</w:t>
            </w:r>
          </w:p>
          <w:p w:rsidR="009C23AF" w:rsidRDefault="009C23AF" w:rsidP="00B243E6">
            <w:pPr>
              <w:pStyle w:val="TableHeading"/>
              <w:rPr>
                <w:b w:val="0"/>
                <w:bCs/>
              </w:rPr>
            </w:pPr>
            <w:r>
              <w:rPr>
                <w:b w:val="0"/>
                <w:bCs/>
              </w:rPr>
              <w:t>Single therapy groups only- AIs for early stage breast cancer in post-menopausal women.</w:t>
            </w:r>
          </w:p>
          <w:p w:rsidR="006755DD" w:rsidRDefault="009C23AF" w:rsidP="006755DD">
            <w:pPr>
              <w:pStyle w:val="TableHeading"/>
              <w:rPr>
                <w:b w:val="0"/>
                <w:bCs/>
              </w:rPr>
            </w:pPr>
            <w:r>
              <w:rPr>
                <w:b w:val="0"/>
                <w:bCs/>
              </w:rPr>
              <w:t>AI vs Tamoxifen or Placebo</w:t>
            </w:r>
          </w:p>
          <w:p w:rsidR="009C23AF" w:rsidRPr="00FE01FE" w:rsidRDefault="009C23AF" w:rsidP="00B243E6">
            <w:pPr>
              <w:pStyle w:val="TableHeading"/>
              <w:rPr>
                <w:b w:val="0"/>
                <w:bCs/>
              </w:rPr>
            </w:pPr>
            <w:r>
              <w:rPr>
                <w:b w:val="0"/>
                <w:bCs/>
              </w:rPr>
              <w:t xml:space="preserve"> </w:t>
            </w:r>
          </w:p>
        </w:tc>
        <w:tc>
          <w:tcPr>
            <w:tcW w:w="857" w:type="pct"/>
            <w:tcBorders>
              <w:top w:val="single" w:sz="4" w:space="0" w:color="auto"/>
              <w:left w:val="single" w:sz="4" w:space="0" w:color="auto"/>
              <w:bottom w:val="single" w:sz="4" w:space="0" w:color="auto"/>
              <w:right w:val="single" w:sz="4" w:space="0" w:color="auto"/>
            </w:tcBorders>
          </w:tcPr>
          <w:p w:rsidR="009C23AF" w:rsidRDefault="009C23AF" w:rsidP="00B243E6">
            <w:pPr>
              <w:pStyle w:val="TableHeading"/>
              <w:rPr>
                <w:b w:val="0"/>
                <w:bCs/>
              </w:rPr>
            </w:pPr>
            <w:r>
              <w:rPr>
                <w:b w:val="0"/>
                <w:bCs/>
              </w:rPr>
              <w:t xml:space="preserve">In the 4 bone sub-studies of large trials,there were statistically significant increases in: </w:t>
            </w:r>
          </w:p>
          <w:p w:rsidR="009C23AF" w:rsidRPr="00517604" w:rsidRDefault="009C23AF" w:rsidP="00534D10">
            <w:pPr>
              <w:pStyle w:val="TableHeading"/>
              <w:numPr>
                <w:ilvl w:val="0"/>
                <w:numId w:val="20"/>
              </w:numPr>
              <w:rPr>
                <w:b w:val="0"/>
                <w:bCs/>
              </w:rPr>
            </w:pPr>
            <w:r>
              <w:rPr>
                <w:b w:val="0"/>
                <w:bCs/>
              </w:rPr>
              <w:t>bone markers observed in AI arms of trials over 2 years.</w:t>
            </w:r>
          </w:p>
          <w:p w:rsidR="009C23AF" w:rsidRDefault="009C23AF" w:rsidP="00534D10">
            <w:pPr>
              <w:pStyle w:val="TableHeading"/>
              <w:numPr>
                <w:ilvl w:val="0"/>
                <w:numId w:val="20"/>
              </w:numPr>
              <w:rPr>
                <w:b w:val="0"/>
                <w:bCs/>
              </w:rPr>
            </w:pPr>
            <w:r>
              <w:rPr>
                <w:b w:val="0"/>
                <w:bCs/>
              </w:rPr>
              <w:t>change in BMD % in spine and hip in AI groups.</w:t>
            </w:r>
          </w:p>
          <w:p w:rsidR="009C23AF" w:rsidRDefault="009C23AF" w:rsidP="00B243E6">
            <w:pPr>
              <w:pStyle w:val="TableHeading"/>
              <w:rPr>
                <w:b w:val="0"/>
                <w:bCs/>
              </w:rPr>
            </w:pPr>
          </w:p>
          <w:p w:rsidR="009C23AF" w:rsidRPr="00FE01FE" w:rsidRDefault="009C23AF" w:rsidP="00B243E6">
            <w:pPr>
              <w:pStyle w:val="TableHeading"/>
              <w:rPr>
                <w:b w:val="0"/>
                <w:bCs/>
              </w:rPr>
            </w:pPr>
            <w:r>
              <w:rPr>
                <w:b w:val="0"/>
                <w:bCs/>
              </w:rPr>
              <w:t>Fractures were significantly higher in women taking AIs but not statistically significant in NSAS BC-03, ATAC, IES.  Statistically sign in ATAC,BIG I-98, ABCSG, IES. ATAC is largest: 9.3%letrozole vs 6.5% tamox p=0.002</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9C23AF" w:rsidRDefault="009C23AF" w:rsidP="00B243E6">
            <w:pPr>
              <w:pStyle w:val="TableText"/>
            </w:pPr>
            <w:r>
              <w:t>HIGH QUALITY</w:t>
            </w:r>
          </w:p>
          <w:p w:rsidR="009C23AF" w:rsidRPr="004D57B3" w:rsidRDefault="009C23AF" w:rsidP="00B243E6">
            <w:pPr>
              <w:pStyle w:val="TableText"/>
            </w:pPr>
            <w:r w:rsidRPr="004D57B3">
              <w:t>Was the research question specified?</w:t>
            </w:r>
            <w:r>
              <w:t xml:space="preserve"> Yes</w:t>
            </w:r>
          </w:p>
          <w:p w:rsidR="009C23AF" w:rsidRPr="004D57B3" w:rsidRDefault="009C23AF" w:rsidP="00B243E6">
            <w:pPr>
              <w:pStyle w:val="TableText"/>
            </w:pPr>
            <w:r w:rsidRPr="004D57B3">
              <w:t>Was the search strategy explicit and comprehensive?</w:t>
            </w:r>
            <w:r>
              <w:t xml:space="preserve"> Yes</w:t>
            </w:r>
          </w:p>
          <w:p w:rsidR="009C23AF" w:rsidRPr="004D57B3" w:rsidRDefault="009C23AF" w:rsidP="00B243E6">
            <w:pPr>
              <w:pStyle w:val="TableText"/>
            </w:pPr>
            <w:r w:rsidRPr="004D57B3">
              <w:t>Were the eligibility criteria explicit and appropriate?</w:t>
            </w:r>
            <w:r>
              <w:t xml:space="preserve"> Yes</w:t>
            </w:r>
          </w:p>
          <w:p w:rsidR="009C23AF" w:rsidRPr="004D57B3" w:rsidRDefault="009C23AF" w:rsidP="00B243E6">
            <w:pPr>
              <w:pStyle w:val="TableText"/>
            </w:pPr>
            <w:r w:rsidRPr="004D57B3">
              <w:t>Was a quality assessment of included studies undertaken?</w:t>
            </w:r>
            <w:r>
              <w:t xml:space="preserve"> Yes</w:t>
            </w:r>
          </w:p>
          <w:p w:rsidR="009C23AF" w:rsidRPr="004D57B3" w:rsidRDefault="009C23AF" w:rsidP="00B243E6">
            <w:pPr>
              <w:pStyle w:val="TableText"/>
            </w:pPr>
            <w:r w:rsidRPr="004D57B3">
              <w:t>Were the methods of the study appraisal reproducible?</w:t>
            </w:r>
            <w:r>
              <w:t xml:space="preserve"> Yes</w:t>
            </w:r>
          </w:p>
          <w:p w:rsidR="009C23AF" w:rsidRPr="004D57B3" w:rsidRDefault="009C23AF" w:rsidP="00B243E6">
            <w:pPr>
              <w:pStyle w:val="TableText"/>
            </w:pPr>
            <w:r w:rsidRPr="004D57B3">
              <w:t>Were sources of heterogeneity explored?</w:t>
            </w:r>
            <w:r>
              <w:t xml:space="preserve"> No</w:t>
            </w:r>
          </w:p>
          <w:p w:rsidR="009C23AF" w:rsidRPr="00636498" w:rsidRDefault="009C23AF" w:rsidP="00B243E6">
            <w:pPr>
              <w:pStyle w:val="TableHeading"/>
              <w:rPr>
                <w:b w:val="0"/>
                <w:bCs/>
              </w:rPr>
            </w:pPr>
            <w:r w:rsidRPr="00636498">
              <w:rPr>
                <w:b w:val="0"/>
              </w:rPr>
              <w:t>Was a summary of the main results clear and appropriate?</w:t>
            </w:r>
            <w:r>
              <w:rPr>
                <w:b w:val="0"/>
              </w:rPr>
              <w:t xml:space="preserve"> Yes</w:t>
            </w:r>
          </w:p>
        </w:tc>
      </w:tr>
      <w:tr w:rsidR="009C23AF" w:rsidRPr="00FC7FEA" w:rsidTr="00B243E6">
        <w:trPr>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9C23AF" w:rsidRDefault="009C23AF" w:rsidP="00B243E6">
            <w:pPr>
              <w:pStyle w:val="TableHeading"/>
              <w:tabs>
                <w:tab w:val="left" w:pos="2266"/>
              </w:tabs>
              <w:rPr>
                <w:bCs/>
              </w:rPr>
            </w:pPr>
            <w:r w:rsidRPr="00AB4DCF">
              <w:rPr>
                <w:bCs/>
              </w:rPr>
              <w:t xml:space="preserve">Meta-analysis pooled results: </w:t>
            </w:r>
          </w:p>
          <w:p w:rsidR="009C23AF" w:rsidRDefault="009C23AF" w:rsidP="00B243E6">
            <w:pPr>
              <w:pStyle w:val="TableHeading"/>
              <w:rPr>
                <w:b w:val="0"/>
                <w:bCs/>
              </w:rPr>
            </w:pPr>
            <w:r>
              <w:rPr>
                <w:b w:val="0"/>
                <w:bCs/>
              </w:rPr>
              <w:t>No pooled results.</w:t>
            </w:r>
          </w:p>
          <w:p w:rsidR="009C23AF" w:rsidRDefault="009C23AF" w:rsidP="00B243E6">
            <w:pPr>
              <w:pStyle w:val="TableHeading"/>
              <w:rPr>
                <w:b w:val="0"/>
                <w:bCs/>
              </w:rPr>
            </w:pPr>
            <w:r>
              <w:rPr>
                <w:b w:val="0"/>
                <w:bCs/>
              </w:rPr>
              <w:t>Fracture rates in trials were 1.5 times higher in women taking AI compared to not.</w:t>
            </w:r>
          </w:p>
          <w:p w:rsidR="009C23AF" w:rsidRDefault="009C23AF" w:rsidP="00B243E6">
            <w:pPr>
              <w:pStyle w:val="TableHeading"/>
              <w:rPr>
                <w:b w:val="0"/>
                <w:bCs/>
              </w:rPr>
            </w:pPr>
            <w:r>
              <w:rPr>
                <w:b w:val="0"/>
                <w:bCs/>
              </w:rPr>
              <w:t xml:space="preserve">Participants differed on baseline risk of fractures. </w:t>
            </w:r>
          </w:p>
          <w:p w:rsidR="009C23AF" w:rsidRDefault="009C23AF" w:rsidP="00B243E6">
            <w:pPr>
              <w:pStyle w:val="TableHeading"/>
              <w:tabs>
                <w:tab w:val="left" w:pos="2266"/>
              </w:tabs>
              <w:rPr>
                <w:b w:val="0"/>
                <w:bCs/>
              </w:rPr>
            </w:pPr>
          </w:p>
          <w:p w:rsidR="009C23AF" w:rsidRDefault="009C23AF" w:rsidP="00B243E6">
            <w:pPr>
              <w:pStyle w:val="TableHeading"/>
              <w:rPr>
                <w:b w:val="0"/>
                <w:bCs/>
              </w:rPr>
            </w:pPr>
            <w:r w:rsidRPr="0064342C">
              <w:rPr>
                <w:bCs/>
              </w:rPr>
              <w:t>Authors conclusions:</w:t>
            </w:r>
            <w:r>
              <w:rPr>
                <w:b w:val="0"/>
                <w:bCs/>
              </w:rPr>
              <w:t xml:space="preserve"> Bone markers, BMD and fractures are worse for women with early breast cancer treated with aromatase inhibitors compared with tamoxifen or placebo.  The worse bone outcomes holds irrespective of treatment sequencing, follow-up time or type of AI.</w:t>
            </w:r>
          </w:p>
          <w:p w:rsidR="009C23AF" w:rsidRDefault="009C23AF" w:rsidP="00B243E6">
            <w:pPr>
              <w:pStyle w:val="TableHeading"/>
              <w:rPr>
                <w:b w:val="0"/>
                <w:bCs/>
              </w:rPr>
            </w:pPr>
            <w:r w:rsidRPr="00B816CD">
              <w:rPr>
                <w:bCs/>
              </w:rPr>
              <w:t>Limitations:</w:t>
            </w:r>
            <w:r>
              <w:rPr>
                <w:b w:val="0"/>
                <w:bCs/>
              </w:rPr>
              <w:t xml:space="preserve"> Studies had different duration of follow up, quality of AEs was variable in the studies included, data was not available on baseline risk factors for fractures – therefore potential confounding is an issue, AEs included all types not SAEs which may be more relevant.  Little information on age on bone outcomes in studies – age is the strongest predictor of fractures.</w:t>
            </w:r>
          </w:p>
          <w:p w:rsidR="009C23AF" w:rsidRDefault="009C23AF" w:rsidP="00B243E6">
            <w:pPr>
              <w:pStyle w:val="TableHeading"/>
              <w:rPr>
                <w:b w:val="0"/>
                <w:bCs/>
              </w:rPr>
            </w:pPr>
          </w:p>
          <w:p w:rsidR="009C23AF" w:rsidRDefault="009C23AF" w:rsidP="00B243E6">
            <w:pPr>
              <w:pStyle w:val="TableHeading"/>
              <w:rPr>
                <w:b w:val="0"/>
                <w:bCs/>
              </w:rPr>
            </w:pPr>
          </w:p>
          <w:p w:rsidR="009C23AF" w:rsidRPr="00FC7FEA" w:rsidRDefault="009C23AF" w:rsidP="00B243E6">
            <w:pPr>
              <w:pStyle w:val="TableHeading"/>
              <w:rPr>
                <w:bCs/>
              </w:rPr>
            </w:pPr>
          </w:p>
        </w:tc>
      </w:tr>
    </w:tbl>
    <w:p w:rsidR="009C23AF" w:rsidRDefault="009C23AF" w:rsidP="009C23AF"/>
    <w:p w:rsidR="009C23AF" w:rsidRDefault="009C23AF" w:rsidP="009C23AF">
      <w:pPr>
        <w:spacing w:after="200" w:line="276" w:lineRule="auto"/>
        <w:ind w:left="0"/>
      </w:pPr>
    </w:p>
    <w:tbl>
      <w:tblPr>
        <w:tblW w:w="4804" w:type="pct"/>
        <w:tblLook w:val="01E0" w:firstRow="1" w:lastRow="1" w:firstColumn="1" w:lastColumn="1" w:noHBand="0" w:noVBand="0"/>
        <w:tblCaption w:val="App C Study profile Edwards 2011"/>
      </w:tblPr>
      <w:tblGrid>
        <w:gridCol w:w="1405"/>
        <w:gridCol w:w="2105"/>
        <w:gridCol w:w="2408"/>
        <w:gridCol w:w="2691"/>
        <w:gridCol w:w="2334"/>
        <w:gridCol w:w="2675"/>
      </w:tblGrid>
      <w:tr w:rsidR="009C23AF" w:rsidRPr="00FC7FEA" w:rsidTr="00B243E6">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9C23AF" w:rsidRPr="00FC7FEA" w:rsidRDefault="009C23AF" w:rsidP="00B243E6">
            <w:pPr>
              <w:pStyle w:val="TableHeading"/>
              <w:rPr>
                <w:bCs/>
              </w:rPr>
            </w:pPr>
            <w:r w:rsidRPr="00FC7FEA">
              <w:rPr>
                <w:bCs/>
              </w:rPr>
              <w:lastRenderedPageBreak/>
              <w:t>Author/Year</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9C23AF" w:rsidRPr="00FC7FEA" w:rsidRDefault="009C23AF" w:rsidP="00B243E6">
            <w:pPr>
              <w:pStyle w:val="TableHeading"/>
              <w:rPr>
                <w:bCs/>
              </w:rPr>
            </w:pPr>
            <w:r>
              <w:rPr>
                <w:bCs/>
              </w:rPr>
              <w:t>Objective of report</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23AF" w:rsidRPr="00FC7FEA" w:rsidRDefault="009C23AF" w:rsidP="00B243E6">
            <w:pPr>
              <w:pStyle w:val="TableHeading"/>
              <w:rPr>
                <w:bCs/>
              </w:rPr>
            </w:pPr>
            <w:r>
              <w:rPr>
                <w:bCs/>
              </w:rPr>
              <w:t>Number and publication dates</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9C23AF" w:rsidRPr="00FC7FEA" w:rsidRDefault="009C23AF" w:rsidP="00B243E6">
            <w:pPr>
              <w:pStyle w:val="TableHeading"/>
              <w:rPr>
                <w:bCs/>
              </w:rPr>
            </w:pPr>
            <w:r>
              <w:rPr>
                <w:bCs/>
              </w:rPr>
              <w:t>Population considered in included studies, Intvn/ comparison</w:t>
            </w:r>
            <w:r w:rsidRPr="00FC7FEA">
              <w:rPr>
                <w:bCs/>
              </w:rPr>
              <w:t xml:space="preserve"> </w:t>
            </w:r>
          </w:p>
        </w:tc>
        <w:tc>
          <w:tcPr>
            <w:tcW w:w="857" w:type="pct"/>
            <w:tcBorders>
              <w:top w:val="single" w:sz="4" w:space="0" w:color="auto"/>
              <w:left w:val="single" w:sz="4" w:space="0" w:color="auto"/>
              <w:bottom w:val="single" w:sz="4" w:space="0" w:color="auto"/>
              <w:right w:val="single" w:sz="4" w:space="0" w:color="auto"/>
            </w:tcBorders>
          </w:tcPr>
          <w:p w:rsidR="009C23AF" w:rsidRPr="00FC7FEA" w:rsidRDefault="009C23AF" w:rsidP="00B243E6">
            <w:pPr>
              <w:pStyle w:val="TableHeading"/>
              <w:rPr>
                <w:bCs/>
              </w:rPr>
            </w:pPr>
            <w:r>
              <w:rPr>
                <w:bCs/>
              </w:rPr>
              <w:t>Conclusions/recommendation</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9C23AF" w:rsidRPr="00FC7FEA" w:rsidRDefault="009C23AF" w:rsidP="00B243E6">
            <w:pPr>
              <w:pStyle w:val="TableHeading"/>
              <w:rPr>
                <w:bCs/>
              </w:rPr>
            </w:pPr>
            <w:r w:rsidRPr="00FC7FEA">
              <w:rPr>
                <w:bCs/>
              </w:rPr>
              <w:t>Quality assessment</w:t>
            </w:r>
          </w:p>
        </w:tc>
      </w:tr>
      <w:tr w:rsidR="009C23AF" w:rsidRPr="00FE01FE" w:rsidTr="00B243E6">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9C23AF" w:rsidRPr="00FE01FE" w:rsidRDefault="009C23AF" w:rsidP="00B243E6">
            <w:pPr>
              <w:pStyle w:val="TableHeading"/>
              <w:rPr>
                <w:b w:val="0"/>
                <w:bCs/>
              </w:rPr>
            </w:pPr>
            <w:r>
              <w:rPr>
                <w:b w:val="0"/>
                <w:bCs/>
              </w:rPr>
              <w:t>Edwards 2011</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9C23AF" w:rsidRPr="001E33F9" w:rsidRDefault="009C23AF" w:rsidP="00B243E6">
            <w:pPr>
              <w:pStyle w:val="TableHeading"/>
              <w:rPr>
                <w:b w:val="0"/>
                <w:bCs/>
              </w:rPr>
            </w:pPr>
            <w:r w:rsidRPr="001E33F9">
              <w:rPr>
                <w:b w:val="0"/>
                <w:bCs/>
              </w:rPr>
              <w:t xml:space="preserve">Systematic review of </w:t>
            </w:r>
            <w:r>
              <w:rPr>
                <w:b w:val="0"/>
                <w:bCs/>
              </w:rPr>
              <w:t>non-</w:t>
            </w:r>
            <w:r w:rsidRPr="001E33F9">
              <w:rPr>
                <w:b w:val="0"/>
                <w:bCs/>
              </w:rPr>
              <w:t>randomized trial</w:t>
            </w:r>
            <w:r>
              <w:rPr>
                <w:b w:val="0"/>
                <w:bCs/>
              </w:rPr>
              <w:t xml:space="preserve"> evidence</w:t>
            </w:r>
            <w:r w:rsidRPr="001E33F9">
              <w:rPr>
                <w:b w:val="0"/>
                <w:bCs/>
              </w:rPr>
              <w:t xml:space="preserve"> </w:t>
            </w:r>
            <w:r>
              <w:rPr>
                <w:b w:val="0"/>
                <w:bCs/>
              </w:rPr>
              <w:t>of adverse bone outcomes after cancer therapy in</w:t>
            </w:r>
            <w:r w:rsidRPr="001E33F9">
              <w:rPr>
                <w:b w:val="0"/>
                <w:bCs/>
              </w:rPr>
              <w:t xml:space="preserve"> women with breast cancer</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C23AF" w:rsidRDefault="009C23AF" w:rsidP="00B243E6">
            <w:pPr>
              <w:pStyle w:val="TableHeading"/>
              <w:rPr>
                <w:b w:val="0"/>
                <w:bCs/>
              </w:rPr>
            </w:pPr>
            <w:r w:rsidRPr="00FE01FE">
              <w:rPr>
                <w:bCs/>
              </w:rPr>
              <w:t>Search methods</w:t>
            </w:r>
            <w:r w:rsidRPr="00FE01FE">
              <w:rPr>
                <w:b w:val="0"/>
                <w:bCs/>
              </w:rPr>
              <w:t xml:space="preserve">: Publications </w:t>
            </w:r>
            <w:r>
              <w:rPr>
                <w:b w:val="0"/>
                <w:bCs/>
              </w:rPr>
              <w:t>1998 to 2008 were selected from FDAs Adverse Event Reporting System, MEDLINE and PubMed.</w:t>
            </w:r>
          </w:p>
          <w:p w:rsidR="009C23AF" w:rsidRDefault="009C23AF" w:rsidP="00B243E6">
            <w:pPr>
              <w:pStyle w:val="TableHeading"/>
              <w:rPr>
                <w:b w:val="0"/>
                <w:bCs/>
              </w:rPr>
            </w:pPr>
          </w:p>
          <w:p w:rsidR="006755DD" w:rsidRDefault="009C23AF" w:rsidP="006755DD">
            <w:pPr>
              <w:pStyle w:val="TableHeading"/>
              <w:rPr>
                <w:b w:val="0"/>
                <w:bCs/>
              </w:rPr>
            </w:pPr>
            <w:r w:rsidRPr="001E33F9">
              <w:rPr>
                <w:bCs/>
                <w:i/>
              </w:rPr>
              <w:t>Studies were included</w:t>
            </w:r>
            <w:r>
              <w:rPr>
                <w:b w:val="0"/>
                <w:bCs/>
              </w:rPr>
              <w:t xml:space="preserve"> if: they were case reports, case series, adverse event databases</w:t>
            </w:r>
          </w:p>
          <w:p w:rsidR="006755DD" w:rsidRDefault="006755DD" w:rsidP="006755DD">
            <w:pPr>
              <w:pStyle w:val="TableHeading"/>
              <w:rPr>
                <w:b w:val="0"/>
                <w:bCs/>
              </w:rPr>
            </w:pPr>
          </w:p>
          <w:p w:rsidR="009C23AF" w:rsidRPr="00FE01FE" w:rsidRDefault="009C23AF" w:rsidP="006755DD">
            <w:pPr>
              <w:pStyle w:val="TableHeading"/>
              <w:rPr>
                <w:bCs/>
              </w:rPr>
            </w:pPr>
            <w:r w:rsidRPr="0064342C">
              <w:rPr>
                <w:bCs/>
                <w:i/>
              </w:rPr>
              <w:t>Outcomes</w:t>
            </w:r>
            <w:r>
              <w:rPr>
                <w:b w:val="0"/>
                <w:bCs/>
              </w:rPr>
              <w:t>: bone fractures, bone turnover makers, BMD</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9C23AF" w:rsidRDefault="009C23AF" w:rsidP="00B243E6">
            <w:pPr>
              <w:pStyle w:val="TableHeading"/>
              <w:rPr>
                <w:bCs/>
              </w:rPr>
            </w:pPr>
          </w:p>
          <w:p w:rsidR="009C23AF" w:rsidRDefault="009C23AF" w:rsidP="00B243E6">
            <w:pPr>
              <w:pStyle w:val="TableHeading"/>
              <w:rPr>
                <w:b w:val="0"/>
                <w:bCs/>
              </w:rPr>
            </w:pPr>
            <w:r>
              <w:rPr>
                <w:bCs/>
              </w:rPr>
              <w:t>Intervention/</w:t>
            </w:r>
            <w:r w:rsidRPr="00660B75">
              <w:rPr>
                <w:bCs/>
              </w:rPr>
              <w:t>Comparator</w:t>
            </w:r>
            <w:r>
              <w:rPr>
                <w:b w:val="0"/>
                <w:bCs/>
              </w:rPr>
              <w:t>:</w:t>
            </w:r>
          </w:p>
          <w:p w:rsidR="009C23AF" w:rsidRDefault="009C23AF" w:rsidP="00B243E6">
            <w:pPr>
              <w:pStyle w:val="TableHeading"/>
              <w:rPr>
                <w:b w:val="0"/>
                <w:bCs/>
              </w:rPr>
            </w:pPr>
          </w:p>
          <w:p w:rsidR="009C23AF" w:rsidRPr="00FE01FE" w:rsidRDefault="009C23AF" w:rsidP="00B243E6">
            <w:pPr>
              <w:pStyle w:val="TableHeading"/>
              <w:rPr>
                <w:b w:val="0"/>
                <w:bCs/>
              </w:rPr>
            </w:pPr>
            <w:r>
              <w:rPr>
                <w:b w:val="0"/>
                <w:bCs/>
              </w:rPr>
              <w:t xml:space="preserve">Statistics: </w:t>
            </w:r>
          </w:p>
        </w:tc>
        <w:tc>
          <w:tcPr>
            <w:tcW w:w="857" w:type="pct"/>
            <w:tcBorders>
              <w:top w:val="single" w:sz="4" w:space="0" w:color="auto"/>
              <w:left w:val="single" w:sz="4" w:space="0" w:color="auto"/>
              <w:bottom w:val="single" w:sz="4" w:space="0" w:color="auto"/>
              <w:right w:val="single" w:sz="4" w:space="0" w:color="auto"/>
            </w:tcBorders>
          </w:tcPr>
          <w:p w:rsidR="009C23AF" w:rsidRDefault="009C23AF" w:rsidP="00B243E6">
            <w:pPr>
              <w:pStyle w:val="TableHeading"/>
              <w:rPr>
                <w:b w:val="0"/>
                <w:bCs/>
              </w:rPr>
            </w:pPr>
            <w:r>
              <w:rPr>
                <w:b w:val="0"/>
                <w:bCs/>
              </w:rPr>
              <w:t>226 cases in FDA AERS of fractures associated with breast cancer therapy.</w:t>
            </w:r>
          </w:p>
          <w:p w:rsidR="009C23AF" w:rsidRDefault="009C23AF" w:rsidP="00B243E6">
            <w:pPr>
              <w:pStyle w:val="TableHeading"/>
              <w:rPr>
                <w:b w:val="0"/>
                <w:bCs/>
              </w:rPr>
            </w:pPr>
            <w:r>
              <w:rPr>
                <w:b w:val="0"/>
                <w:bCs/>
              </w:rPr>
              <w:t>77/228 (29%) were hip or femur fractures.</w:t>
            </w:r>
          </w:p>
          <w:p w:rsidR="009C23AF" w:rsidRDefault="009C23AF" w:rsidP="00B243E6">
            <w:pPr>
              <w:pStyle w:val="TableHeading"/>
              <w:rPr>
                <w:b w:val="0"/>
                <w:bCs/>
              </w:rPr>
            </w:pPr>
            <w:r>
              <w:rPr>
                <w:b w:val="0"/>
                <w:bCs/>
              </w:rPr>
              <w:t>AI were the most common therapy associated with fractures n=149 or 65%</w:t>
            </w:r>
          </w:p>
          <w:p w:rsidR="009C23AF" w:rsidRPr="00FE01FE" w:rsidRDefault="009C23AF" w:rsidP="00B243E6">
            <w:pPr>
              <w:pStyle w:val="TableHeading"/>
              <w:rPr>
                <w:b w:val="0"/>
                <w:bCs/>
              </w:rPr>
            </w:pPr>
            <w:r>
              <w:rPr>
                <w:b w:val="0"/>
                <w:bCs/>
              </w:rPr>
              <w:t>78 fractures were in younger women &lt;=64 years</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9C23AF" w:rsidRDefault="009C23AF" w:rsidP="00B243E6">
            <w:pPr>
              <w:pStyle w:val="TableText"/>
            </w:pPr>
            <w:r>
              <w:t>POOR QUALITY</w:t>
            </w:r>
          </w:p>
          <w:p w:rsidR="009C23AF" w:rsidRPr="004D57B3" w:rsidRDefault="009C23AF" w:rsidP="00B243E6">
            <w:pPr>
              <w:pStyle w:val="TableText"/>
            </w:pPr>
            <w:r w:rsidRPr="004D57B3">
              <w:t>Was the research question specified?</w:t>
            </w:r>
            <w:r>
              <w:t xml:space="preserve"> Yes</w:t>
            </w:r>
          </w:p>
          <w:p w:rsidR="009C23AF" w:rsidRPr="004D57B3" w:rsidRDefault="009C23AF" w:rsidP="00B243E6">
            <w:pPr>
              <w:pStyle w:val="TableText"/>
            </w:pPr>
            <w:r w:rsidRPr="004D57B3">
              <w:t>Was the search strategy explicit and comprehensive?</w:t>
            </w:r>
            <w:r>
              <w:t xml:space="preserve"> Yes</w:t>
            </w:r>
          </w:p>
          <w:p w:rsidR="009C23AF" w:rsidRPr="004D57B3" w:rsidRDefault="009C23AF" w:rsidP="00B243E6">
            <w:pPr>
              <w:pStyle w:val="TableText"/>
            </w:pPr>
            <w:r w:rsidRPr="004D57B3">
              <w:t>Were the eligibility criteria explicit and appropriate?</w:t>
            </w:r>
            <w:r>
              <w:t xml:space="preserve"> No</w:t>
            </w:r>
          </w:p>
          <w:p w:rsidR="009C23AF" w:rsidRPr="004D57B3" w:rsidRDefault="009C23AF" w:rsidP="00B243E6">
            <w:pPr>
              <w:pStyle w:val="TableText"/>
            </w:pPr>
            <w:r w:rsidRPr="004D57B3">
              <w:t>Was a quality assessment of included studies undertaken?</w:t>
            </w:r>
            <w:r>
              <w:t xml:space="preserve"> No</w:t>
            </w:r>
          </w:p>
          <w:p w:rsidR="009C23AF" w:rsidRPr="004D57B3" w:rsidRDefault="009C23AF" w:rsidP="00B243E6">
            <w:pPr>
              <w:pStyle w:val="TableText"/>
            </w:pPr>
            <w:r w:rsidRPr="004D57B3">
              <w:t>Were the methods of the study appraisal reproducible?</w:t>
            </w:r>
            <w:r>
              <w:t xml:space="preserve"> Yes</w:t>
            </w:r>
          </w:p>
          <w:p w:rsidR="009C23AF" w:rsidRPr="004D57B3" w:rsidRDefault="009C23AF" w:rsidP="00B243E6">
            <w:pPr>
              <w:pStyle w:val="TableText"/>
            </w:pPr>
            <w:r w:rsidRPr="004D57B3">
              <w:t>Were sources of heterogeneity explored?</w:t>
            </w:r>
            <w:r>
              <w:t xml:space="preserve"> No</w:t>
            </w:r>
          </w:p>
          <w:p w:rsidR="009C23AF" w:rsidRPr="00636498" w:rsidRDefault="009C23AF" w:rsidP="00B243E6">
            <w:pPr>
              <w:pStyle w:val="TableHeading"/>
              <w:rPr>
                <w:b w:val="0"/>
                <w:bCs/>
              </w:rPr>
            </w:pPr>
            <w:r w:rsidRPr="00636498">
              <w:rPr>
                <w:b w:val="0"/>
              </w:rPr>
              <w:t>Was a summary of the main results clear and appropriate?</w:t>
            </w:r>
            <w:r>
              <w:rPr>
                <w:b w:val="0"/>
              </w:rPr>
              <w:t xml:space="preserve"> Yes</w:t>
            </w:r>
          </w:p>
        </w:tc>
      </w:tr>
      <w:tr w:rsidR="009C23AF" w:rsidRPr="00FC7FEA" w:rsidTr="00B243E6">
        <w:trPr>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9C23AF" w:rsidRDefault="009C23AF" w:rsidP="00B243E6">
            <w:pPr>
              <w:pStyle w:val="TableHeading"/>
              <w:tabs>
                <w:tab w:val="left" w:pos="2266"/>
              </w:tabs>
              <w:rPr>
                <w:bCs/>
              </w:rPr>
            </w:pPr>
            <w:r w:rsidRPr="00AB4DCF">
              <w:rPr>
                <w:bCs/>
              </w:rPr>
              <w:t xml:space="preserve">Meta-analysis pooled results: </w:t>
            </w:r>
          </w:p>
          <w:p w:rsidR="009C23AF" w:rsidRDefault="009C23AF" w:rsidP="00B243E6">
            <w:pPr>
              <w:pStyle w:val="TableHeading"/>
              <w:rPr>
                <w:b w:val="0"/>
                <w:bCs/>
              </w:rPr>
            </w:pPr>
            <w:r>
              <w:rPr>
                <w:b w:val="0"/>
                <w:bCs/>
              </w:rPr>
              <w:t>No pooled results.</w:t>
            </w:r>
          </w:p>
          <w:p w:rsidR="009C23AF" w:rsidRDefault="009C23AF" w:rsidP="00B243E6">
            <w:pPr>
              <w:pStyle w:val="TableHeading"/>
              <w:rPr>
                <w:b w:val="0"/>
                <w:bCs/>
              </w:rPr>
            </w:pPr>
            <w:r>
              <w:rPr>
                <w:b w:val="0"/>
                <w:bCs/>
              </w:rPr>
              <w:t>Fracture rates in trials were more common in women taking AI compared to other breast cancer therapies.</w:t>
            </w:r>
          </w:p>
          <w:p w:rsidR="009C23AF" w:rsidRDefault="009C23AF" w:rsidP="00B243E6">
            <w:pPr>
              <w:pStyle w:val="TableHeading"/>
              <w:tabs>
                <w:tab w:val="left" w:pos="2266"/>
              </w:tabs>
              <w:rPr>
                <w:b w:val="0"/>
                <w:bCs/>
              </w:rPr>
            </w:pPr>
          </w:p>
          <w:p w:rsidR="009C23AF" w:rsidRDefault="009C23AF" w:rsidP="00B243E6">
            <w:pPr>
              <w:pStyle w:val="TableHeading"/>
              <w:rPr>
                <w:b w:val="0"/>
                <w:bCs/>
              </w:rPr>
            </w:pPr>
            <w:r w:rsidRPr="0064342C">
              <w:rPr>
                <w:bCs/>
              </w:rPr>
              <w:t>Authors conclusions:</w:t>
            </w:r>
            <w:r>
              <w:rPr>
                <w:b w:val="0"/>
                <w:bCs/>
              </w:rPr>
              <w:t xml:space="preserve"> Fractures occur in women with early breast cancer treated with aromatase inhibitors compared to other treatments.  Evidence outside of trial. </w:t>
            </w:r>
          </w:p>
          <w:p w:rsidR="009C23AF" w:rsidRDefault="009C23AF" w:rsidP="00B243E6">
            <w:pPr>
              <w:pStyle w:val="TableHeading"/>
              <w:rPr>
                <w:b w:val="0"/>
                <w:bCs/>
              </w:rPr>
            </w:pPr>
            <w:r w:rsidRPr="00B816CD">
              <w:rPr>
                <w:bCs/>
              </w:rPr>
              <w:t>Limitations:</w:t>
            </w:r>
            <w:r>
              <w:rPr>
                <w:b w:val="0"/>
                <w:bCs/>
              </w:rPr>
              <w:t xml:space="preserve"> Low data quality regarding reporting accuracy and completeness of reports.</w:t>
            </w:r>
          </w:p>
          <w:p w:rsidR="009C23AF" w:rsidRDefault="009C23AF" w:rsidP="00B243E6">
            <w:pPr>
              <w:pStyle w:val="TableHeading"/>
              <w:rPr>
                <w:b w:val="0"/>
                <w:bCs/>
              </w:rPr>
            </w:pPr>
          </w:p>
          <w:p w:rsidR="009C23AF" w:rsidRDefault="009C23AF" w:rsidP="00B243E6">
            <w:pPr>
              <w:pStyle w:val="TableHeading"/>
              <w:rPr>
                <w:b w:val="0"/>
                <w:bCs/>
              </w:rPr>
            </w:pPr>
          </w:p>
          <w:p w:rsidR="009C23AF" w:rsidRPr="00FC7FEA" w:rsidRDefault="009C23AF" w:rsidP="00B243E6">
            <w:pPr>
              <w:pStyle w:val="TableHeading"/>
              <w:rPr>
                <w:bCs/>
              </w:rPr>
            </w:pPr>
          </w:p>
        </w:tc>
      </w:tr>
    </w:tbl>
    <w:p w:rsidR="009C23AF" w:rsidRDefault="009C23AF" w:rsidP="009C23AF"/>
    <w:p w:rsidR="00FF1CAF" w:rsidRDefault="00FF1CAF" w:rsidP="00FF1CAF"/>
    <w:p w:rsidR="00FF1CAF" w:rsidRDefault="00FF1CAF" w:rsidP="00FF1CAF"/>
    <w:tbl>
      <w:tblPr>
        <w:tblW w:w="4804" w:type="pct"/>
        <w:tblLook w:val="01E0" w:firstRow="1" w:lastRow="1" w:firstColumn="1" w:lastColumn="1" w:noHBand="0" w:noVBand="0"/>
        <w:tblCaption w:val="App C Study profile Marshall 1996"/>
      </w:tblPr>
      <w:tblGrid>
        <w:gridCol w:w="1405"/>
        <w:gridCol w:w="2105"/>
        <w:gridCol w:w="2408"/>
        <w:gridCol w:w="2691"/>
        <w:gridCol w:w="2334"/>
        <w:gridCol w:w="2675"/>
      </w:tblGrid>
      <w:tr w:rsidR="00FF1CAF" w:rsidRPr="00FC7FEA" w:rsidTr="00BD2C35">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sidRPr="00FC7FEA">
              <w:rPr>
                <w:bCs/>
              </w:rPr>
              <w:lastRenderedPageBreak/>
              <w:t>Author/Year</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Pr>
                <w:bCs/>
              </w:rPr>
              <w:t>Objective of report</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Pr>
                <w:bCs/>
              </w:rPr>
              <w:t>Number and publication dates</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Pr>
                <w:bCs/>
              </w:rPr>
              <w:t>Population considered in included studies, Test comparison</w:t>
            </w:r>
            <w:r w:rsidRPr="00FC7FEA">
              <w:rPr>
                <w:bCs/>
              </w:rPr>
              <w:t xml:space="preserve"> </w:t>
            </w:r>
          </w:p>
        </w:tc>
        <w:tc>
          <w:tcPr>
            <w:tcW w:w="857" w:type="pct"/>
            <w:tcBorders>
              <w:top w:val="single" w:sz="4" w:space="0" w:color="auto"/>
              <w:left w:val="single" w:sz="4" w:space="0" w:color="auto"/>
              <w:bottom w:val="single" w:sz="4" w:space="0" w:color="auto"/>
              <w:right w:val="single" w:sz="4" w:space="0" w:color="auto"/>
            </w:tcBorders>
          </w:tcPr>
          <w:p w:rsidR="00FF1CAF" w:rsidRPr="00FC7FEA" w:rsidRDefault="00FF1CAF" w:rsidP="00BD2C35">
            <w:pPr>
              <w:pStyle w:val="TableHeading"/>
              <w:rPr>
                <w:bCs/>
              </w:rPr>
            </w:pPr>
            <w:r>
              <w:rPr>
                <w:bCs/>
              </w:rPr>
              <w:t>Conclusions/recommendation</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sidRPr="00FC7FEA">
              <w:rPr>
                <w:bCs/>
              </w:rPr>
              <w:t>Quality assessment</w:t>
            </w:r>
          </w:p>
        </w:tc>
      </w:tr>
      <w:tr w:rsidR="00FF1CAF" w:rsidRPr="00FE01FE" w:rsidTr="00BD2C35">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FF1CAF" w:rsidRPr="00FE01FE" w:rsidRDefault="00FF1CAF" w:rsidP="00BD2C35">
            <w:pPr>
              <w:pStyle w:val="TableHeading"/>
              <w:rPr>
                <w:b w:val="0"/>
                <w:bCs/>
              </w:rPr>
            </w:pPr>
            <w:r>
              <w:rPr>
                <w:b w:val="0"/>
                <w:bCs/>
              </w:rPr>
              <w:t>Marshall 1996</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FF1CAF" w:rsidRPr="000C04E4" w:rsidRDefault="00FF1CAF" w:rsidP="00BD2C35">
            <w:pPr>
              <w:pStyle w:val="TableHeading"/>
              <w:rPr>
                <w:b w:val="0"/>
                <w:bCs/>
              </w:rPr>
            </w:pPr>
            <w:r w:rsidRPr="000C04E4">
              <w:rPr>
                <w:b w:val="0"/>
                <w:bCs/>
              </w:rPr>
              <w:t>To assess how well measures of BMD predict occurrence of osteoporotic fractures</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FF1CAF" w:rsidRDefault="00FF1CAF" w:rsidP="00BD2C35">
            <w:pPr>
              <w:pStyle w:val="TableHeading"/>
              <w:rPr>
                <w:b w:val="0"/>
                <w:bCs/>
              </w:rPr>
            </w:pPr>
            <w:r w:rsidRPr="00FE01FE">
              <w:rPr>
                <w:bCs/>
              </w:rPr>
              <w:t>Search methods</w:t>
            </w:r>
            <w:r>
              <w:rPr>
                <w:b w:val="0"/>
                <w:bCs/>
              </w:rPr>
              <w:t xml:space="preserve">: Publications after 1985 </w:t>
            </w:r>
            <w:r w:rsidRPr="00FE01FE">
              <w:rPr>
                <w:b w:val="0"/>
                <w:bCs/>
              </w:rPr>
              <w:t xml:space="preserve">were selected from </w:t>
            </w:r>
            <w:r>
              <w:rPr>
                <w:b w:val="0"/>
                <w:bCs/>
              </w:rPr>
              <w:t>Medline</w:t>
            </w:r>
            <w:r w:rsidRPr="00FE01FE">
              <w:rPr>
                <w:b w:val="0"/>
                <w:bCs/>
              </w:rPr>
              <w:t>, EMBASE</w:t>
            </w:r>
            <w:r>
              <w:rPr>
                <w:b w:val="0"/>
                <w:bCs/>
              </w:rPr>
              <w:t>, SweMed, reference lists, known grey literature</w:t>
            </w:r>
            <w:r w:rsidRPr="00FE01FE">
              <w:rPr>
                <w:b w:val="0"/>
                <w:bCs/>
              </w:rPr>
              <w:t>.</w:t>
            </w:r>
          </w:p>
          <w:p w:rsidR="00FF1CAF" w:rsidRDefault="00FF1CAF" w:rsidP="00BD2C35">
            <w:pPr>
              <w:pStyle w:val="TableHeading"/>
              <w:rPr>
                <w:b w:val="0"/>
                <w:bCs/>
              </w:rPr>
            </w:pPr>
          </w:p>
          <w:p w:rsidR="00FF1CAF" w:rsidRDefault="00FF1CAF" w:rsidP="00BD2C35">
            <w:pPr>
              <w:pStyle w:val="TableHeading"/>
              <w:rPr>
                <w:b w:val="0"/>
                <w:bCs/>
              </w:rPr>
            </w:pPr>
            <w:r w:rsidRPr="000C04E4">
              <w:rPr>
                <w:bCs/>
              </w:rPr>
              <w:t>Studies were included</w:t>
            </w:r>
            <w:r>
              <w:rPr>
                <w:b w:val="0"/>
                <w:bCs/>
              </w:rPr>
              <w:t xml:space="preserve"> if BMD was by absorptiometry (single or dual engery, photon or x ray) QCT, QMRI or QUS, English language.</w:t>
            </w:r>
          </w:p>
          <w:p w:rsidR="00FF1CAF" w:rsidRPr="00FE01FE" w:rsidRDefault="00FF1CAF" w:rsidP="00BD2C35">
            <w:pPr>
              <w:pStyle w:val="TableHeading"/>
              <w:rPr>
                <w:bCs/>
              </w:rPr>
            </w:pPr>
            <w:r>
              <w:rPr>
                <w:b w:val="0"/>
                <w:bCs/>
              </w:rPr>
              <w:t>Included: prospective cohort studies and case control studies (women with fractures to age-matched controls)</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FF1CAF" w:rsidRDefault="00FF1CAF" w:rsidP="00BD2C35">
            <w:pPr>
              <w:pStyle w:val="TableHeading"/>
              <w:rPr>
                <w:b w:val="0"/>
                <w:bCs/>
              </w:rPr>
            </w:pPr>
            <w:r>
              <w:rPr>
                <w:b w:val="0"/>
                <w:bCs/>
              </w:rPr>
              <w:t>Mean age range: NS</w:t>
            </w:r>
          </w:p>
          <w:p w:rsidR="00FF1CAF" w:rsidRDefault="00FF1CAF" w:rsidP="00BD2C35">
            <w:pPr>
              <w:pStyle w:val="TableHeading"/>
              <w:rPr>
                <w:b w:val="0"/>
                <w:bCs/>
              </w:rPr>
            </w:pPr>
            <w:r>
              <w:rPr>
                <w:b w:val="0"/>
                <w:bCs/>
              </w:rPr>
              <w:t>Women only, 90,000 person years,</w:t>
            </w:r>
          </w:p>
          <w:p w:rsidR="00FF1CAF" w:rsidRDefault="00FF1CAF" w:rsidP="00BD2C35">
            <w:pPr>
              <w:pStyle w:val="TableHeading"/>
              <w:rPr>
                <w:b w:val="0"/>
                <w:bCs/>
              </w:rPr>
            </w:pPr>
            <w:r>
              <w:rPr>
                <w:b w:val="0"/>
                <w:bCs/>
              </w:rPr>
              <w:t>2000 fractures</w:t>
            </w:r>
          </w:p>
          <w:p w:rsidR="00FF1CAF" w:rsidRDefault="00FF1CAF" w:rsidP="00BD2C35">
            <w:pPr>
              <w:pStyle w:val="TableHeading"/>
              <w:rPr>
                <w:b w:val="0"/>
                <w:bCs/>
              </w:rPr>
            </w:pPr>
          </w:p>
          <w:p w:rsidR="00FF1CAF" w:rsidRDefault="00FF1CAF" w:rsidP="00BD2C35">
            <w:pPr>
              <w:pStyle w:val="TableHeading"/>
              <w:rPr>
                <w:bCs/>
              </w:rPr>
            </w:pPr>
          </w:p>
          <w:p w:rsidR="00FF1CAF" w:rsidRDefault="00FF1CAF" w:rsidP="00BD2C35">
            <w:pPr>
              <w:pStyle w:val="TableHeading"/>
              <w:rPr>
                <w:b w:val="0"/>
                <w:bCs/>
              </w:rPr>
            </w:pPr>
            <w:r w:rsidRPr="00636498">
              <w:rPr>
                <w:bCs/>
              </w:rPr>
              <w:t>Test</w:t>
            </w:r>
            <w:r>
              <w:rPr>
                <w:b w:val="0"/>
                <w:bCs/>
              </w:rPr>
              <w:t>: BMD measurements</w:t>
            </w:r>
          </w:p>
          <w:p w:rsidR="00FF1CAF" w:rsidRDefault="00FF1CAF" w:rsidP="00BD2C35">
            <w:pPr>
              <w:pStyle w:val="TableHeading"/>
              <w:rPr>
                <w:b w:val="0"/>
                <w:bCs/>
              </w:rPr>
            </w:pPr>
            <w:r w:rsidRPr="00660B75">
              <w:rPr>
                <w:bCs/>
              </w:rPr>
              <w:t>Comparator</w:t>
            </w:r>
            <w:r>
              <w:rPr>
                <w:b w:val="0"/>
                <w:bCs/>
              </w:rPr>
              <w:t>: None</w:t>
            </w:r>
          </w:p>
          <w:p w:rsidR="00FF1CAF" w:rsidRDefault="00FF1CAF" w:rsidP="00BD2C35">
            <w:pPr>
              <w:pStyle w:val="TableHeading"/>
              <w:rPr>
                <w:b w:val="0"/>
                <w:bCs/>
              </w:rPr>
            </w:pPr>
          </w:p>
          <w:p w:rsidR="00FF1CAF" w:rsidRDefault="00FF1CAF" w:rsidP="00BD2C35">
            <w:pPr>
              <w:pStyle w:val="TableHeading"/>
              <w:rPr>
                <w:b w:val="0"/>
                <w:bCs/>
              </w:rPr>
            </w:pPr>
            <w:r w:rsidRPr="000C04E4">
              <w:rPr>
                <w:bCs/>
              </w:rPr>
              <w:t>Follow-up duration</w:t>
            </w:r>
            <w:r>
              <w:rPr>
                <w:b w:val="0"/>
                <w:bCs/>
              </w:rPr>
              <w:t>: Range 1.8 to 24 years, weighted average 5.8 years</w:t>
            </w:r>
          </w:p>
          <w:p w:rsidR="00FF1CAF" w:rsidRPr="00FE01FE" w:rsidRDefault="00FF1CAF" w:rsidP="00BD2C35">
            <w:pPr>
              <w:pStyle w:val="TableHeading"/>
              <w:rPr>
                <w:b w:val="0"/>
                <w:bCs/>
              </w:rPr>
            </w:pPr>
            <w:r>
              <w:rPr>
                <w:b w:val="0"/>
                <w:bCs/>
              </w:rPr>
              <w:t>ORs and RR were assumed equal.</w:t>
            </w:r>
          </w:p>
        </w:tc>
        <w:tc>
          <w:tcPr>
            <w:tcW w:w="857" w:type="pct"/>
            <w:tcBorders>
              <w:top w:val="single" w:sz="4" w:space="0" w:color="auto"/>
              <w:left w:val="single" w:sz="4" w:space="0" w:color="auto"/>
              <w:bottom w:val="single" w:sz="4" w:space="0" w:color="auto"/>
              <w:right w:val="single" w:sz="4" w:space="0" w:color="auto"/>
            </w:tcBorders>
          </w:tcPr>
          <w:p w:rsidR="00FF1CAF" w:rsidRDefault="00FF1CAF" w:rsidP="00BD2C35">
            <w:pPr>
              <w:pStyle w:val="TableHeading"/>
              <w:rPr>
                <w:b w:val="0"/>
              </w:rPr>
            </w:pPr>
            <w:r w:rsidRPr="000C04E4">
              <w:rPr>
                <w:b w:val="0"/>
              </w:rPr>
              <w:t xml:space="preserve">BMD measurements predict fracture risk but not individuals who will have a fracture. </w:t>
            </w:r>
          </w:p>
          <w:p w:rsidR="00FF1CAF" w:rsidRDefault="00FF1CAF" w:rsidP="00BD2C35">
            <w:pPr>
              <w:pStyle w:val="TableHeading"/>
              <w:rPr>
                <w:b w:val="0"/>
              </w:rPr>
            </w:pPr>
          </w:p>
          <w:p w:rsidR="00FF1CAF" w:rsidRPr="000C04E4" w:rsidRDefault="00FF1CAF" w:rsidP="00BD2C35">
            <w:pPr>
              <w:pStyle w:val="TableHeading"/>
              <w:rPr>
                <w:b w:val="0"/>
                <w:bCs/>
              </w:rPr>
            </w:pPr>
            <w:r w:rsidRPr="000C04E4">
              <w:rPr>
                <w:b w:val="0"/>
              </w:rPr>
              <w:t>Screening menopausal women for osteoporosis is not recommended</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FF1CAF" w:rsidRDefault="00FF1CAF" w:rsidP="00BD2C35">
            <w:pPr>
              <w:pStyle w:val="TableText"/>
            </w:pPr>
            <w:r>
              <w:t>MEDIUM QUALITY</w:t>
            </w:r>
          </w:p>
          <w:p w:rsidR="00FF1CAF" w:rsidRPr="004D57B3" w:rsidRDefault="00FF1CAF" w:rsidP="00BD2C35">
            <w:pPr>
              <w:pStyle w:val="TableText"/>
            </w:pPr>
            <w:r w:rsidRPr="004D57B3">
              <w:t>Was the research question specified?</w:t>
            </w:r>
            <w:r>
              <w:t xml:space="preserve"> Yes</w:t>
            </w:r>
          </w:p>
          <w:p w:rsidR="00FF1CAF" w:rsidRPr="004D57B3" w:rsidRDefault="00FF1CAF" w:rsidP="00BD2C35">
            <w:pPr>
              <w:pStyle w:val="TableText"/>
            </w:pPr>
            <w:r w:rsidRPr="004D57B3">
              <w:t>Was the search strategy explicit and comprehensive?</w:t>
            </w:r>
            <w:r>
              <w:t xml:space="preserve"> Yes</w:t>
            </w:r>
          </w:p>
          <w:p w:rsidR="00FF1CAF" w:rsidRPr="004D57B3" w:rsidRDefault="00FF1CAF" w:rsidP="00BD2C35">
            <w:pPr>
              <w:pStyle w:val="TableText"/>
            </w:pPr>
            <w:r w:rsidRPr="004D57B3">
              <w:t>Were the eligibility criteria explicit and appropriate?</w:t>
            </w:r>
            <w:r>
              <w:t xml:space="preserve"> No</w:t>
            </w:r>
          </w:p>
          <w:p w:rsidR="00FF1CAF" w:rsidRPr="004D57B3" w:rsidRDefault="00FF1CAF" w:rsidP="00BD2C35">
            <w:pPr>
              <w:pStyle w:val="TableText"/>
            </w:pPr>
            <w:r w:rsidRPr="004D57B3">
              <w:t>Was a quality assessment of included studies undertaken?</w:t>
            </w:r>
            <w:r>
              <w:t xml:space="preserve"> Yes</w:t>
            </w:r>
          </w:p>
          <w:p w:rsidR="00FF1CAF" w:rsidRPr="004D57B3" w:rsidRDefault="00FF1CAF" w:rsidP="00BD2C35">
            <w:pPr>
              <w:pStyle w:val="TableText"/>
            </w:pPr>
            <w:r w:rsidRPr="004D57B3">
              <w:t>Were the methods of the study appraisal reproducible?</w:t>
            </w:r>
            <w:r>
              <w:t xml:space="preserve"> No</w:t>
            </w:r>
          </w:p>
          <w:p w:rsidR="00FF1CAF" w:rsidRPr="004D57B3" w:rsidRDefault="00FF1CAF" w:rsidP="00BD2C35">
            <w:pPr>
              <w:pStyle w:val="TableText"/>
            </w:pPr>
            <w:r w:rsidRPr="004D57B3">
              <w:t>Were sources of heterogeneity explored?</w:t>
            </w:r>
            <w:r>
              <w:t xml:space="preserve"> No</w:t>
            </w:r>
          </w:p>
          <w:p w:rsidR="00FF1CAF" w:rsidRPr="00636498" w:rsidRDefault="00FF1CAF" w:rsidP="00BD2C35">
            <w:pPr>
              <w:pStyle w:val="TableHeading"/>
              <w:rPr>
                <w:b w:val="0"/>
                <w:bCs/>
              </w:rPr>
            </w:pPr>
            <w:r w:rsidRPr="00636498">
              <w:rPr>
                <w:b w:val="0"/>
              </w:rPr>
              <w:t>Was a summary of the main results clear and appropriate?</w:t>
            </w:r>
            <w:r>
              <w:rPr>
                <w:b w:val="0"/>
              </w:rPr>
              <w:t xml:space="preserve"> Yes</w:t>
            </w:r>
          </w:p>
        </w:tc>
      </w:tr>
      <w:tr w:rsidR="00FF1CAF" w:rsidRPr="00FC7FEA" w:rsidTr="00BD2C35">
        <w:trPr>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FF1CAF" w:rsidRPr="000C04E4" w:rsidRDefault="00FF1CAF" w:rsidP="00BD2C35">
            <w:pPr>
              <w:pStyle w:val="TableHeading"/>
              <w:tabs>
                <w:tab w:val="left" w:pos="2266"/>
              </w:tabs>
              <w:rPr>
                <w:bCs/>
              </w:rPr>
            </w:pPr>
            <w:r w:rsidRPr="000C04E4">
              <w:rPr>
                <w:bCs/>
              </w:rPr>
              <w:t xml:space="preserve">Meta-analysis pooled results: </w:t>
            </w:r>
          </w:p>
          <w:p w:rsidR="00FF1CAF" w:rsidRDefault="00FF1CAF" w:rsidP="00BD2C35">
            <w:pPr>
              <w:pStyle w:val="TableText"/>
            </w:pPr>
            <w:r>
              <w:t xml:space="preserve">RR fractures all sites1.5 (95%CI: 1.4, 1.6) except: </w:t>
            </w:r>
          </w:p>
          <w:p w:rsidR="00FF1CAF" w:rsidRDefault="00FF1CAF" w:rsidP="00BD2C35">
            <w:pPr>
              <w:pStyle w:val="TableText"/>
            </w:pPr>
            <w:r>
              <w:t>RR spine fractures 2.3 (95%CI: 1.9, 2.8)</w:t>
            </w:r>
          </w:p>
          <w:p w:rsidR="00FF1CAF" w:rsidRDefault="00FF1CAF" w:rsidP="00BD2C35">
            <w:pPr>
              <w:pStyle w:val="TableText"/>
            </w:pPr>
            <w:r>
              <w:t>RR hip fractures 2.6 (95%CI: 2.0, 3.5)</w:t>
            </w:r>
          </w:p>
          <w:p w:rsidR="00FF1CAF" w:rsidRDefault="00FF1CAF" w:rsidP="00BD2C35">
            <w:pPr>
              <w:pStyle w:val="TableHeading"/>
              <w:tabs>
                <w:tab w:val="left" w:pos="2266"/>
              </w:tabs>
              <w:rPr>
                <w:b w:val="0"/>
              </w:rPr>
            </w:pPr>
            <w:r w:rsidRPr="000C04E4">
              <w:rPr>
                <w:b w:val="0"/>
              </w:rPr>
              <w:t>No association between RR for dec BMD 1 sd and length of follow up</w:t>
            </w:r>
            <w:r>
              <w:rPr>
                <w:b w:val="0"/>
              </w:rPr>
              <w:t>.</w:t>
            </w:r>
          </w:p>
          <w:p w:rsidR="00FF1CAF" w:rsidRPr="000C04E4" w:rsidRDefault="00FF1CAF" w:rsidP="00BD2C35">
            <w:pPr>
              <w:pStyle w:val="TableHeading"/>
              <w:tabs>
                <w:tab w:val="left" w:pos="2266"/>
              </w:tabs>
              <w:rPr>
                <w:b w:val="0"/>
                <w:bCs/>
              </w:rPr>
            </w:pPr>
            <w:r>
              <w:rPr>
                <w:b w:val="0"/>
              </w:rPr>
              <w:t>Sensitivity = 38% (at 1 SD) Specificity = 88%, PPV =36%</w:t>
            </w:r>
          </w:p>
          <w:p w:rsidR="00FF1CAF" w:rsidRDefault="00FF1CAF" w:rsidP="00BD2C35">
            <w:pPr>
              <w:pStyle w:val="TableHeading"/>
              <w:tabs>
                <w:tab w:val="left" w:pos="2266"/>
              </w:tabs>
              <w:rPr>
                <w:b w:val="0"/>
                <w:bCs/>
              </w:rPr>
            </w:pPr>
          </w:p>
          <w:p w:rsidR="00FF1CAF" w:rsidRDefault="00FF1CAF" w:rsidP="00BD2C35">
            <w:pPr>
              <w:pStyle w:val="TableHeading"/>
              <w:rPr>
                <w:b w:val="0"/>
                <w:bCs/>
              </w:rPr>
            </w:pPr>
            <w:r w:rsidRPr="00EC0EDD">
              <w:rPr>
                <w:bCs/>
              </w:rPr>
              <w:t>Authors conclusions</w:t>
            </w:r>
            <w:r>
              <w:rPr>
                <w:b w:val="0"/>
                <w:bCs/>
              </w:rPr>
              <w:t>: BMD is a predictor of fracture risk irrespective of duration of follow up. No sub-group analysis or discussion on between BMD measurement methods.</w:t>
            </w:r>
          </w:p>
          <w:p w:rsidR="00FF1CAF" w:rsidRDefault="00FF1CAF" w:rsidP="00BD2C35">
            <w:pPr>
              <w:pStyle w:val="TableHeading"/>
              <w:rPr>
                <w:b w:val="0"/>
                <w:bCs/>
              </w:rPr>
            </w:pPr>
          </w:p>
          <w:p w:rsidR="00FF1CAF" w:rsidRPr="00FC7FEA" w:rsidRDefault="00FF1CAF" w:rsidP="00BD2C35">
            <w:pPr>
              <w:pStyle w:val="TableHeading"/>
              <w:rPr>
                <w:bCs/>
              </w:rPr>
            </w:pPr>
          </w:p>
        </w:tc>
      </w:tr>
    </w:tbl>
    <w:p w:rsidR="00FF1CAF" w:rsidRDefault="00FF1CAF" w:rsidP="00FF1CAF"/>
    <w:p w:rsidR="00FF1CAF" w:rsidRDefault="00FF1CAF" w:rsidP="00FF1CAF">
      <w:pPr>
        <w:spacing w:after="200" w:line="276" w:lineRule="auto"/>
        <w:ind w:left="0"/>
      </w:pPr>
      <w:r>
        <w:br w:type="page"/>
      </w:r>
    </w:p>
    <w:tbl>
      <w:tblPr>
        <w:tblW w:w="4804" w:type="pct"/>
        <w:tblLook w:val="01E0" w:firstRow="1" w:lastRow="1" w:firstColumn="1" w:lastColumn="1" w:noHBand="0" w:noVBand="0"/>
        <w:tblCaption w:val="App C Study profile Lim 2009"/>
      </w:tblPr>
      <w:tblGrid>
        <w:gridCol w:w="1405"/>
        <w:gridCol w:w="2105"/>
        <w:gridCol w:w="2408"/>
        <w:gridCol w:w="2691"/>
        <w:gridCol w:w="2334"/>
        <w:gridCol w:w="2675"/>
      </w:tblGrid>
      <w:tr w:rsidR="00FF1CAF" w:rsidRPr="00FC7FEA" w:rsidTr="00BD2C35">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sidRPr="00FC7FEA">
              <w:rPr>
                <w:bCs/>
              </w:rPr>
              <w:lastRenderedPageBreak/>
              <w:t>Author/Year</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Pr>
                <w:bCs/>
              </w:rPr>
              <w:t>Objective of report</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Pr>
                <w:bCs/>
              </w:rPr>
              <w:t>Number and publication dates</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Pr>
                <w:bCs/>
              </w:rPr>
              <w:t>Population considered in included studies, Test comparison</w:t>
            </w:r>
            <w:r w:rsidRPr="00FC7FEA">
              <w:rPr>
                <w:bCs/>
              </w:rPr>
              <w:t xml:space="preserve"> </w:t>
            </w:r>
          </w:p>
        </w:tc>
        <w:tc>
          <w:tcPr>
            <w:tcW w:w="857" w:type="pct"/>
            <w:tcBorders>
              <w:top w:val="single" w:sz="4" w:space="0" w:color="auto"/>
              <w:left w:val="single" w:sz="4" w:space="0" w:color="auto"/>
              <w:bottom w:val="single" w:sz="4" w:space="0" w:color="auto"/>
              <w:right w:val="single" w:sz="4" w:space="0" w:color="auto"/>
            </w:tcBorders>
          </w:tcPr>
          <w:p w:rsidR="00FF1CAF" w:rsidRPr="00FC7FEA" w:rsidRDefault="00FF1CAF" w:rsidP="00BD2C35">
            <w:pPr>
              <w:pStyle w:val="TableHeading"/>
              <w:rPr>
                <w:bCs/>
              </w:rPr>
            </w:pPr>
            <w:r>
              <w:rPr>
                <w:bCs/>
              </w:rPr>
              <w:t>Conclusions/recommendation</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sidRPr="00FC7FEA">
              <w:rPr>
                <w:bCs/>
              </w:rPr>
              <w:t>Quality assessment</w:t>
            </w:r>
          </w:p>
        </w:tc>
      </w:tr>
      <w:tr w:rsidR="00FF1CAF" w:rsidRPr="00FE01FE" w:rsidTr="00BD2C35">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FF1CAF" w:rsidRPr="00FE01FE" w:rsidRDefault="00FF1CAF" w:rsidP="00BD2C35">
            <w:pPr>
              <w:pStyle w:val="TableHeading"/>
              <w:rPr>
                <w:b w:val="0"/>
                <w:bCs/>
              </w:rPr>
            </w:pPr>
            <w:r>
              <w:rPr>
                <w:b w:val="0"/>
                <w:bCs/>
              </w:rPr>
              <w:t>Lim 2009</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FF1CAF" w:rsidRDefault="00FF1CAF" w:rsidP="00BD2C35">
            <w:pPr>
              <w:pStyle w:val="TableHeading"/>
              <w:rPr>
                <w:b w:val="0"/>
                <w:bCs/>
              </w:rPr>
            </w:pPr>
            <w:r w:rsidRPr="000C04E4">
              <w:rPr>
                <w:b w:val="0"/>
                <w:bCs/>
              </w:rPr>
              <w:t>To assess</w:t>
            </w:r>
            <w:r>
              <w:rPr>
                <w:b w:val="0"/>
                <w:bCs/>
              </w:rPr>
              <w:t xml:space="preserve"> evidence for the harms and benefits of osteoporosis screening. </w:t>
            </w:r>
          </w:p>
          <w:p w:rsidR="00FF1CAF" w:rsidRDefault="00FF1CAF" w:rsidP="00BD2C35">
            <w:pPr>
              <w:pStyle w:val="TableHeading"/>
              <w:rPr>
                <w:b w:val="0"/>
                <w:bCs/>
              </w:rPr>
            </w:pPr>
          </w:p>
          <w:p w:rsidR="00FF1CAF" w:rsidRDefault="00FF1CAF" w:rsidP="00BD2C35">
            <w:pPr>
              <w:pStyle w:val="TableHeading"/>
              <w:rPr>
                <w:b w:val="0"/>
                <w:bCs/>
              </w:rPr>
            </w:pPr>
            <w:r>
              <w:rPr>
                <w:b w:val="0"/>
                <w:bCs/>
              </w:rPr>
              <w:t>Overview provided for clinical fracture risk tools, modalities of screening</w:t>
            </w:r>
          </w:p>
          <w:p w:rsidR="00FF1CAF" w:rsidRDefault="00FF1CAF" w:rsidP="00BD2C35">
            <w:pPr>
              <w:pStyle w:val="TableHeading"/>
              <w:rPr>
                <w:b w:val="0"/>
                <w:bCs/>
              </w:rPr>
            </w:pPr>
          </w:p>
          <w:p w:rsidR="00FF1CAF" w:rsidRPr="000C04E4" w:rsidRDefault="00FF1CAF" w:rsidP="00BD2C35">
            <w:pPr>
              <w:pStyle w:val="TableHeading"/>
              <w:rPr>
                <w:b w:val="0"/>
                <w:bCs/>
              </w:rPr>
            </w:pPr>
            <w:r>
              <w:rPr>
                <w:b w:val="0"/>
                <w:bCs/>
              </w:rPr>
              <w:t>American College of Preventive Medicine Position Statement</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FF1CAF" w:rsidRDefault="00FF1CAF" w:rsidP="00BD2C35">
            <w:pPr>
              <w:pStyle w:val="TableHeading"/>
              <w:rPr>
                <w:b w:val="0"/>
                <w:bCs/>
              </w:rPr>
            </w:pPr>
            <w:r w:rsidRPr="00FE01FE">
              <w:rPr>
                <w:bCs/>
              </w:rPr>
              <w:t>Search methods</w:t>
            </w:r>
            <w:r>
              <w:rPr>
                <w:b w:val="0"/>
                <w:bCs/>
              </w:rPr>
              <w:t xml:space="preserve">: </w:t>
            </w:r>
          </w:p>
          <w:p w:rsidR="00FF1CAF" w:rsidRPr="00FE01FE" w:rsidRDefault="00FF1CAF" w:rsidP="006755DD">
            <w:pPr>
              <w:pStyle w:val="TableHeading"/>
              <w:rPr>
                <w:bCs/>
              </w:rPr>
            </w:pPr>
            <w:r>
              <w:rPr>
                <w:b w:val="0"/>
                <w:bCs/>
              </w:rPr>
              <w:t>PubMed, websites of leading health organisation, references, English language prior to Sept 2008</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FF1CAF" w:rsidRDefault="00FF1CAF" w:rsidP="00BD2C35">
            <w:pPr>
              <w:pStyle w:val="TableHeading"/>
              <w:rPr>
                <w:b w:val="0"/>
                <w:bCs/>
              </w:rPr>
            </w:pPr>
            <w:r>
              <w:rPr>
                <w:b w:val="0"/>
                <w:bCs/>
              </w:rPr>
              <w:t>No RCTs exist for screening on fracture outcomes.</w:t>
            </w:r>
          </w:p>
          <w:p w:rsidR="00FF1CAF" w:rsidRDefault="00FF1CAF" w:rsidP="00BD2C35">
            <w:pPr>
              <w:pStyle w:val="TableHeading"/>
              <w:rPr>
                <w:b w:val="0"/>
                <w:bCs/>
              </w:rPr>
            </w:pPr>
          </w:p>
          <w:p w:rsidR="00FF1CAF" w:rsidRPr="00FE01FE" w:rsidRDefault="00FF1CAF" w:rsidP="00BD2C35">
            <w:pPr>
              <w:pStyle w:val="TableHeading"/>
              <w:rPr>
                <w:b w:val="0"/>
                <w:bCs/>
              </w:rPr>
            </w:pPr>
            <w:r>
              <w:rPr>
                <w:b w:val="0"/>
                <w:bCs/>
              </w:rPr>
              <w:t>Clinical risk factor tools as detailed below.</w:t>
            </w:r>
          </w:p>
        </w:tc>
        <w:tc>
          <w:tcPr>
            <w:tcW w:w="857" w:type="pct"/>
            <w:tcBorders>
              <w:top w:val="single" w:sz="4" w:space="0" w:color="auto"/>
              <w:left w:val="single" w:sz="4" w:space="0" w:color="auto"/>
              <w:bottom w:val="single" w:sz="4" w:space="0" w:color="auto"/>
              <w:right w:val="single" w:sz="4" w:space="0" w:color="auto"/>
            </w:tcBorders>
          </w:tcPr>
          <w:p w:rsidR="00FF1CAF" w:rsidRPr="000C04E4" w:rsidRDefault="00FF1CAF" w:rsidP="00BD2C35">
            <w:pPr>
              <w:pStyle w:val="TableHeading"/>
              <w:rPr>
                <w:b w:val="0"/>
                <w:bCs/>
              </w:rPr>
            </w:pPr>
            <w:r>
              <w:rPr>
                <w:b w:val="0"/>
                <w:bCs/>
              </w:rPr>
              <w:t>Indirect evidence from prospective studies demonstrate that decreased BMD strongly predicts fractures.</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FF1CAF" w:rsidRDefault="00FF1CAF" w:rsidP="00BD2C35">
            <w:pPr>
              <w:pStyle w:val="TableText"/>
            </w:pPr>
            <w:r>
              <w:t>POOR QUALITY</w:t>
            </w:r>
          </w:p>
          <w:p w:rsidR="00FF1CAF" w:rsidRPr="004D57B3" w:rsidRDefault="00FF1CAF" w:rsidP="00BD2C35">
            <w:pPr>
              <w:pStyle w:val="TableText"/>
            </w:pPr>
            <w:r w:rsidRPr="004D57B3">
              <w:t>Was the research question specified?</w:t>
            </w:r>
            <w:r>
              <w:t xml:space="preserve"> Yes</w:t>
            </w:r>
          </w:p>
          <w:p w:rsidR="00FF1CAF" w:rsidRPr="004D57B3" w:rsidRDefault="00FF1CAF" w:rsidP="00BD2C35">
            <w:pPr>
              <w:pStyle w:val="TableText"/>
            </w:pPr>
            <w:r w:rsidRPr="004D57B3">
              <w:t>Was the search strategy explicit and comprehensive?</w:t>
            </w:r>
            <w:r>
              <w:t xml:space="preserve"> Yes</w:t>
            </w:r>
          </w:p>
          <w:p w:rsidR="00FF1CAF" w:rsidRPr="004D57B3" w:rsidRDefault="00FF1CAF" w:rsidP="00BD2C35">
            <w:pPr>
              <w:pStyle w:val="TableText"/>
            </w:pPr>
            <w:r w:rsidRPr="004D57B3">
              <w:t>Were the eligibility criteria explicit and appropriate?</w:t>
            </w:r>
            <w:r>
              <w:t xml:space="preserve"> No</w:t>
            </w:r>
          </w:p>
          <w:p w:rsidR="00FF1CAF" w:rsidRPr="004D57B3" w:rsidRDefault="00FF1CAF" w:rsidP="00BD2C35">
            <w:pPr>
              <w:pStyle w:val="TableText"/>
            </w:pPr>
            <w:r w:rsidRPr="004D57B3">
              <w:t>Was a quality assessment of included studies undertaken?</w:t>
            </w:r>
            <w:r>
              <w:t xml:space="preserve"> No</w:t>
            </w:r>
          </w:p>
          <w:p w:rsidR="00FF1CAF" w:rsidRPr="004D57B3" w:rsidRDefault="00FF1CAF" w:rsidP="00BD2C35">
            <w:pPr>
              <w:pStyle w:val="TableText"/>
            </w:pPr>
            <w:r w:rsidRPr="004D57B3">
              <w:t>Were the methods of the study appraisal reproducible?</w:t>
            </w:r>
            <w:r>
              <w:t xml:space="preserve"> No</w:t>
            </w:r>
          </w:p>
          <w:p w:rsidR="00FF1CAF" w:rsidRPr="004D57B3" w:rsidRDefault="00FF1CAF" w:rsidP="00BD2C35">
            <w:pPr>
              <w:pStyle w:val="TableText"/>
            </w:pPr>
            <w:r w:rsidRPr="004D57B3">
              <w:t>Were sources of heterogeneity explored?</w:t>
            </w:r>
            <w:r>
              <w:t xml:space="preserve"> No</w:t>
            </w:r>
          </w:p>
          <w:p w:rsidR="00FF1CAF" w:rsidRPr="00636498" w:rsidRDefault="00FF1CAF" w:rsidP="00BD2C35">
            <w:pPr>
              <w:pStyle w:val="TableHeading"/>
              <w:rPr>
                <w:b w:val="0"/>
                <w:bCs/>
              </w:rPr>
            </w:pPr>
            <w:r w:rsidRPr="00636498">
              <w:rPr>
                <w:b w:val="0"/>
              </w:rPr>
              <w:t>Was a summary of the main results clear and appropriate?</w:t>
            </w:r>
            <w:r>
              <w:rPr>
                <w:b w:val="0"/>
              </w:rPr>
              <w:t xml:space="preserve"> Yes</w:t>
            </w:r>
          </w:p>
        </w:tc>
      </w:tr>
      <w:tr w:rsidR="00FF1CAF" w:rsidRPr="00FC7FEA" w:rsidTr="00BD2C35">
        <w:trPr>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FF1CAF" w:rsidRPr="000C04E4" w:rsidRDefault="00FF1CAF" w:rsidP="00BD2C35">
            <w:pPr>
              <w:pStyle w:val="TableHeading"/>
              <w:tabs>
                <w:tab w:val="left" w:pos="2266"/>
              </w:tabs>
              <w:rPr>
                <w:bCs/>
              </w:rPr>
            </w:pPr>
            <w:r>
              <w:rPr>
                <w:bCs/>
              </w:rPr>
              <w:t>Un</w:t>
            </w:r>
            <w:r w:rsidRPr="000C04E4">
              <w:rPr>
                <w:bCs/>
              </w:rPr>
              <w:t xml:space="preserve">pooled results: </w:t>
            </w:r>
          </w:p>
          <w:p w:rsidR="00FF1CAF" w:rsidRDefault="00FF1CAF" w:rsidP="00BD2C35">
            <w:pPr>
              <w:pStyle w:val="TableHeading"/>
              <w:tabs>
                <w:tab w:val="left" w:pos="2266"/>
              </w:tabs>
              <w:rPr>
                <w:b w:val="0"/>
              </w:rPr>
            </w:pPr>
            <w:r>
              <w:rPr>
                <w:b w:val="0"/>
              </w:rPr>
              <w:t>Osteoporosis Self-assessment screening Tool (OST) Sensitivity = 88-92% Specificity = 37-52%, in women aged ≥45 years (better discriminative ability than ORAI or SCORE)</w:t>
            </w:r>
          </w:p>
          <w:p w:rsidR="00FF1CAF" w:rsidRDefault="00FF1CAF" w:rsidP="00BD2C35">
            <w:pPr>
              <w:pStyle w:val="TableHeading"/>
              <w:tabs>
                <w:tab w:val="left" w:pos="2266"/>
              </w:tabs>
              <w:rPr>
                <w:b w:val="0"/>
              </w:rPr>
            </w:pPr>
            <w:r>
              <w:rPr>
                <w:b w:val="0"/>
              </w:rPr>
              <w:t>Osteoporosis risk assessment tool (ORAI) Sensitivity = 94.4% Specificity = 41.4%</w:t>
            </w:r>
          </w:p>
          <w:p w:rsidR="00FF1CAF" w:rsidRDefault="00FF1CAF" w:rsidP="00BD2C35">
            <w:pPr>
              <w:pStyle w:val="TableHeading"/>
              <w:tabs>
                <w:tab w:val="left" w:pos="2266"/>
              </w:tabs>
              <w:rPr>
                <w:b w:val="0"/>
              </w:rPr>
            </w:pPr>
            <w:r>
              <w:rPr>
                <w:b w:val="0"/>
              </w:rPr>
              <w:t>Simple Calculated Osteoporosis Risk Estimation Score (SCORE) Sensitivity = 93.6% Specificity = 43.3%</w:t>
            </w:r>
          </w:p>
          <w:p w:rsidR="00FF1CAF" w:rsidRDefault="00FF1CAF" w:rsidP="00BD2C35">
            <w:pPr>
              <w:pStyle w:val="TableHeading"/>
              <w:tabs>
                <w:tab w:val="left" w:pos="2266"/>
              </w:tabs>
              <w:rPr>
                <w:b w:val="0"/>
              </w:rPr>
            </w:pPr>
            <w:r>
              <w:rPr>
                <w:b w:val="0"/>
              </w:rPr>
              <w:t>Osteoporosis Index of Risk (OSIRIS) Sensitivity = 78.5% Specificity = 51.4%</w:t>
            </w:r>
          </w:p>
          <w:p w:rsidR="00FF1CAF" w:rsidRDefault="00FF1CAF" w:rsidP="00BD2C35">
            <w:pPr>
              <w:pStyle w:val="TableHeading"/>
              <w:tabs>
                <w:tab w:val="left" w:pos="2266"/>
              </w:tabs>
              <w:rPr>
                <w:b w:val="0"/>
              </w:rPr>
            </w:pPr>
            <w:r>
              <w:rPr>
                <w:b w:val="0"/>
              </w:rPr>
              <w:t xml:space="preserve">WHO fracture-risk algorithm (FRAX) </w:t>
            </w:r>
          </w:p>
          <w:p w:rsidR="00FF1CAF" w:rsidRDefault="00FF1CAF" w:rsidP="00BD2C35">
            <w:pPr>
              <w:pStyle w:val="TableHeading"/>
              <w:tabs>
                <w:tab w:val="left" w:pos="2266"/>
              </w:tabs>
              <w:rPr>
                <w:b w:val="0"/>
              </w:rPr>
            </w:pPr>
            <w:r>
              <w:rPr>
                <w:b w:val="0"/>
              </w:rPr>
              <w:t>WHI fracture risk calculator</w:t>
            </w:r>
          </w:p>
          <w:p w:rsidR="00FF1CAF" w:rsidRPr="000C04E4" w:rsidRDefault="00FF1CAF" w:rsidP="00BD2C35">
            <w:pPr>
              <w:pStyle w:val="TableHeading"/>
              <w:tabs>
                <w:tab w:val="left" w:pos="2266"/>
              </w:tabs>
              <w:rPr>
                <w:b w:val="0"/>
                <w:bCs/>
              </w:rPr>
            </w:pPr>
            <w:r>
              <w:rPr>
                <w:b w:val="0"/>
              </w:rPr>
              <w:t>Osteoporosis Society of Canada and the Canadian Association of Radiologists</w:t>
            </w:r>
          </w:p>
          <w:p w:rsidR="00FF1CAF" w:rsidRDefault="00FF1CAF" w:rsidP="00BD2C35">
            <w:pPr>
              <w:pStyle w:val="TableHeading"/>
              <w:tabs>
                <w:tab w:val="left" w:pos="2266"/>
              </w:tabs>
              <w:rPr>
                <w:b w:val="0"/>
                <w:bCs/>
              </w:rPr>
            </w:pPr>
          </w:p>
          <w:p w:rsidR="00FF1CAF" w:rsidRDefault="00FF1CAF" w:rsidP="00BD2C35">
            <w:pPr>
              <w:pStyle w:val="TableHeading"/>
              <w:rPr>
                <w:b w:val="0"/>
                <w:bCs/>
              </w:rPr>
            </w:pPr>
            <w:r w:rsidRPr="00EC0EDD">
              <w:rPr>
                <w:bCs/>
              </w:rPr>
              <w:t>Authors conclusions</w:t>
            </w:r>
            <w:r>
              <w:rPr>
                <w:b w:val="0"/>
                <w:bCs/>
              </w:rPr>
              <w:t>: DXA is the most widely used and accepted method of BMD measurement. Studies on the harms related to radiation exposure from repeated DXA scans are lacking.</w:t>
            </w:r>
          </w:p>
          <w:p w:rsidR="00FF1CAF" w:rsidRDefault="00FF1CAF" w:rsidP="00BD2C35">
            <w:pPr>
              <w:pStyle w:val="TableHeading"/>
              <w:rPr>
                <w:b w:val="0"/>
                <w:bCs/>
              </w:rPr>
            </w:pPr>
            <w:r>
              <w:rPr>
                <w:b w:val="0"/>
                <w:bCs/>
              </w:rPr>
              <w:t>Screening for osteoporosis should be performed with DXA if available and not more frequently than every 2 years.  Risk assessment tools may be useful supplements to BMD assessment because they provide the absolute  fracture risk based on population cohort studies and they can be used when DXA is not available.</w:t>
            </w:r>
          </w:p>
          <w:p w:rsidR="00FF1CAF" w:rsidRDefault="00FF1CAF" w:rsidP="00BD2C35">
            <w:pPr>
              <w:pStyle w:val="TableHeading"/>
              <w:rPr>
                <w:b w:val="0"/>
                <w:bCs/>
              </w:rPr>
            </w:pPr>
          </w:p>
          <w:p w:rsidR="00FF1CAF" w:rsidRPr="00FC7FEA" w:rsidRDefault="00FF1CAF" w:rsidP="00BD2C35">
            <w:pPr>
              <w:pStyle w:val="TableHeading"/>
              <w:rPr>
                <w:bCs/>
              </w:rPr>
            </w:pPr>
          </w:p>
        </w:tc>
      </w:tr>
    </w:tbl>
    <w:p w:rsidR="00FF1CAF" w:rsidRDefault="00FF1CAF" w:rsidP="00FF1CAF"/>
    <w:p w:rsidR="00FF1CAF" w:rsidRDefault="00FF1CAF" w:rsidP="00FF1CAF">
      <w:pPr>
        <w:spacing w:after="200" w:line="276" w:lineRule="auto"/>
        <w:ind w:left="0"/>
      </w:pPr>
      <w:r>
        <w:br w:type="page"/>
      </w:r>
    </w:p>
    <w:p w:rsidR="00FF1CAF" w:rsidRDefault="00FF1CAF" w:rsidP="00FF1CAF"/>
    <w:tbl>
      <w:tblPr>
        <w:tblW w:w="4804" w:type="pct"/>
        <w:tblLook w:val="01E0" w:firstRow="1" w:lastRow="1" w:firstColumn="1" w:lastColumn="1" w:noHBand="0" w:noVBand="0"/>
        <w:tblCaption w:val="App C Study profile Kanis 2007"/>
      </w:tblPr>
      <w:tblGrid>
        <w:gridCol w:w="1405"/>
        <w:gridCol w:w="2105"/>
        <w:gridCol w:w="2408"/>
        <w:gridCol w:w="2691"/>
        <w:gridCol w:w="2334"/>
        <w:gridCol w:w="2675"/>
      </w:tblGrid>
      <w:tr w:rsidR="00FF1CAF" w:rsidRPr="00FC7FEA" w:rsidTr="00BD2C35">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sidRPr="00FC7FEA">
              <w:rPr>
                <w:bCs/>
              </w:rPr>
              <w:t>Author/Year</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Pr>
                <w:bCs/>
              </w:rPr>
              <w:t>Objective of report</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Pr>
                <w:bCs/>
              </w:rPr>
              <w:t>Number and publication dates</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Pr>
                <w:bCs/>
              </w:rPr>
              <w:t>Population considered in included studies, Test comparison</w:t>
            </w:r>
            <w:r w:rsidRPr="00FC7FEA">
              <w:rPr>
                <w:bCs/>
              </w:rPr>
              <w:t xml:space="preserve"> </w:t>
            </w:r>
          </w:p>
        </w:tc>
        <w:tc>
          <w:tcPr>
            <w:tcW w:w="857" w:type="pct"/>
            <w:tcBorders>
              <w:top w:val="single" w:sz="4" w:space="0" w:color="auto"/>
              <w:left w:val="single" w:sz="4" w:space="0" w:color="auto"/>
              <w:bottom w:val="single" w:sz="4" w:space="0" w:color="auto"/>
              <w:right w:val="single" w:sz="4" w:space="0" w:color="auto"/>
            </w:tcBorders>
          </w:tcPr>
          <w:p w:rsidR="00FF1CAF" w:rsidRPr="00FC7FEA" w:rsidRDefault="00FF1CAF" w:rsidP="00BD2C35">
            <w:pPr>
              <w:pStyle w:val="TableHeading"/>
              <w:rPr>
                <w:bCs/>
              </w:rPr>
            </w:pPr>
            <w:r>
              <w:rPr>
                <w:bCs/>
              </w:rPr>
              <w:t>Conclusions/recommendation</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sidRPr="00FC7FEA">
              <w:rPr>
                <w:bCs/>
              </w:rPr>
              <w:t>Quality assessment</w:t>
            </w:r>
          </w:p>
        </w:tc>
      </w:tr>
      <w:tr w:rsidR="00FF1CAF" w:rsidRPr="00FE01FE" w:rsidTr="00BD2C35">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FF1CAF" w:rsidRPr="00FE01FE" w:rsidRDefault="00FF1CAF" w:rsidP="00BD2C35">
            <w:pPr>
              <w:pStyle w:val="TableHeading"/>
              <w:rPr>
                <w:b w:val="0"/>
                <w:bCs/>
              </w:rPr>
            </w:pPr>
            <w:r>
              <w:rPr>
                <w:b w:val="0"/>
                <w:bCs/>
              </w:rPr>
              <w:t>Kanis 2007</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FF1CAF" w:rsidRPr="000C04E4" w:rsidRDefault="00FF1CAF" w:rsidP="00BD2C35">
            <w:pPr>
              <w:pStyle w:val="TableHeading"/>
              <w:rPr>
                <w:b w:val="0"/>
                <w:bCs/>
              </w:rPr>
            </w:pPr>
            <w:r w:rsidRPr="000C04E4">
              <w:rPr>
                <w:b w:val="0"/>
                <w:bCs/>
              </w:rPr>
              <w:t xml:space="preserve">To assess </w:t>
            </w:r>
            <w:r>
              <w:rPr>
                <w:b w:val="0"/>
                <w:bCs/>
              </w:rPr>
              <w:t>the performance of clinical risk factors and</w:t>
            </w:r>
            <w:r w:rsidRPr="000C04E4">
              <w:rPr>
                <w:b w:val="0"/>
                <w:bCs/>
              </w:rPr>
              <w:t xml:space="preserve"> BMD predict occurrence of osteoporotic fractures</w:t>
            </w:r>
            <w:r>
              <w:rPr>
                <w:b w:val="0"/>
                <w:bCs/>
              </w:rPr>
              <w:t xml:space="preserve"> in men and women</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FF1CAF" w:rsidRDefault="00FF1CAF" w:rsidP="00BD2C35">
            <w:pPr>
              <w:pStyle w:val="TableHeading"/>
              <w:rPr>
                <w:b w:val="0"/>
                <w:bCs/>
              </w:rPr>
            </w:pPr>
            <w:r w:rsidRPr="00FE01FE">
              <w:rPr>
                <w:bCs/>
              </w:rPr>
              <w:t>Search methods</w:t>
            </w:r>
            <w:r>
              <w:rPr>
                <w:b w:val="0"/>
                <w:bCs/>
              </w:rPr>
              <w:t>: Authors collated primary data from 9 population based studies and validated in 11 independent population cohorts</w:t>
            </w:r>
          </w:p>
          <w:p w:rsidR="00FF1CAF" w:rsidRDefault="00FF1CAF" w:rsidP="00BD2C35">
            <w:pPr>
              <w:pStyle w:val="TableHeading"/>
              <w:rPr>
                <w:b w:val="0"/>
                <w:bCs/>
              </w:rPr>
            </w:pPr>
          </w:p>
          <w:p w:rsidR="00FF1CAF" w:rsidRDefault="00FF1CAF" w:rsidP="00BD2C35">
            <w:pPr>
              <w:pStyle w:val="TableHeading"/>
              <w:rPr>
                <w:b w:val="0"/>
                <w:bCs/>
              </w:rPr>
            </w:pPr>
            <w:r w:rsidRPr="000C04E4">
              <w:rPr>
                <w:bCs/>
              </w:rPr>
              <w:t>Studies were included</w:t>
            </w:r>
            <w:r>
              <w:rPr>
                <w:b w:val="0"/>
                <w:bCs/>
              </w:rPr>
              <w:t xml:space="preserve">  </w:t>
            </w:r>
          </w:p>
          <w:p w:rsidR="00FF1CAF" w:rsidRDefault="00FF1CAF" w:rsidP="00BD2C35">
            <w:pPr>
              <w:pStyle w:val="TableHeading"/>
              <w:rPr>
                <w:b w:val="0"/>
                <w:bCs/>
              </w:rPr>
            </w:pPr>
            <w:r>
              <w:rPr>
                <w:b w:val="0"/>
                <w:bCs/>
              </w:rPr>
              <w:t>Primary cohorts: EVOS/EPOS, CaMos, Rochester, Rotterdam, DOES, Gothenburg II, Hiroshima, Sheffield, Gothenburg I.</w:t>
            </w:r>
          </w:p>
          <w:p w:rsidR="00FF1CAF" w:rsidRDefault="00FF1CAF" w:rsidP="00BD2C35">
            <w:pPr>
              <w:pStyle w:val="TableHeading"/>
              <w:rPr>
                <w:b w:val="0"/>
                <w:bCs/>
              </w:rPr>
            </w:pPr>
          </w:p>
          <w:p w:rsidR="00FF1CAF" w:rsidRPr="00FE01FE" w:rsidRDefault="00FF1CAF" w:rsidP="00BD2C35">
            <w:pPr>
              <w:pStyle w:val="TableHeading"/>
              <w:rPr>
                <w:bCs/>
              </w:rPr>
            </w:pPr>
            <w:r>
              <w:rPr>
                <w:b w:val="0"/>
                <w:bCs/>
              </w:rPr>
              <w:t>Validation cohorts: THIN, SOF, York, Geelong I, Geelong II, OPUS, PERF, EPIDOS, Miyama, SEMOF, WHI.</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FF1CAF" w:rsidRDefault="00FF1CAF" w:rsidP="00BD2C35">
            <w:pPr>
              <w:pStyle w:val="TableHeading"/>
              <w:rPr>
                <w:b w:val="0"/>
                <w:bCs/>
              </w:rPr>
            </w:pPr>
            <w:r>
              <w:rPr>
                <w:b w:val="0"/>
                <w:bCs/>
              </w:rPr>
              <w:t>Mean age range:  Primary cohort: 65 years</w:t>
            </w:r>
          </w:p>
          <w:p w:rsidR="00FF1CAF" w:rsidRDefault="00FF1CAF" w:rsidP="00BD2C35">
            <w:pPr>
              <w:pStyle w:val="TableHeading"/>
              <w:rPr>
                <w:b w:val="0"/>
                <w:bCs/>
              </w:rPr>
            </w:pPr>
            <w:r>
              <w:rPr>
                <w:b w:val="0"/>
                <w:bCs/>
              </w:rPr>
              <w:t>Total n=46,340, 68% women,</w:t>
            </w:r>
          </w:p>
          <w:p w:rsidR="00FF1CAF" w:rsidRDefault="00FF1CAF" w:rsidP="00BD2C35">
            <w:pPr>
              <w:pStyle w:val="TableHeading"/>
              <w:rPr>
                <w:b w:val="0"/>
                <w:bCs/>
              </w:rPr>
            </w:pPr>
            <w:r>
              <w:rPr>
                <w:b w:val="0"/>
                <w:bCs/>
              </w:rPr>
              <w:t>850 hip &amp; 3318 other  fractures</w:t>
            </w:r>
          </w:p>
          <w:p w:rsidR="00FF1CAF" w:rsidRDefault="00FF1CAF" w:rsidP="00BD2C35">
            <w:pPr>
              <w:pStyle w:val="TableHeading"/>
              <w:rPr>
                <w:b w:val="0"/>
                <w:bCs/>
              </w:rPr>
            </w:pPr>
          </w:p>
          <w:p w:rsidR="00FF1CAF" w:rsidRDefault="00FF1CAF" w:rsidP="00BD2C35">
            <w:pPr>
              <w:pStyle w:val="TableHeading"/>
              <w:rPr>
                <w:bCs/>
              </w:rPr>
            </w:pPr>
          </w:p>
          <w:p w:rsidR="00FF1CAF" w:rsidRDefault="00FF1CAF" w:rsidP="00BD2C35">
            <w:pPr>
              <w:pStyle w:val="TableHeading"/>
              <w:rPr>
                <w:b w:val="0"/>
                <w:bCs/>
              </w:rPr>
            </w:pPr>
            <w:r>
              <w:rPr>
                <w:bCs/>
              </w:rPr>
              <w:t xml:space="preserve">Intvn: </w:t>
            </w:r>
            <w:r w:rsidRPr="00F45C17">
              <w:rPr>
                <w:b w:val="0"/>
                <w:bCs/>
              </w:rPr>
              <w:t>BMD + clinical risk factors</w:t>
            </w:r>
          </w:p>
          <w:p w:rsidR="00FF1CAF" w:rsidRDefault="00FF1CAF" w:rsidP="00BD2C35">
            <w:pPr>
              <w:pStyle w:val="TableHeading"/>
              <w:rPr>
                <w:b w:val="0"/>
                <w:bCs/>
              </w:rPr>
            </w:pPr>
            <w:r w:rsidRPr="00660B75">
              <w:rPr>
                <w:bCs/>
              </w:rPr>
              <w:t>Comparator</w:t>
            </w:r>
            <w:r>
              <w:rPr>
                <w:b w:val="0"/>
                <w:bCs/>
              </w:rPr>
              <w:t>:  BMD alone or clinical risk factors alone</w:t>
            </w:r>
          </w:p>
          <w:p w:rsidR="00FF1CAF" w:rsidRDefault="00FF1CAF" w:rsidP="00BD2C35">
            <w:pPr>
              <w:pStyle w:val="TableHeading"/>
              <w:rPr>
                <w:b w:val="0"/>
                <w:bCs/>
              </w:rPr>
            </w:pPr>
          </w:p>
          <w:p w:rsidR="00FF1CAF" w:rsidRPr="00FE01FE" w:rsidRDefault="00FF1CAF" w:rsidP="00BD2C35">
            <w:pPr>
              <w:pStyle w:val="TableHeading"/>
              <w:rPr>
                <w:b w:val="0"/>
                <w:bCs/>
              </w:rPr>
            </w:pPr>
            <w:r w:rsidRPr="000C04E4">
              <w:rPr>
                <w:bCs/>
              </w:rPr>
              <w:t>Follow-up duration</w:t>
            </w:r>
            <w:r>
              <w:rPr>
                <w:b w:val="0"/>
                <w:bCs/>
              </w:rPr>
              <w:t>:  189,852 person years</w:t>
            </w:r>
          </w:p>
        </w:tc>
        <w:tc>
          <w:tcPr>
            <w:tcW w:w="857" w:type="pct"/>
            <w:tcBorders>
              <w:top w:val="single" w:sz="4" w:space="0" w:color="auto"/>
              <w:left w:val="single" w:sz="4" w:space="0" w:color="auto"/>
              <w:bottom w:val="single" w:sz="4" w:space="0" w:color="auto"/>
              <w:right w:val="single" w:sz="4" w:space="0" w:color="auto"/>
            </w:tcBorders>
          </w:tcPr>
          <w:p w:rsidR="00FF1CAF" w:rsidRDefault="00FF1CAF" w:rsidP="00BD2C35">
            <w:pPr>
              <w:pStyle w:val="TableHeading"/>
              <w:rPr>
                <w:b w:val="0"/>
                <w:bCs/>
              </w:rPr>
            </w:pPr>
            <w:r>
              <w:rPr>
                <w:b w:val="0"/>
                <w:bCs/>
              </w:rPr>
              <w:t>Use of clinical risk factors enhance BMD measurement by DXA in the prediction of hip and other osteoporotic fractures</w:t>
            </w:r>
          </w:p>
          <w:p w:rsidR="00FF1CAF" w:rsidRDefault="00FF1CAF" w:rsidP="00BD2C35">
            <w:pPr>
              <w:pStyle w:val="TableHeading"/>
              <w:rPr>
                <w:b w:val="0"/>
                <w:bCs/>
              </w:rPr>
            </w:pPr>
          </w:p>
          <w:p w:rsidR="00FF1CAF" w:rsidRPr="000C04E4" w:rsidRDefault="00FF1CAF" w:rsidP="00BD2C35">
            <w:pPr>
              <w:pStyle w:val="TableHeading"/>
              <w:rPr>
                <w:b w:val="0"/>
                <w:bCs/>
              </w:rPr>
            </w:pP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FF1CAF" w:rsidRDefault="00FF1CAF" w:rsidP="00BD2C35">
            <w:pPr>
              <w:pStyle w:val="TableText"/>
            </w:pPr>
            <w:r>
              <w:t>MEDIUM QUALITY</w:t>
            </w:r>
          </w:p>
          <w:p w:rsidR="00FF1CAF" w:rsidRPr="004D57B3" w:rsidRDefault="00FF1CAF" w:rsidP="00BD2C35">
            <w:pPr>
              <w:pStyle w:val="TableText"/>
            </w:pPr>
            <w:r w:rsidRPr="004D57B3">
              <w:t>Was the research question specified?</w:t>
            </w:r>
            <w:r>
              <w:t xml:space="preserve"> Yes</w:t>
            </w:r>
          </w:p>
          <w:p w:rsidR="00FF1CAF" w:rsidRPr="004D57B3" w:rsidRDefault="00FF1CAF" w:rsidP="00BD2C35">
            <w:pPr>
              <w:pStyle w:val="TableText"/>
            </w:pPr>
            <w:r w:rsidRPr="004D57B3">
              <w:t>Was the search strategy explicit and comprehensive?</w:t>
            </w:r>
            <w:r>
              <w:t xml:space="preserve"> n/a</w:t>
            </w:r>
          </w:p>
          <w:p w:rsidR="00FF1CAF" w:rsidRPr="004D57B3" w:rsidRDefault="00FF1CAF" w:rsidP="00BD2C35">
            <w:pPr>
              <w:pStyle w:val="TableText"/>
            </w:pPr>
            <w:r w:rsidRPr="004D57B3">
              <w:t>Were the eligibility criteria explicit and appropriate?</w:t>
            </w:r>
            <w:r>
              <w:t xml:space="preserve"> n/a</w:t>
            </w:r>
          </w:p>
          <w:p w:rsidR="00FF1CAF" w:rsidRPr="004D57B3" w:rsidRDefault="00FF1CAF" w:rsidP="00BD2C35">
            <w:pPr>
              <w:pStyle w:val="TableText"/>
            </w:pPr>
            <w:r w:rsidRPr="004D57B3">
              <w:t>Was a quality assessment of included studies undertaken?</w:t>
            </w:r>
            <w:r>
              <w:t xml:space="preserve"> Yes</w:t>
            </w:r>
          </w:p>
          <w:p w:rsidR="00FF1CAF" w:rsidRPr="004D57B3" w:rsidRDefault="00FF1CAF" w:rsidP="00BD2C35">
            <w:pPr>
              <w:pStyle w:val="TableText"/>
            </w:pPr>
            <w:r w:rsidRPr="004D57B3">
              <w:t>Were the methods of the study appraisal reproducible?</w:t>
            </w:r>
            <w:r>
              <w:t xml:space="preserve"> Yes</w:t>
            </w:r>
          </w:p>
          <w:p w:rsidR="00FF1CAF" w:rsidRPr="004D57B3" w:rsidRDefault="00FF1CAF" w:rsidP="00BD2C35">
            <w:pPr>
              <w:pStyle w:val="TableText"/>
            </w:pPr>
            <w:r w:rsidRPr="004D57B3">
              <w:t>Were sources of heterogeneity explored?</w:t>
            </w:r>
            <w:r>
              <w:t xml:space="preserve"> Yes</w:t>
            </w:r>
          </w:p>
          <w:p w:rsidR="00FF1CAF" w:rsidRPr="00636498" w:rsidRDefault="00FF1CAF" w:rsidP="00BD2C35">
            <w:pPr>
              <w:pStyle w:val="TableHeading"/>
              <w:rPr>
                <w:b w:val="0"/>
                <w:bCs/>
              </w:rPr>
            </w:pPr>
            <w:r w:rsidRPr="00636498">
              <w:rPr>
                <w:b w:val="0"/>
              </w:rPr>
              <w:t>Was a summary of the main results clear and appropriate?</w:t>
            </w:r>
            <w:r>
              <w:rPr>
                <w:b w:val="0"/>
              </w:rPr>
              <w:t xml:space="preserve"> Yes</w:t>
            </w:r>
          </w:p>
        </w:tc>
      </w:tr>
      <w:tr w:rsidR="00FF1CAF" w:rsidRPr="00FC7FEA" w:rsidTr="00BD2C35">
        <w:trPr>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FF1CAF" w:rsidRDefault="00FF1CAF" w:rsidP="00BD2C35">
            <w:pPr>
              <w:pStyle w:val="TableHeading"/>
              <w:rPr>
                <w:b w:val="0"/>
                <w:bCs/>
              </w:rPr>
            </w:pPr>
            <w:r w:rsidRPr="000C04E4">
              <w:rPr>
                <w:bCs/>
              </w:rPr>
              <w:t xml:space="preserve">Meta-analysis pooled results: </w:t>
            </w:r>
            <w:r>
              <w:rPr>
                <w:bCs/>
              </w:rPr>
              <w:t xml:space="preserve"> </w:t>
            </w:r>
            <w:r>
              <w:rPr>
                <w:b w:val="0"/>
                <w:bCs/>
              </w:rPr>
              <w:t>Gradient of risk = increase in fracture risk per SD increase in risk score.</w:t>
            </w:r>
          </w:p>
          <w:p w:rsidR="006755DD" w:rsidRDefault="00FF1CAF" w:rsidP="006755DD">
            <w:pPr>
              <w:pStyle w:val="TableHeading"/>
              <w:rPr>
                <w:b w:val="0"/>
                <w:bCs/>
              </w:rPr>
            </w:pPr>
            <w:r>
              <w:rPr>
                <w:b w:val="0"/>
                <w:bCs/>
              </w:rPr>
              <w:t>Hip fracture (50 year old):</w:t>
            </w:r>
          </w:p>
          <w:p w:rsidR="006755DD" w:rsidRDefault="00FF1CAF" w:rsidP="006755DD">
            <w:pPr>
              <w:pStyle w:val="TableHeading"/>
              <w:rPr>
                <w:b w:val="0"/>
                <w:bCs/>
              </w:rPr>
            </w:pPr>
            <w:r>
              <w:rPr>
                <w:b w:val="0"/>
                <w:bCs/>
              </w:rPr>
              <w:t xml:space="preserve"> BMD alone - GR 3.68 (95%CI: 2.61, 5.19)</w:t>
            </w:r>
          </w:p>
          <w:p w:rsidR="006755DD" w:rsidRDefault="00FF1CAF" w:rsidP="006755DD">
            <w:pPr>
              <w:pStyle w:val="TableHeading"/>
              <w:rPr>
                <w:b w:val="0"/>
                <w:bCs/>
              </w:rPr>
            </w:pPr>
            <w:r>
              <w:rPr>
                <w:b w:val="0"/>
                <w:bCs/>
              </w:rPr>
              <w:t>Clinical risk factors alone - GR 2.05 (95%CI: 1.58, 2.65)</w:t>
            </w:r>
          </w:p>
          <w:p w:rsidR="00FF1CAF" w:rsidRDefault="006755DD" w:rsidP="006755DD">
            <w:pPr>
              <w:pStyle w:val="TableHeading"/>
              <w:rPr>
                <w:b w:val="0"/>
                <w:bCs/>
              </w:rPr>
            </w:pPr>
            <w:r>
              <w:rPr>
                <w:b w:val="0"/>
                <w:bCs/>
              </w:rPr>
              <w:t xml:space="preserve">  </w:t>
            </w:r>
            <w:r w:rsidR="00FF1CAF">
              <w:rPr>
                <w:b w:val="0"/>
                <w:bCs/>
              </w:rPr>
              <w:t>Both - GR 4.23 (95%CI: 3.12, 5.73)</w:t>
            </w:r>
          </w:p>
          <w:p w:rsidR="00FF1CAF" w:rsidRDefault="00FF1CAF" w:rsidP="00BD2C35">
            <w:pPr>
              <w:pStyle w:val="TableHeading"/>
              <w:rPr>
                <w:b w:val="0"/>
                <w:bCs/>
              </w:rPr>
            </w:pPr>
            <w:r>
              <w:rPr>
                <w:b w:val="0"/>
                <w:bCs/>
              </w:rPr>
              <w:t>Other osteoporotic fractures (50 year old):</w:t>
            </w:r>
          </w:p>
          <w:p w:rsidR="00FF1CAF" w:rsidRDefault="00FF1CAF" w:rsidP="00BD2C35">
            <w:pPr>
              <w:pStyle w:val="TableHeading"/>
              <w:rPr>
                <w:b w:val="0"/>
                <w:bCs/>
              </w:rPr>
            </w:pPr>
            <w:r>
              <w:rPr>
                <w:b w:val="0"/>
                <w:bCs/>
              </w:rPr>
              <w:t xml:space="preserve">  BMD alone - GR 1.19 (95%CI: 1.05, 1.34)</w:t>
            </w:r>
          </w:p>
          <w:p w:rsidR="00FF1CAF" w:rsidRDefault="00FF1CAF" w:rsidP="00BD2C35">
            <w:pPr>
              <w:pStyle w:val="TableHeading"/>
              <w:rPr>
                <w:b w:val="0"/>
                <w:bCs/>
              </w:rPr>
            </w:pPr>
            <w:r>
              <w:rPr>
                <w:b w:val="0"/>
                <w:bCs/>
              </w:rPr>
              <w:t xml:space="preserve">  Clinical risk factors alone - GR 1.41 (95%CI: 1.28, 1.56)</w:t>
            </w:r>
          </w:p>
          <w:p w:rsidR="00FF1CAF" w:rsidRDefault="00FF1CAF" w:rsidP="00BD2C35">
            <w:pPr>
              <w:pStyle w:val="TableHeading"/>
              <w:tabs>
                <w:tab w:val="left" w:pos="2266"/>
              </w:tabs>
              <w:rPr>
                <w:b w:val="0"/>
                <w:bCs/>
              </w:rPr>
            </w:pPr>
            <w:r>
              <w:rPr>
                <w:b w:val="0"/>
                <w:bCs/>
              </w:rPr>
              <w:t xml:space="preserve">  Both - GR 1.44 (95%CI: 1.30, 1.59)</w:t>
            </w:r>
          </w:p>
          <w:p w:rsidR="00FF1CAF" w:rsidRDefault="00FF1CAF" w:rsidP="00BD2C35">
            <w:pPr>
              <w:pStyle w:val="TableHeading"/>
              <w:tabs>
                <w:tab w:val="left" w:pos="2266"/>
              </w:tabs>
              <w:rPr>
                <w:b w:val="0"/>
                <w:bCs/>
              </w:rPr>
            </w:pPr>
          </w:p>
          <w:p w:rsidR="00FF1CAF" w:rsidRDefault="00FF1CAF" w:rsidP="00BD2C35">
            <w:pPr>
              <w:pStyle w:val="TableHeading"/>
              <w:rPr>
                <w:b w:val="0"/>
                <w:bCs/>
              </w:rPr>
            </w:pPr>
            <w:r w:rsidRPr="00EC0EDD">
              <w:rPr>
                <w:bCs/>
              </w:rPr>
              <w:t>Authors conclusions</w:t>
            </w:r>
            <w:r>
              <w:rPr>
                <w:b w:val="0"/>
                <w:bCs/>
              </w:rPr>
              <w:t>: Integrated BMD plus clinical risk factors better predicts fracture risk. Both are useful alone.  Absolute fracture risk cannot be provided with data unless further calibration occurs.</w:t>
            </w:r>
          </w:p>
          <w:p w:rsidR="00FF1CAF" w:rsidRDefault="00FF1CAF" w:rsidP="00BD2C35">
            <w:pPr>
              <w:pStyle w:val="TableHeading"/>
              <w:rPr>
                <w:b w:val="0"/>
                <w:bCs/>
              </w:rPr>
            </w:pPr>
          </w:p>
          <w:p w:rsidR="00FF1CAF" w:rsidRPr="00FC7FEA" w:rsidRDefault="00FF1CAF" w:rsidP="00BD2C35">
            <w:pPr>
              <w:pStyle w:val="TableHeading"/>
              <w:rPr>
                <w:bCs/>
              </w:rPr>
            </w:pPr>
          </w:p>
        </w:tc>
      </w:tr>
    </w:tbl>
    <w:p w:rsidR="00FF1CAF" w:rsidRDefault="00FF1CAF" w:rsidP="00FF1CAF"/>
    <w:p w:rsidR="00FF1CAF" w:rsidRDefault="00FF1CAF" w:rsidP="00FF1CAF">
      <w:pPr>
        <w:spacing w:after="200" w:line="276" w:lineRule="auto"/>
        <w:ind w:left="0"/>
      </w:pPr>
      <w:r>
        <w:br w:type="page"/>
      </w:r>
    </w:p>
    <w:tbl>
      <w:tblPr>
        <w:tblW w:w="4804" w:type="pct"/>
        <w:tblLook w:val="01E0" w:firstRow="1" w:lastRow="1" w:firstColumn="1" w:lastColumn="1" w:noHBand="0" w:noVBand="0"/>
        <w:tblCaption w:val="App C Study profile Rud 2007"/>
      </w:tblPr>
      <w:tblGrid>
        <w:gridCol w:w="1405"/>
        <w:gridCol w:w="2105"/>
        <w:gridCol w:w="2408"/>
        <w:gridCol w:w="2691"/>
        <w:gridCol w:w="2334"/>
        <w:gridCol w:w="2675"/>
      </w:tblGrid>
      <w:tr w:rsidR="00FF1CAF" w:rsidRPr="00FC7FEA" w:rsidTr="00BD2C35">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sidRPr="00FC7FEA">
              <w:rPr>
                <w:bCs/>
              </w:rPr>
              <w:lastRenderedPageBreak/>
              <w:t>Author/Year</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Pr>
                <w:bCs/>
              </w:rPr>
              <w:t>Objective of report</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Pr>
                <w:bCs/>
              </w:rPr>
              <w:t>Number and publication dates</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Pr>
                <w:bCs/>
              </w:rPr>
              <w:t>Population considered in included studies, Test comparison</w:t>
            </w:r>
            <w:r w:rsidRPr="00FC7FEA">
              <w:rPr>
                <w:bCs/>
              </w:rPr>
              <w:t xml:space="preserve"> </w:t>
            </w:r>
          </w:p>
        </w:tc>
        <w:tc>
          <w:tcPr>
            <w:tcW w:w="857" w:type="pct"/>
            <w:tcBorders>
              <w:top w:val="single" w:sz="4" w:space="0" w:color="auto"/>
              <w:left w:val="single" w:sz="4" w:space="0" w:color="auto"/>
              <w:bottom w:val="single" w:sz="4" w:space="0" w:color="auto"/>
              <w:right w:val="single" w:sz="4" w:space="0" w:color="auto"/>
            </w:tcBorders>
          </w:tcPr>
          <w:p w:rsidR="00FF1CAF" w:rsidRPr="00FC7FEA" w:rsidRDefault="00FF1CAF" w:rsidP="00BD2C35">
            <w:pPr>
              <w:pStyle w:val="TableHeading"/>
              <w:rPr>
                <w:bCs/>
              </w:rPr>
            </w:pPr>
            <w:r>
              <w:rPr>
                <w:bCs/>
              </w:rPr>
              <w:t>Conclusions/recommendation</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FF1CAF" w:rsidRPr="00FC7FEA" w:rsidRDefault="00FF1CAF" w:rsidP="00BD2C35">
            <w:pPr>
              <w:pStyle w:val="TableHeading"/>
              <w:rPr>
                <w:bCs/>
              </w:rPr>
            </w:pPr>
            <w:r w:rsidRPr="00FC7FEA">
              <w:rPr>
                <w:bCs/>
              </w:rPr>
              <w:t>Quality assessment</w:t>
            </w:r>
          </w:p>
        </w:tc>
      </w:tr>
      <w:tr w:rsidR="00FF1CAF" w:rsidRPr="00FE01FE" w:rsidTr="00BD2C35">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FF1CAF" w:rsidRPr="00FE01FE" w:rsidRDefault="00FF1CAF" w:rsidP="00BD2C35">
            <w:pPr>
              <w:pStyle w:val="TableHeading"/>
              <w:rPr>
                <w:b w:val="0"/>
                <w:bCs/>
              </w:rPr>
            </w:pPr>
            <w:r>
              <w:rPr>
                <w:b w:val="0"/>
                <w:bCs/>
              </w:rPr>
              <w:t>Rud 2007</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FF1CAF" w:rsidRPr="000C04E4" w:rsidRDefault="00FF1CAF" w:rsidP="00BD2C35">
            <w:pPr>
              <w:pStyle w:val="TableHeading"/>
              <w:rPr>
                <w:b w:val="0"/>
                <w:bCs/>
              </w:rPr>
            </w:pPr>
            <w:r w:rsidRPr="000C04E4">
              <w:rPr>
                <w:b w:val="0"/>
                <w:bCs/>
              </w:rPr>
              <w:t>To assess</w:t>
            </w:r>
            <w:r>
              <w:rPr>
                <w:b w:val="0"/>
                <w:bCs/>
              </w:rPr>
              <w:t xml:space="preserve"> the performance of the Osteoporosis Self-Assessment Tool versus DXA BMD measurements via systematic review</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FF1CAF" w:rsidRDefault="00FF1CAF" w:rsidP="00BD2C35">
            <w:pPr>
              <w:pStyle w:val="TableHeading"/>
              <w:rPr>
                <w:b w:val="0"/>
                <w:bCs/>
              </w:rPr>
            </w:pPr>
            <w:r w:rsidRPr="00FE01FE">
              <w:rPr>
                <w:bCs/>
              </w:rPr>
              <w:t>Search methods</w:t>
            </w:r>
            <w:r>
              <w:rPr>
                <w:b w:val="0"/>
                <w:bCs/>
              </w:rPr>
              <w:t xml:space="preserve">: Publications up to 2005 </w:t>
            </w:r>
            <w:r w:rsidRPr="00FE01FE">
              <w:rPr>
                <w:b w:val="0"/>
                <w:bCs/>
              </w:rPr>
              <w:t xml:space="preserve">were selected from </w:t>
            </w:r>
            <w:r>
              <w:rPr>
                <w:b w:val="0"/>
                <w:bCs/>
              </w:rPr>
              <w:t>PubMed, Web of Science, citation lists conference proceedings</w:t>
            </w:r>
            <w:r w:rsidRPr="00FE01FE">
              <w:rPr>
                <w:b w:val="0"/>
                <w:bCs/>
              </w:rPr>
              <w:t>, EMBASE</w:t>
            </w:r>
            <w:r>
              <w:rPr>
                <w:b w:val="0"/>
                <w:bCs/>
              </w:rPr>
              <w:t>, SweMed, reference lists, known grey literature</w:t>
            </w:r>
            <w:r w:rsidRPr="00FE01FE">
              <w:rPr>
                <w:b w:val="0"/>
                <w:bCs/>
              </w:rPr>
              <w:t>.</w:t>
            </w:r>
          </w:p>
          <w:p w:rsidR="00FF1CAF" w:rsidRDefault="00FF1CAF" w:rsidP="00BD2C35">
            <w:pPr>
              <w:pStyle w:val="TableHeading"/>
              <w:rPr>
                <w:b w:val="0"/>
                <w:bCs/>
              </w:rPr>
            </w:pPr>
          </w:p>
          <w:p w:rsidR="00FF1CAF" w:rsidRPr="00FE01FE" w:rsidRDefault="00FF1CAF" w:rsidP="00BD2C35">
            <w:pPr>
              <w:pStyle w:val="TableHeading"/>
              <w:rPr>
                <w:bCs/>
              </w:rPr>
            </w:pPr>
            <w:r w:rsidRPr="000C04E4">
              <w:rPr>
                <w:bCs/>
              </w:rPr>
              <w:t>Studies were included</w:t>
            </w:r>
            <w:r>
              <w:rPr>
                <w:b w:val="0"/>
                <w:bCs/>
              </w:rPr>
              <w:t xml:space="preserve"> if they assessed performance of OST in peri or </w:t>
            </w:r>
            <w:r w:rsidR="007A119D">
              <w:rPr>
                <w:b w:val="0"/>
                <w:bCs/>
              </w:rPr>
              <w:t>post-menopaus</w:t>
            </w:r>
            <w:r>
              <w:rPr>
                <w:b w:val="0"/>
                <w:bCs/>
              </w:rPr>
              <w:t>al women (mean age ≥ 45 years). BMD of any of : femoral neck, total hip, lumbar spine</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6755DD" w:rsidRDefault="00FF1CAF" w:rsidP="00BD2C35">
            <w:pPr>
              <w:pStyle w:val="TableHeading"/>
              <w:rPr>
                <w:b w:val="0"/>
                <w:bCs/>
              </w:rPr>
            </w:pPr>
            <w:r>
              <w:rPr>
                <w:b w:val="0"/>
                <w:bCs/>
              </w:rPr>
              <w:t xml:space="preserve"> 36 studies, n =72315 women, median sample size 780.</w:t>
            </w:r>
          </w:p>
          <w:p w:rsidR="006755DD" w:rsidRDefault="006755DD" w:rsidP="00BD2C35">
            <w:pPr>
              <w:pStyle w:val="TableHeading"/>
              <w:rPr>
                <w:bCs/>
              </w:rPr>
            </w:pPr>
          </w:p>
          <w:p w:rsidR="00FF1CAF" w:rsidRDefault="00FF1CAF" w:rsidP="00BD2C35">
            <w:pPr>
              <w:pStyle w:val="TableHeading"/>
              <w:rPr>
                <w:b w:val="0"/>
                <w:bCs/>
              </w:rPr>
            </w:pPr>
            <w:r w:rsidRPr="00636498">
              <w:rPr>
                <w:bCs/>
              </w:rPr>
              <w:t>Test</w:t>
            </w:r>
            <w:r>
              <w:rPr>
                <w:b w:val="0"/>
                <w:bCs/>
              </w:rPr>
              <w:t xml:space="preserve">: OST </w:t>
            </w:r>
          </w:p>
          <w:p w:rsidR="00FF1CAF" w:rsidRDefault="00FF1CAF" w:rsidP="00BD2C35">
            <w:pPr>
              <w:pStyle w:val="TableHeading"/>
              <w:rPr>
                <w:b w:val="0"/>
                <w:bCs/>
              </w:rPr>
            </w:pPr>
            <w:r w:rsidRPr="00660B75">
              <w:rPr>
                <w:bCs/>
              </w:rPr>
              <w:t>Comparator</w:t>
            </w:r>
            <w:r>
              <w:rPr>
                <w:b w:val="0"/>
                <w:bCs/>
              </w:rPr>
              <w:t>: DXA</w:t>
            </w:r>
          </w:p>
          <w:p w:rsidR="00FF1CAF" w:rsidRDefault="00FF1CAF" w:rsidP="00BD2C35">
            <w:pPr>
              <w:pStyle w:val="TableHeading"/>
              <w:rPr>
                <w:b w:val="0"/>
                <w:bCs/>
              </w:rPr>
            </w:pPr>
          </w:p>
          <w:p w:rsidR="00FF1CAF" w:rsidRDefault="00FF1CAF" w:rsidP="00BD2C35">
            <w:pPr>
              <w:pStyle w:val="TableHeading"/>
              <w:rPr>
                <w:b w:val="0"/>
                <w:bCs/>
              </w:rPr>
            </w:pPr>
            <w:r w:rsidRPr="000C04E4">
              <w:rPr>
                <w:bCs/>
              </w:rPr>
              <w:t>Follow-up duration</w:t>
            </w:r>
            <w:r>
              <w:rPr>
                <w:b w:val="0"/>
                <w:bCs/>
              </w:rPr>
              <w:t>: Range 1.8 to 24 years, weighted average 5.8 years</w:t>
            </w:r>
          </w:p>
          <w:p w:rsidR="00FF1CAF" w:rsidRPr="00FE01FE" w:rsidRDefault="00FF1CAF" w:rsidP="00BD2C35">
            <w:pPr>
              <w:pStyle w:val="TableHeading"/>
              <w:rPr>
                <w:b w:val="0"/>
                <w:bCs/>
              </w:rPr>
            </w:pPr>
            <w:r>
              <w:rPr>
                <w:b w:val="0"/>
                <w:bCs/>
              </w:rPr>
              <w:t>ORs and RR were assumed equal.</w:t>
            </w:r>
          </w:p>
        </w:tc>
        <w:tc>
          <w:tcPr>
            <w:tcW w:w="857" w:type="pct"/>
            <w:tcBorders>
              <w:top w:val="single" w:sz="4" w:space="0" w:color="auto"/>
              <w:left w:val="single" w:sz="4" w:space="0" w:color="auto"/>
              <w:bottom w:val="single" w:sz="4" w:space="0" w:color="auto"/>
              <w:right w:val="single" w:sz="4" w:space="0" w:color="auto"/>
            </w:tcBorders>
          </w:tcPr>
          <w:p w:rsidR="00FF1CAF" w:rsidRDefault="00FF1CAF" w:rsidP="00BD2C35">
            <w:pPr>
              <w:pStyle w:val="TableHeading"/>
              <w:rPr>
                <w:b w:val="0"/>
                <w:bCs/>
              </w:rPr>
            </w:pPr>
            <w:r>
              <w:rPr>
                <w:b w:val="0"/>
                <w:bCs/>
              </w:rPr>
              <w:t xml:space="preserve">Clinical usefulness of OST is uncertain. It could be used to rule out femoral neck T-score </w:t>
            </w:r>
            <w:r w:rsidRPr="00C61D2E">
              <w:rPr>
                <w:b w:val="0"/>
                <w:bCs/>
              </w:rPr>
              <w:t>≤-2.5</w:t>
            </w:r>
            <w:r>
              <w:rPr>
                <w:b w:val="0"/>
                <w:bCs/>
              </w:rPr>
              <w:t>.</w:t>
            </w:r>
          </w:p>
          <w:p w:rsidR="00FF1CAF" w:rsidRDefault="00FF1CAF" w:rsidP="00BD2C35">
            <w:pPr>
              <w:pStyle w:val="TableHeading"/>
              <w:rPr>
                <w:b w:val="0"/>
                <w:bCs/>
              </w:rPr>
            </w:pPr>
            <w:r>
              <w:rPr>
                <w:b w:val="0"/>
                <w:bCs/>
              </w:rPr>
              <w:t>Quality of studies according to QUADAS assessment was generally low.</w:t>
            </w:r>
          </w:p>
          <w:p w:rsidR="00FF1CAF" w:rsidRPr="000C04E4" w:rsidRDefault="00FF1CAF" w:rsidP="00BD2C35">
            <w:pPr>
              <w:pStyle w:val="TableHeading"/>
              <w:rPr>
                <w:b w:val="0"/>
                <w:bCs/>
              </w:rPr>
            </w:pPr>
            <w:r>
              <w:rPr>
                <w:b w:val="0"/>
                <w:bCs/>
              </w:rPr>
              <w:t>Heterogeneity between studies was high.</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FF1CAF" w:rsidRDefault="00FF1CAF" w:rsidP="00BD2C35">
            <w:pPr>
              <w:pStyle w:val="TableText"/>
            </w:pPr>
            <w:r>
              <w:t>HIGH QUALITY</w:t>
            </w:r>
          </w:p>
          <w:p w:rsidR="00FF1CAF" w:rsidRPr="004D57B3" w:rsidRDefault="00FF1CAF" w:rsidP="00BD2C35">
            <w:pPr>
              <w:pStyle w:val="TableText"/>
            </w:pPr>
            <w:r w:rsidRPr="004D57B3">
              <w:t>Was the research question specified?</w:t>
            </w:r>
            <w:r>
              <w:t xml:space="preserve"> Yes</w:t>
            </w:r>
          </w:p>
          <w:p w:rsidR="00FF1CAF" w:rsidRPr="004D57B3" w:rsidRDefault="00FF1CAF" w:rsidP="00BD2C35">
            <w:pPr>
              <w:pStyle w:val="TableText"/>
            </w:pPr>
            <w:r w:rsidRPr="004D57B3">
              <w:t>Was the search strategy explicit and comprehensive?</w:t>
            </w:r>
            <w:r>
              <w:t xml:space="preserve"> Yes</w:t>
            </w:r>
          </w:p>
          <w:p w:rsidR="00FF1CAF" w:rsidRPr="004D57B3" w:rsidRDefault="00FF1CAF" w:rsidP="00BD2C35">
            <w:pPr>
              <w:pStyle w:val="TableText"/>
            </w:pPr>
            <w:r w:rsidRPr="004D57B3">
              <w:t>Were the eligibility criteria explicit and appropriate?</w:t>
            </w:r>
            <w:r>
              <w:t xml:space="preserve"> Yes</w:t>
            </w:r>
          </w:p>
          <w:p w:rsidR="00FF1CAF" w:rsidRPr="004D57B3" w:rsidRDefault="00FF1CAF" w:rsidP="00BD2C35">
            <w:pPr>
              <w:pStyle w:val="TableText"/>
            </w:pPr>
            <w:r w:rsidRPr="004D57B3">
              <w:t>Was a quality assessment of included studies undertaken?</w:t>
            </w:r>
            <w:r>
              <w:t xml:space="preserve"> Yes QUADAS used</w:t>
            </w:r>
          </w:p>
          <w:p w:rsidR="00FF1CAF" w:rsidRPr="004D57B3" w:rsidRDefault="00FF1CAF" w:rsidP="00BD2C35">
            <w:pPr>
              <w:pStyle w:val="TableText"/>
            </w:pPr>
            <w:r w:rsidRPr="004D57B3">
              <w:t>Were the methods of the study appraisal reproducible?</w:t>
            </w:r>
            <w:r>
              <w:t xml:space="preserve"> Yes</w:t>
            </w:r>
          </w:p>
          <w:p w:rsidR="00FF1CAF" w:rsidRPr="004D57B3" w:rsidRDefault="00FF1CAF" w:rsidP="00BD2C35">
            <w:pPr>
              <w:pStyle w:val="TableText"/>
            </w:pPr>
            <w:r w:rsidRPr="004D57B3">
              <w:t>Were sources of heterogeneity explored?</w:t>
            </w:r>
            <w:r>
              <w:t xml:space="preserve"> Yes</w:t>
            </w:r>
          </w:p>
          <w:p w:rsidR="00FF1CAF" w:rsidRPr="00636498" w:rsidRDefault="00FF1CAF" w:rsidP="00BD2C35">
            <w:pPr>
              <w:pStyle w:val="TableHeading"/>
              <w:rPr>
                <w:b w:val="0"/>
                <w:bCs/>
              </w:rPr>
            </w:pPr>
            <w:r w:rsidRPr="00636498">
              <w:rPr>
                <w:b w:val="0"/>
              </w:rPr>
              <w:t>Was a summary of the main results clear and appropriate?</w:t>
            </w:r>
            <w:r>
              <w:rPr>
                <w:b w:val="0"/>
              </w:rPr>
              <w:t xml:space="preserve"> Yes</w:t>
            </w:r>
          </w:p>
        </w:tc>
      </w:tr>
      <w:tr w:rsidR="00FF1CAF" w:rsidRPr="00FC7FEA" w:rsidTr="00BD2C35">
        <w:trPr>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FF1CAF" w:rsidRDefault="00FF1CAF" w:rsidP="00BD2C35">
            <w:pPr>
              <w:pStyle w:val="TableHeading"/>
              <w:tabs>
                <w:tab w:val="left" w:pos="2266"/>
              </w:tabs>
              <w:rPr>
                <w:bCs/>
              </w:rPr>
            </w:pPr>
            <w:r w:rsidRPr="000C04E4">
              <w:rPr>
                <w:bCs/>
              </w:rPr>
              <w:t xml:space="preserve">Meta-analysis pooled results: </w:t>
            </w:r>
          </w:p>
          <w:p w:rsidR="00FF1CAF" w:rsidRPr="009E31DB" w:rsidRDefault="00FF1CAF" w:rsidP="00BD2C35">
            <w:pPr>
              <w:pStyle w:val="TableHeading"/>
              <w:tabs>
                <w:tab w:val="left" w:pos="2266"/>
              </w:tabs>
              <w:rPr>
                <w:b w:val="0"/>
                <w:bCs/>
              </w:rPr>
            </w:pPr>
            <w:r w:rsidRPr="009E31DB">
              <w:rPr>
                <w:b w:val="0"/>
                <w:bCs/>
              </w:rPr>
              <w:t>Range depending on BMD location:</w:t>
            </w:r>
          </w:p>
          <w:p w:rsidR="00FF1CAF" w:rsidRDefault="00FF1CAF" w:rsidP="00BD2C35">
            <w:pPr>
              <w:pStyle w:val="TableHeading"/>
              <w:tabs>
                <w:tab w:val="left" w:pos="2266"/>
              </w:tabs>
              <w:rPr>
                <w:b w:val="0"/>
                <w:bCs/>
              </w:rPr>
            </w:pPr>
            <w:r w:rsidRPr="00C61D2E">
              <w:rPr>
                <w:b w:val="0"/>
                <w:bCs/>
              </w:rPr>
              <w:t>White women: T</w:t>
            </w:r>
            <w:r>
              <w:rPr>
                <w:b w:val="0"/>
                <w:bCs/>
              </w:rPr>
              <w:t xml:space="preserve"> score </w:t>
            </w:r>
            <w:r w:rsidRPr="00C61D2E">
              <w:rPr>
                <w:b w:val="0"/>
                <w:bCs/>
              </w:rPr>
              <w:t>≤-2.5 sensitivity 84-92% specificity 34-40%</w:t>
            </w:r>
          </w:p>
          <w:p w:rsidR="00FF1CAF" w:rsidRPr="00C61D2E" w:rsidRDefault="00FF1CAF" w:rsidP="00BD2C35">
            <w:pPr>
              <w:pStyle w:val="TableHeading"/>
              <w:tabs>
                <w:tab w:val="left" w:pos="2266"/>
              </w:tabs>
              <w:rPr>
                <w:b w:val="0"/>
                <w:bCs/>
              </w:rPr>
            </w:pPr>
            <w:r w:rsidRPr="00C61D2E">
              <w:rPr>
                <w:b w:val="0"/>
                <w:bCs/>
              </w:rPr>
              <w:t>Asian women: T</w:t>
            </w:r>
            <w:r>
              <w:rPr>
                <w:b w:val="0"/>
                <w:bCs/>
              </w:rPr>
              <w:t xml:space="preserve"> score </w:t>
            </w:r>
            <w:r w:rsidRPr="00C61D2E">
              <w:rPr>
                <w:b w:val="0"/>
                <w:bCs/>
              </w:rPr>
              <w:t>≤-2.5 sensitivity 82-91% specificity 40-64%</w:t>
            </w:r>
          </w:p>
          <w:p w:rsidR="00FF1CAF" w:rsidRPr="00C61D2E" w:rsidRDefault="00FF1CAF" w:rsidP="00BD2C35">
            <w:pPr>
              <w:pStyle w:val="TableHeading"/>
              <w:tabs>
                <w:tab w:val="left" w:pos="2266"/>
              </w:tabs>
              <w:rPr>
                <w:b w:val="0"/>
                <w:bCs/>
              </w:rPr>
            </w:pPr>
            <w:r w:rsidRPr="00C61D2E">
              <w:rPr>
                <w:b w:val="0"/>
                <w:bCs/>
              </w:rPr>
              <w:t>White women: T</w:t>
            </w:r>
            <w:r>
              <w:rPr>
                <w:b w:val="0"/>
                <w:bCs/>
              </w:rPr>
              <w:t xml:space="preserve"> score </w:t>
            </w:r>
            <w:r w:rsidRPr="00C61D2E">
              <w:rPr>
                <w:b w:val="0"/>
                <w:bCs/>
              </w:rPr>
              <w:t>≤-2.0 sensitivity 82-88% specificity 36-44%</w:t>
            </w:r>
          </w:p>
          <w:p w:rsidR="00FF1CAF" w:rsidRPr="00C61D2E" w:rsidRDefault="00FF1CAF" w:rsidP="00BD2C35">
            <w:pPr>
              <w:pStyle w:val="TableHeading"/>
              <w:tabs>
                <w:tab w:val="left" w:pos="2266"/>
              </w:tabs>
              <w:rPr>
                <w:b w:val="0"/>
                <w:bCs/>
              </w:rPr>
            </w:pPr>
          </w:p>
          <w:p w:rsidR="00FF1CAF" w:rsidRPr="000C04E4" w:rsidRDefault="00FF1CAF" w:rsidP="00BD2C35">
            <w:pPr>
              <w:pStyle w:val="TableHeading"/>
              <w:tabs>
                <w:tab w:val="left" w:pos="2266"/>
              </w:tabs>
              <w:rPr>
                <w:b w:val="0"/>
                <w:bCs/>
              </w:rPr>
            </w:pPr>
            <w:r>
              <w:rPr>
                <w:b w:val="0"/>
              </w:rPr>
              <w:t>Likelihood Ratio of a Negative Test  - White women: any region overall 0.37 (95%CI:0.27, 0.51) I</w:t>
            </w:r>
            <w:r w:rsidRPr="009E31DB">
              <w:rPr>
                <w:b w:val="0"/>
                <w:vertAlign w:val="superscript"/>
              </w:rPr>
              <w:t>2</w:t>
            </w:r>
            <w:r w:rsidRPr="009E31DB">
              <w:rPr>
                <w:b w:val="0"/>
              </w:rPr>
              <w:t>=</w:t>
            </w:r>
            <w:r>
              <w:rPr>
                <w:b w:val="0"/>
              </w:rPr>
              <w:t>88%  Asian women: any region overall 0.29 (95%CI: 0.23, 0.37) I</w:t>
            </w:r>
            <w:r w:rsidRPr="009E31DB">
              <w:rPr>
                <w:b w:val="0"/>
                <w:vertAlign w:val="superscript"/>
              </w:rPr>
              <w:t>2</w:t>
            </w:r>
            <w:r w:rsidRPr="009E31DB">
              <w:rPr>
                <w:b w:val="0"/>
              </w:rPr>
              <w:t>=</w:t>
            </w:r>
            <w:r>
              <w:rPr>
                <w:b w:val="0"/>
              </w:rPr>
              <w:t>41%</w:t>
            </w:r>
            <w:r w:rsidR="006755DD">
              <w:rPr>
                <w:b w:val="0"/>
              </w:rPr>
              <w:t xml:space="preserve"> </w:t>
            </w:r>
          </w:p>
          <w:p w:rsidR="00FF1CAF" w:rsidRDefault="00FF1CAF" w:rsidP="00BD2C35">
            <w:pPr>
              <w:pStyle w:val="TableHeading"/>
              <w:tabs>
                <w:tab w:val="left" w:pos="2266"/>
              </w:tabs>
              <w:rPr>
                <w:b w:val="0"/>
                <w:bCs/>
              </w:rPr>
            </w:pPr>
          </w:p>
          <w:p w:rsidR="00FF1CAF" w:rsidRDefault="00FF1CAF" w:rsidP="00BD2C35">
            <w:pPr>
              <w:pStyle w:val="TableHeading"/>
              <w:rPr>
                <w:b w:val="0"/>
                <w:bCs/>
              </w:rPr>
            </w:pPr>
            <w:r w:rsidRPr="00EC0EDD">
              <w:rPr>
                <w:bCs/>
              </w:rPr>
              <w:t>Authors conclusions</w:t>
            </w:r>
            <w:r>
              <w:rPr>
                <w:b w:val="0"/>
                <w:bCs/>
              </w:rPr>
              <w:t>: The evidence is of generally low quality to support the clinical usefulness of OST in ruling out low BMD indicating osteoporosis</w:t>
            </w:r>
          </w:p>
          <w:p w:rsidR="00FF1CAF" w:rsidRDefault="00FF1CAF" w:rsidP="00BD2C35">
            <w:pPr>
              <w:pStyle w:val="TableHeading"/>
              <w:rPr>
                <w:b w:val="0"/>
                <w:bCs/>
              </w:rPr>
            </w:pPr>
          </w:p>
          <w:p w:rsidR="00FF1CAF" w:rsidRPr="00FC7FEA" w:rsidRDefault="00FF1CAF" w:rsidP="00BD2C35">
            <w:pPr>
              <w:pStyle w:val="TableHeading"/>
              <w:rPr>
                <w:bCs/>
              </w:rPr>
            </w:pPr>
          </w:p>
        </w:tc>
      </w:tr>
    </w:tbl>
    <w:p w:rsidR="00FF1CAF" w:rsidRDefault="00FF1CAF" w:rsidP="00FF1CAF"/>
    <w:p w:rsidR="00FF1CAF" w:rsidRDefault="00FF1CAF" w:rsidP="00FF1CAF"/>
    <w:tbl>
      <w:tblPr>
        <w:tblW w:w="4804" w:type="pct"/>
        <w:tblLook w:val="01E0" w:firstRow="1" w:lastRow="1" w:firstColumn="1" w:lastColumn="1" w:noHBand="0" w:noVBand="0"/>
        <w:tblCaption w:val="App C Study profile Martyn St James 2009"/>
      </w:tblPr>
      <w:tblGrid>
        <w:gridCol w:w="1405"/>
        <w:gridCol w:w="2105"/>
        <w:gridCol w:w="2408"/>
        <w:gridCol w:w="2691"/>
        <w:gridCol w:w="2334"/>
        <w:gridCol w:w="2675"/>
      </w:tblGrid>
      <w:tr w:rsidR="009245A6" w:rsidRPr="00FC7FEA" w:rsidTr="00BD2C35">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9245A6" w:rsidRPr="00FC7FEA" w:rsidRDefault="009245A6" w:rsidP="00BD2C35">
            <w:pPr>
              <w:pStyle w:val="TableHeading"/>
              <w:rPr>
                <w:bCs/>
              </w:rPr>
            </w:pPr>
            <w:r w:rsidRPr="00FC7FEA">
              <w:rPr>
                <w:bCs/>
              </w:rPr>
              <w:lastRenderedPageBreak/>
              <w:t>Author/Year</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9245A6" w:rsidRPr="00FC7FEA" w:rsidRDefault="009245A6" w:rsidP="00BD2C35">
            <w:pPr>
              <w:pStyle w:val="TableHeading"/>
              <w:rPr>
                <w:bCs/>
              </w:rPr>
            </w:pPr>
            <w:r>
              <w:rPr>
                <w:bCs/>
              </w:rPr>
              <w:t>Objective of report</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9245A6" w:rsidRPr="00FC7FEA" w:rsidRDefault="009245A6" w:rsidP="00BD2C35">
            <w:pPr>
              <w:pStyle w:val="TableHeading"/>
              <w:rPr>
                <w:bCs/>
              </w:rPr>
            </w:pPr>
            <w:r>
              <w:rPr>
                <w:bCs/>
              </w:rPr>
              <w:t>Number and publication dates</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9245A6" w:rsidRPr="00FC7FEA" w:rsidRDefault="009245A6" w:rsidP="009245A6">
            <w:pPr>
              <w:pStyle w:val="TableHeading"/>
              <w:rPr>
                <w:bCs/>
              </w:rPr>
            </w:pPr>
            <w:r>
              <w:rPr>
                <w:bCs/>
              </w:rPr>
              <w:t>Population considered in included studies, intervention comparison</w:t>
            </w:r>
            <w:r w:rsidRPr="00FC7FEA">
              <w:rPr>
                <w:bCs/>
              </w:rPr>
              <w:t xml:space="preserve"> </w:t>
            </w:r>
          </w:p>
        </w:tc>
        <w:tc>
          <w:tcPr>
            <w:tcW w:w="857" w:type="pct"/>
            <w:tcBorders>
              <w:top w:val="single" w:sz="4" w:space="0" w:color="auto"/>
              <w:left w:val="single" w:sz="4" w:space="0" w:color="auto"/>
              <w:bottom w:val="single" w:sz="4" w:space="0" w:color="auto"/>
              <w:right w:val="single" w:sz="4" w:space="0" w:color="auto"/>
            </w:tcBorders>
          </w:tcPr>
          <w:p w:rsidR="009245A6" w:rsidRPr="00FC7FEA" w:rsidRDefault="009245A6" w:rsidP="00BD2C35">
            <w:pPr>
              <w:pStyle w:val="TableHeading"/>
              <w:rPr>
                <w:bCs/>
              </w:rPr>
            </w:pPr>
            <w:r>
              <w:rPr>
                <w:bCs/>
              </w:rPr>
              <w:t>Conclusions/recommendation</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9245A6" w:rsidRPr="00FC7FEA" w:rsidRDefault="009245A6" w:rsidP="00BD2C35">
            <w:pPr>
              <w:pStyle w:val="TableHeading"/>
              <w:rPr>
                <w:bCs/>
              </w:rPr>
            </w:pPr>
            <w:r w:rsidRPr="00FC7FEA">
              <w:rPr>
                <w:bCs/>
              </w:rPr>
              <w:t>Quality assessment</w:t>
            </w:r>
          </w:p>
        </w:tc>
      </w:tr>
      <w:tr w:rsidR="009245A6" w:rsidRPr="00FE01FE" w:rsidTr="00BD2C35">
        <w:trPr>
          <w:tblHeader/>
        </w:trPr>
        <w:tc>
          <w:tcPr>
            <w:tcW w:w="516" w:type="pct"/>
            <w:tcBorders>
              <w:top w:val="single" w:sz="4" w:space="0" w:color="auto"/>
              <w:left w:val="single" w:sz="4" w:space="0" w:color="auto"/>
              <w:bottom w:val="single" w:sz="4" w:space="0" w:color="auto"/>
              <w:right w:val="single" w:sz="4" w:space="0" w:color="auto"/>
            </w:tcBorders>
            <w:shd w:val="clear" w:color="auto" w:fill="auto"/>
          </w:tcPr>
          <w:p w:rsidR="009245A6" w:rsidRPr="001C7B1B" w:rsidRDefault="009245A6" w:rsidP="00BD2C35">
            <w:pPr>
              <w:pStyle w:val="TableHeading"/>
              <w:rPr>
                <w:b w:val="0"/>
                <w:bCs/>
                <w:highlight w:val="yellow"/>
              </w:rPr>
            </w:pPr>
            <w:r w:rsidRPr="006C1527">
              <w:rPr>
                <w:b w:val="0"/>
                <w:bCs/>
              </w:rPr>
              <w:t xml:space="preserve">Martyn St James </w:t>
            </w:r>
            <w:r w:rsidR="006C1527" w:rsidRPr="006C1527">
              <w:rPr>
                <w:b w:val="0"/>
                <w:bCs/>
              </w:rPr>
              <w:t xml:space="preserve">&amp; Carroll </w:t>
            </w:r>
            <w:r w:rsidRPr="006C1527">
              <w:rPr>
                <w:b w:val="0"/>
                <w:bCs/>
              </w:rPr>
              <w:t>2009</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9245A6" w:rsidRDefault="006C1527" w:rsidP="006C1527">
            <w:pPr>
              <w:pStyle w:val="TableText"/>
              <w:rPr>
                <w:shd w:val="clear" w:color="auto" w:fill="FFFFFF"/>
              </w:rPr>
            </w:pPr>
            <w:r>
              <w:rPr>
                <w:shd w:val="clear" w:color="auto" w:fill="FFFFFF"/>
              </w:rPr>
              <w:t xml:space="preserve">To assess the effects of differing impact exercise protocols on </w:t>
            </w:r>
            <w:r w:rsidR="007A119D">
              <w:rPr>
                <w:shd w:val="clear" w:color="auto" w:fill="FFFFFF"/>
              </w:rPr>
              <w:t>post-menopaus</w:t>
            </w:r>
            <w:r>
              <w:rPr>
                <w:shd w:val="clear" w:color="auto" w:fill="FFFFFF"/>
              </w:rPr>
              <w:t>al bone loss at the hip and spine.</w:t>
            </w:r>
          </w:p>
          <w:p w:rsidR="006C1527" w:rsidRDefault="006C1527" w:rsidP="006C1527">
            <w:pPr>
              <w:pStyle w:val="TableText"/>
              <w:rPr>
                <w:shd w:val="clear" w:color="auto" w:fill="FFFFFF"/>
              </w:rPr>
            </w:pPr>
          </w:p>
          <w:p w:rsidR="006C1527" w:rsidRPr="006C1527" w:rsidRDefault="006C1527" w:rsidP="006C1527">
            <w:pPr>
              <w:pStyle w:val="TableText"/>
            </w:pPr>
            <w:r w:rsidRPr="006C1527">
              <w:t>Systematic review and meta-analysis.</w:t>
            </w:r>
            <w:r w:rsidR="00DD50AC">
              <w:t xml:space="preserve"> 15 trials were included, randomised allocation in 10 trials</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6C1527" w:rsidRDefault="009245A6" w:rsidP="006C1527">
            <w:pPr>
              <w:pStyle w:val="TableText"/>
            </w:pPr>
            <w:r w:rsidRPr="00FE01FE">
              <w:t xml:space="preserve">Search methods: Publications </w:t>
            </w:r>
            <w:r w:rsidR="006C1527">
              <w:t>up to</w:t>
            </w:r>
            <w:r w:rsidRPr="00FE01FE">
              <w:t xml:space="preserve"> </w:t>
            </w:r>
            <w:r w:rsidR="006C1527">
              <w:t>Mar 2008</w:t>
            </w:r>
            <w:r w:rsidRPr="00FE01FE">
              <w:t xml:space="preserve"> were selected from MEDLINE, EMBASE and other electronic databases.</w:t>
            </w:r>
            <w:r w:rsidR="006C1527">
              <w:t xml:space="preserve"> </w:t>
            </w:r>
            <w:r w:rsidR="006C1527" w:rsidRPr="006C1527">
              <w:t>Additional references from 1986 to end March 2008 were searched for manually inselected peer-reviewed journals  along with reference</w:t>
            </w:r>
            <w:r w:rsidR="006C1527">
              <w:t xml:space="preserve"> </w:t>
            </w:r>
            <w:r w:rsidR="006C1527" w:rsidRPr="006C1527">
              <w:t>lists of other exercise reviews in the area reference lists of</w:t>
            </w:r>
            <w:r w:rsidR="006C1527">
              <w:t xml:space="preserve"> </w:t>
            </w:r>
            <w:r w:rsidR="006C1527" w:rsidRPr="006C1527">
              <w:t>articles identified for inclusion and web searches</w:t>
            </w:r>
            <w:r w:rsidR="006C1527">
              <w:t xml:space="preserve"> </w:t>
            </w:r>
          </w:p>
          <w:p w:rsidR="006C1527" w:rsidRDefault="006C1527" w:rsidP="006C1527">
            <w:pPr>
              <w:pStyle w:val="TableText"/>
            </w:pPr>
          </w:p>
          <w:p w:rsidR="00DD50AC" w:rsidRDefault="009245A6" w:rsidP="00DD50AC">
            <w:pPr>
              <w:pStyle w:val="TableText"/>
            </w:pPr>
            <w:r>
              <w:t xml:space="preserve">Studies were included if: </w:t>
            </w:r>
            <w:r w:rsidR="00DD50AC">
              <w:t xml:space="preserve">they involved </w:t>
            </w:r>
            <w:r w:rsidR="006C1527">
              <w:t xml:space="preserve">interventions </w:t>
            </w:r>
            <w:r w:rsidR="00DD50AC">
              <w:t>of</w:t>
            </w:r>
            <w:r w:rsidR="006C1527">
              <w:t xml:space="preserve"> any exercise protocol that</w:t>
            </w:r>
            <w:r w:rsidR="00DD50AC">
              <w:t xml:space="preserve"> </w:t>
            </w:r>
            <w:r w:rsidR="006C1527">
              <w:t>included any ground reaction force generating impact activity</w:t>
            </w:r>
            <w:r w:rsidR="00DD50AC">
              <w:t xml:space="preserve"> </w:t>
            </w:r>
            <w:r w:rsidR="006C1527">
              <w:t>such as running or jumping-type movements where both feet</w:t>
            </w:r>
            <w:r w:rsidR="00DD50AC">
              <w:t xml:space="preserve"> </w:t>
            </w:r>
            <w:r w:rsidR="006C1527">
              <w:t xml:space="preserve">leave contact with the ground. </w:t>
            </w:r>
          </w:p>
          <w:p w:rsidR="009245A6" w:rsidRPr="00FE01FE" w:rsidRDefault="009245A6" w:rsidP="00DD50AC">
            <w:pPr>
              <w:pStyle w:val="TableText"/>
            </w:pP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DD50AC" w:rsidRDefault="00DD50AC" w:rsidP="00BD2C35">
            <w:pPr>
              <w:pStyle w:val="TableHeading"/>
              <w:rPr>
                <w:b w:val="0"/>
                <w:bCs/>
              </w:rPr>
            </w:pPr>
            <w:r>
              <w:rPr>
                <w:b w:val="0"/>
                <w:bCs/>
              </w:rPr>
              <w:t xml:space="preserve">Median years post menopause 5.2 years. </w:t>
            </w:r>
          </w:p>
          <w:p w:rsidR="009245A6" w:rsidRDefault="00DD50AC" w:rsidP="00BD2C35">
            <w:pPr>
              <w:pStyle w:val="TableHeading"/>
              <w:rPr>
                <w:b w:val="0"/>
                <w:bCs/>
              </w:rPr>
            </w:pPr>
            <w:r>
              <w:rPr>
                <w:b w:val="0"/>
                <w:bCs/>
              </w:rPr>
              <w:t>Total n=442 exercise and n=250 non-exercise controls</w:t>
            </w:r>
          </w:p>
          <w:p w:rsidR="009245A6" w:rsidRDefault="009245A6" w:rsidP="00BD2C35">
            <w:pPr>
              <w:pStyle w:val="TableHeading"/>
              <w:rPr>
                <w:bCs/>
              </w:rPr>
            </w:pPr>
          </w:p>
          <w:p w:rsidR="009245A6" w:rsidRDefault="009245A6" w:rsidP="00BD2C35">
            <w:pPr>
              <w:pStyle w:val="TableHeading"/>
              <w:rPr>
                <w:b w:val="0"/>
                <w:bCs/>
              </w:rPr>
            </w:pPr>
            <w:r>
              <w:rPr>
                <w:bCs/>
              </w:rPr>
              <w:t>Intervention</w:t>
            </w:r>
            <w:r>
              <w:rPr>
                <w:b w:val="0"/>
                <w:bCs/>
              </w:rPr>
              <w:t xml:space="preserve">: </w:t>
            </w:r>
            <w:r w:rsidR="00DD50AC">
              <w:rPr>
                <w:b w:val="0"/>
                <w:bCs/>
              </w:rPr>
              <w:t>impact exercise protocols</w:t>
            </w:r>
          </w:p>
          <w:p w:rsidR="009245A6" w:rsidRDefault="009245A6" w:rsidP="00BD2C35">
            <w:pPr>
              <w:pStyle w:val="TableHeading"/>
              <w:rPr>
                <w:b w:val="0"/>
                <w:bCs/>
              </w:rPr>
            </w:pPr>
            <w:r w:rsidRPr="00660B75">
              <w:rPr>
                <w:bCs/>
              </w:rPr>
              <w:t>Comparator</w:t>
            </w:r>
            <w:r>
              <w:rPr>
                <w:b w:val="0"/>
                <w:bCs/>
              </w:rPr>
              <w:t>: Placebo</w:t>
            </w:r>
          </w:p>
          <w:p w:rsidR="009245A6" w:rsidRDefault="009245A6" w:rsidP="00BD2C35">
            <w:pPr>
              <w:pStyle w:val="TableHeading"/>
              <w:rPr>
                <w:b w:val="0"/>
                <w:bCs/>
              </w:rPr>
            </w:pPr>
          </w:p>
          <w:p w:rsidR="009245A6" w:rsidRDefault="009245A6" w:rsidP="00DD50AC">
            <w:pPr>
              <w:pStyle w:val="TableHeading"/>
              <w:rPr>
                <w:rStyle w:val="TableTextChar"/>
                <w:b w:val="0"/>
              </w:rPr>
            </w:pPr>
            <w:r w:rsidRPr="00DD50AC">
              <w:rPr>
                <w:bCs/>
              </w:rPr>
              <w:t>Outcomes:</w:t>
            </w:r>
            <w:r>
              <w:rPr>
                <w:b w:val="0"/>
                <w:bCs/>
              </w:rPr>
              <w:t xml:space="preserve"> </w:t>
            </w:r>
            <w:r w:rsidR="00DD50AC">
              <w:rPr>
                <w:b w:val="0"/>
                <w:bCs/>
              </w:rPr>
              <w:t>Total h</w:t>
            </w:r>
            <w:r>
              <w:rPr>
                <w:b w:val="0"/>
                <w:bCs/>
              </w:rPr>
              <w:t>ip</w:t>
            </w:r>
            <w:r w:rsidR="00DD50AC">
              <w:rPr>
                <w:b w:val="0"/>
                <w:bCs/>
              </w:rPr>
              <w:t>, femoral neck</w:t>
            </w:r>
            <w:r>
              <w:rPr>
                <w:b w:val="0"/>
                <w:bCs/>
              </w:rPr>
              <w:t xml:space="preserve"> and </w:t>
            </w:r>
            <w:r w:rsidR="00DD50AC">
              <w:rPr>
                <w:b w:val="0"/>
                <w:bCs/>
              </w:rPr>
              <w:t xml:space="preserve">lumbar </w:t>
            </w:r>
            <w:r>
              <w:rPr>
                <w:b w:val="0"/>
                <w:bCs/>
              </w:rPr>
              <w:t xml:space="preserve">spine BMD via DXA or other </w:t>
            </w:r>
            <w:r w:rsidR="00DD50AC">
              <w:rPr>
                <w:b w:val="0"/>
                <w:bCs/>
              </w:rPr>
              <w:t>radiographic technique</w:t>
            </w:r>
            <w:r>
              <w:rPr>
                <w:b w:val="0"/>
                <w:bCs/>
              </w:rPr>
              <w:t>.</w:t>
            </w:r>
            <w:r w:rsidR="00DD50AC">
              <w:rPr>
                <w:b w:val="0"/>
                <w:bCs/>
              </w:rPr>
              <w:t xml:space="preserve"> (</w:t>
            </w:r>
            <w:r w:rsidR="00DD50AC" w:rsidRPr="00DD50AC">
              <w:rPr>
                <w:rStyle w:val="TableTextChar"/>
                <w:b w:val="0"/>
              </w:rPr>
              <w:t>BMD g/cm</w:t>
            </w:r>
            <w:r w:rsidR="00DD50AC" w:rsidRPr="00DD50AC">
              <w:rPr>
                <w:rStyle w:val="TableTextChar"/>
                <w:b w:val="0"/>
                <w:vertAlign w:val="superscript"/>
              </w:rPr>
              <w:t>-2</w:t>
            </w:r>
            <w:r w:rsidR="00DD50AC" w:rsidRPr="00DD50AC">
              <w:rPr>
                <w:rStyle w:val="TableTextChar"/>
                <w:b w:val="0"/>
              </w:rPr>
              <w:t>)</w:t>
            </w:r>
          </w:p>
          <w:p w:rsidR="00DD50AC" w:rsidRDefault="00DD50AC" w:rsidP="00DD50AC">
            <w:pPr>
              <w:pStyle w:val="TableHeading"/>
              <w:rPr>
                <w:rStyle w:val="TableTextChar"/>
                <w:b w:val="0"/>
              </w:rPr>
            </w:pPr>
          </w:p>
          <w:p w:rsidR="00DD50AC" w:rsidRPr="00FE01FE" w:rsidRDefault="00DD50AC" w:rsidP="00DD50AC">
            <w:pPr>
              <w:pStyle w:val="TableHeading"/>
              <w:rPr>
                <w:b w:val="0"/>
                <w:bCs/>
              </w:rPr>
            </w:pPr>
            <w:r>
              <w:rPr>
                <w:rStyle w:val="TableTextChar"/>
                <w:b w:val="0"/>
              </w:rPr>
              <w:t>Caucasian women predominantly recruited and one Japanese study. Women did not take hormone replacement therapy in 7 trials</w:t>
            </w:r>
          </w:p>
        </w:tc>
        <w:tc>
          <w:tcPr>
            <w:tcW w:w="857" w:type="pct"/>
            <w:tcBorders>
              <w:top w:val="single" w:sz="4" w:space="0" w:color="auto"/>
              <w:left w:val="single" w:sz="4" w:space="0" w:color="auto"/>
              <w:bottom w:val="single" w:sz="4" w:space="0" w:color="auto"/>
              <w:right w:val="single" w:sz="4" w:space="0" w:color="auto"/>
            </w:tcBorders>
          </w:tcPr>
          <w:p w:rsidR="009245A6" w:rsidRPr="00DD50AC" w:rsidRDefault="006C1527" w:rsidP="00DD50AC">
            <w:pPr>
              <w:pStyle w:val="TableText"/>
            </w:pPr>
            <w:r w:rsidRPr="00DD50AC">
              <w:t xml:space="preserve">Mixed loading exercise programmes combining jogging with other low-impact loading activity and programmes mixing impact activity with high-magnitude exercise as resistance training appear effective in reducing </w:t>
            </w:r>
            <w:r w:rsidR="007A119D">
              <w:t>post-menopaus</w:t>
            </w:r>
            <w:r w:rsidRPr="00DD50AC">
              <w:t>al bone loss at the hip and spine.</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9245A6" w:rsidRDefault="009245A6" w:rsidP="00BD2C35">
            <w:pPr>
              <w:pStyle w:val="TableText"/>
            </w:pPr>
            <w:r>
              <w:t>HIGH QUALITY</w:t>
            </w:r>
          </w:p>
          <w:p w:rsidR="009245A6" w:rsidRPr="004D57B3" w:rsidRDefault="009245A6" w:rsidP="00BD2C35">
            <w:pPr>
              <w:pStyle w:val="TableText"/>
            </w:pPr>
            <w:r w:rsidRPr="004D57B3">
              <w:t>Was the research question specified?</w:t>
            </w:r>
            <w:r>
              <w:t xml:space="preserve"> Yes</w:t>
            </w:r>
          </w:p>
          <w:p w:rsidR="009245A6" w:rsidRPr="004D57B3" w:rsidRDefault="009245A6" w:rsidP="00BD2C35">
            <w:pPr>
              <w:pStyle w:val="TableText"/>
            </w:pPr>
            <w:r w:rsidRPr="004D57B3">
              <w:t>Was the search strategy explicit and comprehensive?</w:t>
            </w:r>
            <w:r>
              <w:t xml:space="preserve"> Yes</w:t>
            </w:r>
          </w:p>
          <w:p w:rsidR="009245A6" w:rsidRPr="004D57B3" w:rsidRDefault="009245A6" w:rsidP="00BD2C35">
            <w:pPr>
              <w:pStyle w:val="TableText"/>
            </w:pPr>
            <w:r w:rsidRPr="004D57B3">
              <w:t>Were the eligibility criteria explicit and appropriate?</w:t>
            </w:r>
            <w:r>
              <w:t xml:space="preserve"> Yes</w:t>
            </w:r>
          </w:p>
          <w:p w:rsidR="009245A6" w:rsidRPr="004D57B3" w:rsidRDefault="009245A6" w:rsidP="00BD2C35">
            <w:pPr>
              <w:pStyle w:val="TableText"/>
            </w:pPr>
            <w:r w:rsidRPr="004D57B3">
              <w:t>Was a quality assessment of included studies undertaken?</w:t>
            </w:r>
            <w:r>
              <w:t xml:space="preserve"> Yes</w:t>
            </w:r>
          </w:p>
          <w:p w:rsidR="009245A6" w:rsidRPr="004D57B3" w:rsidRDefault="009245A6" w:rsidP="00BD2C35">
            <w:pPr>
              <w:pStyle w:val="TableText"/>
            </w:pPr>
            <w:r w:rsidRPr="004D57B3">
              <w:t>Were the methods of the study appraisal reproducible?</w:t>
            </w:r>
            <w:r>
              <w:t xml:space="preserve"> Yes</w:t>
            </w:r>
          </w:p>
          <w:p w:rsidR="009245A6" w:rsidRPr="004D57B3" w:rsidRDefault="009245A6" w:rsidP="00BD2C35">
            <w:pPr>
              <w:pStyle w:val="TableText"/>
            </w:pPr>
            <w:r w:rsidRPr="004D57B3">
              <w:t>Were sources of heterogeneity explored?</w:t>
            </w:r>
            <w:r>
              <w:t xml:space="preserve"> Yes</w:t>
            </w:r>
          </w:p>
          <w:p w:rsidR="009245A6" w:rsidRPr="00636498" w:rsidRDefault="009245A6" w:rsidP="00BD2C35">
            <w:pPr>
              <w:pStyle w:val="TableHeading"/>
              <w:rPr>
                <w:b w:val="0"/>
                <w:bCs/>
              </w:rPr>
            </w:pPr>
            <w:r w:rsidRPr="00636498">
              <w:rPr>
                <w:b w:val="0"/>
              </w:rPr>
              <w:t>Was a summary of the main results clear and appropriate?</w:t>
            </w:r>
            <w:r>
              <w:rPr>
                <w:b w:val="0"/>
              </w:rPr>
              <w:t xml:space="preserve"> Yes</w:t>
            </w:r>
          </w:p>
        </w:tc>
      </w:tr>
      <w:tr w:rsidR="009245A6" w:rsidRPr="00FC7FEA" w:rsidTr="00BD2C35">
        <w:trPr>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9245A6" w:rsidRDefault="009245A6" w:rsidP="00BD2C35">
            <w:pPr>
              <w:pStyle w:val="TableHeading"/>
              <w:tabs>
                <w:tab w:val="left" w:pos="2266"/>
              </w:tabs>
              <w:rPr>
                <w:b w:val="0"/>
                <w:bCs/>
              </w:rPr>
            </w:pPr>
            <w:r w:rsidRPr="003D0030">
              <w:rPr>
                <w:b w:val="0"/>
                <w:bCs/>
              </w:rPr>
              <w:t xml:space="preserve">Meta-analysis pooled results: </w:t>
            </w:r>
          </w:p>
          <w:p w:rsidR="006C1527" w:rsidRDefault="006C1527" w:rsidP="006C1527">
            <w:pPr>
              <w:pStyle w:val="TableText"/>
              <w:rPr>
                <w:shd w:val="clear" w:color="auto" w:fill="FFFFFF"/>
              </w:rPr>
            </w:pPr>
            <w:r>
              <w:rPr>
                <w:shd w:val="clear" w:color="auto" w:fill="FFFFFF"/>
              </w:rPr>
              <w:t xml:space="preserve">Impact protocols that included jogging mixed with walking and stair climbing, and protocols that incorporated impact exercise with high-magnitude loading (resistance exercises), were effective at lumbar spine (weighted mean difference (random effects) 0.025 g/cm(2) 95% CI (0.004 to 0.046) and 0.016 g/cm(2) 95% CI (0.005 to 0.027); p = 0.02 and p = 0.005 respectively), although heterogeneity was evident (I(2) = 88% and I(2) = 73%, where I(2) measures the extent of inconsistency among the trials). </w:t>
            </w:r>
          </w:p>
          <w:p w:rsidR="009245A6" w:rsidRDefault="006C1527" w:rsidP="006C1527">
            <w:pPr>
              <w:pStyle w:val="TableText"/>
              <w:rPr>
                <w:b/>
                <w:bCs/>
              </w:rPr>
            </w:pPr>
            <w:r>
              <w:rPr>
                <w:shd w:val="clear" w:color="auto" w:fill="FFFFFF"/>
              </w:rPr>
              <w:t>Effects on femoral neck BMD following these types of protocols were significant (weighted mean difference (fixed effect) 0.022 g/cm(2) 95% CI (0.014 to 0.030); p&lt;0.001 and 0.005 g/cm(2) 95% CI (0.001 to 0.010); p = 0.03 respectively). High-impact only and odd-impact only protocols were ineffective in increasing BMD at any site.</w:t>
            </w:r>
          </w:p>
          <w:p w:rsidR="009245A6" w:rsidRDefault="009245A6" w:rsidP="00BD2C35">
            <w:pPr>
              <w:pStyle w:val="TableHeading"/>
              <w:tabs>
                <w:tab w:val="left" w:pos="2266"/>
              </w:tabs>
              <w:rPr>
                <w:b w:val="0"/>
                <w:bCs/>
              </w:rPr>
            </w:pPr>
          </w:p>
          <w:p w:rsidR="009245A6" w:rsidRDefault="009245A6" w:rsidP="00BD2C35">
            <w:pPr>
              <w:pStyle w:val="TableHeading"/>
              <w:tabs>
                <w:tab w:val="left" w:pos="2266"/>
              </w:tabs>
              <w:rPr>
                <w:b w:val="0"/>
                <w:bCs/>
              </w:rPr>
            </w:pPr>
          </w:p>
          <w:p w:rsidR="009245A6" w:rsidRDefault="009245A6" w:rsidP="00BD2C35">
            <w:pPr>
              <w:pStyle w:val="TableHeading"/>
              <w:rPr>
                <w:b w:val="0"/>
                <w:bCs/>
              </w:rPr>
            </w:pPr>
            <w:r>
              <w:rPr>
                <w:b w:val="0"/>
                <w:bCs/>
              </w:rPr>
              <w:t xml:space="preserve">Authors conclusions: </w:t>
            </w:r>
            <w:r w:rsidR="00DD50AC">
              <w:rPr>
                <w:b w:val="0"/>
                <w:bCs/>
              </w:rPr>
              <w:t xml:space="preserve">Exercise in the form of jogging combined with other low impact activity such as walking or stair climbing </w:t>
            </w:r>
            <w:r w:rsidR="00AC2928">
              <w:rPr>
                <w:b w:val="0"/>
                <w:bCs/>
              </w:rPr>
              <w:t>and programs combining different impact (high/low) has a positive effect on preserving bone mineral density.  Well designed and safe programs should be organised for post-menopausal women.</w:t>
            </w:r>
          </w:p>
          <w:p w:rsidR="009245A6" w:rsidRDefault="009245A6" w:rsidP="00BD2C35">
            <w:pPr>
              <w:pStyle w:val="TableHeading"/>
              <w:rPr>
                <w:b w:val="0"/>
                <w:bCs/>
              </w:rPr>
            </w:pPr>
          </w:p>
          <w:p w:rsidR="009245A6" w:rsidRDefault="009245A6" w:rsidP="00BD2C35">
            <w:pPr>
              <w:pStyle w:val="TableHeading"/>
              <w:rPr>
                <w:b w:val="0"/>
                <w:bCs/>
              </w:rPr>
            </w:pPr>
          </w:p>
          <w:p w:rsidR="009245A6" w:rsidRPr="00FC7FEA" w:rsidRDefault="009245A6" w:rsidP="00BD2C35">
            <w:pPr>
              <w:pStyle w:val="TableHeading"/>
              <w:rPr>
                <w:bCs/>
              </w:rPr>
            </w:pPr>
          </w:p>
        </w:tc>
      </w:tr>
    </w:tbl>
    <w:p w:rsidR="00FF1CAF" w:rsidRDefault="00FF1CAF" w:rsidP="009C23AF"/>
    <w:p w:rsidR="009C23AF" w:rsidRPr="009C23AF" w:rsidRDefault="009C23AF" w:rsidP="009C23AF">
      <w:pPr>
        <w:sectPr w:rsidR="009C23AF" w:rsidRPr="009C23AF" w:rsidSect="00863AD3">
          <w:pgSz w:w="16838" w:h="11906" w:orient="landscape"/>
          <w:pgMar w:top="1440" w:right="1440" w:bottom="1440" w:left="1440" w:header="720" w:footer="720" w:gutter="0"/>
          <w:paperSrc w:first="7" w:other="7"/>
          <w:cols w:space="720"/>
        </w:sectPr>
      </w:pPr>
    </w:p>
    <w:p w:rsidR="00BD2C35" w:rsidRDefault="003E61DB" w:rsidP="00A158A3">
      <w:pPr>
        <w:pStyle w:val="Heading2"/>
      </w:pPr>
      <w:bookmarkStart w:id="179" w:name="_Toc386092532"/>
      <w:bookmarkStart w:id="180" w:name="_Toc386093170"/>
      <w:bookmarkStart w:id="181" w:name="_Toc386093667"/>
      <w:bookmarkStart w:id="182" w:name="_Toc386093728"/>
      <w:r w:rsidRPr="00C9782D">
        <w:lastRenderedPageBreak/>
        <w:t>Appendix D</w:t>
      </w:r>
      <w:r w:rsidR="0013164F">
        <w:t xml:space="preserve"> </w:t>
      </w:r>
      <w:r w:rsidR="00BD2C35">
        <w:t>Assessment of economic evaluation studies</w:t>
      </w:r>
      <w:bookmarkEnd w:id="179"/>
      <w:bookmarkEnd w:id="180"/>
      <w:bookmarkEnd w:id="181"/>
      <w:bookmarkEnd w:id="182"/>
      <w:r w:rsidRPr="00C9782D">
        <w:tab/>
      </w:r>
    </w:p>
    <w:p w:rsidR="00BD2C35" w:rsidRPr="00C262EC" w:rsidRDefault="00BD2C35" w:rsidP="00C262EC">
      <w:pPr>
        <w:pStyle w:val="TableText"/>
        <w:rPr>
          <w:b/>
        </w:rPr>
      </w:pPr>
      <w:r w:rsidRPr="00C262EC">
        <w:rPr>
          <w:b/>
        </w:rPr>
        <w:t xml:space="preserve">Consolidated Health Economic Evaluation Reporting Standards (CHEERS) assessment of economic evaluations </w:t>
      </w:r>
    </w:p>
    <w:p w:rsidR="00BD2C35" w:rsidRDefault="00BD2C35" w:rsidP="00BD2C35">
      <w:pPr>
        <w:pStyle w:val="TableName"/>
        <w:ind w:left="0" w:firstLine="720"/>
      </w:pPr>
    </w:p>
    <w:tbl>
      <w:tblPr>
        <w:tblStyle w:val="TableGrid"/>
        <w:tblW w:w="8319" w:type="dxa"/>
        <w:tblInd w:w="720" w:type="dxa"/>
        <w:tblLook w:val="04A0" w:firstRow="1" w:lastRow="0" w:firstColumn="1" w:lastColumn="0" w:noHBand="0" w:noVBand="1"/>
        <w:tblCaption w:val="App D CHEERS checklist results"/>
      </w:tblPr>
      <w:tblGrid>
        <w:gridCol w:w="536"/>
        <w:gridCol w:w="5193"/>
        <w:gridCol w:w="858"/>
        <w:gridCol w:w="858"/>
        <w:gridCol w:w="874"/>
      </w:tblGrid>
      <w:tr w:rsidR="00BD2C35" w:rsidRPr="00D80C7F" w:rsidTr="00C262EC">
        <w:trPr>
          <w:trHeight w:val="331"/>
          <w:tblHeader/>
        </w:trPr>
        <w:tc>
          <w:tcPr>
            <w:tcW w:w="536" w:type="dxa"/>
          </w:tcPr>
          <w:p w:rsidR="00BD2C35" w:rsidRPr="00D80C7F" w:rsidRDefault="00BD2C35" w:rsidP="00BD2C35">
            <w:pPr>
              <w:pStyle w:val="TableText"/>
              <w:rPr>
                <w:b/>
              </w:rPr>
            </w:pPr>
            <w:r w:rsidRPr="00D80C7F">
              <w:rPr>
                <w:b/>
              </w:rPr>
              <w:t>No.</w:t>
            </w:r>
          </w:p>
        </w:tc>
        <w:tc>
          <w:tcPr>
            <w:tcW w:w="5193" w:type="dxa"/>
          </w:tcPr>
          <w:p w:rsidR="00BD2C35" w:rsidRPr="00D80C7F" w:rsidRDefault="00BD2C35" w:rsidP="00BD2C35">
            <w:pPr>
              <w:pStyle w:val="TableText"/>
              <w:rPr>
                <w:b/>
              </w:rPr>
            </w:pPr>
            <w:r w:rsidRPr="00D80C7F">
              <w:rPr>
                <w:b/>
              </w:rPr>
              <w:t>CHEERS criteria</w:t>
            </w:r>
          </w:p>
        </w:tc>
        <w:tc>
          <w:tcPr>
            <w:tcW w:w="858" w:type="dxa"/>
          </w:tcPr>
          <w:p w:rsidR="00BD2C35" w:rsidRDefault="00BD2C35" w:rsidP="00BD2C35">
            <w:pPr>
              <w:pStyle w:val="TableText"/>
              <w:rPr>
                <w:b/>
              </w:rPr>
            </w:pPr>
            <w:r>
              <w:rPr>
                <w:b/>
              </w:rPr>
              <w:t>Ito 2012</w:t>
            </w:r>
          </w:p>
        </w:tc>
        <w:tc>
          <w:tcPr>
            <w:tcW w:w="858" w:type="dxa"/>
          </w:tcPr>
          <w:p w:rsidR="00BD2C35" w:rsidRPr="00D80C7F" w:rsidRDefault="00BD2C35" w:rsidP="00BD2C35">
            <w:pPr>
              <w:pStyle w:val="TableText"/>
              <w:rPr>
                <w:b/>
              </w:rPr>
            </w:pPr>
            <w:r>
              <w:rPr>
                <w:b/>
              </w:rPr>
              <w:t>Logman 2010</w:t>
            </w:r>
          </w:p>
        </w:tc>
        <w:tc>
          <w:tcPr>
            <w:tcW w:w="874" w:type="dxa"/>
          </w:tcPr>
          <w:p w:rsidR="00BD2C35" w:rsidRDefault="00BD2C35" w:rsidP="00BD2C35">
            <w:pPr>
              <w:pStyle w:val="TableText"/>
              <w:rPr>
                <w:b/>
              </w:rPr>
            </w:pPr>
            <w:r>
              <w:rPr>
                <w:b/>
              </w:rPr>
              <w:t>Mueller 2009</w:t>
            </w:r>
          </w:p>
        </w:tc>
      </w:tr>
      <w:tr w:rsidR="00BD2C35" w:rsidTr="00BD2C35">
        <w:trPr>
          <w:trHeight w:val="331"/>
        </w:trPr>
        <w:tc>
          <w:tcPr>
            <w:tcW w:w="536" w:type="dxa"/>
          </w:tcPr>
          <w:p w:rsidR="00BD2C35" w:rsidRDefault="00BD2C35" w:rsidP="00BD2C35">
            <w:pPr>
              <w:pStyle w:val="TableText"/>
            </w:pPr>
            <w:r>
              <w:t>1</w:t>
            </w:r>
          </w:p>
        </w:tc>
        <w:tc>
          <w:tcPr>
            <w:tcW w:w="5193" w:type="dxa"/>
          </w:tcPr>
          <w:p w:rsidR="00BD2C35" w:rsidRDefault="00BD2C35" w:rsidP="00BD2C35">
            <w:pPr>
              <w:pStyle w:val="TableText"/>
            </w:pPr>
            <w:r>
              <w:t>Identifies the study as an economic evaluation in title and interventions described</w:t>
            </w:r>
          </w:p>
        </w:tc>
        <w:tc>
          <w:tcPr>
            <w:tcW w:w="858" w:type="dxa"/>
          </w:tcPr>
          <w:p w:rsidR="00BD2C35" w:rsidRPr="00544C75" w:rsidRDefault="00BD2C35" w:rsidP="00BD2C35">
            <w:pPr>
              <w:pStyle w:val="TableText"/>
              <w:rPr>
                <w:szCs w:val="18"/>
              </w:rPr>
            </w:pPr>
            <w:r w:rsidRPr="00544C75">
              <w:rPr>
                <w:szCs w:val="18"/>
              </w:rPr>
              <w:sym w:font="Wingdings" w:char="F0FC"/>
            </w:r>
            <w:r>
              <w:rPr>
                <w:szCs w:val="18"/>
              </w:rPr>
              <w:t xml:space="preserve"> p.1468</w:t>
            </w:r>
          </w:p>
        </w:tc>
        <w:tc>
          <w:tcPr>
            <w:tcW w:w="858" w:type="dxa"/>
          </w:tcPr>
          <w:p w:rsidR="00BD2C35" w:rsidRDefault="00BD2C35" w:rsidP="00BD2C35">
            <w:pPr>
              <w:pStyle w:val="TableText"/>
            </w:pPr>
            <w:r w:rsidRPr="00544C75">
              <w:rPr>
                <w:szCs w:val="18"/>
              </w:rPr>
              <w:sym w:font="Wingdings" w:char="F0FC"/>
            </w:r>
            <w:r>
              <w:rPr>
                <w:szCs w:val="18"/>
              </w:rPr>
              <w:t xml:space="preserve"> p.1529</w:t>
            </w:r>
          </w:p>
        </w:tc>
        <w:tc>
          <w:tcPr>
            <w:tcW w:w="874" w:type="dxa"/>
          </w:tcPr>
          <w:p w:rsidR="00BD2C35" w:rsidRPr="00544C75" w:rsidRDefault="00BD2C35" w:rsidP="00BD2C35">
            <w:pPr>
              <w:pStyle w:val="TableText"/>
              <w:rPr>
                <w:szCs w:val="18"/>
              </w:rPr>
            </w:pPr>
            <w:r w:rsidRPr="00544C75">
              <w:rPr>
                <w:szCs w:val="18"/>
              </w:rPr>
              <w:sym w:font="Wingdings" w:char="F0FC"/>
            </w:r>
            <w:r>
              <w:rPr>
                <w:szCs w:val="18"/>
              </w:rPr>
              <w:t xml:space="preserve"> p.1106</w:t>
            </w:r>
          </w:p>
        </w:tc>
      </w:tr>
      <w:tr w:rsidR="00BD2C35" w:rsidTr="00BD2C35">
        <w:trPr>
          <w:trHeight w:val="316"/>
        </w:trPr>
        <w:tc>
          <w:tcPr>
            <w:tcW w:w="536" w:type="dxa"/>
          </w:tcPr>
          <w:p w:rsidR="00BD2C35" w:rsidRDefault="00BD2C35" w:rsidP="00BD2C35">
            <w:pPr>
              <w:pStyle w:val="TableText"/>
            </w:pPr>
            <w:r>
              <w:t>2</w:t>
            </w:r>
          </w:p>
        </w:tc>
        <w:tc>
          <w:tcPr>
            <w:tcW w:w="5193" w:type="dxa"/>
          </w:tcPr>
          <w:p w:rsidR="00BD2C35" w:rsidRDefault="00BD2C35" w:rsidP="00BD2C35">
            <w:pPr>
              <w:pStyle w:val="TableText"/>
            </w:pPr>
            <w:r>
              <w:t>Provides a structured summary of objectives, perspective, setting, methods (study design and inputs) results (base case and uncertainty analyses and conclusions.</w:t>
            </w:r>
          </w:p>
        </w:tc>
        <w:tc>
          <w:tcPr>
            <w:tcW w:w="858" w:type="dxa"/>
          </w:tcPr>
          <w:p w:rsidR="00BD2C35" w:rsidRPr="00544C75" w:rsidRDefault="00BD2C35" w:rsidP="00BD2C35">
            <w:pPr>
              <w:pStyle w:val="TableText"/>
              <w:rPr>
                <w:szCs w:val="18"/>
              </w:rPr>
            </w:pPr>
            <w:r w:rsidRPr="00544C75">
              <w:rPr>
                <w:szCs w:val="18"/>
              </w:rPr>
              <w:sym w:font="Wingdings" w:char="F0FC"/>
            </w:r>
            <w:r>
              <w:rPr>
                <w:szCs w:val="18"/>
              </w:rPr>
              <w:t xml:space="preserve"> p.1468</w:t>
            </w:r>
          </w:p>
        </w:tc>
        <w:tc>
          <w:tcPr>
            <w:tcW w:w="858" w:type="dxa"/>
          </w:tcPr>
          <w:p w:rsidR="00BD2C35" w:rsidRDefault="00BD2C35" w:rsidP="00BD2C35">
            <w:pPr>
              <w:pStyle w:val="TableText"/>
            </w:pPr>
            <w:r w:rsidRPr="00544C75">
              <w:rPr>
                <w:szCs w:val="18"/>
              </w:rPr>
              <w:sym w:font="Wingdings" w:char="F0FC"/>
            </w:r>
            <w:r>
              <w:rPr>
                <w:szCs w:val="18"/>
              </w:rPr>
              <w:t xml:space="preserve"> p.1529</w:t>
            </w:r>
          </w:p>
        </w:tc>
        <w:tc>
          <w:tcPr>
            <w:tcW w:w="874" w:type="dxa"/>
          </w:tcPr>
          <w:p w:rsidR="00BD2C35" w:rsidRPr="00544C75" w:rsidRDefault="00BD2C35" w:rsidP="00BD2C35">
            <w:pPr>
              <w:pStyle w:val="TableText"/>
              <w:rPr>
                <w:szCs w:val="18"/>
              </w:rPr>
            </w:pPr>
            <w:r w:rsidRPr="00544C75">
              <w:rPr>
                <w:szCs w:val="18"/>
              </w:rPr>
              <w:sym w:font="Wingdings" w:char="F0FC"/>
            </w:r>
            <w:r>
              <w:rPr>
                <w:szCs w:val="18"/>
              </w:rPr>
              <w:t xml:space="preserve"> p.1106</w:t>
            </w:r>
          </w:p>
        </w:tc>
      </w:tr>
      <w:tr w:rsidR="00BD2C35" w:rsidTr="00BD2C35">
        <w:trPr>
          <w:trHeight w:val="346"/>
        </w:trPr>
        <w:tc>
          <w:tcPr>
            <w:tcW w:w="536" w:type="dxa"/>
          </w:tcPr>
          <w:p w:rsidR="00BD2C35" w:rsidRDefault="00BD2C35" w:rsidP="00BD2C35">
            <w:pPr>
              <w:pStyle w:val="TableText"/>
            </w:pPr>
            <w:r>
              <w:t>3</w:t>
            </w:r>
          </w:p>
        </w:tc>
        <w:tc>
          <w:tcPr>
            <w:tcW w:w="5193" w:type="dxa"/>
          </w:tcPr>
          <w:p w:rsidR="00BD2C35" w:rsidRDefault="00BD2C35" w:rsidP="00BD2C35">
            <w:pPr>
              <w:pStyle w:val="TableText"/>
            </w:pPr>
            <w:r>
              <w:t>Provides an explicit statement of the broader context of the study. Presents the study question and its relevance for health policy or practice decisions</w:t>
            </w:r>
          </w:p>
        </w:tc>
        <w:tc>
          <w:tcPr>
            <w:tcW w:w="858" w:type="dxa"/>
          </w:tcPr>
          <w:p w:rsidR="00BD2C35" w:rsidRPr="00544C75" w:rsidRDefault="00BD2C35" w:rsidP="00BD2C35">
            <w:pPr>
              <w:pStyle w:val="TableText"/>
              <w:rPr>
                <w:szCs w:val="18"/>
              </w:rPr>
            </w:pPr>
            <w:r w:rsidRPr="00544C75">
              <w:rPr>
                <w:szCs w:val="18"/>
              </w:rPr>
              <w:sym w:font="Wingdings" w:char="F0FC"/>
            </w:r>
            <w:r>
              <w:rPr>
                <w:szCs w:val="18"/>
              </w:rPr>
              <w:t xml:space="preserve"> p.1468</w:t>
            </w:r>
          </w:p>
        </w:tc>
        <w:tc>
          <w:tcPr>
            <w:tcW w:w="858" w:type="dxa"/>
          </w:tcPr>
          <w:p w:rsidR="00BD2C35" w:rsidRDefault="00BD2C35" w:rsidP="00BD2C35">
            <w:pPr>
              <w:pStyle w:val="TableText"/>
            </w:pPr>
            <w:r w:rsidRPr="00544C75">
              <w:rPr>
                <w:szCs w:val="18"/>
              </w:rPr>
              <w:sym w:font="Wingdings" w:char="F0FC"/>
            </w:r>
            <w:r>
              <w:rPr>
                <w:szCs w:val="18"/>
              </w:rPr>
              <w:t xml:space="preserve"> p.1529</w:t>
            </w:r>
          </w:p>
        </w:tc>
        <w:tc>
          <w:tcPr>
            <w:tcW w:w="874" w:type="dxa"/>
          </w:tcPr>
          <w:p w:rsidR="00BD2C35" w:rsidRPr="00544C75" w:rsidRDefault="00BD2C35" w:rsidP="00BD2C35">
            <w:pPr>
              <w:pStyle w:val="TableText"/>
              <w:rPr>
                <w:szCs w:val="18"/>
              </w:rPr>
            </w:pPr>
            <w:r w:rsidRPr="00544C75">
              <w:rPr>
                <w:szCs w:val="18"/>
              </w:rPr>
              <w:sym w:font="Wingdings" w:char="F0FC"/>
            </w:r>
            <w:r>
              <w:rPr>
                <w:szCs w:val="18"/>
              </w:rPr>
              <w:t xml:space="preserve"> p.1106</w:t>
            </w:r>
          </w:p>
        </w:tc>
      </w:tr>
      <w:tr w:rsidR="00BD2C35" w:rsidTr="00BD2C35">
        <w:trPr>
          <w:trHeight w:val="346"/>
        </w:trPr>
        <w:tc>
          <w:tcPr>
            <w:tcW w:w="536" w:type="dxa"/>
          </w:tcPr>
          <w:p w:rsidR="00BD2C35" w:rsidRDefault="00BD2C35" w:rsidP="00BD2C35">
            <w:pPr>
              <w:pStyle w:val="TableText"/>
            </w:pPr>
            <w:r>
              <w:t>4</w:t>
            </w:r>
          </w:p>
        </w:tc>
        <w:tc>
          <w:tcPr>
            <w:tcW w:w="5193" w:type="dxa"/>
          </w:tcPr>
          <w:p w:rsidR="00BD2C35" w:rsidRDefault="00BD2C35" w:rsidP="00BD2C35">
            <w:pPr>
              <w:pStyle w:val="TableText"/>
            </w:pPr>
            <w:r>
              <w:t>Describes characteristics of the base case population and subgroups analysed and why they were chosen</w:t>
            </w:r>
          </w:p>
        </w:tc>
        <w:tc>
          <w:tcPr>
            <w:tcW w:w="858" w:type="dxa"/>
          </w:tcPr>
          <w:p w:rsidR="00BD2C35" w:rsidRPr="00544C75" w:rsidRDefault="00BD2C35" w:rsidP="00BD2C35">
            <w:pPr>
              <w:pStyle w:val="TableText"/>
              <w:rPr>
                <w:szCs w:val="18"/>
              </w:rPr>
            </w:pPr>
            <w:r w:rsidRPr="00544C75">
              <w:rPr>
                <w:szCs w:val="18"/>
              </w:rPr>
              <w:sym w:font="Wingdings" w:char="F0FC"/>
            </w:r>
            <w:r>
              <w:rPr>
                <w:szCs w:val="18"/>
              </w:rPr>
              <w:t xml:space="preserve"> p.1469</w:t>
            </w:r>
          </w:p>
        </w:tc>
        <w:tc>
          <w:tcPr>
            <w:tcW w:w="858" w:type="dxa"/>
          </w:tcPr>
          <w:p w:rsidR="00BD2C35" w:rsidRDefault="00BD2C35" w:rsidP="00BD2C35">
            <w:pPr>
              <w:pStyle w:val="TableText"/>
            </w:pPr>
            <w:r w:rsidRPr="00544C75">
              <w:rPr>
                <w:szCs w:val="18"/>
              </w:rPr>
              <w:sym w:font="Wingdings" w:char="F0FC"/>
            </w:r>
            <w:r>
              <w:rPr>
                <w:szCs w:val="18"/>
              </w:rPr>
              <w:t xml:space="preserve"> p.1530</w:t>
            </w:r>
          </w:p>
        </w:tc>
        <w:tc>
          <w:tcPr>
            <w:tcW w:w="874" w:type="dxa"/>
          </w:tcPr>
          <w:p w:rsidR="00BD2C35" w:rsidRPr="00544C75" w:rsidRDefault="00BD2C35" w:rsidP="00BD2C35">
            <w:pPr>
              <w:pStyle w:val="TableText"/>
              <w:rPr>
                <w:szCs w:val="18"/>
              </w:rPr>
            </w:pPr>
            <w:r w:rsidRPr="00544C75">
              <w:rPr>
                <w:szCs w:val="18"/>
              </w:rPr>
              <w:sym w:font="Wingdings" w:char="F0FC"/>
            </w:r>
            <w:r>
              <w:rPr>
                <w:szCs w:val="18"/>
              </w:rPr>
              <w:t xml:space="preserve"> p.1107</w:t>
            </w:r>
          </w:p>
        </w:tc>
      </w:tr>
      <w:tr w:rsidR="00BD2C35" w:rsidTr="00BD2C35">
        <w:trPr>
          <w:trHeight w:val="346"/>
        </w:trPr>
        <w:tc>
          <w:tcPr>
            <w:tcW w:w="536" w:type="dxa"/>
          </w:tcPr>
          <w:p w:rsidR="00BD2C35" w:rsidRDefault="00BD2C35" w:rsidP="00BD2C35">
            <w:pPr>
              <w:pStyle w:val="TableText"/>
            </w:pPr>
            <w:r>
              <w:t>5</w:t>
            </w:r>
          </w:p>
        </w:tc>
        <w:tc>
          <w:tcPr>
            <w:tcW w:w="5193" w:type="dxa"/>
          </w:tcPr>
          <w:p w:rsidR="00BD2C35" w:rsidRDefault="00BD2C35" w:rsidP="00BD2C35">
            <w:pPr>
              <w:pStyle w:val="TableText"/>
            </w:pPr>
            <w:r>
              <w:t>States relevant aspects of the system in which the decision needs to be made</w:t>
            </w:r>
          </w:p>
        </w:tc>
        <w:tc>
          <w:tcPr>
            <w:tcW w:w="858" w:type="dxa"/>
          </w:tcPr>
          <w:p w:rsidR="00BD2C35" w:rsidRPr="00544C75" w:rsidRDefault="00BD2C35" w:rsidP="00BD2C35">
            <w:pPr>
              <w:pStyle w:val="TableText"/>
              <w:rPr>
                <w:szCs w:val="18"/>
              </w:rPr>
            </w:pPr>
            <w:r>
              <w:rPr>
                <w:szCs w:val="18"/>
              </w:rPr>
              <w:t>x</w:t>
            </w:r>
          </w:p>
        </w:tc>
        <w:tc>
          <w:tcPr>
            <w:tcW w:w="858" w:type="dxa"/>
          </w:tcPr>
          <w:p w:rsidR="00BD2C35" w:rsidRDefault="00BD2C35" w:rsidP="00BD2C35">
            <w:pPr>
              <w:pStyle w:val="TableText"/>
            </w:pPr>
            <w:r w:rsidRPr="00544C75">
              <w:rPr>
                <w:szCs w:val="18"/>
              </w:rPr>
              <w:sym w:font="Wingdings" w:char="F0FC"/>
            </w:r>
            <w:r>
              <w:rPr>
                <w:szCs w:val="18"/>
              </w:rPr>
              <w:t xml:space="preserve"> p.1530</w:t>
            </w:r>
          </w:p>
        </w:tc>
        <w:tc>
          <w:tcPr>
            <w:tcW w:w="874" w:type="dxa"/>
          </w:tcPr>
          <w:p w:rsidR="00BD2C35" w:rsidRPr="00544C75" w:rsidRDefault="00BD2C35" w:rsidP="00BD2C35">
            <w:pPr>
              <w:pStyle w:val="TableText"/>
              <w:rPr>
                <w:szCs w:val="18"/>
              </w:rPr>
            </w:pPr>
            <w:r>
              <w:rPr>
                <w:szCs w:val="18"/>
              </w:rPr>
              <w:t>x</w:t>
            </w:r>
          </w:p>
        </w:tc>
      </w:tr>
      <w:tr w:rsidR="00BD2C35" w:rsidTr="00BD2C35">
        <w:trPr>
          <w:trHeight w:val="346"/>
        </w:trPr>
        <w:tc>
          <w:tcPr>
            <w:tcW w:w="536" w:type="dxa"/>
          </w:tcPr>
          <w:p w:rsidR="00BD2C35" w:rsidRDefault="00BD2C35" w:rsidP="00BD2C35">
            <w:pPr>
              <w:pStyle w:val="TableText"/>
            </w:pPr>
            <w:r>
              <w:t>6</w:t>
            </w:r>
          </w:p>
        </w:tc>
        <w:tc>
          <w:tcPr>
            <w:tcW w:w="5193" w:type="dxa"/>
          </w:tcPr>
          <w:p w:rsidR="00BD2C35" w:rsidRDefault="00BD2C35" w:rsidP="00BD2C35">
            <w:pPr>
              <w:pStyle w:val="TableText"/>
            </w:pPr>
            <w:r>
              <w:t>Describes the perspective of the study and relates this to the costs being evaluated</w:t>
            </w:r>
          </w:p>
        </w:tc>
        <w:tc>
          <w:tcPr>
            <w:tcW w:w="858" w:type="dxa"/>
          </w:tcPr>
          <w:p w:rsidR="00BD2C35" w:rsidRPr="00544C75" w:rsidRDefault="00BD2C35" w:rsidP="00BD2C35">
            <w:pPr>
              <w:pStyle w:val="TableText"/>
              <w:rPr>
                <w:szCs w:val="18"/>
              </w:rPr>
            </w:pPr>
            <w:r w:rsidRPr="00544C75">
              <w:rPr>
                <w:szCs w:val="18"/>
              </w:rPr>
              <w:sym w:font="Wingdings" w:char="F0FC"/>
            </w:r>
            <w:r>
              <w:rPr>
                <w:szCs w:val="18"/>
              </w:rPr>
              <w:t xml:space="preserve"> p.1469</w:t>
            </w:r>
          </w:p>
        </w:tc>
        <w:tc>
          <w:tcPr>
            <w:tcW w:w="858" w:type="dxa"/>
          </w:tcPr>
          <w:p w:rsidR="00BD2C35" w:rsidRDefault="00BD2C35" w:rsidP="00BD2C35">
            <w:pPr>
              <w:pStyle w:val="TableText"/>
            </w:pPr>
            <w:r w:rsidRPr="00544C75">
              <w:rPr>
                <w:szCs w:val="18"/>
              </w:rPr>
              <w:sym w:font="Wingdings" w:char="F0FC"/>
            </w:r>
            <w:r>
              <w:rPr>
                <w:szCs w:val="18"/>
              </w:rPr>
              <w:t xml:space="preserve"> p.1530</w:t>
            </w:r>
          </w:p>
        </w:tc>
        <w:tc>
          <w:tcPr>
            <w:tcW w:w="874" w:type="dxa"/>
          </w:tcPr>
          <w:p w:rsidR="00BD2C35" w:rsidRPr="00544C75" w:rsidRDefault="00BD2C35" w:rsidP="00BD2C35">
            <w:pPr>
              <w:pStyle w:val="TableText"/>
              <w:rPr>
                <w:szCs w:val="18"/>
              </w:rPr>
            </w:pPr>
            <w:r w:rsidRPr="00544C75">
              <w:rPr>
                <w:szCs w:val="18"/>
              </w:rPr>
              <w:sym w:font="Wingdings" w:char="F0FC"/>
            </w:r>
            <w:r>
              <w:rPr>
                <w:szCs w:val="18"/>
              </w:rPr>
              <w:t xml:space="preserve"> p.1106-7</w:t>
            </w:r>
          </w:p>
        </w:tc>
      </w:tr>
      <w:tr w:rsidR="00BD2C35" w:rsidTr="00BD2C35">
        <w:trPr>
          <w:trHeight w:val="346"/>
        </w:trPr>
        <w:tc>
          <w:tcPr>
            <w:tcW w:w="536" w:type="dxa"/>
          </w:tcPr>
          <w:p w:rsidR="00BD2C35" w:rsidRDefault="00BD2C35" w:rsidP="00BD2C35">
            <w:pPr>
              <w:pStyle w:val="TableText"/>
            </w:pPr>
            <w:r>
              <w:t>7</w:t>
            </w:r>
          </w:p>
        </w:tc>
        <w:tc>
          <w:tcPr>
            <w:tcW w:w="5193" w:type="dxa"/>
          </w:tcPr>
          <w:p w:rsidR="00BD2C35" w:rsidRDefault="00BD2C35" w:rsidP="00BD2C35">
            <w:pPr>
              <w:pStyle w:val="TableText"/>
            </w:pPr>
            <w:r>
              <w:t>Describes the interventions or strategies being compared and state why they were chosen.</w:t>
            </w:r>
          </w:p>
        </w:tc>
        <w:tc>
          <w:tcPr>
            <w:tcW w:w="858" w:type="dxa"/>
          </w:tcPr>
          <w:p w:rsidR="00BD2C35" w:rsidRPr="00544C75" w:rsidRDefault="00BD2C35" w:rsidP="00BD2C35">
            <w:pPr>
              <w:pStyle w:val="TableText"/>
              <w:rPr>
                <w:szCs w:val="18"/>
              </w:rPr>
            </w:pPr>
            <w:r w:rsidRPr="00544C75">
              <w:rPr>
                <w:szCs w:val="18"/>
              </w:rPr>
              <w:sym w:font="Wingdings" w:char="F0FC"/>
            </w:r>
            <w:r>
              <w:rPr>
                <w:szCs w:val="18"/>
              </w:rPr>
              <w:t xml:space="preserve"> p.1469</w:t>
            </w:r>
          </w:p>
        </w:tc>
        <w:tc>
          <w:tcPr>
            <w:tcW w:w="858" w:type="dxa"/>
          </w:tcPr>
          <w:p w:rsidR="00BD2C35" w:rsidRDefault="00BD2C35" w:rsidP="00BD2C35">
            <w:pPr>
              <w:pStyle w:val="TableText"/>
            </w:pPr>
            <w:r w:rsidRPr="00544C75">
              <w:rPr>
                <w:szCs w:val="18"/>
              </w:rPr>
              <w:sym w:font="Wingdings" w:char="F0FC"/>
            </w:r>
            <w:r>
              <w:rPr>
                <w:szCs w:val="18"/>
              </w:rPr>
              <w:t xml:space="preserve"> p.1530</w:t>
            </w:r>
          </w:p>
        </w:tc>
        <w:tc>
          <w:tcPr>
            <w:tcW w:w="874" w:type="dxa"/>
          </w:tcPr>
          <w:p w:rsidR="00BD2C35" w:rsidRPr="00544C75" w:rsidRDefault="00BD2C35" w:rsidP="00BD2C35">
            <w:pPr>
              <w:pStyle w:val="TableText"/>
              <w:rPr>
                <w:szCs w:val="18"/>
              </w:rPr>
            </w:pPr>
            <w:r w:rsidRPr="00544C75">
              <w:rPr>
                <w:szCs w:val="18"/>
              </w:rPr>
              <w:sym w:font="Wingdings" w:char="F0FC"/>
            </w:r>
            <w:r>
              <w:rPr>
                <w:szCs w:val="18"/>
              </w:rPr>
              <w:t xml:space="preserve"> p.1106-7</w:t>
            </w:r>
          </w:p>
        </w:tc>
      </w:tr>
      <w:tr w:rsidR="00BD2C35" w:rsidTr="00BD2C35">
        <w:trPr>
          <w:trHeight w:val="346"/>
        </w:trPr>
        <w:tc>
          <w:tcPr>
            <w:tcW w:w="536" w:type="dxa"/>
          </w:tcPr>
          <w:p w:rsidR="00BD2C35" w:rsidRDefault="00BD2C35" w:rsidP="00BD2C35">
            <w:pPr>
              <w:pStyle w:val="TableText"/>
            </w:pPr>
            <w:r>
              <w:t>8</w:t>
            </w:r>
          </w:p>
        </w:tc>
        <w:tc>
          <w:tcPr>
            <w:tcW w:w="5193" w:type="dxa"/>
          </w:tcPr>
          <w:p w:rsidR="00BD2C35" w:rsidRDefault="00BD2C35" w:rsidP="00BD2C35">
            <w:pPr>
              <w:pStyle w:val="TableText"/>
            </w:pPr>
            <w:r>
              <w:t>States the time horizon over which costs and consequences are being evaluated and says why appropriate</w:t>
            </w:r>
          </w:p>
        </w:tc>
        <w:tc>
          <w:tcPr>
            <w:tcW w:w="858" w:type="dxa"/>
          </w:tcPr>
          <w:p w:rsidR="00BD2C35" w:rsidRPr="00544C75" w:rsidRDefault="00BD2C35" w:rsidP="00BD2C35">
            <w:pPr>
              <w:pStyle w:val="TableText"/>
              <w:rPr>
                <w:szCs w:val="18"/>
              </w:rPr>
            </w:pPr>
            <w:r>
              <w:rPr>
                <w:szCs w:val="18"/>
              </w:rPr>
              <w:t>partial, p.1469</w:t>
            </w:r>
          </w:p>
        </w:tc>
        <w:tc>
          <w:tcPr>
            <w:tcW w:w="858" w:type="dxa"/>
          </w:tcPr>
          <w:p w:rsidR="00BD2C35" w:rsidRDefault="00BD2C35" w:rsidP="00BD2C35">
            <w:pPr>
              <w:pStyle w:val="TableText"/>
            </w:pPr>
            <w:r w:rsidRPr="00544C75">
              <w:rPr>
                <w:szCs w:val="18"/>
              </w:rPr>
              <w:sym w:font="Wingdings" w:char="F0FC"/>
            </w:r>
            <w:r>
              <w:rPr>
                <w:szCs w:val="18"/>
              </w:rPr>
              <w:t xml:space="preserve"> p.1530</w:t>
            </w:r>
          </w:p>
        </w:tc>
        <w:tc>
          <w:tcPr>
            <w:tcW w:w="874" w:type="dxa"/>
          </w:tcPr>
          <w:p w:rsidR="00BD2C35" w:rsidRPr="00544C75" w:rsidRDefault="00BD2C35" w:rsidP="00BD2C35">
            <w:pPr>
              <w:pStyle w:val="TableText"/>
              <w:rPr>
                <w:szCs w:val="18"/>
              </w:rPr>
            </w:pPr>
            <w:r w:rsidRPr="00544C75">
              <w:rPr>
                <w:szCs w:val="18"/>
              </w:rPr>
              <w:sym w:font="Wingdings" w:char="F0FC"/>
            </w:r>
            <w:r>
              <w:rPr>
                <w:szCs w:val="18"/>
              </w:rPr>
              <w:t xml:space="preserve"> p.1108</w:t>
            </w:r>
          </w:p>
        </w:tc>
      </w:tr>
      <w:tr w:rsidR="00BD2C35" w:rsidTr="00BD2C35">
        <w:trPr>
          <w:trHeight w:val="346"/>
        </w:trPr>
        <w:tc>
          <w:tcPr>
            <w:tcW w:w="536" w:type="dxa"/>
          </w:tcPr>
          <w:p w:rsidR="00BD2C35" w:rsidRDefault="00BD2C35" w:rsidP="00BD2C35">
            <w:pPr>
              <w:pStyle w:val="TableText"/>
            </w:pPr>
            <w:r>
              <w:t>9</w:t>
            </w:r>
          </w:p>
        </w:tc>
        <w:tc>
          <w:tcPr>
            <w:tcW w:w="5193" w:type="dxa"/>
          </w:tcPr>
          <w:p w:rsidR="00BD2C35" w:rsidRDefault="00BD2C35" w:rsidP="00BD2C35">
            <w:pPr>
              <w:pStyle w:val="TableText"/>
            </w:pPr>
            <w:r>
              <w:t>Reports the choice of discount rate(s) used for costs and outcomes and says why</w:t>
            </w:r>
          </w:p>
        </w:tc>
        <w:tc>
          <w:tcPr>
            <w:tcW w:w="858" w:type="dxa"/>
          </w:tcPr>
          <w:p w:rsidR="00BD2C35" w:rsidRPr="00544C75" w:rsidRDefault="00BD2C35" w:rsidP="00BD2C35">
            <w:pPr>
              <w:pStyle w:val="TableText"/>
              <w:rPr>
                <w:szCs w:val="18"/>
              </w:rPr>
            </w:pPr>
            <w:r>
              <w:rPr>
                <w:szCs w:val="18"/>
              </w:rPr>
              <w:t>partial, p.1469</w:t>
            </w:r>
          </w:p>
        </w:tc>
        <w:tc>
          <w:tcPr>
            <w:tcW w:w="858" w:type="dxa"/>
          </w:tcPr>
          <w:p w:rsidR="00BD2C35" w:rsidRDefault="00BD2C35" w:rsidP="00BD2C35">
            <w:pPr>
              <w:pStyle w:val="TableText"/>
            </w:pPr>
            <w:r w:rsidRPr="00544C75">
              <w:rPr>
                <w:szCs w:val="18"/>
              </w:rPr>
              <w:sym w:font="Wingdings" w:char="F0FC"/>
            </w:r>
            <w:r>
              <w:rPr>
                <w:szCs w:val="18"/>
              </w:rPr>
              <w:t xml:space="preserve"> p.1531</w:t>
            </w:r>
          </w:p>
        </w:tc>
        <w:tc>
          <w:tcPr>
            <w:tcW w:w="874" w:type="dxa"/>
          </w:tcPr>
          <w:p w:rsidR="00BD2C35" w:rsidRPr="00544C75" w:rsidRDefault="00BD2C35" w:rsidP="00BD2C35">
            <w:pPr>
              <w:pStyle w:val="TableText"/>
              <w:rPr>
                <w:szCs w:val="18"/>
              </w:rPr>
            </w:pPr>
            <w:r>
              <w:rPr>
                <w:szCs w:val="18"/>
              </w:rPr>
              <w:t>partial, p.1108</w:t>
            </w:r>
          </w:p>
        </w:tc>
      </w:tr>
      <w:tr w:rsidR="00BD2C35" w:rsidTr="00BD2C35">
        <w:trPr>
          <w:trHeight w:val="346"/>
        </w:trPr>
        <w:tc>
          <w:tcPr>
            <w:tcW w:w="536" w:type="dxa"/>
          </w:tcPr>
          <w:p w:rsidR="00BD2C35" w:rsidRDefault="00BD2C35" w:rsidP="00BD2C35">
            <w:pPr>
              <w:pStyle w:val="TableText"/>
            </w:pPr>
            <w:r>
              <w:t>10</w:t>
            </w:r>
          </w:p>
        </w:tc>
        <w:tc>
          <w:tcPr>
            <w:tcW w:w="5193" w:type="dxa"/>
          </w:tcPr>
          <w:p w:rsidR="00BD2C35" w:rsidRDefault="00BD2C35" w:rsidP="00BD2C35">
            <w:pPr>
              <w:pStyle w:val="TableText"/>
            </w:pPr>
            <w:r>
              <w:t>Describes what outcomes were used as the measures of benefit and relevance for analysis</w:t>
            </w:r>
          </w:p>
        </w:tc>
        <w:tc>
          <w:tcPr>
            <w:tcW w:w="858" w:type="dxa"/>
          </w:tcPr>
          <w:p w:rsidR="00BD2C35" w:rsidRPr="00544C75" w:rsidRDefault="00BD2C35" w:rsidP="00BD2C35">
            <w:pPr>
              <w:pStyle w:val="TableText"/>
              <w:rPr>
                <w:szCs w:val="18"/>
              </w:rPr>
            </w:pPr>
            <w:r w:rsidRPr="00544C75">
              <w:rPr>
                <w:szCs w:val="18"/>
              </w:rPr>
              <w:sym w:font="Wingdings" w:char="F0FC"/>
            </w:r>
            <w:r>
              <w:rPr>
                <w:szCs w:val="18"/>
              </w:rPr>
              <w:t xml:space="preserve"> p.1470</w:t>
            </w:r>
          </w:p>
        </w:tc>
        <w:tc>
          <w:tcPr>
            <w:tcW w:w="858" w:type="dxa"/>
          </w:tcPr>
          <w:p w:rsidR="00BD2C35" w:rsidRDefault="00BD2C35" w:rsidP="00BD2C35">
            <w:pPr>
              <w:pStyle w:val="TableText"/>
            </w:pPr>
            <w:r w:rsidRPr="00544C75">
              <w:rPr>
                <w:szCs w:val="18"/>
              </w:rPr>
              <w:sym w:font="Wingdings" w:char="F0FC"/>
            </w:r>
            <w:r>
              <w:rPr>
                <w:szCs w:val="18"/>
              </w:rPr>
              <w:t xml:space="preserve"> p.1530</w:t>
            </w:r>
          </w:p>
        </w:tc>
        <w:tc>
          <w:tcPr>
            <w:tcW w:w="874" w:type="dxa"/>
          </w:tcPr>
          <w:p w:rsidR="00BD2C35" w:rsidRPr="00544C75" w:rsidRDefault="00BD2C35" w:rsidP="00BD2C35">
            <w:pPr>
              <w:pStyle w:val="TableText"/>
              <w:rPr>
                <w:szCs w:val="18"/>
              </w:rPr>
            </w:pPr>
            <w:r w:rsidRPr="00544C75">
              <w:rPr>
                <w:szCs w:val="18"/>
              </w:rPr>
              <w:sym w:font="Wingdings" w:char="F0FC"/>
            </w:r>
            <w:r>
              <w:rPr>
                <w:szCs w:val="18"/>
              </w:rPr>
              <w:t xml:space="preserve"> p.1108</w:t>
            </w:r>
          </w:p>
        </w:tc>
      </w:tr>
      <w:tr w:rsidR="00BD2C35" w:rsidTr="00BD2C35">
        <w:trPr>
          <w:trHeight w:val="346"/>
        </w:trPr>
        <w:tc>
          <w:tcPr>
            <w:tcW w:w="536" w:type="dxa"/>
          </w:tcPr>
          <w:p w:rsidR="00BD2C35" w:rsidRDefault="00BD2C35" w:rsidP="00BD2C35">
            <w:pPr>
              <w:pStyle w:val="TableText"/>
            </w:pPr>
            <w:r>
              <w:t>11</w:t>
            </w:r>
          </w:p>
        </w:tc>
        <w:tc>
          <w:tcPr>
            <w:tcW w:w="5193" w:type="dxa"/>
          </w:tcPr>
          <w:p w:rsidR="00BD2C35" w:rsidRDefault="00BD2C35" w:rsidP="00534D10">
            <w:pPr>
              <w:pStyle w:val="TableText"/>
              <w:numPr>
                <w:ilvl w:val="0"/>
                <w:numId w:val="25"/>
              </w:numPr>
            </w:pPr>
            <w:r>
              <w:t>Single-study – describes fully the design features and why single study was sufficient for clinical effectiveness</w:t>
            </w:r>
          </w:p>
          <w:p w:rsidR="00BD2C35" w:rsidRDefault="00BD2C35" w:rsidP="00534D10">
            <w:pPr>
              <w:pStyle w:val="TableText"/>
              <w:numPr>
                <w:ilvl w:val="0"/>
                <w:numId w:val="25"/>
              </w:numPr>
            </w:pPr>
            <w:r>
              <w:t>Synthesis-based – describes the methods used for identification of included studies and synthesis of clinical effectiveness data</w:t>
            </w:r>
          </w:p>
        </w:tc>
        <w:tc>
          <w:tcPr>
            <w:tcW w:w="858" w:type="dxa"/>
          </w:tcPr>
          <w:p w:rsidR="00BD2C35" w:rsidRDefault="00BD2C35" w:rsidP="00BD2C35">
            <w:pPr>
              <w:pStyle w:val="TableText"/>
              <w:rPr>
                <w:szCs w:val="18"/>
              </w:rPr>
            </w:pPr>
            <w:r>
              <w:rPr>
                <w:szCs w:val="18"/>
              </w:rPr>
              <w:t>n/a</w:t>
            </w:r>
          </w:p>
          <w:p w:rsidR="00BD2C35" w:rsidRDefault="00BD2C35" w:rsidP="00BD2C35">
            <w:pPr>
              <w:pStyle w:val="TableText"/>
              <w:rPr>
                <w:szCs w:val="18"/>
              </w:rPr>
            </w:pPr>
          </w:p>
          <w:p w:rsidR="00BD2C35" w:rsidRPr="00544C75" w:rsidRDefault="00BD2C35" w:rsidP="00BD2C35">
            <w:pPr>
              <w:pStyle w:val="TableText"/>
              <w:rPr>
                <w:szCs w:val="18"/>
              </w:rPr>
            </w:pPr>
            <w:r w:rsidRPr="00544C75">
              <w:rPr>
                <w:szCs w:val="18"/>
              </w:rPr>
              <w:sym w:font="Wingdings" w:char="F0FC"/>
            </w:r>
            <w:r>
              <w:rPr>
                <w:szCs w:val="18"/>
              </w:rPr>
              <w:t xml:space="preserve"> p.1469-70</w:t>
            </w:r>
          </w:p>
        </w:tc>
        <w:tc>
          <w:tcPr>
            <w:tcW w:w="858" w:type="dxa"/>
          </w:tcPr>
          <w:p w:rsidR="00BD2C35" w:rsidRDefault="00BD2C35" w:rsidP="00BD2C35">
            <w:pPr>
              <w:pStyle w:val="TableText"/>
              <w:rPr>
                <w:szCs w:val="18"/>
              </w:rPr>
            </w:pPr>
            <w:r>
              <w:rPr>
                <w:szCs w:val="18"/>
              </w:rPr>
              <w:t>n/a</w:t>
            </w:r>
          </w:p>
          <w:p w:rsidR="00BD2C35" w:rsidRDefault="00BD2C35" w:rsidP="00BD2C35">
            <w:pPr>
              <w:pStyle w:val="TableText"/>
              <w:rPr>
                <w:szCs w:val="18"/>
              </w:rPr>
            </w:pPr>
          </w:p>
          <w:p w:rsidR="00BD2C35" w:rsidRDefault="00BD2C35" w:rsidP="00BD2C35">
            <w:pPr>
              <w:pStyle w:val="TableText"/>
            </w:pPr>
            <w:r w:rsidRPr="00544C75">
              <w:rPr>
                <w:szCs w:val="18"/>
              </w:rPr>
              <w:sym w:font="Wingdings" w:char="F0FC"/>
            </w:r>
            <w:r>
              <w:rPr>
                <w:szCs w:val="18"/>
              </w:rPr>
              <w:t xml:space="preserve"> p.1530-31</w:t>
            </w:r>
          </w:p>
        </w:tc>
        <w:tc>
          <w:tcPr>
            <w:tcW w:w="874" w:type="dxa"/>
          </w:tcPr>
          <w:p w:rsidR="00BD2C35" w:rsidRDefault="00BD2C35" w:rsidP="00BD2C35">
            <w:pPr>
              <w:pStyle w:val="TableText"/>
              <w:rPr>
                <w:szCs w:val="18"/>
              </w:rPr>
            </w:pPr>
            <w:r>
              <w:rPr>
                <w:szCs w:val="18"/>
              </w:rPr>
              <w:t>n/a</w:t>
            </w:r>
          </w:p>
          <w:p w:rsidR="00BD2C35" w:rsidRDefault="00BD2C35" w:rsidP="00BD2C35">
            <w:pPr>
              <w:pStyle w:val="TableText"/>
              <w:rPr>
                <w:szCs w:val="18"/>
              </w:rPr>
            </w:pPr>
          </w:p>
          <w:p w:rsidR="00BD2C35" w:rsidRDefault="00BD2C35" w:rsidP="00BD2C35">
            <w:pPr>
              <w:pStyle w:val="TableText"/>
              <w:rPr>
                <w:szCs w:val="18"/>
              </w:rPr>
            </w:pPr>
            <w:r w:rsidRPr="00544C75">
              <w:rPr>
                <w:szCs w:val="18"/>
              </w:rPr>
              <w:sym w:font="Wingdings" w:char="F0FC"/>
            </w:r>
            <w:r>
              <w:rPr>
                <w:szCs w:val="18"/>
              </w:rPr>
              <w:t xml:space="preserve"> p.1108</w:t>
            </w:r>
          </w:p>
        </w:tc>
      </w:tr>
      <w:tr w:rsidR="00BD2C35" w:rsidTr="00BD2C35">
        <w:trPr>
          <w:trHeight w:val="346"/>
        </w:trPr>
        <w:tc>
          <w:tcPr>
            <w:tcW w:w="536" w:type="dxa"/>
          </w:tcPr>
          <w:p w:rsidR="00BD2C35" w:rsidRDefault="00BD2C35" w:rsidP="00BD2C35">
            <w:pPr>
              <w:pStyle w:val="TableText"/>
            </w:pPr>
            <w:r>
              <w:t>12</w:t>
            </w:r>
          </w:p>
        </w:tc>
        <w:tc>
          <w:tcPr>
            <w:tcW w:w="5193" w:type="dxa"/>
          </w:tcPr>
          <w:p w:rsidR="00BD2C35" w:rsidRDefault="00BD2C35" w:rsidP="00BD2C35">
            <w:pPr>
              <w:pStyle w:val="TableText"/>
            </w:pPr>
            <w:r>
              <w:t>If applicable, describes the population and methods used to elicit preferences for outcomes</w:t>
            </w:r>
          </w:p>
        </w:tc>
        <w:tc>
          <w:tcPr>
            <w:tcW w:w="858" w:type="dxa"/>
          </w:tcPr>
          <w:p w:rsidR="00BD2C35" w:rsidRPr="00544C75" w:rsidRDefault="00BD2C35" w:rsidP="00BD2C35">
            <w:pPr>
              <w:pStyle w:val="TableText"/>
              <w:rPr>
                <w:szCs w:val="18"/>
              </w:rPr>
            </w:pPr>
            <w:r w:rsidRPr="00544C75">
              <w:rPr>
                <w:szCs w:val="18"/>
              </w:rPr>
              <w:sym w:font="Wingdings" w:char="F0FC"/>
            </w:r>
            <w:r>
              <w:rPr>
                <w:szCs w:val="18"/>
              </w:rPr>
              <w:t xml:space="preserve"> p.1470</w:t>
            </w:r>
          </w:p>
        </w:tc>
        <w:tc>
          <w:tcPr>
            <w:tcW w:w="858" w:type="dxa"/>
          </w:tcPr>
          <w:p w:rsidR="00BD2C35" w:rsidRDefault="00F03E78" w:rsidP="00BD2C35">
            <w:pPr>
              <w:pStyle w:val="TableText"/>
            </w:pPr>
            <w:r>
              <w:rPr>
                <w:szCs w:val="18"/>
              </w:rPr>
              <w:t>Partial,</w:t>
            </w:r>
            <w:r w:rsidR="00BD2C35">
              <w:rPr>
                <w:szCs w:val="18"/>
              </w:rPr>
              <w:t xml:space="preserve"> p.1531</w:t>
            </w:r>
          </w:p>
        </w:tc>
        <w:tc>
          <w:tcPr>
            <w:tcW w:w="874" w:type="dxa"/>
          </w:tcPr>
          <w:p w:rsidR="00BD2C35" w:rsidRPr="00544C75" w:rsidRDefault="00A7492E" w:rsidP="00BD2C35">
            <w:pPr>
              <w:pStyle w:val="TableText"/>
              <w:rPr>
                <w:szCs w:val="18"/>
              </w:rPr>
            </w:pPr>
            <w:r w:rsidRPr="00544C75">
              <w:rPr>
                <w:szCs w:val="18"/>
              </w:rPr>
              <w:sym w:font="Wingdings" w:char="F0FC"/>
            </w:r>
            <w:r>
              <w:rPr>
                <w:szCs w:val="18"/>
              </w:rPr>
              <w:t xml:space="preserve"> p.1109</w:t>
            </w:r>
          </w:p>
        </w:tc>
      </w:tr>
      <w:tr w:rsidR="00BD2C35" w:rsidTr="00BD2C35">
        <w:trPr>
          <w:trHeight w:val="346"/>
        </w:trPr>
        <w:tc>
          <w:tcPr>
            <w:tcW w:w="536" w:type="dxa"/>
          </w:tcPr>
          <w:p w:rsidR="00BD2C35" w:rsidRDefault="00BD2C35" w:rsidP="00BD2C35">
            <w:pPr>
              <w:pStyle w:val="TableText"/>
            </w:pPr>
            <w:r>
              <w:t>13</w:t>
            </w:r>
          </w:p>
        </w:tc>
        <w:tc>
          <w:tcPr>
            <w:tcW w:w="5193" w:type="dxa"/>
          </w:tcPr>
          <w:p w:rsidR="00BD2C35" w:rsidRDefault="00BD2C35" w:rsidP="00534D10">
            <w:pPr>
              <w:pStyle w:val="TableText"/>
              <w:numPr>
                <w:ilvl w:val="0"/>
                <w:numId w:val="26"/>
              </w:numPr>
            </w:pPr>
            <w:r>
              <w:t xml:space="preserve">Single-study – describes fully the approaches to estimate resource use, valuation methods and any adjustments made </w:t>
            </w:r>
          </w:p>
          <w:p w:rsidR="00BD2C35" w:rsidRDefault="00BD2C35" w:rsidP="00534D10">
            <w:pPr>
              <w:pStyle w:val="TableText"/>
              <w:numPr>
                <w:ilvl w:val="0"/>
                <w:numId w:val="26"/>
              </w:numPr>
            </w:pPr>
            <w:r>
              <w:t>Synthesis-based – describes the methods used for resource use associated with model health states, valuation and adjustments made</w:t>
            </w:r>
          </w:p>
        </w:tc>
        <w:tc>
          <w:tcPr>
            <w:tcW w:w="858" w:type="dxa"/>
          </w:tcPr>
          <w:p w:rsidR="00BD2C35" w:rsidRDefault="00BD2C35" w:rsidP="00BD2C35">
            <w:pPr>
              <w:pStyle w:val="TableText"/>
              <w:rPr>
                <w:szCs w:val="18"/>
              </w:rPr>
            </w:pPr>
            <w:r>
              <w:rPr>
                <w:szCs w:val="18"/>
              </w:rPr>
              <w:t>n/a</w:t>
            </w:r>
          </w:p>
          <w:p w:rsidR="00BD2C35" w:rsidRDefault="00BD2C35" w:rsidP="00BD2C35">
            <w:pPr>
              <w:pStyle w:val="TableText"/>
              <w:rPr>
                <w:szCs w:val="18"/>
              </w:rPr>
            </w:pPr>
          </w:p>
          <w:p w:rsidR="00BD2C35" w:rsidRPr="00544C75" w:rsidRDefault="00BD2C35" w:rsidP="00BD2C35">
            <w:pPr>
              <w:pStyle w:val="TableText"/>
              <w:rPr>
                <w:szCs w:val="18"/>
              </w:rPr>
            </w:pPr>
            <w:r w:rsidRPr="00544C75">
              <w:rPr>
                <w:szCs w:val="18"/>
              </w:rPr>
              <w:sym w:font="Wingdings" w:char="F0FC"/>
            </w:r>
            <w:r>
              <w:rPr>
                <w:szCs w:val="18"/>
              </w:rPr>
              <w:t xml:space="preserve"> p.1470</w:t>
            </w:r>
          </w:p>
        </w:tc>
        <w:tc>
          <w:tcPr>
            <w:tcW w:w="858" w:type="dxa"/>
          </w:tcPr>
          <w:p w:rsidR="00BD2C35" w:rsidRDefault="00BD2C35" w:rsidP="00BD2C35">
            <w:pPr>
              <w:pStyle w:val="TableText"/>
            </w:pPr>
            <w:r>
              <w:t>n/a</w:t>
            </w:r>
          </w:p>
          <w:p w:rsidR="00BD2C35" w:rsidRDefault="00BD2C35" w:rsidP="00BD2C35">
            <w:pPr>
              <w:pStyle w:val="TableText"/>
            </w:pPr>
          </w:p>
          <w:p w:rsidR="00BD2C35" w:rsidRDefault="00BD2C35" w:rsidP="00BD2C35">
            <w:pPr>
              <w:pStyle w:val="TableText"/>
            </w:pPr>
            <w:r w:rsidRPr="00544C75">
              <w:rPr>
                <w:szCs w:val="18"/>
              </w:rPr>
              <w:sym w:font="Wingdings" w:char="F0FC"/>
            </w:r>
            <w:r>
              <w:rPr>
                <w:szCs w:val="18"/>
              </w:rPr>
              <w:t xml:space="preserve"> p.1531</w:t>
            </w:r>
          </w:p>
        </w:tc>
        <w:tc>
          <w:tcPr>
            <w:tcW w:w="874" w:type="dxa"/>
          </w:tcPr>
          <w:p w:rsidR="00BD2C35" w:rsidRDefault="00BD2C35" w:rsidP="00BD2C35">
            <w:pPr>
              <w:pStyle w:val="TableText"/>
            </w:pPr>
            <w:r>
              <w:t>n/a</w:t>
            </w:r>
          </w:p>
        </w:tc>
      </w:tr>
      <w:tr w:rsidR="00BD2C35" w:rsidTr="00BD2C35">
        <w:trPr>
          <w:trHeight w:val="346"/>
        </w:trPr>
        <w:tc>
          <w:tcPr>
            <w:tcW w:w="536" w:type="dxa"/>
          </w:tcPr>
          <w:p w:rsidR="00BD2C35" w:rsidRDefault="00BD2C35" w:rsidP="00BD2C35">
            <w:pPr>
              <w:pStyle w:val="TableText"/>
            </w:pPr>
            <w:r>
              <w:t>14</w:t>
            </w:r>
          </w:p>
        </w:tc>
        <w:tc>
          <w:tcPr>
            <w:tcW w:w="5193" w:type="dxa"/>
          </w:tcPr>
          <w:p w:rsidR="00BD2C35" w:rsidRDefault="00BD2C35" w:rsidP="00BD2C35">
            <w:pPr>
              <w:pStyle w:val="TableText"/>
            </w:pPr>
            <w:r>
              <w:t>Reports the dates of the estimated resource quantities and unit costs, year reported for unit costs, methods for converting costs into a common currency base and exchange rate</w:t>
            </w:r>
          </w:p>
        </w:tc>
        <w:tc>
          <w:tcPr>
            <w:tcW w:w="858" w:type="dxa"/>
          </w:tcPr>
          <w:p w:rsidR="00BD2C35" w:rsidRPr="00544C75" w:rsidRDefault="00BD2C35" w:rsidP="00BD2C35">
            <w:pPr>
              <w:pStyle w:val="TableText"/>
              <w:rPr>
                <w:szCs w:val="18"/>
              </w:rPr>
            </w:pPr>
            <w:r w:rsidRPr="00544C75">
              <w:rPr>
                <w:szCs w:val="18"/>
              </w:rPr>
              <w:sym w:font="Wingdings" w:char="F0FC"/>
            </w:r>
            <w:r>
              <w:rPr>
                <w:szCs w:val="18"/>
              </w:rPr>
              <w:t xml:space="preserve"> p.1470</w:t>
            </w:r>
          </w:p>
        </w:tc>
        <w:tc>
          <w:tcPr>
            <w:tcW w:w="858" w:type="dxa"/>
          </w:tcPr>
          <w:p w:rsidR="00BD2C35" w:rsidRDefault="00BD2C35" w:rsidP="00BD2C35">
            <w:pPr>
              <w:pStyle w:val="TableText"/>
            </w:pPr>
            <w:r w:rsidRPr="00544C75">
              <w:rPr>
                <w:szCs w:val="18"/>
              </w:rPr>
              <w:sym w:font="Wingdings" w:char="F0FC"/>
            </w:r>
            <w:r>
              <w:rPr>
                <w:szCs w:val="18"/>
              </w:rPr>
              <w:t xml:space="preserve"> p.1531</w:t>
            </w:r>
          </w:p>
        </w:tc>
        <w:tc>
          <w:tcPr>
            <w:tcW w:w="874" w:type="dxa"/>
          </w:tcPr>
          <w:p w:rsidR="00BD2C35" w:rsidRPr="00544C75" w:rsidRDefault="00BD2C35" w:rsidP="00BD2C35">
            <w:pPr>
              <w:pStyle w:val="TableText"/>
              <w:rPr>
                <w:szCs w:val="18"/>
              </w:rPr>
            </w:pPr>
            <w:r w:rsidRPr="00544C75">
              <w:rPr>
                <w:szCs w:val="18"/>
              </w:rPr>
              <w:sym w:font="Wingdings" w:char="F0FC"/>
            </w:r>
            <w:r>
              <w:rPr>
                <w:szCs w:val="18"/>
              </w:rPr>
              <w:t xml:space="preserve"> p.1108</w:t>
            </w:r>
          </w:p>
        </w:tc>
      </w:tr>
      <w:tr w:rsidR="00BD2C35" w:rsidTr="00BD2C35">
        <w:trPr>
          <w:trHeight w:val="346"/>
        </w:trPr>
        <w:tc>
          <w:tcPr>
            <w:tcW w:w="536" w:type="dxa"/>
          </w:tcPr>
          <w:p w:rsidR="00BD2C35" w:rsidRDefault="00BD2C35" w:rsidP="00BD2C35">
            <w:pPr>
              <w:pStyle w:val="TableText"/>
            </w:pPr>
            <w:r>
              <w:t>15</w:t>
            </w:r>
          </w:p>
        </w:tc>
        <w:tc>
          <w:tcPr>
            <w:tcW w:w="5193" w:type="dxa"/>
          </w:tcPr>
          <w:p w:rsidR="00BD2C35" w:rsidRDefault="00BD2C35" w:rsidP="00BD2C35">
            <w:pPr>
              <w:pStyle w:val="TableText"/>
            </w:pPr>
            <w:r>
              <w:t>Describes and gives reasons for the specific type of decision analytic model used. Illustration is highly recommended.</w:t>
            </w:r>
          </w:p>
        </w:tc>
        <w:tc>
          <w:tcPr>
            <w:tcW w:w="858" w:type="dxa"/>
          </w:tcPr>
          <w:p w:rsidR="00BD2C35" w:rsidRPr="00544C75" w:rsidRDefault="00BD2C35" w:rsidP="00BD2C35">
            <w:pPr>
              <w:pStyle w:val="TableText"/>
              <w:rPr>
                <w:szCs w:val="18"/>
              </w:rPr>
            </w:pPr>
            <w:r w:rsidRPr="00544C75">
              <w:rPr>
                <w:szCs w:val="18"/>
              </w:rPr>
              <w:sym w:font="Wingdings" w:char="F0FC"/>
            </w:r>
            <w:r>
              <w:rPr>
                <w:szCs w:val="18"/>
              </w:rPr>
              <w:t xml:space="preserve"> p.1470, fig 1</w:t>
            </w:r>
          </w:p>
        </w:tc>
        <w:tc>
          <w:tcPr>
            <w:tcW w:w="858" w:type="dxa"/>
          </w:tcPr>
          <w:p w:rsidR="00BD2C35" w:rsidRDefault="00BD2C35" w:rsidP="00BD2C35">
            <w:pPr>
              <w:pStyle w:val="TableText"/>
            </w:pPr>
            <w:r w:rsidRPr="00544C75">
              <w:rPr>
                <w:szCs w:val="18"/>
              </w:rPr>
              <w:sym w:font="Wingdings" w:char="F0FC"/>
            </w:r>
            <w:r>
              <w:rPr>
                <w:szCs w:val="18"/>
              </w:rPr>
              <w:t xml:space="preserve"> p.1531, fig 1</w:t>
            </w:r>
          </w:p>
        </w:tc>
        <w:tc>
          <w:tcPr>
            <w:tcW w:w="874" w:type="dxa"/>
          </w:tcPr>
          <w:p w:rsidR="00BD2C35" w:rsidRDefault="00BD2C35" w:rsidP="00BD2C35">
            <w:pPr>
              <w:pStyle w:val="TableText"/>
              <w:rPr>
                <w:szCs w:val="18"/>
              </w:rPr>
            </w:pPr>
            <w:r w:rsidRPr="00544C75">
              <w:rPr>
                <w:szCs w:val="18"/>
              </w:rPr>
              <w:sym w:font="Wingdings" w:char="F0FC"/>
            </w:r>
            <w:r>
              <w:rPr>
                <w:szCs w:val="18"/>
              </w:rPr>
              <w:t xml:space="preserve"> p.1108,</w:t>
            </w:r>
          </w:p>
          <w:p w:rsidR="00BD2C35" w:rsidRPr="00544C75" w:rsidRDefault="00BD2C35" w:rsidP="00BD2C35">
            <w:pPr>
              <w:pStyle w:val="TableText"/>
              <w:rPr>
                <w:szCs w:val="18"/>
              </w:rPr>
            </w:pPr>
            <w:r>
              <w:rPr>
                <w:szCs w:val="18"/>
              </w:rPr>
              <w:t>Fig 2</w:t>
            </w:r>
          </w:p>
        </w:tc>
      </w:tr>
      <w:tr w:rsidR="00BD2C35" w:rsidTr="00F03E78">
        <w:trPr>
          <w:trHeight w:val="346"/>
        </w:trPr>
        <w:tc>
          <w:tcPr>
            <w:tcW w:w="536" w:type="dxa"/>
          </w:tcPr>
          <w:p w:rsidR="00BD2C35" w:rsidRDefault="00BD2C35" w:rsidP="00BD2C35">
            <w:pPr>
              <w:pStyle w:val="TableText"/>
            </w:pPr>
            <w:r>
              <w:t>16</w:t>
            </w:r>
          </w:p>
        </w:tc>
        <w:tc>
          <w:tcPr>
            <w:tcW w:w="5193" w:type="dxa"/>
          </w:tcPr>
          <w:p w:rsidR="00BD2C35" w:rsidRDefault="00BD2C35" w:rsidP="00BD2C35">
            <w:pPr>
              <w:pStyle w:val="TableText"/>
            </w:pPr>
            <w:r>
              <w:t>Describes all structural or other assumptions underpinning the decision-analytical model.</w:t>
            </w:r>
          </w:p>
        </w:tc>
        <w:tc>
          <w:tcPr>
            <w:tcW w:w="858" w:type="dxa"/>
          </w:tcPr>
          <w:p w:rsidR="00BD2C35" w:rsidRPr="00544C75" w:rsidRDefault="00BD2C35" w:rsidP="00BD2C35">
            <w:pPr>
              <w:pStyle w:val="TableText"/>
              <w:rPr>
                <w:szCs w:val="18"/>
              </w:rPr>
            </w:pPr>
            <w:r w:rsidRPr="00544C75">
              <w:rPr>
                <w:szCs w:val="18"/>
              </w:rPr>
              <w:sym w:font="Wingdings" w:char="F0FC"/>
            </w:r>
            <w:r>
              <w:rPr>
                <w:szCs w:val="18"/>
              </w:rPr>
              <w:t xml:space="preserve"> p.1469-  71</w:t>
            </w:r>
          </w:p>
        </w:tc>
        <w:tc>
          <w:tcPr>
            <w:tcW w:w="858" w:type="dxa"/>
            <w:shd w:val="clear" w:color="auto" w:fill="auto"/>
          </w:tcPr>
          <w:p w:rsidR="00BD2C35" w:rsidRDefault="00BD2C35" w:rsidP="00BD2C35">
            <w:pPr>
              <w:pStyle w:val="TableText"/>
              <w:rPr>
                <w:szCs w:val="18"/>
              </w:rPr>
            </w:pPr>
            <w:r w:rsidRPr="00F03E78">
              <w:rPr>
                <w:szCs w:val="18"/>
              </w:rPr>
              <w:sym w:font="Wingdings" w:char="F0FC"/>
            </w:r>
            <w:r w:rsidRPr="00F03E78">
              <w:rPr>
                <w:szCs w:val="18"/>
              </w:rPr>
              <w:t xml:space="preserve"> </w:t>
            </w:r>
          </w:p>
          <w:p w:rsidR="00F03E78" w:rsidRPr="001747F4" w:rsidRDefault="00F03E78" w:rsidP="00BD2C35">
            <w:pPr>
              <w:pStyle w:val="TableText"/>
              <w:rPr>
                <w:highlight w:val="yellow"/>
              </w:rPr>
            </w:pPr>
            <w:r>
              <w:rPr>
                <w:szCs w:val="18"/>
              </w:rPr>
              <w:t>p.1530-1532</w:t>
            </w:r>
          </w:p>
        </w:tc>
        <w:tc>
          <w:tcPr>
            <w:tcW w:w="874" w:type="dxa"/>
          </w:tcPr>
          <w:p w:rsidR="00BD2C35" w:rsidRPr="00544C75" w:rsidRDefault="00BD2C35" w:rsidP="00BD2C35">
            <w:pPr>
              <w:pStyle w:val="TableText"/>
              <w:rPr>
                <w:szCs w:val="18"/>
              </w:rPr>
            </w:pPr>
            <w:r w:rsidRPr="00544C75">
              <w:rPr>
                <w:szCs w:val="18"/>
              </w:rPr>
              <w:sym w:font="Wingdings" w:char="F0FC"/>
            </w:r>
            <w:r>
              <w:rPr>
                <w:szCs w:val="18"/>
              </w:rPr>
              <w:t xml:space="preserve"> p.1108-10</w:t>
            </w:r>
          </w:p>
        </w:tc>
      </w:tr>
      <w:tr w:rsidR="00F03E78" w:rsidTr="00BD2C35">
        <w:trPr>
          <w:trHeight w:val="346"/>
        </w:trPr>
        <w:tc>
          <w:tcPr>
            <w:tcW w:w="536" w:type="dxa"/>
          </w:tcPr>
          <w:p w:rsidR="00F03E78" w:rsidRDefault="00F03E78" w:rsidP="00BD2C35">
            <w:pPr>
              <w:pStyle w:val="TableText"/>
            </w:pPr>
            <w:r>
              <w:t>17</w:t>
            </w:r>
          </w:p>
        </w:tc>
        <w:tc>
          <w:tcPr>
            <w:tcW w:w="5193" w:type="dxa"/>
          </w:tcPr>
          <w:p w:rsidR="00F03E78" w:rsidRDefault="00F03E78" w:rsidP="00BD2C35">
            <w:pPr>
              <w:pStyle w:val="TableText"/>
            </w:pPr>
            <w:r>
              <w:t>Describes all analytical methods supporting the evaluation (methods dealing with skewed, missing or censored data, extrapolation methods, pooling data and any adjustments) and methods for handing population heterogeneity and uncertainty.</w:t>
            </w:r>
          </w:p>
        </w:tc>
        <w:tc>
          <w:tcPr>
            <w:tcW w:w="858" w:type="dxa"/>
          </w:tcPr>
          <w:p w:rsidR="00F03E78" w:rsidRPr="00544C75" w:rsidRDefault="00F03E78" w:rsidP="00BD2C35">
            <w:pPr>
              <w:pStyle w:val="TableText"/>
              <w:rPr>
                <w:szCs w:val="18"/>
              </w:rPr>
            </w:pPr>
            <w:r w:rsidRPr="00544C75">
              <w:rPr>
                <w:szCs w:val="18"/>
              </w:rPr>
              <w:sym w:font="Wingdings" w:char="F0FC"/>
            </w:r>
            <w:r>
              <w:rPr>
                <w:szCs w:val="18"/>
              </w:rPr>
              <w:t xml:space="preserve"> p.1471</w:t>
            </w:r>
          </w:p>
        </w:tc>
        <w:tc>
          <w:tcPr>
            <w:tcW w:w="858" w:type="dxa"/>
          </w:tcPr>
          <w:p w:rsidR="00F03E78" w:rsidRDefault="00F03E78" w:rsidP="00885488">
            <w:pPr>
              <w:pStyle w:val="TableText"/>
              <w:rPr>
                <w:szCs w:val="18"/>
              </w:rPr>
            </w:pPr>
            <w:r w:rsidRPr="00F03E78">
              <w:rPr>
                <w:szCs w:val="18"/>
              </w:rPr>
              <w:sym w:font="Wingdings" w:char="F0FC"/>
            </w:r>
            <w:r w:rsidRPr="00F03E78">
              <w:rPr>
                <w:szCs w:val="18"/>
              </w:rPr>
              <w:t xml:space="preserve"> </w:t>
            </w:r>
          </w:p>
          <w:p w:rsidR="00F03E78" w:rsidRPr="001747F4" w:rsidRDefault="00F03E78" w:rsidP="00885488">
            <w:pPr>
              <w:pStyle w:val="TableText"/>
              <w:rPr>
                <w:highlight w:val="yellow"/>
              </w:rPr>
            </w:pPr>
            <w:r>
              <w:rPr>
                <w:szCs w:val="18"/>
              </w:rPr>
              <w:t>p.1531-1532</w:t>
            </w:r>
          </w:p>
        </w:tc>
        <w:tc>
          <w:tcPr>
            <w:tcW w:w="874" w:type="dxa"/>
          </w:tcPr>
          <w:p w:rsidR="00F03E78" w:rsidRPr="00544C75" w:rsidRDefault="00F03E78" w:rsidP="00BD2C35">
            <w:pPr>
              <w:pStyle w:val="TableText"/>
              <w:rPr>
                <w:szCs w:val="18"/>
              </w:rPr>
            </w:pPr>
            <w:r w:rsidRPr="00544C75">
              <w:rPr>
                <w:szCs w:val="18"/>
              </w:rPr>
              <w:sym w:font="Wingdings" w:char="F0FC"/>
            </w:r>
            <w:r>
              <w:rPr>
                <w:szCs w:val="18"/>
              </w:rPr>
              <w:t xml:space="preserve"> p.1108-10</w:t>
            </w:r>
          </w:p>
        </w:tc>
      </w:tr>
      <w:tr w:rsidR="00F03E78" w:rsidTr="00BD2C35">
        <w:trPr>
          <w:trHeight w:val="346"/>
        </w:trPr>
        <w:tc>
          <w:tcPr>
            <w:tcW w:w="536" w:type="dxa"/>
          </w:tcPr>
          <w:p w:rsidR="00F03E78" w:rsidRDefault="00F03E78" w:rsidP="00BD2C35">
            <w:pPr>
              <w:pStyle w:val="TableText"/>
            </w:pPr>
            <w:r>
              <w:lastRenderedPageBreak/>
              <w:t>18</w:t>
            </w:r>
          </w:p>
        </w:tc>
        <w:tc>
          <w:tcPr>
            <w:tcW w:w="5193" w:type="dxa"/>
          </w:tcPr>
          <w:p w:rsidR="00F03E78" w:rsidRDefault="00F03E78" w:rsidP="00BD2C35">
            <w:pPr>
              <w:pStyle w:val="TableText"/>
            </w:pPr>
            <w:r>
              <w:t>Reports the values, ranges, references and if used probability distributions used for all parameters. Reports reasons or sources for distributions used to represent uncertainty. A table showing these is highly recommended</w:t>
            </w:r>
          </w:p>
        </w:tc>
        <w:tc>
          <w:tcPr>
            <w:tcW w:w="858" w:type="dxa"/>
          </w:tcPr>
          <w:p w:rsidR="00F03E78" w:rsidRDefault="00F03E78" w:rsidP="00BD2C35">
            <w:pPr>
              <w:pStyle w:val="TableText"/>
              <w:rPr>
                <w:szCs w:val="18"/>
              </w:rPr>
            </w:pPr>
            <w:r w:rsidRPr="00544C75">
              <w:rPr>
                <w:szCs w:val="18"/>
              </w:rPr>
              <w:sym w:font="Wingdings" w:char="F0FC"/>
            </w:r>
            <w:r>
              <w:rPr>
                <w:szCs w:val="18"/>
              </w:rPr>
              <w:t xml:space="preserve"> p.1470</w:t>
            </w:r>
          </w:p>
          <w:p w:rsidR="00F03E78" w:rsidRPr="00544C75" w:rsidRDefault="00F03E78" w:rsidP="00BD2C35">
            <w:pPr>
              <w:pStyle w:val="TableText"/>
              <w:rPr>
                <w:szCs w:val="18"/>
              </w:rPr>
            </w:pPr>
            <w:r>
              <w:rPr>
                <w:szCs w:val="18"/>
              </w:rPr>
              <w:t>Table 1</w:t>
            </w:r>
          </w:p>
        </w:tc>
        <w:tc>
          <w:tcPr>
            <w:tcW w:w="858" w:type="dxa"/>
          </w:tcPr>
          <w:p w:rsidR="00F03E78" w:rsidRDefault="00F03E78" w:rsidP="00BD2C35">
            <w:pPr>
              <w:pStyle w:val="TableText"/>
            </w:pPr>
            <w:r w:rsidRPr="00544C75">
              <w:rPr>
                <w:szCs w:val="18"/>
              </w:rPr>
              <w:sym w:font="Wingdings" w:char="F0FC"/>
            </w:r>
            <w:r>
              <w:rPr>
                <w:szCs w:val="18"/>
              </w:rPr>
              <w:t xml:space="preserve"> p.1531, Tables 2-4</w:t>
            </w:r>
          </w:p>
        </w:tc>
        <w:tc>
          <w:tcPr>
            <w:tcW w:w="874" w:type="dxa"/>
          </w:tcPr>
          <w:p w:rsidR="00F03E78" w:rsidRPr="00544C75" w:rsidRDefault="00F03E78" w:rsidP="00BD2C35">
            <w:pPr>
              <w:pStyle w:val="TableText"/>
              <w:rPr>
                <w:szCs w:val="18"/>
              </w:rPr>
            </w:pPr>
            <w:r w:rsidRPr="00544C75">
              <w:rPr>
                <w:szCs w:val="18"/>
              </w:rPr>
              <w:sym w:font="Wingdings" w:char="F0FC"/>
            </w:r>
            <w:r>
              <w:rPr>
                <w:szCs w:val="18"/>
              </w:rPr>
              <w:t>Tables 2-3 p.1111-12</w:t>
            </w:r>
          </w:p>
        </w:tc>
      </w:tr>
      <w:tr w:rsidR="00F03E78" w:rsidTr="00BD2C35">
        <w:trPr>
          <w:trHeight w:val="346"/>
        </w:trPr>
        <w:tc>
          <w:tcPr>
            <w:tcW w:w="536" w:type="dxa"/>
          </w:tcPr>
          <w:p w:rsidR="00F03E78" w:rsidRDefault="00F03E78" w:rsidP="00BD2C35">
            <w:pPr>
              <w:pStyle w:val="TableText"/>
            </w:pPr>
            <w:r>
              <w:t>19</w:t>
            </w:r>
          </w:p>
        </w:tc>
        <w:tc>
          <w:tcPr>
            <w:tcW w:w="5193" w:type="dxa"/>
          </w:tcPr>
          <w:p w:rsidR="00F03E78" w:rsidRDefault="00F03E78" w:rsidP="00BD2C35">
            <w:pPr>
              <w:pStyle w:val="TableText"/>
            </w:pPr>
            <w:r>
              <w:t>Reports the mean values for each intervention, mean values for main categories of costs and outcomes as well as mean differences between comparator groups and incremental cost effectiveness ratio if relevant</w:t>
            </w:r>
          </w:p>
        </w:tc>
        <w:tc>
          <w:tcPr>
            <w:tcW w:w="858" w:type="dxa"/>
          </w:tcPr>
          <w:p w:rsidR="00F03E78" w:rsidRPr="00544C75" w:rsidRDefault="00F03E78" w:rsidP="00BD2C35">
            <w:pPr>
              <w:pStyle w:val="TableText"/>
              <w:rPr>
                <w:szCs w:val="18"/>
              </w:rPr>
            </w:pPr>
            <w:r w:rsidRPr="00544C75">
              <w:rPr>
                <w:szCs w:val="18"/>
              </w:rPr>
              <w:sym w:font="Wingdings" w:char="F0FC"/>
            </w:r>
            <w:r>
              <w:rPr>
                <w:szCs w:val="18"/>
              </w:rPr>
              <w:t xml:space="preserve"> </w:t>
            </w:r>
            <w:r w:rsidRPr="00087D9D">
              <w:rPr>
                <w:szCs w:val="18"/>
              </w:rPr>
              <w:t>Tables 2-3</w:t>
            </w:r>
            <w:r w:rsidR="00087D9D">
              <w:rPr>
                <w:szCs w:val="18"/>
              </w:rPr>
              <w:t>, p. 1471</w:t>
            </w:r>
          </w:p>
        </w:tc>
        <w:tc>
          <w:tcPr>
            <w:tcW w:w="858" w:type="dxa"/>
          </w:tcPr>
          <w:p w:rsidR="00F03E78" w:rsidRDefault="00F03E78" w:rsidP="00F03E78">
            <w:pPr>
              <w:pStyle w:val="TableText"/>
            </w:pPr>
            <w:r w:rsidRPr="00544C75">
              <w:rPr>
                <w:szCs w:val="18"/>
              </w:rPr>
              <w:sym w:font="Wingdings" w:char="F0FC"/>
            </w:r>
            <w:r>
              <w:rPr>
                <w:szCs w:val="18"/>
              </w:rPr>
              <w:t xml:space="preserve"> Table 5</w:t>
            </w:r>
          </w:p>
        </w:tc>
        <w:tc>
          <w:tcPr>
            <w:tcW w:w="874" w:type="dxa"/>
          </w:tcPr>
          <w:p w:rsidR="00F03E78" w:rsidRPr="00544C75" w:rsidRDefault="00F03E78" w:rsidP="00BD2C35">
            <w:pPr>
              <w:pStyle w:val="TableText"/>
              <w:rPr>
                <w:szCs w:val="18"/>
              </w:rPr>
            </w:pPr>
            <w:r w:rsidRPr="00544C75">
              <w:rPr>
                <w:szCs w:val="18"/>
              </w:rPr>
              <w:sym w:font="Wingdings" w:char="F0FC"/>
            </w:r>
            <w:r>
              <w:rPr>
                <w:szCs w:val="18"/>
              </w:rPr>
              <w:t xml:space="preserve"> p.1113</w:t>
            </w:r>
          </w:p>
        </w:tc>
      </w:tr>
      <w:tr w:rsidR="00F03E78" w:rsidTr="00BD2C35">
        <w:trPr>
          <w:trHeight w:val="346"/>
        </w:trPr>
        <w:tc>
          <w:tcPr>
            <w:tcW w:w="536" w:type="dxa"/>
          </w:tcPr>
          <w:p w:rsidR="00F03E78" w:rsidRDefault="00F03E78" w:rsidP="00BD2C35">
            <w:pPr>
              <w:pStyle w:val="TableText"/>
            </w:pPr>
            <w:r>
              <w:t>20</w:t>
            </w:r>
          </w:p>
        </w:tc>
        <w:tc>
          <w:tcPr>
            <w:tcW w:w="5193" w:type="dxa"/>
          </w:tcPr>
          <w:p w:rsidR="00F03E78" w:rsidRPr="00BC5E39" w:rsidRDefault="00F03E78" w:rsidP="00534D10">
            <w:pPr>
              <w:pStyle w:val="TableText"/>
              <w:numPr>
                <w:ilvl w:val="0"/>
                <w:numId w:val="27"/>
              </w:numPr>
            </w:pPr>
            <w:r w:rsidRPr="00BC5E39">
              <w:t>Single study-based economic evaluation: Describes and effects of sampling uncertainty for the incremental cost and effectiveness estimates and impact of any assumptions</w:t>
            </w:r>
          </w:p>
          <w:p w:rsidR="00F03E78" w:rsidRPr="00BC5E39" w:rsidRDefault="00F03E78" w:rsidP="00534D10">
            <w:pPr>
              <w:pStyle w:val="TableText"/>
              <w:numPr>
                <w:ilvl w:val="0"/>
                <w:numId w:val="27"/>
              </w:numPr>
            </w:pPr>
            <w:r w:rsidRPr="00BC5E39">
              <w:t>Model-based economic evaluation: Describes the effects on the results of uncertainty for all input parameters, and related to structure of model and assumptions</w:t>
            </w:r>
          </w:p>
        </w:tc>
        <w:tc>
          <w:tcPr>
            <w:tcW w:w="858" w:type="dxa"/>
          </w:tcPr>
          <w:p w:rsidR="00F03E78" w:rsidRDefault="00F03E78" w:rsidP="00BD2C35">
            <w:pPr>
              <w:pStyle w:val="TableText"/>
              <w:rPr>
                <w:szCs w:val="18"/>
              </w:rPr>
            </w:pPr>
            <w:r>
              <w:rPr>
                <w:szCs w:val="18"/>
              </w:rPr>
              <w:t>n/a</w:t>
            </w:r>
          </w:p>
          <w:p w:rsidR="00F03E78" w:rsidRDefault="00F03E78" w:rsidP="00BD2C35">
            <w:pPr>
              <w:pStyle w:val="TableText"/>
              <w:rPr>
                <w:szCs w:val="18"/>
              </w:rPr>
            </w:pPr>
          </w:p>
          <w:p w:rsidR="00F03E78" w:rsidRDefault="00F03E78" w:rsidP="00BD2C35">
            <w:pPr>
              <w:pStyle w:val="TableText"/>
              <w:rPr>
                <w:szCs w:val="18"/>
              </w:rPr>
            </w:pPr>
          </w:p>
          <w:p w:rsidR="00F03E78" w:rsidRPr="00087D9D" w:rsidRDefault="00F03E78" w:rsidP="00BD2C35">
            <w:pPr>
              <w:pStyle w:val="TableText"/>
              <w:rPr>
                <w:szCs w:val="18"/>
              </w:rPr>
            </w:pPr>
            <w:r w:rsidRPr="00544C75">
              <w:rPr>
                <w:szCs w:val="18"/>
              </w:rPr>
              <w:sym w:font="Wingdings" w:char="F0FC"/>
            </w:r>
            <w:r>
              <w:rPr>
                <w:szCs w:val="18"/>
              </w:rPr>
              <w:t xml:space="preserve"> </w:t>
            </w:r>
            <w:r w:rsidRPr="00087D9D">
              <w:rPr>
                <w:szCs w:val="18"/>
              </w:rPr>
              <w:t>1-way,</w:t>
            </w:r>
          </w:p>
          <w:p w:rsidR="00F03E78" w:rsidRPr="00544C75" w:rsidRDefault="00F03E78" w:rsidP="00BD2C35">
            <w:pPr>
              <w:pStyle w:val="TableText"/>
              <w:rPr>
                <w:szCs w:val="18"/>
              </w:rPr>
            </w:pPr>
            <w:r w:rsidRPr="00087D9D">
              <w:rPr>
                <w:szCs w:val="18"/>
              </w:rPr>
              <w:t>Table 4</w:t>
            </w:r>
            <w:r w:rsidR="00087D9D">
              <w:rPr>
                <w:szCs w:val="18"/>
              </w:rPr>
              <w:t>, p.1472</w:t>
            </w:r>
          </w:p>
        </w:tc>
        <w:tc>
          <w:tcPr>
            <w:tcW w:w="858" w:type="dxa"/>
          </w:tcPr>
          <w:p w:rsidR="00F03E78" w:rsidRPr="00BC5E39" w:rsidRDefault="00F03E78" w:rsidP="00BD2C35">
            <w:pPr>
              <w:pStyle w:val="TableText"/>
            </w:pPr>
            <w:r>
              <w:t>n/a</w:t>
            </w:r>
          </w:p>
          <w:p w:rsidR="00F03E78" w:rsidRPr="00BC5E39" w:rsidRDefault="00F03E78" w:rsidP="00BD2C35">
            <w:pPr>
              <w:pStyle w:val="TableText"/>
            </w:pPr>
          </w:p>
          <w:p w:rsidR="00F03E78" w:rsidRPr="00BC5E39" w:rsidRDefault="00F03E78" w:rsidP="00BD2C35">
            <w:pPr>
              <w:pStyle w:val="TableText"/>
            </w:pPr>
          </w:p>
          <w:p w:rsidR="00F03E78" w:rsidRPr="00BC5E39" w:rsidRDefault="00F03E78" w:rsidP="00BD2C35">
            <w:pPr>
              <w:pStyle w:val="TableText"/>
            </w:pPr>
            <w:r w:rsidRPr="00544C75">
              <w:rPr>
                <w:szCs w:val="18"/>
              </w:rPr>
              <w:sym w:font="Wingdings" w:char="F0FC"/>
            </w:r>
            <w:r>
              <w:rPr>
                <w:szCs w:val="18"/>
              </w:rPr>
              <w:t xml:space="preserve"> p.1532, Fig 2</w:t>
            </w:r>
          </w:p>
        </w:tc>
        <w:tc>
          <w:tcPr>
            <w:tcW w:w="874" w:type="dxa"/>
          </w:tcPr>
          <w:p w:rsidR="00F03E78" w:rsidRDefault="00F03E78" w:rsidP="00BD2C35">
            <w:pPr>
              <w:pStyle w:val="TableText"/>
            </w:pPr>
            <w:r>
              <w:t>n/a</w:t>
            </w:r>
          </w:p>
          <w:p w:rsidR="00F03E78" w:rsidRDefault="00F03E78" w:rsidP="00BD2C35">
            <w:pPr>
              <w:pStyle w:val="TableText"/>
            </w:pPr>
          </w:p>
          <w:p w:rsidR="00F03E78" w:rsidRDefault="00F03E78" w:rsidP="00BD2C35">
            <w:pPr>
              <w:pStyle w:val="TableText"/>
            </w:pPr>
          </w:p>
          <w:p w:rsidR="00F03E78" w:rsidRDefault="00F03E78" w:rsidP="00BD2C35">
            <w:pPr>
              <w:pStyle w:val="TableText"/>
            </w:pPr>
            <w:r w:rsidRPr="00544C75">
              <w:rPr>
                <w:szCs w:val="18"/>
              </w:rPr>
              <w:sym w:font="Wingdings" w:char="F0FC"/>
            </w:r>
            <w:r>
              <w:rPr>
                <w:szCs w:val="18"/>
              </w:rPr>
              <w:t xml:space="preserve"> p.1113-15</w:t>
            </w:r>
          </w:p>
        </w:tc>
      </w:tr>
      <w:tr w:rsidR="00F03E78" w:rsidTr="00BD2C35">
        <w:trPr>
          <w:trHeight w:val="346"/>
        </w:trPr>
        <w:tc>
          <w:tcPr>
            <w:tcW w:w="536" w:type="dxa"/>
          </w:tcPr>
          <w:p w:rsidR="00F03E78" w:rsidRDefault="00F03E78" w:rsidP="00BD2C35">
            <w:pPr>
              <w:pStyle w:val="TableText"/>
            </w:pPr>
            <w:r>
              <w:t>21</w:t>
            </w:r>
          </w:p>
        </w:tc>
        <w:tc>
          <w:tcPr>
            <w:tcW w:w="5193" w:type="dxa"/>
          </w:tcPr>
          <w:p w:rsidR="00F03E78" w:rsidRDefault="00F03E78" w:rsidP="00BD2C35">
            <w:pPr>
              <w:pStyle w:val="TableText"/>
            </w:pPr>
            <w:r>
              <w:t>If applicable, reports differences in costs, outcomes, input parameters that can be explained by variations between subgroups of patients with different baseline characteristics</w:t>
            </w:r>
          </w:p>
        </w:tc>
        <w:tc>
          <w:tcPr>
            <w:tcW w:w="858" w:type="dxa"/>
          </w:tcPr>
          <w:p w:rsidR="00F03E78" w:rsidRDefault="00F03E78" w:rsidP="00BD2C35">
            <w:pPr>
              <w:pStyle w:val="TableText"/>
            </w:pPr>
            <w:r>
              <w:t>n/a</w:t>
            </w:r>
          </w:p>
        </w:tc>
        <w:tc>
          <w:tcPr>
            <w:tcW w:w="858" w:type="dxa"/>
          </w:tcPr>
          <w:p w:rsidR="00F03E78" w:rsidRDefault="00F03E78" w:rsidP="00BD2C35">
            <w:pPr>
              <w:pStyle w:val="TableText"/>
            </w:pPr>
            <w:r>
              <w:t xml:space="preserve"> n/a</w:t>
            </w:r>
          </w:p>
        </w:tc>
        <w:tc>
          <w:tcPr>
            <w:tcW w:w="874" w:type="dxa"/>
          </w:tcPr>
          <w:p w:rsidR="00F03E78" w:rsidRDefault="00F03E78" w:rsidP="00BD2C35">
            <w:pPr>
              <w:pStyle w:val="TableText"/>
            </w:pPr>
            <w:r w:rsidRPr="00544C75">
              <w:rPr>
                <w:szCs w:val="18"/>
              </w:rPr>
              <w:sym w:font="Wingdings" w:char="F0FC"/>
            </w:r>
            <w:r>
              <w:rPr>
                <w:szCs w:val="18"/>
              </w:rPr>
              <w:t xml:space="preserve"> p.1113</w:t>
            </w:r>
          </w:p>
        </w:tc>
      </w:tr>
      <w:tr w:rsidR="00F03E78" w:rsidTr="00BD2C35">
        <w:trPr>
          <w:trHeight w:val="346"/>
        </w:trPr>
        <w:tc>
          <w:tcPr>
            <w:tcW w:w="536" w:type="dxa"/>
          </w:tcPr>
          <w:p w:rsidR="00F03E78" w:rsidRDefault="00F03E78" w:rsidP="00BD2C35">
            <w:pPr>
              <w:pStyle w:val="TableText"/>
            </w:pPr>
            <w:r>
              <w:t>22</w:t>
            </w:r>
          </w:p>
        </w:tc>
        <w:tc>
          <w:tcPr>
            <w:tcW w:w="5193" w:type="dxa"/>
          </w:tcPr>
          <w:p w:rsidR="00F03E78" w:rsidRDefault="00F03E78" w:rsidP="00BD2C35">
            <w:pPr>
              <w:pStyle w:val="TableText"/>
            </w:pPr>
            <w:r>
              <w:t>Summarises key study findings and describes how they support the conclusions reached. Discussed limitations and generalisability of the findings and how they fit with current knowledge</w:t>
            </w:r>
          </w:p>
        </w:tc>
        <w:tc>
          <w:tcPr>
            <w:tcW w:w="858" w:type="dxa"/>
          </w:tcPr>
          <w:p w:rsidR="00F03E78" w:rsidRPr="00544C75" w:rsidRDefault="00F03E78" w:rsidP="00BD2C35">
            <w:pPr>
              <w:pStyle w:val="TableText"/>
              <w:rPr>
                <w:szCs w:val="18"/>
              </w:rPr>
            </w:pPr>
            <w:r w:rsidRPr="00544C75">
              <w:rPr>
                <w:szCs w:val="18"/>
              </w:rPr>
              <w:sym w:font="Wingdings" w:char="F0FC"/>
            </w:r>
            <w:r>
              <w:rPr>
                <w:szCs w:val="18"/>
              </w:rPr>
              <w:t xml:space="preserve"> p.1472-3</w:t>
            </w:r>
          </w:p>
        </w:tc>
        <w:tc>
          <w:tcPr>
            <w:tcW w:w="858" w:type="dxa"/>
          </w:tcPr>
          <w:p w:rsidR="00F03E78" w:rsidRDefault="00F03E78" w:rsidP="00885488">
            <w:pPr>
              <w:pStyle w:val="TableText"/>
              <w:rPr>
                <w:szCs w:val="18"/>
              </w:rPr>
            </w:pPr>
            <w:r w:rsidRPr="00F03E78">
              <w:rPr>
                <w:szCs w:val="18"/>
              </w:rPr>
              <w:sym w:font="Wingdings" w:char="F0FC"/>
            </w:r>
            <w:r w:rsidRPr="00F03E78">
              <w:rPr>
                <w:szCs w:val="18"/>
              </w:rPr>
              <w:t xml:space="preserve"> </w:t>
            </w:r>
          </w:p>
          <w:p w:rsidR="00F03E78" w:rsidRPr="001747F4" w:rsidRDefault="00F03E78" w:rsidP="00F03E78">
            <w:pPr>
              <w:pStyle w:val="TableText"/>
              <w:rPr>
                <w:highlight w:val="yellow"/>
              </w:rPr>
            </w:pPr>
            <w:r>
              <w:rPr>
                <w:szCs w:val="18"/>
              </w:rPr>
              <w:t>p.1533-1534</w:t>
            </w:r>
          </w:p>
        </w:tc>
        <w:tc>
          <w:tcPr>
            <w:tcW w:w="874" w:type="dxa"/>
          </w:tcPr>
          <w:p w:rsidR="00F03E78" w:rsidRPr="00544C75" w:rsidRDefault="00F03E78" w:rsidP="00BD2C35">
            <w:pPr>
              <w:pStyle w:val="TableText"/>
              <w:rPr>
                <w:szCs w:val="18"/>
              </w:rPr>
            </w:pPr>
            <w:r w:rsidRPr="00544C75">
              <w:rPr>
                <w:szCs w:val="18"/>
              </w:rPr>
              <w:sym w:font="Wingdings" w:char="F0FC"/>
            </w:r>
            <w:r>
              <w:rPr>
                <w:szCs w:val="18"/>
              </w:rPr>
              <w:t xml:space="preserve"> p.1114-15</w:t>
            </w:r>
          </w:p>
        </w:tc>
      </w:tr>
      <w:tr w:rsidR="00F03E78" w:rsidTr="00BD2C35">
        <w:trPr>
          <w:trHeight w:val="346"/>
        </w:trPr>
        <w:tc>
          <w:tcPr>
            <w:tcW w:w="536" w:type="dxa"/>
          </w:tcPr>
          <w:p w:rsidR="00F03E78" w:rsidRDefault="00F03E78" w:rsidP="00BD2C35">
            <w:pPr>
              <w:pStyle w:val="TableText"/>
            </w:pPr>
            <w:r>
              <w:t>23</w:t>
            </w:r>
          </w:p>
        </w:tc>
        <w:tc>
          <w:tcPr>
            <w:tcW w:w="5193" w:type="dxa"/>
          </w:tcPr>
          <w:p w:rsidR="00F03E78" w:rsidRDefault="00F03E78" w:rsidP="00BD2C35">
            <w:pPr>
              <w:pStyle w:val="TableText"/>
            </w:pPr>
            <w:r>
              <w:t>Source of funding and role of funder in study. Describes other non-monetary support</w:t>
            </w:r>
          </w:p>
        </w:tc>
        <w:tc>
          <w:tcPr>
            <w:tcW w:w="858" w:type="dxa"/>
          </w:tcPr>
          <w:p w:rsidR="00F03E78" w:rsidRDefault="00F03E78" w:rsidP="00BD2C35">
            <w:pPr>
              <w:pStyle w:val="TableText"/>
              <w:rPr>
                <w:szCs w:val="18"/>
              </w:rPr>
            </w:pPr>
            <w:r w:rsidRPr="00544C75">
              <w:rPr>
                <w:szCs w:val="18"/>
              </w:rPr>
              <w:sym w:font="Wingdings" w:char="F0FC"/>
            </w:r>
            <w:r>
              <w:rPr>
                <w:szCs w:val="18"/>
              </w:rPr>
              <w:t xml:space="preserve"> p.1473</w:t>
            </w:r>
          </w:p>
          <w:p w:rsidR="00F03E78" w:rsidRPr="00544C75" w:rsidRDefault="00F03E78" w:rsidP="00BD2C35">
            <w:pPr>
              <w:pStyle w:val="TableText"/>
              <w:rPr>
                <w:szCs w:val="18"/>
              </w:rPr>
            </w:pPr>
            <w:r>
              <w:rPr>
                <w:szCs w:val="18"/>
              </w:rPr>
              <w:t>none</w:t>
            </w:r>
          </w:p>
        </w:tc>
        <w:tc>
          <w:tcPr>
            <w:tcW w:w="858" w:type="dxa"/>
          </w:tcPr>
          <w:p w:rsidR="00F03E78" w:rsidRDefault="00F03E78" w:rsidP="00BD2C35">
            <w:pPr>
              <w:pStyle w:val="TableText"/>
            </w:pPr>
            <w:r w:rsidRPr="00544C75">
              <w:rPr>
                <w:szCs w:val="18"/>
              </w:rPr>
              <w:sym w:font="Wingdings" w:char="F0FC"/>
            </w:r>
            <w:r>
              <w:rPr>
                <w:szCs w:val="18"/>
              </w:rPr>
              <w:t xml:space="preserve"> Novartis</w:t>
            </w:r>
          </w:p>
        </w:tc>
        <w:tc>
          <w:tcPr>
            <w:tcW w:w="874" w:type="dxa"/>
          </w:tcPr>
          <w:p w:rsidR="00F03E78" w:rsidRDefault="00F03E78" w:rsidP="00BD2C35">
            <w:pPr>
              <w:pStyle w:val="TableText"/>
              <w:rPr>
                <w:szCs w:val="18"/>
              </w:rPr>
            </w:pPr>
            <w:r w:rsidRPr="00544C75">
              <w:rPr>
                <w:szCs w:val="18"/>
              </w:rPr>
              <w:sym w:font="Wingdings" w:char="F0FC"/>
            </w:r>
            <w:r>
              <w:rPr>
                <w:szCs w:val="18"/>
              </w:rPr>
              <w:t xml:space="preserve"> p.1115</w:t>
            </w:r>
          </w:p>
          <w:p w:rsidR="00F03E78" w:rsidRPr="00544C75" w:rsidRDefault="00F03E78" w:rsidP="00BD2C35">
            <w:pPr>
              <w:pStyle w:val="TableText"/>
              <w:rPr>
                <w:szCs w:val="18"/>
              </w:rPr>
            </w:pPr>
            <w:r>
              <w:rPr>
                <w:szCs w:val="18"/>
              </w:rPr>
              <w:t>none</w:t>
            </w:r>
          </w:p>
        </w:tc>
      </w:tr>
      <w:tr w:rsidR="00F03E78" w:rsidTr="00BD2C35">
        <w:trPr>
          <w:trHeight w:val="346"/>
        </w:trPr>
        <w:tc>
          <w:tcPr>
            <w:tcW w:w="536" w:type="dxa"/>
          </w:tcPr>
          <w:p w:rsidR="00F03E78" w:rsidRDefault="00F03E78" w:rsidP="00BD2C35">
            <w:pPr>
              <w:pStyle w:val="TableText"/>
            </w:pPr>
            <w:r>
              <w:t>24.</w:t>
            </w:r>
          </w:p>
        </w:tc>
        <w:tc>
          <w:tcPr>
            <w:tcW w:w="5193" w:type="dxa"/>
          </w:tcPr>
          <w:p w:rsidR="00F03E78" w:rsidRDefault="00F03E78" w:rsidP="00BD2C35">
            <w:pPr>
              <w:pStyle w:val="TableText"/>
            </w:pPr>
            <w:r>
              <w:t>Describes any potential for conflict of interest of study contributors in accordance with journal policy</w:t>
            </w:r>
          </w:p>
        </w:tc>
        <w:tc>
          <w:tcPr>
            <w:tcW w:w="858" w:type="dxa"/>
          </w:tcPr>
          <w:p w:rsidR="00F03E78" w:rsidRDefault="00F03E78" w:rsidP="00BD2C35">
            <w:pPr>
              <w:pStyle w:val="TableText"/>
              <w:rPr>
                <w:szCs w:val="18"/>
              </w:rPr>
            </w:pPr>
            <w:r w:rsidRPr="00544C75">
              <w:rPr>
                <w:szCs w:val="18"/>
              </w:rPr>
              <w:sym w:font="Wingdings" w:char="F0FC"/>
            </w:r>
            <w:r>
              <w:rPr>
                <w:szCs w:val="18"/>
              </w:rPr>
              <w:t xml:space="preserve"> p.1473</w:t>
            </w:r>
          </w:p>
          <w:p w:rsidR="00F03E78" w:rsidRPr="00544C75" w:rsidRDefault="00F03E78" w:rsidP="00BD2C35">
            <w:pPr>
              <w:pStyle w:val="TableText"/>
              <w:rPr>
                <w:szCs w:val="18"/>
              </w:rPr>
            </w:pPr>
            <w:r>
              <w:rPr>
                <w:szCs w:val="18"/>
              </w:rPr>
              <w:t>none</w:t>
            </w:r>
          </w:p>
        </w:tc>
        <w:tc>
          <w:tcPr>
            <w:tcW w:w="858" w:type="dxa"/>
          </w:tcPr>
          <w:p w:rsidR="00F03E78" w:rsidRDefault="00F03E78" w:rsidP="00BD2C35">
            <w:pPr>
              <w:pStyle w:val="TableText"/>
            </w:pPr>
            <w:r w:rsidRPr="00544C75">
              <w:rPr>
                <w:szCs w:val="18"/>
              </w:rPr>
              <w:sym w:font="Wingdings" w:char="F0FC"/>
            </w:r>
            <w:r>
              <w:rPr>
                <w:szCs w:val="18"/>
              </w:rPr>
              <w:t xml:space="preserve"> several</w:t>
            </w:r>
          </w:p>
        </w:tc>
        <w:tc>
          <w:tcPr>
            <w:tcW w:w="874" w:type="dxa"/>
          </w:tcPr>
          <w:p w:rsidR="00F03E78" w:rsidRPr="00544C75" w:rsidRDefault="00F03E78" w:rsidP="00BD2C35">
            <w:pPr>
              <w:pStyle w:val="TableText"/>
              <w:rPr>
                <w:szCs w:val="18"/>
              </w:rPr>
            </w:pPr>
            <w:r>
              <w:rPr>
                <w:szCs w:val="18"/>
              </w:rPr>
              <w:t>x</w:t>
            </w:r>
          </w:p>
        </w:tc>
      </w:tr>
    </w:tbl>
    <w:p w:rsidR="00BD2C35" w:rsidRDefault="00BD2C35" w:rsidP="00BD2C35">
      <w:pPr>
        <w:ind w:left="0"/>
      </w:pPr>
    </w:p>
    <w:p w:rsidR="00BD2C35" w:rsidRDefault="00BD2C35">
      <w:pPr>
        <w:spacing w:after="0"/>
        <w:ind w:left="0"/>
        <w:rPr>
          <w:rFonts w:ascii="Tahoma" w:hAnsi="Tahoma"/>
          <w:b/>
          <w:sz w:val="44"/>
        </w:rPr>
      </w:pPr>
      <w:r>
        <w:br w:type="page"/>
      </w:r>
    </w:p>
    <w:p w:rsidR="006F79C1" w:rsidRDefault="0013164F" w:rsidP="00A158A3">
      <w:pPr>
        <w:pStyle w:val="Heading2"/>
      </w:pPr>
      <w:bookmarkStart w:id="183" w:name="_Toc386092533"/>
      <w:bookmarkStart w:id="184" w:name="_Toc386093171"/>
      <w:bookmarkStart w:id="185" w:name="_Toc386093668"/>
      <w:bookmarkStart w:id="186" w:name="_Toc386093729"/>
      <w:r>
        <w:lastRenderedPageBreak/>
        <w:t xml:space="preserve">Appendix E </w:t>
      </w:r>
      <w:r w:rsidR="003E61DB" w:rsidRPr="00C9782D">
        <w:t>Existing Systematic Reviews and HTA reports</w:t>
      </w:r>
      <w:bookmarkEnd w:id="183"/>
      <w:bookmarkEnd w:id="184"/>
      <w:bookmarkEnd w:id="185"/>
      <w:bookmarkEnd w:id="186"/>
    </w:p>
    <w:p w:rsidR="006F79C1" w:rsidRDefault="006F79C1" w:rsidP="006F79C1"/>
    <w:p w:rsidR="006F79C1" w:rsidRDefault="006F79C1" w:rsidP="006F79C1">
      <w:r>
        <w:t xml:space="preserve">Amir, E., B. Seruga, S. Niraula, L. Carlsson and A. Ocana (2011). "Toxicity of adjuvant endocrine therapy in </w:t>
      </w:r>
      <w:r w:rsidR="007A119D">
        <w:t>post-menopaus</w:t>
      </w:r>
      <w:r>
        <w:t xml:space="preserve">al breast cancer patients: a systematic review and meta-analysis." </w:t>
      </w:r>
      <w:r>
        <w:rPr>
          <w:u w:val="single"/>
        </w:rPr>
        <w:t>Journal of the National Cancer Institute</w:t>
      </w:r>
      <w:r>
        <w:t xml:space="preserve"> </w:t>
      </w:r>
      <w:r>
        <w:rPr>
          <w:b/>
          <w:bCs/>
        </w:rPr>
        <w:t>103</w:t>
      </w:r>
      <w:r>
        <w:t>(17): 1299-1309.</w:t>
      </w:r>
    </w:p>
    <w:p w:rsidR="006F79C1" w:rsidRDefault="006F79C1" w:rsidP="006F79C1">
      <w:r>
        <w:t xml:space="preserve">Becker, T., L. Lipscombe, S. Narod, C. Simmons, G. M. Anderson and P. A. Rochon (2012). "Systematic review of bone health in older women treated with aromatase inhibitors for early-stage breast cancer." </w:t>
      </w:r>
      <w:r>
        <w:rPr>
          <w:u w:val="single"/>
        </w:rPr>
        <w:t>Journal of the American Geriatrics Society</w:t>
      </w:r>
      <w:r>
        <w:t xml:space="preserve"> </w:t>
      </w:r>
      <w:r>
        <w:rPr>
          <w:b/>
          <w:bCs/>
        </w:rPr>
        <w:t>60</w:t>
      </w:r>
      <w:r>
        <w:t>(9): 1761-1767.</w:t>
      </w:r>
    </w:p>
    <w:p w:rsidR="006F79C1" w:rsidRDefault="006F79C1" w:rsidP="006F79C1">
      <w:r>
        <w:t xml:space="preserve">Hailey, D., L. Sampietro-Colom, D. Marshall, R. Rico, A. Granados and J. Asua (1998). "The effectiveness of bone density measurement and associated treatments for prevention of fractures. An international collaborative review." </w:t>
      </w:r>
      <w:r>
        <w:rPr>
          <w:u w:val="single"/>
        </w:rPr>
        <w:t>Int J Technol Assess Health Care.</w:t>
      </w:r>
      <w:r>
        <w:t xml:space="preserve"> </w:t>
      </w:r>
      <w:r>
        <w:rPr>
          <w:b/>
          <w:bCs/>
        </w:rPr>
        <w:t>14</w:t>
      </w:r>
      <w:r>
        <w:t>(2): 237-254.</w:t>
      </w:r>
    </w:p>
    <w:p w:rsidR="006F79C1" w:rsidRDefault="006F79C1" w:rsidP="006F79C1">
      <w:r>
        <w:t xml:space="preserve">Homik, J. and D. Hailey (1999) "Selective testing with bone density measurement (Structured abstract)." </w:t>
      </w:r>
      <w:r>
        <w:rPr>
          <w:u w:val="single"/>
        </w:rPr>
        <w:t>Health Technology Assessment Database</w:t>
      </w:r>
      <w:r>
        <w:t>.</w:t>
      </w:r>
    </w:p>
    <w:p w:rsidR="006F79C1" w:rsidRDefault="006F79C1" w:rsidP="006F79C1">
      <w:r>
        <w:t xml:space="preserve">Kanis, J. A., A. Oden, O. Johnell, H. Johansson, C. De Laet, J. Brown, P. Burckhardt, C. Cooper, C. Christiansen, S. Cummings, J. A. Eisman, S. Fujiwara, C. Gluer, D. Goltzman, D. Hans, M. A. Krieg, A. La Croix, E. McCloskey, D. Mellstrom, L. J. Melton, 3rd, H. Pols, J. Reeve, K. Sanders, A. M. Schott, A. Silman, D. Torgerson, T. van Staa, N. B. Watts and N. Yoshimura (2007). "The use of clinical risk factors enhances the performance of BMD in the prediction of hip and osteoporotic fractures in men and women." </w:t>
      </w:r>
      <w:r>
        <w:rPr>
          <w:u w:val="single"/>
        </w:rPr>
        <w:t>Osteoporos Int.</w:t>
      </w:r>
      <w:r>
        <w:t xml:space="preserve"> </w:t>
      </w:r>
      <w:r>
        <w:rPr>
          <w:b/>
          <w:bCs/>
        </w:rPr>
        <w:t>18</w:t>
      </w:r>
      <w:r>
        <w:t>(8): 1033-1046. Epub 2007 Feb 1024.</w:t>
      </w:r>
    </w:p>
    <w:p w:rsidR="006F79C1" w:rsidRDefault="006F79C1" w:rsidP="006F79C1">
      <w:r>
        <w:t xml:space="preserve">Marshall, D., O. Johnell and H. Wedel (1996) "Meta-analysis of how well measures of bone mineral density predict occurrence of osteoporotic fractures (Structured abstract)." </w:t>
      </w:r>
      <w:r>
        <w:rPr>
          <w:u w:val="single"/>
        </w:rPr>
        <w:t>Bmj</w:t>
      </w:r>
      <w:r>
        <w:t xml:space="preserve"> </w:t>
      </w:r>
      <w:r>
        <w:rPr>
          <w:b/>
          <w:bCs/>
        </w:rPr>
        <w:t>312</w:t>
      </w:r>
      <w:r>
        <w:t>, 1254-1259.</w:t>
      </w:r>
    </w:p>
    <w:p w:rsidR="006F79C1" w:rsidRPr="006F79C1" w:rsidRDefault="006F79C1" w:rsidP="006F79C1"/>
    <w:p w:rsidR="003E61DB" w:rsidRPr="00C9782D" w:rsidRDefault="003E61DB" w:rsidP="00A158A3">
      <w:pPr>
        <w:pStyle w:val="Heading2"/>
      </w:pPr>
      <w:bookmarkStart w:id="187" w:name="_Toc386092534"/>
      <w:bookmarkStart w:id="188" w:name="_Toc386093172"/>
      <w:bookmarkStart w:id="189" w:name="_Toc386093669"/>
      <w:bookmarkStart w:id="190" w:name="_Toc386093730"/>
      <w:r w:rsidRPr="00C9782D">
        <w:lastRenderedPageBreak/>
        <w:t xml:space="preserve">Appendix </w:t>
      </w:r>
      <w:r w:rsidR="0013164F">
        <w:t xml:space="preserve">F </w:t>
      </w:r>
      <w:r w:rsidRPr="00C9782D">
        <w:t>Excluded studies</w:t>
      </w:r>
      <w:bookmarkEnd w:id="177"/>
      <w:bookmarkEnd w:id="187"/>
      <w:bookmarkEnd w:id="188"/>
      <w:bookmarkEnd w:id="189"/>
      <w:bookmarkEnd w:id="190"/>
    </w:p>
    <w:p w:rsidR="003A2336" w:rsidRDefault="00130A9F" w:rsidP="004A554A">
      <w:pPr>
        <w:rPr>
          <w:rFonts w:ascii="Tahoma" w:hAnsi="Tahoma" w:cs="Tahoma"/>
          <w:b/>
          <w:sz w:val="28"/>
          <w:szCs w:val="28"/>
        </w:rPr>
      </w:pPr>
      <w:r>
        <w:rPr>
          <w:rFonts w:ascii="Tahoma" w:hAnsi="Tahoma" w:cs="Tahoma"/>
          <w:b/>
          <w:sz w:val="28"/>
          <w:szCs w:val="28"/>
        </w:rPr>
        <w:t>Wrong publication type</w:t>
      </w:r>
    </w:p>
    <w:p w:rsidR="003658E8" w:rsidRDefault="003658E8" w:rsidP="003658E8">
      <w:pPr>
        <w:ind w:left="0"/>
      </w:pPr>
      <w:r>
        <w:t>1.</w:t>
      </w:r>
      <w:r>
        <w:tab/>
        <w:t>Bertoldo F, Pancheri S, Zenari S, Boldini S. Emerging drugs for the management of cancer treatment induced bone loss. Expert Opin Emerg Drugs. 2010;15(2):323-42.</w:t>
      </w:r>
    </w:p>
    <w:p w:rsidR="003658E8" w:rsidRDefault="003658E8" w:rsidP="003658E8">
      <w:pPr>
        <w:ind w:left="0"/>
      </w:pPr>
      <w:r>
        <w:t>2.</w:t>
      </w:r>
      <w:r>
        <w:tab/>
        <w:t xml:space="preserve">Hadji P, Aapro MS, Body JJ, Bundred NJ, Brufsky A, Coleman RE, et al. Management of aromatase inhibitor-associated bone loss in </w:t>
      </w:r>
      <w:r w:rsidR="007A119D">
        <w:t>post-menopaus</w:t>
      </w:r>
      <w:r>
        <w:t>al women with breast cancer: practical guidance for prevention and treatment. Ann Oncol. 2011;22(12):2546-55.</w:t>
      </w:r>
    </w:p>
    <w:p w:rsidR="003658E8" w:rsidRDefault="003658E8" w:rsidP="003658E8">
      <w:pPr>
        <w:ind w:left="0"/>
      </w:pPr>
      <w:r>
        <w:t>3.</w:t>
      </w:r>
      <w:r>
        <w:tab/>
        <w:t>Screening for osteoporosis to prevent fractures (Structured abstract). Health Technology Assessment Database [Internet]. 1992; (1):[12 p.]. Available from: http://onlinelibrary.wiley.com/o/cochrane/clhta/articles/HTA-31995000029/frame.html.</w:t>
      </w:r>
    </w:p>
    <w:p w:rsidR="003658E8" w:rsidRDefault="003658E8" w:rsidP="003658E8">
      <w:pPr>
        <w:ind w:left="0"/>
      </w:pPr>
      <w:r>
        <w:t>4.</w:t>
      </w:r>
      <w:r>
        <w:tab/>
        <w:t xml:space="preserve">Brufsky A, Harker WG, Beck JT, Carroll R. Zoledronic acid (ZA) effectively inhibits cancer treatment-induced bone loss (CTIBL) in </w:t>
      </w:r>
      <w:r w:rsidR="007A119D">
        <w:t>post-menopaus</w:t>
      </w:r>
      <w:r>
        <w:t>al women (PMW) with early breast cancer (BCa) receiving adjuvant letrozole (Let): 12 mos BMD resluts of the Z-FAST trial. J Clin Oncol [Internet]. 2005; 23(16 Suppl):[12s p.]. Available from: http://onlinelibrary.wiley.com/o/cochrane/clcentral/articles/915/CN-00613915/frame.html.</w:t>
      </w:r>
    </w:p>
    <w:p w:rsidR="003658E8" w:rsidRDefault="003658E8" w:rsidP="003658E8">
      <w:pPr>
        <w:ind w:left="0"/>
      </w:pPr>
      <w:r>
        <w:t>5.</w:t>
      </w:r>
      <w:r>
        <w:tab/>
        <w:t>Ellis GK, Bone HG, Chlebowski RT, Paul D, Spadafora S, Smith J, et al. Subgroup analysis of a randomized, phase III study of the effect of denosumab in women with nonmetastatic breast cancer receiving aromatase inhibitor (AI) therapy [abstract no. 546]. Journal of Clinical Oncology: ASCO annual meeting proceedings [Internet]. 2008; 26:[17 p.]. Available from: http://onlinelibrary.wiley.com/o/cochrane/clcentral/articles/346/CN-00776346/frame.html.</w:t>
      </w:r>
    </w:p>
    <w:p w:rsidR="003658E8" w:rsidRDefault="003658E8" w:rsidP="003658E8">
      <w:pPr>
        <w:ind w:left="0"/>
      </w:pPr>
      <w:r>
        <w:t>6.</w:t>
      </w:r>
      <w:r>
        <w:tab/>
        <w:t xml:space="preserve">Fox KR. Adding zoledronic acid to endocrine therapy in the adjuvant treatment of hormone-sensitive breast cancer in </w:t>
      </w:r>
      <w:r w:rsidR="007A119D">
        <w:t>pre-menopaus</w:t>
      </w:r>
      <w:r>
        <w:t>al women: a new care standard or a provocative idea? Curr Oncol Rep. 2010;12(1):1-3.</w:t>
      </w:r>
    </w:p>
    <w:p w:rsidR="003658E8" w:rsidRDefault="003658E8" w:rsidP="003658E8">
      <w:pPr>
        <w:ind w:left="0"/>
      </w:pPr>
      <w:r>
        <w:t>7.</w:t>
      </w:r>
      <w:r>
        <w:tab/>
        <w:t xml:space="preserve">Frassoldati A, Brufsky A, Bundred N, Lambert-Falls R, Hadji P, Mena R, et al. The effect of zoledronic acid on aromatase inhibitor (AI) associated bone loss (AIBL) in </w:t>
      </w:r>
      <w:r w:rsidR="007A119D">
        <w:t>post-menopaus</w:t>
      </w:r>
      <w:r>
        <w:t>al women (PMW) with early breast cancer (EBC) receiving adjuvant letrozole: 24 months (MOS) integrated follow-up of the z-fast/zo-fast trials [Abstract No. 185PD]. Ann Oncol [Internet]. 2009; 19(Supplement 8):[78 p.]. Available from: http://onlinelibrary.wiley.com/o/cochrane/clcentral/articles/399/CN-00784399/frame.html.</w:t>
      </w:r>
    </w:p>
    <w:p w:rsidR="003658E8" w:rsidRDefault="003658E8" w:rsidP="003658E8">
      <w:pPr>
        <w:ind w:left="0"/>
      </w:pPr>
      <w:r>
        <w:t>8.</w:t>
      </w:r>
      <w:r>
        <w:tab/>
        <w:t xml:space="preserve">Gnant M, Mlineritsch B, Schnippinger W, Luschin EG, Poestlberger S, Menzel C, et al. Adjuvant ovarian suppression combined with tamoxifen or anastrozole, alone or in combination with zoledronic acid, in </w:t>
      </w:r>
      <w:r w:rsidR="007A119D">
        <w:t>pre-menopaus</w:t>
      </w:r>
      <w:r>
        <w:t>al women with hormone-responsive, stage I and II breast cancer: First efficacy results from ABCSG-12 [abstract no. LBA4]. Journal of Clinical Oncology : ASCO annual meeting proceedings [Internet]. 2008; 26:[6 p.]. Available from: http://onlinelibrary.wiley.com/o/cochrane/clcentral/articles/747/CN-00652747/frame.html.</w:t>
      </w:r>
    </w:p>
    <w:p w:rsidR="003658E8" w:rsidRDefault="003658E8" w:rsidP="003658E8">
      <w:pPr>
        <w:ind w:left="0"/>
      </w:pPr>
      <w:r>
        <w:t>9.</w:t>
      </w:r>
      <w:r>
        <w:tab/>
        <w:t>Green AD, Colon-Emeric CS, Bastian L, Drake MT, Lyles KW. Does this woman have osteoporosis? (Structured abstract). Jama [Internet]. 2004; 292(23):[2890-900 pp.]. Available from: http://onlinelibrary.wiley.com/o/cochrane/cldare/articles/DARE-12005008071/frame.html.</w:t>
      </w:r>
    </w:p>
    <w:p w:rsidR="003658E8" w:rsidRDefault="003658E8" w:rsidP="003658E8">
      <w:pPr>
        <w:ind w:left="0"/>
      </w:pPr>
      <w:r>
        <w:lastRenderedPageBreak/>
        <w:t>10.</w:t>
      </w:r>
      <w:r>
        <w:tab/>
        <w:t>Hans DB, Kanis JA, Baim S, Bilezikian JP, Binkley N, Cauley JA, et al. Joint Official Positions of the International Society for Clinical Densitometry and International Osteoporosis Foundation on FRAX(). Executive Summary of the 2010 Position Development Conference on Interpretation and use of FRAX in clinical practice. J Clin Densitom. 2011;14(3):171-80.</w:t>
      </w:r>
    </w:p>
    <w:p w:rsidR="003658E8" w:rsidRDefault="003658E8" w:rsidP="003658E8">
      <w:pPr>
        <w:ind w:left="0"/>
      </w:pPr>
      <w:r>
        <w:t>11.</w:t>
      </w:r>
      <w:r>
        <w:tab/>
        <w:t>Johansson C, Johnell O, Jonson R, Lhunghall S, Marke LA, Marshall D, et al. Bone density measurement (Structured abstract). Health Technology Assessment Database [Internet]. 1995; (1). Available from: http://onlinelibrary.wiley.com/o/cochrane/clhta/articles/HTA-31996008270/frame.html.</w:t>
      </w:r>
    </w:p>
    <w:p w:rsidR="003658E8" w:rsidRDefault="003658E8" w:rsidP="003658E8">
      <w:pPr>
        <w:ind w:left="0"/>
      </w:pPr>
      <w:r>
        <w:t>12.</w:t>
      </w:r>
      <w:r>
        <w:tab/>
        <w:t>Lester J, Dodwell D, Purohit OP, Gutcher SA, Ellis SP, Thorpe R, et al. Use of monthly oral ibandronate to prevent anastrozole-induced bone loss during adjuvant treatment for breast cancer: Two-year results from the ARIBON study [abstact no. 554]. Journal of Clinical Oncology: ASCO annual meeting proceedings [Internet]. 2008; 26:[19 p.]. Available from: http://onlinelibrary.wiley.com/o/cochrane/clcentral/articles/882/CN-00776882/frame.html.</w:t>
      </w:r>
    </w:p>
    <w:p w:rsidR="003658E8" w:rsidRDefault="003658E8" w:rsidP="003658E8">
      <w:pPr>
        <w:ind w:left="0"/>
      </w:pPr>
      <w:r>
        <w:t>13.</w:t>
      </w:r>
      <w:r>
        <w:tab/>
        <w:t>Lewiecki EM, Bilezikian JP, Khosla S, Marcus R, McClung MR, Miller PD, et al. Osteoporosis update from the 2010 santa fe bone symposium. J Clin Densitom. 2011;14(1):1-21.</w:t>
      </w:r>
    </w:p>
    <w:p w:rsidR="003658E8" w:rsidRDefault="003658E8" w:rsidP="003658E8">
      <w:pPr>
        <w:ind w:left="0"/>
      </w:pPr>
      <w:r>
        <w:t>14.</w:t>
      </w:r>
      <w:r>
        <w:tab/>
        <w:t>Lewiecki EM, Compston JE, Miller PD, Adachi JD, Adams JE, Leslie WD, et al. Official Positions for FRAX Bone Mineral Density and FRAX simplification from Joint Official Positions Development Conference of the International Society for Clinical Densitometry and International Osteoporosis Foundation on FRAX. J Clin Densitom. 2011;14(3):226-36.</w:t>
      </w:r>
    </w:p>
    <w:p w:rsidR="003658E8" w:rsidRDefault="003658E8" w:rsidP="003658E8">
      <w:pPr>
        <w:ind w:left="0"/>
      </w:pPr>
      <w:r>
        <w:t>15.</w:t>
      </w:r>
      <w:r>
        <w:tab/>
        <w:t xml:space="preserve">Mincey BA, Dentchev T, Sloan JA, Hines SL, Hines SL, Perez EA, et al. N03CC a randomized, controlled, open-label trial of upfront vs. delayed zoledronic acid for prevention of bone loss in </w:t>
      </w:r>
      <w:r w:rsidR="007A119D">
        <w:t>post-menopaus</w:t>
      </w:r>
      <w:r>
        <w:t>al (PM) women with primary breast cancer (PBC) starting letrozole after tamoxifen [abstract no. 564]. Journal of Clinical Oncology: ASCO annual meeting proceedings [Internet]. 2008; 26(15S part I):[22 p.]. Available from: http://onlinelibrary.wiley.com/o/cochrane/clcentral/articles/831/CN-00679831/frame.html.</w:t>
      </w:r>
    </w:p>
    <w:p w:rsidR="003658E8" w:rsidRDefault="003658E8" w:rsidP="003658E8">
      <w:pPr>
        <w:ind w:left="0"/>
      </w:pPr>
      <w:r>
        <w:t>16.</w:t>
      </w:r>
      <w:r>
        <w:tab/>
        <w:t>Nelson HD, Haney EM, Dana T, Bougatsos C, Chou R. Screening for osteoporosis: an update for the U.S. Preventive Services Task Force. Ann Intern Med. 2010;153(2):99-111.</w:t>
      </w:r>
    </w:p>
    <w:p w:rsidR="003658E8" w:rsidRDefault="003658E8" w:rsidP="003658E8">
      <w:pPr>
        <w:ind w:left="0"/>
      </w:pPr>
      <w:r>
        <w:t>17.</w:t>
      </w:r>
      <w:r>
        <w:tab/>
        <w:t xml:space="preserve">Nelson HD, Morris CD, Kraemer DF, Mahon S, Carney N, Nygren PM, et al. Osteoporosis in </w:t>
      </w:r>
      <w:r w:rsidR="007A119D">
        <w:t>post-menopaus</w:t>
      </w:r>
      <w:r>
        <w:t>al women: diagnosis and monitoring (Structured abstract). Database of Abstracts of Reviews of Effects [Internet]. 2002; (1):[320 p.]. Available from: http://onlinelibrary.wiley.com/o/cochrane/cldare/articles/DARE-12002008306/frame.html.</w:t>
      </w:r>
    </w:p>
    <w:p w:rsidR="003658E8" w:rsidRDefault="003658E8" w:rsidP="003658E8">
      <w:pPr>
        <w:ind w:left="0"/>
      </w:pPr>
      <w:r>
        <w:t>18.</w:t>
      </w:r>
      <w:r>
        <w:tab/>
        <w:t>Ringa V, Durieux P. Evaluation of bone mineral density measurement (Structured abstract). Health Technology Assessment Database [Internet]. 1991; (1):[92 p.]. Available from: http://onlinelibrary.wiley.com/o/cochrane/clhta/articles/HTA-31995000092/frame.html.</w:t>
      </w:r>
    </w:p>
    <w:p w:rsidR="003658E8" w:rsidRDefault="003658E8" w:rsidP="003658E8">
      <w:pPr>
        <w:ind w:left="0"/>
      </w:pPr>
      <w:r>
        <w:t>19.</w:t>
      </w:r>
      <w:r>
        <w:tab/>
        <w:t>Robinson PJ, Bell RJ, Lanzafame A, Segal L, Kirby C, Piterman L, et al. Comparison of plain vertebral X-ray and dual-energy X-ray absorptiometry for the identification of older women for fracture prevention in primary care. Internal medicine journal [Internet]. 2013; 43(1):[38-45 pp.]. Available from: http://onlinelibrary.wiley.com/o/cochrane/clcentral/articles/116/CN-00879116/frame.html.</w:t>
      </w:r>
    </w:p>
    <w:p w:rsidR="003658E8" w:rsidRDefault="003658E8" w:rsidP="003658E8">
      <w:pPr>
        <w:ind w:left="0"/>
      </w:pPr>
      <w:r>
        <w:t>20.</w:t>
      </w:r>
      <w:r>
        <w:tab/>
        <w:t>Samprieto-Colom L, Almazan C, Granados A. Bone densitometry assessment (Structured abstract). Health Technology Assessment Database [Internet]. 1993; (1):[47 p.]. Available from: http://onlinelibrary.wiley.com/o/cochrane/clhta/articles/HTA-31995000021/frame.html.</w:t>
      </w:r>
    </w:p>
    <w:p w:rsidR="003658E8" w:rsidRDefault="003658E8" w:rsidP="003658E8">
      <w:pPr>
        <w:ind w:left="0"/>
      </w:pPr>
      <w:r>
        <w:lastRenderedPageBreak/>
        <w:t>21.</w:t>
      </w:r>
      <w:r>
        <w:tab/>
        <w:t>Shepstone L, Fordham R, Lenaghan E, Harvey I, Cooper C, Gittoes N, et al. A pragmatic randomised controlled trial of the effectiveness and cost-effectiveness of screening older women for the prevention of fractures: rationale, design and methods for the SCOOP study. Osteoporos Int. 2012;23(10):2507-15.</w:t>
      </w:r>
    </w:p>
    <w:p w:rsidR="003658E8" w:rsidRDefault="003658E8" w:rsidP="003658E8">
      <w:pPr>
        <w:ind w:left="0"/>
      </w:pPr>
      <w:r>
        <w:t>22.</w:t>
      </w:r>
      <w:r>
        <w:tab/>
        <w:t>Watts NB, Lewiecki EM, Miller PD, Baim S. National Osteoporosis Foundation 2008 Clinician's Guide to Prevention and Treatment of Osteoporosis and the World Health Organization Fracture Risk Assessment Tool (FRAX): what they mean to the bone densitometrist and bone technologist. J Clin Densitom. 2008;11(4):473-7.</w:t>
      </w:r>
    </w:p>
    <w:p w:rsidR="003658E8" w:rsidRDefault="003658E8" w:rsidP="003658E8">
      <w:pPr>
        <w:ind w:left="0"/>
      </w:pPr>
      <w:r>
        <w:t>23.</w:t>
      </w:r>
      <w:r>
        <w:tab/>
        <w:t>Schneider DL, Worley K, Beard MK, Iannini M, Ko M, McCallum J, et al. The primary care osteoporosis risk of fracture screening (POROS) study: design and baseline characteristics. Contemp Clin Trials. 2010;31(4):336-44.</w:t>
      </w:r>
    </w:p>
    <w:p w:rsidR="003E61DB" w:rsidRPr="004A554A" w:rsidRDefault="003E61DB" w:rsidP="004A554A">
      <w:pPr>
        <w:rPr>
          <w:rFonts w:ascii="Tahoma" w:hAnsi="Tahoma" w:cs="Tahoma"/>
          <w:b/>
          <w:sz w:val="28"/>
          <w:szCs w:val="28"/>
        </w:rPr>
      </w:pPr>
      <w:r w:rsidRPr="004A554A">
        <w:rPr>
          <w:rFonts w:ascii="Tahoma" w:hAnsi="Tahoma" w:cs="Tahoma"/>
          <w:b/>
          <w:sz w:val="28"/>
          <w:szCs w:val="28"/>
        </w:rPr>
        <w:t xml:space="preserve">Incorrect </w:t>
      </w:r>
      <w:r w:rsidR="003658E8">
        <w:rPr>
          <w:rFonts w:ascii="Tahoma" w:hAnsi="Tahoma" w:cs="Tahoma"/>
          <w:b/>
          <w:sz w:val="28"/>
          <w:szCs w:val="28"/>
        </w:rPr>
        <w:t>patient group</w:t>
      </w:r>
    </w:p>
    <w:p w:rsidR="003658E8" w:rsidRDefault="003658E8" w:rsidP="003658E8">
      <w:pPr>
        <w:ind w:left="0"/>
      </w:pPr>
      <w:r>
        <w:t>1.</w:t>
      </w:r>
      <w:r>
        <w:tab/>
        <w:t>Greenspan SL, Perera S, Nace D, Zukowski KS, Ferchak MA, Lee CJ, et al. FRAX or fiction: determining optimal screening strategies for treatment of osteoporosis in residents in long-term care facilities. J Am Geriatr Soc. 2012;60(4):684-90.</w:t>
      </w:r>
    </w:p>
    <w:p w:rsidR="003658E8" w:rsidRDefault="003658E8" w:rsidP="003658E8">
      <w:pPr>
        <w:ind w:left="0"/>
      </w:pPr>
      <w:r>
        <w:t>2.</w:t>
      </w:r>
      <w:r>
        <w:tab/>
        <w:t>Langton CM, Langton DK, Beardsworth SA. Comparison of accuracy and cost effectiveness of clinical criteria and BUA for referral for BMD assessment by DXA in osteoporotic and osteopenic perimenopausal subjects (Structured abstract). Technology and Health Care [Internet]. 1999; 7(5):[319-30 pp.]. Available from: http://onlinelibrary.wiley.com/o/cochrane/cleed/articles/NHSEED-22000006062/frame.html.</w:t>
      </w:r>
    </w:p>
    <w:p w:rsidR="003658E8" w:rsidRDefault="003658E8" w:rsidP="003658E8">
      <w:pPr>
        <w:ind w:left="0"/>
      </w:pPr>
      <w:r>
        <w:t>3.</w:t>
      </w:r>
      <w:r>
        <w:tab/>
        <w:t>Pongchaiyakul C, Nguyen ND, Pongchaiyakul C, Nguyen TV. Development and validation of a new clinical risk index for prediction of osteoporosis in Thai women (Structured abstract). Journal of the Medical Association of Thailand [Internet]. 2004; 87(8):[910-6 pp.]. Available from: http://onlinelibrary.wiley.com/o/cochrane/cleed/articles/NHSEED-22004009110/frame.html.</w:t>
      </w:r>
    </w:p>
    <w:p w:rsidR="003658E8" w:rsidRDefault="003658E8" w:rsidP="003658E8">
      <w:pPr>
        <w:ind w:left="0"/>
      </w:pPr>
      <w:r>
        <w:t>4.</w:t>
      </w:r>
      <w:r>
        <w:tab/>
        <w:t xml:space="preserve">Rico H, Revilla M, Hernández ER, Villa LF, Alvarez de Buergo M. Total and regional bone mineral content and fracture rate in </w:t>
      </w:r>
      <w:r w:rsidR="007A119D">
        <w:t>post-menopaus</w:t>
      </w:r>
      <w:r>
        <w:t>al osteoporosis treated with salmon calcitonin: a prospective study. Calcif Tissue Int [Internet]. 1995; 56(3):[181-5 pp.]. Available from: http://onlinelibrary.wiley.com/o/cochrane/clcentral/articles/066/CN-00114066/frame.html.</w:t>
      </w:r>
    </w:p>
    <w:p w:rsidR="003658E8" w:rsidRDefault="003658E8" w:rsidP="003658E8">
      <w:pPr>
        <w:ind w:left="0"/>
      </w:pPr>
      <w:r>
        <w:t>5.</w:t>
      </w:r>
      <w:r>
        <w:tab/>
        <w:t>Zhu K, Devine A, Lewis JR, Dhaliwal SS, Prince RL. "'Timed up and go' test and bone mineral density measurement for fracture prediction. Archives of internal medicine [Internet]. 2011; 171(18):[1655-61 pp.]. Available from: http://onlinelibrary.wiley.com/o/cochrane/clcentral/articles/316/CN-00805316/frame.html.</w:t>
      </w:r>
    </w:p>
    <w:p w:rsidR="003658E8" w:rsidRDefault="003658E8" w:rsidP="003658E8">
      <w:pPr>
        <w:ind w:left="0"/>
      </w:pPr>
      <w:r>
        <w:t>6.</w:t>
      </w:r>
      <w:r>
        <w:tab/>
        <w:t xml:space="preserve">Gnant M, Mlineritsch B, Luschin-Ebengreuth G, Kainberger F, Kassmann H, Piswanger-Solkner JC, et al. Adjuvant endocrine therapy plus zoledronic acid in </w:t>
      </w:r>
      <w:r w:rsidR="007A119D">
        <w:t>pre-menopaus</w:t>
      </w:r>
      <w:r>
        <w:t>al women with early-stage breast cancer: 5-year follow-up of the ABCSG-12 bone-mineral density substudy. Lancet Oncol. 2008;9(9):840-9.</w:t>
      </w:r>
    </w:p>
    <w:p w:rsidR="003658E8" w:rsidRDefault="003658E8" w:rsidP="003658E8">
      <w:pPr>
        <w:ind w:left="0"/>
      </w:pPr>
      <w:r>
        <w:t>7.</w:t>
      </w:r>
      <w:r>
        <w:tab/>
        <w:t xml:space="preserve">Gnant M, Mlineritsch B, Schippinger W, Luschin-Ebengreuth G, Pöstlberger S, Menzel C, et al. Endocrine therapy plus zoledronic acid in </w:t>
      </w:r>
      <w:r w:rsidR="007A119D">
        <w:t>pre-menopaus</w:t>
      </w:r>
      <w:r>
        <w:t>al breast cancer. The New England journal of medicine [Internet]. 2009; 360(7):[679-91 pp.]. Available from: http://onlinelibrary.wiley.com/o/cochrane/clcentral/articles/994/CN-00686994/frame.html.</w:t>
      </w:r>
    </w:p>
    <w:p w:rsidR="003658E8" w:rsidRDefault="003658E8" w:rsidP="003658E8">
      <w:pPr>
        <w:ind w:left="0"/>
      </w:pPr>
      <w:r>
        <w:lastRenderedPageBreak/>
        <w:t>8.</w:t>
      </w:r>
      <w:r>
        <w:tab/>
        <w:t xml:space="preserve">Gnant M, Mlineritsch B, Stoeger H, Luschin-Ebengreuth G, Heck D, Menzel C, et al. Adjuvant endocrine therapy plus zoledronic acid in </w:t>
      </w:r>
      <w:r w:rsidR="007A119D">
        <w:t>pre-menopaus</w:t>
      </w:r>
      <w:r>
        <w:t>al women with early-stage breast cancer: 62-month follow-up from the ABCSG-12 randomised trial. Lancet Oncol. 2011;12(7):631-41.</w:t>
      </w:r>
    </w:p>
    <w:p w:rsidR="003658E8" w:rsidRDefault="003658E8" w:rsidP="003658E8">
      <w:pPr>
        <w:ind w:left="0"/>
      </w:pPr>
      <w:r>
        <w:t>9.</w:t>
      </w:r>
      <w:r>
        <w:tab/>
        <w:t xml:space="preserve">Gnant MF, Mlineritsch B, Luschin-Ebengreuth G, Grampp S, Kaessmann H, Schmid M, et al. Zoledronic acid prevents cancer treatment-induced bone loss in </w:t>
      </w:r>
      <w:r w:rsidR="007A119D">
        <w:t>pre-menopaus</w:t>
      </w:r>
      <w:r>
        <w:t>al women receiving adjuvant endocrine therapy for hormone-responsive breast cancer: a report from the Austrian Breast and Colorectal Cancer Study Group. Journal of clinical oncology : official journal of the American Society of Clinical Oncology [Internet]. 2007; 25(7):[820-8 pp.]. Available from: http://onlinelibrary.wiley.com/o/cochrane/clcentral/articles/243/CN-00577243/frame.html.</w:t>
      </w:r>
    </w:p>
    <w:p w:rsidR="003658E8" w:rsidRDefault="003658E8" w:rsidP="003658E8">
      <w:pPr>
        <w:ind w:left="0"/>
      </w:pPr>
      <w:r>
        <w:t>10.</w:t>
      </w:r>
      <w:r>
        <w:tab/>
        <w:t xml:space="preserve">Hines SL, Mincey B, Dentchev T, Sloan JA, Perez EA, Johnson DB, et al. Immediate versus delayed zoledronic acid for prevention of bone loss in </w:t>
      </w:r>
      <w:r w:rsidR="007A119D">
        <w:t>post-menopaus</w:t>
      </w:r>
      <w:r>
        <w:t>al women with breast cancer starting letrozole after tamoxifen-N03CC. Breast cancer research and treatment [Internet]. 2009; 117(3):[603-9 pp.]. Available from: http://onlinelibrary.wiley.com/o/cochrane/clcentral/articles/301/CN-00729301/frame.html.</w:t>
      </w:r>
    </w:p>
    <w:p w:rsidR="003E61DB" w:rsidRPr="004A554A" w:rsidRDefault="003E61DB" w:rsidP="004A554A">
      <w:pPr>
        <w:rPr>
          <w:rFonts w:ascii="Tahoma" w:hAnsi="Tahoma" w:cs="Tahoma"/>
          <w:b/>
          <w:sz w:val="28"/>
          <w:szCs w:val="28"/>
        </w:rPr>
      </w:pPr>
      <w:r w:rsidRPr="004A554A">
        <w:rPr>
          <w:rFonts w:ascii="Tahoma" w:hAnsi="Tahoma" w:cs="Tahoma"/>
          <w:b/>
          <w:sz w:val="28"/>
          <w:szCs w:val="28"/>
        </w:rPr>
        <w:t>Data duplicated in another study</w:t>
      </w:r>
    </w:p>
    <w:p w:rsidR="003658E8" w:rsidRDefault="003658E8" w:rsidP="003658E8">
      <w:pPr>
        <w:ind w:left="0"/>
      </w:pPr>
      <w:r>
        <w:t>1.</w:t>
      </w:r>
      <w:r>
        <w:tab/>
        <w:t xml:space="preserve">Hadji P, Aapro MS, Body JJ, Bundred NJ, Brufsky A, Coleman RE, et al. Management of aromatase inhibitor-associated bone loss in </w:t>
      </w:r>
      <w:r w:rsidR="007A119D">
        <w:t>post-menopaus</w:t>
      </w:r>
      <w:r>
        <w:t>al women with breast cancer: practical guidance for prevention and treatment. Ann Oncol. 2011;22(12):2546-55.</w:t>
      </w:r>
    </w:p>
    <w:p w:rsidR="003658E8" w:rsidRDefault="00C26A47" w:rsidP="003658E8">
      <w:pPr>
        <w:ind w:left="0"/>
      </w:pPr>
      <w:r>
        <w:t>2.</w:t>
      </w:r>
      <w:r w:rsidR="003658E8">
        <w:tab/>
        <w:t>Vertebral assessment using dual-energy x-ray absorptiometry for osteoporotic fracture risk assessment (Structured abstract). Health Technology Assessment Database [Internet]. 2004; (1):[19 p.]. Available from: http://onlinelibrary.wiley.com/o/cochrane/clhta/articles/HTA-32005000009/frame.html.</w:t>
      </w:r>
    </w:p>
    <w:p w:rsidR="003658E8" w:rsidRDefault="00C26A47" w:rsidP="003658E8">
      <w:pPr>
        <w:ind w:left="0"/>
      </w:pPr>
      <w:r>
        <w:t>3</w:t>
      </w:r>
      <w:r w:rsidR="003658E8">
        <w:t>.</w:t>
      </w:r>
      <w:r w:rsidR="003658E8">
        <w:tab/>
        <w:t xml:space="preserve">Brufsky A, Bundred N, Coleman R, Lambert-Falls R, Mena R, Hadji P, et al. Integrated analysis of zoledronic acid for prevention of aromatase inhibitor-associated bone loss in </w:t>
      </w:r>
      <w:r w:rsidR="007A119D">
        <w:t>post-menopaus</w:t>
      </w:r>
      <w:r w:rsidR="003658E8">
        <w:t>al women with early breast cancer receiving adjuvant letrozole. The oncologist [Internet]. 2008; 13(5):[503-14 pp.]. Available from: http://onlinelibrary.wiley.com/o/cochrane/clcentral/articles/782/CN-00648782/frame.html.</w:t>
      </w:r>
    </w:p>
    <w:p w:rsidR="003658E8" w:rsidRDefault="00C26A47" w:rsidP="003658E8">
      <w:pPr>
        <w:ind w:left="0"/>
      </w:pPr>
      <w:r>
        <w:t>4</w:t>
      </w:r>
      <w:r w:rsidR="003658E8">
        <w:t>.</w:t>
      </w:r>
      <w:r w:rsidR="003658E8">
        <w:tab/>
        <w:t xml:space="preserve">Brufsky A, Harker WG, Beck JT, Carroll R, Tan-Chiu E, Seidler C, et al. Zoledronic acid inhibits adjuvant letrozole-induced bone loss in </w:t>
      </w:r>
      <w:r w:rsidR="007A119D">
        <w:t>post-menopaus</w:t>
      </w:r>
      <w:r w:rsidR="003658E8">
        <w:t>al women with early breast cancer. Journal of clinical oncology : official journal of the American Society of Clinical Oncology [Internet]. 2007; 25(7):[829-36 pp.]. Available from: http://onlinelibrary.wiley.com/o/cochrane/clcentral/articles/242/CN-00577242/frame.html.</w:t>
      </w:r>
    </w:p>
    <w:p w:rsidR="003658E8" w:rsidRDefault="00C26A47" w:rsidP="003658E8">
      <w:pPr>
        <w:ind w:left="0"/>
      </w:pPr>
      <w:r>
        <w:t>5</w:t>
      </w:r>
      <w:r w:rsidR="003658E8">
        <w:t>.</w:t>
      </w:r>
      <w:r w:rsidR="003658E8">
        <w:tab/>
        <w:t xml:space="preserve">Brufsky AM, Bosserman LD, Caradonna RR, Haley BB, Jones CM, Moore HC, et al. Zoledronic acid effectively prevents aromatase inhibitor-associated bone loss in </w:t>
      </w:r>
      <w:r w:rsidR="007A119D">
        <w:t>post-menopaus</w:t>
      </w:r>
      <w:r w:rsidR="003658E8">
        <w:t>al women with early breast cancer receiving adjuvant letrozole: Z-FAST study 36-month follow-up results. Clin Breast Cancer [Internet]. 2009; 9(2):[77-85 pp.]. Available from: http://onlinelibrary.wiley.com/o/cochrane/clcentral/articles/876/CN-00702876/frame.html.</w:t>
      </w:r>
    </w:p>
    <w:p w:rsidR="003658E8" w:rsidRDefault="00C26A47" w:rsidP="003658E8">
      <w:pPr>
        <w:ind w:left="0"/>
      </w:pPr>
      <w:r>
        <w:t>6</w:t>
      </w:r>
      <w:r w:rsidR="003658E8">
        <w:t>.</w:t>
      </w:r>
      <w:r w:rsidR="003658E8">
        <w:tab/>
        <w:t xml:space="preserve">Bundred NJ, Campbell ID, Davidson N, DeBoer RH, Eidtmann H, Monnier A, et al. Effective inhibition of aromatase inhibitor-associated bone loss by zoledronic acid in </w:t>
      </w:r>
      <w:r w:rsidR="007A119D">
        <w:t>post-menopaus</w:t>
      </w:r>
      <w:r w:rsidR="003658E8">
        <w:t>al women with early breast cancer receiving adjuvant letrozole: ZO-FAST Study results. Cancer [Internet]. 2008; 112(5):[1001-10 pp.]. Available from: http://onlinelibrary.wiley.com/o/cochrane/clcentral/articles/451/CN-00629451/frame.html.</w:t>
      </w:r>
    </w:p>
    <w:p w:rsidR="003658E8" w:rsidRDefault="00C26A47" w:rsidP="003658E8">
      <w:pPr>
        <w:ind w:left="0"/>
      </w:pPr>
      <w:r>
        <w:lastRenderedPageBreak/>
        <w:t>7</w:t>
      </w:r>
      <w:r w:rsidR="003658E8">
        <w:t>.</w:t>
      </w:r>
      <w:r w:rsidR="003658E8">
        <w:tab/>
        <w:t xml:space="preserve">Eidtmann H, Boer R, Bundred N, Llombart-Cussac A, Davidson N, Neven P, et al. Efficacy of zoledronic acid in </w:t>
      </w:r>
      <w:r w:rsidR="007A119D">
        <w:t>post-menopaus</w:t>
      </w:r>
      <w:r w:rsidR="003658E8">
        <w:t>al women with early breast cancer receiving adjuvant letrozole: 36-month results of the ZO-FAST Study. Annals of oncology : official journal of the European Society for Medical Oncology / ESMO [Internet]. 2010; 21(11):[2188-94 pp.]. Available from: http://onlinelibrary.wiley.com/o/cochrane/clcentral/articles/423/CN-00767423/frame.html.</w:t>
      </w:r>
    </w:p>
    <w:p w:rsidR="003658E8" w:rsidRDefault="00C26A47" w:rsidP="003658E8">
      <w:pPr>
        <w:ind w:left="0"/>
      </w:pPr>
      <w:r>
        <w:t>8</w:t>
      </w:r>
      <w:r w:rsidR="003658E8">
        <w:t>.</w:t>
      </w:r>
      <w:r w:rsidR="003658E8">
        <w:tab/>
        <w:t>Ellis GK, Bone HG, Chlebowski R, Paul D, Spadafora S, Smith J, et al. Randomized trial of denosumab in patients receiving adjuvant aromatase inhibitors for nonmetastatic breast cancer. Journal of clinical oncology : official journal of the American Society of Clinical Oncology [Internet]. 2008; 26(30):[4875-82 pp.]. Available from: http://onlinelibrary.wiley.com/o/cochrane/clcentral/articles/733/CN-00650733/frame.html.</w:t>
      </w:r>
    </w:p>
    <w:p w:rsidR="003658E8" w:rsidRDefault="00C26A47" w:rsidP="003658E8">
      <w:pPr>
        <w:ind w:left="0"/>
      </w:pPr>
      <w:r>
        <w:t>9</w:t>
      </w:r>
      <w:r w:rsidR="003658E8">
        <w:t>.</w:t>
      </w:r>
      <w:r w:rsidR="003658E8">
        <w:tab/>
        <w:t>Greenspan SL, Brufsky A, Lembersky BC, Bhattacharya R, Vujevich KT, Perera S, et al. Risedronate prevents bone loss in breast cancer survivors: a 2-year, randomized, double-blind, placebo-controlled clinical trial. Journal of clinical oncology : official journal of the American Society of Clinical Oncology [Internet]. 2008; 26(16):[2644-52 pp.]. Available from: http://onlinelibrary.wiley.com/o/cochrane/clcentral/articles/074/CN-00639074/frame.html.</w:t>
      </w:r>
    </w:p>
    <w:p w:rsidR="003658E8" w:rsidRDefault="003658E8" w:rsidP="003658E8">
      <w:pPr>
        <w:ind w:left="0"/>
      </w:pPr>
      <w:r>
        <w:t>1</w:t>
      </w:r>
      <w:r w:rsidR="00C26A47">
        <w:t>0</w:t>
      </w:r>
      <w:r>
        <w:t>.</w:t>
      </w:r>
      <w:r>
        <w:tab/>
        <w:t>Hadji P, Body JJ, Aapro MS, Brufsky A, Coleman RE, Guise T, et al. Practical guidance for the management of aromatase inhibitor-associated bone loss. Ann Oncol. 2008;19(8):1407-16.</w:t>
      </w:r>
    </w:p>
    <w:p w:rsidR="003658E8" w:rsidRDefault="003658E8" w:rsidP="003658E8">
      <w:pPr>
        <w:ind w:left="0"/>
      </w:pPr>
      <w:r>
        <w:t>1</w:t>
      </w:r>
      <w:r w:rsidR="00C26A47">
        <w:t>1</w:t>
      </w:r>
      <w:r>
        <w:t>.</w:t>
      </w:r>
      <w:r>
        <w:tab/>
        <w:t>Lester JE, Dodwell D, Purohit OP, Gutcher SA, Ellis SP, Thorpe R, et al. Prevention of anastrozole-induced bone loss with monthly oral ibandronate during adjuvant aromatase inhibitor therapy for breast cancer. Clinical cancer research : an official journal of the American Association for Cancer Research [Internet]. 2008; 14(19):[6336-42 pp.]. Available from: http://onlinelibrary.wiley.com/o/cochrane/clcentral/articles/259/CN-00668259/frame.html.</w:t>
      </w:r>
    </w:p>
    <w:p w:rsidR="003658E8" w:rsidRDefault="003658E8" w:rsidP="003658E8">
      <w:pPr>
        <w:ind w:left="0"/>
      </w:pPr>
      <w:r>
        <w:t>1</w:t>
      </w:r>
      <w:r w:rsidR="00C26A47">
        <w:t>2</w:t>
      </w:r>
      <w:r>
        <w:t>.</w:t>
      </w:r>
      <w:r>
        <w:tab/>
        <w:t>Poznak C, Hannon RA, Mackey JR, Campone M, Apffelstaedt JP, Clack G, et al. Prevention of aromatase inhibitor-induced bone loss using risedronate: the SABRE trial. Journal of clinical oncology : official journal of the American Society of Clinical Oncology [Internet]. 2010; 28(6):[967-75 pp.]. Available from: http://onlinelibrary.wiley.com/o/cochrane/clcentral/articles/002/CN-00734002/frame.html.</w:t>
      </w:r>
    </w:p>
    <w:p w:rsidR="003658E8" w:rsidRDefault="003658E8" w:rsidP="003658E8">
      <w:pPr>
        <w:ind w:left="0"/>
      </w:pPr>
      <w:r>
        <w:t>1</w:t>
      </w:r>
      <w:r w:rsidR="00C26A47">
        <w:t>3</w:t>
      </w:r>
      <w:r>
        <w:t>.</w:t>
      </w:r>
      <w:r>
        <w:tab/>
        <w:t>Valachis A, Polyzos NP, Georgoulias V, Mavroudis D, Mauri D. Lack of evidence for fracture prevention in early breast cancer bisphosphonate trials: a meta-analysis. Gynecologic Oncology. 2010;117(1):139-45.</w:t>
      </w:r>
    </w:p>
    <w:p w:rsidR="003658E8" w:rsidRDefault="003658E8" w:rsidP="003658E8">
      <w:pPr>
        <w:ind w:left="0"/>
      </w:pPr>
      <w:r>
        <w:t>1</w:t>
      </w:r>
      <w:r w:rsidR="00C26A47">
        <w:t>4</w:t>
      </w:r>
      <w:r>
        <w:t>.</w:t>
      </w:r>
      <w:r>
        <w:tab/>
        <w:t xml:space="preserve">Brufsky A. Management of Cancer-Treatment-Induced Bone Loss in </w:t>
      </w:r>
      <w:r w:rsidR="007A119D">
        <w:t>Post-menopaus</w:t>
      </w:r>
      <w:r>
        <w:t>al Women Undergoing Adjuvant Breast Cancer Therapy: A Z-FAST Update. Semin Oncol [Internet]. 2006; 33(Suppl 7):[13-7 pp.]. Available from: http://onlinelibrary.wiley.com/o/cochrane/clcentral/articles/170/CN-00623170/frame.html.</w:t>
      </w:r>
    </w:p>
    <w:p w:rsidR="003E61DB" w:rsidRPr="004A554A" w:rsidRDefault="003E61DB" w:rsidP="004A554A">
      <w:pPr>
        <w:rPr>
          <w:rFonts w:ascii="Tahoma" w:hAnsi="Tahoma" w:cs="Tahoma"/>
          <w:b/>
          <w:sz w:val="28"/>
          <w:szCs w:val="28"/>
        </w:rPr>
      </w:pPr>
      <w:r w:rsidRPr="004A554A">
        <w:rPr>
          <w:rFonts w:ascii="Tahoma" w:hAnsi="Tahoma" w:cs="Tahoma"/>
          <w:b/>
          <w:sz w:val="28"/>
          <w:szCs w:val="28"/>
        </w:rPr>
        <w:t>Incorrect comparator</w:t>
      </w:r>
    </w:p>
    <w:p w:rsidR="00130A9F" w:rsidRDefault="00130A9F" w:rsidP="003658E8">
      <w:pPr>
        <w:ind w:left="0"/>
      </w:pPr>
      <w:r>
        <w:t>1.</w:t>
      </w:r>
      <w:r>
        <w:tab/>
        <w:t>Hines SL, Sloan JA, Atherton PJ, Perez EA, Dakhil SR, Johnson DB, et al. Zoledronic acid for treatment of osteopenia and osteoporosis in women with primary breast cancer undergoing adjuvant aromatase inhibitor therapy. Breast. 2010;19(2):92-6.</w:t>
      </w:r>
    </w:p>
    <w:p w:rsidR="00130A9F" w:rsidRDefault="00130A9F" w:rsidP="003658E8">
      <w:pPr>
        <w:ind w:left="0"/>
      </w:pPr>
      <w:r>
        <w:t>2.</w:t>
      </w:r>
      <w:r>
        <w:tab/>
        <w:t xml:space="preserve">Rud B, Hilden J, Hyldstrup L, Hrobjartsson A. The Osteoporosis Self-Assessment Tool versus alternative tests for selecting </w:t>
      </w:r>
      <w:r w:rsidR="007A119D">
        <w:t>post-menopaus</w:t>
      </w:r>
      <w:r>
        <w:t xml:space="preserve">al women for bone mineral density assessment: a comparative systematic review of accuracy (Structured abstract). Osteoporos Int </w:t>
      </w:r>
      <w:r>
        <w:lastRenderedPageBreak/>
        <w:t>[Internet]. 2009; 20(4):[599-607 pp.]. Available from: http://onlinelibrary.wiley.com/o/cochrane/cldare/articles/DARE-12009104197/frame.html.</w:t>
      </w:r>
    </w:p>
    <w:p w:rsidR="003E61DB" w:rsidRPr="004A554A" w:rsidRDefault="003E61DB" w:rsidP="004A554A">
      <w:pPr>
        <w:rPr>
          <w:rFonts w:ascii="Tahoma" w:hAnsi="Tahoma" w:cs="Tahoma"/>
          <w:b/>
          <w:sz w:val="28"/>
          <w:szCs w:val="28"/>
        </w:rPr>
      </w:pPr>
      <w:r w:rsidRPr="004A554A">
        <w:rPr>
          <w:rFonts w:ascii="Tahoma" w:hAnsi="Tahoma" w:cs="Tahoma"/>
          <w:b/>
          <w:sz w:val="28"/>
          <w:szCs w:val="28"/>
        </w:rPr>
        <w:t xml:space="preserve">Not </w:t>
      </w:r>
      <w:r w:rsidR="003658E8">
        <w:rPr>
          <w:rFonts w:ascii="Tahoma" w:hAnsi="Tahoma" w:cs="Tahoma"/>
          <w:b/>
          <w:sz w:val="28"/>
          <w:szCs w:val="28"/>
        </w:rPr>
        <w:t>meeting eligibility criteria</w:t>
      </w:r>
      <w:r w:rsidRPr="004A554A">
        <w:rPr>
          <w:rFonts w:ascii="Tahoma" w:hAnsi="Tahoma" w:cs="Tahoma"/>
          <w:b/>
          <w:sz w:val="28"/>
          <w:szCs w:val="28"/>
        </w:rPr>
        <w:t xml:space="preserve"> </w:t>
      </w:r>
    </w:p>
    <w:p w:rsidR="003658E8" w:rsidRDefault="003658E8" w:rsidP="003658E8">
      <w:pPr>
        <w:ind w:left="0"/>
      </w:pPr>
      <w:r>
        <w:t>1.</w:t>
      </w:r>
      <w:r>
        <w:tab/>
        <w:t>Davis SR, Bell RJ, Wang Y, Hanna F, Davies-Tuck M, Bell R, et al. Aromatase inhibitors associated with knee subchondral bone expansion without cartilage loss. Climacteric [Internet]. 2013; 16(6):[632-8 pp.]. Available from: http://onlinelibrary.wiley.com/o/cochrane/clcentral/articles/932/CN-00909932/frame.html.</w:t>
      </w:r>
    </w:p>
    <w:p w:rsidR="003658E8" w:rsidRDefault="003658E8" w:rsidP="003658E8">
      <w:pPr>
        <w:ind w:left="0"/>
      </w:pPr>
      <w:r>
        <w:t>2.</w:t>
      </w:r>
      <w:r>
        <w:tab/>
        <w:t>Davis SR, Bell RJ, Wang Y, Hanna F, Davies-Tuck M, Bell R, et al. Aromatase inhibitors associated with knee subchondral bone expansion without cartilage loss. Climacteric [Internet]. 2013; 16(6):[632-8 pp.]. Available from: http://onlinelibrary.wiley.com/o/cochrane/clcentral/articles/932/CN-00909932/frame.html.</w:t>
      </w:r>
    </w:p>
    <w:p w:rsidR="003658E8" w:rsidRDefault="003658E8" w:rsidP="003658E8">
      <w:pPr>
        <w:ind w:left="0"/>
      </w:pPr>
      <w:r>
        <w:t>3.</w:t>
      </w:r>
      <w:r>
        <w:tab/>
        <w:t>Estrada MD, Ferrer A, Borras A, Benitez D, Espallargues M. Guide for the indication of bone densitometry in the assessment of the risk of fracture and in the evolutional control of osteoporosis. Update December 2004 (Structured abstract). Health Technology Assessment Database [Internet]. 2006; (1). Available from: http://onlinelibrary.wiley.com/o/cochrane/clhta/articles/HTA-32009100205/frame.html.</w:t>
      </w:r>
    </w:p>
    <w:p w:rsidR="003658E8" w:rsidRDefault="003658E8" w:rsidP="003658E8">
      <w:pPr>
        <w:ind w:left="0"/>
      </w:pPr>
      <w:r>
        <w:t>4.</w:t>
      </w:r>
      <w:r>
        <w:tab/>
        <w:t>IqwiG. Osteodensitometry in primary and secondary osteoporosis (Structured abstract). Health Technology Assessment Database [Internet]. 2010; (1). Available from: http://onlinelibrary.wiley.com/o/cochrane/clhta/articles/HTA-32011000004/frame.html.</w:t>
      </w:r>
    </w:p>
    <w:p w:rsidR="003658E8" w:rsidRDefault="003658E8" w:rsidP="003658E8">
      <w:pPr>
        <w:ind w:left="0"/>
      </w:pPr>
      <w:r>
        <w:t>5.</w:t>
      </w:r>
      <w:r>
        <w:tab/>
        <w:t>Pereira RM, Carvalho JF, Paula AP, Zerbini C, Domiciano DS, Goncalves H, et al. Guidelines for the prevention and treatment of glucocorticoid-induced osteoporosis. Rev. 2012;52(4):580-93.</w:t>
      </w:r>
    </w:p>
    <w:p w:rsidR="003658E8" w:rsidRDefault="003658E8" w:rsidP="003658E8">
      <w:pPr>
        <w:ind w:left="0"/>
      </w:pPr>
      <w:r>
        <w:t>6.</w:t>
      </w:r>
      <w:r>
        <w:tab/>
        <w:t xml:space="preserve">Skowronska-Jozwiak E, Wojcicka A, Lorenc RS, Lewinski A. Comparison of selected methods for fracture risk assessment in </w:t>
      </w:r>
      <w:r w:rsidR="007A119D">
        <w:t>post-menopaus</w:t>
      </w:r>
      <w:r>
        <w:t>al women: analysis of the Lodz population in the EPOLOS study. Pol Arch Med Wewn. 2010;120(5):197-202.</w:t>
      </w:r>
    </w:p>
    <w:p w:rsidR="003658E8" w:rsidRDefault="003658E8" w:rsidP="003658E8">
      <w:pPr>
        <w:ind w:left="0"/>
      </w:pPr>
      <w:r>
        <w:t>7.</w:t>
      </w:r>
      <w:r>
        <w:tab/>
        <w:t>Jiang X, Westermann LB, Galleo GV, Demko J, Marakovits KA, Schnatz PF. Age as a predictor of osteoporotic fracture compared with current risk-prediction models. Obstet Gynecol. 2013;122(5):1040-6.</w:t>
      </w:r>
    </w:p>
    <w:p w:rsidR="003658E8" w:rsidRDefault="003658E8" w:rsidP="003658E8">
      <w:pPr>
        <w:ind w:left="0"/>
      </w:pPr>
      <w:r>
        <w:t>8.</w:t>
      </w:r>
      <w:r>
        <w:tab/>
        <w:t>Melton LJ, 3rd, Eddy DM, Johnston CC, Jr. Screening for osteoporosis. Ann Intern Med. 1990;112(7):516-28.</w:t>
      </w:r>
    </w:p>
    <w:p w:rsidR="003658E8" w:rsidRDefault="003658E8" w:rsidP="003658E8">
      <w:pPr>
        <w:ind w:left="0"/>
      </w:pPr>
      <w:r>
        <w:t>9.</w:t>
      </w:r>
      <w:r>
        <w:tab/>
        <w:t xml:space="preserve">Reginster JY, Deroisy R, Collette J, Albert A, Zegels B. Prediction of bone loss rate in healthy </w:t>
      </w:r>
      <w:r w:rsidR="007A119D">
        <w:t>post-menopaus</w:t>
      </w:r>
      <w:r>
        <w:t>al women. Calcif Tissue Int [Internet]. 1997; 60(3):[261-4 pp.]. Available from: http://onlinelibrary.wiley.com/o/cochrane/clcentral/articles/017/CN-00138017/frame.html.</w:t>
      </w:r>
    </w:p>
    <w:p w:rsidR="003658E8" w:rsidRDefault="003658E8" w:rsidP="003658E8">
      <w:pPr>
        <w:ind w:left="0"/>
      </w:pPr>
      <w:r>
        <w:t>10.</w:t>
      </w:r>
      <w:r>
        <w:tab/>
        <w:t xml:space="preserve">Confavreux CB, Fontana A, Guastalla JP, Munoz F, Brun J, Delmas PD. Estrogen-dependent increase in bone turnover and bone loss in </w:t>
      </w:r>
      <w:r w:rsidR="007A119D">
        <w:t>post-menopaus</w:t>
      </w:r>
      <w:r>
        <w:t>al women with breast cancer treated with anastrozole. Prevention with bisphosphonates. Bone. 2007;41(3):346-52.</w:t>
      </w:r>
    </w:p>
    <w:p w:rsidR="003658E8" w:rsidRDefault="003658E8" w:rsidP="003658E8">
      <w:pPr>
        <w:ind w:left="0"/>
      </w:pPr>
      <w:r>
        <w:t>11.</w:t>
      </w:r>
      <w:r>
        <w:tab/>
        <w:t xml:space="preserve">Kilbreath S, Refshauge KM, Beith J, Ward L, Sawkins K, Paterson R, et al. Prevention of osteoporosis as a consequence of aromatase inhibitor therapy in </w:t>
      </w:r>
      <w:r w:rsidR="007A119D">
        <w:t>post-menopaus</w:t>
      </w:r>
      <w:r>
        <w:t xml:space="preserve">al women with </w:t>
      </w:r>
      <w:r>
        <w:lastRenderedPageBreak/>
        <w:t>early breast cancer: rationale and design of a randomized controlled trial. Contemp Clin Trials. 2011;32(5):704-9.</w:t>
      </w:r>
    </w:p>
    <w:p w:rsidR="003E61DB" w:rsidRPr="004A554A" w:rsidRDefault="003E61DB" w:rsidP="004A554A">
      <w:pPr>
        <w:rPr>
          <w:rFonts w:ascii="Tahoma" w:hAnsi="Tahoma" w:cs="Tahoma"/>
          <w:b/>
          <w:sz w:val="28"/>
          <w:szCs w:val="28"/>
        </w:rPr>
      </w:pPr>
      <w:r w:rsidRPr="004A554A">
        <w:rPr>
          <w:rFonts w:ascii="Tahoma" w:hAnsi="Tahoma" w:cs="Tahoma"/>
          <w:b/>
          <w:sz w:val="28"/>
          <w:szCs w:val="28"/>
        </w:rPr>
        <w:t>Unable to retrieve data within time limit</w:t>
      </w:r>
    </w:p>
    <w:p w:rsidR="00130A9F" w:rsidRDefault="00130A9F" w:rsidP="003658E8">
      <w:pPr>
        <w:ind w:left="0"/>
      </w:pPr>
      <w:r>
        <w:t>1.</w:t>
      </w:r>
      <w:r>
        <w:tab/>
        <w:t>Reclast (Novartis Pharmaceuticals Corp.) for bone loss prevention during breast cancer chemotherapy. Lansdale, PA: HAYES Inc; 2009.</w:t>
      </w:r>
    </w:p>
    <w:p w:rsidR="00130A9F" w:rsidRDefault="00130A9F" w:rsidP="003658E8">
      <w:pPr>
        <w:ind w:left="0"/>
      </w:pPr>
      <w:r>
        <w:t>2.</w:t>
      </w:r>
      <w:r>
        <w:tab/>
        <w:t>Ringertz H, Marshall D, Johansson C, Johnell O, Kullenberg RJ, Ljunghall S, et al. Bone density measurement: a systematic review (Structured abstract). Journal of Internal Medicine [Internet]. 1997; 241(Supplement 739):[1-60 pp.]. Available from: http://onlinelibrary.wiley.com/o/cochrane/cldare/articles/DARE-11997000472/frame.html.</w:t>
      </w:r>
    </w:p>
    <w:p w:rsidR="00130A9F" w:rsidRDefault="00130A9F" w:rsidP="003658E8">
      <w:pPr>
        <w:ind w:left="0"/>
      </w:pPr>
      <w:r>
        <w:t>3.</w:t>
      </w:r>
      <w:r>
        <w:tab/>
        <w:t>Segal E, Zinman C, Raz B, Ish-Shalom S. Current criteria for hip fracture risk assessment--are we missing something? Isr Med Assoc J. 2007;9(1):35-8.</w:t>
      </w:r>
    </w:p>
    <w:p w:rsidR="00130A9F" w:rsidRDefault="00130A9F" w:rsidP="003658E8">
      <w:pPr>
        <w:ind w:left="0"/>
      </w:pPr>
      <w:r>
        <w:t>4.</w:t>
      </w:r>
      <w:r>
        <w:tab/>
        <w:t xml:space="preserve">Servitja S, Nogues X, Prieto-Alhambra D, Martinez-Garcia M, Garrigos L, Pena MJ, et al. Bone health in a prospective cohort of </w:t>
      </w:r>
      <w:r w:rsidR="007A119D">
        <w:t>post-menopaus</w:t>
      </w:r>
      <w:r>
        <w:t>al women receiving aromatase inhibitors for early breast cancer. Breast [Internet]. 2012; 21(1):[95-101 pp.]. Available from: http://onlinelibrary.wiley.com/o/cochrane/clcentral/articles/231/CN-00901231/frame.html.</w:t>
      </w:r>
    </w:p>
    <w:p w:rsidR="00130A9F" w:rsidRDefault="00130A9F" w:rsidP="003658E8">
      <w:pPr>
        <w:ind w:left="0"/>
      </w:pPr>
      <w:r>
        <w:t>5.</w:t>
      </w:r>
      <w:r>
        <w:tab/>
        <w:t xml:space="preserve">Servitja S, Nogues X, Prieto-Alhambra D, Martinez-Garcia M, Garrigos L, Pena MJ, et al. Bone health in a prospective cohort of </w:t>
      </w:r>
      <w:r w:rsidR="007A119D">
        <w:t>post-menopaus</w:t>
      </w:r>
      <w:r>
        <w:t>al women receiving aromatase inhibitors for early breast cancer. Breast [Internet]. 2012; 21(1):[95-101 pp.]. Available from: http://onlinelibrary.wiley.com/o/cochrane/clcentral/articles/231/CN-00901231/frame.html.</w:t>
      </w:r>
    </w:p>
    <w:p w:rsidR="003658E8" w:rsidRDefault="003658E8" w:rsidP="004A554A">
      <w:pPr>
        <w:rPr>
          <w:rFonts w:ascii="Tahoma" w:hAnsi="Tahoma" w:cs="Tahoma"/>
          <w:b/>
          <w:sz w:val="28"/>
          <w:szCs w:val="28"/>
        </w:rPr>
      </w:pPr>
      <w:r>
        <w:rPr>
          <w:rFonts w:ascii="Tahoma" w:hAnsi="Tahoma" w:cs="Tahoma"/>
          <w:b/>
          <w:sz w:val="28"/>
          <w:szCs w:val="28"/>
        </w:rPr>
        <w:t>Wrong topic</w:t>
      </w:r>
    </w:p>
    <w:p w:rsidR="003658E8" w:rsidRDefault="003658E8" w:rsidP="003658E8">
      <w:pPr>
        <w:ind w:left="0"/>
      </w:pPr>
      <w:r>
        <w:t>1.</w:t>
      </w:r>
      <w:r>
        <w:tab/>
        <w:t>Allin S, Munce S, Schott AM, Hawker G, Murphy K, Jaglal SB. Quality of fracture risk assessment in post-fracture care in Ontario, Canada. Osteoporos Int. 2013;24(3):899-905.</w:t>
      </w:r>
    </w:p>
    <w:p w:rsidR="003658E8" w:rsidRDefault="003658E8" w:rsidP="003658E8">
      <w:pPr>
        <w:ind w:left="0"/>
      </w:pPr>
      <w:r>
        <w:t>2.</w:t>
      </w:r>
      <w:r>
        <w:tab/>
        <w:t>Bjarnason K, Hassager C, Svendsen OL, Stang H, Christiansen C. Anteroposterior and lateral spinal DXA for the assessment of vertebral body strength: comparison with hip and forearm measurement. Osteoporos Int. 1996;6(1):37-42.</w:t>
      </w:r>
    </w:p>
    <w:p w:rsidR="003658E8" w:rsidRDefault="003658E8" w:rsidP="003658E8">
      <w:pPr>
        <w:ind w:left="0"/>
      </w:pPr>
      <w:r>
        <w:t>3.</w:t>
      </w:r>
      <w:r>
        <w:tab/>
        <w:t>BlueCross BlueShield A. Screening for vertebral fracture with dual x-ray absorptiometry. Chicago IL: Blue Cross Blue Shield Association (BCBS); 2006. 20 p.</w:t>
      </w:r>
    </w:p>
    <w:p w:rsidR="003658E8" w:rsidRDefault="003658E8" w:rsidP="003658E8">
      <w:pPr>
        <w:ind w:left="0"/>
      </w:pPr>
      <w:r>
        <w:t>4.</w:t>
      </w:r>
      <w:r>
        <w:tab/>
        <w:t xml:space="preserve">Buist DS, LaCroix AZ, Manfredonia D, Abbott T. Identifying </w:t>
      </w:r>
      <w:r w:rsidR="007A119D">
        <w:t>post-menopaus</w:t>
      </w:r>
      <w:r>
        <w:t>al women at high risk of fracture in populations: a comparison of three strategies. J Am Geriatr Soc [Internet]. 2002; 50(6):[1031-8 pp.]. Available from: http://onlinelibrary.wiley.com/o/cochrane/clcentral/articles/168/CN-00390168/frame.html.</w:t>
      </w:r>
    </w:p>
    <w:p w:rsidR="003658E8" w:rsidRDefault="003658E8" w:rsidP="003658E8">
      <w:pPr>
        <w:ind w:left="0"/>
      </w:pPr>
      <w:r>
        <w:t>5.</w:t>
      </w:r>
      <w:r>
        <w:tab/>
        <w:t>Chesnut C, Majumdar S, Gardner J, Shields A, Newitt DC, Erickson E, et al. Assessment of bone quality, quantity, and turnover with multiple methodologies at multiple skeletal sites. Advances in experimental medicine and biology [Internet]. 2001; 496:[95-7 pp.]. Available from: http://onlinelibrary.wiley.com/o/cochrane/clcentral/articles/857/CN-00376857/frame.html.</w:t>
      </w:r>
    </w:p>
    <w:p w:rsidR="003658E8" w:rsidRDefault="003658E8" w:rsidP="003658E8">
      <w:pPr>
        <w:ind w:left="0"/>
      </w:pPr>
      <w:r>
        <w:t>6.</w:t>
      </w:r>
      <w:r>
        <w:tab/>
        <w:t>Crabtree NJ, Bebbington NA, Chapman DM, Wahid YS, Ayuk J, Boivin CM, et al. Impact of UK National Guidelines based on FRAX--comparison with current clinical practice. Clin Endocrinol (Oxf). 2010;73(4):452-6.</w:t>
      </w:r>
    </w:p>
    <w:p w:rsidR="003658E8" w:rsidRDefault="003658E8" w:rsidP="003658E8">
      <w:pPr>
        <w:ind w:left="0"/>
      </w:pPr>
      <w:r>
        <w:lastRenderedPageBreak/>
        <w:t>7.</w:t>
      </w:r>
      <w:r>
        <w:tab/>
        <w:t>Hans DB, Shepherd JA, Schwartz EN, Reid DM, Blake GM, Fordham JN, et al. Peripheral dual-energy X-ray absorptiometry in the management of osteoporosis: the 2007 ISCD Official Positions. J Clin Densitom. 2008;11(1):188-206.</w:t>
      </w:r>
    </w:p>
    <w:p w:rsidR="003658E8" w:rsidRDefault="003658E8" w:rsidP="003658E8">
      <w:pPr>
        <w:ind w:left="0"/>
      </w:pPr>
      <w:r>
        <w:t>8.</w:t>
      </w:r>
      <w:r>
        <w:tab/>
        <w:t>Holt G, Khaw KT, Reid DM, Compston JE, Bhalla A, Woolf AD, et al. Prevalence of osteoporotic bone mineral density at the hip in Britain differs substantially from the US over 50 years of age: implications for clinical densitometry. Br J Radiol. 2002;75(897):736-42.</w:t>
      </w:r>
    </w:p>
    <w:p w:rsidR="003658E8" w:rsidRDefault="003658E8" w:rsidP="003658E8">
      <w:pPr>
        <w:ind w:left="0"/>
      </w:pPr>
      <w:r>
        <w:t>9.</w:t>
      </w:r>
      <w:r>
        <w:tab/>
        <w:t>Leslie WD, Brennan SL, Lix LM, Johansson H, Oden A, McCloskey E, et al. Direct comparison of eight national FRAX tools for fracture prediction and treatment qualification in Canadian women. Arch Osteoporos. 2013;8(1-2):145.</w:t>
      </w:r>
    </w:p>
    <w:p w:rsidR="003658E8" w:rsidRDefault="003658E8" w:rsidP="003658E8">
      <w:pPr>
        <w:ind w:left="0"/>
      </w:pPr>
      <w:r>
        <w:t>10.</w:t>
      </w:r>
      <w:r>
        <w:tab/>
        <w:t>Leslie WD, Lix LM, Johansson H, Oden A, McCloskey E, Kanis JA, et al. A comparative study of using non-hip bone density inputs with FRAX. Osteoporos Int. 2012;23(3):853-60.</w:t>
      </w:r>
    </w:p>
    <w:p w:rsidR="003658E8" w:rsidRDefault="003658E8" w:rsidP="003658E8">
      <w:pPr>
        <w:ind w:left="0"/>
      </w:pPr>
      <w:r>
        <w:t>11.</w:t>
      </w:r>
      <w:r>
        <w:tab/>
        <w:t>Leslie WD, Lix LM, Johansson H, Oden A, McCloskey E, Kanis JA, et al. Selection of women aged 50-64 yr for bone density measurement. J Clin Densitom. 2013;16(4):570-8.</w:t>
      </w:r>
    </w:p>
    <w:p w:rsidR="003658E8" w:rsidRDefault="003658E8" w:rsidP="003658E8">
      <w:pPr>
        <w:ind w:left="0"/>
      </w:pPr>
      <w:r>
        <w:t>12.</w:t>
      </w:r>
      <w:r>
        <w:tab/>
        <w:t>Leslie WD, Lix LM, Manitoba Bone Density P. Simplified 10-year absolute fracture risk assessment: a comparison of men and women. J Clin Densitom. 2010;13(2):141-6.</w:t>
      </w:r>
    </w:p>
    <w:p w:rsidR="003658E8" w:rsidRDefault="003658E8" w:rsidP="003658E8">
      <w:pPr>
        <w:ind w:left="0"/>
      </w:pPr>
      <w:r>
        <w:t>13.</w:t>
      </w:r>
      <w:r>
        <w:tab/>
        <w:t>Leslie WD, Tsang JF, Caetano PA, Lix LM, Manitoba Bone Density P. Number of osteoporotic sites and fracture risk assessment: a cohort study from the Manitoba Bone Density Program. J Bone Miner Res. 2007;22(3):476-83.</w:t>
      </w:r>
    </w:p>
    <w:p w:rsidR="003658E8" w:rsidRDefault="003658E8" w:rsidP="003658E8">
      <w:pPr>
        <w:ind w:left="0"/>
      </w:pPr>
      <w:r>
        <w:t>14.</w:t>
      </w:r>
      <w:r>
        <w:tab/>
        <w:t>MacLean FR, Thomson SA, Gallacher SJ. Using WHO-FRAX to describe fracture risk: experience in primary care. Scott Med J. 2012;57(1):8-13.</w:t>
      </w:r>
    </w:p>
    <w:p w:rsidR="003658E8" w:rsidRDefault="003658E8" w:rsidP="003658E8">
      <w:pPr>
        <w:ind w:left="0"/>
      </w:pPr>
      <w:r>
        <w:t>15.</w:t>
      </w:r>
      <w:r>
        <w:tab/>
        <w:t>McCloskey EV, Johansson H, Oden A, Vasireddy S, Kayan K, Pande K, et al. Ten-year fracture probability identifies women who will benefit from clodronate therapy--additional results from a double-blind, placebo-controlled randomised study. Osteoporos Int. 2009;20(5):811-7.</w:t>
      </w:r>
    </w:p>
    <w:p w:rsidR="003658E8" w:rsidRDefault="003658E8" w:rsidP="003658E8">
      <w:pPr>
        <w:ind w:left="0"/>
      </w:pPr>
      <w:r>
        <w:t>16.</w:t>
      </w:r>
      <w:r>
        <w:tab/>
        <w:t>McCloskey EV, Vasireddy S, Threlkeld J, Eastaugh J, Parry A, Bonnet N, et al. Vertebral fracture assessment (VFA) with a densitometer predicts future fractures in elderly women unselected for osteoporosis. Journal of bone and mineral research : the official journal of the American Society for Bone and Mineral Research [Internet]. 2008; 23(10):[1561-8 pp.]. Available from: http://onlinelibrary.wiley.com/o/cochrane/clcentral/articles/439/CN-00667439/frame.html.</w:t>
      </w:r>
    </w:p>
    <w:p w:rsidR="003658E8" w:rsidRDefault="003658E8" w:rsidP="003658E8">
      <w:pPr>
        <w:ind w:left="0"/>
      </w:pPr>
      <w:r>
        <w:t>17.</w:t>
      </w:r>
      <w:r>
        <w:tab/>
        <w:t xml:space="preserve">Mueller D, Econ H, Gandjour A. Cost-effectiveness of using clinical risk factors with and without DXA for osteoporosis screening in </w:t>
      </w:r>
      <w:r w:rsidR="007A119D">
        <w:t>post-menopaus</w:t>
      </w:r>
      <w:r>
        <w:t>al women. Value in Health. 2009;12(8):1106-17.</w:t>
      </w:r>
    </w:p>
    <w:p w:rsidR="003658E8" w:rsidRDefault="003658E8" w:rsidP="003658E8">
      <w:pPr>
        <w:ind w:left="0"/>
      </w:pPr>
      <w:r>
        <w:t>18.</w:t>
      </w:r>
      <w:r>
        <w:tab/>
        <w:t xml:space="preserve">Nagata-Kobayashi S, Shimbo T, Fukui T. Cost-effectiveness analysis of screening for osteoporosis in </w:t>
      </w:r>
      <w:r w:rsidR="007A119D">
        <w:t>post-menopaus</w:t>
      </w:r>
      <w:r>
        <w:t>al Japanese women (Structured abstract). Journal of Bone and Mineral Metabolism [Internet]. 2002; 20(6):[350-7 pp.]. Available from: http://onlinelibrary.wiley.com/o/cochrane/cleed/articles/NHSEED-22003006563/frame.html.</w:t>
      </w:r>
    </w:p>
    <w:p w:rsidR="003658E8" w:rsidRDefault="003658E8" w:rsidP="003658E8">
      <w:pPr>
        <w:ind w:left="0"/>
      </w:pPr>
      <w:r>
        <w:t>19.</w:t>
      </w:r>
      <w:r>
        <w:tab/>
        <w:t xml:space="preserve">Nguyen TV, Pocock NA, Eisman JA. Limited utility of clinical indices for the prediction of symptomatic fracture risk in </w:t>
      </w:r>
      <w:r w:rsidR="007A119D">
        <w:t>post-menopaus</w:t>
      </w:r>
      <w:r>
        <w:t xml:space="preserve">al women. Osteoporosis international : a journal established as result of cooperation between the European Foundation for Osteoporosis and the National Osteoporosis Foundation of the USA [Internet]. 2004; 15(1):[49-55 pp.]. Available </w:t>
      </w:r>
      <w:r>
        <w:lastRenderedPageBreak/>
        <w:t>from: http://onlinelibrary.wiley.com/o/cochrane/clcentral/articles/487/CN-00470487/frame.html.</w:t>
      </w:r>
    </w:p>
    <w:p w:rsidR="003658E8" w:rsidRDefault="003658E8" w:rsidP="003658E8">
      <w:pPr>
        <w:ind w:left="0"/>
      </w:pPr>
      <w:r>
        <w:t>20.</w:t>
      </w:r>
      <w:r>
        <w:tab/>
        <w:t>Pongchaiyakul C, Nguyen ND, Eisman JA, Nguyen TV. Clinical risk indices, prediction of osteoporosis, and prevention of fractures: diagnostic consequences and costs (Structured abstract). Osteoporos Int [Internet]. 2005; 16(11):[1444-50 pp.]. Available from: http://onlinelibrary.wiley.com/o/cochrane/cleed/articles/NHSEED-22005001790/frame.html.</w:t>
      </w:r>
    </w:p>
    <w:p w:rsidR="003658E8" w:rsidRDefault="003658E8" w:rsidP="003658E8">
      <w:pPr>
        <w:ind w:left="0"/>
      </w:pPr>
      <w:r>
        <w:t>21.</w:t>
      </w:r>
      <w:r>
        <w:tab/>
        <w:t>Richy F, Ethgen O, Bruyere O, Mawet A, Reginster JY. Primary prevention of osteoporosis: mass screening scenario or prescreening with questionnaires? An economic perspective. J Bone Miner Res. 2004;19(12):1955-60.</w:t>
      </w:r>
    </w:p>
    <w:p w:rsidR="003658E8" w:rsidRDefault="003658E8" w:rsidP="003658E8">
      <w:pPr>
        <w:ind w:left="0"/>
      </w:pPr>
      <w:r>
        <w:t>22.</w:t>
      </w:r>
      <w:r>
        <w:tab/>
        <w:t>Sismondi P, Kimmig R, Kubista E, Biglia N, Egberts J, Mulder R, et al. Effects of tibolone on climacteric symptoms and quality of life in breast cancer patients--data from LIBERATE trial. Maturitas. 2011;70(4):365-72.</w:t>
      </w:r>
    </w:p>
    <w:p w:rsidR="003658E8" w:rsidRDefault="003658E8" w:rsidP="003658E8">
      <w:pPr>
        <w:ind w:left="0"/>
      </w:pPr>
      <w:r>
        <w:t>23.</w:t>
      </w:r>
      <w:r>
        <w:tab/>
        <w:t>Stone KL, Seeley DG, Lui LY, Cauley JA, Ensrud K, Browner WS, et al. BMD at multiple sites and risk of fracture of multiple types: long-term results from the Study of Osteoporotic Fractures. J Bone Miner Res. 2003;18(11):1947-54.</w:t>
      </w:r>
    </w:p>
    <w:p w:rsidR="003658E8" w:rsidRDefault="003658E8" w:rsidP="003658E8">
      <w:pPr>
        <w:ind w:left="0"/>
      </w:pPr>
      <w:r>
        <w:t>24.</w:t>
      </w:r>
      <w:r>
        <w:tab/>
        <w:t>Sullivan T, Hiller JE. Vertebral assessment with DEXA: Screening for vertebral fracture during risk assessment for osteoporosis (Structured abstract). Health Technology Assessment Database [Internet]. 2006; (1). Available from: http://onlinelibrary.wiley.com/o/cochrane/clhta/articles/HTA-32006001403/frame.html.</w:t>
      </w:r>
    </w:p>
    <w:p w:rsidR="003658E8" w:rsidRDefault="003658E8" w:rsidP="003658E8">
      <w:pPr>
        <w:ind w:left="0"/>
      </w:pPr>
      <w:r>
        <w:t>25.</w:t>
      </w:r>
      <w:r>
        <w:tab/>
        <w:t>Tufts G. The treatment of osteopenia in Asian women: a new approach. J Am Acad Nurse Pract. 2011;23(8):434-42.</w:t>
      </w:r>
    </w:p>
    <w:p w:rsidR="003658E8" w:rsidRDefault="003658E8" w:rsidP="003658E8">
      <w:pPr>
        <w:ind w:left="0"/>
      </w:pPr>
      <w:r>
        <w:t>26.</w:t>
      </w:r>
      <w:r>
        <w:tab/>
        <w:t>van der Voort DJ, Brandon S, Dinant GJ, van Wersch JW. Screening for osteoporosis using easily obtainable biometrical data: diagnostic accuracy of measured, self-reported and recalled BMI, and related costs of bone mineral density measurements. Osteoporos Int. 2000;11(3):233-9.</w:t>
      </w:r>
    </w:p>
    <w:p w:rsidR="003658E8" w:rsidRDefault="003658E8" w:rsidP="003658E8">
      <w:pPr>
        <w:ind w:left="0"/>
      </w:pPr>
      <w:r>
        <w:t>27.</w:t>
      </w:r>
      <w:r>
        <w:tab/>
        <w:t>Weinstein L, Ullery B. Identification of at-risk women for osteoporosis screening. Am J Obstet Gynecol. 2000;183(3):547-9.</w:t>
      </w:r>
    </w:p>
    <w:p w:rsidR="003658E8" w:rsidRDefault="003658E8" w:rsidP="003658E8">
      <w:pPr>
        <w:ind w:left="0"/>
      </w:pPr>
      <w:r>
        <w:t>28.</w:t>
      </w:r>
      <w:r>
        <w:tab/>
        <w:t>Wong Matthew HF, Stockler Martin R, Pavlakis N. Bisphosphonates and other bone agents for breast cancer. Cochrane Database of Systematic Reviews [Internet]. 2012; (2). Available from: http://onlinelibrary.wiley.com/doi/10.1002/14651858.CD003474.pub3/abstract.</w:t>
      </w:r>
    </w:p>
    <w:p w:rsidR="003658E8" w:rsidRPr="004A554A" w:rsidRDefault="003658E8" w:rsidP="004A554A">
      <w:pPr>
        <w:rPr>
          <w:rFonts w:ascii="Tahoma" w:hAnsi="Tahoma" w:cs="Tahoma"/>
          <w:b/>
          <w:sz w:val="28"/>
          <w:szCs w:val="28"/>
        </w:rPr>
      </w:pPr>
    </w:p>
    <w:p w:rsidR="003E61DB" w:rsidRPr="00C9782D" w:rsidRDefault="003E61DB" w:rsidP="00A158A3">
      <w:pPr>
        <w:pStyle w:val="Heading2"/>
      </w:pPr>
      <w:bookmarkStart w:id="191" w:name="_Toc386092535"/>
      <w:bookmarkStart w:id="192" w:name="_Toc386093173"/>
      <w:bookmarkStart w:id="193" w:name="_Toc386093670"/>
      <w:bookmarkStart w:id="194" w:name="_Toc386093731"/>
      <w:bookmarkEnd w:id="178"/>
      <w:r w:rsidRPr="00C9782D">
        <w:lastRenderedPageBreak/>
        <w:t>Glossary and abbreviations</w:t>
      </w:r>
      <w:bookmarkEnd w:id="191"/>
      <w:bookmarkEnd w:id="192"/>
      <w:bookmarkEnd w:id="193"/>
      <w:bookmarkEnd w:id="194"/>
      <w:r w:rsidRPr="00C9782D">
        <w:t xml:space="preserve"> </w:t>
      </w:r>
    </w:p>
    <w:p w:rsidR="00EA68C5" w:rsidRDefault="00EA68C5"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 xml:space="preserve">AI </w:t>
      </w:r>
      <w:r>
        <w:rPr>
          <w:rFonts w:ascii="Times New Roman" w:hAnsi="Times New Roman"/>
          <w:color w:val="000000"/>
          <w:szCs w:val="24"/>
        </w:rPr>
        <w:tab/>
        <w:t>aromatase inhibitors</w:t>
      </w:r>
    </w:p>
    <w:p w:rsidR="003E61DB" w:rsidRPr="005442FD" w:rsidRDefault="003E61DB" w:rsidP="00387F7B">
      <w:pPr>
        <w:tabs>
          <w:tab w:val="left" w:pos="2835"/>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AIHW </w:t>
      </w:r>
      <w:r w:rsidRPr="005442FD">
        <w:rPr>
          <w:rFonts w:ascii="Times New Roman" w:hAnsi="Times New Roman"/>
          <w:color w:val="000000"/>
          <w:szCs w:val="24"/>
        </w:rPr>
        <w:tab/>
        <w:t>Australian Institute of Health and Welfare</w:t>
      </w:r>
    </w:p>
    <w:p w:rsidR="00387F7B" w:rsidRDefault="00387F7B"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ANZBMS</w:t>
      </w:r>
      <w:r>
        <w:rPr>
          <w:rFonts w:ascii="Times New Roman" w:hAnsi="Times New Roman"/>
          <w:color w:val="000000"/>
          <w:szCs w:val="24"/>
        </w:rPr>
        <w:tab/>
        <w:t>Australian and New Zealand Bone Mineral Society</w:t>
      </w:r>
    </w:p>
    <w:p w:rsidR="00EA68C5" w:rsidRDefault="00EA68C5"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ARPANSA</w:t>
      </w:r>
      <w:r>
        <w:rPr>
          <w:rFonts w:ascii="Times New Roman" w:hAnsi="Times New Roman"/>
          <w:color w:val="000000"/>
          <w:szCs w:val="24"/>
        </w:rPr>
        <w:tab/>
        <w:t>Australian Radiation Protection and Nuclear SafetyAgency</w:t>
      </w:r>
    </w:p>
    <w:p w:rsidR="003E61DB" w:rsidRPr="005442FD" w:rsidRDefault="003E61DB" w:rsidP="00387F7B">
      <w:pPr>
        <w:tabs>
          <w:tab w:val="left" w:pos="2835"/>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ARTG </w:t>
      </w:r>
      <w:r w:rsidRPr="005442FD">
        <w:rPr>
          <w:rFonts w:ascii="Times New Roman" w:hAnsi="Times New Roman"/>
          <w:color w:val="000000"/>
          <w:szCs w:val="24"/>
        </w:rPr>
        <w:tab/>
        <w:t>Australian Register of Therapeutic Goods</w:t>
      </w:r>
    </w:p>
    <w:p w:rsidR="00EA68C5" w:rsidRDefault="00EA68C5"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BCNA</w:t>
      </w:r>
      <w:r>
        <w:rPr>
          <w:rFonts w:ascii="Times New Roman" w:hAnsi="Times New Roman"/>
          <w:color w:val="000000"/>
          <w:szCs w:val="24"/>
        </w:rPr>
        <w:tab/>
        <w:t>Breast Cancer Network Australia</w:t>
      </w:r>
    </w:p>
    <w:p w:rsidR="00EA68C5" w:rsidRDefault="00EA68C5"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BMD</w:t>
      </w:r>
      <w:r>
        <w:rPr>
          <w:rFonts w:ascii="Times New Roman" w:hAnsi="Times New Roman"/>
          <w:color w:val="000000"/>
          <w:szCs w:val="24"/>
        </w:rPr>
        <w:tab/>
        <w:t>bone mineral density</w:t>
      </w:r>
    </w:p>
    <w:p w:rsidR="00EA68C5" w:rsidRDefault="00EA68C5"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BMI</w:t>
      </w:r>
      <w:r>
        <w:rPr>
          <w:rFonts w:ascii="Times New Roman" w:hAnsi="Times New Roman"/>
          <w:color w:val="000000"/>
          <w:szCs w:val="24"/>
        </w:rPr>
        <w:tab/>
        <w:t>body mass index</w:t>
      </w:r>
    </w:p>
    <w:p w:rsidR="00EA68C5" w:rsidRDefault="00EA68C5"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CHEERS</w:t>
      </w:r>
      <w:r>
        <w:rPr>
          <w:rFonts w:ascii="Times New Roman" w:hAnsi="Times New Roman"/>
          <w:color w:val="000000"/>
          <w:szCs w:val="24"/>
        </w:rPr>
        <w:tab/>
        <w:t>Consolidated Health Economic Evaluation Reporting Standards</w:t>
      </w:r>
    </w:p>
    <w:p w:rsidR="003E61DB" w:rsidRPr="005442FD" w:rsidRDefault="003E61DB" w:rsidP="00387F7B">
      <w:pPr>
        <w:tabs>
          <w:tab w:val="left" w:pos="2835"/>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CI</w:t>
      </w:r>
      <w:r w:rsidRPr="005442FD">
        <w:rPr>
          <w:rFonts w:ascii="Times New Roman" w:hAnsi="Times New Roman"/>
          <w:color w:val="000000"/>
          <w:szCs w:val="24"/>
        </w:rPr>
        <w:tab/>
        <w:t>confidence interval</w:t>
      </w:r>
    </w:p>
    <w:p w:rsidR="00387F7B" w:rsidRDefault="00387F7B"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CT</w:t>
      </w:r>
      <w:r>
        <w:rPr>
          <w:rFonts w:ascii="Times New Roman" w:hAnsi="Times New Roman"/>
          <w:color w:val="000000"/>
          <w:szCs w:val="24"/>
        </w:rPr>
        <w:tab/>
        <w:t>computerised tomography</w:t>
      </w:r>
    </w:p>
    <w:p w:rsidR="00387F7B" w:rsidRDefault="006E0C8D"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Protocol</w:t>
      </w:r>
      <w:r w:rsidR="00387F7B">
        <w:rPr>
          <w:rFonts w:ascii="Times New Roman" w:hAnsi="Times New Roman"/>
          <w:color w:val="000000"/>
          <w:szCs w:val="24"/>
        </w:rPr>
        <w:tab/>
        <w:t>decision-analytic protocol</w:t>
      </w:r>
    </w:p>
    <w:p w:rsidR="00387F7B" w:rsidRDefault="00387F7B"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DXA</w:t>
      </w:r>
      <w:r>
        <w:rPr>
          <w:rFonts w:ascii="Times New Roman" w:hAnsi="Times New Roman"/>
          <w:color w:val="000000"/>
          <w:szCs w:val="24"/>
        </w:rPr>
        <w:tab/>
        <w:t>dual x-ray absorptiometry</w:t>
      </w:r>
    </w:p>
    <w:p w:rsidR="00265997" w:rsidRDefault="00265997"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ECOG</w:t>
      </w:r>
      <w:r>
        <w:rPr>
          <w:rFonts w:ascii="Times New Roman" w:hAnsi="Times New Roman"/>
          <w:color w:val="000000"/>
          <w:szCs w:val="24"/>
        </w:rPr>
        <w:tab/>
        <w:t>Eastern Cooperative Oncology Group</w:t>
      </w:r>
    </w:p>
    <w:p w:rsidR="00387F7B" w:rsidRDefault="00387F7B"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FRAX</w:t>
      </w:r>
      <w:r>
        <w:rPr>
          <w:rFonts w:ascii="Times New Roman" w:hAnsi="Times New Roman"/>
          <w:color w:val="000000"/>
          <w:szCs w:val="24"/>
        </w:rPr>
        <w:tab/>
        <w:t>Fracture Assessment</w:t>
      </w:r>
    </w:p>
    <w:p w:rsidR="003E61DB" w:rsidRPr="005442FD" w:rsidRDefault="003E61DB" w:rsidP="00387F7B">
      <w:pPr>
        <w:tabs>
          <w:tab w:val="left" w:pos="2835"/>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HESP </w:t>
      </w:r>
      <w:r w:rsidRPr="005442FD">
        <w:rPr>
          <w:rFonts w:ascii="Times New Roman" w:hAnsi="Times New Roman"/>
          <w:color w:val="000000"/>
          <w:szCs w:val="24"/>
        </w:rPr>
        <w:tab/>
        <w:t xml:space="preserve">Health Expert Standing </w:t>
      </w:r>
    </w:p>
    <w:p w:rsidR="003E61DB" w:rsidRPr="005442FD" w:rsidRDefault="003E61DB" w:rsidP="00387F7B">
      <w:pPr>
        <w:tabs>
          <w:tab w:val="left" w:pos="2835"/>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HRQoL </w:t>
      </w:r>
      <w:r w:rsidRPr="005442FD">
        <w:rPr>
          <w:rFonts w:ascii="Times New Roman" w:hAnsi="Times New Roman"/>
          <w:color w:val="000000"/>
          <w:szCs w:val="24"/>
        </w:rPr>
        <w:tab/>
        <w:t>health-related quality of life</w:t>
      </w:r>
    </w:p>
    <w:p w:rsidR="003E61DB" w:rsidRPr="005442FD" w:rsidRDefault="003E61DB" w:rsidP="00387F7B">
      <w:pPr>
        <w:tabs>
          <w:tab w:val="left" w:pos="2835"/>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HTA </w:t>
      </w:r>
      <w:r w:rsidRPr="005442FD">
        <w:rPr>
          <w:rFonts w:ascii="Times New Roman" w:hAnsi="Times New Roman"/>
          <w:color w:val="000000"/>
          <w:szCs w:val="24"/>
        </w:rPr>
        <w:tab/>
        <w:t>health technology assessment</w:t>
      </w:r>
    </w:p>
    <w:p w:rsidR="003E61DB" w:rsidRPr="005442FD" w:rsidRDefault="003E61DB" w:rsidP="00387F7B">
      <w:pPr>
        <w:tabs>
          <w:tab w:val="left" w:pos="2835"/>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ICER </w:t>
      </w:r>
      <w:r w:rsidRPr="005442FD">
        <w:rPr>
          <w:rFonts w:ascii="Times New Roman" w:hAnsi="Times New Roman"/>
          <w:color w:val="000000"/>
          <w:szCs w:val="24"/>
        </w:rPr>
        <w:tab/>
        <w:t>incremental cost-effectiveness ratio</w:t>
      </w:r>
    </w:p>
    <w:p w:rsidR="003E61DB" w:rsidRPr="005442FD" w:rsidRDefault="003E61DB" w:rsidP="00387F7B">
      <w:pPr>
        <w:tabs>
          <w:tab w:val="left" w:pos="2835"/>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MBS </w:t>
      </w:r>
      <w:r w:rsidRPr="005442FD">
        <w:rPr>
          <w:rFonts w:ascii="Times New Roman" w:hAnsi="Times New Roman"/>
          <w:color w:val="000000"/>
          <w:szCs w:val="24"/>
        </w:rPr>
        <w:tab/>
        <w:t>Medical Benefits Schedule</w:t>
      </w:r>
    </w:p>
    <w:p w:rsidR="003E61DB" w:rsidRPr="005442FD" w:rsidRDefault="003E61DB" w:rsidP="00387F7B">
      <w:pPr>
        <w:tabs>
          <w:tab w:val="left" w:pos="2835"/>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MSAC </w:t>
      </w:r>
      <w:r w:rsidRPr="005442FD">
        <w:rPr>
          <w:rFonts w:ascii="Times New Roman" w:hAnsi="Times New Roman"/>
          <w:color w:val="000000"/>
          <w:szCs w:val="24"/>
        </w:rPr>
        <w:tab/>
        <w:t>Medical Services Advisory Committee</w:t>
      </w:r>
    </w:p>
    <w:p w:rsidR="00EA68C5" w:rsidRDefault="00EA68C5"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MTF</w:t>
      </w:r>
      <w:r>
        <w:rPr>
          <w:rFonts w:ascii="Times New Roman" w:hAnsi="Times New Roman"/>
          <w:color w:val="000000"/>
          <w:szCs w:val="24"/>
        </w:rPr>
        <w:tab/>
        <w:t>minimal trauma fracture</w:t>
      </w:r>
    </w:p>
    <w:p w:rsidR="003E61DB" w:rsidRPr="005442FD" w:rsidRDefault="003E61DB" w:rsidP="00387F7B">
      <w:pPr>
        <w:tabs>
          <w:tab w:val="left" w:pos="2835"/>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NHMRC </w:t>
      </w:r>
      <w:r w:rsidRPr="005442FD">
        <w:rPr>
          <w:rFonts w:ascii="Times New Roman" w:hAnsi="Times New Roman"/>
          <w:color w:val="000000"/>
          <w:szCs w:val="24"/>
        </w:rPr>
        <w:tab/>
        <w:t>National Health and Medical Research Council</w:t>
      </w:r>
    </w:p>
    <w:p w:rsidR="00EA68C5" w:rsidRDefault="003E61DB" w:rsidP="00387F7B">
      <w:pPr>
        <w:tabs>
          <w:tab w:val="left" w:pos="2835"/>
        </w:tabs>
        <w:autoSpaceDE w:val="0"/>
        <w:autoSpaceDN w:val="0"/>
        <w:adjustRightInd w:val="0"/>
        <w:spacing w:after="0"/>
        <w:ind w:left="0"/>
        <w:rPr>
          <w:rFonts w:ascii="Times New Roman" w:hAnsi="Times New Roman"/>
          <w:color w:val="000000"/>
          <w:szCs w:val="24"/>
        </w:rPr>
      </w:pPr>
      <w:r w:rsidRPr="005442FD">
        <w:rPr>
          <w:rFonts w:ascii="Times New Roman" w:hAnsi="Times New Roman"/>
          <w:color w:val="000000"/>
          <w:szCs w:val="24"/>
        </w:rPr>
        <w:t xml:space="preserve">NHS </w:t>
      </w:r>
      <w:r w:rsidRPr="005442FD">
        <w:rPr>
          <w:rFonts w:ascii="Times New Roman" w:hAnsi="Times New Roman"/>
          <w:color w:val="000000"/>
          <w:szCs w:val="24"/>
        </w:rPr>
        <w:tab/>
        <w:t>National Health Service</w:t>
      </w:r>
      <w:r w:rsidR="00EA68C5" w:rsidRPr="00EA68C5">
        <w:rPr>
          <w:rFonts w:ascii="Times New Roman" w:hAnsi="Times New Roman"/>
          <w:color w:val="000000"/>
          <w:szCs w:val="24"/>
        </w:rPr>
        <w:t xml:space="preserve"> </w:t>
      </w:r>
    </w:p>
    <w:p w:rsidR="00387F7B" w:rsidRDefault="00387F7B"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OST</w:t>
      </w:r>
      <w:r>
        <w:rPr>
          <w:rFonts w:ascii="Times New Roman" w:hAnsi="Times New Roman"/>
          <w:color w:val="000000"/>
          <w:szCs w:val="24"/>
        </w:rPr>
        <w:tab/>
        <w:t>Osteoporosis Self-Assessment Tool</w:t>
      </w:r>
    </w:p>
    <w:p w:rsidR="000116A4" w:rsidRDefault="000116A4"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PASC</w:t>
      </w:r>
      <w:r>
        <w:rPr>
          <w:rFonts w:ascii="Times New Roman" w:hAnsi="Times New Roman"/>
          <w:color w:val="000000"/>
          <w:szCs w:val="24"/>
        </w:rPr>
        <w:tab/>
        <w:t>Protocol Assessment Sub-Committee</w:t>
      </w:r>
    </w:p>
    <w:p w:rsidR="00387F7B" w:rsidRDefault="00387F7B"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PBS</w:t>
      </w:r>
      <w:r>
        <w:rPr>
          <w:rFonts w:ascii="Times New Roman" w:hAnsi="Times New Roman"/>
          <w:color w:val="000000"/>
          <w:szCs w:val="24"/>
        </w:rPr>
        <w:tab/>
        <w:t xml:space="preserve">Pharmaceutical </w:t>
      </w:r>
      <w:r w:rsidRPr="005442FD">
        <w:rPr>
          <w:rFonts w:ascii="Times New Roman" w:hAnsi="Times New Roman"/>
          <w:color w:val="000000"/>
          <w:szCs w:val="24"/>
        </w:rPr>
        <w:t>Benefits Schedule</w:t>
      </w:r>
    </w:p>
    <w:p w:rsidR="000116A4" w:rsidRDefault="000116A4"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QCT</w:t>
      </w:r>
      <w:r>
        <w:rPr>
          <w:rFonts w:ascii="Times New Roman" w:hAnsi="Times New Roman"/>
          <w:color w:val="000000"/>
          <w:szCs w:val="24"/>
        </w:rPr>
        <w:tab/>
        <w:t>Quantitative ComputerisedTomography</w:t>
      </w:r>
    </w:p>
    <w:p w:rsidR="000116A4" w:rsidRDefault="000116A4"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QUS</w:t>
      </w:r>
      <w:r>
        <w:rPr>
          <w:rFonts w:ascii="Times New Roman" w:hAnsi="Times New Roman"/>
          <w:color w:val="000000"/>
          <w:szCs w:val="24"/>
        </w:rPr>
        <w:tab/>
        <w:t>Quantitative Ultrasound</w:t>
      </w:r>
    </w:p>
    <w:p w:rsidR="000116A4" w:rsidRDefault="000116A4"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RACGP</w:t>
      </w:r>
      <w:r>
        <w:rPr>
          <w:rFonts w:ascii="Times New Roman" w:hAnsi="Times New Roman"/>
          <w:color w:val="000000"/>
          <w:szCs w:val="24"/>
        </w:rPr>
        <w:tab/>
        <w:t>Royal Australian College of General Practitioners</w:t>
      </w:r>
    </w:p>
    <w:p w:rsidR="000116A4" w:rsidRDefault="000116A4"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RANKL</w:t>
      </w:r>
      <w:r>
        <w:rPr>
          <w:rFonts w:ascii="Times New Roman" w:hAnsi="Times New Roman"/>
          <w:color w:val="000000"/>
          <w:szCs w:val="24"/>
        </w:rPr>
        <w:tab/>
      </w:r>
      <w:r w:rsidRPr="000116A4">
        <w:rPr>
          <w:rFonts w:ascii="Times New Roman" w:hAnsi="Times New Roman"/>
          <w:shd w:val="clear" w:color="auto" w:fill="FFFFFF"/>
        </w:rPr>
        <w:t>Receptor activator of nuclear factor kappa-B ligand</w:t>
      </w:r>
    </w:p>
    <w:p w:rsidR="000116A4" w:rsidRDefault="000116A4"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SERM</w:t>
      </w:r>
      <w:r>
        <w:rPr>
          <w:rFonts w:ascii="Times New Roman" w:hAnsi="Times New Roman"/>
          <w:color w:val="000000"/>
          <w:szCs w:val="24"/>
        </w:rPr>
        <w:tab/>
        <w:t>selective estrogen-receptor modulator</w:t>
      </w:r>
    </w:p>
    <w:p w:rsidR="00EA68C5" w:rsidRPr="005442FD" w:rsidRDefault="00EA68C5" w:rsidP="00387F7B">
      <w:pPr>
        <w:tabs>
          <w:tab w:val="left" w:pos="2835"/>
        </w:tabs>
        <w:autoSpaceDE w:val="0"/>
        <w:autoSpaceDN w:val="0"/>
        <w:adjustRightInd w:val="0"/>
        <w:spacing w:after="0"/>
        <w:ind w:left="0"/>
        <w:rPr>
          <w:rFonts w:ascii="Times New Roman" w:hAnsi="Times New Roman"/>
          <w:color w:val="000000"/>
          <w:szCs w:val="24"/>
        </w:rPr>
      </w:pPr>
      <w:r>
        <w:rPr>
          <w:rFonts w:ascii="Times New Roman" w:hAnsi="Times New Roman"/>
          <w:color w:val="000000"/>
          <w:szCs w:val="24"/>
        </w:rPr>
        <w:t>S</w:t>
      </w:r>
      <w:r w:rsidRPr="005442FD">
        <w:rPr>
          <w:rFonts w:ascii="Times New Roman" w:hAnsi="Times New Roman"/>
          <w:color w:val="000000"/>
          <w:szCs w:val="24"/>
        </w:rPr>
        <w:t xml:space="preserve">MD </w:t>
      </w:r>
      <w:r w:rsidRPr="005442FD">
        <w:rPr>
          <w:rFonts w:ascii="Times New Roman" w:hAnsi="Times New Roman"/>
          <w:color w:val="000000"/>
          <w:szCs w:val="24"/>
        </w:rPr>
        <w:tab/>
      </w:r>
      <w:r>
        <w:rPr>
          <w:rFonts w:ascii="Times New Roman" w:hAnsi="Times New Roman"/>
          <w:color w:val="000000"/>
          <w:szCs w:val="24"/>
        </w:rPr>
        <w:t xml:space="preserve">standardised </w:t>
      </w:r>
      <w:r w:rsidRPr="005442FD">
        <w:rPr>
          <w:rFonts w:ascii="Times New Roman" w:hAnsi="Times New Roman"/>
          <w:color w:val="000000"/>
          <w:szCs w:val="24"/>
        </w:rPr>
        <w:t>mean difference</w:t>
      </w:r>
    </w:p>
    <w:p w:rsidR="003E61DB" w:rsidRPr="006B0ED2" w:rsidRDefault="000116A4" w:rsidP="000116A4">
      <w:pPr>
        <w:tabs>
          <w:tab w:val="left" w:pos="2835"/>
        </w:tabs>
        <w:autoSpaceDE w:val="0"/>
        <w:autoSpaceDN w:val="0"/>
        <w:adjustRightInd w:val="0"/>
        <w:spacing w:after="0"/>
        <w:ind w:left="0"/>
        <w:rPr>
          <w:rFonts w:ascii="Times New Roman" w:hAnsi="Times New Roman"/>
        </w:rPr>
      </w:pPr>
      <w:r w:rsidRPr="006B0ED2">
        <w:rPr>
          <w:rFonts w:ascii="Times New Roman" w:hAnsi="Times New Roman"/>
        </w:rPr>
        <w:t>WHO</w:t>
      </w:r>
      <w:r w:rsidRPr="006B0ED2">
        <w:rPr>
          <w:rFonts w:ascii="Times New Roman" w:hAnsi="Times New Roman"/>
        </w:rPr>
        <w:tab/>
        <w:t>World Health Organisation</w:t>
      </w:r>
    </w:p>
    <w:p w:rsidR="000116A4" w:rsidRPr="00C9782D" w:rsidRDefault="000116A4" w:rsidP="000116A4">
      <w:pPr>
        <w:tabs>
          <w:tab w:val="left" w:pos="2835"/>
        </w:tabs>
        <w:autoSpaceDE w:val="0"/>
        <w:autoSpaceDN w:val="0"/>
        <w:adjustRightInd w:val="0"/>
        <w:spacing w:after="0"/>
        <w:ind w:left="0"/>
      </w:pPr>
    </w:p>
    <w:p w:rsidR="003E61DB" w:rsidRPr="00C9782D" w:rsidRDefault="003E61DB" w:rsidP="00A158A3">
      <w:pPr>
        <w:pStyle w:val="Heading2"/>
      </w:pPr>
      <w:bookmarkStart w:id="195" w:name="_Toc386092536"/>
      <w:bookmarkStart w:id="196" w:name="_Toc386093174"/>
      <w:bookmarkStart w:id="197" w:name="_Toc386093671"/>
      <w:bookmarkStart w:id="198" w:name="_Toc386093732"/>
      <w:r w:rsidRPr="00C9782D">
        <w:lastRenderedPageBreak/>
        <w:t>References</w:t>
      </w:r>
      <w:bookmarkEnd w:id="195"/>
      <w:bookmarkEnd w:id="196"/>
      <w:bookmarkEnd w:id="197"/>
      <w:bookmarkEnd w:id="198"/>
      <w:r w:rsidRPr="00C9782D">
        <w:t xml:space="preserve"> </w:t>
      </w:r>
    </w:p>
    <w:p w:rsidR="006F79C1" w:rsidRPr="006F79C1" w:rsidRDefault="003D3549" w:rsidP="006F79C1">
      <w:pPr>
        <w:rPr>
          <w:noProof/>
        </w:rPr>
      </w:pPr>
      <w:r>
        <w:fldChar w:fldCharType="begin"/>
      </w:r>
      <w:r>
        <w:instrText xml:space="preserve"> ADDIN EN.REFLIST </w:instrText>
      </w:r>
      <w:r>
        <w:fldChar w:fldCharType="separate"/>
      </w:r>
      <w:bookmarkStart w:id="199" w:name="_ENREF_1"/>
      <w:r w:rsidR="006F79C1" w:rsidRPr="006F79C1">
        <w:rPr>
          <w:noProof/>
        </w:rPr>
        <w:t xml:space="preserve">Amir, E., B. Seruga, S. Niraula, L. Carlsson and A. Ocana (2011). "Toxicity of adjuvant endocrine therapy in </w:t>
      </w:r>
      <w:r w:rsidR="007A119D">
        <w:rPr>
          <w:noProof/>
        </w:rPr>
        <w:t>post-menopaus</w:t>
      </w:r>
      <w:r w:rsidR="006F79C1" w:rsidRPr="006F79C1">
        <w:rPr>
          <w:noProof/>
        </w:rPr>
        <w:t xml:space="preserve">al breast cancer patients: a systematic review and meta-analysis." </w:t>
      </w:r>
      <w:r w:rsidR="006F79C1" w:rsidRPr="006F79C1">
        <w:rPr>
          <w:noProof/>
          <w:u w:val="single"/>
        </w:rPr>
        <w:t>Journal of the National Cancer Institute</w:t>
      </w:r>
      <w:r w:rsidR="006F79C1" w:rsidRPr="006F79C1">
        <w:rPr>
          <w:noProof/>
        </w:rPr>
        <w:t xml:space="preserve"> </w:t>
      </w:r>
      <w:r w:rsidR="006F79C1" w:rsidRPr="006F79C1">
        <w:rPr>
          <w:b/>
          <w:noProof/>
        </w:rPr>
        <w:t>103</w:t>
      </w:r>
      <w:r w:rsidR="006F79C1" w:rsidRPr="006F79C1">
        <w:rPr>
          <w:noProof/>
        </w:rPr>
        <w:t>(17): 1299-1309.</w:t>
      </w:r>
      <w:bookmarkEnd w:id="199"/>
    </w:p>
    <w:p w:rsidR="006F79C1" w:rsidRPr="006F79C1" w:rsidRDefault="006F79C1" w:rsidP="006F79C1">
      <w:pPr>
        <w:rPr>
          <w:noProof/>
        </w:rPr>
      </w:pPr>
      <w:bookmarkStart w:id="200" w:name="_ENREF_2"/>
      <w:r w:rsidRPr="006F79C1">
        <w:rPr>
          <w:noProof/>
        </w:rPr>
        <w:t>Australian Institute of Health and Welfare (2011). A snapshot of osteoporosis in Australia 2011, Australian Institute of Health and Welfare.</w:t>
      </w:r>
      <w:bookmarkEnd w:id="200"/>
    </w:p>
    <w:p w:rsidR="006F79C1" w:rsidRPr="006F79C1" w:rsidRDefault="006F79C1" w:rsidP="006F79C1">
      <w:pPr>
        <w:rPr>
          <w:noProof/>
        </w:rPr>
      </w:pPr>
      <w:bookmarkStart w:id="201" w:name="_ENREF_3"/>
      <w:r w:rsidRPr="006F79C1">
        <w:rPr>
          <w:noProof/>
        </w:rPr>
        <w:t>Australian Institute of Health and Welfare &amp; Cancer Australia (2012). Breast cancer in Australia: an</w:t>
      </w:r>
      <w:r>
        <w:rPr>
          <w:noProof/>
        </w:rPr>
        <w:t xml:space="preserve"> </w:t>
      </w:r>
      <w:r w:rsidRPr="006F79C1">
        <w:rPr>
          <w:noProof/>
        </w:rPr>
        <w:t>overvie</w:t>
      </w:r>
      <w:r>
        <w:rPr>
          <w:noProof/>
        </w:rPr>
        <w:t>w.</w:t>
      </w:r>
      <w:r w:rsidRPr="006F79C1">
        <w:rPr>
          <w:noProof/>
        </w:rPr>
        <w:t xml:space="preserve"> Australian Institute of Health and Welfare.</w:t>
      </w:r>
      <w:bookmarkEnd w:id="201"/>
    </w:p>
    <w:p w:rsidR="006F79C1" w:rsidRPr="006F79C1" w:rsidRDefault="006F79C1" w:rsidP="006F79C1">
      <w:pPr>
        <w:rPr>
          <w:noProof/>
        </w:rPr>
      </w:pPr>
      <w:bookmarkStart w:id="202" w:name="_ENREF_4"/>
      <w:r w:rsidRPr="006F79C1">
        <w:rPr>
          <w:noProof/>
        </w:rPr>
        <w:t xml:space="preserve">Bandirali, M., E. Lanza, C. Messina, L. M. Sconfienza, R. Brambilla, R. Maurizio, D. Marchelli, L. P. Piodi, G. Di Leo, F. M. Ulivieri and F. Sardanelli (2013). "Dose absorption in lumbar and femoral dual energy X-ray absorptiometry examinations using three different scan modalities: an anthropomorphic phantom study." </w:t>
      </w:r>
      <w:r w:rsidRPr="006F79C1">
        <w:rPr>
          <w:noProof/>
          <w:u w:val="single"/>
        </w:rPr>
        <w:t>J Clin Densitom.</w:t>
      </w:r>
      <w:r w:rsidRPr="006F79C1">
        <w:rPr>
          <w:noProof/>
        </w:rPr>
        <w:t xml:space="preserve"> </w:t>
      </w:r>
      <w:r w:rsidRPr="006F79C1">
        <w:rPr>
          <w:b/>
          <w:noProof/>
        </w:rPr>
        <w:t>16</w:t>
      </w:r>
      <w:r w:rsidRPr="006F79C1">
        <w:rPr>
          <w:noProof/>
        </w:rPr>
        <w:t>(3): 279-282. doi: 210.1016/j.jocd.2013.1002.1005. Epub 2013 Mar 1025.</w:t>
      </w:r>
      <w:bookmarkEnd w:id="202"/>
    </w:p>
    <w:p w:rsidR="006F79C1" w:rsidRPr="006F79C1" w:rsidRDefault="006F79C1" w:rsidP="006F79C1">
      <w:pPr>
        <w:rPr>
          <w:noProof/>
        </w:rPr>
      </w:pPr>
      <w:bookmarkStart w:id="203" w:name="_ENREF_5"/>
      <w:r w:rsidRPr="006F79C1">
        <w:rPr>
          <w:noProof/>
        </w:rPr>
        <w:t xml:space="preserve">Bauer, M., J. Bryce and P. Hadji (2012). "Aromatase inhibitor-associated bone loss and its management with bisphosphonates in patients with breast cancer." </w:t>
      </w:r>
      <w:r w:rsidRPr="006F79C1">
        <w:rPr>
          <w:noProof/>
          <w:u w:val="single"/>
        </w:rPr>
        <w:t>Breast Cancer (Dove Med Press).</w:t>
      </w:r>
      <w:r w:rsidRPr="006F79C1">
        <w:rPr>
          <w:noProof/>
        </w:rPr>
        <w:t xml:space="preserve"> </w:t>
      </w:r>
      <w:r w:rsidRPr="006F79C1">
        <w:rPr>
          <w:b/>
          <w:noProof/>
        </w:rPr>
        <w:t>4</w:t>
      </w:r>
      <w:r w:rsidRPr="006F79C1">
        <w:rPr>
          <w:noProof/>
        </w:rPr>
        <w:t>: 91-101. eCollection 2012.</w:t>
      </w:r>
      <w:bookmarkEnd w:id="203"/>
    </w:p>
    <w:p w:rsidR="006F79C1" w:rsidRPr="006F79C1" w:rsidRDefault="006F79C1" w:rsidP="006F79C1">
      <w:pPr>
        <w:rPr>
          <w:noProof/>
        </w:rPr>
      </w:pPr>
      <w:bookmarkStart w:id="204" w:name="_ENREF_6"/>
      <w:r w:rsidRPr="006F79C1">
        <w:rPr>
          <w:noProof/>
        </w:rPr>
        <w:t xml:space="preserve">Becker, T., L. Lipscombe, S. Narod, C. Simmons, G. M. Anderson and P. A. Rochon (2012). "Systematic review of bone health in older women treated with aromatase inhibitors for early-stage breast cancer." </w:t>
      </w:r>
      <w:r w:rsidRPr="006F79C1">
        <w:rPr>
          <w:noProof/>
          <w:u w:val="single"/>
        </w:rPr>
        <w:t>Journal of the American Geriatrics Society</w:t>
      </w:r>
      <w:r w:rsidRPr="006F79C1">
        <w:rPr>
          <w:noProof/>
        </w:rPr>
        <w:t xml:space="preserve"> </w:t>
      </w:r>
      <w:r w:rsidRPr="006F79C1">
        <w:rPr>
          <w:b/>
          <w:noProof/>
        </w:rPr>
        <w:t>60</w:t>
      </w:r>
      <w:r w:rsidRPr="006F79C1">
        <w:rPr>
          <w:noProof/>
        </w:rPr>
        <w:t>(9): 1761-1767.</w:t>
      </w:r>
      <w:bookmarkEnd w:id="204"/>
    </w:p>
    <w:p w:rsidR="006F79C1" w:rsidRPr="006F79C1" w:rsidRDefault="006F79C1" w:rsidP="006F79C1">
      <w:pPr>
        <w:rPr>
          <w:noProof/>
        </w:rPr>
      </w:pPr>
      <w:bookmarkStart w:id="205" w:name="_ENREF_7"/>
      <w:r w:rsidRPr="006F79C1">
        <w:rPr>
          <w:noProof/>
        </w:rPr>
        <w:t xml:space="preserve">Bell, R. and J. Lewis (2007). "Assessing the risk of bone fracture among </w:t>
      </w:r>
      <w:r w:rsidR="007A119D">
        <w:rPr>
          <w:noProof/>
        </w:rPr>
        <w:t>post-menopaus</w:t>
      </w:r>
      <w:r w:rsidRPr="006F79C1">
        <w:rPr>
          <w:noProof/>
        </w:rPr>
        <w:t xml:space="preserve">al women who are receiving adjuvant hormonal therapy for breast cancer." </w:t>
      </w:r>
      <w:r w:rsidRPr="006F79C1">
        <w:rPr>
          <w:noProof/>
          <w:u w:val="single"/>
        </w:rPr>
        <w:t>Current Medical Research &amp; Opinion</w:t>
      </w:r>
      <w:r w:rsidRPr="006F79C1">
        <w:rPr>
          <w:noProof/>
        </w:rPr>
        <w:t xml:space="preserve"> </w:t>
      </w:r>
      <w:r w:rsidRPr="006F79C1">
        <w:rPr>
          <w:b/>
          <w:noProof/>
        </w:rPr>
        <w:t>23</w:t>
      </w:r>
      <w:r w:rsidRPr="006F79C1">
        <w:rPr>
          <w:noProof/>
        </w:rPr>
        <w:t>(5): 1045-1051.</w:t>
      </w:r>
      <w:bookmarkEnd w:id="205"/>
    </w:p>
    <w:p w:rsidR="006F79C1" w:rsidRPr="006F79C1" w:rsidRDefault="006F79C1" w:rsidP="006F79C1">
      <w:pPr>
        <w:rPr>
          <w:noProof/>
        </w:rPr>
      </w:pPr>
      <w:bookmarkStart w:id="206" w:name="_ENREF_8"/>
      <w:r w:rsidRPr="006F79C1">
        <w:rPr>
          <w:noProof/>
        </w:rPr>
        <w:t xml:space="preserve">Borgstrom, F. and J. A. Kanis (2008). "Health economics of osteoporosis." </w:t>
      </w:r>
      <w:r w:rsidRPr="006F79C1">
        <w:rPr>
          <w:noProof/>
          <w:u w:val="single"/>
        </w:rPr>
        <w:t>Best Pract Res Clin Endocrinol Metab.</w:t>
      </w:r>
      <w:r w:rsidRPr="006F79C1">
        <w:rPr>
          <w:noProof/>
        </w:rPr>
        <w:t xml:space="preserve"> </w:t>
      </w:r>
      <w:r w:rsidRPr="006F79C1">
        <w:rPr>
          <w:b/>
          <w:noProof/>
        </w:rPr>
        <w:t>22</w:t>
      </w:r>
      <w:r w:rsidRPr="006F79C1">
        <w:rPr>
          <w:noProof/>
        </w:rPr>
        <w:t>(5): 885-900. doi: 810.1016/j.beem.2008.1007.1005.</w:t>
      </w:r>
      <w:bookmarkEnd w:id="206"/>
    </w:p>
    <w:p w:rsidR="006F79C1" w:rsidRPr="006F79C1" w:rsidRDefault="006F79C1" w:rsidP="006F79C1">
      <w:pPr>
        <w:rPr>
          <w:noProof/>
        </w:rPr>
      </w:pPr>
      <w:bookmarkStart w:id="207" w:name="_ENREF_9"/>
      <w:r w:rsidRPr="006F79C1">
        <w:rPr>
          <w:noProof/>
        </w:rPr>
        <w:t xml:space="preserve">Borgstrom, F., I. Lekander, M. Ivergard, O. Strom, A. Svedbom, V. Alekna, M. L. Bianchi, P. Clark, M. D. Curiel, H. P. Dimai, M. Jurisson, R. Kallikorm, O. Lesnyak, E. McCloskey, E. Nassonov, K. M. Sanders, S. Silverman, M. Tamulaitiene, T. Thomas, A. N. Tosteson, B. Jonsson and J. A. Kanis (2013). "The International Costs and Utilities Related to Osteoporotic Fractures Study (ICUROS)--quality of life during the first 4 months after fracture." </w:t>
      </w:r>
      <w:r w:rsidRPr="006F79C1">
        <w:rPr>
          <w:noProof/>
          <w:u w:val="single"/>
        </w:rPr>
        <w:t>Osteoporos Int.</w:t>
      </w:r>
      <w:r w:rsidRPr="006F79C1">
        <w:rPr>
          <w:noProof/>
        </w:rPr>
        <w:t xml:space="preserve"> </w:t>
      </w:r>
      <w:r w:rsidRPr="006F79C1">
        <w:rPr>
          <w:b/>
          <w:noProof/>
        </w:rPr>
        <w:t>24</w:t>
      </w:r>
      <w:r w:rsidRPr="006F79C1">
        <w:rPr>
          <w:noProof/>
        </w:rPr>
        <w:t>(3): 811-823. doi: 810.1007/s00198-00012-02240-00192. Epub 02013 Jan 00110.</w:t>
      </w:r>
      <w:bookmarkEnd w:id="207"/>
    </w:p>
    <w:p w:rsidR="006F79C1" w:rsidRPr="006F79C1" w:rsidRDefault="006F79C1" w:rsidP="006F79C1">
      <w:pPr>
        <w:rPr>
          <w:noProof/>
        </w:rPr>
      </w:pPr>
      <w:bookmarkStart w:id="208" w:name="_ENREF_10"/>
      <w:r w:rsidRPr="006F79C1">
        <w:rPr>
          <w:noProof/>
        </w:rPr>
        <w:t xml:space="preserve">Brufsky, A. M., W. G. Harker, J. T. Beck, L. Bosserman, C. Vogel, C. Seidler, L. Jin, G. Warsi, E. Argonza-Aviles, J. Hohneker, S. G. Ericson and E. A. Perez (2012) "Final 5-year results of Z-FAST trial: Adjuvant zoledronic acid maintains bone mass in </w:t>
      </w:r>
      <w:r w:rsidR="007A119D">
        <w:rPr>
          <w:noProof/>
        </w:rPr>
        <w:t>post-menopaus</w:t>
      </w:r>
      <w:r w:rsidRPr="006F79C1">
        <w:rPr>
          <w:noProof/>
        </w:rPr>
        <w:t xml:space="preserve">al breast cancer patients receiving letrozole." </w:t>
      </w:r>
      <w:r w:rsidRPr="006F79C1">
        <w:rPr>
          <w:noProof/>
          <w:u w:val="single"/>
        </w:rPr>
        <w:t>Cancer</w:t>
      </w:r>
      <w:r w:rsidRPr="006F79C1">
        <w:rPr>
          <w:noProof/>
        </w:rPr>
        <w:t xml:space="preserve"> </w:t>
      </w:r>
      <w:r w:rsidRPr="006F79C1">
        <w:rPr>
          <w:b/>
          <w:noProof/>
        </w:rPr>
        <w:t>118</w:t>
      </w:r>
      <w:r w:rsidRPr="006F79C1">
        <w:rPr>
          <w:noProof/>
        </w:rPr>
        <w:t xml:space="preserve">, 1192-1201 DOI: </w:t>
      </w:r>
      <w:hyperlink r:id="rId58" w:tooltip="Link to Final 5-year results of Z-FAST trial article" w:history="1">
        <w:r w:rsidRPr="006F79C1">
          <w:rPr>
            <w:rStyle w:val="Hyperlink"/>
            <w:noProof/>
          </w:rPr>
          <w:t>http://dx.doi.org/10.1002/cncr.26313</w:t>
        </w:r>
      </w:hyperlink>
      <w:r w:rsidRPr="006F79C1">
        <w:rPr>
          <w:noProof/>
        </w:rPr>
        <w:t>.</w:t>
      </w:r>
      <w:bookmarkEnd w:id="208"/>
    </w:p>
    <w:p w:rsidR="006F79C1" w:rsidRPr="006F79C1" w:rsidRDefault="006F79C1" w:rsidP="006F79C1">
      <w:pPr>
        <w:rPr>
          <w:noProof/>
        </w:rPr>
      </w:pPr>
      <w:bookmarkStart w:id="209" w:name="_ENREF_11"/>
      <w:r w:rsidRPr="006F79C1">
        <w:rPr>
          <w:noProof/>
        </w:rPr>
        <w:t xml:space="preserve">Coleman, R., R. Boer, H. Eidtmann, A. Llombart, N. Davidson, P. Neven, G. Minckwitz, H. P. Sleeboom, J. Forbes, C. Barrios, A. Frassoldati, I. Campbell, O. Paija, N. Martin, A. Modi and N. Bundred (2013) "Zoledronic acid (zoledronate) for </w:t>
      </w:r>
      <w:r w:rsidR="007A119D">
        <w:rPr>
          <w:noProof/>
        </w:rPr>
        <w:t>post-menopaus</w:t>
      </w:r>
      <w:r w:rsidRPr="006F79C1">
        <w:rPr>
          <w:noProof/>
        </w:rPr>
        <w:t xml:space="preserve">al </w:t>
      </w:r>
      <w:r w:rsidRPr="006F79C1">
        <w:rPr>
          <w:noProof/>
        </w:rPr>
        <w:lastRenderedPageBreak/>
        <w:t xml:space="preserve">women with early breast cancer receiving adjuvant letrozole (ZO-FAST study): Final 60-month results." </w:t>
      </w:r>
      <w:r w:rsidRPr="006F79C1">
        <w:rPr>
          <w:noProof/>
          <w:u w:val="single"/>
        </w:rPr>
        <w:t>Annals of Oncology</w:t>
      </w:r>
      <w:r w:rsidRPr="006F79C1">
        <w:rPr>
          <w:noProof/>
        </w:rPr>
        <w:t xml:space="preserve"> </w:t>
      </w:r>
      <w:r w:rsidRPr="006F79C1">
        <w:rPr>
          <w:b/>
          <w:noProof/>
        </w:rPr>
        <w:t>24</w:t>
      </w:r>
      <w:r w:rsidRPr="006F79C1">
        <w:rPr>
          <w:noProof/>
        </w:rPr>
        <w:t xml:space="preserve">, 398-405 DOI: </w:t>
      </w:r>
      <w:hyperlink r:id="rId59" w:tooltip="Link to Zoledronic acid (zoledronate) for postmenopausal women with early breast cancer article" w:history="1">
        <w:r w:rsidRPr="006F79C1">
          <w:rPr>
            <w:rStyle w:val="Hyperlink"/>
            <w:noProof/>
          </w:rPr>
          <w:t>http://dx.doi.org/10.1093/annonc/mds277</w:t>
        </w:r>
      </w:hyperlink>
      <w:r w:rsidRPr="006F79C1">
        <w:rPr>
          <w:noProof/>
        </w:rPr>
        <w:t>.</w:t>
      </w:r>
      <w:bookmarkEnd w:id="209"/>
    </w:p>
    <w:p w:rsidR="006F79C1" w:rsidRPr="006F79C1" w:rsidRDefault="006F79C1" w:rsidP="006F79C1">
      <w:pPr>
        <w:rPr>
          <w:noProof/>
        </w:rPr>
      </w:pPr>
      <w:bookmarkStart w:id="210" w:name="_ENREF_12"/>
      <w:r w:rsidRPr="006F79C1">
        <w:rPr>
          <w:noProof/>
        </w:rPr>
        <w:t xml:space="preserve">Cummins, N. M., E. K. Poku, M. R. Towler, O. M. O'Driscoll and S. H. Ralston (2011). "clinical risk factors for osteoporosis in Ireland and the UK: a comparison of FRAX and QFractureScores." </w:t>
      </w:r>
      <w:r w:rsidRPr="006F79C1">
        <w:rPr>
          <w:noProof/>
          <w:u w:val="single"/>
        </w:rPr>
        <w:t>Calcified Tissue International</w:t>
      </w:r>
      <w:r w:rsidRPr="006F79C1">
        <w:rPr>
          <w:noProof/>
        </w:rPr>
        <w:t xml:space="preserve"> </w:t>
      </w:r>
      <w:r w:rsidRPr="006F79C1">
        <w:rPr>
          <w:b/>
          <w:noProof/>
        </w:rPr>
        <w:t>89</w:t>
      </w:r>
      <w:r w:rsidRPr="006F79C1">
        <w:rPr>
          <w:noProof/>
        </w:rPr>
        <w:t>(2): 172-177.</w:t>
      </w:r>
      <w:bookmarkEnd w:id="210"/>
    </w:p>
    <w:p w:rsidR="006F79C1" w:rsidRPr="006F79C1" w:rsidRDefault="006F79C1" w:rsidP="006F79C1">
      <w:pPr>
        <w:rPr>
          <w:noProof/>
        </w:rPr>
      </w:pPr>
      <w:bookmarkStart w:id="211" w:name="_ENREF_13"/>
      <w:r w:rsidRPr="006F79C1">
        <w:rPr>
          <w:noProof/>
        </w:rPr>
        <w:t xml:space="preserve">Eastell, R., J. Adams, G. Clack, A. Howell, J. Cuzick, J. Mackey, M. W. Beckmann and R. E. Coleman (2011). "Long-term effects of anastrozole on bone mineral density: 7-year results from the ATAC trial." </w:t>
      </w:r>
      <w:r w:rsidRPr="006F79C1">
        <w:rPr>
          <w:noProof/>
          <w:u w:val="single"/>
        </w:rPr>
        <w:t>Annals of Oncology</w:t>
      </w:r>
      <w:r w:rsidRPr="006F79C1">
        <w:rPr>
          <w:noProof/>
        </w:rPr>
        <w:t xml:space="preserve"> </w:t>
      </w:r>
      <w:r w:rsidRPr="006F79C1">
        <w:rPr>
          <w:b/>
          <w:noProof/>
        </w:rPr>
        <w:t>22</w:t>
      </w:r>
      <w:r w:rsidRPr="006F79C1">
        <w:rPr>
          <w:noProof/>
        </w:rPr>
        <w:t>(4): 857-862.</w:t>
      </w:r>
      <w:bookmarkEnd w:id="211"/>
    </w:p>
    <w:p w:rsidR="006F79C1" w:rsidRPr="006F79C1" w:rsidRDefault="006F79C1" w:rsidP="006F79C1">
      <w:pPr>
        <w:rPr>
          <w:noProof/>
        </w:rPr>
      </w:pPr>
      <w:bookmarkStart w:id="212" w:name="_ENREF_14"/>
      <w:r w:rsidRPr="006F79C1">
        <w:rPr>
          <w:noProof/>
        </w:rPr>
        <w:t xml:space="preserve">Eastell, R., J. E. Adams, R. E. Coleman, A. Howell, R. A. Hannon, J. Cuzick, J. R. Mackey, M. W. Beckmann and G. Clack (2008). "Effect of anastrozole on bone mineral density: 5-year results from the anastrozole, tamoxifen, alone or in combination trial 18233230." </w:t>
      </w:r>
      <w:r w:rsidRPr="006F79C1">
        <w:rPr>
          <w:noProof/>
          <w:u w:val="single"/>
        </w:rPr>
        <w:t>Journal of Clinical Oncology</w:t>
      </w:r>
      <w:r w:rsidRPr="006F79C1">
        <w:rPr>
          <w:noProof/>
        </w:rPr>
        <w:t xml:space="preserve"> </w:t>
      </w:r>
      <w:r w:rsidRPr="006F79C1">
        <w:rPr>
          <w:b/>
          <w:noProof/>
        </w:rPr>
        <w:t>26</w:t>
      </w:r>
      <w:r w:rsidRPr="006F79C1">
        <w:rPr>
          <w:noProof/>
        </w:rPr>
        <w:t>(7): 1051-1057.</w:t>
      </w:r>
      <w:bookmarkEnd w:id="212"/>
    </w:p>
    <w:p w:rsidR="006F79C1" w:rsidRPr="006F79C1" w:rsidRDefault="006F79C1" w:rsidP="006F79C1">
      <w:pPr>
        <w:rPr>
          <w:noProof/>
        </w:rPr>
      </w:pPr>
      <w:bookmarkStart w:id="213" w:name="_ENREF_15"/>
      <w:r w:rsidRPr="006F79C1">
        <w:rPr>
          <w:noProof/>
        </w:rPr>
        <w:t xml:space="preserve">Edwards, B. J., D. W. Raisch, V. Shankaran, J. M. McKoy, W. Gradishar, A. D. Bunta, A. T. Samaras, S. N. Boyle, C. L. Bennett, D. P. West and T. A. Guise (2011). "Cancer therapy associated bone loss: implications for hip fractures in mid-life women with breast cancer." </w:t>
      </w:r>
      <w:r w:rsidRPr="006F79C1">
        <w:rPr>
          <w:noProof/>
          <w:u w:val="single"/>
        </w:rPr>
        <w:t>Clinical Cancer Research</w:t>
      </w:r>
      <w:r w:rsidRPr="006F79C1">
        <w:rPr>
          <w:noProof/>
        </w:rPr>
        <w:t xml:space="preserve"> </w:t>
      </w:r>
      <w:r w:rsidRPr="006F79C1">
        <w:rPr>
          <w:b/>
          <w:noProof/>
        </w:rPr>
        <w:t>17</w:t>
      </w:r>
      <w:r w:rsidRPr="006F79C1">
        <w:rPr>
          <w:noProof/>
        </w:rPr>
        <w:t>(3): 560-568.</w:t>
      </w:r>
      <w:bookmarkEnd w:id="213"/>
    </w:p>
    <w:p w:rsidR="006F79C1" w:rsidRPr="006F79C1" w:rsidRDefault="006F79C1" w:rsidP="006F79C1">
      <w:pPr>
        <w:rPr>
          <w:noProof/>
        </w:rPr>
      </w:pPr>
      <w:bookmarkStart w:id="214" w:name="_ENREF_16"/>
      <w:r w:rsidRPr="006F79C1">
        <w:rPr>
          <w:noProof/>
        </w:rPr>
        <w:t xml:space="preserve">Ellis, G. K., H. G. Bone, R. Chlebowski, D. Paul, S. Spadafora, M. Fan and D. Kim (2009) "Effect of denosumab on bone mineral density in women receiving adjuvant aromatase inhibitors for non-metastatic breast cancer: subgroup analyses of a phase 3 study." </w:t>
      </w:r>
      <w:r w:rsidRPr="006F79C1">
        <w:rPr>
          <w:noProof/>
          <w:u w:val="single"/>
        </w:rPr>
        <w:t>Breast cancer research and treatment</w:t>
      </w:r>
      <w:r w:rsidRPr="006F79C1">
        <w:rPr>
          <w:noProof/>
        </w:rPr>
        <w:t xml:space="preserve"> </w:t>
      </w:r>
      <w:r w:rsidRPr="006F79C1">
        <w:rPr>
          <w:b/>
          <w:noProof/>
        </w:rPr>
        <w:t>118</w:t>
      </w:r>
      <w:r w:rsidRPr="006F79C1">
        <w:rPr>
          <w:noProof/>
        </w:rPr>
        <w:t>, 81-87 DOI: 10.1007/s10549-009-0352-y.</w:t>
      </w:r>
      <w:bookmarkEnd w:id="214"/>
    </w:p>
    <w:p w:rsidR="006F79C1" w:rsidRPr="006F79C1" w:rsidRDefault="006F79C1" w:rsidP="006F79C1">
      <w:pPr>
        <w:rPr>
          <w:noProof/>
        </w:rPr>
      </w:pPr>
      <w:bookmarkStart w:id="215" w:name="_ENREF_17"/>
      <w:r w:rsidRPr="006F79C1">
        <w:rPr>
          <w:noProof/>
        </w:rPr>
        <w:t xml:space="preserve">Finkelstein, J. S., S. E. Brockwell, V. Mehta, G. A. Greendale, M. R. Sowers, B. Ettinger, J. C. Lo, J. M. Johnston, J. A. Cauley, M. E. Danielson and R. M. Neer (2008). "Bone mineral density changes during the menopause transition in a multiethnic cohort of women." </w:t>
      </w:r>
      <w:r w:rsidRPr="006F79C1">
        <w:rPr>
          <w:noProof/>
          <w:u w:val="single"/>
        </w:rPr>
        <w:t>J Clin Endocrinol Metab.</w:t>
      </w:r>
      <w:r w:rsidRPr="006F79C1">
        <w:rPr>
          <w:noProof/>
        </w:rPr>
        <w:t xml:space="preserve"> </w:t>
      </w:r>
      <w:r w:rsidRPr="006F79C1">
        <w:rPr>
          <w:b/>
          <w:noProof/>
        </w:rPr>
        <w:t>93</w:t>
      </w:r>
      <w:r w:rsidRPr="006F79C1">
        <w:rPr>
          <w:noProof/>
        </w:rPr>
        <w:t>(3): 861-868. Epub 2007 Dec 2026.</w:t>
      </w:r>
      <w:bookmarkEnd w:id="215"/>
    </w:p>
    <w:p w:rsidR="006F79C1" w:rsidRPr="006F79C1" w:rsidRDefault="006F79C1" w:rsidP="006F79C1">
      <w:pPr>
        <w:rPr>
          <w:noProof/>
        </w:rPr>
      </w:pPr>
      <w:bookmarkStart w:id="216" w:name="_ENREF_18"/>
      <w:r w:rsidRPr="006F79C1">
        <w:rPr>
          <w:noProof/>
        </w:rPr>
        <w:t xml:space="preserve">Gordon, L., P. Scuffham, S. Hayes and B. Newman (2007). "Exploring the economic impact of breast cancers during the 18 months following diagnosis." </w:t>
      </w:r>
      <w:r w:rsidRPr="006F79C1">
        <w:rPr>
          <w:noProof/>
          <w:u w:val="single"/>
        </w:rPr>
        <w:t>Psychooncology.</w:t>
      </w:r>
      <w:r w:rsidRPr="006F79C1">
        <w:rPr>
          <w:noProof/>
        </w:rPr>
        <w:t xml:space="preserve"> </w:t>
      </w:r>
      <w:r w:rsidRPr="006F79C1">
        <w:rPr>
          <w:b/>
          <w:noProof/>
        </w:rPr>
        <w:t>16</w:t>
      </w:r>
      <w:r w:rsidRPr="006F79C1">
        <w:rPr>
          <w:noProof/>
        </w:rPr>
        <w:t>(12): 1130-1139.</w:t>
      </w:r>
      <w:bookmarkEnd w:id="216"/>
    </w:p>
    <w:p w:rsidR="006F79C1" w:rsidRPr="006F79C1" w:rsidRDefault="006F79C1" w:rsidP="006F79C1">
      <w:pPr>
        <w:rPr>
          <w:noProof/>
        </w:rPr>
      </w:pPr>
      <w:bookmarkStart w:id="217" w:name="_ENREF_19"/>
      <w:r w:rsidRPr="006F79C1">
        <w:rPr>
          <w:noProof/>
        </w:rPr>
        <w:t xml:space="preserve">Gordon, L. G., M. Ferguson, S. K. Chambers and J. Dunn (2009). "Fuel, beds, meals and meds: out-of-pocket expenses for patients with cancer in rural Queensland." </w:t>
      </w:r>
      <w:r w:rsidRPr="006F79C1">
        <w:rPr>
          <w:noProof/>
          <w:u w:val="single"/>
        </w:rPr>
        <w:t>Cancer Forum</w:t>
      </w:r>
      <w:r w:rsidRPr="006F79C1">
        <w:rPr>
          <w:noProof/>
        </w:rPr>
        <w:t xml:space="preserve"> </w:t>
      </w:r>
      <w:r w:rsidRPr="006F79C1">
        <w:rPr>
          <w:b/>
          <w:noProof/>
        </w:rPr>
        <w:t xml:space="preserve">33 </w:t>
      </w:r>
      <w:r w:rsidRPr="006F79C1">
        <w:rPr>
          <w:noProof/>
        </w:rPr>
        <w:t>(3): 202-208.</w:t>
      </w:r>
      <w:bookmarkEnd w:id="217"/>
    </w:p>
    <w:p w:rsidR="006F79C1" w:rsidRPr="006F79C1" w:rsidRDefault="006F79C1" w:rsidP="006F79C1">
      <w:pPr>
        <w:rPr>
          <w:noProof/>
        </w:rPr>
      </w:pPr>
      <w:bookmarkStart w:id="218" w:name="_ENREF_20"/>
      <w:r w:rsidRPr="006F79C1">
        <w:rPr>
          <w:noProof/>
        </w:rPr>
        <w:t xml:space="preserve">Goss, P. E., J. N. Ingle, K. I. Pritchard, M. J. Ellis, G. W. Sledge, G. T. Budd, M. Rabaglio, R. H. Ansari, D. B. Johnson, R. Tozer, D. P. D'Souza, H. Chalchal, S. Spadafora, V. Stearns, E. A. Perez, P. E. Liedke, I. Lang, C. Elliott, K. A. Gelmon, J. A. Chapman and L. E. Shepherd (2013). "Exemestane versus anastrozole in </w:t>
      </w:r>
      <w:r w:rsidR="007A119D">
        <w:rPr>
          <w:noProof/>
        </w:rPr>
        <w:t>post-menopaus</w:t>
      </w:r>
      <w:r w:rsidRPr="006F79C1">
        <w:rPr>
          <w:noProof/>
        </w:rPr>
        <w:t xml:space="preserve">al women with early breast cancer: NCIC CTG MA.27--a randomized controlled phase III trial." </w:t>
      </w:r>
      <w:r w:rsidRPr="006F79C1">
        <w:rPr>
          <w:noProof/>
          <w:u w:val="single"/>
        </w:rPr>
        <w:t>Journal of Clinical Oncology</w:t>
      </w:r>
      <w:r w:rsidRPr="006F79C1">
        <w:rPr>
          <w:noProof/>
        </w:rPr>
        <w:t xml:space="preserve"> </w:t>
      </w:r>
      <w:r w:rsidRPr="006F79C1">
        <w:rPr>
          <w:b/>
          <w:noProof/>
        </w:rPr>
        <w:t>31</w:t>
      </w:r>
      <w:r w:rsidRPr="006F79C1">
        <w:rPr>
          <w:noProof/>
        </w:rPr>
        <w:t>(11): 1398-1404.</w:t>
      </w:r>
      <w:bookmarkEnd w:id="218"/>
    </w:p>
    <w:p w:rsidR="006F79C1" w:rsidRPr="006F79C1" w:rsidRDefault="006F79C1" w:rsidP="006F79C1">
      <w:pPr>
        <w:rPr>
          <w:noProof/>
        </w:rPr>
      </w:pPr>
      <w:bookmarkStart w:id="219" w:name="_ENREF_21"/>
      <w:r w:rsidRPr="006F79C1">
        <w:rPr>
          <w:noProof/>
        </w:rPr>
        <w:t xml:space="preserve">Hadji, P., M. S. Aapro, J. J. Body, N. J. Bundred, A. Brufsky, R. E. Coleman, M. Gnant, T. Guise and A. Lipton (2011). "Management of aromatase inhibitor-associated bone loss in </w:t>
      </w:r>
      <w:r w:rsidR="007A119D">
        <w:rPr>
          <w:noProof/>
        </w:rPr>
        <w:t>post-menopaus</w:t>
      </w:r>
      <w:r w:rsidRPr="006F79C1">
        <w:rPr>
          <w:noProof/>
        </w:rPr>
        <w:t xml:space="preserve">al women with breast cancer: practical guidance for prevention and treatment." </w:t>
      </w:r>
      <w:r w:rsidRPr="006F79C1">
        <w:rPr>
          <w:noProof/>
          <w:u w:val="single"/>
        </w:rPr>
        <w:t>Annals of Oncology</w:t>
      </w:r>
      <w:r w:rsidRPr="006F79C1">
        <w:rPr>
          <w:noProof/>
        </w:rPr>
        <w:t xml:space="preserve"> </w:t>
      </w:r>
      <w:r w:rsidRPr="006F79C1">
        <w:rPr>
          <w:b/>
          <w:noProof/>
        </w:rPr>
        <w:t>22</w:t>
      </w:r>
      <w:r w:rsidRPr="006F79C1">
        <w:rPr>
          <w:noProof/>
        </w:rPr>
        <w:t>(12): 2546-2555.</w:t>
      </w:r>
      <w:bookmarkEnd w:id="219"/>
    </w:p>
    <w:p w:rsidR="006F79C1" w:rsidRPr="006F79C1" w:rsidRDefault="006F79C1" w:rsidP="006F79C1">
      <w:pPr>
        <w:rPr>
          <w:noProof/>
        </w:rPr>
      </w:pPr>
      <w:bookmarkStart w:id="220" w:name="_ENREF_22"/>
      <w:r w:rsidRPr="006F79C1">
        <w:rPr>
          <w:noProof/>
        </w:rPr>
        <w:lastRenderedPageBreak/>
        <w:t xml:space="preserve">Haentjens, P., J. Magaziner, C. S. Colon-Emeric, D. Vanderschueren, K. Milisen, B. Velkeniers and S. Boonen (2010). "Meta-analysis: excess mortality after hip fracture among older women and men." </w:t>
      </w:r>
      <w:r w:rsidRPr="006F79C1">
        <w:rPr>
          <w:noProof/>
          <w:u w:val="single"/>
        </w:rPr>
        <w:t>Ann Intern Med.</w:t>
      </w:r>
      <w:r w:rsidRPr="006F79C1">
        <w:rPr>
          <w:noProof/>
        </w:rPr>
        <w:t xml:space="preserve"> </w:t>
      </w:r>
      <w:r w:rsidRPr="006F79C1">
        <w:rPr>
          <w:b/>
          <w:noProof/>
        </w:rPr>
        <w:t>152</w:t>
      </w:r>
      <w:r w:rsidRPr="006F79C1">
        <w:rPr>
          <w:noProof/>
        </w:rPr>
        <w:t>(6): 380-390. doi: 310.7326/0003-4819-7152-7326-201003160-201000008.</w:t>
      </w:r>
      <w:bookmarkEnd w:id="220"/>
    </w:p>
    <w:p w:rsidR="006F79C1" w:rsidRPr="006F79C1" w:rsidRDefault="006F79C1" w:rsidP="006F79C1">
      <w:pPr>
        <w:rPr>
          <w:noProof/>
        </w:rPr>
      </w:pPr>
      <w:bookmarkStart w:id="221" w:name="_ENREF_23"/>
      <w:r w:rsidRPr="006F79C1">
        <w:rPr>
          <w:noProof/>
        </w:rPr>
        <w:t xml:space="preserve">Hailey, D., L. Sampietro-Colom, D. Marshall, R. Rico, A. Granados and J. Asua (1998). "The effectiveness of bone density measurement and associated treatments for prevention of fractures. An international collaborative review." </w:t>
      </w:r>
      <w:r w:rsidRPr="006F79C1">
        <w:rPr>
          <w:noProof/>
          <w:u w:val="single"/>
        </w:rPr>
        <w:t>Int J Technol Assess Health Care.</w:t>
      </w:r>
      <w:r w:rsidRPr="006F79C1">
        <w:rPr>
          <w:noProof/>
        </w:rPr>
        <w:t xml:space="preserve"> </w:t>
      </w:r>
      <w:r w:rsidRPr="006F79C1">
        <w:rPr>
          <w:b/>
          <w:noProof/>
        </w:rPr>
        <w:t>14</w:t>
      </w:r>
      <w:r w:rsidRPr="006F79C1">
        <w:rPr>
          <w:noProof/>
        </w:rPr>
        <w:t>(2): 237-254.</w:t>
      </w:r>
      <w:bookmarkEnd w:id="221"/>
    </w:p>
    <w:p w:rsidR="006F79C1" w:rsidRPr="006F79C1" w:rsidRDefault="006F79C1" w:rsidP="006F79C1">
      <w:pPr>
        <w:rPr>
          <w:noProof/>
        </w:rPr>
      </w:pPr>
      <w:bookmarkStart w:id="222" w:name="_ENREF_24"/>
      <w:r w:rsidRPr="006F79C1">
        <w:rPr>
          <w:noProof/>
        </w:rPr>
        <w:t xml:space="preserve">Hayes, S. C., K. Johansson, N. L. Stout, R. Prosnitz, J. M. Armer, S. Gabram and K. H. Schmitz (2012). "Upper-body morbidity after breast cancer: incidence and evidence for evaluation, prevention, and management within a prospective surveillance model of care." </w:t>
      </w:r>
      <w:r w:rsidRPr="006F79C1">
        <w:rPr>
          <w:noProof/>
          <w:u w:val="single"/>
        </w:rPr>
        <w:t>Cancer.</w:t>
      </w:r>
      <w:r w:rsidRPr="006F79C1">
        <w:rPr>
          <w:noProof/>
        </w:rPr>
        <w:t xml:space="preserve"> </w:t>
      </w:r>
      <w:r w:rsidRPr="006F79C1">
        <w:rPr>
          <w:b/>
          <w:noProof/>
        </w:rPr>
        <w:t>118</w:t>
      </w:r>
      <w:r w:rsidRPr="006F79C1">
        <w:rPr>
          <w:noProof/>
        </w:rPr>
        <w:t>(8 Suppl): 2237-2249. doi: 2210.1002/cncr.27467.</w:t>
      </w:r>
      <w:bookmarkEnd w:id="222"/>
    </w:p>
    <w:p w:rsidR="006F79C1" w:rsidRPr="006F79C1" w:rsidRDefault="006F79C1" w:rsidP="006F79C1">
      <w:pPr>
        <w:rPr>
          <w:noProof/>
        </w:rPr>
      </w:pPr>
      <w:bookmarkStart w:id="223" w:name="_ENREF_25"/>
      <w:r w:rsidRPr="006F79C1">
        <w:rPr>
          <w:noProof/>
        </w:rPr>
        <w:t xml:space="preserve">Henry, M. J., J. A. Pasco, G. C. Nicholson and M. A. Kotowicz (2011). "Prevalence of osteoporosis in Australian men and women: Geelong Osteoporosis Study." </w:t>
      </w:r>
      <w:r w:rsidRPr="006F79C1">
        <w:rPr>
          <w:noProof/>
          <w:u w:val="single"/>
        </w:rPr>
        <w:t>Med J Aust.</w:t>
      </w:r>
      <w:r w:rsidRPr="006F79C1">
        <w:rPr>
          <w:noProof/>
        </w:rPr>
        <w:t xml:space="preserve"> </w:t>
      </w:r>
      <w:r w:rsidRPr="006F79C1">
        <w:rPr>
          <w:b/>
          <w:noProof/>
        </w:rPr>
        <w:t>195</w:t>
      </w:r>
      <w:r w:rsidRPr="006F79C1">
        <w:rPr>
          <w:noProof/>
        </w:rPr>
        <w:t>(6): 321-322.</w:t>
      </w:r>
      <w:bookmarkEnd w:id="223"/>
    </w:p>
    <w:p w:rsidR="006F79C1" w:rsidRPr="006F79C1" w:rsidRDefault="006F79C1" w:rsidP="006F79C1">
      <w:pPr>
        <w:rPr>
          <w:noProof/>
        </w:rPr>
      </w:pPr>
      <w:bookmarkStart w:id="224" w:name="_ENREF_26"/>
      <w:r w:rsidRPr="006F79C1">
        <w:rPr>
          <w:noProof/>
        </w:rPr>
        <w:t xml:space="preserve">Homik, J. and D. Hailey (1999) "Selective testing with bone density measurement (Structured abstract)." </w:t>
      </w:r>
      <w:r w:rsidRPr="006F79C1">
        <w:rPr>
          <w:noProof/>
          <w:u w:val="single"/>
        </w:rPr>
        <w:t>Health Technology Assessment Database</w:t>
      </w:r>
      <w:r w:rsidRPr="006F79C1">
        <w:rPr>
          <w:noProof/>
        </w:rPr>
        <w:t>.</w:t>
      </w:r>
      <w:bookmarkEnd w:id="224"/>
    </w:p>
    <w:p w:rsidR="006F79C1" w:rsidRPr="006F79C1" w:rsidRDefault="006F79C1" w:rsidP="006F79C1">
      <w:pPr>
        <w:rPr>
          <w:noProof/>
        </w:rPr>
      </w:pPr>
      <w:bookmarkStart w:id="225" w:name="_ENREF_27"/>
      <w:r w:rsidRPr="006F79C1">
        <w:rPr>
          <w:noProof/>
        </w:rPr>
        <w:t xml:space="preserve">Ito, K., V. S. Blinder and E. B. Elkin (2012). "Cost effectiveness of fracture prevention in </w:t>
      </w:r>
      <w:r w:rsidR="007A119D">
        <w:rPr>
          <w:noProof/>
        </w:rPr>
        <w:t>post-menopaus</w:t>
      </w:r>
      <w:r w:rsidRPr="006F79C1">
        <w:rPr>
          <w:noProof/>
        </w:rPr>
        <w:t xml:space="preserve">al women who receive aromatase inhibitors for early breast cancer." </w:t>
      </w:r>
      <w:r w:rsidRPr="006F79C1">
        <w:rPr>
          <w:noProof/>
          <w:u w:val="single"/>
        </w:rPr>
        <w:t>Journal of Clinical Oncology</w:t>
      </w:r>
      <w:r w:rsidRPr="006F79C1">
        <w:rPr>
          <w:noProof/>
        </w:rPr>
        <w:t xml:space="preserve"> </w:t>
      </w:r>
      <w:r w:rsidRPr="006F79C1">
        <w:rPr>
          <w:b/>
          <w:noProof/>
        </w:rPr>
        <w:t>30</w:t>
      </w:r>
      <w:r w:rsidRPr="006F79C1">
        <w:rPr>
          <w:noProof/>
        </w:rPr>
        <w:t>(13): 1468-1475.</w:t>
      </w:r>
      <w:bookmarkEnd w:id="225"/>
    </w:p>
    <w:p w:rsidR="006F79C1" w:rsidRPr="006F79C1" w:rsidRDefault="006F79C1" w:rsidP="006F79C1">
      <w:pPr>
        <w:rPr>
          <w:noProof/>
        </w:rPr>
      </w:pPr>
      <w:bookmarkStart w:id="226" w:name="_ENREF_28"/>
      <w:r w:rsidRPr="006F79C1">
        <w:rPr>
          <w:noProof/>
        </w:rPr>
        <w:t xml:space="preserve">Kalder, M., V. Ziller, I. Kyvernitakis, D. Knoll, O. Hars and P. Hadji (2013). "Influence of compliance on bone mineral density changes in </w:t>
      </w:r>
      <w:r w:rsidR="007A119D">
        <w:rPr>
          <w:noProof/>
        </w:rPr>
        <w:t>post-menopaus</w:t>
      </w:r>
      <w:r w:rsidRPr="006F79C1">
        <w:rPr>
          <w:noProof/>
        </w:rPr>
        <w:t xml:space="preserve">al women with early breast cancer on Anastrozole." </w:t>
      </w:r>
      <w:r w:rsidRPr="006F79C1">
        <w:rPr>
          <w:noProof/>
          <w:u w:val="single"/>
        </w:rPr>
        <w:t>Journal of Cancer Research &amp; Clinical Oncology</w:t>
      </w:r>
      <w:r w:rsidRPr="006F79C1">
        <w:rPr>
          <w:noProof/>
        </w:rPr>
        <w:t xml:space="preserve"> </w:t>
      </w:r>
      <w:r w:rsidRPr="006F79C1">
        <w:rPr>
          <w:b/>
          <w:noProof/>
        </w:rPr>
        <w:t>139</w:t>
      </w:r>
      <w:r w:rsidRPr="006F79C1">
        <w:rPr>
          <w:noProof/>
        </w:rPr>
        <w:t>(6): 915-923.</w:t>
      </w:r>
      <w:bookmarkEnd w:id="226"/>
    </w:p>
    <w:p w:rsidR="006F79C1" w:rsidRPr="006F79C1" w:rsidRDefault="006F79C1" w:rsidP="006F79C1">
      <w:pPr>
        <w:rPr>
          <w:noProof/>
        </w:rPr>
      </w:pPr>
      <w:bookmarkStart w:id="227" w:name="_ENREF_29"/>
      <w:r w:rsidRPr="006F79C1">
        <w:rPr>
          <w:noProof/>
        </w:rPr>
        <w:t xml:space="preserve">Kanis, J. A., H. Johansson, A. Oden, O. Johnell, C. de Laet, I. L. Melton, A. Tenenhouse, J. Reeve, A. J. Silman, H. A. Pols, J. A. Eisman, E. V. McCloskey and D. Mellstrom (2004). "A meta-analysis of prior corticosteroid use and fracture risk." </w:t>
      </w:r>
      <w:r w:rsidRPr="006F79C1">
        <w:rPr>
          <w:noProof/>
          <w:u w:val="single"/>
        </w:rPr>
        <w:t>J Bone Miner Res.</w:t>
      </w:r>
      <w:r w:rsidRPr="006F79C1">
        <w:rPr>
          <w:noProof/>
        </w:rPr>
        <w:t xml:space="preserve"> </w:t>
      </w:r>
      <w:r w:rsidRPr="006F79C1">
        <w:rPr>
          <w:b/>
          <w:noProof/>
        </w:rPr>
        <w:t>19</w:t>
      </w:r>
      <w:r w:rsidRPr="006F79C1">
        <w:rPr>
          <w:noProof/>
        </w:rPr>
        <w:t>(6): 893-899. Epub 2004 Jan 2027.</w:t>
      </w:r>
      <w:bookmarkEnd w:id="227"/>
    </w:p>
    <w:p w:rsidR="006F79C1" w:rsidRPr="006F79C1" w:rsidRDefault="006F79C1" w:rsidP="006F79C1">
      <w:pPr>
        <w:rPr>
          <w:noProof/>
        </w:rPr>
      </w:pPr>
      <w:bookmarkStart w:id="228" w:name="_ENREF_30"/>
      <w:r w:rsidRPr="006F79C1">
        <w:rPr>
          <w:noProof/>
        </w:rPr>
        <w:t xml:space="preserve">Kanis, J. A., A. Oden, O. Johnell, H. Johansson, C. De Laet, J. Brown, P. Burckhardt, C. Cooper, C. Christiansen, S. Cummings, J. A. Eisman, S. Fujiwara, C. Gluer, D. Goltzman, D. Hans, M. A. Krieg, A. La Croix, E. McCloskey, D. Mellstrom, L. J. Melton, 3rd, H. Pols, J. Reeve, K. Sanders, A. M. Schott, A. Silman, D. Torgerson, T. van Staa, N. B. Watts and N. Yoshimura (2007). "The use of clinical risk factors enhances the performance of BMD in the prediction of hip and osteoporotic fractures in men and women." </w:t>
      </w:r>
      <w:r w:rsidRPr="006F79C1">
        <w:rPr>
          <w:noProof/>
          <w:u w:val="single"/>
        </w:rPr>
        <w:t>Osteoporos Int.</w:t>
      </w:r>
      <w:r w:rsidRPr="006F79C1">
        <w:rPr>
          <w:noProof/>
        </w:rPr>
        <w:t xml:space="preserve"> </w:t>
      </w:r>
      <w:r w:rsidRPr="006F79C1">
        <w:rPr>
          <w:b/>
          <w:noProof/>
        </w:rPr>
        <w:t>18</w:t>
      </w:r>
      <w:r w:rsidRPr="006F79C1">
        <w:rPr>
          <w:noProof/>
        </w:rPr>
        <w:t>(8): 1033-1046. Epub 2007 Feb 1024.</w:t>
      </w:r>
      <w:bookmarkEnd w:id="228"/>
    </w:p>
    <w:p w:rsidR="006F79C1" w:rsidRPr="006F79C1" w:rsidRDefault="006F79C1" w:rsidP="006F79C1">
      <w:pPr>
        <w:rPr>
          <w:noProof/>
        </w:rPr>
      </w:pPr>
      <w:bookmarkStart w:id="229" w:name="_ENREF_31"/>
      <w:r w:rsidRPr="006F79C1">
        <w:rPr>
          <w:noProof/>
        </w:rPr>
        <w:t>Khan, K. S., G. Ter Riet, J. M. Glanville, A. J. Sowden and J. Kleijnen (2001). Undertaking systematic reviews of research on effectiveness. CRD's guidance for those carrying out or commissioning reviews. York, NHS Centre for Reviews and Dissemination, University of York.</w:t>
      </w:r>
      <w:bookmarkEnd w:id="229"/>
    </w:p>
    <w:p w:rsidR="006F79C1" w:rsidRPr="006F79C1" w:rsidRDefault="006F79C1" w:rsidP="006F79C1">
      <w:pPr>
        <w:rPr>
          <w:noProof/>
        </w:rPr>
      </w:pPr>
      <w:bookmarkStart w:id="230" w:name="_ENREF_32"/>
      <w:r w:rsidRPr="006F79C1">
        <w:rPr>
          <w:noProof/>
        </w:rPr>
        <w:t>Kroeker, K. I., S. Lam, I. Birchall and R. N. Fedorak (2011). "Patients with IBD are exposed to high levels of ionizing radiation through CT scan diagnostic imaging: a five-</w:t>
      </w:r>
      <w:r w:rsidRPr="006F79C1">
        <w:rPr>
          <w:noProof/>
        </w:rPr>
        <w:lastRenderedPageBreak/>
        <w:t xml:space="preserve">year study." </w:t>
      </w:r>
      <w:r w:rsidRPr="006F79C1">
        <w:rPr>
          <w:noProof/>
          <w:u w:val="single"/>
        </w:rPr>
        <w:t>J Clin Gastroenterol.</w:t>
      </w:r>
      <w:r w:rsidRPr="006F79C1">
        <w:rPr>
          <w:noProof/>
        </w:rPr>
        <w:t xml:space="preserve"> </w:t>
      </w:r>
      <w:r w:rsidRPr="006F79C1">
        <w:rPr>
          <w:b/>
          <w:noProof/>
        </w:rPr>
        <w:t>45</w:t>
      </w:r>
      <w:r w:rsidRPr="006F79C1">
        <w:rPr>
          <w:noProof/>
        </w:rPr>
        <w:t>(1): 34-39. doi: 10.1097/MCG.1090b1013e3181e1095d1091c1095.</w:t>
      </w:r>
      <w:bookmarkEnd w:id="230"/>
    </w:p>
    <w:p w:rsidR="006F79C1" w:rsidRPr="006F79C1" w:rsidRDefault="006F79C1" w:rsidP="006F79C1">
      <w:pPr>
        <w:rPr>
          <w:noProof/>
        </w:rPr>
      </w:pPr>
      <w:bookmarkStart w:id="231" w:name="_ENREF_33"/>
      <w:r w:rsidRPr="006F79C1">
        <w:rPr>
          <w:noProof/>
        </w:rPr>
        <w:t xml:space="preserve">Lee, S. A., S. H. Hwang, S. G. Ahn, H. M. Lee, J. Jeong and H. D. Lee (2011). "Effects of zoledronic acid on bone mineral density during aromatase inhibitor treatment of Korean </w:t>
      </w:r>
      <w:r w:rsidR="007A119D">
        <w:rPr>
          <w:noProof/>
        </w:rPr>
        <w:t>post-menopaus</w:t>
      </w:r>
      <w:r w:rsidRPr="006F79C1">
        <w:rPr>
          <w:noProof/>
        </w:rPr>
        <w:t xml:space="preserve">al breast cancer patients." </w:t>
      </w:r>
      <w:r w:rsidRPr="006F79C1">
        <w:rPr>
          <w:noProof/>
          <w:u w:val="single"/>
        </w:rPr>
        <w:t>Breast Cancer Research &amp; Treatment</w:t>
      </w:r>
      <w:r w:rsidRPr="006F79C1">
        <w:rPr>
          <w:noProof/>
        </w:rPr>
        <w:t xml:space="preserve"> </w:t>
      </w:r>
      <w:r w:rsidRPr="006F79C1">
        <w:rPr>
          <w:b/>
          <w:noProof/>
        </w:rPr>
        <w:t>130</w:t>
      </w:r>
      <w:r w:rsidRPr="006F79C1">
        <w:rPr>
          <w:noProof/>
        </w:rPr>
        <w:t>(3): 863-870.</w:t>
      </w:r>
      <w:bookmarkEnd w:id="231"/>
    </w:p>
    <w:p w:rsidR="006F79C1" w:rsidRPr="006F79C1" w:rsidRDefault="006F79C1" w:rsidP="006F79C1">
      <w:pPr>
        <w:rPr>
          <w:noProof/>
        </w:rPr>
      </w:pPr>
      <w:bookmarkStart w:id="232" w:name="_ENREF_34"/>
      <w:r w:rsidRPr="006F79C1">
        <w:rPr>
          <w:noProof/>
        </w:rPr>
        <w:t xml:space="preserve">Lester, J. E., D. Dodwell, BrownJe, O. P. Purohit, S. A. Gutcher, S. P. Ellis, R. Thorpe, J. M. Horsman and R. E. Coleman (2012) "Prevention of anastrozole induced bone loss with monthly oral ibandronate: Final 5 year results from the ARIBON trial." </w:t>
      </w:r>
      <w:r w:rsidRPr="006F79C1">
        <w:rPr>
          <w:noProof/>
          <w:u w:val="single"/>
        </w:rPr>
        <w:t>Journal of Bone Oncology</w:t>
      </w:r>
      <w:r w:rsidRPr="006F79C1">
        <w:rPr>
          <w:noProof/>
        </w:rPr>
        <w:t xml:space="preserve"> </w:t>
      </w:r>
      <w:r w:rsidRPr="006F79C1">
        <w:rPr>
          <w:b/>
          <w:noProof/>
        </w:rPr>
        <w:t>1</w:t>
      </w:r>
      <w:r w:rsidRPr="006F79C1">
        <w:rPr>
          <w:noProof/>
        </w:rPr>
        <w:t xml:space="preserve">, 57-62 DOI: </w:t>
      </w:r>
      <w:hyperlink r:id="rId60" w:tooltip="Link to Prevention of anastrozole induced bone loss with monthly oral ibandronate trial article" w:history="1">
        <w:r w:rsidRPr="006F79C1">
          <w:rPr>
            <w:rStyle w:val="Hyperlink"/>
            <w:noProof/>
          </w:rPr>
          <w:t>http://dx.doi.org/10.1016/j.jbo.2012.06.002</w:t>
        </w:r>
      </w:hyperlink>
      <w:r w:rsidRPr="006F79C1">
        <w:rPr>
          <w:noProof/>
        </w:rPr>
        <w:t>.</w:t>
      </w:r>
      <w:bookmarkEnd w:id="232"/>
    </w:p>
    <w:p w:rsidR="006F79C1" w:rsidRPr="006F79C1" w:rsidRDefault="006F79C1" w:rsidP="006F79C1">
      <w:pPr>
        <w:rPr>
          <w:noProof/>
        </w:rPr>
      </w:pPr>
      <w:bookmarkStart w:id="233" w:name="_ENREF_35"/>
      <w:r w:rsidRPr="006F79C1">
        <w:rPr>
          <w:noProof/>
        </w:rPr>
        <w:t xml:space="preserve">Lim, L. S., L. J. Hoeksema, K. Sherin and A. P. P. Committee (2009). "Screening for osteoporosis in the adult U.S. population: ACPM position statement on preventive practice." </w:t>
      </w:r>
      <w:r w:rsidRPr="006F79C1">
        <w:rPr>
          <w:noProof/>
          <w:u w:val="single"/>
        </w:rPr>
        <w:t>American Journal of Preventive Medicine</w:t>
      </w:r>
      <w:r w:rsidRPr="006F79C1">
        <w:rPr>
          <w:noProof/>
        </w:rPr>
        <w:t xml:space="preserve"> </w:t>
      </w:r>
      <w:r w:rsidRPr="006F79C1">
        <w:rPr>
          <w:b/>
          <w:noProof/>
        </w:rPr>
        <w:t>36</w:t>
      </w:r>
      <w:r w:rsidRPr="006F79C1">
        <w:rPr>
          <w:noProof/>
        </w:rPr>
        <w:t>(4): 366-375.</w:t>
      </w:r>
      <w:bookmarkEnd w:id="233"/>
    </w:p>
    <w:p w:rsidR="006F79C1" w:rsidRPr="006F79C1" w:rsidRDefault="006F79C1" w:rsidP="006F79C1">
      <w:pPr>
        <w:rPr>
          <w:noProof/>
        </w:rPr>
      </w:pPr>
      <w:bookmarkStart w:id="234" w:name="_ENREF_36"/>
      <w:r w:rsidRPr="006F79C1">
        <w:rPr>
          <w:noProof/>
        </w:rPr>
        <w:t xml:space="preserve">Llombart, A., A. Frassoldati, O. Paija, H. P. Sleeboom, G. Jerusalem, J. Mebis, I. Deleu, J. Miller, N. Schenk and P. Neven (2012). "Immediate Administration of Zoledronic Acid Reduces Aromatase Inhibitor-Associated Bone Loss in </w:t>
      </w:r>
      <w:r w:rsidR="007A119D">
        <w:rPr>
          <w:noProof/>
        </w:rPr>
        <w:t>Post-menopaus</w:t>
      </w:r>
      <w:r w:rsidRPr="006F79C1">
        <w:rPr>
          <w:noProof/>
        </w:rPr>
        <w:t xml:space="preserve">al Women With Early Breast Cancer: 12-month analysis of the E-ZO-FAST trial." </w:t>
      </w:r>
      <w:r w:rsidRPr="006F79C1">
        <w:rPr>
          <w:noProof/>
          <w:u w:val="single"/>
        </w:rPr>
        <w:t>Clinical Breast Cancer</w:t>
      </w:r>
      <w:r w:rsidRPr="006F79C1">
        <w:rPr>
          <w:noProof/>
        </w:rPr>
        <w:t xml:space="preserve"> </w:t>
      </w:r>
      <w:r w:rsidRPr="006F79C1">
        <w:rPr>
          <w:b/>
          <w:noProof/>
        </w:rPr>
        <w:t>12</w:t>
      </w:r>
      <w:r w:rsidRPr="006F79C1">
        <w:rPr>
          <w:noProof/>
        </w:rPr>
        <w:t>(1): 40-48.</w:t>
      </w:r>
      <w:bookmarkEnd w:id="234"/>
    </w:p>
    <w:p w:rsidR="006F79C1" w:rsidRPr="006F79C1" w:rsidRDefault="006F79C1" w:rsidP="006F79C1">
      <w:pPr>
        <w:rPr>
          <w:noProof/>
        </w:rPr>
      </w:pPr>
      <w:bookmarkStart w:id="235" w:name="_ENREF_37"/>
      <w:r w:rsidRPr="006F79C1">
        <w:rPr>
          <w:noProof/>
        </w:rPr>
        <w:t xml:space="preserve">Logman, J. F., B. M. Heeg, M. F. Botteman, S. Kaura and B. A. van Hout (2010). "Economic evaluation of zoledronic acid for the prevention of osteoporotic fractures in </w:t>
      </w:r>
      <w:r w:rsidR="007A119D">
        <w:rPr>
          <w:noProof/>
        </w:rPr>
        <w:t>post-menopaus</w:t>
      </w:r>
      <w:r w:rsidRPr="006F79C1">
        <w:rPr>
          <w:noProof/>
        </w:rPr>
        <w:t xml:space="preserve">al women with early-stage breast cancer receiving aromatase inhibitors in the UK." </w:t>
      </w:r>
      <w:r w:rsidRPr="006F79C1">
        <w:rPr>
          <w:noProof/>
          <w:u w:val="single"/>
        </w:rPr>
        <w:t>Annals of Oncology</w:t>
      </w:r>
      <w:r w:rsidRPr="006F79C1">
        <w:rPr>
          <w:noProof/>
        </w:rPr>
        <w:t xml:space="preserve"> </w:t>
      </w:r>
      <w:r w:rsidRPr="006F79C1">
        <w:rPr>
          <w:b/>
          <w:noProof/>
        </w:rPr>
        <w:t>21</w:t>
      </w:r>
      <w:r w:rsidRPr="006F79C1">
        <w:rPr>
          <w:noProof/>
        </w:rPr>
        <w:t>(7): 1529-1536.</w:t>
      </w:r>
      <w:bookmarkEnd w:id="235"/>
    </w:p>
    <w:p w:rsidR="006F79C1" w:rsidRPr="006F79C1" w:rsidRDefault="006F79C1" w:rsidP="006F79C1">
      <w:pPr>
        <w:rPr>
          <w:noProof/>
        </w:rPr>
      </w:pPr>
      <w:bookmarkStart w:id="236" w:name="_ENREF_38"/>
      <w:r w:rsidRPr="006F79C1">
        <w:rPr>
          <w:noProof/>
        </w:rPr>
        <w:t xml:space="preserve">Mansel, R., G. Locker, L. Fallowfield, A. Benedict and D. Jones (2007). "Cost-effectiveness analysis of anastrozole vs tamoxifen in adjuvant therapy for early stage breast cancer in the United Kingdom: the 5-year completed treatment analysis of the ATAC ('Arimidex', Tamoxifen alone or in combination) trial." </w:t>
      </w:r>
      <w:r w:rsidRPr="006F79C1">
        <w:rPr>
          <w:noProof/>
          <w:u w:val="single"/>
        </w:rPr>
        <w:t>Br J Cancer.</w:t>
      </w:r>
      <w:r w:rsidRPr="006F79C1">
        <w:rPr>
          <w:noProof/>
        </w:rPr>
        <w:t xml:space="preserve"> </w:t>
      </w:r>
      <w:r w:rsidRPr="006F79C1">
        <w:rPr>
          <w:b/>
          <w:noProof/>
        </w:rPr>
        <w:t>97</w:t>
      </w:r>
      <w:r w:rsidRPr="006F79C1">
        <w:rPr>
          <w:noProof/>
        </w:rPr>
        <w:t>(2): 152-161. Epub 2007 Jul 2010.</w:t>
      </w:r>
      <w:bookmarkEnd w:id="236"/>
    </w:p>
    <w:p w:rsidR="006F79C1" w:rsidRPr="006F79C1" w:rsidRDefault="006F79C1" w:rsidP="006F79C1">
      <w:pPr>
        <w:rPr>
          <w:noProof/>
        </w:rPr>
      </w:pPr>
      <w:bookmarkStart w:id="237" w:name="_ENREF_39"/>
      <w:r w:rsidRPr="006F79C1">
        <w:rPr>
          <w:noProof/>
        </w:rPr>
        <w:t xml:space="preserve">Markopoulos, C., E. Tzoracoleftherakis, A. Polychronis, B. Venizelos, U. Dafni, G. Xepapadakis, J. Papadiamantis, V. Zobolas, J. Misitzis, K. Kalogerakos, A. Sarantopoulou, N. Siasos, D. Koukouras, Z. Antonopoulou, S. Lazarou and H. Gogas (2010) "Management of anastrozole-induced bone loss in breast cancer patients with oral risedronate: results from the ARBI prospective clinical trial." </w:t>
      </w:r>
      <w:r w:rsidRPr="006F79C1">
        <w:rPr>
          <w:noProof/>
          <w:u w:val="single"/>
        </w:rPr>
        <w:t>Breast cancer research : BCR</w:t>
      </w:r>
      <w:r w:rsidRPr="006F79C1">
        <w:rPr>
          <w:noProof/>
        </w:rPr>
        <w:t xml:space="preserve"> </w:t>
      </w:r>
      <w:r w:rsidRPr="006F79C1">
        <w:rPr>
          <w:b/>
          <w:noProof/>
        </w:rPr>
        <w:t>12</w:t>
      </w:r>
      <w:r w:rsidRPr="006F79C1">
        <w:rPr>
          <w:noProof/>
        </w:rPr>
        <w:t>, R24.</w:t>
      </w:r>
      <w:bookmarkEnd w:id="237"/>
    </w:p>
    <w:p w:rsidR="006F79C1" w:rsidRPr="006F79C1" w:rsidRDefault="006F79C1" w:rsidP="006F79C1">
      <w:pPr>
        <w:rPr>
          <w:noProof/>
        </w:rPr>
      </w:pPr>
      <w:bookmarkStart w:id="238" w:name="_ENREF_40"/>
      <w:r w:rsidRPr="006F79C1">
        <w:rPr>
          <w:noProof/>
        </w:rPr>
        <w:t xml:space="preserve">Marshall, D., O. Johnell and H. Wedel (1996) "Meta-analysis of how well measures of bone mineral density predict occurrence of osteoporotic fractures (Structured abstract)." </w:t>
      </w:r>
      <w:r w:rsidRPr="006F79C1">
        <w:rPr>
          <w:noProof/>
          <w:u w:val="single"/>
        </w:rPr>
        <w:t>Bmj</w:t>
      </w:r>
      <w:r w:rsidRPr="006F79C1">
        <w:rPr>
          <w:noProof/>
        </w:rPr>
        <w:t xml:space="preserve"> </w:t>
      </w:r>
      <w:r w:rsidRPr="006F79C1">
        <w:rPr>
          <w:b/>
          <w:noProof/>
        </w:rPr>
        <w:t>312</w:t>
      </w:r>
      <w:r w:rsidRPr="006F79C1">
        <w:rPr>
          <w:noProof/>
        </w:rPr>
        <w:t>, 1254-1259.</w:t>
      </w:r>
      <w:bookmarkEnd w:id="238"/>
    </w:p>
    <w:p w:rsidR="006F79C1" w:rsidRPr="006F79C1" w:rsidRDefault="006F79C1" w:rsidP="006F79C1">
      <w:pPr>
        <w:rPr>
          <w:noProof/>
        </w:rPr>
      </w:pPr>
      <w:bookmarkStart w:id="239" w:name="_ENREF_41"/>
      <w:r w:rsidRPr="006F79C1">
        <w:rPr>
          <w:noProof/>
        </w:rPr>
        <w:t xml:space="preserve">Martyn-St James, M. and S. Carroll (2009). "A meta-analysis of impact exercise on </w:t>
      </w:r>
      <w:r w:rsidR="007A119D">
        <w:rPr>
          <w:noProof/>
        </w:rPr>
        <w:t>post-menopaus</w:t>
      </w:r>
      <w:r w:rsidRPr="006F79C1">
        <w:rPr>
          <w:noProof/>
        </w:rPr>
        <w:t xml:space="preserve">al bone loss: the case for mixed loading exercise programmes." </w:t>
      </w:r>
      <w:r w:rsidRPr="006F79C1">
        <w:rPr>
          <w:noProof/>
          <w:u w:val="single"/>
        </w:rPr>
        <w:t>Br J Sports Med.</w:t>
      </w:r>
      <w:r w:rsidRPr="006F79C1">
        <w:rPr>
          <w:noProof/>
        </w:rPr>
        <w:t xml:space="preserve"> </w:t>
      </w:r>
      <w:r w:rsidRPr="006F79C1">
        <w:rPr>
          <w:b/>
          <w:noProof/>
        </w:rPr>
        <w:t>43</w:t>
      </w:r>
      <w:r w:rsidRPr="006F79C1">
        <w:rPr>
          <w:noProof/>
        </w:rPr>
        <w:t>(12): 898-908. doi: 810.1136/bjsm.2008.052704. Epub 052008 Nov 052703.</w:t>
      </w:r>
      <w:bookmarkEnd w:id="239"/>
    </w:p>
    <w:p w:rsidR="006F79C1" w:rsidRPr="006F79C1" w:rsidRDefault="006F79C1" w:rsidP="006F79C1">
      <w:pPr>
        <w:rPr>
          <w:noProof/>
        </w:rPr>
      </w:pPr>
      <w:bookmarkStart w:id="240" w:name="_ENREF_42"/>
      <w:r w:rsidRPr="006F79C1">
        <w:rPr>
          <w:noProof/>
        </w:rPr>
        <w:t xml:space="preserve">Mueller, D. and A. Gandjour (2009). "Cost-effectiveness of using clinical risk factors with and without DXA for osteoporosis screening in </w:t>
      </w:r>
      <w:r w:rsidR="007A119D">
        <w:rPr>
          <w:noProof/>
        </w:rPr>
        <w:t>post-menopaus</w:t>
      </w:r>
      <w:r w:rsidRPr="006F79C1">
        <w:rPr>
          <w:noProof/>
        </w:rPr>
        <w:t xml:space="preserve">al women." </w:t>
      </w:r>
      <w:r w:rsidRPr="006F79C1">
        <w:rPr>
          <w:noProof/>
          <w:u w:val="single"/>
        </w:rPr>
        <w:t xml:space="preserve">Value </w:t>
      </w:r>
      <w:r w:rsidRPr="006F79C1">
        <w:rPr>
          <w:noProof/>
          <w:u w:val="single"/>
        </w:rPr>
        <w:lastRenderedPageBreak/>
        <w:t>Health.</w:t>
      </w:r>
      <w:r w:rsidRPr="006F79C1">
        <w:rPr>
          <w:noProof/>
        </w:rPr>
        <w:t xml:space="preserve"> </w:t>
      </w:r>
      <w:r w:rsidRPr="006F79C1">
        <w:rPr>
          <w:b/>
          <w:noProof/>
        </w:rPr>
        <w:t>12</w:t>
      </w:r>
      <w:r w:rsidRPr="006F79C1">
        <w:rPr>
          <w:noProof/>
        </w:rPr>
        <w:t>(8): 1106-1117. doi: 1110.1111/j.1524-4733.2009.00577.x. Epub 02009 Aug 00510.</w:t>
      </w:r>
      <w:bookmarkEnd w:id="240"/>
    </w:p>
    <w:p w:rsidR="006F79C1" w:rsidRPr="006F79C1" w:rsidRDefault="006F79C1" w:rsidP="006F79C1">
      <w:pPr>
        <w:rPr>
          <w:noProof/>
        </w:rPr>
      </w:pPr>
      <w:bookmarkStart w:id="241" w:name="_ENREF_43"/>
      <w:r w:rsidRPr="006F79C1">
        <w:rPr>
          <w:noProof/>
        </w:rPr>
        <w:t xml:space="preserve">Neuner, J. M., T. W. Yen, R. A. Sparapani, P. W. Laud and A. B. Nattinger (2011). "Fracture risk and adjuvant hormonal therapy among a population-based cohort of older female breast cancer patients." </w:t>
      </w:r>
      <w:r w:rsidRPr="006F79C1">
        <w:rPr>
          <w:noProof/>
          <w:u w:val="single"/>
        </w:rPr>
        <w:t>Osteoporos Int.</w:t>
      </w:r>
      <w:r w:rsidRPr="006F79C1">
        <w:rPr>
          <w:noProof/>
        </w:rPr>
        <w:t xml:space="preserve"> </w:t>
      </w:r>
      <w:r w:rsidRPr="006F79C1">
        <w:rPr>
          <w:b/>
          <w:noProof/>
        </w:rPr>
        <w:t>22</w:t>
      </w:r>
      <w:r w:rsidRPr="006F79C1">
        <w:rPr>
          <w:noProof/>
        </w:rPr>
        <w:t>(11): 2847-2855. doi: 2810.1007/s00198-00010-01493-x. Epub 02010 Dec 00118.</w:t>
      </w:r>
      <w:bookmarkEnd w:id="241"/>
    </w:p>
    <w:p w:rsidR="006F79C1" w:rsidRPr="006F79C1" w:rsidRDefault="006F79C1" w:rsidP="006F79C1">
      <w:pPr>
        <w:rPr>
          <w:noProof/>
        </w:rPr>
      </w:pPr>
      <w:bookmarkStart w:id="242" w:name="_ENREF_44"/>
      <w:r w:rsidRPr="006F79C1">
        <w:rPr>
          <w:noProof/>
        </w:rPr>
        <w:t>NHMRC (2000). How to review the evidence: systematic identification and review of the scientific literature. Canberra, National Health and Medical Research Council</w:t>
      </w:r>
      <w:r w:rsidRPr="006F79C1">
        <w:rPr>
          <w:b/>
          <w:noProof/>
        </w:rPr>
        <w:t xml:space="preserve">: </w:t>
      </w:r>
      <w:r w:rsidRPr="006F79C1">
        <w:rPr>
          <w:noProof/>
        </w:rPr>
        <w:t>112.</w:t>
      </w:r>
      <w:bookmarkEnd w:id="242"/>
    </w:p>
    <w:p w:rsidR="006F79C1" w:rsidRPr="006F79C1" w:rsidRDefault="006F79C1" w:rsidP="006F79C1">
      <w:pPr>
        <w:rPr>
          <w:noProof/>
        </w:rPr>
      </w:pPr>
      <w:bookmarkStart w:id="243" w:name="_ENREF_45"/>
      <w:r w:rsidRPr="006F79C1">
        <w:rPr>
          <w:noProof/>
        </w:rPr>
        <w:t>NHMRC (2000). How to use the evidence: assessment and application of scientific evidence. Canberra, National Health and Medical Research Council</w:t>
      </w:r>
      <w:r w:rsidRPr="006F79C1">
        <w:rPr>
          <w:b/>
          <w:noProof/>
        </w:rPr>
        <w:t xml:space="preserve">: </w:t>
      </w:r>
      <w:r w:rsidRPr="006F79C1">
        <w:rPr>
          <w:noProof/>
        </w:rPr>
        <w:t>84.</w:t>
      </w:r>
      <w:bookmarkEnd w:id="243"/>
    </w:p>
    <w:p w:rsidR="006F79C1" w:rsidRPr="006F79C1" w:rsidRDefault="006F79C1" w:rsidP="006F79C1">
      <w:pPr>
        <w:rPr>
          <w:noProof/>
        </w:rPr>
      </w:pPr>
      <w:bookmarkStart w:id="244" w:name="_ENREF_46"/>
      <w:r w:rsidRPr="006F79C1">
        <w:rPr>
          <w:noProof/>
        </w:rPr>
        <w:t xml:space="preserve">NHMRC. (2008). "NHMRC additional levels of evidence and grades for recommendations for developers of guidelines. Stage 2 consultation."   Retrieved 11/03/08, from </w:t>
      </w:r>
      <w:hyperlink r:id="rId61" w:tooltip="National Health and Medical Research council website" w:history="1">
        <w:r w:rsidRPr="006F79C1">
          <w:rPr>
            <w:rStyle w:val="Hyperlink"/>
            <w:noProof/>
          </w:rPr>
          <w:t>www.nhmrc.gov.au/consult/index.htm</w:t>
        </w:r>
      </w:hyperlink>
      <w:r w:rsidRPr="006F79C1">
        <w:rPr>
          <w:noProof/>
        </w:rPr>
        <w:t>.</w:t>
      </w:r>
      <w:bookmarkEnd w:id="244"/>
    </w:p>
    <w:p w:rsidR="006F79C1" w:rsidRPr="006F79C1" w:rsidRDefault="006F79C1" w:rsidP="006F79C1">
      <w:pPr>
        <w:rPr>
          <w:noProof/>
        </w:rPr>
      </w:pPr>
      <w:bookmarkStart w:id="245" w:name="_ENREF_47"/>
      <w:r w:rsidRPr="006F79C1">
        <w:rPr>
          <w:noProof/>
        </w:rPr>
        <w:t xml:space="preserve">Njeh, C. F., T. Fuerst, D. Hans, G. M. Blake and H. K. Genant (1999). "Radiation exposure in bone mineral density assessment." </w:t>
      </w:r>
      <w:r w:rsidRPr="006F79C1">
        <w:rPr>
          <w:noProof/>
          <w:u w:val="single"/>
        </w:rPr>
        <w:t>Appl Radiat Isot.</w:t>
      </w:r>
      <w:r w:rsidRPr="006F79C1">
        <w:rPr>
          <w:noProof/>
        </w:rPr>
        <w:t xml:space="preserve"> </w:t>
      </w:r>
      <w:r w:rsidRPr="006F79C1">
        <w:rPr>
          <w:b/>
          <w:noProof/>
        </w:rPr>
        <w:t>50</w:t>
      </w:r>
      <w:r w:rsidRPr="006F79C1">
        <w:rPr>
          <w:noProof/>
        </w:rPr>
        <w:t>(1): 215-236.</w:t>
      </w:r>
      <w:bookmarkEnd w:id="245"/>
    </w:p>
    <w:p w:rsidR="006F79C1" w:rsidRPr="006F79C1" w:rsidRDefault="006F79C1" w:rsidP="006F79C1">
      <w:pPr>
        <w:rPr>
          <w:noProof/>
        </w:rPr>
      </w:pPr>
      <w:bookmarkStart w:id="246" w:name="_ENREF_48"/>
      <w:r w:rsidRPr="006F79C1">
        <w:rPr>
          <w:noProof/>
        </w:rPr>
        <w:t xml:space="preserve">Nuzzo, F., C. Gallo, S. Lastoria, M. Di Maio, M. C. Piccirillo, A. Gravina, G. Landi, E. Rossi, C. Pacilio, V. Labonia, F. Di Rella, A. Bartiromo, G. Buonfanti, G. De Feo, G. Esposito, R. D'Aniello, P. Maiolino, S. Signoriello, E. De Maio, V. Tinessa, G. Colantuoni, M. De Laurentiis, M. D'Aiuto, M. Di Bonito, G. Botti, P. Giordano, G. Daniele, A. Morabito, N. Normanno, A. de Matteis and F. Perrone (2012). "Bone effect of adjuvant tamoxifen, letrozole or letrozole plus zoledronic acid in early-stage breast cancer: the randomized phase 3 HOBOE study." </w:t>
      </w:r>
      <w:r w:rsidRPr="006F79C1">
        <w:rPr>
          <w:noProof/>
          <w:u w:val="single"/>
        </w:rPr>
        <w:t>Annals of Oncology</w:t>
      </w:r>
      <w:r w:rsidRPr="006F79C1">
        <w:rPr>
          <w:noProof/>
        </w:rPr>
        <w:t xml:space="preserve"> </w:t>
      </w:r>
      <w:r w:rsidRPr="006F79C1">
        <w:rPr>
          <w:b/>
          <w:noProof/>
        </w:rPr>
        <w:t>23</w:t>
      </w:r>
      <w:r w:rsidRPr="006F79C1">
        <w:rPr>
          <w:noProof/>
        </w:rPr>
        <w:t>(8): 2027-2033.</w:t>
      </w:r>
      <w:bookmarkEnd w:id="246"/>
    </w:p>
    <w:p w:rsidR="006F79C1" w:rsidRPr="006F79C1" w:rsidRDefault="006F79C1" w:rsidP="006F79C1">
      <w:pPr>
        <w:rPr>
          <w:noProof/>
        </w:rPr>
      </w:pPr>
      <w:bookmarkStart w:id="247" w:name="_ENREF_49"/>
      <w:r w:rsidRPr="006F79C1">
        <w:rPr>
          <w:noProof/>
        </w:rPr>
        <w:t xml:space="preserve">O'Flaherty, E. J. (2000). "Modeling normal aging bone loss, with consideration of bone loss in osteoporosis." </w:t>
      </w:r>
      <w:r w:rsidRPr="006F79C1">
        <w:rPr>
          <w:noProof/>
          <w:u w:val="single"/>
        </w:rPr>
        <w:t>Toxicol Sci.</w:t>
      </w:r>
      <w:r w:rsidRPr="006F79C1">
        <w:rPr>
          <w:noProof/>
        </w:rPr>
        <w:t xml:space="preserve"> </w:t>
      </w:r>
      <w:r w:rsidRPr="006F79C1">
        <w:rPr>
          <w:b/>
          <w:noProof/>
        </w:rPr>
        <w:t>55</w:t>
      </w:r>
      <w:r w:rsidRPr="006F79C1">
        <w:rPr>
          <w:noProof/>
        </w:rPr>
        <w:t>(1): 171-188.</w:t>
      </w:r>
      <w:bookmarkEnd w:id="247"/>
    </w:p>
    <w:p w:rsidR="006F79C1" w:rsidRPr="006F79C1" w:rsidRDefault="006F79C1" w:rsidP="006F79C1">
      <w:pPr>
        <w:rPr>
          <w:noProof/>
        </w:rPr>
      </w:pPr>
      <w:bookmarkStart w:id="248" w:name="_ENREF_50"/>
      <w:r w:rsidRPr="006F79C1">
        <w:rPr>
          <w:noProof/>
        </w:rPr>
        <w:t xml:space="preserve">Pasco, J. A., S. L. Brennan, M. J. Henry, G. C. Nicholson, K. M. Sanders, Y. Zhang and M. A. Kotowicz (2011). "Changes in hip fracture rates in southeastern Australia spanning the period 1994-2007." </w:t>
      </w:r>
      <w:r w:rsidRPr="006F79C1">
        <w:rPr>
          <w:noProof/>
          <w:u w:val="single"/>
        </w:rPr>
        <w:t>J Bone Miner Res.</w:t>
      </w:r>
      <w:r w:rsidRPr="006F79C1">
        <w:rPr>
          <w:noProof/>
        </w:rPr>
        <w:t xml:space="preserve"> </w:t>
      </w:r>
      <w:r w:rsidRPr="006F79C1">
        <w:rPr>
          <w:b/>
          <w:noProof/>
        </w:rPr>
        <w:t>26</w:t>
      </w:r>
      <w:r w:rsidRPr="006F79C1">
        <w:rPr>
          <w:noProof/>
        </w:rPr>
        <w:t>(7): 1648-1654. doi: 1610.1002/jbmr.1393.</w:t>
      </w:r>
      <w:bookmarkEnd w:id="248"/>
    </w:p>
    <w:p w:rsidR="006F79C1" w:rsidRPr="006F79C1" w:rsidRDefault="006F79C1" w:rsidP="006F79C1">
      <w:pPr>
        <w:rPr>
          <w:noProof/>
        </w:rPr>
      </w:pPr>
      <w:bookmarkStart w:id="249" w:name="_ENREF_51"/>
      <w:r w:rsidRPr="006F79C1">
        <w:rPr>
          <w:noProof/>
        </w:rPr>
        <w:t xml:space="preserve">Perez, E. A. and K. Weilbaecher (2006). "Aromatase inhibitors and bone loss." </w:t>
      </w:r>
      <w:r w:rsidRPr="006F79C1">
        <w:rPr>
          <w:noProof/>
          <w:u w:val="single"/>
        </w:rPr>
        <w:t>Oncology (Williston Park)</w:t>
      </w:r>
      <w:r w:rsidRPr="006F79C1">
        <w:rPr>
          <w:noProof/>
        </w:rPr>
        <w:t xml:space="preserve"> </w:t>
      </w:r>
      <w:r w:rsidRPr="006F79C1">
        <w:rPr>
          <w:b/>
          <w:noProof/>
        </w:rPr>
        <w:t>20</w:t>
      </w:r>
      <w:r w:rsidRPr="006F79C1">
        <w:rPr>
          <w:noProof/>
        </w:rPr>
        <w:t>(9): 1029-1039; discussion 1039-1040, 1042, 1048.</w:t>
      </w:r>
      <w:bookmarkEnd w:id="249"/>
    </w:p>
    <w:p w:rsidR="006F79C1" w:rsidRPr="006F79C1" w:rsidRDefault="006F79C1" w:rsidP="006F79C1">
      <w:pPr>
        <w:rPr>
          <w:noProof/>
        </w:rPr>
      </w:pPr>
      <w:bookmarkStart w:id="250" w:name="_ENREF_52"/>
      <w:r w:rsidRPr="006F79C1">
        <w:rPr>
          <w:noProof/>
        </w:rPr>
        <w:t xml:space="preserve">Rastelli, A. L., M. E. Taylor, F. Gao, R. Armamento-Villareal, S. Jamalabadi-Majidi, N. Napoli and M. J. Ellis (2011) "Vitamin D and aromatase inhibitor-induced musculoskeletal symptoms (AIMSS): a phase II, double-blind, placebo-controlled, randomized trial." </w:t>
      </w:r>
      <w:r w:rsidRPr="006F79C1">
        <w:rPr>
          <w:noProof/>
          <w:u w:val="single"/>
        </w:rPr>
        <w:t>Breast cancer research and treatment</w:t>
      </w:r>
      <w:r w:rsidRPr="006F79C1">
        <w:rPr>
          <w:noProof/>
        </w:rPr>
        <w:t xml:space="preserve"> </w:t>
      </w:r>
      <w:r w:rsidRPr="006F79C1">
        <w:rPr>
          <w:b/>
          <w:noProof/>
        </w:rPr>
        <w:t>129</w:t>
      </w:r>
      <w:r w:rsidRPr="006F79C1">
        <w:rPr>
          <w:noProof/>
        </w:rPr>
        <w:t>, 107-116 DOI: 10.1007/s10549-011-1644-6.</w:t>
      </w:r>
      <w:bookmarkEnd w:id="250"/>
    </w:p>
    <w:p w:rsidR="006F79C1" w:rsidRPr="006F79C1" w:rsidRDefault="006F79C1" w:rsidP="006F79C1">
      <w:pPr>
        <w:rPr>
          <w:noProof/>
        </w:rPr>
      </w:pPr>
      <w:bookmarkStart w:id="251" w:name="_ENREF_53"/>
      <w:r w:rsidRPr="006F79C1">
        <w:rPr>
          <w:noProof/>
        </w:rPr>
        <w:t xml:space="preserve">Reid, I. R., M. J. Bolland and A. Grey (2014). "Effects of vitamin D supplements on bone mineral density: a systematic review and meta-analysis." </w:t>
      </w:r>
      <w:r w:rsidRPr="006F79C1">
        <w:rPr>
          <w:noProof/>
          <w:u w:val="single"/>
        </w:rPr>
        <w:t>Lancet.</w:t>
      </w:r>
      <w:r w:rsidRPr="006F79C1">
        <w:rPr>
          <w:noProof/>
        </w:rPr>
        <w:t xml:space="preserve"> </w:t>
      </w:r>
      <w:r w:rsidRPr="006F79C1">
        <w:rPr>
          <w:b/>
          <w:noProof/>
        </w:rPr>
        <w:t>383</w:t>
      </w:r>
      <w:r w:rsidRPr="006F79C1">
        <w:rPr>
          <w:noProof/>
        </w:rPr>
        <w:t>(9912): 146-155. doi: 110.1016/S0140-6736(1013)61647-61645. Epub 62013 Oct 61611.</w:t>
      </w:r>
      <w:bookmarkEnd w:id="251"/>
    </w:p>
    <w:p w:rsidR="006F79C1" w:rsidRPr="006F79C1" w:rsidRDefault="006F79C1" w:rsidP="006F79C1">
      <w:pPr>
        <w:rPr>
          <w:noProof/>
        </w:rPr>
      </w:pPr>
      <w:bookmarkStart w:id="252" w:name="_ENREF_54"/>
      <w:r w:rsidRPr="006F79C1">
        <w:rPr>
          <w:noProof/>
        </w:rPr>
        <w:t xml:space="preserve">Rhee, Y., K. Song, S. Park, H. S. Park, S. K. Lim and B. W. Park (2013) "Efficacy of a combined alendronate and calcitriol agent (Maxmarvil) in Korean </w:t>
      </w:r>
      <w:r w:rsidR="007A119D">
        <w:rPr>
          <w:noProof/>
        </w:rPr>
        <w:t>post-menopaus</w:t>
      </w:r>
      <w:r w:rsidRPr="006F79C1">
        <w:rPr>
          <w:noProof/>
        </w:rPr>
        <w:t xml:space="preserve">al women with early breast cancer receiving aromatase inhibitor: A double-blind, </w:t>
      </w:r>
      <w:r w:rsidRPr="006F79C1">
        <w:rPr>
          <w:noProof/>
        </w:rPr>
        <w:lastRenderedPageBreak/>
        <w:t xml:space="preserve">randomized, placebo-controlled study." </w:t>
      </w:r>
      <w:r w:rsidRPr="006F79C1">
        <w:rPr>
          <w:noProof/>
          <w:u w:val="single"/>
        </w:rPr>
        <w:t>Endocrine Journal</w:t>
      </w:r>
      <w:r w:rsidRPr="006F79C1">
        <w:rPr>
          <w:noProof/>
        </w:rPr>
        <w:t xml:space="preserve"> </w:t>
      </w:r>
      <w:r w:rsidRPr="006F79C1">
        <w:rPr>
          <w:b/>
          <w:noProof/>
        </w:rPr>
        <w:t>60</w:t>
      </w:r>
      <w:r w:rsidRPr="006F79C1">
        <w:rPr>
          <w:noProof/>
        </w:rPr>
        <w:t xml:space="preserve">, 167-172 DOI: </w:t>
      </w:r>
      <w:hyperlink r:id="rId62" w:tooltip="Link to Endocrine Journal 2013 Number 2 page 167 to 172" w:history="1">
        <w:r w:rsidRPr="006F79C1">
          <w:rPr>
            <w:rStyle w:val="Hyperlink"/>
            <w:noProof/>
          </w:rPr>
          <w:t>http://dx.doi.org/10.1507/endocrj.EJ12-0283</w:t>
        </w:r>
      </w:hyperlink>
      <w:r w:rsidRPr="006F79C1">
        <w:rPr>
          <w:noProof/>
        </w:rPr>
        <w:t>.</w:t>
      </w:r>
      <w:bookmarkEnd w:id="252"/>
    </w:p>
    <w:p w:rsidR="006F79C1" w:rsidRPr="006F79C1" w:rsidRDefault="006F79C1" w:rsidP="006F79C1">
      <w:pPr>
        <w:rPr>
          <w:noProof/>
        </w:rPr>
      </w:pPr>
      <w:bookmarkStart w:id="253" w:name="_ENREF_55"/>
      <w:r w:rsidRPr="006F79C1">
        <w:rPr>
          <w:noProof/>
        </w:rPr>
        <w:t xml:space="preserve">Rowell, D. and L. Gordon (2013). "Testing for vitamin D and other trends in the clinical management of osteoporosis." </w:t>
      </w:r>
      <w:r w:rsidRPr="006F79C1">
        <w:rPr>
          <w:noProof/>
          <w:u w:val="single"/>
        </w:rPr>
        <w:t>Arch Osteoporos</w:t>
      </w:r>
      <w:r w:rsidRPr="006F79C1">
        <w:rPr>
          <w:noProof/>
        </w:rPr>
        <w:t xml:space="preserve"> </w:t>
      </w:r>
      <w:r w:rsidRPr="006F79C1">
        <w:rPr>
          <w:b/>
          <w:noProof/>
        </w:rPr>
        <w:t>8</w:t>
      </w:r>
      <w:r w:rsidRPr="006F79C1">
        <w:rPr>
          <w:noProof/>
        </w:rPr>
        <w:t>(1-2): 161. doi: 110.1007/s11657-11013-10161-11650. Epub 12013 Nov 11621.</w:t>
      </w:r>
      <w:bookmarkEnd w:id="253"/>
    </w:p>
    <w:p w:rsidR="006F79C1" w:rsidRPr="006F79C1" w:rsidRDefault="006F79C1" w:rsidP="006F79C1">
      <w:pPr>
        <w:rPr>
          <w:noProof/>
        </w:rPr>
      </w:pPr>
      <w:bookmarkStart w:id="254" w:name="_ENREF_56"/>
      <w:r w:rsidRPr="006F79C1">
        <w:rPr>
          <w:noProof/>
        </w:rPr>
        <w:t xml:space="preserve">Rud, B., J. Hilden, L. Hyldstrup and A. Hrobjartsson (2007) "Performance of the Osteoporosis Self-Assessment Tool in ruling out low bone mineral density in </w:t>
      </w:r>
      <w:r w:rsidR="007A119D">
        <w:rPr>
          <w:noProof/>
        </w:rPr>
        <w:t>post-menopaus</w:t>
      </w:r>
      <w:r w:rsidRPr="006F79C1">
        <w:rPr>
          <w:noProof/>
        </w:rPr>
        <w:t xml:space="preserve">al women: a systematic review (Structured abstract)." </w:t>
      </w:r>
      <w:r w:rsidRPr="006F79C1">
        <w:rPr>
          <w:noProof/>
          <w:u w:val="single"/>
        </w:rPr>
        <w:t>Osteoporosis International</w:t>
      </w:r>
      <w:r w:rsidRPr="006F79C1">
        <w:rPr>
          <w:noProof/>
        </w:rPr>
        <w:t xml:space="preserve"> </w:t>
      </w:r>
      <w:r w:rsidRPr="006F79C1">
        <w:rPr>
          <w:b/>
          <w:noProof/>
        </w:rPr>
        <w:t>18</w:t>
      </w:r>
      <w:r w:rsidRPr="006F79C1">
        <w:rPr>
          <w:noProof/>
        </w:rPr>
        <w:t>, 1177-1187.</w:t>
      </w:r>
      <w:bookmarkEnd w:id="254"/>
    </w:p>
    <w:p w:rsidR="006F79C1" w:rsidRPr="006F79C1" w:rsidRDefault="006F79C1" w:rsidP="006F79C1">
      <w:pPr>
        <w:rPr>
          <w:noProof/>
        </w:rPr>
      </w:pPr>
      <w:bookmarkStart w:id="255" w:name="_ENREF_57"/>
      <w:r w:rsidRPr="006F79C1">
        <w:rPr>
          <w:noProof/>
        </w:rPr>
        <w:t xml:space="preserve">Safra, T., R. Bernstein-Molho, J. Greenberg, S. Pelles-Avraham, I. Stephansky, D. Sarid, M. J. Inbar, S. M. Stemmer and D. B. Geffen (2011) "The protective effect of zoledronic acid on bone loss in </w:t>
      </w:r>
      <w:r w:rsidR="007A119D">
        <w:rPr>
          <w:noProof/>
        </w:rPr>
        <w:t>post-menopaus</w:t>
      </w:r>
      <w:r w:rsidRPr="006F79C1">
        <w:rPr>
          <w:noProof/>
        </w:rPr>
        <w:t xml:space="preserve">al women with early breast cancer treated with sequential tamoxifen and letrozole: a prospective, randomized, phase II trial." </w:t>
      </w:r>
      <w:r w:rsidRPr="006F79C1">
        <w:rPr>
          <w:noProof/>
          <w:u w:val="single"/>
        </w:rPr>
        <w:t>Oncology</w:t>
      </w:r>
      <w:r w:rsidRPr="006F79C1">
        <w:rPr>
          <w:noProof/>
        </w:rPr>
        <w:t xml:space="preserve"> </w:t>
      </w:r>
      <w:r w:rsidRPr="006F79C1">
        <w:rPr>
          <w:b/>
          <w:noProof/>
        </w:rPr>
        <w:t>81</w:t>
      </w:r>
      <w:r w:rsidRPr="006F79C1">
        <w:rPr>
          <w:noProof/>
        </w:rPr>
        <w:t>, 298-305 DOI: 10.1159/000334456.</w:t>
      </w:r>
      <w:bookmarkEnd w:id="255"/>
    </w:p>
    <w:p w:rsidR="006F79C1" w:rsidRPr="006F79C1" w:rsidRDefault="006F79C1" w:rsidP="006F79C1">
      <w:pPr>
        <w:rPr>
          <w:noProof/>
        </w:rPr>
      </w:pPr>
      <w:bookmarkStart w:id="256" w:name="_ENREF_58"/>
      <w:r w:rsidRPr="006F79C1">
        <w:rPr>
          <w:noProof/>
        </w:rPr>
        <w:t xml:space="preserve">Silverman, S. L., J. T. Schousboe and D. T. Gold (2011). "Oral bisphosphonate compliance and persistence: a matter of choice?" </w:t>
      </w:r>
      <w:r w:rsidRPr="006F79C1">
        <w:rPr>
          <w:noProof/>
          <w:u w:val="single"/>
        </w:rPr>
        <w:t>Osteoporos Int.</w:t>
      </w:r>
      <w:r w:rsidRPr="006F79C1">
        <w:rPr>
          <w:noProof/>
        </w:rPr>
        <w:t xml:space="preserve"> </w:t>
      </w:r>
      <w:r w:rsidRPr="006F79C1">
        <w:rPr>
          <w:b/>
          <w:noProof/>
        </w:rPr>
        <w:t>22</w:t>
      </w:r>
      <w:r w:rsidRPr="006F79C1">
        <w:rPr>
          <w:noProof/>
        </w:rPr>
        <w:t>(1): 21-26. doi: 10.1007/s00198-00010-01274-00196. Epub 02010 May 00111.</w:t>
      </w:r>
      <w:bookmarkEnd w:id="256"/>
    </w:p>
    <w:p w:rsidR="006F79C1" w:rsidRPr="006F79C1" w:rsidRDefault="006F79C1" w:rsidP="006F79C1">
      <w:pPr>
        <w:rPr>
          <w:noProof/>
        </w:rPr>
      </w:pPr>
      <w:bookmarkStart w:id="257" w:name="_ENREF_59"/>
      <w:r w:rsidRPr="006F79C1">
        <w:rPr>
          <w:noProof/>
        </w:rPr>
        <w:t xml:space="preserve">Takahashi, S., T. Iwase, N. Kohno, T. Ishikawa, T. Taguchi, M. Takahashi, J. Horiguchi, S. Nakamura, Y. Hozumi, M. Fukunaga and S. Noguchi (2012) "Efficacy of zoledronic acid in </w:t>
      </w:r>
      <w:r w:rsidR="007A119D">
        <w:rPr>
          <w:noProof/>
        </w:rPr>
        <w:t>post-menopaus</w:t>
      </w:r>
      <w:r w:rsidRPr="006F79C1">
        <w:rPr>
          <w:noProof/>
        </w:rPr>
        <w:t xml:space="preserve">al Japanese women with early breast cancer receiving adjuvant letrozole: 12-month results." </w:t>
      </w:r>
      <w:r w:rsidRPr="006F79C1">
        <w:rPr>
          <w:noProof/>
          <w:u w:val="single"/>
        </w:rPr>
        <w:t>Breast Cancer Research and Treatment</w:t>
      </w:r>
      <w:r w:rsidRPr="006F79C1">
        <w:rPr>
          <w:noProof/>
        </w:rPr>
        <w:t xml:space="preserve"> </w:t>
      </w:r>
      <w:r w:rsidRPr="006F79C1">
        <w:rPr>
          <w:b/>
          <w:noProof/>
        </w:rPr>
        <w:t>133</w:t>
      </w:r>
      <w:r w:rsidRPr="006F79C1">
        <w:rPr>
          <w:noProof/>
        </w:rPr>
        <w:t xml:space="preserve">, 685-693 DOI: </w:t>
      </w:r>
      <w:hyperlink r:id="rId63" w:tooltip="Link to Efficacy of zoledronic acid in postmenopausal Japanese women with early breast cancer receiving adjuvant letrozole article" w:history="1">
        <w:r w:rsidRPr="006F79C1">
          <w:rPr>
            <w:rStyle w:val="Hyperlink"/>
            <w:noProof/>
          </w:rPr>
          <w:t>http://dx.doi.org/10.1007/s10549-012-1973-0</w:t>
        </w:r>
      </w:hyperlink>
      <w:r w:rsidRPr="006F79C1">
        <w:rPr>
          <w:noProof/>
        </w:rPr>
        <w:t>.</w:t>
      </w:r>
      <w:bookmarkEnd w:id="257"/>
    </w:p>
    <w:p w:rsidR="006F79C1" w:rsidRPr="006F79C1" w:rsidRDefault="006F79C1" w:rsidP="006F79C1">
      <w:pPr>
        <w:rPr>
          <w:noProof/>
        </w:rPr>
      </w:pPr>
      <w:bookmarkStart w:id="258" w:name="_ENREF_60"/>
      <w:r w:rsidRPr="006F79C1">
        <w:rPr>
          <w:noProof/>
        </w:rPr>
        <w:t xml:space="preserve">Torpy, A. M., S. L. Brennan, M. A. Kotowicz and J. A. Pasco (2012). "Reasons for referral to bone densitometry in men and women aged 20-49 years: population-based data." </w:t>
      </w:r>
      <w:r w:rsidRPr="006F79C1">
        <w:rPr>
          <w:noProof/>
          <w:u w:val="single"/>
        </w:rPr>
        <w:t>Arch Osteoporos.</w:t>
      </w:r>
      <w:r w:rsidRPr="006F79C1">
        <w:rPr>
          <w:noProof/>
        </w:rPr>
        <w:t xml:space="preserve"> </w:t>
      </w:r>
      <w:r w:rsidRPr="006F79C1">
        <w:rPr>
          <w:b/>
          <w:noProof/>
        </w:rPr>
        <w:t>7</w:t>
      </w:r>
      <w:r w:rsidRPr="006F79C1">
        <w:rPr>
          <w:noProof/>
        </w:rPr>
        <w:t>(1-2): 173-178. doi: 110.1007/s11657-11012-10094-z. Epub 12012 Aug 11629.</w:t>
      </w:r>
      <w:bookmarkEnd w:id="258"/>
    </w:p>
    <w:p w:rsidR="006F79C1" w:rsidRPr="006F79C1" w:rsidRDefault="006F79C1" w:rsidP="006F79C1">
      <w:pPr>
        <w:rPr>
          <w:noProof/>
        </w:rPr>
      </w:pPr>
      <w:bookmarkStart w:id="259" w:name="_ENREF_61"/>
      <w:r w:rsidRPr="006F79C1">
        <w:rPr>
          <w:noProof/>
        </w:rPr>
        <w:t xml:space="preserve">Verry, H., S. J. Lord, A. Martin, G. Gill, C. K. Lee, K. Howard, N. Wetzig and J. Simes (2012). "Effectiveness and cost-effectiveness of sentinel lymph node biopsy compared with axillary node dissection in patients with early-stage breast cancer: a decision model analysis." </w:t>
      </w:r>
      <w:r w:rsidRPr="006F79C1">
        <w:rPr>
          <w:noProof/>
          <w:u w:val="single"/>
        </w:rPr>
        <w:t>Br J Cancer.</w:t>
      </w:r>
      <w:r w:rsidRPr="006F79C1">
        <w:rPr>
          <w:noProof/>
        </w:rPr>
        <w:t xml:space="preserve"> </w:t>
      </w:r>
      <w:r w:rsidRPr="006F79C1">
        <w:rPr>
          <w:b/>
          <w:noProof/>
        </w:rPr>
        <w:t>106</w:t>
      </w:r>
      <w:r w:rsidRPr="006F79C1">
        <w:rPr>
          <w:noProof/>
        </w:rPr>
        <w:t>(6): 1045-1052. doi: 1010.1038/bjc.2012.1062.</w:t>
      </w:r>
      <w:bookmarkEnd w:id="259"/>
    </w:p>
    <w:p w:rsidR="006F79C1" w:rsidRPr="006F79C1" w:rsidRDefault="006F79C1" w:rsidP="006F79C1">
      <w:pPr>
        <w:rPr>
          <w:noProof/>
        </w:rPr>
      </w:pPr>
      <w:bookmarkStart w:id="260" w:name="_ENREF_62"/>
      <w:r w:rsidRPr="006F79C1">
        <w:rPr>
          <w:noProof/>
        </w:rPr>
        <w:t xml:space="preserve">Viney, R., R. Norman, M. T. King, P. Cronin, D. J. Street, S. Knox and J. Ratcliffe (2011). "Time trade-off derived EQ-5D weights for Australia." </w:t>
      </w:r>
      <w:r w:rsidRPr="006F79C1">
        <w:rPr>
          <w:noProof/>
          <w:u w:val="single"/>
        </w:rPr>
        <w:t>Value Health.</w:t>
      </w:r>
      <w:r w:rsidRPr="006F79C1">
        <w:rPr>
          <w:noProof/>
        </w:rPr>
        <w:t xml:space="preserve"> </w:t>
      </w:r>
      <w:r w:rsidRPr="006F79C1">
        <w:rPr>
          <w:b/>
          <w:noProof/>
        </w:rPr>
        <w:t>14</w:t>
      </w:r>
      <w:r w:rsidRPr="006F79C1">
        <w:rPr>
          <w:noProof/>
        </w:rPr>
        <w:t>(6): 928-936. doi: 910.1016/j.jval.2011.1004.1009. Epub 2011 Aug 1014.</w:t>
      </w:r>
      <w:bookmarkEnd w:id="260"/>
    </w:p>
    <w:p w:rsidR="003F6ADF" w:rsidRPr="009E5C5B" w:rsidRDefault="003D3549" w:rsidP="006F79C1">
      <w:r>
        <w:fldChar w:fldCharType="end"/>
      </w:r>
    </w:p>
    <w:sectPr w:rsidR="003F6ADF" w:rsidRPr="009E5C5B" w:rsidSect="00347EC2">
      <w:pgSz w:w="11906" w:h="16838"/>
      <w:pgMar w:top="1440" w:right="1440" w:bottom="1440" w:left="1440"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C70" w:rsidRDefault="007F6C70">
      <w:r>
        <w:separator/>
      </w:r>
    </w:p>
  </w:endnote>
  <w:endnote w:type="continuationSeparator" w:id="0">
    <w:p w:rsidR="007F6C70" w:rsidRDefault="007F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dvTT3713a231">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Default="007F6C70">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Default="007F6C70">
    <w:pPr>
      <w:pStyle w:val="Footer"/>
      <w:pBdr>
        <w:top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Default="007F6C70" w:rsidP="00E742A2">
    <w:pPr>
      <w:pStyle w:val="Footer"/>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Pr="00C843FF" w:rsidRDefault="007F6C70" w:rsidP="002F44D3">
    <w:pPr>
      <w:pStyle w:val="Footer"/>
      <w:pBdr>
        <w:top w:val="single" w:sz="4" w:space="1" w:color="auto"/>
      </w:pBdr>
      <w:tabs>
        <w:tab w:val="clear" w:pos="9000"/>
        <w:tab w:val="left" w:pos="630"/>
        <w:tab w:val="left" w:pos="3402"/>
        <w:tab w:val="left" w:pos="6691"/>
        <w:tab w:val="left" w:pos="7088"/>
        <w:tab w:val="left" w:pos="9001"/>
        <w:tab w:val="right" w:pos="9072"/>
      </w:tabs>
      <w:ind w:left="658" w:right="95" w:hanging="14"/>
      <w:jc w:val="center"/>
      <w:rPr>
        <w:rFonts w:cs="Arial"/>
      </w:rPr>
    </w:pPr>
    <w:r>
      <w:rPr>
        <w:rStyle w:val="PageNumber"/>
        <w:rFonts w:ascii="Arial" w:hAnsi="Arial" w:cs="Arial"/>
        <w:b/>
        <w:sz w:val="20"/>
      </w:rPr>
      <w:t xml:space="preserve">Page </w:t>
    </w:r>
    <w:r w:rsidRPr="000B0364">
      <w:rPr>
        <w:rStyle w:val="PageNumber"/>
        <w:rFonts w:ascii="Arial" w:hAnsi="Arial" w:cs="Arial"/>
        <w:b/>
        <w:sz w:val="20"/>
      </w:rPr>
      <w:fldChar w:fldCharType="begin"/>
    </w:r>
    <w:r w:rsidRPr="000B0364">
      <w:rPr>
        <w:rStyle w:val="PageNumber"/>
        <w:rFonts w:ascii="Arial" w:hAnsi="Arial" w:cs="Arial"/>
        <w:b/>
        <w:sz w:val="20"/>
      </w:rPr>
      <w:instrText xml:space="preserve"> PAGE </w:instrText>
    </w:r>
    <w:r w:rsidRPr="000B0364">
      <w:rPr>
        <w:rStyle w:val="PageNumber"/>
        <w:rFonts w:ascii="Arial" w:hAnsi="Arial" w:cs="Arial"/>
        <w:b/>
        <w:sz w:val="20"/>
      </w:rPr>
      <w:fldChar w:fldCharType="separate"/>
    </w:r>
    <w:r w:rsidR="0049135A">
      <w:rPr>
        <w:rStyle w:val="PageNumber"/>
        <w:rFonts w:ascii="Arial" w:hAnsi="Arial" w:cs="Arial"/>
        <w:b/>
        <w:noProof/>
        <w:sz w:val="20"/>
      </w:rPr>
      <w:t>40</w:t>
    </w:r>
    <w:r w:rsidRPr="000B0364">
      <w:rPr>
        <w:rStyle w:val="PageNumber"/>
        <w:rFonts w:ascii="Arial" w:hAnsi="Arial" w:cs="Arial"/>
        <w:b/>
        <w:sz w:val="20"/>
      </w:rPr>
      <w:fldChar w:fldCharType="end"/>
    </w:r>
    <w:r>
      <w:rPr>
        <w:rStyle w:val="PageNumber"/>
        <w:rFonts w:ascii="Arial" w:hAnsi="Arial" w:cs="Arial"/>
        <w:b/>
        <w:sz w:val="20"/>
      </w:rPr>
      <w:t xml:space="preserve"> of </w:t>
    </w:r>
    <w:r w:rsidRPr="00894FB1">
      <w:rPr>
        <w:rStyle w:val="PageNumber"/>
        <w:rFonts w:ascii="Arial" w:hAnsi="Arial" w:cs="Arial"/>
        <w:b/>
        <w:sz w:val="20"/>
      </w:rPr>
      <w:fldChar w:fldCharType="begin"/>
    </w:r>
    <w:r w:rsidRPr="00894FB1">
      <w:rPr>
        <w:rStyle w:val="PageNumber"/>
        <w:rFonts w:ascii="Arial" w:hAnsi="Arial" w:cs="Arial"/>
        <w:b/>
        <w:sz w:val="20"/>
      </w:rPr>
      <w:instrText xml:space="preserve"> NUMPAGES </w:instrText>
    </w:r>
    <w:r w:rsidRPr="00894FB1">
      <w:rPr>
        <w:rStyle w:val="PageNumber"/>
        <w:rFonts w:ascii="Arial" w:hAnsi="Arial" w:cs="Arial"/>
        <w:b/>
        <w:sz w:val="20"/>
      </w:rPr>
      <w:fldChar w:fldCharType="separate"/>
    </w:r>
    <w:r w:rsidR="0049135A">
      <w:rPr>
        <w:rStyle w:val="PageNumber"/>
        <w:rFonts w:ascii="Arial" w:hAnsi="Arial" w:cs="Arial"/>
        <w:b/>
        <w:noProof/>
        <w:sz w:val="20"/>
      </w:rPr>
      <w:t>112</w:t>
    </w:r>
    <w:r w:rsidRPr="00894FB1">
      <w:rPr>
        <w:rStyle w:val="PageNumber"/>
        <w:rFonts w:ascii="Arial" w:hAnsi="Arial" w:cs="Arial"/>
        <w:b/>
        <w:sz w:val="20"/>
      </w:rPr>
      <w:fldChar w:fldCharType="end"/>
    </w:r>
    <w:r w:rsidRPr="000B0364">
      <w:rPr>
        <w:rStyle w:val="PageNumber"/>
        <w:rFonts w:ascii="Arial" w:hAnsi="Arial" w:cs="Arial"/>
        <w:b/>
        <w:sz w:val="20"/>
      </w:rPr>
      <w:tab/>
    </w:r>
    <w:r w:rsidRPr="000B0364">
      <w:rPr>
        <w:rStyle w:val="PageNumber"/>
        <w:rFonts w:ascii="Arial" w:hAnsi="Arial" w:cs="Arial"/>
        <w:b/>
        <w:sz w:val="20"/>
      </w:rPr>
      <w:tab/>
    </w:r>
    <w:r>
      <w:rPr>
        <w:rFonts w:cs="Arial"/>
      </w:rPr>
      <w:t>DXA 1313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Pr="00C843FF" w:rsidRDefault="007F6C70" w:rsidP="00A12E71">
    <w:pPr>
      <w:pStyle w:val="Footer"/>
      <w:pBdr>
        <w:top w:val="single" w:sz="4" w:space="1" w:color="auto"/>
      </w:pBdr>
      <w:tabs>
        <w:tab w:val="left" w:pos="3402"/>
        <w:tab w:val="left" w:pos="6804"/>
      </w:tabs>
      <w:rPr>
        <w:rStyle w:val="PageNumber"/>
        <w:rFonts w:ascii="Arial" w:hAnsi="Arial" w:cs="Arial"/>
        <w:sz w:val="20"/>
      </w:rPr>
    </w:pPr>
    <w:r>
      <w:rPr>
        <w:rFonts w:cs="Arial"/>
      </w:rPr>
      <w:t>DXA 1313</w:t>
    </w:r>
    <w:r w:rsidRPr="00C843FF">
      <w:rPr>
        <w:rFonts w:cs="Arial"/>
      </w:rPr>
      <w:tab/>
      <w:t xml:space="preserve">Version </w:t>
    </w:r>
    <w:r>
      <w:rPr>
        <w:rFonts w:cs="Arial"/>
      </w:rPr>
      <w:t>No 3. 12/05/2014</w:t>
    </w:r>
    <w:r w:rsidRPr="00C843FF">
      <w:rPr>
        <w:rStyle w:val="PageNumber"/>
        <w:rFonts w:ascii="Arial" w:hAnsi="Arial" w:cs="Arial"/>
        <w:sz w:val="20"/>
      </w:rPr>
      <w:tab/>
    </w:r>
    <w:r>
      <w:rPr>
        <w:rStyle w:val="PageNumber"/>
        <w:rFonts w:ascii="Arial" w:hAnsi="Arial" w:cs="Arial"/>
        <w:sz w:val="20"/>
      </w:rPr>
      <w:tab/>
    </w:r>
    <w:r w:rsidRPr="00C843FF">
      <w:rPr>
        <w:rStyle w:val="PageNumber"/>
        <w:rFonts w:ascii="Arial" w:hAnsi="Arial" w:cs="Arial"/>
        <w:sz w:val="20"/>
      </w:rPr>
      <w:fldChar w:fldCharType="begin"/>
    </w:r>
    <w:r w:rsidRPr="00C843FF">
      <w:rPr>
        <w:rStyle w:val="PageNumber"/>
        <w:rFonts w:ascii="Arial" w:hAnsi="Arial" w:cs="Arial"/>
        <w:sz w:val="20"/>
      </w:rPr>
      <w:instrText xml:space="preserve"> PAGE </w:instrText>
    </w:r>
    <w:r w:rsidRPr="00C843FF">
      <w:rPr>
        <w:rStyle w:val="PageNumber"/>
        <w:rFonts w:ascii="Arial" w:hAnsi="Arial" w:cs="Arial"/>
        <w:sz w:val="20"/>
      </w:rPr>
      <w:fldChar w:fldCharType="separate"/>
    </w:r>
    <w:r w:rsidR="0049135A">
      <w:rPr>
        <w:rStyle w:val="PageNumber"/>
        <w:rFonts w:ascii="Arial" w:hAnsi="Arial" w:cs="Arial"/>
        <w:noProof/>
        <w:sz w:val="20"/>
      </w:rPr>
      <w:t>v</w:t>
    </w:r>
    <w:r w:rsidRPr="00C843FF">
      <w:rPr>
        <w:rStyle w:val="PageNumber"/>
        <w:rFonts w:ascii="Arial" w:hAnsi="Arial" w:cs="Arial"/>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Pr="00730C7A" w:rsidRDefault="007F6C70" w:rsidP="002F44D3">
    <w:pPr>
      <w:pStyle w:val="Footer"/>
      <w:pBdr>
        <w:top w:val="single" w:sz="4" w:space="0" w:color="auto"/>
      </w:pBdr>
      <w:tabs>
        <w:tab w:val="clear" w:pos="9000"/>
        <w:tab w:val="left" w:pos="3402"/>
        <w:tab w:val="left" w:pos="7371"/>
        <w:tab w:val="right" w:pos="9072"/>
        <w:tab w:val="right" w:pos="14628"/>
      </w:tabs>
      <w:ind w:left="0"/>
      <w:jc w:val="center"/>
      <w:rPr>
        <w:rStyle w:val="PageNumber"/>
      </w:rPr>
    </w:pPr>
    <w:r>
      <w:t>DXA 1313</w:t>
    </w:r>
    <w:r>
      <w:tab/>
    </w:r>
    <w:r w:rsidRPr="00C843FF">
      <w:rPr>
        <w:rFonts w:cs="Arial"/>
      </w:rPr>
      <w:t xml:space="preserve">Version </w:t>
    </w:r>
    <w:r>
      <w:rPr>
        <w:rFonts w:cs="Arial"/>
      </w:rPr>
      <w:t>No 3. 12/05/2014</w:t>
    </w:r>
    <w:r>
      <w:tab/>
    </w:r>
    <w:r>
      <w:tab/>
    </w: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49135A">
      <w:rPr>
        <w:noProof/>
        <w:snapToGrid w:val="0"/>
        <w:lang w:eastAsia="en-US"/>
      </w:rPr>
      <w:t>27</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49135A">
      <w:rPr>
        <w:noProof/>
        <w:snapToGrid w:val="0"/>
        <w:lang w:eastAsia="en-US"/>
      </w:rPr>
      <w:t>112</w:t>
    </w:r>
    <w:r>
      <w:rPr>
        <w:snapToGrid w:val="0"/>
        <w:lang w:eastAsia="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Pr="00730C7A" w:rsidRDefault="007F6C70" w:rsidP="00984380">
    <w:pPr>
      <w:pStyle w:val="Footer"/>
      <w:pBdr>
        <w:top w:val="single" w:sz="4" w:space="0" w:color="auto"/>
      </w:pBdr>
      <w:tabs>
        <w:tab w:val="clear" w:pos="9000"/>
        <w:tab w:val="left" w:pos="-14"/>
        <w:tab w:val="left" w:pos="3402"/>
        <w:tab w:val="left" w:pos="7371"/>
        <w:tab w:val="right" w:pos="9043"/>
        <w:tab w:val="right" w:pos="13998"/>
      </w:tabs>
      <w:ind w:left="0"/>
      <w:rPr>
        <w:rStyle w:val="PageNumber"/>
      </w:rPr>
    </w:pPr>
    <w:r>
      <w:t>DXA 1313</w:t>
    </w:r>
    <w:r>
      <w:tab/>
      <w:t>Version No.1 (24/04/2014)</w:t>
    </w:r>
    <w:r>
      <w:tab/>
    </w:r>
    <w:r>
      <w:tab/>
    </w: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49135A">
      <w:rPr>
        <w:noProof/>
        <w:snapToGrid w:val="0"/>
        <w:lang w:eastAsia="en-US"/>
      </w:rPr>
      <w:t>33</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49135A">
      <w:rPr>
        <w:noProof/>
        <w:snapToGrid w:val="0"/>
        <w:lang w:eastAsia="en-US"/>
      </w:rPr>
      <w:t>112</w:t>
    </w:r>
    <w:r>
      <w:rPr>
        <w:snapToGrid w:val="0"/>
        <w:lang w:eastAsia="en-U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Pr="009A3655" w:rsidRDefault="007F6C70" w:rsidP="009A3655">
    <w:pPr>
      <w:pStyle w:val="Footer"/>
      <w:pBdr>
        <w:top w:val="single" w:sz="4" w:space="1" w:color="auto"/>
      </w:pBdr>
      <w:tabs>
        <w:tab w:val="clear" w:pos="9000"/>
        <w:tab w:val="left" w:pos="3402"/>
        <w:tab w:val="right" w:pos="6804"/>
      </w:tabs>
      <w:jc w:val="center"/>
      <w:rPr>
        <w:rStyle w:val="PageNumber"/>
        <w:rFonts w:ascii="Arial" w:hAnsi="Arial" w:cs="Arial"/>
        <w:sz w:val="20"/>
      </w:rPr>
    </w:pPr>
    <w:r>
      <w:rPr>
        <w:rFonts w:cs="Arial"/>
      </w:rPr>
      <w:t>DXA 1313</w:t>
    </w:r>
    <w:r w:rsidRPr="009A3655">
      <w:rPr>
        <w:rFonts w:cs="Arial"/>
      </w:rPr>
      <w:tab/>
    </w:r>
    <w:r w:rsidRPr="00C843FF">
      <w:rPr>
        <w:rFonts w:cs="Arial"/>
      </w:rPr>
      <w:t xml:space="preserve">Version </w:t>
    </w:r>
    <w:r>
      <w:rPr>
        <w:rFonts w:cs="Arial"/>
      </w:rPr>
      <w:t>No 3. 12/05/2014</w:t>
    </w:r>
    <w:r w:rsidRPr="009A3655">
      <w:rPr>
        <w:rFonts w:cs="Arial"/>
      </w:rPr>
      <w:tab/>
    </w:r>
    <w:r w:rsidRPr="009A3655">
      <w:rPr>
        <w:rFonts w:cs="Arial"/>
      </w:rPr>
      <w:tab/>
    </w:r>
    <w:r w:rsidRPr="009A3655">
      <w:rPr>
        <w:rStyle w:val="PageNumber"/>
        <w:rFonts w:ascii="Arial" w:hAnsi="Arial" w:cs="Arial"/>
        <w:snapToGrid w:val="0"/>
        <w:sz w:val="20"/>
        <w:lang w:eastAsia="en-US"/>
      </w:rPr>
      <w:t xml:space="preserve">Page </w:t>
    </w:r>
    <w:r w:rsidRPr="009A3655">
      <w:rPr>
        <w:rStyle w:val="PageNumber"/>
        <w:rFonts w:ascii="Arial" w:hAnsi="Arial" w:cs="Arial"/>
        <w:snapToGrid w:val="0"/>
        <w:sz w:val="20"/>
        <w:lang w:eastAsia="en-US"/>
      </w:rPr>
      <w:fldChar w:fldCharType="begin"/>
    </w:r>
    <w:r w:rsidRPr="009A3655">
      <w:rPr>
        <w:rStyle w:val="PageNumber"/>
        <w:rFonts w:ascii="Arial" w:hAnsi="Arial" w:cs="Arial"/>
        <w:snapToGrid w:val="0"/>
        <w:sz w:val="20"/>
        <w:lang w:eastAsia="en-US"/>
      </w:rPr>
      <w:instrText xml:space="preserve"> PAGE </w:instrText>
    </w:r>
    <w:r w:rsidRPr="009A3655">
      <w:rPr>
        <w:rStyle w:val="PageNumber"/>
        <w:rFonts w:ascii="Arial" w:hAnsi="Arial" w:cs="Arial"/>
        <w:snapToGrid w:val="0"/>
        <w:sz w:val="20"/>
        <w:lang w:eastAsia="en-US"/>
      </w:rPr>
      <w:fldChar w:fldCharType="separate"/>
    </w:r>
    <w:r w:rsidR="0049135A">
      <w:rPr>
        <w:rStyle w:val="PageNumber"/>
        <w:rFonts w:ascii="Arial" w:hAnsi="Arial" w:cs="Arial"/>
        <w:noProof/>
        <w:snapToGrid w:val="0"/>
        <w:sz w:val="20"/>
        <w:lang w:eastAsia="en-US"/>
      </w:rPr>
      <w:t>111</w:t>
    </w:r>
    <w:r w:rsidRPr="009A3655">
      <w:rPr>
        <w:rStyle w:val="PageNumber"/>
        <w:rFonts w:ascii="Arial" w:hAnsi="Arial" w:cs="Arial"/>
        <w:snapToGrid w:val="0"/>
        <w:sz w:val="20"/>
        <w:lang w:eastAsia="en-US"/>
      </w:rPr>
      <w:fldChar w:fldCharType="end"/>
    </w:r>
    <w:r w:rsidRPr="009A3655">
      <w:rPr>
        <w:rStyle w:val="PageNumber"/>
        <w:rFonts w:ascii="Arial" w:hAnsi="Arial" w:cs="Arial"/>
        <w:snapToGrid w:val="0"/>
        <w:sz w:val="20"/>
        <w:lang w:eastAsia="en-US"/>
      </w:rPr>
      <w:t xml:space="preserve"> of </w:t>
    </w:r>
    <w:r w:rsidRPr="009A3655">
      <w:rPr>
        <w:rStyle w:val="PageNumber"/>
        <w:rFonts w:ascii="Arial" w:hAnsi="Arial" w:cs="Arial"/>
        <w:snapToGrid w:val="0"/>
        <w:sz w:val="20"/>
        <w:lang w:eastAsia="en-US"/>
      </w:rPr>
      <w:fldChar w:fldCharType="begin"/>
    </w:r>
    <w:r w:rsidRPr="009A3655">
      <w:rPr>
        <w:rStyle w:val="PageNumber"/>
        <w:rFonts w:ascii="Arial" w:hAnsi="Arial" w:cs="Arial"/>
        <w:snapToGrid w:val="0"/>
        <w:sz w:val="20"/>
        <w:lang w:eastAsia="en-US"/>
      </w:rPr>
      <w:instrText xml:space="preserve"> NUMPAGES </w:instrText>
    </w:r>
    <w:r w:rsidRPr="009A3655">
      <w:rPr>
        <w:rStyle w:val="PageNumber"/>
        <w:rFonts w:ascii="Arial" w:hAnsi="Arial" w:cs="Arial"/>
        <w:snapToGrid w:val="0"/>
        <w:sz w:val="20"/>
        <w:lang w:eastAsia="en-US"/>
      </w:rPr>
      <w:fldChar w:fldCharType="separate"/>
    </w:r>
    <w:r w:rsidR="0049135A">
      <w:rPr>
        <w:rStyle w:val="PageNumber"/>
        <w:rFonts w:ascii="Arial" w:hAnsi="Arial" w:cs="Arial"/>
        <w:noProof/>
        <w:snapToGrid w:val="0"/>
        <w:sz w:val="20"/>
        <w:lang w:eastAsia="en-US"/>
      </w:rPr>
      <w:t>112</w:t>
    </w:r>
    <w:r w:rsidRPr="009A3655">
      <w:rPr>
        <w:rStyle w:val="PageNumber"/>
        <w:rFonts w:ascii="Arial" w:hAnsi="Arial" w:cs="Arial"/>
        <w:snapToGrid w:val="0"/>
        <w:sz w:val="20"/>
        <w:lang w:eastAsia="en-US"/>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Pr="00F568FA" w:rsidRDefault="007F6C70" w:rsidP="00984380">
    <w:pPr>
      <w:pStyle w:val="Footer"/>
      <w:pBdr>
        <w:top w:val="single" w:sz="4" w:space="1" w:color="auto"/>
      </w:pBdr>
      <w:tabs>
        <w:tab w:val="clear" w:pos="9000"/>
        <w:tab w:val="left" w:pos="714"/>
        <w:tab w:val="left" w:pos="3402"/>
        <w:tab w:val="left" w:pos="6521"/>
        <w:tab w:val="right" w:pos="9043"/>
      </w:tabs>
      <w:rPr>
        <w:rStyle w:val="PageNumber"/>
        <w:rFonts w:ascii="Arial" w:hAnsi="Arial" w:cs="Arial"/>
        <w:b/>
        <w:sz w:val="20"/>
      </w:rPr>
    </w:pPr>
    <w:r w:rsidRPr="00F568FA">
      <w:rPr>
        <w:rStyle w:val="PageNumber"/>
        <w:rFonts w:ascii="Arial" w:hAnsi="Arial" w:cs="Arial"/>
        <w:b/>
        <w:snapToGrid w:val="0"/>
        <w:sz w:val="20"/>
        <w:lang w:eastAsia="en-US"/>
      </w:rPr>
      <w:t xml:space="preserve">Page </w:t>
    </w:r>
    <w:r w:rsidRPr="00F568FA">
      <w:rPr>
        <w:rStyle w:val="PageNumber"/>
        <w:rFonts w:ascii="Arial" w:hAnsi="Arial" w:cs="Arial"/>
        <w:b/>
        <w:snapToGrid w:val="0"/>
        <w:sz w:val="20"/>
        <w:lang w:eastAsia="en-US"/>
      </w:rPr>
      <w:fldChar w:fldCharType="begin"/>
    </w:r>
    <w:r w:rsidRPr="00F568FA">
      <w:rPr>
        <w:rStyle w:val="PageNumber"/>
        <w:rFonts w:ascii="Arial" w:hAnsi="Arial" w:cs="Arial"/>
        <w:b/>
        <w:snapToGrid w:val="0"/>
        <w:sz w:val="20"/>
        <w:lang w:eastAsia="en-US"/>
      </w:rPr>
      <w:instrText xml:space="preserve"> PAGE </w:instrText>
    </w:r>
    <w:r w:rsidRPr="00F568FA">
      <w:rPr>
        <w:rStyle w:val="PageNumber"/>
        <w:rFonts w:ascii="Arial" w:hAnsi="Arial" w:cs="Arial"/>
        <w:b/>
        <w:snapToGrid w:val="0"/>
        <w:sz w:val="20"/>
        <w:lang w:eastAsia="en-US"/>
      </w:rPr>
      <w:fldChar w:fldCharType="separate"/>
    </w:r>
    <w:r w:rsidR="0049135A">
      <w:rPr>
        <w:rStyle w:val="PageNumber"/>
        <w:rFonts w:ascii="Arial" w:hAnsi="Arial" w:cs="Arial"/>
        <w:b/>
        <w:noProof/>
        <w:snapToGrid w:val="0"/>
        <w:sz w:val="20"/>
        <w:lang w:eastAsia="en-US"/>
      </w:rPr>
      <w:t>112</w:t>
    </w:r>
    <w:r w:rsidRPr="00F568FA">
      <w:rPr>
        <w:rStyle w:val="PageNumber"/>
        <w:rFonts w:ascii="Arial" w:hAnsi="Arial" w:cs="Arial"/>
        <w:b/>
        <w:snapToGrid w:val="0"/>
        <w:sz w:val="20"/>
        <w:lang w:eastAsia="en-US"/>
      </w:rPr>
      <w:fldChar w:fldCharType="end"/>
    </w:r>
    <w:r w:rsidRPr="00F568FA">
      <w:rPr>
        <w:rStyle w:val="PageNumber"/>
        <w:rFonts w:ascii="Arial" w:hAnsi="Arial" w:cs="Arial"/>
        <w:b/>
        <w:snapToGrid w:val="0"/>
        <w:sz w:val="20"/>
        <w:lang w:eastAsia="en-US"/>
      </w:rPr>
      <w:t xml:space="preserve"> of </w:t>
    </w:r>
    <w:r w:rsidRPr="00F568FA">
      <w:rPr>
        <w:rStyle w:val="PageNumber"/>
        <w:rFonts w:ascii="Arial" w:hAnsi="Arial" w:cs="Arial"/>
        <w:b/>
        <w:snapToGrid w:val="0"/>
        <w:sz w:val="20"/>
        <w:lang w:eastAsia="en-US"/>
      </w:rPr>
      <w:fldChar w:fldCharType="begin"/>
    </w:r>
    <w:r w:rsidRPr="00F568FA">
      <w:rPr>
        <w:rStyle w:val="PageNumber"/>
        <w:rFonts w:ascii="Arial" w:hAnsi="Arial" w:cs="Arial"/>
        <w:b/>
        <w:snapToGrid w:val="0"/>
        <w:sz w:val="20"/>
        <w:lang w:eastAsia="en-US"/>
      </w:rPr>
      <w:instrText xml:space="preserve"> NUMPAGES </w:instrText>
    </w:r>
    <w:r w:rsidRPr="00F568FA">
      <w:rPr>
        <w:rStyle w:val="PageNumber"/>
        <w:rFonts w:ascii="Arial" w:hAnsi="Arial" w:cs="Arial"/>
        <w:b/>
        <w:snapToGrid w:val="0"/>
        <w:sz w:val="20"/>
        <w:lang w:eastAsia="en-US"/>
      </w:rPr>
      <w:fldChar w:fldCharType="separate"/>
    </w:r>
    <w:r w:rsidR="0049135A">
      <w:rPr>
        <w:rStyle w:val="PageNumber"/>
        <w:rFonts w:ascii="Arial" w:hAnsi="Arial" w:cs="Arial"/>
        <w:b/>
        <w:noProof/>
        <w:snapToGrid w:val="0"/>
        <w:sz w:val="20"/>
        <w:lang w:eastAsia="en-US"/>
      </w:rPr>
      <w:t>112</w:t>
    </w:r>
    <w:r w:rsidRPr="00F568FA">
      <w:rPr>
        <w:rStyle w:val="PageNumber"/>
        <w:rFonts w:ascii="Arial" w:hAnsi="Arial" w:cs="Arial"/>
        <w:b/>
        <w:snapToGrid w:val="0"/>
        <w:sz w:val="20"/>
        <w:lang w:eastAsia="en-US"/>
      </w:rPr>
      <w:fldChar w:fldCharType="end"/>
    </w:r>
    <w:r w:rsidRPr="00F568FA">
      <w:rPr>
        <w:rStyle w:val="PageNumber"/>
        <w:rFonts w:ascii="Arial" w:hAnsi="Arial" w:cs="Arial"/>
        <w:b/>
        <w:sz w:val="20"/>
      </w:rPr>
      <w:tab/>
    </w:r>
    <w:r w:rsidRPr="00C843FF">
      <w:rPr>
        <w:rFonts w:cs="Arial"/>
      </w:rPr>
      <w:t xml:space="preserve">Version </w:t>
    </w:r>
    <w:r>
      <w:rPr>
        <w:rFonts w:cs="Arial"/>
      </w:rPr>
      <w:t>No 3. 12/05/2014</w:t>
    </w:r>
    <w:r w:rsidRPr="00F568FA">
      <w:rPr>
        <w:rStyle w:val="PageNumber"/>
        <w:rFonts w:ascii="Arial" w:hAnsi="Arial" w:cs="Arial"/>
        <w:b/>
        <w:sz w:val="20"/>
      </w:rPr>
      <w:tab/>
    </w:r>
    <w:r>
      <w:rPr>
        <w:rStyle w:val="PageNumber"/>
        <w:rFonts w:ascii="Arial" w:hAnsi="Arial" w:cs="Arial"/>
        <w:b/>
        <w:sz w:val="20"/>
      </w:rPr>
      <w:tab/>
      <w:t>DXA 1313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C70" w:rsidRDefault="007F6C70">
      <w:r>
        <w:separator/>
      </w:r>
    </w:p>
  </w:footnote>
  <w:footnote w:type="continuationSeparator" w:id="0">
    <w:p w:rsidR="007F6C70" w:rsidRDefault="007F6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Default="007F6C7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Default="007F6C7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Default="007F6C7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Default="007F6C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Default="007F6C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Pr="001B2215" w:rsidRDefault="007F6C70" w:rsidP="00DC55CB">
    <w:pPr>
      <w:pStyle w:val="Header"/>
      <w:jc w:val="right"/>
      <w:rPr>
        <w:rFonts w:ascii="Arial" w:hAnsi="Arial" w:cs="Arial"/>
        <w:b/>
        <w:color w:val="FF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Default="007F6C7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Default="007F6C7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Default="007F6C7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Default="007F6C7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Default="007F6C7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70" w:rsidRDefault="007F6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226896"/>
    <w:lvl w:ilvl="0">
      <w:numFmt w:val="bullet"/>
      <w:lvlText w:val="*"/>
      <w:lvlJc w:val="left"/>
    </w:lvl>
  </w:abstractNum>
  <w:abstractNum w:abstractNumId="1">
    <w:nsid w:val="01C041E2"/>
    <w:multiLevelType w:val="hybridMultilevel"/>
    <w:tmpl w:val="8BE8A3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2093CD5"/>
    <w:multiLevelType w:val="hybridMultilevel"/>
    <w:tmpl w:val="F126C2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5DA1E18"/>
    <w:multiLevelType w:val="hybridMultilevel"/>
    <w:tmpl w:val="AEBCEE06"/>
    <w:lvl w:ilvl="0" w:tplc="117053C8">
      <w:start w:val="1"/>
      <w:numFmt w:val="decimal"/>
      <w:lvlText w:val="%1."/>
      <w:lvlJc w:val="left"/>
      <w:pPr>
        <w:ind w:left="360" w:hanging="360"/>
      </w:pPr>
      <w:rPr>
        <w:rFonts w:ascii="Arial Narrow" w:hAnsi="Arial Narrow" w:hint="default"/>
        <w:color w:val="auto"/>
        <w:sz w:val="18"/>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85D0672"/>
    <w:multiLevelType w:val="hybridMultilevel"/>
    <w:tmpl w:val="E69439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BBA1F10"/>
    <w:multiLevelType w:val="hybridMultilevel"/>
    <w:tmpl w:val="C144EA82"/>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2113B42"/>
    <w:multiLevelType w:val="singleLevel"/>
    <w:tmpl w:val="56CEB106"/>
    <w:lvl w:ilvl="0">
      <w:start w:val="1"/>
      <w:numFmt w:val="bullet"/>
      <w:pStyle w:val="Dash"/>
      <w:lvlText w:val="–"/>
      <w:lvlJc w:val="left"/>
      <w:pPr>
        <w:tabs>
          <w:tab w:val="num" w:pos="1800"/>
        </w:tabs>
        <w:ind w:left="1800" w:hanging="360"/>
      </w:pPr>
      <w:rPr>
        <w:rFonts w:ascii="Times New Roman" w:hAnsi="Times New Roman" w:hint="default"/>
        <w:sz w:val="20"/>
      </w:rPr>
    </w:lvl>
  </w:abstractNum>
  <w:abstractNum w:abstractNumId="7">
    <w:nsid w:val="18D14555"/>
    <w:multiLevelType w:val="hybridMultilevel"/>
    <w:tmpl w:val="0868BAE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198422F1"/>
    <w:multiLevelType w:val="hybridMultilevel"/>
    <w:tmpl w:val="31C005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AEA2809"/>
    <w:multiLevelType w:val="hybridMultilevel"/>
    <w:tmpl w:val="F2F2E38C"/>
    <w:lvl w:ilvl="0" w:tplc="FB06DE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004C9D"/>
    <w:multiLevelType w:val="hybridMultilevel"/>
    <w:tmpl w:val="D72096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FDD2174"/>
    <w:multiLevelType w:val="hybridMultilevel"/>
    <w:tmpl w:val="4DD41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F41653"/>
    <w:multiLevelType w:val="hybridMultilevel"/>
    <w:tmpl w:val="43F8D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11769D"/>
    <w:multiLevelType w:val="hybridMultilevel"/>
    <w:tmpl w:val="51F0FA5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27910D82"/>
    <w:multiLevelType w:val="hybridMultilevel"/>
    <w:tmpl w:val="CC741D9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nsid w:val="293F1C80"/>
    <w:multiLevelType w:val="hybridMultilevel"/>
    <w:tmpl w:val="1526C1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A257597"/>
    <w:multiLevelType w:val="hybridMultilevel"/>
    <w:tmpl w:val="D91A60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2B9A6CF1"/>
    <w:multiLevelType w:val="hybridMultilevel"/>
    <w:tmpl w:val="6344A362"/>
    <w:lvl w:ilvl="0" w:tplc="530428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E361247"/>
    <w:multiLevelType w:val="hybridMultilevel"/>
    <w:tmpl w:val="65724BBA"/>
    <w:lvl w:ilvl="0" w:tplc="387C66B4">
      <w:numFmt w:val="bullet"/>
      <w:lvlText w:val="-"/>
      <w:lvlJc w:val="left"/>
      <w:pPr>
        <w:ind w:left="1080" w:hanging="360"/>
      </w:pPr>
      <w:rPr>
        <w:rFonts w:ascii="Garamond" w:eastAsia="Times New Roman" w:hAnsi="Garamond"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2FE81FCB"/>
    <w:multiLevelType w:val="hybridMultilevel"/>
    <w:tmpl w:val="D8360D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34D75114"/>
    <w:multiLevelType w:val="hybridMultilevel"/>
    <w:tmpl w:val="8AD82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127A57"/>
    <w:multiLevelType w:val="hybridMultilevel"/>
    <w:tmpl w:val="AEAA56F6"/>
    <w:lvl w:ilvl="0" w:tplc="1A08092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37F0411C"/>
    <w:multiLevelType w:val="hybridMultilevel"/>
    <w:tmpl w:val="20E0A3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392A52C5"/>
    <w:multiLevelType w:val="hybridMultilevel"/>
    <w:tmpl w:val="05D650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39AB176B"/>
    <w:multiLevelType w:val="hybridMultilevel"/>
    <w:tmpl w:val="0F8E34EC"/>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3AAA511B"/>
    <w:multiLevelType w:val="hybridMultilevel"/>
    <w:tmpl w:val="5F8AC9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401C2BA6"/>
    <w:multiLevelType w:val="hybridMultilevel"/>
    <w:tmpl w:val="4F7CC98E"/>
    <w:lvl w:ilvl="0" w:tplc="033691B6">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982B14"/>
    <w:multiLevelType w:val="hybridMultilevel"/>
    <w:tmpl w:val="C8281A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457840B1"/>
    <w:multiLevelType w:val="hybridMultilevel"/>
    <w:tmpl w:val="217E59CE"/>
    <w:lvl w:ilvl="0" w:tplc="530428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69050B6"/>
    <w:multiLevelType w:val="hybridMultilevel"/>
    <w:tmpl w:val="1EFE42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47123FED"/>
    <w:multiLevelType w:val="hybridMultilevel"/>
    <w:tmpl w:val="5A500B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F">
      <w:start w:val="1"/>
      <w:numFmt w:val="decimal"/>
      <w:lvlText w:val="%2."/>
      <w:lvlJc w:val="left"/>
      <w:pPr>
        <w:tabs>
          <w:tab w:val="num" w:pos="2160"/>
        </w:tabs>
        <w:ind w:left="2160" w:hanging="360"/>
      </w:pPr>
      <w:rPr>
        <w:rFonts w:hint="default"/>
        <w:color w:val="auto"/>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FA41519"/>
    <w:multiLevelType w:val="hybridMultilevel"/>
    <w:tmpl w:val="1674C0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52BB279E"/>
    <w:multiLevelType w:val="hybridMultilevel"/>
    <w:tmpl w:val="ADB691A2"/>
    <w:lvl w:ilvl="0" w:tplc="FBB29DD0">
      <w:start w:val="1"/>
      <w:numFmt w:val="lowerLetter"/>
      <w:lvlText w:val="(%1)"/>
      <w:lvlJc w:val="left"/>
      <w:pPr>
        <w:ind w:left="720" w:hanging="360"/>
      </w:pPr>
      <w:rPr>
        <w:rFonts w:ascii="Arial Narrow" w:eastAsia="Times New Roman" w:hAnsi="Arial Narrow" w:cs="Times New Roman" w:hint="default"/>
        <w:sz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53536BE7"/>
    <w:multiLevelType w:val="hybridMultilevel"/>
    <w:tmpl w:val="A6D6F69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nsid w:val="55765739"/>
    <w:multiLevelType w:val="hybridMultilevel"/>
    <w:tmpl w:val="FA228C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5C516B52"/>
    <w:multiLevelType w:val="hybridMultilevel"/>
    <w:tmpl w:val="EDDCD9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38">
    <w:nsid w:val="5E535E31"/>
    <w:multiLevelType w:val="hybridMultilevel"/>
    <w:tmpl w:val="A190A232"/>
    <w:lvl w:ilvl="0" w:tplc="530428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49B56C5"/>
    <w:multiLevelType w:val="hybridMultilevel"/>
    <w:tmpl w:val="31C005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8B36A52"/>
    <w:multiLevelType w:val="hybridMultilevel"/>
    <w:tmpl w:val="20B41F26"/>
    <w:lvl w:ilvl="0" w:tplc="D464BD3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nsid w:val="6BC41E9E"/>
    <w:multiLevelType w:val="hybridMultilevel"/>
    <w:tmpl w:val="8BC45C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nsid w:val="72CC4004"/>
    <w:multiLevelType w:val="multilevel"/>
    <w:tmpl w:val="E860319E"/>
    <w:lvl w:ilvl="0">
      <w:start w:val="1"/>
      <w:numFmt w:val="decimal"/>
      <w:lvlText w:val="%1."/>
      <w:lvlJc w:val="left"/>
      <w:pPr>
        <w:ind w:left="927" w:hanging="360"/>
      </w:pPr>
      <w:rPr>
        <w:rFonts w:hint="default"/>
      </w:rPr>
    </w:lvl>
    <w:lvl w:ilvl="1">
      <w:start w:val="57"/>
      <w:numFmt w:val="decimal"/>
      <w:isLgl/>
      <w:lvlText w:val="%1.%2"/>
      <w:lvlJc w:val="left"/>
      <w:pPr>
        <w:ind w:left="1017" w:hanging="450"/>
      </w:pPr>
      <w:rPr>
        <w:rFonts w:hint="default"/>
      </w:rPr>
    </w:lvl>
    <w:lvl w:ilvl="2">
      <w:start w:val="1"/>
      <w:numFmt w:val="decimal"/>
      <w:isLgl/>
      <w:lvlText w:val="%1.%2.%3"/>
      <w:lvlJc w:val="left"/>
      <w:pPr>
        <w:ind w:left="1017" w:hanging="45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287" w:hanging="72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1647" w:hanging="1080"/>
      </w:pPr>
      <w:rPr>
        <w:rFonts w:hint="default"/>
      </w:rPr>
    </w:lvl>
  </w:abstractNum>
  <w:abstractNum w:abstractNumId="44">
    <w:nsid w:val="7AA971B7"/>
    <w:multiLevelType w:val="hybridMultilevel"/>
    <w:tmpl w:val="A6A0B2B8"/>
    <w:lvl w:ilvl="0" w:tplc="5304281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DF5013D"/>
    <w:multiLevelType w:val="hybridMultilevel"/>
    <w:tmpl w:val="85DA78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nsid w:val="7F5A7C8A"/>
    <w:multiLevelType w:val="hybridMultilevel"/>
    <w:tmpl w:val="83D295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7"/>
  </w:num>
  <w:num w:numId="2">
    <w:abstractNumId w:val="6"/>
  </w:num>
  <w:num w:numId="3">
    <w:abstractNumId w:val="0"/>
    <w:lvlOverride w:ilvl="0">
      <w:lvl w:ilvl="0">
        <w:numFmt w:val="bullet"/>
        <w:lvlText w:val="•"/>
        <w:legacy w:legacy="1" w:legacySpace="0" w:legacyIndent="0"/>
        <w:lvlJc w:val="left"/>
        <w:rPr>
          <w:rFonts w:ascii="Helv" w:hAnsi="Helv" w:hint="default"/>
        </w:rPr>
      </w:lvl>
    </w:lvlOverride>
  </w:num>
  <w:num w:numId="4">
    <w:abstractNumId w:val="30"/>
  </w:num>
  <w:num w:numId="5">
    <w:abstractNumId w:val="5"/>
  </w:num>
  <w:num w:numId="6">
    <w:abstractNumId w:val="39"/>
  </w:num>
  <w:num w:numId="7">
    <w:abstractNumId w:val="9"/>
  </w:num>
  <w:num w:numId="8">
    <w:abstractNumId w:val="36"/>
  </w:num>
  <w:num w:numId="9">
    <w:abstractNumId w:val="17"/>
  </w:num>
  <w:num w:numId="10">
    <w:abstractNumId w:val="44"/>
  </w:num>
  <w:num w:numId="11">
    <w:abstractNumId w:val="11"/>
  </w:num>
  <w:num w:numId="12">
    <w:abstractNumId w:val="12"/>
  </w:num>
  <w:num w:numId="13">
    <w:abstractNumId w:val="20"/>
  </w:num>
  <w:num w:numId="14">
    <w:abstractNumId w:val="32"/>
  </w:num>
  <w:num w:numId="15">
    <w:abstractNumId w:val="28"/>
  </w:num>
  <w:num w:numId="16">
    <w:abstractNumId w:val="38"/>
  </w:num>
  <w:num w:numId="17">
    <w:abstractNumId w:val="24"/>
  </w:num>
  <w:num w:numId="18">
    <w:abstractNumId w:val="14"/>
  </w:num>
  <w:num w:numId="19">
    <w:abstractNumId w:val="3"/>
  </w:num>
  <w:num w:numId="20">
    <w:abstractNumId w:val="23"/>
  </w:num>
  <w:num w:numId="21">
    <w:abstractNumId w:val="34"/>
  </w:num>
  <w:num w:numId="22">
    <w:abstractNumId w:val="43"/>
  </w:num>
  <w:num w:numId="23">
    <w:abstractNumId w:val="15"/>
  </w:num>
  <w:num w:numId="24">
    <w:abstractNumId w:val="7"/>
  </w:num>
  <w:num w:numId="25">
    <w:abstractNumId w:val="8"/>
  </w:num>
  <w:num w:numId="26">
    <w:abstractNumId w:val="40"/>
  </w:num>
  <w:num w:numId="27">
    <w:abstractNumId w:val="2"/>
  </w:num>
  <w:num w:numId="28">
    <w:abstractNumId w:val="26"/>
  </w:num>
  <w:num w:numId="29">
    <w:abstractNumId w:val="13"/>
  </w:num>
  <w:num w:numId="30">
    <w:abstractNumId w:val="4"/>
  </w:num>
  <w:num w:numId="31">
    <w:abstractNumId w:val="29"/>
  </w:num>
  <w:num w:numId="32">
    <w:abstractNumId w:val="21"/>
  </w:num>
  <w:num w:numId="33">
    <w:abstractNumId w:val="42"/>
  </w:num>
  <w:num w:numId="34">
    <w:abstractNumId w:val="35"/>
  </w:num>
  <w:num w:numId="35">
    <w:abstractNumId w:val="46"/>
  </w:num>
  <w:num w:numId="36">
    <w:abstractNumId w:val="19"/>
  </w:num>
  <w:num w:numId="37">
    <w:abstractNumId w:val="22"/>
  </w:num>
  <w:num w:numId="38">
    <w:abstractNumId w:val="25"/>
  </w:num>
  <w:num w:numId="39">
    <w:abstractNumId w:val="45"/>
  </w:num>
  <w:num w:numId="40">
    <w:abstractNumId w:val="10"/>
  </w:num>
  <w:num w:numId="41">
    <w:abstractNumId w:val="1"/>
  </w:num>
  <w:num w:numId="42">
    <w:abstractNumId w:val="31"/>
  </w:num>
  <w:num w:numId="43">
    <w:abstractNumId w:val="16"/>
  </w:num>
  <w:num w:numId="44">
    <w:abstractNumId w:val="33"/>
  </w:num>
  <w:num w:numId="45">
    <w:abstractNumId w:val="27"/>
  </w:num>
  <w:num w:numId="46">
    <w:abstractNumId w:val="18"/>
  </w:num>
  <w:num w:numId="47">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9edw0zeqvve5nedzvjx29f1df2z2tvpvw55&quot;&gt;DXA general&lt;record-ids&gt;&lt;item&gt;2&lt;/item&gt;&lt;item&gt;4&lt;/item&gt;&lt;item&gt;9&lt;/item&gt;&lt;item&gt;36&lt;/item&gt;&lt;item&gt;53&lt;/item&gt;&lt;item&gt;60&lt;/item&gt;&lt;item&gt;72&lt;/item&gt;&lt;item&gt;92&lt;/item&gt;&lt;item&gt;95&lt;/item&gt;&lt;item&gt;111&lt;/item&gt;&lt;item&gt;114&lt;/item&gt;&lt;item&gt;115&lt;/item&gt;&lt;item&gt;117&lt;/item&gt;&lt;item&gt;121&lt;/item&gt;&lt;item&gt;122&lt;/item&gt;&lt;item&gt;158&lt;/item&gt;&lt;item&gt;159&lt;/item&gt;&lt;item&gt;160&lt;/item&gt;&lt;item&gt;162&lt;/item&gt;&lt;item&gt;163&lt;/item&gt;&lt;item&gt;164&lt;/item&gt;&lt;item&gt;165&lt;/item&gt;&lt;item&gt;166&lt;/item&gt;&lt;item&gt;167&lt;/item&gt;&lt;item&gt;168&lt;/item&gt;&lt;item&gt;169&lt;/item&gt;&lt;item&gt;170&lt;/item&gt;&lt;item&gt;231&lt;/item&gt;&lt;item&gt;232&lt;/item&gt;&lt;item&gt;233&lt;/item&gt;&lt;item&gt;234&lt;/item&gt;&lt;item&gt;235&lt;/item&gt;&lt;item&gt;236&lt;/item&gt;&lt;item&gt;237&lt;/item&gt;&lt;item&gt;241&lt;/item&gt;&lt;item&gt;242&lt;/item&gt;&lt;item&gt;243&lt;/item&gt;&lt;item&gt;247&lt;/item&gt;&lt;item&gt;249&lt;/item&gt;&lt;item&gt;250&lt;/item&gt;&lt;item&gt;252&lt;/item&gt;&lt;item&gt;253&lt;/item&gt;&lt;item&gt;254&lt;/item&gt;&lt;item&gt;255&lt;/item&gt;&lt;item&gt;256&lt;/item&gt;&lt;item&gt;257&lt;/item&gt;&lt;item&gt;258&lt;/item&gt;&lt;item&gt;259&lt;/item&gt;&lt;item&gt;260&lt;/item&gt;&lt;item&gt;261&lt;/item&gt;&lt;item&gt;262&lt;/item&gt;&lt;item&gt;263&lt;/item&gt;&lt;item&gt;264&lt;/item&gt;&lt;item&gt;266&lt;/item&gt;&lt;item&gt;267&lt;/item&gt;&lt;item&gt;268&lt;/item&gt;&lt;item&gt;269&lt;/item&gt;&lt;item&gt;271&lt;/item&gt;&lt;item&gt;272&lt;/item&gt;&lt;/record-ids&gt;&lt;/item&gt;&lt;/Libraries&gt;"/>
  </w:docVars>
  <w:rsids>
    <w:rsidRoot w:val="007761EB"/>
    <w:rsid w:val="000006B5"/>
    <w:rsid w:val="00000BEB"/>
    <w:rsid w:val="00000FA9"/>
    <w:rsid w:val="0000136D"/>
    <w:rsid w:val="00001C3C"/>
    <w:rsid w:val="00001E31"/>
    <w:rsid w:val="00001F98"/>
    <w:rsid w:val="0000226A"/>
    <w:rsid w:val="0000228D"/>
    <w:rsid w:val="00002552"/>
    <w:rsid w:val="000029F2"/>
    <w:rsid w:val="00003287"/>
    <w:rsid w:val="00003AA4"/>
    <w:rsid w:val="0000430A"/>
    <w:rsid w:val="00004D16"/>
    <w:rsid w:val="00005041"/>
    <w:rsid w:val="00005257"/>
    <w:rsid w:val="000055D4"/>
    <w:rsid w:val="000056FA"/>
    <w:rsid w:val="00005C17"/>
    <w:rsid w:val="0000622A"/>
    <w:rsid w:val="00006627"/>
    <w:rsid w:val="00006641"/>
    <w:rsid w:val="000069A7"/>
    <w:rsid w:val="00006A22"/>
    <w:rsid w:val="00006AB4"/>
    <w:rsid w:val="00006C74"/>
    <w:rsid w:val="000078F6"/>
    <w:rsid w:val="00007948"/>
    <w:rsid w:val="00007A44"/>
    <w:rsid w:val="0001085B"/>
    <w:rsid w:val="0001088E"/>
    <w:rsid w:val="000108EE"/>
    <w:rsid w:val="000109F3"/>
    <w:rsid w:val="00010BF8"/>
    <w:rsid w:val="000111D2"/>
    <w:rsid w:val="00011550"/>
    <w:rsid w:val="000116A4"/>
    <w:rsid w:val="00011772"/>
    <w:rsid w:val="000130D3"/>
    <w:rsid w:val="000133F9"/>
    <w:rsid w:val="000134C1"/>
    <w:rsid w:val="0001357B"/>
    <w:rsid w:val="0001388D"/>
    <w:rsid w:val="00013934"/>
    <w:rsid w:val="000139D1"/>
    <w:rsid w:val="000139EB"/>
    <w:rsid w:val="00013B46"/>
    <w:rsid w:val="00014736"/>
    <w:rsid w:val="000149C2"/>
    <w:rsid w:val="00014A66"/>
    <w:rsid w:val="00014EC1"/>
    <w:rsid w:val="0001563F"/>
    <w:rsid w:val="00015787"/>
    <w:rsid w:val="00015C26"/>
    <w:rsid w:val="00015E03"/>
    <w:rsid w:val="00016333"/>
    <w:rsid w:val="0001667E"/>
    <w:rsid w:val="00016792"/>
    <w:rsid w:val="00016FDF"/>
    <w:rsid w:val="000171FD"/>
    <w:rsid w:val="00017B2B"/>
    <w:rsid w:val="00020C59"/>
    <w:rsid w:val="00020DD9"/>
    <w:rsid w:val="00020F15"/>
    <w:rsid w:val="00021072"/>
    <w:rsid w:val="0002230A"/>
    <w:rsid w:val="0002265C"/>
    <w:rsid w:val="00023A9A"/>
    <w:rsid w:val="0002446C"/>
    <w:rsid w:val="000245B4"/>
    <w:rsid w:val="00024819"/>
    <w:rsid w:val="0002581D"/>
    <w:rsid w:val="000266AD"/>
    <w:rsid w:val="0002695E"/>
    <w:rsid w:val="00026D6A"/>
    <w:rsid w:val="00027055"/>
    <w:rsid w:val="00027329"/>
    <w:rsid w:val="0002749F"/>
    <w:rsid w:val="00027B53"/>
    <w:rsid w:val="00027DDF"/>
    <w:rsid w:val="00027F1B"/>
    <w:rsid w:val="00030C76"/>
    <w:rsid w:val="00030E6F"/>
    <w:rsid w:val="00030FB4"/>
    <w:rsid w:val="000311A8"/>
    <w:rsid w:val="000313F3"/>
    <w:rsid w:val="00031A2C"/>
    <w:rsid w:val="000321D9"/>
    <w:rsid w:val="0003260D"/>
    <w:rsid w:val="00033E27"/>
    <w:rsid w:val="000342F5"/>
    <w:rsid w:val="00034AE9"/>
    <w:rsid w:val="00034CFE"/>
    <w:rsid w:val="0003587F"/>
    <w:rsid w:val="0003595E"/>
    <w:rsid w:val="0003639B"/>
    <w:rsid w:val="000368B9"/>
    <w:rsid w:val="00036954"/>
    <w:rsid w:val="00036F0B"/>
    <w:rsid w:val="00036FDB"/>
    <w:rsid w:val="000373D6"/>
    <w:rsid w:val="000373E8"/>
    <w:rsid w:val="00037706"/>
    <w:rsid w:val="00037729"/>
    <w:rsid w:val="00037B2B"/>
    <w:rsid w:val="000406B4"/>
    <w:rsid w:val="00040D41"/>
    <w:rsid w:val="0004109F"/>
    <w:rsid w:val="000411B4"/>
    <w:rsid w:val="00041867"/>
    <w:rsid w:val="00041ADB"/>
    <w:rsid w:val="00041B23"/>
    <w:rsid w:val="000422AA"/>
    <w:rsid w:val="00043C04"/>
    <w:rsid w:val="00044B7A"/>
    <w:rsid w:val="000453C7"/>
    <w:rsid w:val="00045C50"/>
    <w:rsid w:val="0004642F"/>
    <w:rsid w:val="00046E1D"/>
    <w:rsid w:val="000508A4"/>
    <w:rsid w:val="00050A48"/>
    <w:rsid w:val="00050DAA"/>
    <w:rsid w:val="00051060"/>
    <w:rsid w:val="00051085"/>
    <w:rsid w:val="00051666"/>
    <w:rsid w:val="00051A96"/>
    <w:rsid w:val="00052434"/>
    <w:rsid w:val="00052741"/>
    <w:rsid w:val="0005287C"/>
    <w:rsid w:val="00052935"/>
    <w:rsid w:val="00052A71"/>
    <w:rsid w:val="00052FBC"/>
    <w:rsid w:val="0005425C"/>
    <w:rsid w:val="000544BC"/>
    <w:rsid w:val="00054C69"/>
    <w:rsid w:val="00055E08"/>
    <w:rsid w:val="00056684"/>
    <w:rsid w:val="00056BE2"/>
    <w:rsid w:val="00056ED1"/>
    <w:rsid w:val="0005703F"/>
    <w:rsid w:val="000608FD"/>
    <w:rsid w:val="00060B82"/>
    <w:rsid w:val="00060E4F"/>
    <w:rsid w:val="000613E7"/>
    <w:rsid w:val="00061A1C"/>
    <w:rsid w:val="00061AF5"/>
    <w:rsid w:val="00061DB6"/>
    <w:rsid w:val="00062064"/>
    <w:rsid w:val="000625F7"/>
    <w:rsid w:val="00063167"/>
    <w:rsid w:val="00063311"/>
    <w:rsid w:val="0006384B"/>
    <w:rsid w:val="00063A3A"/>
    <w:rsid w:val="00063C88"/>
    <w:rsid w:val="00063CC4"/>
    <w:rsid w:val="00063F44"/>
    <w:rsid w:val="00063FE3"/>
    <w:rsid w:val="0006406E"/>
    <w:rsid w:val="0006422B"/>
    <w:rsid w:val="000650CB"/>
    <w:rsid w:val="0006531D"/>
    <w:rsid w:val="00066B5C"/>
    <w:rsid w:val="00067BF6"/>
    <w:rsid w:val="00070B84"/>
    <w:rsid w:val="000715CB"/>
    <w:rsid w:val="00071B67"/>
    <w:rsid w:val="00071BA0"/>
    <w:rsid w:val="00072199"/>
    <w:rsid w:val="0007284B"/>
    <w:rsid w:val="00072DC0"/>
    <w:rsid w:val="00072DF4"/>
    <w:rsid w:val="00073267"/>
    <w:rsid w:val="00073339"/>
    <w:rsid w:val="00073376"/>
    <w:rsid w:val="00073636"/>
    <w:rsid w:val="0007379A"/>
    <w:rsid w:val="00073882"/>
    <w:rsid w:val="000739E5"/>
    <w:rsid w:val="00073A8D"/>
    <w:rsid w:val="00073EC5"/>
    <w:rsid w:val="00074586"/>
    <w:rsid w:val="00074ABF"/>
    <w:rsid w:val="00074F92"/>
    <w:rsid w:val="00075A7C"/>
    <w:rsid w:val="00076A45"/>
    <w:rsid w:val="00076A70"/>
    <w:rsid w:val="00076C3C"/>
    <w:rsid w:val="00076F32"/>
    <w:rsid w:val="00077247"/>
    <w:rsid w:val="000774DB"/>
    <w:rsid w:val="00077880"/>
    <w:rsid w:val="0008033F"/>
    <w:rsid w:val="000809D5"/>
    <w:rsid w:val="0008156A"/>
    <w:rsid w:val="0008168D"/>
    <w:rsid w:val="000821BD"/>
    <w:rsid w:val="000822EA"/>
    <w:rsid w:val="0008260B"/>
    <w:rsid w:val="00082712"/>
    <w:rsid w:val="00082C5A"/>
    <w:rsid w:val="00082CDD"/>
    <w:rsid w:val="00082E66"/>
    <w:rsid w:val="00082EC5"/>
    <w:rsid w:val="00083498"/>
    <w:rsid w:val="0008367E"/>
    <w:rsid w:val="000838C2"/>
    <w:rsid w:val="000847B6"/>
    <w:rsid w:val="00084CE9"/>
    <w:rsid w:val="00085282"/>
    <w:rsid w:val="00085C31"/>
    <w:rsid w:val="000868BD"/>
    <w:rsid w:val="000869F6"/>
    <w:rsid w:val="00086DB8"/>
    <w:rsid w:val="00087D9D"/>
    <w:rsid w:val="00087F4E"/>
    <w:rsid w:val="0009029B"/>
    <w:rsid w:val="00090330"/>
    <w:rsid w:val="000903F9"/>
    <w:rsid w:val="000905F4"/>
    <w:rsid w:val="00090904"/>
    <w:rsid w:val="00090AA3"/>
    <w:rsid w:val="00090BD2"/>
    <w:rsid w:val="00090DDE"/>
    <w:rsid w:val="00090EF8"/>
    <w:rsid w:val="00091296"/>
    <w:rsid w:val="00091667"/>
    <w:rsid w:val="000917C7"/>
    <w:rsid w:val="00091989"/>
    <w:rsid w:val="00091A2F"/>
    <w:rsid w:val="0009223D"/>
    <w:rsid w:val="00092A35"/>
    <w:rsid w:val="00092CFA"/>
    <w:rsid w:val="000933E6"/>
    <w:rsid w:val="000937B3"/>
    <w:rsid w:val="000939B9"/>
    <w:rsid w:val="00093A6F"/>
    <w:rsid w:val="00093C9A"/>
    <w:rsid w:val="00094977"/>
    <w:rsid w:val="00096BD5"/>
    <w:rsid w:val="00097AAC"/>
    <w:rsid w:val="000A0146"/>
    <w:rsid w:val="000A051D"/>
    <w:rsid w:val="000A0790"/>
    <w:rsid w:val="000A07CB"/>
    <w:rsid w:val="000A0C9C"/>
    <w:rsid w:val="000A1298"/>
    <w:rsid w:val="000A13F7"/>
    <w:rsid w:val="000A1508"/>
    <w:rsid w:val="000A1D85"/>
    <w:rsid w:val="000A2278"/>
    <w:rsid w:val="000A2B53"/>
    <w:rsid w:val="000A3121"/>
    <w:rsid w:val="000A39F4"/>
    <w:rsid w:val="000A3AAF"/>
    <w:rsid w:val="000A3F8D"/>
    <w:rsid w:val="000A428E"/>
    <w:rsid w:val="000A4DF3"/>
    <w:rsid w:val="000A54AD"/>
    <w:rsid w:val="000A55B4"/>
    <w:rsid w:val="000A5CE8"/>
    <w:rsid w:val="000A5DB5"/>
    <w:rsid w:val="000A612B"/>
    <w:rsid w:val="000A6C01"/>
    <w:rsid w:val="000A7C98"/>
    <w:rsid w:val="000B0364"/>
    <w:rsid w:val="000B06C4"/>
    <w:rsid w:val="000B115E"/>
    <w:rsid w:val="000B1434"/>
    <w:rsid w:val="000B1F56"/>
    <w:rsid w:val="000B20C1"/>
    <w:rsid w:val="000B23EA"/>
    <w:rsid w:val="000B274D"/>
    <w:rsid w:val="000B2DCA"/>
    <w:rsid w:val="000B2E4B"/>
    <w:rsid w:val="000B30A2"/>
    <w:rsid w:val="000B3CA5"/>
    <w:rsid w:val="000B4253"/>
    <w:rsid w:val="000B4BDC"/>
    <w:rsid w:val="000B508C"/>
    <w:rsid w:val="000B5C7B"/>
    <w:rsid w:val="000B5D81"/>
    <w:rsid w:val="000B608B"/>
    <w:rsid w:val="000B7DFE"/>
    <w:rsid w:val="000B7F5D"/>
    <w:rsid w:val="000C0364"/>
    <w:rsid w:val="000C04C1"/>
    <w:rsid w:val="000C0684"/>
    <w:rsid w:val="000C10BA"/>
    <w:rsid w:val="000C1599"/>
    <w:rsid w:val="000C1747"/>
    <w:rsid w:val="000C226B"/>
    <w:rsid w:val="000C32A4"/>
    <w:rsid w:val="000C36C3"/>
    <w:rsid w:val="000C3CDE"/>
    <w:rsid w:val="000C3E4A"/>
    <w:rsid w:val="000C4137"/>
    <w:rsid w:val="000C44CA"/>
    <w:rsid w:val="000C53B8"/>
    <w:rsid w:val="000C582E"/>
    <w:rsid w:val="000C5A70"/>
    <w:rsid w:val="000C5F36"/>
    <w:rsid w:val="000C61C5"/>
    <w:rsid w:val="000C7C44"/>
    <w:rsid w:val="000C7F6A"/>
    <w:rsid w:val="000D0128"/>
    <w:rsid w:val="000D04F4"/>
    <w:rsid w:val="000D13CD"/>
    <w:rsid w:val="000D180A"/>
    <w:rsid w:val="000D186C"/>
    <w:rsid w:val="000D18A2"/>
    <w:rsid w:val="000D1C4C"/>
    <w:rsid w:val="000D2D89"/>
    <w:rsid w:val="000D2E96"/>
    <w:rsid w:val="000D2EB6"/>
    <w:rsid w:val="000D34EB"/>
    <w:rsid w:val="000D3AD0"/>
    <w:rsid w:val="000D3E93"/>
    <w:rsid w:val="000D4324"/>
    <w:rsid w:val="000D4AB6"/>
    <w:rsid w:val="000D4DFE"/>
    <w:rsid w:val="000D4FCE"/>
    <w:rsid w:val="000D50CD"/>
    <w:rsid w:val="000D5A53"/>
    <w:rsid w:val="000D5AF8"/>
    <w:rsid w:val="000D5B28"/>
    <w:rsid w:val="000D60AA"/>
    <w:rsid w:val="000D624E"/>
    <w:rsid w:val="000D6684"/>
    <w:rsid w:val="000D6840"/>
    <w:rsid w:val="000D708E"/>
    <w:rsid w:val="000E02D8"/>
    <w:rsid w:val="000E0468"/>
    <w:rsid w:val="000E073C"/>
    <w:rsid w:val="000E09A4"/>
    <w:rsid w:val="000E0ABC"/>
    <w:rsid w:val="000E0D09"/>
    <w:rsid w:val="000E125E"/>
    <w:rsid w:val="000E1439"/>
    <w:rsid w:val="000E145B"/>
    <w:rsid w:val="000E1520"/>
    <w:rsid w:val="000E1D12"/>
    <w:rsid w:val="000E2864"/>
    <w:rsid w:val="000E31EF"/>
    <w:rsid w:val="000E362B"/>
    <w:rsid w:val="000E398C"/>
    <w:rsid w:val="000E551B"/>
    <w:rsid w:val="000E5E5C"/>
    <w:rsid w:val="000E5EAC"/>
    <w:rsid w:val="000E6179"/>
    <w:rsid w:val="000E63DD"/>
    <w:rsid w:val="000E6802"/>
    <w:rsid w:val="000E6C55"/>
    <w:rsid w:val="000E7B84"/>
    <w:rsid w:val="000F0975"/>
    <w:rsid w:val="000F0C54"/>
    <w:rsid w:val="000F0D08"/>
    <w:rsid w:val="000F0DF6"/>
    <w:rsid w:val="000F1FA8"/>
    <w:rsid w:val="000F23BC"/>
    <w:rsid w:val="000F3F1D"/>
    <w:rsid w:val="000F450C"/>
    <w:rsid w:val="000F4CB0"/>
    <w:rsid w:val="000F50C5"/>
    <w:rsid w:val="000F5FC9"/>
    <w:rsid w:val="000F6088"/>
    <w:rsid w:val="000F640C"/>
    <w:rsid w:val="000F66F8"/>
    <w:rsid w:val="000F6D1C"/>
    <w:rsid w:val="000F76EF"/>
    <w:rsid w:val="000F7C32"/>
    <w:rsid w:val="000F7FD2"/>
    <w:rsid w:val="00100186"/>
    <w:rsid w:val="001001F0"/>
    <w:rsid w:val="00100281"/>
    <w:rsid w:val="001005AA"/>
    <w:rsid w:val="00101A66"/>
    <w:rsid w:val="00101DAF"/>
    <w:rsid w:val="00101EA6"/>
    <w:rsid w:val="001024C0"/>
    <w:rsid w:val="001024FE"/>
    <w:rsid w:val="0010271E"/>
    <w:rsid w:val="00102752"/>
    <w:rsid w:val="00102ACE"/>
    <w:rsid w:val="00102C26"/>
    <w:rsid w:val="00103470"/>
    <w:rsid w:val="0010377A"/>
    <w:rsid w:val="00103FE2"/>
    <w:rsid w:val="0010407C"/>
    <w:rsid w:val="00104FF5"/>
    <w:rsid w:val="001053AD"/>
    <w:rsid w:val="001059C5"/>
    <w:rsid w:val="001064DF"/>
    <w:rsid w:val="00106AE2"/>
    <w:rsid w:val="00106CAC"/>
    <w:rsid w:val="00106D5A"/>
    <w:rsid w:val="00107317"/>
    <w:rsid w:val="00107352"/>
    <w:rsid w:val="00107E45"/>
    <w:rsid w:val="00110763"/>
    <w:rsid w:val="00110A66"/>
    <w:rsid w:val="00111444"/>
    <w:rsid w:val="00111A9D"/>
    <w:rsid w:val="00111FD8"/>
    <w:rsid w:val="00112DA6"/>
    <w:rsid w:val="001131C7"/>
    <w:rsid w:val="001140D8"/>
    <w:rsid w:val="00114A80"/>
    <w:rsid w:val="00114A88"/>
    <w:rsid w:val="0011532F"/>
    <w:rsid w:val="00116FF7"/>
    <w:rsid w:val="00117291"/>
    <w:rsid w:val="00117514"/>
    <w:rsid w:val="001176B4"/>
    <w:rsid w:val="001178D8"/>
    <w:rsid w:val="00117C27"/>
    <w:rsid w:val="00117D72"/>
    <w:rsid w:val="00120368"/>
    <w:rsid w:val="00120EA6"/>
    <w:rsid w:val="001214B2"/>
    <w:rsid w:val="001217CB"/>
    <w:rsid w:val="00121E37"/>
    <w:rsid w:val="00122253"/>
    <w:rsid w:val="00122BFE"/>
    <w:rsid w:val="0012306C"/>
    <w:rsid w:val="00123707"/>
    <w:rsid w:val="00123994"/>
    <w:rsid w:val="001246F3"/>
    <w:rsid w:val="00124B78"/>
    <w:rsid w:val="00124D5D"/>
    <w:rsid w:val="00124EA4"/>
    <w:rsid w:val="00125441"/>
    <w:rsid w:val="00125879"/>
    <w:rsid w:val="00125C85"/>
    <w:rsid w:val="00125D0B"/>
    <w:rsid w:val="00125D53"/>
    <w:rsid w:val="00125FE7"/>
    <w:rsid w:val="0012607A"/>
    <w:rsid w:val="00126943"/>
    <w:rsid w:val="00126DE3"/>
    <w:rsid w:val="00126EFA"/>
    <w:rsid w:val="00127363"/>
    <w:rsid w:val="001302CC"/>
    <w:rsid w:val="0013042C"/>
    <w:rsid w:val="00130648"/>
    <w:rsid w:val="00130A9F"/>
    <w:rsid w:val="00130AD5"/>
    <w:rsid w:val="00130D24"/>
    <w:rsid w:val="0013111A"/>
    <w:rsid w:val="0013164F"/>
    <w:rsid w:val="001324EC"/>
    <w:rsid w:val="00133128"/>
    <w:rsid w:val="001333E5"/>
    <w:rsid w:val="0013436A"/>
    <w:rsid w:val="001346B4"/>
    <w:rsid w:val="001349E0"/>
    <w:rsid w:val="001353E6"/>
    <w:rsid w:val="00135585"/>
    <w:rsid w:val="001358F1"/>
    <w:rsid w:val="00135E02"/>
    <w:rsid w:val="00136910"/>
    <w:rsid w:val="00136AC9"/>
    <w:rsid w:val="0013708B"/>
    <w:rsid w:val="001372D7"/>
    <w:rsid w:val="00137928"/>
    <w:rsid w:val="00140185"/>
    <w:rsid w:val="00140573"/>
    <w:rsid w:val="00140C12"/>
    <w:rsid w:val="00140F50"/>
    <w:rsid w:val="00141210"/>
    <w:rsid w:val="001412E5"/>
    <w:rsid w:val="001415B8"/>
    <w:rsid w:val="0014188E"/>
    <w:rsid w:val="00141D60"/>
    <w:rsid w:val="0014254D"/>
    <w:rsid w:val="00142BE7"/>
    <w:rsid w:val="001431A4"/>
    <w:rsid w:val="001433BE"/>
    <w:rsid w:val="00143A58"/>
    <w:rsid w:val="00143DB1"/>
    <w:rsid w:val="00143DDC"/>
    <w:rsid w:val="001442F1"/>
    <w:rsid w:val="0014499A"/>
    <w:rsid w:val="00144A0B"/>
    <w:rsid w:val="00144D58"/>
    <w:rsid w:val="0014524F"/>
    <w:rsid w:val="00145259"/>
    <w:rsid w:val="00145798"/>
    <w:rsid w:val="001458BC"/>
    <w:rsid w:val="00145A91"/>
    <w:rsid w:val="00145AE0"/>
    <w:rsid w:val="001465EA"/>
    <w:rsid w:val="00146C81"/>
    <w:rsid w:val="00146CD6"/>
    <w:rsid w:val="0014710C"/>
    <w:rsid w:val="0014750D"/>
    <w:rsid w:val="001479B1"/>
    <w:rsid w:val="00147BFF"/>
    <w:rsid w:val="00147C31"/>
    <w:rsid w:val="00147FB2"/>
    <w:rsid w:val="00150300"/>
    <w:rsid w:val="0015033A"/>
    <w:rsid w:val="001503B1"/>
    <w:rsid w:val="00150675"/>
    <w:rsid w:val="00151D89"/>
    <w:rsid w:val="00152100"/>
    <w:rsid w:val="001525DB"/>
    <w:rsid w:val="00152689"/>
    <w:rsid w:val="00152E8E"/>
    <w:rsid w:val="001530D6"/>
    <w:rsid w:val="00153514"/>
    <w:rsid w:val="00153C4D"/>
    <w:rsid w:val="001544FF"/>
    <w:rsid w:val="00154B49"/>
    <w:rsid w:val="001550E8"/>
    <w:rsid w:val="00155135"/>
    <w:rsid w:val="0015545F"/>
    <w:rsid w:val="001555D6"/>
    <w:rsid w:val="00156859"/>
    <w:rsid w:val="00156D16"/>
    <w:rsid w:val="00156EBE"/>
    <w:rsid w:val="00157BEF"/>
    <w:rsid w:val="00157DCC"/>
    <w:rsid w:val="00160452"/>
    <w:rsid w:val="00160761"/>
    <w:rsid w:val="00160D13"/>
    <w:rsid w:val="00160E43"/>
    <w:rsid w:val="00161324"/>
    <w:rsid w:val="00162196"/>
    <w:rsid w:val="0016230E"/>
    <w:rsid w:val="0016247E"/>
    <w:rsid w:val="001624A7"/>
    <w:rsid w:val="00163F13"/>
    <w:rsid w:val="001645B3"/>
    <w:rsid w:val="001647C1"/>
    <w:rsid w:val="00164EDF"/>
    <w:rsid w:val="001654F6"/>
    <w:rsid w:val="00165813"/>
    <w:rsid w:val="001665E9"/>
    <w:rsid w:val="0016686F"/>
    <w:rsid w:val="00167B2A"/>
    <w:rsid w:val="00167E78"/>
    <w:rsid w:val="001705B7"/>
    <w:rsid w:val="00170901"/>
    <w:rsid w:val="0017093A"/>
    <w:rsid w:val="00170CD1"/>
    <w:rsid w:val="00170CEB"/>
    <w:rsid w:val="00171806"/>
    <w:rsid w:val="00171A53"/>
    <w:rsid w:val="00171CFA"/>
    <w:rsid w:val="00171DAA"/>
    <w:rsid w:val="00171FC7"/>
    <w:rsid w:val="00172D3B"/>
    <w:rsid w:val="00172FA1"/>
    <w:rsid w:val="00173048"/>
    <w:rsid w:val="0017367D"/>
    <w:rsid w:val="00173A15"/>
    <w:rsid w:val="001747F4"/>
    <w:rsid w:val="00174CBB"/>
    <w:rsid w:val="00175429"/>
    <w:rsid w:val="001755CA"/>
    <w:rsid w:val="00176377"/>
    <w:rsid w:val="00176716"/>
    <w:rsid w:val="00176BA6"/>
    <w:rsid w:val="00176C84"/>
    <w:rsid w:val="00176D76"/>
    <w:rsid w:val="00177BE4"/>
    <w:rsid w:val="00177EF2"/>
    <w:rsid w:val="00177FF7"/>
    <w:rsid w:val="00180295"/>
    <w:rsid w:val="00180A95"/>
    <w:rsid w:val="00180D24"/>
    <w:rsid w:val="001810C7"/>
    <w:rsid w:val="001814EC"/>
    <w:rsid w:val="00181942"/>
    <w:rsid w:val="00181AB2"/>
    <w:rsid w:val="00181ADE"/>
    <w:rsid w:val="00181B0D"/>
    <w:rsid w:val="00181B39"/>
    <w:rsid w:val="001822C4"/>
    <w:rsid w:val="00182D1F"/>
    <w:rsid w:val="00182ED0"/>
    <w:rsid w:val="0018308E"/>
    <w:rsid w:val="00183A45"/>
    <w:rsid w:val="00183B2F"/>
    <w:rsid w:val="00183FF4"/>
    <w:rsid w:val="00184148"/>
    <w:rsid w:val="00184717"/>
    <w:rsid w:val="0018480C"/>
    <w:rsid w:val="001850C0"/>
    <w:rsid w:val="00185497"/>
    <w:rsid w:val="00185A14"/>
    <w:rsid w:val="00185AAE"/>
    <w:rsid w:val="00185DC1"/>
    <w:rsid w:val="00185E19"/>
    <w:rsid w:val="00186246"/>
    <w:rsid w:val="00186AA4"/>
    <w:rsid w:val="00186C9F"/>
    <w:rsid w:val="00187020"/>
    <w:rsid w:val="001870D1"/>
    <w:rsid w:val="00187CF5"/>
    <w:rsid w:val="00190D6F"/>
    <w:rsid w:val="00190E47"/>
    <w:rsid w:val="00190E57"/>
    <w:rsid w:val="00190F8B"/>
    <w:rsid w:val="00191577"/>
    <w:rsid w:val="00192A3B"/>
    <w:rsid w:val="00192AA4"/>
    <w:rsid w:val="00192B76"/>
    <w:rsid w:val="001930AF"/>
    <w:rsid w:val="001932BF"/>
    <w:rsid w:val="001937F6"/>
    <w:rsid w:val="00193AB1"/>
    <w:rsid w:val="00193BED"/>
    <w:rsid w:val="00193C01"/>
    <w:rsid w:val="00193EC8"/>
    <w:rsid w:val="00194025"/>
    <w:rsid w:val="001941FC"/>
    <w:rsid w:val="0019483D"/>
    <w:rsid w:val="0019554C"/>
    <w:rsid w:val="00196EED"/>
    <w:rsid w:val="00196F63"/>
    <w:rsid w:val="001A0148"/>
    <w:rsid w:val="001A12A4"/>
    <w:rsid w:val="001A1623"/>
    <w:rsid w:val="001A1C91"/>
    <w:rsid w:val="001A2274"/>
    <w:rsid w:val="001A29E4"/>
    <w:rsid w:val="001A2CC1"/>
    <w:rsid w:val="001A3113"/>
    <w:rsid w:val="001A3319"/>
    <w:rsid w:val="001A43AC"/>
    <w:rsid w:val="001A4FAC"/>
    <w:rsid w:val="001A589C"/>
    <w:rsid w:val="001A5C3F"/>
    <w:rsid w:val="001A6B50"/>
    <w:rsid w:val="001A6B5E"/>
    <w:rsid w:val="001A73C9"/>
    <w:rsid w:val="001B2215"/>
    <w:rsid w:val="001B25F4"/>
    <w:rsid w:val="001B279B"/>
    <w:rsid w:val="001B2A0B"/>
    <w:rsid w:val="001B2A7E"/>
    <w:rsid w:val="001B35B1"/>
    <w:rsid w:val="001B3A2C"/>
    <w:rsid w:val="001B42B9"/>
    <w:rsid w:val="001B4431"/>
    <w:rsid w:val="001B45BF"/>
    <w:rsid w:val="001B4B07"/>
    <w:rsid w:val="001B4CC7"/>
    <w:rsid w:val="001B4DDE"/>
    <w:rsid w:val="001B4E96"/>
    <w:rsid w:val="001B51C9"/>
    <w:rsid w:val="001B5EDE"/>
    <w:rsid w:val="001B7312"/>
    <w:rsid w:val="001B7522"/>
    <w:rsid w:val="001C0441"/>
    <w:rsid w:val="001C0E59"/>
    <w:rsid w:val="001C0F86"/>
    <w:rsid w:val="001C197E"/>
    <w:rsid w:val="001C1A17"/>
    <w:rsid w:val="001C2E1E"/>
    <w:rsid w:val="001C3997"/>
    <w:rsid w:val="001C3A68"/>
    <w:rsid w:val="001C3C5F"/>
    <w:rsid w:val="001C3E29"/>
    <w:rsid w:val="001C4A9A"/>
    <w:rsid w:val="001C59A3"/>
    <w:rsid w:val="001C62B6"/>
    <w:rsid w:val="001C69A9"/>
    <w:rsid w:val="001C69AC"/>
    <w:rsid w:val="001C6A22"/>
    <w:rsid w:val="001C6D80"/>
    <w:rsid w:val="001C7B1B"/>
    <w:rsid w:val="001C7B87"/>
    <w:rsid w:val="001D03CD"/>
    <w:rsid w:val="001D0548"/>
    <w:rsid w:val="001D08EE"/>
    <w:rsid w:val="001D0AF5"/>
    <w:rsid w:val="001D102B"/>
    <w:rsid w:val="001D152F"/>
    <w:rsid w:val="001D169C"/>
    <w:rsid w:val="001D1AD6"/>
    <w:rsid w:val="001D1CC7"/>
    <w:rsid w:val="001D22EB"/>
    <w:rsid w:val="001D3A9B"/>
    <w:rsid w:val="001D3AA3"/>
    <w:rsid w:val="001D48F3"/>
    <w:rsid w:val="001D5263"/>
    <w:rsid w:val="001D5380"/>
    <w:rsid w:val="001D62B4"/>
    <w:rsid w:val="001D62D5"/>
    <w:rsid w:val="001D6423"/>
    <w:rsid w:val="001D646C"/>
    <w:rsid w:val="001D6585"/>
    <w:rsid w:val="001D6BA0"/>
    <w:rsid w:val="001D6C21"/>
    <w:rsid w:val="001D7CCE"/>
    <w:rsid w:val="001E025C"/>
    <w:rsid w:val="001E0C2D"/>
    <w:rsid w:val="001E0EAF"/>
    <w:rsid w:val="001E1648"/>
    <w:rsid w:val="001E170A"/>
    <w:rsid w:val="001E17C1"/>
    <w:rsid w:val="001E1825"/>
    <w:rsid w:val="001E1B6F"/>
    <w:rsid w:val="001E25DF"/>
    <w:rsid w:val="001E28D2"/>
    <w:rsid w:val="001E2DFB"/>
    <w:rsid w:val="001E31F3"/>
    <w:rsid w:val="001E3578"/>
    <w:rsid w:val="001E3645"/>
    <w:rsid w:val="001E384A"/>
    <w:rsid w:val="001E3946"/>
    <w:rsid w:val="001E3963"/>
    <w:rsid w:val="001E3AA0"/>
    <w:rsid w:val="001E4BD6"/>
    <w:rsid w:val="001E4F09"/>
    <w:rsid w:val="001E508C"/>
    <w:rsid w:val="001E54C8"/>
    <w:rsid w:val="001E55CD"/>
    <w:rsid w:val="001E584F"/>
    <w:rsid w:val="001E5BF0"/>
    <w:rsid w:val="001E66FC"/>
    <w:rsid w:val="001E6AD7"/>
    <w:rsid w:val="001E705F"/>
    <w:rsid w:val="001E709D"/>
    <w:rsid w:val="001E71F5"/>
    <w:rsid w:val="001F0369"/>
    <w:rsid w:val="001F069E"/>
    <w:rsid w:val="001F11EB"/>
    <w:rsid w:val="001F199A"/>
    <w:rsid w:val="001F1C78"/>
    <w:rsid w:val="001F2819"/>
    <w:rsid w:val="001F289A"/>
    <w:rsid w:val="001F2995"/>
    <w:rsid w:val="001F2DCD"/>
    <w:rsid w:val="001F3B60"/>
    <w:rsid w:val="001F3ECF"/>
    <w:rsid w:val="001F5116"/>
    <w:rsid w:val="001F579B"/>
    <w:rsid w:val="001F61E5"/>
    <w:rsid w:val="001F6A4F"/>
    <w:rsid w:val="001F6CF7"/>
    <w:rsid w:val="001F7690"/>
    <w:rsid w:val="0020001C"/>
    <w:rsid w:val="0020018B"/>
    <w:rsid w:val="00200315"/>
    <w:rsid w:val="002003A2"/>
    <w:rsid w:val="00200449"/>
    <w:rsid w:val="0020044D"/>
    <w:rsid w:val="00200CF4"/>
    <w:rsid w:val="002018D5"/>
    <w:rsid w:val="00201A06"/>
    <w:rsid w:val="00201ECF"/>
    <w:rsid w:val="002023A3"/>
    <w:rsid w:val="002032CC"/>
    <w:rsid w:val="00203947"/>
    <w:rsid w:val="002050EE"/>
    <w:rsid w:val="00205356"/>
    <w:rsid w:val="00205E54"/>
    <w:rsid w:val="00206886"/>
    <w:rsid w:val="002068C1"/>
    <w:rsid w:val="00207278"/>
    <w:rsid w:val="00207AAF"/>
    <w:rsid w:val="00207B1E"/>
    <w:rsid w:val="00207B7F"/>
    <w:rsid w:val="00207C1C"/>
    <w:rsid w:val="00210C5E"/>
    <w:rsid w:val="00211DCE"/>
    <w:rsid w:val="00212330"/>
    <w:rsid w:val="0021294E"/>
    <w:rsid w:val="00212E6A"/>
    <w:rsid w:val="00212EE0"/>
    <w:rsid w:val="00212EFC"/>
    <w:rsid w:val="0021311F"/>
    <w:rsid w:val="0021376A"/>
    <w:rsid w:val="00213EED"/>
    <w:rsid w:val="00214C6A"/>
    <w:rsid w:val="002155B7"/>
    <w:rsid w:val="002161EB"/>
    <w:rsid w:val="0021639E"/>
    <w:rsid w:val="002165BB"/>
    <w:rsid w:val="00216D21"/>
    <w:rsid w:val="00220029"/>
    <w:rsid w:val="00220A74"/>
    <w:rsid w:val="0022114B"/>
    <w:rsid w:val="002219B8"/>
    <w:rsid w:val="00221E10"/>
    <w:rsid w:val="002221F6"/>
    <w:rsid w:val="00222570"/>
    <w:rsid w:val="00222A28"/>
    <w:rsid w:val="0022318A"/>
    <w:rsid w:val="00223476"/>
    <w:rsid w:val="0022359D"/>
    <w:rsid w:val="0022525A"/>
    <w:rsid w:val="00225B70"/>
    <w:rsid w:val="00225FEC"/>
    <w:rsid w:val="00226063"/>
    <w:rsid w:val="002265DA"/>
    <w:rsid w:val="0022719F"/>
    <w:rsid w:val="0022768B"/>
    <w:rsid w:val="00227788"/>
    <w:rsid w:val="00227DC8"/>
    <w:rsid w:val="0023007B"/>
    <w:rsid w:val="002305E3"/>
    <w:rsid w:val="00230718"/>
    <w:rsid w:val="00231B9E"/>
    <w:rsid w:val="0023205F"/>
    <w:rsid w:val="0023225E"/>
    <w:rsid w:val="00232730"/>
    <w:rsid w:val="00232A32"/>
    <w:rsid w:val="00232C74"/>
    <w:rsid w:val="00234687"/>
    <w:rsid w:val="002349F9"/>
    <w:rsid w:val="00235ECB"/>
    <w:rsid w:val="0023643C"/>
    <w:rsid w:val="00236A7B"/>
    <w:rsid w:val="00236D26"/>
    <w:rsid w:val="002371C0"/>
    <w:rsid w:val="002404CD"/>
    <w:rsid w:val="00240D9D"/>
    <w:rsid w:val="00240E92"/>
    <w:rsid w:val="002422FA"/>
    <w:rsid w:val="002425EC"/>
    <w:rsid w:val="00242920"/>
    <w:rsid w:val="00242D36"/>
    <w:rsid w:val="00242FE6"/>
    <w:rsid w:val="00243503"/>
    <w:rsid w:val="00243530"/>
    <w:rsid w:val="002436E9"/>
    <w:rsid w:val="0024380D"/>
    <w:rsid w:val="00243A26"/>
    <w:rsid w:val="00243AC8"/>
    <w:rsid w:val="00243D55"/>
    <w:rsid w:val="00244533"/>
    <w:rsid w:val="00245CC6"/>
    <w:rsid w:val="00245D88"/>
    <w:rsid w:val="002465C9"/>
    <w:rsid w:val="00247672"/>
    <w:rsid w:val="00247F76"/>
    <w:rsid w:val="002509F3"/>
    <w:rsid w:val="00250E0F"/>
    <w:rsid w:val="0025242F"/>
    <w:rsid w:val="002525E4"/>
    <w:rsid w:val="002528E9"/>
    <w:rsid w:val="002530FF"/>
    <w:rsid w:val="002536E5"/>
    <w:rsid w:val="00253941"/>
    <w:rsid w:val="00254906"/>
    <w:rsid w:val="00254A3E"/>
    <w:rsid w:val="00254A43"/>
    <w:rsid w:val="00254D43"/>
    <w:rsid w:val="00255903"/>
    <w:rsid w:val="00255C7C"/>
    <w:rsid w:val="00256C93"/>
    <w:rsid w:val="002571D9"/>
    <w:rsid w:val="00257330"/>
    <w:rsid w:val="00257377"/>
    <w:rsid w:val="002579B5"/>
    <w:rsid w:val="00257A4F"/>
    <w:rsid w:val="002611B2"/>
    <w:rsid w:val="00261CCC"/>
    <w:rsid w:val="00261E92"/>
    <w:rsid w:val="00262142"/>
    <w:rsid w:val="00262DBC"/>
    <w:rsid w:val="00262FC1"/>
    <w:rsid w:val="0026308E"/>
    <w:rsid w:val="002630D4"/>
    <w:rsid w:val="0026326C"/>
    <w:rsid w:val="002648F6"/>
    <w:rsid w:val="00264CC5"/>
    <w:rsid w:val="00264D99"/>
    <w:rsid w:val="002655A7"/>
    <w:rsid w:val="00265997"/>
    <w:rsid w:val="00265FB3"/>
    <w:rsid w:val="0026653C"/>
    <w:rsid w:val="00266665"/>
    <w:rsid w:val="002666EA"/>
    <w:rsid w:val="00266B0C"/>
    <w:rsid w:val="002707B7"/>
    <w:rsid w:val="002711DC"/>
    <w:rsid w:val="00271AD3"/>
    <w:rsid w:val="00271AF4"/>
    <w:rsid w:val="00271E8A"/>
    <w:rsid w:val="002720B6"/>
    <w:rsid w:val="00272585"/>
    <w:rsid w:val="00273148"/>
    <w:rsid w:val="002735E7"/>
    <w:rsid w:val="00273978"/>
    <w:rsid w:val="00273AE5"/>
    <w:rsid w:val="00273B16"/>
    <w:rsid w:val="00273B9D"/>
    <w:rsid w:val="00273D65"/>
    <w:rsid w:val="00274085"/>
    <w:rsid w:val="002740F9"/>
    <w:rsid w:val="00274733"/>
    <w:rsid w:val="00274872"/>
    <w:rsid w:val="00274F96"/>
    <w:rsid w:val="00275DD6"/>
    <w:rsid w:val="002767F8"/>
    <w:rsid w:val="00276D3C"/>
    <w:rsid w:val="0027774B"/>
    <w:rsid w:val="00277981"/>
    <w:rsid w:val="00277AF6"/>
    <w:rsid w:val="00277D37"/>
    <w:rsid w:val="00277DD8"/>
    <w:rsid w:val="00280826"/>
    <w:rsid w:val="00280A78"/>
    <w:rsid w:val="00280CDB"/>
    <w:rsid w:val="00280E58"/>
    <w:rsid w:val="00281055"/>
    <w:rsid w:val="00281742"/>
    <w:rsid w:val="00281909"/>
    <w:rsid w:val="002826E9"/>
    <w:rsid w:val="0028281C"/>
    <w:rsid w:val="00282C01"/>
    <w:rsid w:val="00282D87"/>
    <w:rsid w:val="002832EB"/>
    <w:rsid w:val="002845AC"/>
    <w:rsid w:val="00284FDB"/>
    <w:rsid w:val="0028571D"/>
    <w:rsid w:val="00285BAA"/>
    <w:rsid w:val="00285E5F"/>
    <w:rsid w:val="0028613C"/>
    <w:rsid w:val="0028652F"/>
    <w:rsid w:val="0028655C"/>
    <w:rsid w:val="00286D2F"/>
    <w:rsid w:val="00287626"/>
    <w:rsid w:val="00287657"/>
    <w:rsid w:val="00290ADF"/>
    <w:rsid w:val="00290ECA"/>
    <w:rsid w:val="00291322"/>
    <w:rsid w:val="002915CD"/>
    <w:rsid w:val="00292039"/>
    <w:rsid w:val="0029235B"/>
    <w:rsid w:val="00292470"/>
    <w:rsid w:val="002925AF"/>
    <w:rsid w:val="00292832"/>
    <w:rsid w:val="002929B8"/>
    <w:rsid w:val="00293364"/>
    <w:rsid w:val="002939E7"/>
    <w:rsid w:val="00293DC0"/>
    <w:rsid w:val="00293FDA"/>
    <w:rsid w:val="00294042"/>
    <w:rsid w:val="0029507C"/>
    <w:rsid w:val="002950E0"/>
    <w:rsid w:val="00295A7F"/>
    <w:rsid w:val="002960E5"/>
    <w:rsid w:val="00296195"/>
    <w:rsid w:val="00296CD6"/>
    <w:rsid w:val="002977F8"/>
    <w:rsid w:val="00297E4B"/>
    <w:rsid w:val="00297EB7"/>
    <w:rsid w:val="00297EF8"/>
    <w:rsid w:val="002A01F3"/>
    <w:rsid w:val="002A0700"/>
    <w:rsid w:val="002A0A46"/>
    <w:rsid w:val="002A0AEB"/>
    <w:rsid w:val="002A0C34"/>
    <w:rsid w:val="002A1CFA"/>
    <w:rsid w:val="002A215C"/>
    <w:rsid w:val="002A31C3"/>
    <w:rsid w:val="002A3293"/>
    <w:rsid w:val="002A38D0"/>
    <w:rsid w:val="002A3C59"/>
    <w:rsid w:val="002A3DA2"/>
    <w:rsid w:val="002A69BC"/>
    <w:rsid w:val="002A6B8E"/>
    <w:rsid w:val="002A6C28"/>
    <w:rsid w:val="002A6D11"/>
    <w:rsid w:val="002A75B6"/>
    <w:rsid w:val="002A7917"/>
    <w:rsid w:val="002B01FE"/>
    <w:rsid w:val="002B0221"/>
    <w:rsid w:val="002B076C"/>
    <w:rsid w:val="002B0853"/>
    <w:rsid w:val="002B0AFB"/>
    <w:rsid w:val="002B0EBA"/>
    <w:rsid w:val="002B0EF3"/>
    <w:rsid w:val="002B0F0C"/>
    <w:rsid w:val="002B15E2"/>
    <w:rsid w:val="002B28C0"/>
    <w:rsid w:val="002B2CF4"/>
    <w:rsid w:val="002B2EF6"/>
    <w:rsid w:val="002B38D0"/>
    <w:rsid w:val="002B3A81"/>
    <w:rsid w:val="002B3C11"/>
    <w:rsid w:val="002B4189"/>
    <w:rsid w:val="002B42E6"/>
    <w:rsid w:val="002B45D0"/>
    <w:rsid w:val="002B476D"/>
    <w:rsid w:val="002B481D"/>
    <w:rsid w:val="002B56F7"/>
    <w:rsid w:val="002B63F5"/>
    <w:rsid w:val="002B6500"/>
    <w:rsid w:val="002B7219"/>
    <w:rsid w:val="002B73E5"/>
    <w:rsid w:val="002B791F"/>
    <w:rsid w:val="002B7FBA"/>
    <w:rsid w:val="002C04D4"/>
    <w:rsid w:val="002C04E2"/>
    <w:rsid w:val="002C0825"/>
    <w:rsid w:val="002C086E"/>
    <w:rsid w:val="002C14E9"/>
    <w:rsid w:val="002C179B"/>
    <w:rsid w:val="002C222A"/>
    <w:rsid w:val="002C2CC5"/>
    <w:rsid w:val="002C2CCE"/>
    <w:rsid w:val="002C2FFB"/>
    <w:rsid w:val="002C40F8"/>
    <w:rsid w:val="002C42C9"/>
    <w:rsid w:val="002C42E8"/>
    <w:rsid w:val="002C5B95"/>
    <w:rsid w:val="002C5FD8"/>
    <w:rsid w:val="002C659B"/>
    <w:rsid w:val="002C6AEC"/>
    <w:rsid w:val="002C706C"/>
    <w:rsid w:val="002C741B"/>
    <w:rsid w:val="002C774A"/>
    <w:rsid w:val="002D0ABC"/>
    <w:rsid w:val="002D1B59"/>
    <w:rsid w:val="002D207C"/>
    <w:rsid w:val="002D2319"/>
    <w:rsid w:val="002D2760"/>
    <w:rsid w:val="002D330C"/>
    <w:rsid w:val="002D3EFB"/>
    <w:rsid w:val="002D4230"/>
    <w:rsid w:val="002D44DB"/>
    <w:rsid w:val="002D4DBB"/>
    <w:rsid w:val="002D557B"/>
    <w:rsid w:val="002D5C43"/>
    <w:rsid w:val="002D5C5E"/>
    <w:rsid w:val="002D6DF1"/>
    <w:rsid w:val="002D7A50"/>
    <w:rsid w:val="002E0526"/>
    <w:rsid w:val="002E07BE"/>
    <w:rsid w:val="002E0C15"/>
    <w:rsid w:val="002E1BD8"/>
    <w:rsid w:val="002E1EBF"/>
    <w:rsid w:val="002E22BB"/>
    <w:rsid w:val="002E255D"/>
    <w:rsid w:val="002E266A"/>
    <w:rsid w:val="002E2B94"/>
    <w:rsid w:val="002E2D57"/>
    <w:rsid w:val="002E3709"/>
    <w:rsid w:val="002E3E7C"/>
    <w:rsid w:val="002E3F3C"/>
    <w:rsid w:val="002E3FAD"/>
    <w:rsid w:val="002E4562"/>
    <w:rsid w:val="002E4C40"/>
    <w:rsid w:val="002E4D55"/>
    <w:rsid w:val="002E56E1"/>
    <w:rsid w:val="002E595C"/>
    <w:rsid w:val="002E5D5F"/>
    <w:rsid w:val="002E5F0C"/>
    <w:rsid w:val="002E646C"/>
    <w:rsid w:val="002E64A2"/>
    <w:rsid w:val="002E72B0"/>
    <w:rsid w:val="002E74E2"/>
    <w:rsid w:val="002E7842"/>
    <w:rsid w:val="002F17F4"/>
    <w:rsid w:val="002F1956"/>
    <w:rsid w:val="002F1C32"/>
    <w:rsid w:val="002F1C4F"/>
    <w:rsid w:val="002F2314"/>
    <w:rsid w:val="002F25CC"/>
    <w:rsid w:val="002F2838"/>
    <w:rsid w:val="002F3930"/>
    <w:rsid w:val="002F3D8D"/>
    <w:rsid w:val="002F3D91"/>
    <w:rsid w:val="002F440B"/>
    <w:rsid w:val="002F443F"/>
    <w:rsid w:val="002F44D3"/>
    <w:rsid w:val="002F47BB"/>
    <w:rsid w:val="002F4A37"/>
    <w:rsid w:val="002F4EE4"/>
    <w:rsid w:val="002F5CAF"/>
    <w:rsid w:val="002F6679"/>
    <w:rsid w:val="002F6A98"/>
    <w:rsid w:val="002F7AEA"/>
    <w:rsid w:val="003004ED"/>
    <w:rsid w:val="00300593"/>
    <w:rsid w:val="003006F8"/>
    <w:rsid w:val="00301230"/>
    <w:rsid w:val="00301265"/>
    <w:rsid w:val="00302AEA"/>
    <w:rsid w:val="0030469D"/>
    <w:rsid w:val="003053AF"/>
    <w:rsid w:val="003057C8"/>
    <w:rsid w:val="003059BD"/>
    <w:rsid w:val="003059CE"/>
    <w:rsid w:val="003060DC"/>
    <w:rsid w:val="0030624A"/>
    <w:rsid w:val="003069A5"/>
    <w:rsid w:val="003069DD"/>
    <w:rsid w:val="00306B2A"/>
    <w:rsid w:val="00306C3C"/>
    <w:rsid w:val="003072EF"/>
    <w:rsid w:val="003079EF"/>
    <w:rsid w:val="00310008"/>
    <w:rsid w:val="003104A6"/>
    <w:rsid w:val="00310F06"/>
    <w:rsid w:val="003112FE"/>
    <w:rsid w:val="0031164B"/>
    <w:rsid w:val="00312133"/>
    <w:rsid w:val="003122EE"/>
    <w:rsid w:val="00312327"/>
    <w:rsid w:val="0031303D"/>
    <w:rsid w:val="00313404"/>
    <w:rsid w:val="00313426"/>
    <w:rsid w:val="00313AAB"/>
    <w:rsid w:val="00314C45"/>
    <w:rsid w:val="00314E9E"/>
    <w:rsid w:val="00315EEC"/>
    <w:rsid w:val="00315F37"/>
    <w:rsid w:val="0031687B"/>
    <w:rsid w:val="00316F4B"/>
    <w:rsid w:val="00317185"/>
    <w:rsid w:val="00317898"/>
    <w:rsid w:val="00320025"/>
    <w:rsid w:val="00320CBA"/>
    <w:rsid w:val="00320F9A"/>
    <w:rsid w:val="003219E1"/>
    <w:rsid w:val="0032213E"/>
    <w:rsid w:val="00322151"/>
    <w:rsid w:val="00322661"/>
    <w:rsid w:val="00323033"/>
    <w:rsid w:val="0032374D"/>
    <w:rsid w:val="00323901"/>
    <w:rsid w:val="00323BFA"/>
    <w:rsid w:val="00323D1A"/>
    <w:rsid w:val="00323D36"/>
    <w:rsid w:val="0032483C"/>
    <w:rsid w:val="00324D3A"/>
    <w:rsid w:val="00325FDE"/>
    <w:rsid w:val="00326AD1"/>
    <w:rsid w:val="00327F60"/>
    <w:rsid w:val="00330069"/>
    <w:rsid w:val="00330C5F"/>
    <w:rsid w:val="00330EB8"/>
    <w:rsid w:val="003313E3"/>
    <w:rsid w:val="00333F0E"/>
    <w:rsid w:val="00333FFA"/>
    <w:rsid w:val="00334216"/>
    <w:rsid w:val="003349E9"/>
    <w:rsid w:val="00334F6B"/>
    <w:rsid w:val="0033662F"/>
    <w:rsid w:val="00336A6A"/>
    <w:rsid w:val="00336B1A"/>
    <w:rsid w:val="00336BBD"/>
    <w:rsid w:val="00336FDA"/>
    <w:rsid w:val="00337118"/>
    <w:rsid w:val="00337205"/>
    <w:rsid w:val="00337A85"/>
    <w:rsid w:val="00337F75"/>
    <w:rsid w:val="003408F6"/>
    <w:rsid w:val="00341142"/>
    <w:rsid w:val="00341568"/>
    <w:rsid w:val="00341A6A"/>
    <w:rsid w:val="00341D5F"/>
    <w:rsid w:val="0034225B"/>
    <w:rsid w:val="00342D5D"/>
    <w:rsid w:val="003430E6"/>
    <w:rsid w:val="003431DA"/>
    <w:rsid w:val="00343F86"/>
    <w:rsid w:val="0034452D"/>
    <w:rsid w:val="00344B62"/>
    <w:rsid w:val="00344F04"/>
    <w:rsid w:val="00345746"/>
    <w:rsid w:val="0034667F"/>
    <w:rsid w:val="00346ADC"/>
    <w:rsid w:val="00347D27"/>
    <w:rsid w:val="00347EC2"/>
    <w:rsid w:val="003503D2"/>
    <w:rsid w:val="00350586"/>
    <w:rsid w:val="00350763"/>
    <w:rsid w:val="00350D63"/>
    <w:rsid w:val="00350E2D"/>
    <w:rsid w:val="003519E4"/>
    <w:rsid w:val="00351CD8"/>
    <w:rsid w:val="00352213"/>
    <w:rsid w:val="0035329D"/>
    <w:rsid w:val="0035375B"/>
    <w:rsid w:val="003544BF"/>
    <w:rsid w:val="003546C7"/>
    <w:rsid w:val="003558F2"/>
    <w:rsid w:val="0036040E"/>
    <w:rsid w:val="00360A50"/>
    <w:rsid w:val="00360D87"/>
    <w:rsid w:val="00361825"/>
    <w:rsid w:val="00362100"/>
    <w:rsid w:val="0036281D"/>
    <w:rsid w:val="0036290B"/>
    <w:rsid w:val="00363100"/>
    <w:rsid w:val="00363B21"/>
    <w:rsid w:val="00364571"/>
    <w:rsid w:val="00364640"/>
    <w:rsid w:val="00365279"/>
    <w:rsid w:val="003652EB"/>
    <w:rsid w:val="0036541D"/>
    <w:rsid w:val="003658E8"/>
    <w:rsid w:val="00365CA3"/>
    <w:rsid w:val="00365D8D"/>
    <w:rsid w:val="00365D9B"/>
    <w:rsid w:val="00366514"/>
    <w:rsid w:val="003666B9"/>
    <w:rsid w:val="00366796"/>
    <w:rsid w:val="00366ACF"/>
    <w:rsid w:val="00366BD2"/>
    <w:rsid w:val="00366CE1"/>
    <w:rsid w:val="003674B8"/>
    <w:rsid w:val="003675F2"/>
    <w:rsid w:val="00367A98"/>
    <w:rsid w:val="00367C92"/>
    <w:rsid w:val="00367CBD"/>
    <w:rsid w:val="00367F95"/>
    <w:rsid w:val="003703C9"/>
    <w:rsid w:val="00370871"/>
    <w:rsid w:val="00370FF5"/>
    <w:rsid w:val="003712E5"/>
    <w:rsid w:val="00371A84"/>
    <w:rsid w:val="00371CD5"/>
    <w:rsid w:val="00372D7E"/>
    <w:rsid w:val="00373051"/>
    <w:rsid w:val="00373408"/>
    <w:rsid w:val="00373749"/>
    <w:rsid w:val="00373E8E"/>
    <w:rsid w:val="003747D4"/>
    <w:rsid w:val="00374C0C"/>
    <w:rsid w:val="003756EE"/>
    <w:rsid w:val="00375869"/>
    <w:rsid w:val="00375AAB"/>
    <w:rsid w:val="0037663F"/>
    <w:rsid w:val="00376648"/>
    <w:rsid w:val="0037666E"/>
    <w:rsid w:val="0037671E"/>
    <w:rsid w:val="0037672B"/>
    <w:rsid w:val="00376B3C"/>
    <w:rsid w:val="00376BF1"/>
    <w:rsid w:val="00376C4C"/>
    <w:rsid w:val="00376F0F"/>
    <w:rsid w:val="00377334"/>
    <w:rsid w:val="0037737B"/>
    <w:rsid w:val="0037738A"/>
    <w:rsid w:val="00377CC2"/>
    <w:rsid w:val="00377E7C"/>
    <w:rsid w:val="00377EC5"/>
    <w:rsid w:val="00380473"/>
    <w:rsid w:val="003805A2"/>
    <w:rsid w:val="003806EF"/>
    <w:rsid w:val="00380733"/>
    <w:rsid w:val="0038179A"/>
    <w:rsid w:val="00382187"/>
    <w:rsid w:val="0038272D"/>
    <w:rsid w:val="00382BF8"/>
    <w:rsid w:val="003831B4"/>
    <w:rsid w:val="003841A1"/>
    <w:rsid w:val="0038436D"/>
    <w:rsid w:val="00384427"/>
    <w:rsid w:val="0038469C"/>
    <w:rsid w:val="0038498E"/>
    <w:rsid w:val="003854DB"/>
    <w:rsid w:val="00385558"/>
    <w:rsid w:val="0038576A"/>
    <w:rsid w:val="00385AB7"/>
    <w:rsid w:val="00386A28"/>
    <w:rsid w:val="00386F36"/>
    <w:rsid w:val="0038700D"/>
    <w:rsid w:val="00387391"/>
    <w:rsid w:val="00387F7B"/>
    <w:rsid w:val="00390077"/>
    <w:rsid w:val="0039021F"/>
    <w:rsid w:val="00390528"/>
    <w:rsid w:val="00390555"/>
    <w:rsid w:val="0039081B"/>
    <w:rsid w:val="00390E49"/>
    <w:rsid w:val="00391B4D"/>
    <w:rsid w:val="00391C36"/>
    <w:rsid w:val="00391EA8"/>
    <w:rsid w:val="00393367"/>
    <w:rsid w:val="00393371"/>
    <w:rsid w:val="003938BD"/>
    <w:rsid w:val="0039390F"/>
    <w:rsid w:val="00393B17"/>
    <w:rsid w:val="003948F3"/>
    <w:rsid w:val="00394D13"/>
    <w:rsid w:val="00396366"/>
    <w:rsid w:val="003964BE"/>
    <w:rsid w:val="003967AC"/>
    <w:rsid w:val="003968D1"/>
    <w:rsid w:val="00396B7F"/>
    <w:rsid w:val="0039725D"/>
    <w:rsid w:val="003A018A"/>
    <w:rsid w:val="003A033C"/>
    <w:rsid w:val="003A0E85"/>
    <w:rsid w:val="003A0F28"/>
    <w:rsid w:val="003A22ED"/>
    <w:rsid w:val="003A2333"/>
    <w:rsid w:val="003A2336"/>
    <w:rsid w:val="003A26F7"/>
    <w:rsid w:val="003A290E"/>
    <w:rsid w:val="003A2B36"/>
    <w:rsid w:val="003A3704"/>
    <w:rsid w:val="003A38AB"/>
    <w:rsid w:val="003A3D98"/>
    <w:rsid w:val="003A445A"/>
    <w:rsid w:val="003A4AEE"/>
    <w:rsid w:val="003A4B01"/>
    <w:rsid w:val="003A4EF1"/>
    <w:rsid w:val="003A53F4"/>
    <w:rsid w:val="003A54B0"/>
    <w:rsid w:val="003A5603"/>
    <w:rsid w:val="003A5820"/>
    <w:rsid w:val="003A5868"/>
    <w:rsid w:val="003A5DDD"/>
    <w:rsid w:val="003A5FFD"/>
    <w:rsid w:val="003A62CB"/>
    <w:rsid w:val="003A63CF"/>
    <w:rsid w:val="003A6F23"/>
    <w:rsid w:val="003A7673"/>
    <w:rsid w:val="003A7E35"/>
    <w:rsid w:val="003B0625"/>
    <w:rsid w:val="003B20DA"/>
    <w:rsid w:val="003B29A8"/>
    <w:rsid w:val="003B3003"/>
    <w:rsid w:val="003B3267"/>
    <w:rsid w:val="003B40C2"/>
    <w:rsid w:val="003B4101"/>
    <w:rsid w:val="003B4146"/>
    <w:rsid w:val="003B4A5B"/>
    <w:rsid w:val="003B4B50"/>
    <w:rsid w:val="003B4B69"/>
    <w:rsid w:val="003B5131"/>
    <w:rsid w:val="003B559E"/>
    <w:rsid w:val="003B599D"/>
    <w:rsid w:val="003B5ABD"/>
    <w:rsid w:val="003B5FA9"/>
    <w:rsid w:val="003B67E3"/>
    <w:rsid w:val="003B7997"/>
    <w:rsid w:val="003B7FCC"/>
    <w:rsid w:val="003C0C38"/>
    <w:rsid w:val="003C0CB9"/>
    <w:rsid w:val="003C1038"/>
    <w:rsid w:val="003C11EE"/>
    <w:rsid w:val="003C12E2"/>
    <w:rsid w:val="003C168F"/>
    <w:rsid w:val="003C188E"/>
    <w:rsid w:val="003C27F9"/>
    <w:rsid w:val="003C31E6"/>
    <w:rsid w:val="003C36F6"/>
    <w:rsid w:val="003C4B2C"/>
    <w:rsid w:val="003C4E43"/>
    <w:rsid w:val="003C5130"/>
    <w:rsid w:val="003C5158"/>
    <w:rsid w:val="003C5960"/>
    <w:rsid w:val="003C6937"/>
    <w:rsid w:val="003C7350"/>
    <w:rsid w:val="003C7731"/>
    <w:rsid w:val="003C7B1D"/>
    <w:rsid w:val="003C7EF3"/>
    <w:rsid w:val="003D02AA"/>
    <w:rsid w:val="003D0724"/>
    <w:rsid w:val="003D0969"/>
    <w:rsid w:val="003D0F14"/>
    <w:rsid w:val="003D0F5C"/>
    <w:rsid w:val="003D1763"/>
    <w:rsid w:val="003D1B55"/>
    <w:rsid w:val="003D1F9A"/>
    <w:rsid w:val="003D2ABD"/>
    <w:rsid w:val="003D2DA1"/>
    <w:rsid w:val="003D3331"/>
    <w:rsid w:val="003D34FC"/>
    <w:rsid w:val="003D3549"/>
    <w:rsid w:val="003D42FB"/>
    <w:rsid w:val="003D435A"/>
    <w:rsid w:val="003D436A"/>
    <w:rsid w:val="003D47E3"/>
    <w:rsid w:val="003D4983"/>
    <w:rsid w:val="003D54CE"/>
    <w:rsid w:val="003D562E"/>
    <w:rsid w:val="003D5B24"/>
    <w:rsid w:val="003D6180"/>
    <w:rsid w:val="003D745D"/>
    <w:rsid w:val="003D795B"/>
    <w:rsid w:val="003D7EF5"/>
    <w:rsid w:val="003E0125"/>
    <w:rsid w:val="003E03F7"/>
    <w:rsid w:val="003E05D0"/>
    <w:rsid w:val="003E0648"/>
    <w:rsid w:val="003E0A52"/>
    <w:rsid w:val="003E0D55"/>
    <w:rsid w:val="003E0D7C"/>
    <w:rsid w:val="003E0EE1"/>
    <w:rsid w:val="003E11FF"/>
    <w:rsid w:val="003E14C6"/>
    <w:rsid w:val="003E1A47"/>
    <w:rsid w:val="003E2D79"/>
    <w:rsid w:val="003E2E57"/>
    <w:rsid w:val="003E31F7"/>
    <w:rsid w:val="003E3736"/>
    <w:rsid w:val="003E391A"/>
    <w:rsid w:val="003E3DCA"/>
    <w:rsid w:val="003E48C6"/>
    <w:rsid w:val="003E50DD"/>
    <w:rsid w:val="003E5452"/>
    <w:rsid w:val="003E55C9"/>
    <w:rsid w:val="003E5E41"/>
    <w:rsid w:val="003E61DB"/>
    <w:rsid w:val="003E6272"/>
    <w:rsid w:val="003E6476"/>
    <w:rsid w:val="003E6698"/>
    <w:rsid w:val="003E686C"/>
    <w:rsid w:val="003E68BE"/>
    <w:rsid w:val="003E7241"/>
    <w:rsid w:val="003F0FE3"/>
    <w:rsid w:val="003F1732"/>
    <w:rsid w:val="003F1C21"/>
    <w:rsid w:val="003F1CAD"/>
    <w:rsid w:val="003F27A5"/>
    <w:rsid w:val="003F2811"/>
    <w:rsid w:val="003F2C1C"/>
    <w:rsid w:val="003F2E17"/>
    <w:rsid w:val="003F3676"/>
    <w:rsid w:val="003F51D6"/>
    <w:rsid w:val="003F5AE6"/>
    <w:rsid w:val="003F5C1D"/>
    <w:rsid w:val="003F5C8F"/>
    <w:rsid w:val="003F60C2"/>
    <w:rsid w:val="003F693C"/>
    <w:rsid w:val="003F6A33"/>
    <w:rsid w:val="003F6ADF"/>
    <w:rsid w:val="003F6F94"/>
    <w:rsid w:val="003F7658"/>
    <w:rsid w:val="003F7727"/>
    <w:rsid w:val="003F7786"/>
    <w:rsid w:val="003F7946"/>
    <w:rsid w:val="003F7E35"/>
    <w:rsid w:val="004000E4"/>
    <w:rsid w:val="004002DE"/>
    <w:rsid w:val="004009F5"/>
    <w:rsid w:val="004010FE"/>
    <w:rsid w:val="004012BA"/>
    <w:rsid w:val="004015BF"/>
    <w:rsid w:val="004019EA"/>
    <w:rsid w:val="00401BFB"/>
    <w:rsid w:val="00401F9E"/>
    <w:rsid w:val="00402028"/>
    <w:rsid w:val="0040218C"/>
    <w:rsid w:val="004023B8"/>
    <w:rsid w:val="00402B7A"/>
    <w:rsid w:val="00402CE8"/>
    <w:rsid w:val="0040306F"/>
    <w:rsid w:val="00403204"/>
    <w:rsid w:val="0040389F"/>
    <w:rsid w:val="00403C41"/>
    <w:rsid w:val="00404037"/>
    <w:rsid w:val="00404277"/>
    <w:rsid w:val="00404C3F"/>
    <w:rsid w:val="00404E68"/>
    <w:rsid w:val="00404F63"/>
    <w:rsid w:val="0040594C"/>
    <w:rsid w:val="004065C1"/>
    <w:rsid w:val="004070F8"/>
    <w:rsid w:val="00411746"/>
    <w:rsid w:val="00411CA1"/>
    <w:rsid w:val="00412D83"/>
    <w:rsid w:val="0041313B"/>
    <w:rsid w:val="0041388D"/>
    <w:rsid w:val="00413A22"/>
    <w:rsid w:val="00414AAC"/>
    <w:rsid w:val="00414E37"/>
    <w:rsid w:val="00414E86"/>
    <w:rsid w:val="004166D2"/>
    <w:rsid w:val="004167E9"/>
    <w:rsid w:val="00416A79"/>
    <w:rsid w:val="00416C2B"/>
    <w:rsid w:val="00416DF4"/>
    <w:rsid w:val="0041715E"/>
    <w:rsid w:val="0042014A"/>
    <w:rsid w:val="0042103B"/>
    <w:rsid w:val="00421094"/>
    <w:rsid w:val="00421129"/>
    <w:rsid w:val="0042127A"/>
    <w:rsid w:val="004218D9"/>
    <w:rsid w:val="0042356F"/>
    <w:rsid w:val="004239FE"/>
    <w:rsid w:val="00423F03"/>
    <w:rsid w:val="0042535D"/>
    <w:rsid w:val="0042651B"/>
    <w:rsid w:val="00426F73"/>
    <w:rsid w:val="00427321"/>
    <w:rsid w:val="00427AC6"/>
    <w:rsid w:val="00430005"/>
    <w:rsid w:val="004300C6"/>
    <w:rsid w:val="00430CE3"/>
    <w:rsid w:val="00430D0C"/>
    <w:rsid w:val="00432B0C"/>
    <w:rsid w:val="00432BF4"/>
    <w:rsid w:val="00433336"/>
    <w:rsid w:val="00433497"/>
    <w:rsid w:val="00433D24"/>
    <w:rsid w:val="00433D8E"/>
    <w:rsid w:val="00434F7E"/>
    <w:rsid w:val="00435408"/>
    <w:rsid w:val="00435EF3"/>
    <w:rsid w:val="004360A8"/>
    <w:rsid w:val="00437147"/>
    <w:rsid w:val="00437DE4"/>
    <w:rsid w:val="00440114"/>
    <w:rsid w:val="00440136"/>
    <w:rsid w:val="0044045C"/>
    <w:rsid w:val="004404CD"/>
    <w:rsid w:val="00441845"/>
    <w:rsid w:val="00441D63"/>
    <w:rsid w:val="004422F6"/>
    <w:rsid w:val="0044279A"/>
    <w:rsid w:val="00443ADB"/>
    <w:rsid w:val="00444187"/>
    <w:rsid w:val="00444444"/>
    <w:rsid w:val="00444680"/>
    <w:rsid w:val="004446C5"/>
    <w:rsid w:val="004449C4"/>
    <w:rsid w:val="004450D5"/>
    <w:rsid w:val="004458B0"/>
    <w:rsid w:val="00446856"/>
    <w:rsid w:val="00447016"/>
    <w:rsid w:val="00447850"/>
    <w:rsid w:val="00450506"/>
    <w:rsid w:val="00450967"/>
    <w:rsid w:val="00450CB7"/>
    <w:rsid w:val="004512F6"/>
    <w:rsid w:val="004514A1"/>
    <w:rsid w:val="00451B2B"/>
    <w:rsid w:val="00451FDB"/>
    <w:rsid w:val="00452169"/>
    <w:rsid w:val="004527D8"/>
    <w:rsid w:val="00452AC9"/>
    <w:rsid w:val="00452F32"/>
    <w:rsid w:val="004534F3"/>
    <w:rsid w:val="00453971"/>
    <w:rsid w:val="00453A9C"/>
    <w:rsid w:val="00453E7E"/>
    <w:rsid w:val="00453EE4"/>
    <w:rsid w:val="004543CC"/>
    <w:rsid w:val="00454BD5"/>
    <w:rsid w:val="004553C6"/>
    <w:rsid w:val="00456EB7"/>
    <w:rsid w:val="004603ED"/>
    <w:rsid w:val="00460891"/>
    <w:rsid w:val="00460E43"/>
    <w:rsid w:val="00461747"/>
    <w:rsid w:val="00461B43"/>
    <w:rsid w:val="00461BA6"/>
    <w:rsid w:val="00462004"/>
    <w:rsid w:val="004626DA"/>
    <w:rsid w:val="00462965"/>
    <w:rsid w:val="00462D78"/>
    <w:rsid w:val="004630DA"/>
    <w:rsid w:val="004631A5"/>
    <w:rsid w:val="0046335C"/>
    <w:rsid w:val="00463863"/>
    <w:rsid w:val="004639BC"/>
    <w:rsid w:val="00463B7F"/>
    <w:rsid w:val="004640D7"/>
    <w:rsid w:val="00464FCB"/>
    <w:rsid w:val="00465442"/>
    <w:rsid w:val="00465570"/>
    <w:rsid w:val="0046657C"/>
    <w:rsid w:val="00466B37"/>
    <w:rsid w:val="00467586"/>
    <w:rsid w:val="004679F5"/>
    <w:rsid w:val="00467B9D"/>
    <w:rsid w:val="004705ED"/>
    <w:rsid w:val="00471016"/>
    <w:rsid w:val="004715E2"/>
    <w:rsid w:val="004718CA"/>
    <w:rsid w:val="00471E82"/>
    <w:rsid w:val="00472770"/>
    <w:rsid w:val="00472BA1"/>
    <w:rsid w:val="0047367C"/>
    <w:rsid w:val="004738ED"/>
    <w:rsid w:val="004739C7"/>
    <w:rsid w:val="00474515"/>
    <w:rsid w:val="00474639"/>
    <w:rsid w:val="00475195"/>
    <w:rsid w:val="004753DE"/>
    <w:rsid w:val="004757AC"/>
    <w:rsid w:val="00475845"/>
    <w:rsid w:val="00476B3A"/>
    <w:rsid w:val="00476E96"/>
    <w:rsid w:val="00477D37"/>
    <w:rsid w:val="00480FEA"/>
    <w:rsid w:val="00481526"/>
    <w:rsid w:val="004820FD"/>
    <w:rsid w:val="00482144"/>
    <w:rsid w:val="0048226E"/>
    <w:rsid w:val="0048227C"/>
    <w:rsid w:val="004823EF"/>
    <w:rsid w:val="004825DC"/>
    <w:rsid w:val="00482D5C"/>
    <w:rsid w:val="0048320A"/>
    <w:rsid w:val="00483381"/>
    <w:rsid w:val="00483FA8"/>
    <w:rsid w:val="004841B6"/>
    <w:rsid w:val="00484381"/>
    <w:rsid w:val="00484F13"/>
    <w:rsid w:val="00485AC4"/>
    <w:rsid w:val="00485B21"/>
    <w:rsid w:val="004864D4"/>
    <w:rsid w:val="00486784"/>
    <w:rsid w:val="00486C36"/>
    <w:rsid w:val="00486EC9"/>
    <w:rsid w:val="00487B53"/>
    <w:rsid w:val="004900F4"/>
    <w:rsid w:val="0049030D"/>
    <w:rsid w:val="00490D85"/>
    <w:rsid w:val="0049135A"/>
    <w:rsid w:val="004914B6"/>
    <w:rsid w:val="0049156F"/>
    <w:rsid w:val="00491AB0"/>
    <w:rsid w:val="0049206E"/>
    <w:rsid w:val="00492AF5"/>
    <w:rsid w:val="00492C76"/>
    <w:rsid w:val="00492F6D"/>
    <w:rsid w:val="00493145"/>
    <w:rsid w:val="00493A56"/>
    <w:rsid w:val="00493C60"/>
    <w:rsid w:val="004941DB"/>
    <w:rsid w:val="004941FF"/>
    <w:rsid w:val="004950AE"/>
    <w:rsid w:val="00495274"/>
    <w:rsid w:val="00495829"/>
    <w:rsid w:val="0049587A"/>
    <w:rsid w:val="0049596E"/>
    <w:rsid w:val="00495AB5"/>
    <w:rsid w:val="00495B32"/>
    <w:rsid w:val="00495D86"/>
    <w:rsid w:val="004964E8"/>
    <w:rsid w:val="00496BCA"/>
    <w:rsid w:val="00496D1B"/>
    <w:rsid w:val="0049722F"/>
    <w:rsid w:val="004A0100"/>
    <w:rsid w:val="004A02DD"/>
    <w:rsid w:val="004A03DA"/>
    <w:rsid w:val="004A05DA"/>
    <w:rsid w:val="004A11A0"/>
    <w:rsid w:val="004A14A5"/>
    <w:rsid w:val="004A2325"/>
    <w:rsid w:val="004A31A3"/>
    <w:rsid w:val="004A378E"/>
    <w:rsid w:val="004A3FD8"/>
    <w:rsid w:val="004A4130"/>
    <w:rsid w:val="004A4259"/>
    <w:rsid w:val="004A4454"/>
    <w:rsid w:val="004A554A"/>
    <w:rsid w:val="004A5770"/>
    <w:rsid w:val="004A5927"/>
    <w:rsid w:val="004A5A00"/>
    <w:rsid w:val="004A66AF"/>
    <w:rsid w:val="004A66EE"/>
    <w:rsid w:val="004A7108"/>
    <w:rsid w:val="004A7164"/>
    <w:rsid w:val="004A7875"/>
    <w:rsid w:val="004A7F00"/>
    <w:rsid w:val="004A7FE5"/>
    <w:rsid w:val="004B0387"/>
    <w:rsid w:val="004B0767"/>
    <w:rsid w:val="004B1699"/>
    <w:rsid w:val="004B1AD3"/>
    <w:rsid w:val="004B1DB2"/>
    <w:rsid w:val="004B2036"/>
    <w:rsid w:val="004B2736"/>
    <w:rsid w:val="004B2863"/>
    <w:rsid w:val="004B29B9"/>
    <w:rsid w:val="004B3AD1"/>
    <w:rsid w:val="004B3CA4"/>
    <w:rsid w:val="004B41D8"/>
    <w:rsid w:val="004B4974"/>
    <w:rsid w:val="004B5157"/>
    <w:rsid w:val="004B5806"/>
    <w:rsid w:val="004B5B32"/>
    <w:rsid w:val="004B67C6"/>
    <w:rsid w:val="004B6876"/>
    <w:rsid w:val="004B69FC"/>
    <w:rsid w:val="004B6AB7"/>
    <w:rsid w:val="004B6B40"/>
    <w:rsid w:val="004B6DAC"/>
    <w:rsid w:val="004B744D"/>
    <w:rsid w:val="004B79B1"/>
    <w:rsid w:val="004C0747"/>
    <w:rsid w:val="004C215E"/>
    <w:rsid w:val="004C2A04"/>
    <w:rsid w:val="004C3060"/>
    <w:rsid w:val="004C3219"/>
    <w:rsid w:val="004C39CD"/>
    <w:rsid w:val="004C3E23"/>
    <w:rsid w:val="004C4115"/>
    <w:rsid w:val="004C454A"/>
    <w:rsid w:val="004C4B96"/>
    <w:rsid w:val="004C4CC8"/>
    <w:rsid w:val="004C4DF1"/>
    <w:rsid w:val="004C4EE6"/>
    <w:rsid w:val="004C4F45"/>
    <w:rsid w:val="004C5E9D"/>
    <w:rsid w:val="004C5F58"/>
    <w:rsid w:val="004C617B"/>
    <w:rsid w:val="004C6788"/>
    <w:rsid w:val="004C6B15"/>
    <w:rsid w:val="004C746A"/>
    <w:rsid w:val="004C7B75"/>
    <w:rsid w:val="004D01B8"/>
    <w:rsid w:val="004D05C5"/>
    <w:rsid w:val="004D09BD"/>
    <w:rsid w:val="004D0C04"/>
    <w:rsid w:val="004D123A"/>
    <w:rsid w:val="004D2074"/>
    <w:rsid w:val="004D2C2F"/>
    <w:rsid w:val="004D2C77"/>
    <w:rsid w:val="004D2EC0"/>
    <w:rsid w:val="004D3A0B"/>
    <w:rsid w:val="004D43FA"/>
    <w:rsid w:val="004D5309"/>
    <w:rsid w:val="004D53A0"/>
    <w:rsid w:val="004D5C14"/>
    <w:rsid w:val="004D6276"/>
    <w:rsid w:val="004D64E0"/>
    <w:rsid w:val="004D6C03"/>
    <w:rsid w:val="004D7A16"/>
    <w:rsid w:val="004D7C52"/>
    <w:rsid w:val="004D7CCF"/>
    <w:rsid w:val="004E15CD"/>
    <w:rsid w:val="004E162C"/>
    <w:rsid w:val="004E25AE"/>
    <w:rsid w:val="004E2FE2"/>
    <w:rsid w:val="004E3411"/>
    <w:rsid w:val="004E3835"/>
    <w:rsid w:val="004E39FE"/>
    <w:rsid w:val="004E579C"/>
    <w:rsid w:val="004E5856"/>
    <w:rsid w:val="004E596C"/>
    <w:rsid w:val="004E75C8"/>
    <w:rsid w:val="004E7766"/>
    <w:rsid w:val="004F0317"/>
    <w:rsid w:val="004F07BA"/>
    <w:rsid w:val="004F095C"/>
    <w:rsid w:val="004F1B11"/>
    <w:rsid w:val="004F1C5F"/>
    <w:rsid w:val="004F378F"/>
    <w:rsid w:val="004F3970"/>
    <w:rsid w:val="004F3EFC"/>
    <w:rsid w:val="004F4859"/>
    <w:rsid w:val="004F5504"/>
    <w:rsid w:val="004F6159"/>
    <w:rsid w:val="004F61B0"/>
    <w:rsid w:val="004F61DA"/>
    <w:rsid w:val="004F6685"/>
    <w:rsid w:val="004F7813"/>
    <w:rsid w:val="004F7897"/>
    <w:rsid w:val="004F7BF4"/>
    <w:rsid w:val="004F7E75"/>
    <w:rsid w:val="0050071E"/>
    <w:rsid w:val="00500FE1"/>
    <w:rsid w:val="00501472"/>
    <w:rsid w:val="005014FD"/>
    <w:rsid w:val="00501B2A"/>
    <w:rsid w:val="00501D0C"/>
    <w:rsid w:val="00501FFC"/>
    <w:rsid w:val="005035C6"/>
    <w:rsid w:val="00503677"/>
    <w:rsid w:val="00503E46"/>
    <w:rsid w:val="005044A8"/>
    <w:rsid w:val="005046EE"/>
    <w:rsid w:val="005049F5"/>
    <w:rsid w:val="00505641"/>
    <w:rsid w:val="005062EA"/>
    <w:rsid w:val="005067ED"/>
    <w:rsid w:val="005068F5"/>
    <w:rsid w:val="00506949"/>
    <w:rsid w:val="0050694B"/>
    <w:rsid w:val="005072E1"/>
    <w:rsid w:val="005073E6"/>
    <w:rsid w:val="00507ABE"/>
    <w:rsid w:val="00507D2C"/>
    <w:rsid w:val="005104D8"/>
    <w:rsid w:val="0051096D"/>
    <w:rsid w:val="00510D45"/>
    <w:rsid w:val="00510EF4"/>
    <w:rsid w:val="005112E5"/>
    <w:rsid w:val="00511D3C"/>
    <w:rsid w:val="00513350"/>
    <w:rsid w:val="005139BC"/>
    <w:rsid w:val="00513A98"/>
    <w:rsid w:val="00514694"/>
    <w:rsid w:val="00514BDE"/>
    <w:rsid w:val="00514D47"/>
    <w:rsid w:val="00515330"/>
    <w:rsid w:val="005158DD"/>
    <w:rsid w:val="00515D3B"/>
    <w:rsid w:val="00516041"/>
    <w:rsid w:val="00516182"/>
    <w:rsid w:val="00516396"/>
    <w:rsid w:val="005164DE"/>
    <w:rsid w:val="005165F1"/>
    <w:rsid w:val="00517CD1"/>
    <w:rsid w:val="005200E2"/>
    <w:rsid w:val="005208D7"/>
    <w:rsid w:val="0052165C"/>
    <w:rsid w:val="00521FAD"/>
    <w:rsid w:val="00522A4C"/>
    <w:rsid w:val="00523152"/>
    <w:rsid w:val="00523C99"/>
    <w:rsid w:val="00524439"/>
    <w:rsid w:val="00524AEB"/>
    <w:rsid w:val="00525934"/>
    <w:rsid w:val="00525F1A"/>
    <w:rsid w:val="005265C4"/>
    <w:rsid w:val="00526F13"/>
    <w:rsid w:val="00526F9A"/>
    <w:rsid w:val="0052731A"/>
    <w:rsid w:val="00527860"/>
    <w:rsid w:val="00527959"/>
    <w:rsid w:val="00527D00"/>
    <w:rsid w:val="005303A4"/>
    <w:rsid w:val="00530FDA"/>
    <w:rsid w:val="005336CD"/>
    <w:rsid w:val="00533732"/>
    <w:rsid w:val="00533830"/>
    <w:rsid w:val="00533E16"/>
    <w:rsid w:val="00533EF6"/>
    <w:rsid w:val="00534D10"/>
    <w:rsid w:val="00534EF8"/>
    <w:rsid w:val="00534F13"/>
    <w:rsid w:val="005350B7"/>
    <w:rsid w:val="00535262"/>
    <w:rsid w:val="0053589D"/>
    <w:rsid w:val="0053614E"/>
    <w:rsid w:val="0053625B"/>
    <w:rsid w:val="00536D4A"/>
    <w:rsid w:val="005370FC"/>
    <w:rsid w:val="0054004F"/>
    <w:rsid w:val="00540C86"/>
    <w:rsid w:val="005415DB"/>
    <w:rsid w:val="005417EB"/>
    <w:rsid w:val="005420BF"/>
    <w:rsid w:val="00542174"/>
    <w:rsid w:val="00542244"/>
    <w:rsid w:val="00542570"/>
    <w:rsid w:val="00542C3E"/>
    <w:rsid w:val="00542CA4"/>
    <w:rsid w:val="005434C0"/>
    <w:rsid w:val="00543855"/>
    <w:rsid w:val="005442FD"/>
    <w:rsid w:val="00544723"/>
    <w:rsid w:val="0054554A"/>
    <w:rsid w:val="0054574A"/>
    <w:rsid w:val="00545AE5"/>
    <w:rsid w:val="00545BAA"/>
    <w:rsid w:val="00546D43"/>
    <w:rsid w:val="005475BB"/>
    <w:rsid w:val="0054778B"/>
    <w:rsid w:val="00547BFA"/>
    <w:rsid w:val="00551D8E"/>
    <w:rsid w:val="005524D4"/>
    <w:rsid w:val="0055323C"/>
    <w:rsid w:val="005538C9"/>
    <w:rsid w:val="005548C0"/>
    <w:rsid w:val="00554EF5"/>
    <w:rsid w:val="0055525A"/>
    <w:rsid w:val="00555630"/>
    <w:rsid w:val="00555B5C"/>
    <w:rsid w:val="00555DAC"/>
    <w:rsid w:val="00555EDF"/>
    <w:rsid w:val="00555F07"/>
    <w:rsid w:val="00556235"/>
    <w:rsid w:val="00556319"/>
    <w:rsid w:val="00556472"/>
    <w:rsid w:val="00556D54"/>
    <w:rsid w:val="005570A6"/>
    <w:rsid w:val="00557133"/>
    <w:rsid w:val="00557167"/>
    <w:rsid w:val="005572A7"/>
    <w:rsid w:val="005601D2"/>
    <w:rsid w:val="005602F3"/>
    <w:rsid w:val="00560575"/>
    <w:rsid w:val="005609CB"/>
    <w:rsid w:val="00560E52"/>
    <w:rsid w:val="0056151E"/>
    <w:rsid w:val="00561EA8"/>
    <w:rsid w:val="005620E2"/>
    <w:rsid w:val="0056225F"/>
    <w:rsid w:val="005625A4"/>
    <w:rsid w:val="00563043"/>
    <w:rsid w:val="005634F0"/>
    <w:rsid w:val="00563502"/>
    <w:rsid w:val="0056466E"/>
    <w:rsid w:val="005646B8"/>
    <w:rsid w:val="00565EDD"/>
    <w:rsid w:val="00566331"/>
    <w:rsid w:val="005677C0"/>
    <w:rsid w:val="00567821"/>
    <w:rsid w:val="00567AFD"/>
    <w:rsid w:val="00567C20"/>
    <w:rsid w:val="00567CC7"/>
    <w:rsid w:val="00567E1B"/>
    <w:rsid w:val="00570640"/>
    <w:rsid w:val="0057194A"/>
    <w:rsid w:val="00571C57"/>
    <w:rsid w:val="00571D39"/>
    <w:rsid w:val="00572C77"/>
    <w:rsid w:val="0057339A"/>
    <w:rsid w:val="005735DE"/>
    <w:rsid w:val="0057443A"/>
    <w:rsid w:val="005745B8"/>
    <w:rsid w:val="00574605"/>
    <w:rsid w:val="00574ADC"/>
    <w:rsid w:val="005754D8"/>
    <w:rsid w:val="00575CAE"/>
    <w:rsid w:val="00575CF1"/>
    <w:rsid w:val="00575EC9"/>
    <w:rsid w:val="00575EFE"/>
    <w:rsid w:val="00576C2E"/>
    <w:rsid w:val="00576C8F"/>
    <w:rsid w:val="00576D65"/>
    <w:rsid w:val="00577570"/>
    <w:rsid w:val="0058046C"/>
    <w:rsid w:val="005804C2"/>
    <w:rsid w:val="005804D8"/>
    <w:rsid w:val="00580726"/>
    <w:rsid w:val="005811EC"/>
    <w:rsid w:val="005811F0"/>
    <w:rsid w:val="005814B7"/>
    <w:rsid w:val="00581514"/>
    <w:rsid w:val="005819DD"/>
    <w:rsid w:val="00581A83"/>
    <w:rsid w:val="00581B24"/>
    <w:rsid w:val="00581FCA"/>
    <w:rsid w:val="00582613"/>
    <w:rsid w:val="0058272D"/>
    <w:rsid w:val="0058290E"/>
    <w:rsid w:val="0058294C"/>
    <w:rsid w:val="00582FD0"/>
    <w:rsid w:val="0058308B"/>
    <w:rsid w:val="005833DB"/>
    <w:rsid w:val="00583965"/>
    <w:rsid w:val="00583DE0"/>
    <w:rsid w:val="00584196"/>
    <w:rsid w:val="00584679"/>
    <w:rsid w:val="0058480B"/>
    <w:rsid w:val="0058640F"/>
    <w:rsid w:val="00586E4A"/>
    <w:rsid w:val="0058726E"/>
    <w:rsid w:val="00587BF8"/>
    <w:rsid w:val="005901D1"/>
    <w:rsid w:val="00590688"/>
    <w:rsid w:val="00590933"/>
    <w:rsid w:val="00590FE7"/>
    <w:rsid w:val="005913CD"/>
    <w:rsid w:val="0059199C"/>
    <w:rsid w:val="00591DEF"/>
    <w:rsid w:val="005929F3"/>
    <w:rsid w:val="00592D90"/>
    <w:rsid w:val="005932AF"/>
    <w:rsid w:val="0059381D"/>
    <w:rsid w:val="00594BC6"/>
    <w:rsid w:val="00594F35"/>
    <w:rsid w:val="00595003"/>
    <w:rsid w:val="005953B5"/>
    <w:rsid w:val="0059576F"/>
    <w:rsid w:val="00595CD5"/>
    <w:rsid w:val="00596058"/>
    <w:rsid w:val="0059665E"/>
    <w:rsid w:val="00596ADE"/>
    <w:rsid w:val="0059751A"/>
    <w:rsid w:val="00597DFA"/>
    <w:rsid w:val="005A064F"/>
    <w:rsid w:val="005A0DD3"/>
    <w:rsid w:val="005A0F77"/>
    <w:rsid w:val="005A1230"/>
    <w:rsid w:val="005A125C"/>
    <w:rsid w:val="005A149C"/>
    <w:rsid w:val="005A158B"/>
    <w:rsid w:val="005A1874"/>
    <w:rsid w:val="005A20E0"/>
    <w:rsid w:val="005A2494"/>
    <w:rsid w:val="005A2610"/>
    <w:rsid w:val="005A30B5"/>
    <w:rsid w:val="005A41F5"/>
    <w:rsid w:val="005A4220"/>
    <w:rsid w:val="005A4B2B"/>
    <w:rsid w:val="005A4CA3"/>
    <w:rsid w:val="005A5831"/>
    <w:rsid w:val="005A6353"/>
    <w:rsid w:val="005A76C8"/>
    <w:rsid w:val="005A7F8F"/>
    <w:rsid w:val="005B0CA0"/>
    <w:rsid w:val="005B154C"/>
    <w:rsid w:val="005B20D8"/>
    <w:rsid w:val="005B298D"/>
    <w:rsid w:val="005B2A33"/>
    <w:rsid w:val="005B3045"/>
    <w:rsid w:val="005B35CA"/>
    <w:rsid w:val="005B3957"/>
    <w:rsid w:val="005B4507"/>
    <w:rsid w:val="005B475B"/>
    <w:rsid w:val="005B4B03"/>
    <w:rsid w:val="005B5346"/>
    <w:rsid w:val="005B591C"/>
    <w:rsid w:val="005B6270"/>
    <w:rsid w:val="005B673A"/>
    <w:rsid w:val="005B7AA4"/>
    <w:rsid w:val="005B7C71"/>
    <w:rsid w:val="005C03B3"/>
    <w:rsid w:val="005C0874"/>
    <w:rsid w:val="005C0949"/>
    <w:rsid w:val="005C099D"/>
    <w:rsid w:val="005C0C30"/>
    <w:rsid w:val="005C0D82"/>
    <w:rsid w:val="005C19AE"/>
    <w:rsid w:val="005C1AFC"/>
    <w:rsid w:val="005C20A8"/>
    <w:rsid w:val="005C28E9"/>
    <w:rsid w:val="005C40D7"/>
    <w:rsid w:val="005C40F3"/>
    <w:rsid w:val="005C4181"/>
    <w:rsid w:val="005C4640"/>
    <w:rsid w:val="005C512F"/>
    <w:rsid w:val="005C5790"/>
    <w:rsid w:val="005C7913"/>
    <w:rsid w:val="005D00A2"/>
    <w:rsid w:val="005D0247"/>
    <w:rsid w:val="005D0795"/>
    <w:rsid w:val="005D08D2"/>
    <w:rsid w:val="005D0A84"/>
    <w:rsid w:val="005D1071"/>
    <w:rsid w:val="005D1DF1"/>
    <w:rsid w:val="005D1E74"/>
    <w:rsid w:val="005D2375"/>
    <w:rsid w:val="005D29DE"/>
    <w:rsid w:val="005D34AB"/>
    <w:rsid w:val="005D3738"/>
    <w:rsid w:val="005D4640"/>
    <w:rsid w:val="005D475E"/>
    <w:rsid w:val="005D5830"/>
    <w:rsid w:val="005D5AB7"/>
    <w:rsid w:val="005D5C54"/>
    <w:rsid w:val="005D5E96"/>
    <w:rsid w:val="005D5E9E"/>
    <w:rsid w:val="005D5F61"/>
    <w:rsid w:val="005D6696"/>
    <w:rsid w:val="005D7636"/>
    <w:rsid w:val="005D772D"/>
    <w:rsid w:val="005D7835"/>
    <w:rsid w:val="005D7C36"/>
    <w:rsid w:val="005E07E6"/>
    <w:rsid w:val="005E07F0"/>
    <w:rsid w:val="005E094B"/>
    <w:rsid w:val="005E0A21"/>
    <w:rsid w:val="005E1035"/>
    <w:rsid w:val="005E198E"/>
    <w:rsid w:val="005E1DA2"/>
    <w:rsid w:val="005E1F83"/>
    <w:rsid w:val="005E20FE"/>
    <w:rsid w:val="005E38DA"/>
    <w:rsid w:val="005E3C35"/>
    <w:rsid w:val="005E3CEE"/>
    <w:rsid w:val="005E3F0C"/>
    <w:rsid w:val="005E4FF7"/>
    <w:rsid w:val="005E6B3A"/>
    <w:rsid w:val="005E74B6"/>
    <w:rsid w:val="005E75DD"/>
    <w:rsid w:val="005E78A5"/>
    <w:rsid w:val="005E7F24"/>
    <w:rsid w:val="005F0A12"/>
    <w:rsid w:val="005F14D4"/>
    <w:rsid w:val="005F1F44"/>
    <w:rsid w:val="005F21E7"/>
    <w:rsid w:val="005F2368"/>
    <w:rsid w:val="005F2476"/>
    <w:rsid w:val="005F26F8"/>
    <w:rsid w:val="005F2A85"/>
    <w:rsid w:val="005F2B37"/>
    <w:rsid w:val="005F3012"/>
    <w:rsid w:val="005F35E7"/>
    <w:rsid w:val="005F4029"/>
    <w:rsid w:val="005F4198"/>
    <w:rsid w:val="005F48FA"/>
    <w:rsid w:val="005F4A40"/>
    <w:rsid w:val="005F4AE6"/>
    <w:rsid w:val="005F4CC5"/>
    <w:rsid w:val="005F4CEF"/>
    <w:rsid w:val="005F543E"/>
    <w:rsid w:val="005F5963"/>
    <w:rsid w:val="005F603D"/>
    <w:rsid w:val="005F624D"/>
    <w:rsid w:val="005F6753"/>
    <w:rsid w:val="005F6AE2"/>
    <w:rsid w:val="005F715D"/>
    <w:rsid w:val="005F71F6"/>
    <w:rsid w:val="005F7A6D"/>
    <w:rsid w:val="0060006A"/>
    <w:rsid w:val="006000EE"/>
    <w:rsid w:val="006002D6"/>
    <w:rsid w:val="00600F74"/>
    <w:rsid w:val="006013CB"/>
    <w:rsid w:val="006022EE"/>
    <w:rsid w:val="00603EF9"/>
    <w:rsid w:val="00604026"/>
    <w:rsid w:val="006040D2"/>
    <w:rsid w:val="006041B0"/>
    <w:rsid w:val="006048CF"/>
    <w:rsid w:val="00604AA8"/>
    <w:rsid w:val="00605330"/>
    <w:rsid w:val="00605A2E"/>
    <w:rsid w:val="00605ECD"/>
    <w:rsid w:val="00606927"/>
    <w:rsid w:val="00606ADE"/>
    <w:rsid w:val="00607623"/>
    <w:rsid w:val="00607821"/>
    <w:rsid w:val="00607947"/>
    <w:rsid w:val="00607D01"/>
    <w:rsid w:val="0061023D"/>
    <w:rsid w:val="00610286"/>
    <w:rsid w:val="00610D9C"/>
    <w:rsid w:val="0061169D"/>
    <w:rsid w:val="0061237F"/>
    <w:rsid w:val="006123B4"/>
    <w:rsid w:val="00612760"/>
    <w:rsid w:val="0061282A"/>
    <w:rsid w:val="006134AF"/>
    <w:rsid w:val="00613CDB"/>
    <w:rsid w:val="006145F1"/>
    <w:rsid w:val="006151D6"/>
    <w:rsid w:val="006156BA"/>
    <w:rsid w:val="00615C8C"/>
    <w:rsid w:val="00617212"/>
    <w:rsid w:val="00617399"/>
    <w:rsid w:val="00620518"/>
    <w:rsid w:val="00620AF2"/>
    <w:rsid w:val="00620E19"/>
    <w:rsid w:val="00621047"/>
    <w:rsid w:val="00621094"/>
    <w:rsid w:val="00621262"/>
    <w:rsid w:val="00621472"/>
    <w:rsid w:val="006214A4"/>
    <w:rsid w:val="00621761"/>
    <w:rsid w:val="006217EA"/>
    <w:rsid w:val="00621855"/>
    <w:rsid w:val="006221DA"/>
    <w:rsid w:val="006225D8"/>
    <w:rsid w:val="00622CDA"/>
    <w:rsid w:val="0062321C"/>
    <w:rsid w:val="006232A4"/>
    <w:rsid w:val="0062408A"/>
    <w:rsid w:val="006240C6"/>
    <w:rsid w:val="006241AE"/>
    <w:rsid w:val="0062448A"/>
    <w:rsid w:val="0062465B"/>
    <w:rsid w:val="00625B4D"/>
    <w:rsid w:val="00625BCE"/>
    <w:rsid w:val="00626478"/>
    <w:rsid w:val="006267D5"/>
    <w:rsid w:val="00627723"/>
    <w:rsid w:val="00627B1D"/>
    <w:rsid w:val="0063011F"/>
    <w:rsid w:val="00633145"/>
    <w:rsid w:val="00633794"/>
    <w:rsid w:val="006339AA"/>
    <w:rsid w:val="00633B81"/>
    <w:rsid w:val="00635EEE"/>
    <w:rsid w:val="00636957"/>
    <w:rsid w:val="006369DE"/>
    <w:rsid w:val="00636ACB"/>
    <w:rsid w:val="00636CE6"/>
    <w:rsid w:val="00636FF4"/>
    <w:rsid w:val="00637704"/>
    <w:rsid w:val="0063777D"/>
    <w:rsid w:val="006378AE"/>
    <w:rsid w:val="00637F48"/>
    <w:rsid w:val="006406F9"/>
    <w:rsid w:val="00640C27"/>
    <w:rsid w:val="00640EF1"/>
    <w:rsid w:val="006412F2"/>
    <w:rsid w:val="0064162F"/>
    <w:rsid w:val="006416EA"/>
    <w:rsid w:val="00641A7B"/>
    <w:rsid w:val="00641BEC"/>
    <w:rsid w:val="00641D34"/>
    <w:rsid w:val="00641F14"/>
    <w:rsid w:val="006424E8"/>
    <w:rsid w:val="0064262C"/>
    <w:rsid w:val="00642AFB"/>
    <w:rsid w:val="00643301"/>
    <w:rsid w:val="00643DB4"/>
    <w:rsid w:val="00643F0E"/>
    <w:rsid w:val="00644099"/>
    <w:rsid w:val="0064449D"/>
    <w:rsid w:val="0064476C"/>
    <w:rsid w:val="0064486F"/>
    <w:rsid w:val="00644A81"/>
    <w:rsid w:val="00644B62"/>
    <w:rsid w:val="00645479"/>
    <w:rsid w:val="006458F9"/>
    <w:rsid w:val="00645E86"/>
    <w:rsid w:val="00646110"/>
    <w:rsid w:val="006463B9"/>
    <w:rsid w:val="00646F34"/>
    <w:rsid w:val="0064724E"/>
    <w:rsid w:val="006473EB"/>
    <w:rsid w:val="006478BC"/>
    <w:rsid w:val="00647A0E"/>
    <w:rsid w:val="00647B95"/>
    <w:rsid w:val="00647D38"/>
    <w:rsid w:val="00647EB8"/>
    <w:rsid w:val="006506EA"/>
    <w:rsid w:val="00650BDA"/>
    <w:rsid w:val="00651618"/>
    <w:rsid w:val="00651CEE"/>
    <w:rsid w:val="00652566"/>
    <w:rsid w:val="00652E9C"/>
    <w:rsid w:val="00653DF8"/>
    <w:rsid w:val="00653E00"/>
    <w:rsid w:val="00653FA8"/>
    <w:rsid w:val="0065424F"/>
    <w:rsid w:val="006549AB"/>
    <w:rsid w:val="00654AAE"/>
    <w:rsid w:val="00654B30"/>
    <w:rsid w:val="00654C78"/>
    <w:rsid w:val="006553AD"/>
    <w:rsid w:val="0065558B"/>
    <w:rsid w:val="006557C2"/>
    <w:rsid w:val="00655CC9"/>
    <w:rsid w:val="006567D9"/>
    <w:rsid w:val="00656AA7"/>
    <w:rsid w:val="00656C5F"/>
    <w:rsid w:val="00657A2C"/>
    <w:rsid w:val="00657B36"/>
    <w:rsid w:val="00657DB6"/>
    <w:rsid w:val="00660454"/>
    <w:rsid w:val="00660727"/>
    <w:rsid w:val="00661261"/>
    <w:rsid w:val="00661579"/>
    <w:rsid w:val="0066168F"/>
    <w:rsid w:val="006619FD"/>
    <w:rsid w:val="00661D1C"/>
    <w:rsid w:val="00661DE7"/>
    <w:rsid w:val="00661E80"/>
    <w:rsid w:val="0066214B"/>
    <w:rsid w:val="0066227F"/>
    <w:rsid w:val="006626E4"/>
    <w:rsid w:val="006629B5"/>
    <w:rsid w:val="00662A3B"/>
    <w:rsid w:val="00662A53"/>
    <w:rsid w:val="00662BB8"/>
    <w:rsid w:val="00663116"/>
    <w:rsid w:val="00664948"/>
    <w:rsid w:val="00664A0C"/>
    <w:rsid w:val="00664FD1"/>
    <w:rsid w:val="006650A6"/>
    <w:rsid w:val="00665179"/>
    <w:rsid w:val="00665C2A"/>
    <w:rsid w:val="00666286"/>
    <w:rsid w:val="00666777"/>
    <w:rsid w:val="00667482"/>
    <w:rsid w:val="006677FE"/>
    <w:rsid w:val="0067002D"/>
    <w:rsid w:val="00671824"/>
    <w:rsid w:val="006722B0"/>
    <w:rsid w:val="00672447"/>
    <w:rsid w:val="00672A82"/>
    <w:rsid w:val="00673001"/>
    <w:rsid w:val="006732C6"/>
    <w:rsid w:val="006734CD"/>
    <w:rsid w:val="0067412B"/>
    <w:rsid w:val="006743F5"/>
    <w:rsid w:val="006744CC"/>
    <w:rsid w:val="0067535D"/>
    <w:rsid w:val="006755DD"/>
    <w:rsid w:val="006755E5"/>
    <w:rsid w:val="0067565F"/>
    <w:rsid w:val="00675F14"/>
    <w:rsid w:val="0067660A"/>
    <w:rsid w:val="00676774"/>
    <w:rsid w:val="006769B4"/>
    <w:rsid w:val="00676B3F"/>
    <w:rsid w:val="006773E1"/>
    <w:rsid w:val="0067745C"/>
    <w:rsid w:val="0067766E"/>
    <w:rsid w:val="00677E78"/>
    <w:rsid w:val="0068028A"/>
    <w:rsid w:val="006815C4"/>
    <w:rsid w:val="00681E2D"/>
    <w:rsid w:val="00681EB5"/>
    <w:rsid w:val="006830F3"/>
    <w:rsid w:val="00683359"/>
    <w:rsid w:val="0068350A"/>
    <w:rsid w:val="00683CE2"/>
    <w:rsid w:val="00684027"/>
    <w:rsid w:val="00684137"/>
    <w:rsid w:val="006844BB"/>
    <w:rsid w:val="00684EF5"/>
    <w:rsid w:val="00686302"/>
    <w:rsid w:val="006863C5"/>
    <w:rsid w:val="00687106"/>
    <w:rsid w:val="006873F6"/>
    <w:rsid w:val="006876E2"/>
    <w:rsid w:val="00687B74"/>
    <w:rsid w:val="00687C72"/>
    <w:rsid w:val="0069040E"/>
    <w:rsid w:val="006907D5"/>
    <w:rsid w:val="00690FEE"/>
    <w:rsid w:val="0069111F"/>
    <w:rsid w:val="006914F3"/>
    <w:rsid w:val="006918F1"/>
    <w:rsid w:val="0069265B"/>
    <w:rsid w:val="00693109"/>
    <w:rsid w:val="006937BC"/>
    <w:rsid w:val="00693EB9"/>
    <w:rsid w:val="0069531E"/>
    <w:rsid w:val="006956E1"/>
    <w:rsid w:val="00695928"/>
    <w:rsid w:val="00695DDE"/>
    <w:rsid w:val="00695EE2"/>
    <w:rsid w:val="00696594"/>
    <w:rsid w:val="00696C06"/>
    <w:rsid w:val="0069723C"/>
    <w:rsid w:val="0069761E"/>
    <w:rsid w:val="00697D1A"/>
    <w:rsid w:val="00697D5F"/>
    <w:rsid w:val="00697F8E"/>
    <w:rsid w:val="006A03A4"/>
    <w:rsid w:val="006A03A9"/>
    <w:rsid w:val="006A0875"/>
    <w:rsid w:val="006A13EB"/>
    <w:rsid w:val="006A1828"/>
    <w:rsid w:val="006A1A69"/>
    <w:rsid w:val="006A1FF0"/>
    <w:rsid w:val="006A28F3"/>
    <w:rsid w:val="006A3BB8"/>
    <w:rsid w:val="006A433F"/>
    <w:rsid w:val="006A5313"/>
    <w:rsid w:val="006A55B2"/>
    <w:rsid w:val="006A5814"/>
    <w:rsid w:val="006A5F72"/>
    <w:rsid w:val="006A61BE"/>
    <w:rsid w:val="006A6907"/>
    <w:rsid w:val="006A6B9A"/>
    <w:rsid w:val="006A6D61"/>
    <w:rsid w:val="006A717D"/>
    <w:rsid w:val="006A788D"/>
    <w:rsid w:val="006A7BD7"/>
    <w:rsid w:val="006B0770"/>
    <w:rsid w:val="006B0A4F"/>
    <w:rsid w:val="006B0AC8"/>
    <w:rsid w:val="006B0D16"/>
    <w:rsid w:val="006B0DFF"/>
    <w:rsid w:val="006B0ED2"/>
    <w:rsid w:val="006B29E6"/>
    <w:rsid w:val="006B2FAD"/>
    <w:rsid w:val="006B37A0"/>
    <w:rsid w:val="006B3C28"/>
    <w:rsid w:val="006B4155"/>
    <w:rsid w:val="006B476E"/>
    <w:rsid w:val="006B519B"/>
    <w:rsid w:val="006B52E7"/>
    <w:rsid w:val="006B590A"/>
    <w:rsid w:val="006B5ECD"/>
    <w:rsid w:val="006B696D"/>
    <w:rsid w:val="006B6BC7"/>
    <w:rsid w:val="006B7AAE"/>
    <w:rsid w:val="006B7C8A"/>
    <w:rsid w:val="006C0016"/>
    <w:rsid w:val="006C0024"/>
    <w:rsid w:val="006C0851"/>
    <w:rsid w:val="006C0BD6"/>
    <w:rsid w:val="006C0DE1"/>
    <w:rsid w:val="006C135F"/>
    <w:rsid w:val="006C148F"/>
    <w:rsid w:val="006C1527"/>
    <w:rsid w:val="006C2265"/>
    <w:rsid w:val="006C26E1"/>
    <w:rsid w:val="006C2A5F"/>
    <w:rsid w:val="006C3878"/>
    <w:rsid w:val="006C3890"/>
    <w:rsid w:val="006C3D19"/>
    <w:rsid w:val="006C4623"/>
    <w:rsid w:val="006C4FF1"/>
    <w:rsid w:val="006C549F"/>
    <w:rsid w:val="006C63B0"/>
    <w:rsid w:val="006C64DA"/>
    <w:rsid w:val="006C66AE"/>
    <w:rsid w:val="006D0012"/>
    <w:rsid w:val="006D0585"/>
    <w:rsid w:val="006D06DB"/>
    <w:rsid w:val="006D19D1"/>
    <w:rsid w:val="006D234B"/>
    <w:rsid w:val="006D2F8E"/>
    <w:rsid w:val="006D377C"/>
    <w:rsid w:val="006D455A"/>
    <w:rsid w:val="006D574D"/>
    <w:rsid w:val="006D659B"/>
    <w:rsid w:val="006D669C"/>
    <w:rsid w:val="006D6992"/>
    <w:rsid w:val="006D7A60"/>
    <w:rsid w:val="006D7C45"/>
    <w:rsid w:val="006D7FDD"/>
    <w:rsid w:val="006E021D"/>
    <w:rsid w:val="006E04A8"/>
    <w:rsid w:val="006E07E3"/>
    <w:rsid w:val="006E0C8D"/>
    <w:rsid w:val="006E0CB9"/>
    <w:rsid w:val="006E0D78"/>
    <w:rsid w:val="006E0EB6"/>
    <w:rsid w:val="006E1047"/>
    <w:rsid w:val="006E152C"/>
    <w:rsid w:val="006E15AC"/>
    <w:rsid w:val="006E163F"/>
    <w:rsid w:val="006E16FF"/>
    <w:rsid w:val="006E1F21"/>
    <w:rsid w:val="006E2311"/>
    <w:rsid w:val="006E2391"/>
    <w:rsid w:val="006E2496"/>
    <w:rsid w:val="006E277E"/>
    <w:rsid w:val="006E2D55"/>
    <w:rsid w:val="006E2EA3"/>
    <w:rsid w:val="006E34C0"/>
    <w:rsid w:val="006E3562"/>
    <w:rsid w:val="006E3820"/>
    <w:rsid w:val="006E4178"/>
    <w:rsid w:val="006E429A"/>
    <w:rsid w:val="006E4617"/>
    <w:rsid w:val="006E49C8"/>
    <w:rsid w:val="006E4D5F"/>
    <w:rsid w:val="006E505D"/>
    <w:rsid w:val="006E5EA8"/>
    <w:rsid w:val="006E5ED1"/>
    <w:rsid w:val="006E60B9"/>
    <w:rsid w:val="006E638D"/>
    <w:rsid w:val="006E6397"/>
    <w:rsid w:val="006E67C4"/>
    <w:rsid w:val="006E6E33"/>
    <w:rsid w:val="006E77E8"/>
    <w:rsid w:val="006E78B9"/>
    <w:rsid w:val="006E79F0"/>
    <w:rsid w:val="006F01B1"/>
    <w:rsid w:val="006F08DA"/>
    <w:rsid w:val="006F1283"/>
    <w:rsid w:val="006F138C"/>
    <w:rsid w:val="006F1929"/>
    <w:rsid w:val="006F1A58"/>
    <w:rsid w:val="006F202D"/>
    <w:rsid w:val="006F24FD"/>
    <w:rsid w:val="006F258C"/>
    <w:rsid w:val="006F2687"/>
    <w:rsid w:val="006F2CFC"/>
    <w:rsid w:val="006F2E70"/>
    <w:rsid w:val="006F2F03"/>
    <w:rsid w:val="006F305F"/>
    <w:rsid w:val="006F36A0"/>
    <w:rsid w:val="006F459D"/>
    <w:rsid w:val="006F4E75"/>
    <w:rsid w:val="006F5623"/>
    <w:rsid w:val="006F5B5F"/>
    <w:rsid w:val="006F5E63"/>
    <w:rsid w:val="006F669F"/>
    <w:rsid w:val="006F6931"/>
    <w:rsid w:val="006F6A37"/>
    <w:rsid w:val="006F7156"/>
    <w:rsid w:val="006F729A"/>
    <w:rsid w:val="006F79C1"/>
    <w:rsid w:val="006F7CB7"/>
    <w:rsid w:val="006F7F1B"/>
    <w:rsid w:val="00700446"/>
    <w:rsid w:val="007005FE"/>
    <w:rsid w:val="00700BCE"/>
    <w:rsid w:val="00700BEE"/>
    <w:rsid w:val="00702535"/>
    <w:rsid w:val="0070291A"/>
    <w:rsid w:val="00703668"/>
    <w:rsid w:val="00703AB2"/>
    <w:rsid w:val="007040C3"/>
    <w:rsid w:val="007041C8"/>
    <w:rsid w:val="00704447"/>
    <w:rsid w:val="007046A6"/>
    <w:rsid w:val="00704A40"/>
    <w:rsid w:val="00704B0B"/>
    <w:rsid w:val="00704B5C"/>
    <w:rsid w:val="00704CEC"/>
    <w:rsid w:val="0070513A"/>
    <w:rsid w:val="007053EF"/>
    <w:rsid w:val="00706759"/>
    <w:rsid w:val="00706A35"/>
    <w:rsid w:val="00706BAD"/>
    <w:rsid w:val="007071FC"/>
    <w:rsid w:val="00707294"/>
    <w:rsid w:val="007077E0"/>
    <w:rsid w:val="007079EF"/>
    <w:rsid w:val="00707B0B"/>
    <w:rsid w:val="00707C25"/>
    <w:rsid w:val="00710832"/>
    <w:rsid w:val="00710844"/>
    <w:rsid w:val="007108D1"/>
    <w:rsid w:val="00710D77"/>
    <w:rsid w:val="0071107E"/>
    <w:rsid w:val="00711197"/>
    <w:rsid w:val="007113E0"/>
    <w:rsid w:val="00711470"/>
    <w:rsid w:val="007115B0"/>
    <w:rsid w:val="00711689"/>
    <w:rsid w:val="007118C1"/>
    <w:rsid w:val="0071213B"/>
    <w:rsid w:val="00712431"/>
    <w:rsid w:val="007136B7"/>
    <w:rsid w:val="00713C52"/>
    <w:rsid w:val="00713EF0"/>
    <w:rsid w:val="00714078"/>
    <w:rsid w:val="007140CB"/>
    <w:rsid w:val="00715BA8"/>
    <w:rsid w:val="0071603D"/>
    <w:rsid w:val="00716216"/>
    <w:rsid w:val="00716257"/>
    <w:rsid w:val="007165A0"/>
    <w:rsid w:val="00716A6F"/>
    <w:rsid w:val="00716B51"/>
    <w:rsid w:val="007172B4"/>
    <w:rsid w:val="007176B3"/>
    <w:rsid w:val="00720159"/>
    <w:rsid w:val="00720192"/>
    <w:rsid w:val="007201B1"/>
    <w:rsid w:val="00720277"/>
    <w:rsid w:val="00720876"/>
    <w:rsid w:val="00720C09"/>
    <w:rsid w:val="00720DB7"/>
    <w:rsid w:val="00721CDA"/>
    <w:rsid w:val="00722553"/>
    <w:rsid w:val="00722B87"/>
    <w:rsid w:val="00722BAB"/>
    <w:rsid w:val="007242CA"/>
    <w:rsid w:val="00724983"/>
    <w:rsid w:val="007261B3"/>
    <w:rsid w:val="00726515"/>
    <w:rsid w:val="00726DDC"/>
    <w:rsid w:val="00727607"/>
    <w:rsid w:val="0072772F"/>
    <w:rsid w:val="007301DF"/>
    <w:rsid w:val="00730894"/>
    <w:rsid w:val="00730C7A"/>
    <w:rsid w:val="0073118F"/>
    <w:rsid w:val="00731674"/>
    <w:rsid w:val="00731FFE"/>
    <w:rsid w:val="00732351"/>
    <w:rsid w:val="007345DB"/>
    <w:rsid w:val="00737362"/>
    <w:rsid w:val="0073743B"/>
    <w:rsid w:val="00737543"/>
    <w:rsid w:val="00737D4E"/>
    <w:rsid w:val="007400F6"/>
    <w:rsid w:val="00740369"/>
    <w:rsid w:val="0074042B"/>
    <w:rsid w:val="007405FD"/>
    <w:rsid w:val="00740F40"/>
    <w:rsid w:val="00740F4B"/>
    <w:rsid w:val="00741176"/>
    <w:rsid w:val="007415D5"/>
    <w:rsid w:val="007416A8"/>
    <w:rsid w:val="007418FE"/>
    <w:rsid w:val="007427A1"/>
    <w:rsid w:val="007428AF"/>
    <w:rsid w:val="00742E41"/>
    <w:rsid w:val="00743DD5"/>
    <w:rsid w:val="00744555"/>
    <w:rsid w:val="0074468B"/>
    <w:rsid w:val="00744C31"/>
    <w:rsid w:val="00744E75"/>
    <w:rsid w:val="00745843"/>
    <w:rsid w:val="00745A51"/>
    <w:rsid w:val="0074615F"/>
    <w:rsid w:val="0074685C"/>
    <w:rsid w:val="00746974"/>
    <w:rsid w:val="00746FEA"/>
    <w:rsid w:val="00747962"/>
    <w:rsid w:val="0075008B"/>
    <w:rsid w:val="00750445"/>
    <w:rsid w:val="00750999"/>
    <w:rsid w:val="007514CB"/>
    <w:rsid w:val="00751A06"/>
    <w:rsid w:val="00751D2F"/>
    <w:rsid w:val="007531F1"/>
    <w:rsid w:val="00753BD9"/>
    <w:rsid w:val="00753F70"/>
    <w:rsid w:val="00754531"/>
    <w:rsid w:val="00754E01"/>
    <w:rsid w:val="00755C3E"/>
    <w:rsid w:val="00756166"/>
    <w:rsid w:val="0075630F"/>
    <w:rsid w:val="007563A4"/>
    <w:rsid w:val="007566AA"/>
    <w:rsid w:val="00756824"/>
    <w:rsid w:val="007569E5"/>
    <w:rsid w:val="00756E1F"/>
    <w:rsid w:val="00761CAB"/>
    <w:rsid w:val="00761D8C"/>
    <w:rsid w:val="007627F5"/>
    <w:rsid w:val="0076284E"/>
    <w:rsid w:val="00762DA2"/>
    <w:rsid w:val="00762E16"/>
    <w:rsid w:val="00762F84"/>
    <w:rsid w:val="007638C3"/>
    <w:rsid w:val="007639CA"/>
    <w:rsid w:val="007639DF"/>
    <w:rsid w:val="00764329"/>
    <w:rsid w:val="00764BF3"/>
    <w:rsid w:val="00764CE9"/>
    <w:rsid w:val="00765439"/>
    <w:rsid w:val="00765D44"/>
    <w:rsid w:val="00765D55"/>
    <w:rsid w:val="00765F50"/>
    <w:rsid w:val="00766014"/>
    <w:rsid w:val="00766606"/>
    <w:rsid w:val="0076720F"/>
    <w:rsid w:val="0076778B"/>
    <w:rsid w:val="00767B5B"/>
    <w:rsid w:val="00767F87"/>
    <w:rsid w:val="00770F71"/>
    <w:rsid w:val="00770FD1"/>
    <w:rsid w:val="00771454"/>
    <w:rsid w:val="007716BF"/>
    <w:rsid w:val="00772B77"/>
    <w:rsid w:val="007733A7"/>
    <w:rsid w:val="00773F7B"/>
    <w:rsid w:val="007748EC"/>
    <w:rsid w:val="00775A26"/>
    <w:rsid w:val="00776092"/>
    <w:rsid w:val="007761EB"/>
    <w:rsid w:val="00776237"/>
    <w:rsid w:val="0077655F"/>
    <w:rsid w:val="00776777"/>
    <w:rsid w:val="0077738B"/>
    <w:rsid w:val="00777842"/>
    <w:rsid w:val="00780BDD"/>
    <w:rsid w:val="00780DEE"/>
    <w:rsid w:val="00780FD4"/>
    <w:rsid w:val="00781691"/>
    <w:rsid w:val="00781CDC"/>
    <w:rsid w:val="00782FFB"/>
    <w:rsid w:val="00783178"/>
    <w:rsid w:val="0078331F"/>
    <w:rsid w:val="0078351D"/>
    <w:rsid w:val="007835FD"/>
    <w:rsid w:val="00783896"/>
    <w:rsid w:val="007839F9"/>
    <w:rsid w:val="00783A80"/>
    <w:rsid w:val="00783C3E"/>
    <w:rsid w:val="00783DF7"/>
    <w:rsid w:val="00784A69"/>
    <w:rsid w:val="00784C36"/>
    <w:rsid w:val="00784E8E"/>
    <w:rsid w:val="0078502D"/>
    <w:rsid w:val="0078510A"/>
    <w:rsid w:val="0078518F"/>
    <w:rsid w:val="0078589C"/>
    <w:rsid w:val="00785A42"/>
    <w:rsid w:val="00785A74"/>
    <w:rsid w:val="007864A3"/>
    <w:rsid w:val="00786B89"/>
    <w:rsid w:val="00786E58"/>
    <w:rsid w:val="00787A5D"/>
    <w:rsid w:val="0079023C"/>
    <w:rsid w:val="00790F71"/>
    <w:rsid w:val="00791280"/>
    <w:rsid w:val="007913A7"/>
    <w:rsid w:val="007927D7"/>
    <w:rsid w:val="0079295F"/>
    <w:rsid w:val="00792AC3"/>
    <w:rsid w:val="00793AC3"/>
    <w:rsid w:val="00794001"/>
    <w:rsid w:val="007947E1"/>
    <w:rsid w:val="00794BA2"/>
    <w:rsid w:val="00794E87"/>
    <w:rsid w:val="00794FDB"/>
    <w:rsid w:val="00795AB3"/>
    <w:rsid w:val="00795AEA"/>
    <w:rsid w:val="00795B32"/>
    <w:rsid w:val="00795BB2"/>
    <w:rsid w:val="00796207"/>
    <w:rsid w:val="0079670B"/>
    <w:rsid w:val="0079772E"/>
    <w:rsid w:val="00797789"/>
    <w:rsid w:val="007A0085"/>
    <w:rsid w:val="007A0392"/>
    <w:rsid w:val="007A0B02"/>
    <w:rsid w:val="007A0FF0"/>
    <w:rsid w:val="007A119D"/>
    <w:rsid w:val="007A1C6E"/>
    <w:rsid w:val="007A1DE6"/>
    <w:rsid w:val="007A21E3"/>
    <w:rsid w:val="007A22D9"/>
    <w:rsid w:val="007A268B"/>
    <w:rsid w:val="007A2B96"/>
    <w:rsid w:val="007A3C14"/>
    <w:rsid w:val="007A40FA"/>
    <w:rsid w:val="007A4A4E"/>
    <w:rsid w:val="007A4DD5"/>
    <w:rsid w:val="007A50B8"/>
    <w:rsid w:val="007A5114"/>
    <w:rsid w:val="007A6124"/>
    <w:rsid w:val="007A61A1"/>
    <w:rsid w:val="007A66F4"/>
    <w:rsid w:val="007A6978"/>
    <w:rsid w:val="007A6D11"/>
    <w:rsid w:val="007A6EF7"/>
    <w:rsid w:val="007A71CD"/>
    <w:rsid w:val="007A7436"/>
    <w:rsid w:val="007A7DD8"/>
    <w:rsid w:val="007B0448"/>
    <w:rsid w:val="007B0527"/>
    <w:rsid w:val="007B162D"/>
    <w:rsid w:val="007B16A5"/>
    <w:rsid w:val="007B25A2"/>
    <w:rsid w:val="007B2812"/>
    <w:rsid w:val="007B2C4F"/>
    <w:rsid w:val="007B32E8"/>
    <w:rsid w:val="007B3B3C"/>
    <w:rsid w:val="007B4370"/>
    <w:rsid w:val="007B5518"/>
    <w:rsid w:val="007B5729"/>
    <w:rsid w:val="007B592B"/>
    <w:rsid w:val="007B5C5E"/>
    <w:rsid w:val="007B631E"/>
    <w:rsid w:val="007B67D6"/>
    <w:rsid w:val="007B6A3B"/>
    <w:rsid w:val="007B6D02"/>
    <w:rsid w:val="007B6E94"/>
    <w:rsid w:val="007B74BB"/>
    <w:rsid w:val="007B7BCB"/>
    <w:rsid w:val="007C0437"/>
    <w:rsid w:val="007C0E29"/>
    <w:rsid w:val="007C1643"/>
    <w:rsid w:val="007C1751"/>
    <w:rsid w:val="007C2CDD"/>
    <w:rsid w:val="007C2DBB"/>
    <w:rsid w:val="007C2ED7"/>
    <w:rsid w:val="007C33AB"/>
    <w:rsid w:val="007C354F"/>
    <w:rsid w:val="007C3682"/>
    <w:rsid w:val="007C3716"/>
    <w:rsid w:val="007C37CF"/>
    <w:rsid w:val="007C3A98"/>
    <w:rsid w:val="007C3F6C"/>
    <w:rsid w:val="007C4938"/>
    <w:rsid w:val="007C4BBB"/>
    <w:rsid w:val="007C4F0E"/>
    <w:rsid w:val="007C56B1"/>
    <w:rsid w:val="007C5F86"/>
    <w:rsid w:val="007C6003"/>
    <w:rsid w:val="007C75F6"/>
    <w:rsid w:val="007C76DA"/>
    <w:rsid w:val="007C7922"/>
    <w:rsid w:val="007C7978"/>
    <w:rsid w:val="007D0235"/>
    <w:rsid w:val="007D0B01"/>
    <w:rsid w:val="007D0DE3"/>
    <w:rsid w:val="007D0EE3"/>
    <w:rsid w:val="007D127C"/>
    <w:rsid w:val="007D139F"/>
    <w:rsid w:val="007D24A5"/>
    <w:rsid w:val="007D24D7"/>
    <w:rsid w:val="007D2B25"/>
    <w:rsid w:val="007D2D76"/>
    <w:rsid w:val="007D31C6"/>
    <w:rsid w:val="007D3251"/>
    <w:rsid w:val="007D6FFC"/>
    <w:rsid w:val="007D746C"/>
    <w:rsid w:val="007E012C"/>
    <w:rsid w:val="007E0648"/>
    <w:rsid w:val="007E1130"/>
    <w:rsid w:val="007E153C"/>
    <w:rsid w:val="007E2709"/>
    <w:rsid w:val="007E28C5"/>
    <w:rsid w:val="007E28D9"/>
    <w:rsid w:val="007E2E38"/>
    <w:rsid w:val="007E3168"/>
    <w:rsid w:val="007E3565"/>
    <w:rsid w:val="007E3688"/>
    <w:rsid w:val="007E3D35"/>
    <w:rsid w:val="007E475F"/>
    <w:rsid w:val="007E5398"/>
    <w:rsid w:val="007E55E7"/>
    <w:rsid w:val="007E5B5C"/>
    <w:rsid w:val="007E5F88"/>
    <w:rsid w:val="007E6554"/>
    <w:rsid w:val="007E745E"/>
    <w:rsid w:val="007E7679"/>
    <w:rsid w:val="007E7779"/>
    <w:rsid w:val="007E78A7"/>
    <w:rsid w:val="007E7F71"/>
    <w:rsid w:val="007F0650"/>
    <w:rsid w:val="007F08A3"/>
    <w:rsid w:val="007F0F8E"/>
    <w:rsid w:val="007F1416"/>
    <w:rsid w:val="007F1524"/>
    <w:rsid w:val="007F2221"/>
    <w:rsid w:val="007F26F8"/>
    <w:rsid w:val="007F28F0"/>
    <w:rsid w:val="007F33F1"/>
    <w:rsid w:val="007F361A"/>
    <w:rsid w:val="007F3B52"/>
    <w:rsid w:val="007F3B75"/>
    <w:rsid w:val="007F452A"/>
    <w:rsid w:val="007F471E"/>
    <w:rsid w:val="007F5411"/>
    <w:rsid w:val="007F5DFD"/>
    <w:rsid w:val="007F6B0A"/>
    <w:rsid w:val="007F6C11"/>
    <w:rsid w:val="007F6C70"/>
    <w:rsid w:val="007F6DD2"/>
    <w:rsid w:val="007F6E1D"/>
    <w:rsid w:val="007F6EF6"/>
    <w:rsid w:val="007F7181"/>
    <w:rsid w:val="007F739E"/>
    <w:rsid w:val="007F7B4C"/>
    <w:rsid w:val="007F7BEC"/>
    <w:rsid w:val="007F7DCE"/>
    <w:rsid w:val="008006A6"/>
    <w:rsid w:val="00800950"/>
    <w:rsid w:val="00800BFA"/>
    <w:rsid w:val="00801146"/>
    <w:rsid w:val="0080150F"/>
    <w:rsid w:val="00801825"/>
    <w:rsid w:val="00801C9E"/>
    <w:rsid w:val="00801EAC"/>
    <w:rsid w:val="00802BE7"/>
    <w:rsid w:val="00802CD8"/>
    <w:rsid w:val="00803152"/>
    <w:rsid w:val="0080378E"/>
    <w:rsid w:val="00804414"/>
    <w:rsid w:val="008044F8"/>
    <w:rsid w:val="00805170"/>
    <w:rsid w:val="00805277"/>
    <w:rsid w:val="0080543C"/>
    <w:rsid w:val="00805DDF"/>
    <w:rsid w:val="00805F35"/>
    <w:rsid w:val="0080609E"/>
    <w:rsid w:val="008068E8"/>
    <w:rsid w:val="008069B7"/>
    <w:rsid w:val="00806D42"/>
    <w:rsid w:val="00807246"/>
    <w:rsid w:val="0080756F"/>
    <w:rsid w:val="00807665"/>
    <w:rsid w:val="00810ECD"/>
    <w:rsid w:val="008113FE"/>
    <w:rsid w:val="00812226"/>
    <w:rsid w:val="00813DA4"/>
    <w:rsid w:val="008144C7"/>
    <w:rsid w:val="00814536"/>
    <w:rsid w:val="00815579"/>
    <w:rsid w:val="0081586A"/>
    <w:rsid w:val="008159B0"/>
    <w:rsid w:val="00815B1F"/>
    <w:rsid w:val="00816893"/>
    <w:rsid w:val="00816F71"/>
    <w:rsid w:val="008170B6"/>
    <w:rsid w:val="008201FA"/>
    <w:rsid w:val="00821574"/>
    <w:rsid w:val="008216D5"/>
    <w:rsid w:val="0082190D"/>
    <w:rsid w:val="00821BBC"/>
    <w:rsid w:val="008220B1"/>
    <w:rsid w:val="008226EB"/>
    <w:rsid w:val="00822AA7"/>
    <w:rsid w:val="00823195"/>
    <w:rsid w:val="00823922"/>
    <w:rsid w:val="00823C17"/>
    <w:rsid w:val="00823D71"/>
    <w:rsid w:val="00823F8E"/>
    <w:rsid w:val="008245C2"/>
    <w:rsid w:val="008245E5"/>
    <w:rsid w:val="00825028"/>
    <w:rsid w:val="00826020"/>
    <w:rsid w:val="00826259"/>
    <w:rsid w:val="0082741F"/>
    <w:rsid w:val="008275A1"/>
    <w:rsid w:val="008275E9"/>
    <w:rsid w:val="00830F13"/>
    <w:rsid w:val="00830F16"/>
    <w:rsid w:val="00831265"/>
    <w:rsid w:val="008317EB"/>
    <w:rsid w:val="008318A2"/>
    <w:rsid w:val="008318C0"/>
    <w:rsid w:val="00831DE1"/>
    <w:rsid w:val="00832450"/>
    <w:rsid w:val="00832BC9"/>
    <w:rsid w:val="00832C0F"/>
    <w:rsid w:val="0083328D"/>
    <w:rsid w:val="00833627"/>
    <w:rsid w:val="00833C6B"/>
    <w:rsid w:val="008344DE"/>
    <w:rsid w:val="008344F3"/>
    <w:rsid w:val="0083538E"/>
    <w:rsid w:val="0083564D"/>
    <w:rsid w:val="008361AE"/>
    <w:rsid w:val="008370B6"/>
    <w:rsid w:val="00837530"/>
    <w:rsid w:val="00837532"/>
    <w:rsid w:val="00837E1C"/>
    <w:rsid w:val="008402B3"/>
    <w:rsid w:val="00840347"/>
    <w:rsid w:val="008405D8"/>
    <w:rsid w:val="00840E66"/>
    <w:rsid w:val="00841746"/>
    <w:rsid w:val="00841BEA"/>
    <w:rsid w:val="00841D0C"/>
    <w:rsid w:val="00841D97"/>
    <w:rsid w:val="00841F0D"/>
    <w:rsid w:val="008425FC"/>
    <w:rsid w:val="00842971"/>
    <w:rsid w:val="00842989"/>
    <w:rsid w:val="00842BF3"/>
    <w:rsid w:val="00842C07"/>
    <w:rsid w:val="008431E2"/>
    <w:rsid w:val="008435C1"/>
    <w:rsid w:val="00843713"/>
    <w:rsid w:val="008438D3"/>
    <w:rsid w:val="00844B7C"/>
    <w:rsid w:val="00844E8D"/>
    <w:rsid w:val="0084518B"/>
    <w:rsid w:val="00845418"/>
    <w:rsid w:val="008463F5"/>
    <w:rsid w:val="008476FA"/>
    <w:rsid w:val="00847E30"/>
    <w:rsid w:val="008501C0"/>
    <w:rsid w:val="008501CC"/>
    <w:rsid w:val="00850E3A"/>
    <w:rsid w:val="008525A8"/>
    <w:rsid w:val="008525F7"/>
    <w:rsid w:val="00853716"/>
    <w:rsid w:val="0085373B"/>
    <w:rsid w:val="00853D47"/>
    <w:rsid w:val="00854165"/>
    <w:rsid w:val="00854E2C"/>
    <w:rsid w:val="00854E8A"/>
    <w:rsid w:val="00855414"/>
    <w:rsid w:val="0085564D"/>
    <w:rsid w:val="00855E6A"/>
    <w:rsid w:val="00855E6E"/>
    <w:rsid w:val="00855F2D"/>
    <w:rsid w:val="00855FAC"/>
    <w:rsid w:val="00856764"/>
    <w:rsid w:val="00856F56"/>
    <w:rsid w:val="008571EC"/>
    <w:rsid w:val="008575D7"/>
    <w:rsid w:val="008576AE"/>
    <w:rsid w:val="00857AC1"/>
    <w:rsid w:val="008602E9"/>
    <w:rsid w:val="008604FF"/>
    <w:rsid w:val="00860E40"/>
    <w:rsid w:val="00860F04"/>
    <w:rsid w:val="008614CF"/>
    <w:rsid w:val="008618E3"/>
    <w:rsid w:val="008619AC"/>
    <w:rsid w:val="00861C76"/>
    <w:rsid w:val="00862425"/>
    <w:rsid w:val="008624F3"/>
    <w:rsid w:val="008627FB"/>
    <w:rsid w:val="00862A16"/>
    <w:rsid w:val="00863AD3"/>
    <w:rsid w:val="008644F4"/>
    <w:rsid w:val="00864659"/>
    <w:rsid w:val="008660C7"/>
    <w:rsid w:val="0086663B"/>
    <w:rsid w:val="00866677"/>
    <w:rsid w:val="00866FFE"/>
    <w:rsid w:val="00867260"/>
    <w:rsid w:val="00867543"/>
    <w:rsid w:val="00867B01"/>
    <w:rsid w:val="00867F7A"/>
    <w:rsid w:val="0087034F"/>
    <w:rsid w:val="00870D03"/>
    <w:rsid w:val="00870D4A"/>
    <w:rsid w:val="00870E07"/>
    <w:rsid w:val="008713DF"/>
    <w:rsid w:val="00871674"/>
    <w:rsid w:val="008716A6"/>
    <w:rsid w:val="00871988"/>
    <w:rsid w:val="00871D20"/>
    <w:rsid w:val="00871F61"/>
    <w:rsid w:val="00873463"/>
    <w:rsid w:val="00873AFA"/>
    <w:rsid w:val="00873C70"/>
    <w:rsid w:val="00873DE9"/>
    <w:rsid w:val="008746FF"/>
    <w:rsid w:val="00874A7F"/>
    <w:rsid w:val="00874CED"/>
    <w:rsid w:val="0087517A"/>
    <w:rsid w:val="008752C9"/>
    <w:rsid w:val="008757DF"/>
    <w:rsid w:val="00877700"/>
    <w:rsid w:val="008806FF"/>
    <w:rsid w:val="00880A12"/>
    <w:rsid w:val="00881472"/>
    <w:rsid w:val="008816E0"/>
    <w:rsid w:val="00881DFB"/>
    <w:rsid w:val="0088225C"/>
    <w:rsid w:val="00882446"/>
    <w:rsid w:val="008825AA"/>
    <w:rsid w:val="0088274C"/>
    <w:rsid w:val="00883066"/>
    <w:rsid w:val="00883330"/>
    <w:rsid w:val="00884621"/>
    <w:rsid w:val="00884C4C"/>
    <w:rsid w:val="00884EA1"/>
    <w:rsid w:val="00885488"/>
    <w:rsid w:val="00885D1A"/>
    <w:rsid w:val="008866BC"/>
    <w:rsid w:val="008866C4"/>
    <w:rsid w:val="0088698C"/>
    <w:rsid w:val="008869C6"/>
    <w:rsid w:val="00886EBB"/>
    <w:rsid w:val="0088742A"/>
    <w:rsid w:val="00887DB9"/>
    <w:rsid w:val="00890B35"/>
    <w:rsid w:val="00890D2F"/>
    <w:rsid w:val="00890ED2"/>
    <w:rsid w:val="00890EDC"/>
    <w:rsid w:val="008918AA"/>
    <w:rsid w:val="00891BF9"/>
    <w:rsid w:val="00891CBD"/>
    <w:rsid w:val="0089337B"/>
    <w:rsid w:val="00893ED8"/>
    <w:rsid w:val="00893F9B"/>
    <w:rsid w:val="00894612"/>
    <w:rsid w:val="00894A7B"/>
    <w:rsid w:val="00894AE4"/>
    <w:rsid w:val="00894C0A"/>
    <w:rsid w:val="00894D2B"/>
    <w:rsid w:val="00894E83"/>
    <w:rsid w:val="00894FB1"/>
    <w:rsid w:val="00894FE6"/>
    <w:rsid w:val="0089502D"/>
    <w:rsid w:val="00896D5F"/>
    <w:rsid w:val="00897698"/>
    <w:rsid w:val="00897729"/>
    <w:rsid w:val="00897DD9"/>
    <w:rsid w:val="008A0043"/>
    <w:rsid w:val="008A03F1"/>
    <w:rsid w:val="008A0448"/>
    <w:rsid w:val="008A0574"/>
    <w:rsid w:val="008A0C03"/>
    <w:rsid w:val="008A0DAE"/>
    <w:rsid w:val="008A0DFB"/>
    <w:rsid w:val="008A2675"/>
    <w:rsid w:val="008A31CB"/>
    <w:rsid w:val="008A3211"/>
    <w:rsid w:val="008A369C"/>
    <w:rsid w:val="008A387C"/>
    <w:rsid w:val="008A3C61"/>
    <w:rsid w:val="008A3FCE"/>
    <w:rsid w:val="008A4272"/>
    <w:rsid w:val="008A42D3"/>
    <w:rsid w:val="008A46A4"/>
    <w:rsid w:val="008A4EC7"/>
    <w:rsid w:val="008A5528"/>
    <w:rsid w:val="008A6055"/>
    <w:rsid w:val="008A63B6"/>
    <w:rsid w:val="008A6D0E"/>
    <w:rsid w:val="008A7177"/>
    <w:rsid w:val="008A74FD"/>
    <w:rsid w:val="008B128C"/>
    <w:rsid w:val="008B1441"/>
    <w:rsid w:val="008B19B9"/>
    <w:rsid w:val="008B1E69"/>
    <w:rsid w:val="008B27F3"/>
    <w:rsid w:val="008B35DC"/>
    <w:rsid w:val="008B4725"/>
    <w:rsid w:val="008B4F56"/>
    <w:rsid w:val="008B5BEE"/>
    <w:rsid w:val="008B5C9C"/>
    <w:rsid w:val="008B5F20"/>
    <w:rsid w:val="008B6700"/>
    <w:rsid w:val="008B6A65"/>
    <w:rsid w:val="008B6EFB"/>
    <w:rsid w:val="008B7D94"/>
    <w:rsid w:val="008C02A9"/>
    <w:rsid w:val="008C031D"/>
    <w:rsid w:val="008C08B5"/>
    <w:rsid w:val="008C0B48"/>
    <w:rsid w:val="008C0D07"/>
    <w:rsid w:val="008C1D3A"/>
    <w:rsid w:val="008C2178"/>
    <w:rsid w:val="008C22D5"/>
    <w:rsid w:val="008C28FC"/>
    <w:rsid w:val="008C29E6"/>
    <w:rsid w:val="008C2CCD"/>
    <w:rsid w:val="008C39B8"/>
    <w:rsid w:val="008C4120"/>
    <w:rsid w:val="008C4345"/>
    <w:rsid w:val="008C486F"/>
    <w:rsid w:val="008C4B97"/>
    <w:rsid w:val="008C4CC5"/>
    <w:rsid w:val="008C5204"/>
    <w:rsid w:val="008C67ED"/>
    <w:rsid w:val="008C6A5E"/>
    <w:rsid w:val="008C7346"/>
    <w:rsid w:val="008C76A6"/>
    <w:rsid w:val="008C796F"/>
    <w:rsid w:val="008C7F58"/>
    <w:rsid w:val="008D0055"/>
    <w:rsid w:val="008D0D22"/>
    <w:rsid w:val="008D0D70"/>
    <w:rsid w:val="008D0F60"/>
    <w:rsid w:val="008D17F0"/>
    <w:rsid w:val="008D1C8F"/>
    <w:rsid w:val="008D37C8"/>
    <w:rsid w:val="008D3C50"/>
    <w:rsid w:val="008D4376"/>
    <w:rsid w:val="008D47E9"/>
    <w:rsid w:val="008D4D6E"/>
    <w:rsid w:val="008D5FF0"/>
    <w:rsid w:val="008D6551"/>
    <w:rsid w:val="008D78EB"/>
    <w:rsid w:val="008D7C3B"/>
    <w:rsid w:val="008E0528"/>
    <w:rsid w:val="008E0588"/>
    <w:rsid w:val="008E188F"/>
    <w:rsid w:val="008E20FB"/>
    <w:rsid w:val="008E22DE"/>
    <w:rsid w:val="008E25C6"/>
    <w:rsid w:val="008E2631"/>
    <w:rsid w:val="008E2C95"/>
    <w:rsid w:val="008E2E85"/>
    <w:rsid w:val="008E357B"/>
    <w:rsid w:val="008E3634"/>
    <w:rsid w:val="008E39A1"/>
    <w:rsid w:val="008E3C93"/>
    <w:rsid w:val="008E3D7E"/>
    <w:rsid w:val="008E3EEA"/>
    <w:rsid w:val="008E57FA"/>
    <w:rsid w:val="008E5884"/>
    <w:rsid w:val="008E5D4D"/>
    <w:rsid w:val="008E634E"/>
    <w:rsid w:val="008E6941"/>
    <w:rsid w:val="008E6D91"/>
    <w:rsid w:val="008E6DA4"/>
    <w:rsid w:val="008E75AB"/>
    <w:rsid w:val="008E7D93"/>
    <w:rsid w:val="008E7ED7"/>
    <w:rsid w:val="008F0170"/>
    <w:rsid w:val="008F087B"/>
    <w:rsid w:val="008F08D8"/>
    <w:rsid w:val="008F1171"/>
    <w:rsid w:val="008F183A"/>
    <w:rsid w:val="008F1F82"/>
    <w:rsid w:val="008F2BF2"/>
    <w:rsid w:val="008F3030"/>
    <w:rsid w:val="008F361F"/>
    <w:rsid w:val="008F3819"/>
    <w:rsid w:val="008F38D3"/>
    <w:rsid w:val="008F3D0C"/>
    <w:rsid w:val="008F4DDD"/>
    <w:rsid w:val="008F53B5"/>
    <w:rsid w:val="008F59A8"/>
    <w:rsid w:val="008F5DC3"/>
    <w:rsid w:val="008F61F3"/>
    <w:rsid w:val="008F63DB"/>
    <w:rsid w:val="008F64F5"/>
    <w:rsid w:val="008F6732"/>
    <w:rsid w:val="008F7067"/>
    <w:rsid w:val="008F72B5"/>
    <w:rsid w:val="008F734B"/>
    <w:rsid w:val="008F7695"/>
    <w:rsid w:val="008F76B2"/>
    <w:rsid w:val="008F7C28"/>
    <w:rsid w:val="0090004B"/>
    <w:rsid w:val="00900077"/>
    <w:rsid w:val="00900432"/>
    <w:rsid w:val="00900479"/>
    <w:rsid w:val="0090047B"/>
    <w:rsid w:val="0090153B"/>
    <w:rsid w:val="00901610"/>
    <w:rsid w:val="009026BC"/>
    <w:rsid w:val="00902EAE"/>
    <w:rsid w:val="009039EC"/>
    <w:rsid w:val="00903AB5"/>
    <w:rsid w:val="0090405D"/>
    <w:rsid w:val="009044CC"/>
    <w:rsid w:val="00904582"/>
    <w:rsid w:val="00904757"/>
    <w:rsid w:val="009047DF"/>
    <w:rsid w:val="009057F7"/>
    <w:rsid w:val="0090597B"/>
    <w:rsid w:val="009059F8"/>
    <w:rsid w:val="00905BBB"/>
    <w:rsid w:val="00905D0F"/>
    <w:rsid w:val="009068E0"/>
    <w:rsid w:val="00906B04"/>
    <w:rsid w:val="00907B2B"/>
    <w:rsid w:val="00907D32"/>
    <w:rsid w:val="00907D7A"/>
    <w:rsid w:val="00907E5B"/>
    <w:rsid w:val="00907E6F"/>
    <w:rsid w:val="009107AD"/>
    <w:rsid w:val="00911A6B"/>
    <w:rsid w:val="00911D4E"/>
    <w:rsid w:val="009125F6"/>
    <w:rsid w:val="00912A72"/>
    <w:rsid w:val="00914C6D"/>
    <w:rsid w:val="00914D0F"/>
    <w:rsid w:val="00914EE5"/>
    <w:rsid w:val="00915102"/>
    <w:rsid w:val="00915C68"/>
    <w:rsid w:val="0091728B"/>
    <w:rsid w:val="00917C28"/>
    <w:rsid w:val="00917EDB"/>
    <w:rsid w:val="00920133"/>
    <w:rsid w:val="00920452"/>
    <w:rsid w:val="0092050E"/>
    <w:rsid w:val="00920FC9"/>
    <w:rsid w:val="00921240"/>
    <w:rsid w:val="00921632"/>
    <w:rsid w:val="009217F8"/>
    <w:rsid w:val="00921947"/>
    <w:rsid w:val="0092233E"/>
    <w:rsid w:val="009223B4"/>
    <w:rsid w:val="009224E1"/>
    <w:rsid w:val="009224FC"/>
    <w:rsid w:val="00922B1B"/>
    <w:rsid w:val="0092378F"/>
    <w:rsid w:val="009237BA"/>
    <w:rsid w:val="00923FC5"/>
    <w:rsid w:val="00924562"/>
    <w:rsid w:val="009245A6"/>
    <w:rsid w:val="00924D47"/>
    <w:rsid w:val="0092546A"/>
    <w:rsid w:val="0092555D"/>
    <w:rsid w:val="00925928"/>
    <w:rsid w:val="0092595C"/>
    <w:rsid w:val="009259DB"/>
    <w:rsid w:val="00925B5F"/>
    <w:rsid w:val="00925C4B"/>
    <w:rsid w:val="009260E1"/>
    <w:rsid w:val="00926EAB"/>
    <w:rsid w:val="009279A3"/>
    <w:rsid w:val="00927D8B"/>
    <w:rsid w:val="00927EBA"/>
    <w:rsid w:val="009303B3"/>
    <w:rsid w:val="00930960"/>
    <w:rsid w:val="00930A95"/>
    <w:rsid w:val="00930B6E"/>
    <w:rsid w:val="00931165"/>
    <w:rsid w:val="0093135D"/>
    <w:rsid w:val="00931929"/>
    <w:rsid w:val="009319BE"/>
    <w:rsid w:val="00931A98"/>
    <w:rsid w:val="00931FBD"/>
    <w:rsid w:val="00932174"/>
    <w:rsid w:val="00932536"/>
    <w:rsid w:val="009326E5"/>
    <w:rsid w:val="0093291D"/>
    <w:rsid w:val="00932D67"/>
    <w:rsid w:val="0093324D"/>
    <w:rsid w:val="00933649"/>
    <w:rsid w:val="0093381F"/>
    <w:rsid w:val="00934E3A"/>
    <w:rsid w:val="009350FD"/>
    <w:rsid w:val="009355AB"/>
    <w:rsid w:val="00935624"/>
    <w:rsid w:val="00935729"/>
    <w:rsid w:val="00935857"/>
    <w:rsid w:val="00935A20"/>
    <w:rsid w:val="00935CEF"/>
    <w:rsid w:val="00935D43"/>
    <w:rsid w:val="00936513"/>
    <w:rsid w:val="00937034"/>
    <w:rsid w:val="009375FC"/>
    <w:rsid w:val="00937640"/>
    <w:rsid w:val="0094055E"/>
    <w:rsid w:val="009406A8"/>
    <w:rsid w:val="009407D0"/>
    <w:rsid w:val="00940CD6"/>
    <w:rsid w:val="00940EDE"/>
    <w:rsid w:val="00941BA9"/>
    <w:rsid w:val="009425EF"/>
    <w:rsid w:val="00942F31"/>
    <w:rsid w:val="009433DC"/>
    <w:rsid w:val="00943C39"/>
    <w:rsid w:val="00943D76"/>
    <w:rsid w:val="00943FD8"/>
    <w:rsid w:val="009448D7"/>
    <w:rsid w:val="00944E6D"/>
    <w:rsid w:val="00945004"/>
    <w:rsid w:val="00945FA3"/>
    <w:rsid w:val="00946212"/>
    <w:rsid w:val="00946D4D"/>
    <w:rsid w:val="0094715E"/>
    <w:rsid w:val="009471CF"/>
    <w:rsid w:val="0094758F"/>
    <w:rsid w:val="0095003D"/>
    <w:rsid w:val="009500E4"/>
    <w:rsid w:val="00950556"/>
    <w:rsid w:val="00950828"/>
    <w:rsid w:val="00951458"/>
    <w:rsid w:val="009517A5"/>
    <w:rsid w:val="0095189F"/>
    <w:rsid w:val="00951A10"/>
    <w:rsid w:val="00951DC0"/>
    <w:rsid w:val="0095258C"/>
    <w:rsid w:val="00952C44"/>
    <w:rsid w:val="00952ED3"/>
    <w:rsid w:val="0095412E"/>
    <w:rsid w:val="00954383"/>
    <w:rsid w:val="00954627"/>
    <w:rsid w:val="00954702"/>
    <w:rsid w:val="00954864"/>
    <w:rsid w:val="00954F27"/>
    <w:rsid w:val="00955021"/>
    <w:rsid w:val="00956C1B"/>
    <w:rsid w:val="0095719C"/>
    <w:rsid w:val="009573F8"/>
    <w:rsid w:val="00957817"/>
    <w:rsid w:val="00957A48"/>
    <w:rsid w:val="00957B6D"/>
    <w:rsid w:val="00957F85"/>
    <w:rsid w:val="00957FC8"/>
    <w:rsid w:val="00960CE1"/>
    <w:rsid w:val="009613B1"/>
    <w:rsid w:val="00961D54"/>
    <w:rsid w:val="00961D5C"/>
    <w:rsid w:val="009626ED"/>
    <w:rsid w:val="00962BD7"/>
    <w:rsid w:val="00962D77"/>
    <w:rsid w:val="00963467"/>
    <w:rsid w:val="009639EA"/>
    <w:rsid w:val="00963B2D"/>
    <w:rsid w:val="00963B61"/>
    <w:rsid w:val="00964328"/>
    <w:rsid w:val="009644F6"/>
    <w:rsid w:val="009648F3"/>
    <w:rsid w:val="00965B8C"/>
    <w:rsid w:val="009674C5"/>
    <w:rsid w:val="00967B22"/>
    <w:rsid w:val="00967B4C"/>
    <w:rsid w:val="00970E86"/>
    <w:rsid w:val="00971156"/>
    <w:rsid w:val="00971FD6"/>
    <w:rsid w:val="00972E99"/>
    <w:rsid w:val="00973172"/>
    <w:rsid w:val="009735B1"/>
    <w:rsid w:val="0097461F"/>
    <w:rsid w:val="009747A1"/>
    <w:rsid w:val="00974DDE"/>
    <w:rsid w:val="00975056"/>
    <w:rsid w:val="00975DA6"/>
    <w:rsid w:val="0097693B"/>
    <w:rsid w:val="00976D2D"/>
    <w:rsid w:val="009776DC"/>
    <w:rsid w:val="00977A6D"/>
    <w:rsid w:val="009801FC"/>
    <w:rsid w:val="009805D7"/>
    <w:rsid w:val="00980B59"/>
    <w:rsid w:val="00980F11"/>
    <w:rsid w:val="0098123D"/>
    <w:rsid w:val="00981255"/>
    <w:rsid w:val="00982602"/>
    <w:rsid w:val="0098358A"/>
    <w:rsid w:val="0098394C"/>
    <w:rsid w:val="00984110"/>
    <w:rsid w:val="00984380"/>
    <w:rsid w:val="00984575"/>
    <w:rsid w:val="009852B0"/>
    <w:rsid w:val="00985BB5"/>
    <w:rsid w:val="00985F8F"/>
    <w:rsid w:val="00986010"/>
    <w:rsid w:val="0098627B"/>
    <w:rsid w:val="00986B15"/>
    <w:rsid w:val="00987989"/>
    <w:rsid w:val="00987BC6"/>
    <w:rsid w:val="00987F06"/>
    <w:rsid w:val="00990249"/>
    <w:rsid w:val="0099140C"/>
    <w:rsid w:val="009914A7"/>
    <w:rsid w:val="00991830"/>
    <w:rsid w:val="00991A6E"/>
    <w:rsid w:val="00991AD5"/>
    <w:rsid w:val="00991EB1"/>
    <w:rsid w:val="009921BD"/>
    <w:rsid w:val="0099269E"/>
    <w:rsid w:val="009926BF"/>
    <w:rsid w:val="009929E8"/>
    <w:rsid w:val="009934D2"/>
    <w:rsid w:val="009938C4"/>
    <w:rsid w:val="00993D42"/>
    <w:rsid w:val="0099413B"/>
    <w:rsid w:val="00994296"/>
    <w:rsid w:val="00995028"/>
    <w:rsid w:val="0099566C"/>
    <w:rsid w:val="00996503"/>
    <w:rsid w:val="009967DE"/>
    <w:rsid w:val="009970BF"/>
    <w:rsid w:val="009A05BD"/>
    <w:rsid w:val="009A05C1"/>
    <w:rsid w:val="009A12FE"/>
    <w:rsid w:val="009A177D"/>
    <w:rsid w:val="009A19DA"/>
    <w:rsid w:val="009A2D65"/>
    <w:rsid w:val="009A3234"/>
    <w:rsid w:val="009A3655"/>
    <w:rsid w:val="009A3731"/>
    <w:rsid w:val="009A3B0D"/>
    <w:rsid w:val="009A43F1"/>
    <w:rsid w:val="009A4CB7"/>
    <w:rsid w:val="009A4FDD"/>
    <w:rsid w:val="009A5857"/>
    <w:rsid w:val="009A5B4F"/>
    <w:rsid w:val="009A5FA0"/>
    <w:rsid w:val="009A6D55"/>
    <w:rsid w:val="009A6F9B"/>
    <w:rsid w:val="009A7074"/>
    <w:rsid w:val="009A733C"/>
    <w:rsid w:val="009A7AA9"/>
    <w:rsid w:val="009B011B"/>
    <w:rsid w:val="009B075E"/>
    <w:rsid w:val="009B0AAB"/>
    <w:rsid w:val="009B1079"/>
    <w:rsid w:val="009B12F1"/>
    <w:rsid w:val="009B1313"/>
    <w:rsid w:val="009B1D08"/>
    <w:rsid w:val="009B1D79"/>
    <w:rsid w:val="009B2072"/>
    <w:rsid w:val="009B2DF0"/>
    <w:rsid w:val="009B2F12"/>
    <w:rsid w:val="009B3948"/>
    <w:rsid w:val="009B4E03"/>
    <w:rsid w:val="009B5175"/>
    <w:rsid w:val="009B52AF"/>
    <w:rsid w:val="009B52D6"/>
    <w:rsid w:val="009B6CBC"/>
    <w:rsid w:val="009B6D4A"/>
    <w:rsid w:val="009B70AD"/>
    <w:rsid w:val="009B73DC"/>
    <w:rsid w:val="009B7DCC"/>
    <w:rsid w:val="009B7F96"/>
    <w:rsid w:val="009C0122"/>
    <w:rsid w:val="009C1087"/>
    <w:rsid w:val="009C18D2"/>
    <w:rsid w:val="009C207E"/>
    <w:rsid w:val="009C23AF"/>
    <w:rsid w:val="009C244C"/>
    <w:rsid w:val="009C2DAA"/>
    <w:rsid w:val="009C3433"/>
    <w:rsid w:val="009C3A15"/>
    <w:rsid w:val="009C3DE2"/>
    <w:rsid w:val="009C3EBD"/>
    <w:rsid w:val="009C420B"/>
    <w:rsid w:val="009C4A78"/>
    <w:rsid w:val="009C4B21"/>
    <w:rsid w:val="009C57E8"/>
    <w:rsid w:val="009C5B44"/>
    <w:rsid w:val="009C6134"/>
    <w:rsid w:val="009C652D"/>
    <w:rsid w:val="009C6701"/>
    <w:rsid w:val="009C6926"/>
    <w:rsid w:val="009C6A40"/>
    <w:rsid w:val="009C6C3E"/>
    <w:rsid w:val="009C78B9"/>
    <w:rsid w:val="009D01BE"/>
    <w:rsid w:val="009D1E13"/>
    <w:rsid w:val="009D1FAC"/>
    <w:rsid w:val="009D2046"/>
    <w:rsid w:val="009D2399"/>
    <w:rsid w:val="009D31C7"/>
    <w:rsid w:val="009D395A"/>
    <w:rsid w:val="009D3B7E"/>
    <w:rsid w:val="009D3FA2"/>
    <w:rsid w:val="009D4044"/>
    <w:rsid w:val="009D4A35"/>
    <w:rsid w:val="009D51AF"/>
    <w:rsid w:val="009D5706"/>
    <w:rsid w:val="009D5A61"/>
    <w:rsid w:val="009D5B97"/>
    <w:rsid w:val="009D5BD7"/>
    <w:rsid w:val="009D5BE2"/>
    <w:rsid w:val="009D6DDB"/>
    <w:rsid w:val="009D7065"/>
    <w:rsid w:val="009D7874"/>
    <w:rsid w:val="009D78B4"/>
    <w:rsid w:val="009E08E4"/>
    <w:rsid w:val="009E132F"/>
    <w:rsid w:val="009E1773"/>
    <w:rsid w:val="009E199D"/>
    <w:rsid w:val="009E1A38"/>
    <w:rsid w:val="009E244F"/>
    <w:rsid w:val="009E36BD"/>
    <w:rsid w:val="009E3B9D"/>
    <w:rsid w:val="009E3D15"/>
    <w:rsid w:val="009E3D6E"/>
    <w:rsid w:val="009E4159"/>
    <w:rsid w:val="009E46A8"/>
    <w:rsid w:val="009E4867"/>
    <w:rsid w:val="009E5227"/>
    <w:rsid w:val="009E5C5B"/>
    <w:rsid w:val="009E677A"/>
    <w:rsid w:val="009E7661"/>
    <w:rsid w:val="009E7E98"/>
    <w:rsid w:val="009F02F7"/>
    <w:rsid w:val="009F08F1"/>
    <w:rsid w:val="009F115A"/>
    <w:rsid w:val="009F176A"/>
    <w:rsid w:val="009F1B5C"/>
    <w:rsid w:val="009F21F6"/>
    <w:rsid w:val="009F2D7A"/>
    <w:rsid w:val="009F2DEE"/>
    <w:rsid w:val="009F311E"/>
    <w:rsid w:val="009F370A"/>
    <w:rsid w:val="009F3D3D"/>
    <w:rsid w:val="009F3F8E"/>
    <w:rsid w:val="009F4801"/>
    <w:rsid w:val="009F5431"/>
    <w:rsid w:val="009F5D23"/>
    <w:rsid w:val="009F5F6F"/>
    <w:rsid w:val="009F66D8"/>
    <w:rsid w:val="009F6AB1"/>
    <w:rsid w:val="009F7411"/>
    <w:rsid w:val="009F795D"/>
    <w:rsid w:val="009F79F8"/>
    <w:rsid w:val="00A000B3"/>
    <w:rsid w:val="00A00492"/>
    <w:rsid w:val="00A0054E"/>
    <w:rsid w:val="00A00B1F"/>
    <w:rsid w:val="00A00E11"/>
    <w:rsid w:val="00A00FB5"/>
    <w:rsid w:val="00A01213"/>
    <w:rsid w:val="00A014B0"/>
    <w:rsid w:val="00A01F01"/>
    <w:rsid w:val="00A022FB"/>
    <w:rsid w:val="00A023FD"/>
    <w:rsid w:val="00A0246E"/>
    <w:rsid w:val="00A02E39"/>
    <w:rsid w:val="00A0302C"/>
    <w:rsid w:val="00A032E9"/>
    <w:rsid w:val="00A03EF1"/>
    <w:rsid w:val="00A04AAD"/>
    <w:rsid w:val="00A04D8C"/>
    <w:rsid w:val="00A0555D"/>
    <w:rsid w:val="00A05A8D"/>
    <w:rsid w:val="00A05A9C"/>
    <w:rsid w:val="00A05ABF"/>
    <w:rsid w:val="00A06A2C"/>
    <w:rsid w:val="00A06BEC"/>
    <w:rsid w:val="00A07183"/>
    <w:rsid w:val="00A077E3"/>
    <w:rsid w:val="00A07A55"/>
    <w:rsid w:val="00A07D37"/>
    <w:rsid w:val="00A10A0F"/>
    <w:rsid w:val="00A10BEA"/>
    <w:rsid w:val="00A110C4"/>
    <w:rsid w:val="00A1146A"/>
    <w:rsid w:val="00A11A9B"/>
    <w:rsid w:val="00A11AD6"/>
    <w:rsid w:val="00A11E56"/>
    <w:rsid w:val="00A11ECD"/>
    <w:rsid w:val="00A11EFD"/>
    <w:rsid w:val="00A12311"/>
    <w:rsid w:val="00A12E71"/>
    <w:rsid w:val="00A135D9"/>
    <w:rsid w:val="00A1377D"/>
    <w:rsid w:val="00A13AE4"/>
    <w:rsid w:val="00A13BFA"/>
    <w:rsid w:val="00A14D65"/>
    <w:rsid w:val="00A14F24"/>
    <w:rsid w:val="00A1506F"/>
    <w:rsid w:val="00A158A3"/>
    <w:rsid w:val="00A158A7"/>
    <w:rsid w:val="00A15B24"/>
    <w:rsid w:val="00A15BAF"/>
    <w:rsid w:val="00A15C79"/>
    <w:rsid w:val="00A15FC1"/>
    <w:rsid w:val="00A16316"/>
    <w:rsid w:val="00A16851"/>
    <w:rsid w:val="00A1694E"/>
    <w:rsid w:val="00A16ABE"/>
    <w:rsid w:val="00A16CDA"/>
    <w:rsid w:val="00A17A30"/>
    <w:rsid w:val="00A17CB0"/>
    <w:rsid w:val="00A20790"/>
    <w:rsid w:val="00A20892"/>
    <w:rsid w:val="00A20D15"/>
    <w:rsid w:val="00A216C4"/>
    <w:rsid w:val="00A21826"/>
    <w:rsid w:val="00A225F8"/>
    <w:rsid w:val="00A24750"/>
    <w:rsid w:val="00A24790"/>
    <w:rsid w:val="00A24A9D"/>
    <w:rsid w:val="00A2532C"/>
    <w:rsid w:val="00A25AB2"/>
    <w:rsid w:val="00A263EA"/>
    <w:rsid w:val="00A27383"/>
    <w:rsid w:val="00A277E4"/>
    <w:rsid w:val="00A305AA"/>
    <w:rsid w:val="00A30FA7"/>
    <w:rsid w:val="00A31511"/>
    <w:rsid w:val="00A318A7"/>
    <w:rsid w:val="00A31D1F"/>
    <w:rsid w:val="00A31E6F"/>
    <w:rsid w:val="00A32593"/>
    <w:rsid w:val="00A329EC"/>
    <w:rsid w:val="00A32C4C"/>
    <w:rsid w:val="00A33FDC"/>
    <w:rsid w:val="00A34A61"/>
    <w:rsid w:val="00A34B92"/>
    <w:rsid w:val="00A34EF9"/>
    <w:rsid w:val="00A35E1C"/>
    <w:rsid w:val="00A35FB6"/>
    <w:rsid w:val="00A36479"/>
    <w:rsid w:val="00A3703E"/>
    <w:rsid w:val="00A37083"/>
    <w:rsid w:val="00A375FE"/>
    <w:rsid w:val="00A37C4B"/>
    <w:rsid w:val="00A37FFA"/>
    <w:rsid w:val="00A40011"/>
    <w:rsid w:val="00A40A1B"/>
    <w:rsid w:val="00A41DD2"/>
    <w:rsid w:val="00A4241F"/>
    <w:rsid w:val="00A426A8"/>
    <w:rsid w:val="00A42B64"/>
    <w:rsid w:val="00A42C0C"/>
    <w:rsid w:val="00A43630"/>
    <w:rsid w:val="00A43E31"/>
    <w:rsid w:val="00A447C1"/>
    <w:rsid w:val="00A447D3"/>
    <w:rsid w:val="00A45316"/>
    <w:rsid w:val="00A45CC1"/>
    <w:rsid w:val="00A45D02"/>
    <w:rsid w:val="00A47352"/>
    <w:rsid w:val="00A47497"/>
    <w:rsid w:val="00A4798B"/>
    <w:rsid w:val="00A50050"/>
    <w:rsid w:val="00A50DEE"/>
    <w:rsid w:val="00A510A1"/>
    <w:rsid w:val="00A517F7"/>
    <w:rsid w:val="00A51898"/>
    <w:rsid w:val="00A51B30"/>
    <w:rsid w:val="00A51D3A"/>
    <w:rsid w:val="00A52A07"/>
    <w:rsid w:val="00A537E0"/>
    <w:rsid w:val="00A53839"/>
    <w:rsid w:val="00A53AFE"/>
    <w:rsid w:val="00A53E7C"/>
    <w:rsid w:val="00A54049"/>
    <w:rsid w:val="00A54185"/>
    <w:rsid w:val="00A54692"/>
    <w:rsid w:val="00A54935"/>
    <w:rsid w:val="00A561C8"/>
    <w:rsid w:val="00A569D8"/>
    <w:rsid w:val="00A57081"/>
    <w:rsid w:val="00A570FC"/>
    <w:rsid w:val="00A60C14"/>
    <w:rsid w:val="00A617FD"/>
    <w:rsid w:val="00A62632"/>
    <w:rsid w:val="00A629EE"/>
    <w:rsid w:val="00A63295"/>
    <w:rsid w:val="00A63948"/>
    <w:rsid w:val="00A639AA"/>
    <w:rsid w:val="00A63A56"/>
    <w:rsid w:val="00A6400C"/>
    <w:rsid w:val="00A65152"/>
    <w:rsid w:val="00A651A1"/>
    <w:rsid w:val="00A65B80"/>
    <w:rsid w:val="00A65EF0"/>
    <w:rsid w:val="00A65F08"/>
    <w:rsid w:val="00A662A0"/>
    <w:rsid w:val="00A66E6B"/>
    <w:rsid w:val="00A67016"/>
    <w:rsid w:val="00A6709C"/>
    <w:rsid w:val="00A67204"/>
    <w:rsid w:val="00A672BA"/>
    <w:rsid w:val="00A676EA"/>
    <w:rsid w:val="00A67943"/>
    <w:rsid w:val="00A67C74"/>
    <w:rsid w:val="00A7018F"/>
    <w:rsid w:val="00A70403"/>
    <w:rsid w:val="00A70555"/>
    <w:rsid w:val="00A70F47"/>
    <w:rsid w:val="00A7106A"/>
    <w:rsid w:val="00A71307"/>
    <w:rsid w:val="00A71509"/>
    <w:rsid w:val="00A71CB8"/>
    <w:rsid w:val="00A720BC"/>
    <w:rsid w:val="00A721DB"/>
    <w:rsid w:val="00A7233E"/>
    <w:rsid w:val="00A723EF"/>
    <w:rsid w:val="00A726BF"/>
    <w:rsid w:val="00A72CBA"/>
    <w:rsid w:val="00A73057"/>
    <w:rsid w:val="00A73102"/>
    <w:rsid w:val="00A733C9"/>
    <w:rsid w:val="00A73401"/>
    <w:rsid w:val="00A7359A"/>
    <w:rsid w:val="00A73C3F"/>
    <w:rsid w:val="00A74304"/>
    <w:rsid w:val="00A7488D"/>
    <w:rsid w:val="00A7492E"/>
    <w:rsid w:val="00A74EA8"/>
    <w:rsid w:val="00A75007"/>
    <w:rsid w:val="00A752FB"/>
    <w:rsid w:val="00A756FC"/>
    <w:rsid w:val="00A76018"/>
    <w:rsid w:val="00A7623E"/>
    <w:rsid w:val="00A7633F"/>
    <w:rsid w:val="00A770E6"/>
    <w:rsid w:val="00A7746C"/>
    <w:rsid w:val="00A7755C"/>
    <w:rsid w:val="00A80247"/>
    <w:rsid w:val="00A8045E"/>
    <w:rsid w:val="00A80931"/>
    <w:rsid w:val="00A81AAA"/>
    <w:rsid w:val="00A81AF5"/>
    <w:rsid w:val="00A81C88"/>
    <w:rsid w:val="00A82FB7"/>
    <w:rsid w:val="00A83032"/>
    <w:rsid w:val="00A83081"/>
    <w:rsid w:val="00A83135"/>
    <w:rsid w:val="00A83472"/>
    <w:rsid w:val="00A8360A"/>
    <w:rsid w:val="00A83818"/>
    <w:rsid w:val="00A83BDD"/>
    <w:rsid w:val="00A83FA6"/>
    <w:rsid w:val="00A842C4"/>
    <w:rsid w:val="00A84E0F"/>
    <w:rsid w:val="00A84E8E"/>
    <w:rsid w:val="00A84ED3"/>
    <w:rsid w:val="00A85303"/>
    <w:rsid w:val="00A85576"/>
    <w:rsid w:val="00A855CF"/>
    <w:rsid w:val="00A858D1"/>
    <w:rsid w:val="00A85A89"/>
    <w:rsid w:val="00A85F6C"/>
    <w:rsid w:val="00A8604F"/>
    <w:rsid w:val="00A8608A"/>
    <w:rsid w:val="00A869E6"/>
    <w:rsid w:val="00A870E3"/>
    <w:rsid w:val="00A87209"/>
    <w:rsid w:val="00A877EF"/>
    <w:rsid w:val="00A87C93"/>
    <w:rsid w:val="00A9012C"/>
    <w:rsid w:val="00A902CF"/>
    <w:rsid w:val="00A90ADB"/>
    <w:rsid w:val="00A90D09"/>
    <w:rsid w:val="00A91528"/>
    <w:rsid w:val="00A91B0E"/>
    <w:rsid w:val="00A91D93"/>
    <w:rsid w:val="00A91DAD"/>
    <w:rsid w:val="00A92016"/>
    <w:rsid w:val="00A923D3"/>
    <w:rsid w:val="00A932D0"/>
    <w:rsid w:val="00A9337A"/>
    <w:rsid w:val="00A93800"/>
    <w:rsid w:val="00A93EB6"/>
    <w:rsid w:val="00A942D2"/>
    <w:rsid w:val="00A94582"/>
    <w:rsid w:val="00A94775"/>
    <w:rsid w:val="00A947D1"/>
    <w:rsid w:val="00A948CD"/>
    <w:rsid w:val="00A94CD7"/>
    <w:rsid w:val="00A95715"/>
    <w:rsid w:val="00A96029"/>
    <w:rsid w:val="00A96099"/>
    <w:rsid w:val="00A96134"/>
    <w:rsid w:val="00A963E8"/>
    <w:rsid w:val="00A9651B"/>
    <w:rsid w:val="00A96E6C"/>
    <w:rsid w:val="00A96EA1"/>
    <w:rsid w:val="00A97908"/>
    <w:rsid w:val="00A97A93"/>
    <w:rsid w:val="00AA100F"/>
    <w:rsid w:val="00AA1440"/>
    <w:rsid w:val="00AA147B"/>
    <w:rsid w:val="00AA29A0"/>
    <w:rsid w:val="00AA2E2F"/>
    <w:rsid w:val="00AA3139"/>
    <w:rsid w:val="00AA3564"/>
    <w:rsid w:val="00AA3950"/>
    <w:rsid w:val="00AA3963"/>
    <w:rsid w:val="00AA3B20"/>
    <w:rsid w:val="00AA42BE"/>
    <w:rsid w:val="00AA5D21"/>
    <w:rsid w:val="00AA6647"/>
    <w:rsid w:val="00AA6AD9"/>
    <w:rsid w:val="00AB04A6"/>
    <w:rsid w:val="00AB06E2"/>
    <w:rsid w:val="00AB08E9"/>
    <w:rsid w:val="00AB0D12"/>
    <w:rsid w:val="00AB11A7"/>
    <w:rsid w:val="00AB13D9"/>
    <w:rsid w:val="00AB15A6"/>
    <w:rsid w:val="00AB1CF4"/>
    <w:rsid w:val="00AB1E67"/>
    <w:rsid w:val="00AB2401"/>
    <w:rsid w:val="00AB27D8"/>
    <w:rsid w:val="00AB2A91"/>
    <w:rsid w:val="00AB2F38"/>
    <w:rsid w:val="00AB3315"/>
    <w:rsid w:val="00AB3795"/>
    <w:rsid w:val="00AB3F76"/>
    <w:rsid w:val="00AB3F83"/>
    <w:rsid w:val="00AB40C6"/>
    <w:rsid w:val="00AB4900"/>
    <w:rsid w:val="00AB4D16"/>
    <w:rsid w:val="00AB5797"/>
    <w:rsid w:val="00AB68D3"/>
    <w:rsid w:val="00AB6B67"/>
    <w:rsid w:val="00AB74D8"/>
    <w:rsid w:val="00AB760F"/>
    <w:rsid w:val="00AB7CFF"/>
    <w:rsid w:val="00AC05EA"/>
    <w:rsid w:val="00AC0D6A"/>
    <w:rsid w:val="00AC0E85"/>
    <w:rsid w:val="00AC0FD0"/>
    <w:rsid w:val="00AC1300"/>
    <w:rsid w:val="00AC2179"/>
    <w:rsid w:val="00AC23A1"/>
    <w:rsid w:val="00AC2842"/>
    <w:rsid w:val="00AC2928"/>
    <w:rsid w:val="00AC2D4B"/>
    <w:rsid w:val="00AC3933"/>
    <w:rsid w:val="00AC3BF3"/>
    <w:rsid w:val="00AC3F54"/>
    <w:rsid w:val="00AC4410"/>
    <w:rsid w:val="00AC448A"/>
    <w:rsid w:val="00AC44D8"/>
    <w:rsid w:val="00AC4581"/>
    <w:rsid w:val="00AC4811"/>
    <w:rsid w:val="00AC51B0"/>
    <w:rsid w:val="00AC5759"/>
    <w:rsid w:val="00AC5F58"/>
    <w:rsid w:val="00AC5FBA"/>
    <w:rsid w:val="00AC6012"/>
    <w:rsid w:val="00AC632B"/>
    <w:rsid w:val="00AC6A13"/>
    <w:rsid w:val="00AC6B31"/>
    <w:rsid w:val="00AC6C1A"/>
    <w:rsid w:val="00AC6DAE"/>
    <w:rsid w:val="00AC73FB"/>
    <w:rsid w:val="00AC7915"/>
    <w:rsid w:val="00AD01FA"/>
    <w:rsid w:val="00AD06B1"/>
    <w:rsid w:val="00AD0895"/>
    <w:rsid w:val="00AD0B11"/>
    <w:rsid w:val="00AD0B23"/>
    <w:rsid w:val="00AD1654"/>
    <w:rsid w:val="00AD1BCF"/>
    <w:rsid w:val="00AD287A"/>
    <w:rsid w:val="00AD2A88"/>
    <w:rsid w:val="00AD3232"/>
    <w:rsid w:val="00AD38A5"/>
    <w:rsid w:val="00AD4771"/>
    <w:rsid w:val="00AD4805"/>
    <w:rsid w:val="00AD4D44"/>
    <w:rsid w:val="00AD57B8"/>
    <w:rsid w:val="00AD5CC0"/>
    <w:rsid w:val="00AD5E01"/>
    <w:rsid w:val="00AD602F"/>
    <w:rsid w:val="00AD7052"/>
    <w:rsid w:val="00AD7494"/>
    <w:rsid w:val="00AD75CC"/>
    <w:rsid w:val="00AE077E"/>
    <w:rsid w:val="00AE0A8A"/>
    <w:rsid w:val="00AE0FEC"/>
    <w:rsid w:val="00AE2A59"/>
    <w:rsid w:val="00AE2F26"/>
    <w:rsid w:val="00AE32DD"/>
    <w:rsid w:val="00AE3EBC"/>
    <w:rsid w:val="00AE40EE"/>
    <w:rsid w:val="00AE4291"/>
    <w:rsid w:val="00AE4408"/>
    <w:rsid w:val="00AE46B1"/>
    <w:rsid w:val="00AE559D"/>
    <w:rsid w:val="00AE5E64"/>
    <w:rsid w:val="00AE6F2F"/>
    <w:rsid w:val="00AE6FD9"/>
    <w:rsid w:val="00AE7127"/>
    <w:rsid w:val="00AE718E"/>
    <w:rsid w:val="00AE7A7D"/>
    <w:rsid w:val="00AE7A83"/>
    <w:rsid w:val="00AF068B"/>
    <w:rsid w:val="00AF06B8"/>
    <w:rsid w:val="00AF0AC4"/>
    <w:rsid w:val="00AF127D"/>
    <w:rsid w:val="00AF16F1"/>
    <w:rsid w:val="00AF176E"/>
    <w:rsid w:val="00AF2017"/>
    <w:rsid w:val="00AF310A"/>
    <w:rsid w:val="00AF3CBA"/>
    <w:rsid w:val="00AF3DAB"/>
    <w:rsid w:val="00AF400B"/>
    <w:rsid w:val="00AF4631"/>
    <w:rsid w:val="00AF4949"/>
    <w:rsid w:val="00AF4F99"/>
    <w:rsid w:val="00AF5012"/>
    <w:rsid w:val="00AF53AA"/>
    <w:rsid w:val="00AF5B46"/>
    <w:rsid w:val="00AF5F7B"/>
    <w:rsid w:val="00AF640D"/>
    <w:rsid w:val="00AF676D"/>
    <w:rsid w:val="00AF6ABE"/>
    <w:rsid w:val="00AF6DAB"/>
    <w:rsid w:val="00AF6FAD"/>
    <w:rsid w:val="00AF70BD"/>
    <w:rsid w:val="00AF7468"/>
    <w:rsid w:val="00B00586"/>
    <w:rsid w:val="00B0080A"/>
    <w:rsid w:val="00B00CFF"/>
    <w:rsid w:val="00B01390"/>
    <w:rsid w:val="00B01611"/>
    <w:rsid w:val="00B01B95"/>
    <w:rsid w:val="00B01C16"/>
    <w:rsid w:val="00B01E6F"/>
    <w:rsid w:val="00B02575"/>
    <w:rsid w:val="00B02932"/>
    <w:rsid w:val="00B02AE1"/>
    <w:rsid w:val="00B02F34"/>
    <w:rsid w:val="00B039FA"/>
    <w:rsid w:val="00B0422C"/>
    <w:rsid w:val="00B05D1F"/>
    <w:rsid w:val="00B069E0"/>
    <w:rsid w:val="00B06CC8"/>
    <w:rsid w:val="00B07373"/>
    <w:rsid w:val="00B07F50"/>
    <w:rsid w:val="00B10B68"/>
    <w:rsid w:val="00B11F22"/>
    <w:rsid w:val="00B12FFF"/>
    <w:rsid w:val="00B13715"/>
    <w:rsid w:val="00B138D7"/>
    <w:rsid w:val="00B141B8"/>
    <w:rsid w:val="00B141EB"/>
    <w:rsid w:val="00B150AE"/>
    <w:rsid w:val="00B15175"/>
    <w:rsid w:val="00B1562B"/>
    <w:rsid w:val="00B15653"/>
    <w:rsid w:val="00B15B89"/>
    <w:rsid w:val="00B16286"/>
    <w:rsid w:val="00B163FC"/>
    <w:rsid w:val="00B166C4"/>
    <w:rsid w:val="00B17EC6"/>
    <w:rsid w:val="00B2070A"/>
    <w:rsid w:val="00B207B8"/>
    <w:rsid w:val="00B20DCF"/>
    <w:rsid w:val="00B2159B"/>
    <w:rsid w:val="00B225CC"/>
    <w:rsid w:val="00B23880"/>
    <w:rsid w:val="00B23883"/>
    <w:rsid w:val="00B23B63"/>
    <w:rsid w:val="00B243E6"/>
    <w:rsid w:val="00B246CF"/>
    <w:rsid w:val="00B246E5"/>
    <w:rsid w:val="00B25032"/>
    <w:rsid w:val="00B25903"/>
    <w:rsid w:val="00B2613F"/>
    <w:rsid w:val="00B269DF"/>
    <w:rsid w:val="00B27757"/>
    <w:rsid w:val="00B27B1A"/>
    <w:rsid w:val="00B27C71"/>
    <w:rsid w:val="00B27DB2"/>
    <w:rsid w:val="00B312E0"/>
    <w:rsid w:val="00B31E21"/>
    <w:rsid w:val="00B31FEF"/>
    <w:rsid w:val="00B322B5"/>
    <w:rsid w:val="00B325CB"/>
    <w:rsid w:val="00B32846"/>
    <w:rsid w:val="00B32C4D"/>
    <w:rsid w:val="00B331EA"/>
    <w:rsid w:val="00B337A6"/>
    <w:rsid w:val="00B34747"/>
    <w:rsid w:val="00B34CC7"/>
    <w:rsid w:val="00B3532B"/>
    <w:rsid w:val="00B357E2"/>
    <w:rsid w:val="00B35D2D"/>
    <w:rsid w:val="00B35D30"/>
    <w:rsid w:val="00B36DA7"/>
    <w:rsid w:val="00B370C9"/>
    <w:rsid w:val="00B37247"/>
    <w:rsid w:val="00B379BD"/>
    <w:rsid w:val="00B37A75"/>
    <w:rsid w:val="00B37B25"/>
    <w:rsid w:val="00B40206"/>
    <w:rsid w:val="00B40710"/>
    <w:rsid w:val="00B40879"/>
    <w:rsid w:val="00B4093F"/>
    <w:rsid w:val="00B40EEE"/>
    <w:rsid w:val="00B4181E"/>
    <w:rsid w:val="00B41F07"/>
    <w:rsid w:val="00B42238"/>
    <w:rsid w:val="00B42638"/>
    <w:rsid w:val="00B428D2"/>
    <w:rsid w:val="00B42C05"/>
    <w:rsid w:val="00B431B0"/>
    <w:rsid w:val="00B4320A"/>
    <w:rsid w:val="00B43408"/>
    <w:rsid w:val="00B43BD7"/>
    <w:rsid w:val="00B445A7"/>
    <w:rsid w:val="00B45265"/>
    <w:rsid w:val="00B455F0"/>
    <w:rsid w:val="00B45C63"/>
    <w:rsid w:val="00B468D4"/>
    <w:rsid w:val="00B46BA7"/>
    <w:rsid w:val="00B47107"/>
    <w:rsid w:val="00B476E6"/>
    <w:rsid w:val="00B479B0"/>
    <w:rsid w:val="00B506CA"/>
    <w:rsid w:val="00B5097F"/>
    <w:rsid w:val="00B50A0E"/>
    <w:rsid w:val="00B5114E"/>
    <w:rsid w:val="00B514F1"/>
    <w:rsid w:val="00B518A1"/>
    <w:rsid w:val="00B51BBA"/>
    <w:rsid w:val="00B5230E"/>
    <w:rsid w:val="00B52772"/>
    <w:rsid w:val="00B52997"/>
    <w:rsid w:val="00B52DA8"/>
    <w:rsid w:val="00B534E0"/>
    <w:rsid w:val="00B538D3"/>
    <w:rsid w:val="00B53A81"/>
    <w:rsid w:val="00B541E7"/>
    <w:rsid w:val="00B550B8"/>
    <w:rsid w:val="00B55BB8"/>
    <w:rsid w:val="00B55DBC"/>
    <w:rsid w:val="00B560D5"/>
    <w:rsid w:val="00B5610F"/>
    <w:rsid w:val="00B5645E"/>
    <w:rsid w:val="00B568B4"/>
    <w:rsid w:val="00B56A6B"/>
    <w:rsid w:val="00B57261"/>
    <w:rsid w:val="00B573CB"/>
    <w:rsid w:val="00B57429"/>
    <w:rsid w:val="00B57930"/>
    <w:rsid w:val="00B57D4D"/>
    <w:rsid w:val="00B600D1"/>
    <w:rsid w:val="00B605B1"/>
    <w:rsid w:val="00B60AC5"/>
    <w:rsid w:val="00B610BD"/>
    <w:rsid w:val="00B61625"/>
    <w:rsid w:val="00B618D9"/>
    <w:rsid w:val="00B6223C"/>
    <w:rsid w:val="00B6237C"/>
    <w:rsid w:val="00B62ACF"/>
    <w:rsid w:val="00B630C4"/>
    <w:rsid w:val="00B6355A"/>
    <w:rsid w:val="00B639BA"/>
    <w:rsid w:val="00B64578"/>
    <w:rsid w:val="00B64880"/>
    <w:rsid w:val="00B6489A"/>
    <w:rsid w:val="00B64C00"/>
    <w:rsid w:val="00B65818"/>
    <w:rsid w:val="00B661D5"/>
    <w:rsid w:val="00B669A1"/>
    <w:rsid w:val="00B66BAB"/>
    <w:rsid w:val="00B670FC"/>
    <w:rsid w:val="00B671C2"/>
    <w:rsid w:val="00B67349"/>
    <w:rsid w:val="00B6743B"/>
    <w:rsid w:val="00B676A2"/>
    <w:rsid w:val="00B67B46"/>
    <w:rsid w:val="00B67D34"/>
    <w:rsid w:val="00B7020A"/>
    <w:rsid w:val="00B71CEC"/>
    <w:rsid w:val="00B71E44"/>
    <w:rsid w:val="00B71F7E"/>
    <w:rsid w:val="00B71FE7"/>
    <w:rsid w:val="00B7206C"/>
    <w:rsid w:val="00B7256B"/>
    <w:rsid w:val="00B72722"/>
    <w:rsid w:val="00B73437"/>
    <w:rsid w:val="00B7360E"/>
    <w:rsid w:val="00B73C77"/>
    <w:rsid w:val="00B748B7"/>
    <w:rsid w:val="00B750C1"/>
    <w:rsid w:val="00B751C7"/>
    <w:rsid w:val="00B7545D"/>
    <w:rsid w:val="00B7634F"/>
    <w:rsid w:val="00B768AD"/>
    <w:rsid w:val="00B7795C"/>
    <w:rsid w:val="00B77C85"/>
    <w:rsid w:val="00B77EC6"/>
    <w:rsid w:val="00B77F79"/>
    <w:rsid w:val="00B80256"/>
    <w:rsid w:val="00B80425"/>
    <w:rsid w:val="00B808EA"/>
    <w:rsid w:val="00B810C6"/>
    <w:rsid w:val="00B8261B"/>
    <w:rsid w:val="00B82F4E"/>
    <w:rsid w:val="00B8355D"/>
    <w:rsid w:val="00B83957"/>
    <w:rsid w:val="00B83CA7"/>
    <w:rsid w:val="00B83E15"/>
    <w:rsid w:val="00B84788"/>
    <w:rsid w:val="00B86606"/>
    <w:rsid w:val="00B86EB6"/>
    <w:rsid w:val="00B86F66"/>
    <w:rsid w:val="00B874BC"/>
    <w:rsid w:val="00B876F7"/>
    <w:rsid w:val="00B87B2B"/>
    <w:rsid w:val="00B901AB"/>
    <w:rsid w:val="00B913FF"/>
    <w:rsid w:val="00B91507"/>
    <w:rsid w:val="00B91704"/>
    <w:rsid w:val="00B917FE"/>
    <w:rsid w:val="00B91E15"/>
    <w:rsid w:val="00B92038"/>
    <w:rsid w:val="00B92548"/>
    <w:rsid w:val="00B92EE6"/>
    <w:rsid w:val="00B9311C"/>
    <w:rsid w:val="00B93674"/>
    <w:rsid w:val="00B93854"/>
    <w:rsid w:val="00B939F0"/>
    <w:rsid w:val="00B93B4D"/>
    <w:rsid w:val="00B94AB7"/>
    <w:rsid w:val="00B94BCD"/>
    <w:rsid w:val="00B94BE3"/>
    <w:rsid w:val="00B94CBB"/>
    <w:rsid w:val="00B9506E"/>
    <w:rsid w:val="00B96DB8"/>
    <w:rsid w:val="00B970BA"/>
    <w:rsid w:val="00B974D5"/>
    <w:rsid w:val="00B978FE"/>
    <w:rsid w:val="00B97CC7"/>
    <w:rsid w:val="00B97F1C"/>
    <w:rsid w:val="00BA01BE"/>
    <w:rsid w:val="00BA0A30"/>
    <w:rsid w:val="00BA0FA6"/>
    <w:rsid w:val="00BA14F6"/>
    <w:rsid w:val="00BA2259"/>
    <w:rsid w:val="00BA22B8"/>
    <w:rsid w:val="00BA25F1"/>
    <w:rsid w:val="00BA262F"/>
    <w:rsid w:val="00BA2758"/>
    <w:rsid w:val="00BA2BF4"/>
    <w:rsid w:val="00BA4261"/>
    <w:rsid w:val="00BA4863"/>
    <w:rsid w:val="00BA4971"/>
    <w:rsid w:val="00BA4DDE"/>
    <w:rsid w:val="00BA5DBD"/>
    <w:rsid w:val="00BA5E4A"/>
    <w:rsid w:val="00BA5F92"/>
    <w:rsid w:val="00BA6CE7"/>
    <w:rsid w:val="00BA6DF9"/>
    <w:rsid w:val="00BA6FCC"/>
    <w:rsid w:val="00BA7005"/>
    <w:rsid w:val="00BA75C4"/>
    <w:rsid w:val="00BA7D0A"/>
    <w:rsid w:val="00BA7D2F"/>
    <w:rsid w:val="00BB0C8C"/>
    <w:rsid w:val="00BB1DDB"/>
    <w:rsid w:val="00BB1E16"/>
    <w:rsid w:val="00BB2063"/>
    <w:rsid w:val="00BB2112"/>
    <w:rsid w:val="00BB2F53"/>
    <w:rsid w:val="00BB33FF"/>
    <w:rsid w:val="00BB3A85"/>
    <w:rsid w:val="00BB4859"/>
    <w:rsid w:val="00BB49DC"/>
    <w:rsid w:val="00BB4C0D"/>
    <w:rsid w:val="00BB51C2"/>
    <w:rsid w:val="00BB52D9"/>
    <w:rsid w:val="00BB557E"/>
    <w:rsid w:val="00BB55E4"/>
    <w:rsid w:val="00BB5C67"/>
    <w:rsid w:val="00BB5F8C"/>
    <w:rsid w:val="00BB6BDA"/>
    <w:rsid w:val="00BB71D2"/>
    <w:rsid w:val="00BB75F4"/>
    <w:rsid w:val="00BB7A9C"/>
    <w:rsid w:val="00BC0AA1"/>
    <w:rsid w:val="00BC1528"/>
    <w:rsid w:val="00BC18D1"/>
    <w:rsid w:val="00BC1CF9"/>
    <w:rsid w:val="00BC229D"/>
    <w:rsid w:val="00BC2708"/>
    <w:rsid w:val="00BC2E95"/>
    <w:rsid w:val="00BC312C"/>
    <w:rsid w:val="00BC33AC"/>
    <w:rsid w:val="00BC3B55"/>
    <w:rsid w:val="00BC47ED"/>
    <w:rsid w:val="00BC48BD"/>
    <w:rsid w:val="00BC4AED"/>
    <w:rsid w:val="00BC51B0"/>
    <w:rsid w:val="00BC5802"/>
    <w:rsid w:val="00BC61E6"/>
    <w:rsid w:val="00BC706A"/>
    <w:rsid w:val="00BC743A"/>
    <w:rsid w:val="00BC792C"/>
    <w:rsid w:val="00BD08A5"/>
    <w:rsid w:val="00BD0D16"/>
    <w:rsid w:val="00BD1037"/>
    <w:rsid w:val="00BD1164"/>
    <w:rsid w:val="00BD144C"/>
    <w:rsid w:val="00BD16E3"/>
    <w:rsid w:val="00BD1F6C"/>
    <w:rsid w:val="00BD2618"/>
    <w:rsid w:val="00BD2C35"/>
    <w:rsid w:val="00BD385B"/>
    <w:rsid w:val="00BD3B2F"/>
    <w:rsid w:val="00BD486D"/>
    <w:rsid w:val="00BD5BC6"/>
    <w:rsid w:val="00BD6145"/>
    <w:rsid w:val="00BD63B2"/>
    <w:rsid w:val="00BD676F"/>
    <w:rsid w:val="00BD6910"/>
    <w:rsid w:val="00BD6F74"/>
    <w:rsid w:val="00BD71B5"/>
    <w:rsid w:val="00BD7D42"/>
    <w:rsid w:val="00BD7D56"/>
    <w:rsid w:val="00BE043D"/>
    <w:rsid w:val="00BE1323"/>
    <w:rsid w:val="00BE2128"/>
    <w:rsid w:val="00BE416C"/>
    <w:rsid w:val="00BE4554"/>
    <w:rsid w:val="00BE4784"/>
    <w:rsid w:val="00BE4D5C"/>
    <w:rsid w:val="00BE4E67"/>
    <w:rsid w:val="00BE4FC7"/>
    <w:rsid w:val="00BE5227"/>
    <w:rsid w:val="00BE5377"/>
    <w:rsid w:val="00BE54CE"/>
    <w:rsid w:val="00BE5D4E"/>
    <w:rsid w:val="00BE6AA9"/>
    <w:rsid w:val="00BE6F31"/>
    <w:rsid w:val="00BE6FD8"/>
    <w:rsid w:val="00BE74F1"/>
    <w:rsid w:val="00BE7541"/>
    <w:rsid w:val="00BE77AD"/>
    <w:rsid w:val="00BE7977"/>
    <w:rsid w:val="00BE7CAA"/>
    <w:rsid w:val="00BE7E6B"/>
    <w:rsid w:val="00BF0426"/>
    <w:rsid w:val="00BF05D1"/>
    <w:rsid w:val="00BF0967"/>
    <w:rsid w:val="00BF09E2"/>
    <w:rsid w:val="00BF1142"/>
    <w:rsid w:val="00BF1670"/>
    <w:rsid w:val="00BF260E"/>
    <w:rsid w:val="00BF2C67"/>
    <w:rsid w:val="00BF40F9"/>
    <w:rsid w:val="00BF4B3F"/>
    <w:rsid w:val="00BF53B4"/>
    <w:rsid w:val="00BF53D5"/>
    <w:rsid w:val="00BF56AA"/>
    <w:rsid w:val="00BF59F8"/>
    <w:rsid w:val="00BF5A18"/>
    <w:rsid w:val="00BF5C8B"/>
    <w:rsid w:val="00BF604D"/>
    <w:rsid w:val="00BF69CD"/>
    <w:rsid w:val="00BF6AB2"/>
    <w:rsid w:val="00BF7090"/>
    <w:rsid w:val="00BF7199"/>
    <w:rsid w:val="00BF798A"/>
    <w:rsid w:val="00BF79B2"/>
    <w:rsid w:val="00BF7F95"/>
    <w:rsid w:val="00C00BF7"/>
    <w:rsid w:val="00C00DC4"/>
    <w:rsid w:val="00C00F27"/>
    <w:rsid w:val="00C011D6"/>
    <w:rsid w:val="00C017CD"/>
    <w:rsid w:val="00C01AEB"/>
    <w:rsid w:val="00C01C8D"/>
    <w:rsid w:val="00C02355"/>
    <w:rsid w:val="00C02E57"/>
    <w:rsid w:val="00C02F05"/>
    <w:rsid w:val="00C03997"/>
    <w:rsid w:val="00C043AC"/>
    <w:rsid w:val="00C0491B"/>
    <w:rsid w:val="00C04BB9"/>
    <w:rsid w:val="00C04D39"/>
    <w:rsid w:val="00C04E7A"/>
    <w:rsid w:val="00C05345"/>
    <w:rsid w:val="00C0573D"/>
    <w:rsid w:val="00C06106"/>
    <w:rsid w:val="00C0689C"/>
    <w:rsid w:val="00C0786F"/>
    <w:rsid w:val="00C07A47"/>
    <w:rsid w:val="00C1088D"/>
    <w:rsid w:val="00C108BE"/>
    <w:rsid w:val="00C10EE6"/>
    <w:rsid w:val="00C112A2"/>
    <w:rsid w:val="00C118E9"/>
    <w:rsid w:val="00C11C44"/>
    <w:rsid w:val="00C1287F"/>
    <w:rsid w:val="00C12C44"/>
    <w:rsid w:val="00C12CF0"/>
    <w:rsid w:val="00C12FC0"/>
    <w:rsid w:val="00C132C7"/>
    <w:rsid w:val="00C13553"/>
    <w:rsid w:val="00C14119"/>
    <w:rsid w:val="00C141DB"/>
    <w:rsid w:val="00C14672"/>
    <w:rsid w:val="00C147CF"/>
    <w:rsid w:val="00C1505A"/>
    <w:rsid w:val="00C16224"/>
    <w:rsid w:val="00C162F1"/>
    <w:rsid w:val="00C16F27"/>
    <w:rsid w:val="00C17252"/>
    <w:rsid w:val="00C17970"/>
    <w:rsid w:val="00C17C0B"/>
    <w:rsid w:val="00C20CA0"/>
    <w:rsid w:val="00C225CC"/>
    <w:rsid w:val="00C22814"/>
    <w:rsid w:val="00C22863"/>
    <w:rsid w:val="00C239EF"/>
    <w:rsid w:val="00C23A26"/>
    <w:rsid w:val="00C23C98"/>
    <w:rsid w:val="00C23EBC"/>
    <w:rsid w:val="00C2414A"/>
    <w:rsid w:val="00C255FA"/>
    <w:rsid w:val="00C25652"/>
    <w:rsid w:val="00C262EC"/>
    <w:rsid w:val="00C26A47"/>
    <w:rsid w:val="00C26D1E"/>
    <w:rsid w:val="00C26F7A"/>
    <w:rsid w:val="00C2752A"/>
    <w:rsid w:val="00C2799F"/>
    <w:rsid w:val="00C279A4"/>
    <w:rsid w:val="00C307B7"/>
    <w:rsid w:val="00C30950"/>
    <w:rsid w:val="00C30D51"/>
    <w:rsid w:val="00C314B8"/>
    <w:rsid w:val="00C31751"/>
    <w:rsid w:val="00C3193F"/>
    <w:rsid w:val="00C3233C"/>
    <w:rsid w:val="00C324CD"/>
    <w:rsid w:val="00C32B18"/>
    <w:rsid w:val="00C330F2"/>
    <w:rsid w:val="00C33268"/>
    <w:rsid w:val="00C33B0E"/>
    <w:rsid w:val="00C33C19"/>
    <w:rsid w:val="00C33DC2"/>
    <w:rsid w:val="00C343FA"/>
    <w:rsid w:val="00C34962"/>
    <w:rsid w:val="00C34B51"/>
    <w:rsid w:val="00C35DF9"/>
    <w:rsid w:val="00C36D63"/>
    <w:rsid w:val="00C36EC0"/>
    <w:rsid w:val="00C37F28"/>
    <w:rsid w:val="00C40577"/>
    <w:rsid w:val="00C40B33"/>
    <w:rsid w:val="00C40E3D"/>
    <w:rsid w:val="00C41496"/>
    <w:rsid w:val="00C41575"/>
    <w:rsid w:val="00C41B5B"/>
    <w:rsid w:val="00C42217"/>
    <w:rsid w:val="00C424D7"/>
    <w:rsid w:val="00C4257E"/>
    <w:rsid w:val="00C42E26"/>
    <w:rsid w:val="00C43B99"/>
    <w:rsid w:val="00C43BFF"/>
    <w:rsid w:val="00C449C5"/>
    <w:rsid w:val="00C44C65"/>
    <w:rsid w:val="00C45675"/>
    <w:rsid w:val="00C45F8C"/>
    <w:rsid w:val="00C4624A"/>
    <w:rsid w:val="00C4665C"/>
    <w:rsid w:val="00C4750D"/>
    <w:rsid w:val="00C479BB"/>
    <w:rsid w:val="00C479EE"/>
    <w:rsid w:val="00C47A37"/>
    <w:rsid w:val="00C47B7F"/>
    <w:rsid w:val="00C5031F"/>
    <w:rsid w:val="00C503B7"/>
    <w:rsid w:val="00C50AA3"/>
    <w:rsid w:val="00C50AC9"/>
    <w:rsid w:val="00C50ECF"/>
    <w:rsid w:val="00C50F39"/>
    <w:rsid w:val="00C516B5"/>
    <w:rsid w:val="00C51FD9"/>
    <w:rsid w:val="00C52393"/>
    <w:rsid w:val="00C535E4"/>
    <w:rsid w:val="00C53B4B"/>
    <w:rsid w:val="00C53E14"/>
    <w:rsid w:val="00C53F20"/>
    <w:rsid w:val="00C54716"/>
    <w:rsid w:val="00C54CCE"/>
    <w:rsid w:val="00C55EDB"/>
    <w:rsid w:val="00C55EEC"/>
    <w:rsid w:val="00C561A9"/>
    <w:rsid w:val="00C56C35"/>
    <w:rsid w:val="00C56D1E"/>
    <w:rsid w:val="00C56E13"/>
    <w:rsid w:val="00C57B37"/>
    <w:rsid w:val="00C603E1"/>
    <w:rsid w:val="00C60657"/>
    <w:rsid w:val="00C60CCA"/>
    <w:rsid w:val="00C60FE1"/>
    <w:rsid w:val="00C6108C"/>
    <w:rsid w:val="00C617B8"/>
    <w:rsid w:val="00C61828"/>
    <w:rsid w:val="00C618E4"/>
    <w:rsid w:val="00C61A11"/>
    <w:rsid w:val="00C61FD6"/>
    <w:rsid w:val="00C62F05"/>
    <w:rsid w:val="00C63172"/>
    <w:rsid w:val="00C63284"/>
    <w:rsid w:val="00C641CB"/>
    <w:rsid w:val="00C64286"/>
    <w:rsid w:val="00C64BE2"/>
    <w:rsid w:val="00C64D21"/>
    <w:rsid w:val="00C65090"/>
    <w:rsid w:val="00C66122"/>
    <w:rsid w:val="00C6675B"/>
    <w:rsid w:val="00C669E3"/>
    <w:rsid w:val="00C676D3"/>
    <w:rsid w:val="00C678B2"/>
    <w:rsid w:val="00C67AD4"/>
    <w:rsid w:val="00C67C08"/>
    <w:rsid w:val="00C67D30"/>
    <w:rsid w:val="00C70031"/>
    <w:rsid w:val="00C70531"/>
    <w:rsid w:val="00C707E1"/>
    <w:rsid w:val="00C70C3C"/>
    <w:rsid w:val="00C70C89"/>
    <w:rsid w:val="00C70DA2"/>
    <w:rsid w:val="00C711C1"/>
    <w:rsid w:val="00C7139A"/>
    <w:rsid w:val="00C7167E"/>
    <w:rsid w:val="00C71919"/>
    <w:rsid w:val="00C71A00"/>
    <w:rsid w:val="00C7214E"/>
    <w:rsid w:val="00C72DA3"/>
    <w:rsid w:val="00C737ED"/>
    <w:rsid w:val="00C73C4D"/>
    <w:rsid w:val="00C73F2C"/>
    <w:rsid w:val="00C7465C"/>
    <w:rsid w:val="00C747BA"/>
    <w:rsid w:val="00C74C8C"/>
    <w:rsid w:val="00C74FFE"/>
    <w:rsid w:val="00C75183"/>
    <w:rsid w:val="00C7547B"/>
    <w:rsid w:val="00C75543"/>
    <w:rsid w:val="00C765D0"/>
    <w:rsid w:val="00C766C6"/>
    <w:rsid w:val="00C770B9"/>
    <w:rsid w:val="00C77665"/>
    <w:rsid w:val="00C77A7B"/>
    <w:rsid w:val="00C77E82"/>
    <w:rsid w:val="00C80CD9"/>
    <w:rsid w:val="00C80FE2"/>
    <w:rsid w:val="00C812CF"/>
    <w:rsid w:val="00C814B6"/>
    <w:rsid w:val="00C8152E"/>
    <w:rsid w:val="00C8185E"/>
    <w:rsid w:val="00C819A5"/>
    <w:rsid w:val="00C81B01"/>
    <w:rsid w:val="00C81C10"/>
    <w:rsid w:val="00C81CE0"/>
    <w:rsid w:val="00C83309"/>
    <w:rsid w:val="00C837A4"/>
    <w:rsid w:val="00C843FF"/>
    <w:rsid w:val="00C84690"/>
    <w:rsid w:val="00C84DEE"/>
    <w:rsid w:val="00C84E5F"/>
    <w:rsid w:val="00C84EEE"/>
    <w:rsid w:val="00C85685"/>
    <w:rsid w:val="00C8577C"/>
    <w:rsid w:val="00C86D05"/>
    <w:rsid w:val="00C874BE"/>
    <w:rsid w:val="00C87A18"/>
    <w:rsid w:val="00C87F22"/>
    <w:rsid w:val="00C9014F"/>
    <w:rsid w:val="00C90309"/>
    <w:rsid w:val="00C91086"/>
    <w:rsid w:val="00C911CE"/>
    <w:rsid w:val="00C914F9"/>
    <w:rsid w:val="00C91D4D"/>
    <w:rsid w:val="00C91D8A"/>
    <w:rsid w:val="00C92015"/>
    <w:rsid w:val="00C925C4"/>
    <w:rsid w:val="00C9298D"/>
    <w:rsid w:val="00C92DD2"/>
    <w:rsid w:val="00C93003"/>
    <w:rsid w:val="00C9330D"/>
    <w:rsid w:val="00C936BB"/>
    <w:rsid w:val="00C93FED"/>
    <w:rsid w:val="00C9484A"/>
    <w:rsid w:val="00C94EAE"/>
    <w:rsid w:val="00C955AA"/>
    <w:rsid w:val="00C95DE0"/>
    <w:rsid w:val="00C9697B"/>
    <w:rsid w:val="00C970A5"/>
    <w:rsid w:val="00C97169"/>
    <w:rsid w:val="00C972F2"/>
    <w:rsid w:val="00C97316"/>
    <w:rsid w:val="00C9746E"/>
    <w:rsid w:val="00C9782D"/>
    <w:rsid w:val="00C97C6A"/>
    <w:rsid w:val="00CA0E78"/>
    <w:rsid w:val="00CA1B5A"/>
    <w:rsid w:val="00CA1C94"/>
    <w:rsid w:val="00CA2115"/>
    <w:rsid w:val="00CA22CA"/>
    <w:rsid w:val="00CA23ED"/>
    <w:rsid w:val="00CA29A4"/>
    <w:rsid w:val="00CA2B4C"/>
    <w:rsid w:val="00CA2C56"/>
    <w:rsid w:val="00CA3A79"/>
    <w:rsid w:val="00CA3C6B"/>
    <w:rsid w:val="00CA3E22"/>
    <w:rsid w:val="00CA4332"/>
    <w:rsid w:val="00CA48B7"/>
    <w:rsid w:val="00CA4C60"/>
    <w:rsid w:val="00CA57E3"/>
    <w:rsid w:val="00CA62C5"/>
    <w:rsid w:val="00CA6312"/>
    <w:rsid w:val="00CA72AC"/>
    <w:rsid w:val="00CB0EBB"/>
    <w:rsid w:val="00CB19B7"/>
    <w:rsid w:val="00CB20DE"/>
    <w:rsid w:val="00CB2500"/>
    <w:rsid w:val="00CB2923"/>
    <w:rsid w:val="00CB2DDF"/>
    <w:rsid w:val="00CB2EE9"/>
    <w:rsid w:val="00CB390A"/>
    <w:rsid w:val="00CB432A"/>
    <w:rsid w:val="00CB45E7"/>
    <w:rsid w:val="00CB4727"/>
    <w:rsid w:val="00CB4740"/>
    <w:rsid w:val="00CB4B60"/>
    <w:rsid w:val="00CB4C49"/>
    <w:rsid w:val="00CB4DF5"/>
    <w:rsid w:val="00CB5677"/>
    <w:rsid w:val="00CB59AE"/>
    <w:rsid w:val="00CB5F93"/>
    <w:rsid w:val="00CB6461"/>
    <w:rsid w:val="00CB6766"/>
    <w:rsid w:val="00CB6B51"/>
    <w:rsid w:val="00CC0223"/>
    <w:rsid w:val="00CC06E2"/>
    <w:rsid w:val="00CC0A59"/>
    <w:rsid w:val="00CC1884"/>
    <w:rsid w:val="00CC197E"/>
    <w:rsid w:val="00CC1EF7"/>
    <w:rsid w:val="00CC33F0"/>
    <w:rsid w:val="00CC3482"/>
    <w:rsid w:val="00CC362A"/>
    <w:rsid w:val="00CC4009"/>
    <w:rsid w:val="00CC43B8"/>
    <w:rsid w:val="00CC558C"/>
    <w:rsid w:val="00CC57C1"/>
    <w:rsid w:val="00CC745C"/>
    <w:rsid w:val="00CC75A4"/>
    <w:rsid w:val="00CC7FA7"/>
    <w:rsid w:val="00CD041A"/>
    <w:rsid w:val="00CD0680"/>
    <w:rsid w:val="00CD0CA5"/>
    <w:rsid w:val="00CD1833"/>
    <w:rsid w:val="00CD18CD"/>
    <w:rsid w:val="00CD1A35"/>
    <w:rsid w:val="00CD204F"/>
    <w:rsid w:val="00CD2119"/>
    <w:rsid w:val="00CD255C"/>
    <w:rsid w:val="00CD25D9"/>
    <w:rsid w:val="00CD30A1"/>
    <w:rsid w:val="00CD3E7A"/>
    <w:rsid w:val="00CD4E94"/>
    <w:rsid w:val="00CD5378"/>
    <w:rsid w:val="00CD56A0"/>
    <w:rsid w:val="00CD619A"/>
    <w:rsid w:val="00CD7170"/>
    <w:rsid w:val="00CD75F9"/>
    <w:rsid w:val="00CD781A"/>
    <w:rsid w:val="00CD7AA7"/>
    <w:rsid w:val="00CE042C"/>
    <w:rsid w:val="00CE09D9"/>
    <w:rsid w:val="00CE1E9A"/>
    <w:rsid w:val="00CE413D"/>
    <w:rsid w:val="00CE4734"/>
    <w:rsid w:val="00CE500F"/>
    <w:rsid w:val="00CE566B"/>
    <w:rsid w:val="00CE5917"/>
    <w:rsid w:val="00CE5D9B"/>
    <w:rsid w:val="00CE68A4"/>
    <w:rsid w:val="00CE6D81"/>
    <w:rsid w:val="00CE705D"/>
    <w:rsid w:val="00CE784A"/>
    <w:rsid w:val="00CF00E4"/>
    <w:rsid w:val="00CF0B81"/>
    <w:rsid w:val="00CF100A"/>
    <w:rsid w:val="00CF1353"/>
    <w:rsid w:val="00CF2C2C"/>
    <w:rsid w:val="00CF3C54"/>
    <w:rsid w:val="00CF3C94"/>
    <w:rsid w:val="00CF423E"/>
    <w:rsid w:val="00CF505A"/>
    <w:rsid w:val="00CF50E9"/>
    <w:rsid w:val="00CF531A"/>
    <w:rsid w:val="00CF6128"/>
    <w:rsid w:val="00CF654C"/>
    <w:rsid w:val="00D003DE"/>
    <w:rsid w:val="00D00653"/>
    <w:rsid w:val="00D008BD"/>
    <w:rsid w:val="00D009D1"/>
    <w:rsid w:val="00D013F2"/>
    <w:rsid w:val="00D015C3"/>
    <w:rsid w:val="00D0198E"/>
    <w:rsid w:val="00D019F6"/>
    <w:rsid w:val="00D02240"/>
    <w:rsid w:val="00D02313"/>
    <w:rsid w:val="00D0240B"/>
    <w:rsid w:val="00D02CD6"/>
    <w:rsid w:val="00D03196"/>
    <w:rsid w:val="00D035F8"/>
    <w:rsid w:val="00D03E5D"/>
    <w:rsid w:val="00D049DE"/>
    <w:rsid w:val="00D04E34"/>
    <w:rsid w:val="00D04F6F"/>
    <w:rsid w:val="00D05847"/>
    <w:rsid w:val="00D05D18"/>
    <w:rsid w:val="00D05E9A"/>
    <w:rsid w:val="00D068C8"/>
    <w:rsid w:val="00D075BD"/>
    <w:rsid w:val="00D07633"/>
    <w:rsid w:val="00D0791C"/>
    <w:rsid w:val="00D103E0"/>
    <w:rsid w:val="00D10461"/>
    <w:rsid w:val="00D10B7A"/>
    <w:rsid w:val="00D10DEA"/>
    <w:rsid w:val="00D11053"/>
    <w:rsid w:val="00D11BE3"/>
    <w:rsid w:val="00D11C49"/>
    <w:rsid w:val="00D12427"/>
    <w:rsid w:val="00D124EA"/>
    <w:rsid w:val="00D12BE1"/>
    <w:rsid w:val="00D1354A"/>
    <w:rsid w:val="00D13778"/>
    <w:rsid w:val="00D14210"/>
    <w:rsid w:val="00D14A9C"/>
    <w:rsid w:val="00D14D3E"/>
    <w:rsid w:val="00D14DD7"/>
    <w:rsid w:val="00D14F91"/>
    <w:rsid w:val="00D14FFF"/>
    <w:rsid w:val="00D1533C"/>
    <w:rsid w:val="00D157BD"/>
    <w:rsid w:val="00D1586E"/>
    <w:rsid w:val="00D15B49"/>
    <w:rsid w:val="00D170BC"/>
    <w:rsid w:val="00D179E6"/>
    <w:rsid w:val="00D17C34"/>
    <w:rsid w:val="00D20C4B"/>
    <w:rsid w:val="00D20ECD"/>
    <w:rsid w:val="00D21671"/>
    <w:rsid w:val="00D21DCE"/>
    <w:rsid w:val="00D220F5"/>
    <w:rsid w:val="00D222A1"/>
    <w:rsid w:val="00D2264F"/>
    <w:rsid w:val="00D231AD"/>
    <w:rsid w:val="00D23480"/>
    <w:rsid w:val="00D235D2"/>
    <w:rsid w:val="00D236A5"/>
    <w:rsid w:val="00D24407"/>
    <w:rsid w:val="00D24576"/>
    <w:rsid w:val="00D2490F"/>
    <w:rsid w:val="00D24B67"/>
    <w:rsid w:val="00D24C77"/>
    <w:rsid w:val="00D2612D"/>
    <w:rsid w:val="00D26468"/>
    <w:rsid w:val="00D2748F"/>
    <w:rsid w:val="00D27AD7"/>
    <w:rsid w:val="00D301DD"/>
    <w:rsid w:val="00D304EC"/>
    <w:rsid w:val="00D30684"/>
    <w:rsid w:val="00D30D24"/>
    <w:rsid w:val="00D311A0"/>
    <w:rsid w:val="00D31433"/>
    <w:rsid w:val="00D316A8"/>
    <w:rsid w:val="00D3185A"/>
    <w:rsid w:val="00D31CED"/>
    <w:rsid w:val="00D31ED8"/>
    <w:rsid w:val="00D3237D"/>
    <w:rsid w:val="00D32517"/>
    <w:rsid w:val="00D3330F"/>
    <w:rsid w:val="00D3332B"/>
    <w:rsid w:val="00D33429"/>
    <w:rsid w:val="00D334BA"/>
    <w:rsid w:val="00D33FEA"/>
    <w:rsid w:val="00D34BAF"/>
    <w:rsid w:val="00D35010"/>
    <w:rsid w:val="00D36238"/>
    <w:rsid w:val="00D364B7"/>
    <w:rsid w:val="00D376C8"/>
    <w:rsid w:val="00D37744"/>
    <w:rsid w:val="00D3778F"/>
    <w:rsid w:val="00D37F5F"/>
    <w:rsid w:val="00D412C5"/>
    <w:rsid w:val="00D4176E"/>
    <w:rsid w:val="00D41DF5"/>
    <w:rsid w:val="00D41F71"/>
    <w:rsid w:val="00D42333"/>
    <w:rsid w:val="00D424FD"/>
    <w:rsid w:val="00D4283E"/>
    <w:rsid w:val="00D428C9"/>
    <w:rsid w:val="00D42914"/>
    <w:rsid w:val="00D42A66"/>
    <w:rsid w:val="00D43089"/>
    <w:rsid w:val="00D43340"/>
    <w:rsid w:val="00D4374C"/>
    <w:rsid w:val="00D438EE"/>
    <w:rsid w:val="00D43DE6"/>
    <w:rsid w:val="00D43E79"/>
    <w:rsid w:val="00D441D7"/>
    <w:rsid w:val="00D448F8"/>
    <w:rsid w:val="00D452E0"/>
    <w:rsid w:val="00D456C2"/>
    <w:rsid w:val="00D45AA1"/>
    <w:rsid w:val="00D45FBB"/>
    <w:rsid w:val="00D4640F"/>
    <w:rsid w:val="00D46DCA"/>
    <w:rsid w:val="00D477ED"/>
    <w:rsid w:val="00D47F9A"/>
    <w:rsid w:val="00D50123"/>
    <w:rsid w:val="00D50D7E"/>
    <w:rsid w:val="00D50FE5"/>
    <w:rsid w:val="00D5149E"/>
    <w:rsid w:val="00D5158E"/>
    <w:rsid w:val="00D51A9F"/>
    <w:rsid w:val="00D52CD6"/>
    <w:rsid w:val="00D535DC"/>
    <w:rsid w:val="00D542E6"/>
    <w:rsid w:val="00D548B3"/>
    <w:rsid w:val="00D54E7D"/>
    <w:rsid w:val="00D54EEF"/>
    <w:rsid w:val="00D55367"/>
    <w:rsid w:val="00D55444"/>
    <w:rsid w:val="00D55E49"/>
    <w:rsid w:val="00D5638A"/>
    <w:rsid w:val="00D56B1E"/>
    <w:rsid w:val="00D56DCA"/>
    <w:rsid w:val="00D570EB"/>
    <w:rsid w:val="00D5748A"/>
    <w:rsid w:val="00D57E2D"/>
    <w:rsid w:val="00D60FB7"/>
    <w:rsid w:val="00D61F13"/>
    <w:rsid w:val="00D620B7"/>
    <w:rsid w:val="00D6214F"/>
    <w:rsid w:val="00D639C1"/>
    <w:rsid w:val="00D63E10"/>
    <w:rsid w:val="00D63E2B"/>
    <w:rsid w:val="00D64E91"/>
    <w:rsid w:val="00D65005"/>
    <w:rsid w:val="00D65134"/>
    <w:rsid w:val="00D656EE"/>
    <w:rsid w:val="00D66E0F"/>
    <w:rsid w:val="00D66FDE"/>
    <w:rsid w:val="00D66FFE"/>
    <w:rsid w:val="00D67436"/>
    <w:rsid w:val="00D67B86"/>
    <w:rsid w:val="00D67D60"/>
    <w:rsid w:val="00D67F1E"/>
    <w:rsid w:val="00D67FDD"/>
    <w:rsid w:val="00D70292"/>
    <w:rsid w:val="00D702B3"/>
    <w:rsid w:val="00D70478"/>
    <w:rsid w:val="00D704AC"/>
    <w:rsid w:val="00D7155A"/>
    <w:rsid w:val="00D71948"/>
    <w:rsid w:val="00D719B6"/>
    <w:rsid w:val="00D71E2E"/>
    <w:rsid w:val="00D71F97"/>
    <w:rsid w:val="00D7250C"/>
    <w:rsid w:val="00D74033"/>
    <w:rsid w:val="00D7423F"/>
    <w:rsid w:val="00D748E0"/>
    <w:rsid w:val="00D74963"/>
    <w:rsid w:val="00D74B04"/>
    <w:rsid w:val="00D760BB"/>
    <w:rsid w:val="00D771A4"/>
    <w:rsid w:val="00D772CC"/>
    <w:rsid w:val="00D775CC"/>
    <w:rsid w:val="00D77B05"/>
    <w:rsid w:val="00D77E15"/>
    <w:rsid w:val="00D80048"/>
    <w:rsid w:val="00D802EB"/>
    <w:rsid w:val="00D806E0"/>
    <w:rsid w:val="00D80903"/>
    <w:rsid w:val="00D81179"/>
    <w:rsid w:val="00D816C3"/>
    <w:rsid w:val="00D82ACD"/>
    <w:rsid w:val="00D82C40"/>
    <w:rsid w:val="00D82CB1"/>
    <w:rsid w:val="00D8323D"/>
    <w:rsid w:val="00D83D5E"/>
    <w:rsid w:val="00D84FE0"/>
    <w:rsid w:val="00D8544F"/>
    <w:rsid w:val="00D857D0"/>
    <w:rsid w:val="00D867C4"/>
    <w:rsid w:val="00D86EAB"/>
    <w:rsid w:val="00D86FF8"/>
    <w:rsid w:val="00D87429"/>
    <w:rsid w:val="00D87D4F"/>
    <w:rsid w:val="00D90371"/>
    <w:rsid w:val="00D90598"/>
    <w:rsid w:val="00D9076C"/>
    <w:rsid w:val="00D90A26"/>
    <w:rsid w:val="00D90BC4"/>
    <w:rsid w:val="00D912E7"/>
    <w:rsid w:val="00D91689"/>
    <w:rsid w:val="00D918EA"/>
    <w:rsid w:val="00D918EC"/>
    <w:rsid w:val="00D91C97"/>
    <w:rsid w:val="00D920EB"/>
    <w:rsid w:val="00D922A8"/>
    <w:rsid w:val="00D92854"/>
    <w:rsid w:val="00D934B1"/>
    <w:rsid w:val="00D93657"/>
    <w:rsid w:val="00D93943"/>
    <w:rsid w:val="00D93961"/>
    <w:rsid w:val="00D940DB"/>
    <w:rsid w:val="00D94462"/>
    <w:rsid w:val="00D94764"/>
    <w:rsid w:val="00D94FCE"/>
    <w:rsid w:val="00D952F7"/>
    <w:rsid w:val="00D95477"/>
    <w:rsid w:val="00D959C4"/>
    <w:rsid w:val="00D95AD0"/>
    <w:rsid w:val="00D95C9C"/>
    <w:rsid w:val="00D96E5D"/>
    <w:rsid w:val="00D970D3"/>
    <w:rsid w:val="00D9711F"/>
    <w:rsid w:val="00D97638"/>
    <w:rsid w:val="00D978C6"/>
    <w:rsid w:val="00D97DEF"/>
    <w:rsid w:val="00DA087F"/>
    <w:rsid w:val="00DA1220"/>
    <w:rsid w:val="00DA1A21"/>
    <w:rsid w:val="00DA1CBC"/>
    <w:rsid w:val="00DA23D9"/>
    <w:rsid w:val="00DA2AFE"/>
    <w:rsid w:val="00DA2BF5"/>
    <w:rsid w:val="00DA2EA3"/>
    <w:rsid w:val="00DA35E4"/>
    <w:rsid w:val="00DA3820"/>
    <w:rsid w:val="00DA3A0C"/>
    <w:rsid w:val="00DA3E4E"/>
    <w:rsid w:val="00DA3FAD"/>
    <w:rsid w:val="00DA45BB"/>
    <w:rsid w:val="00DA46F5"/>
    <w:rsid w:val="00DA50C7"/>
    <w:rsid w:val="00DA514D"/>
    <w:rsid w:val="00DA6167"/>
    <w:rsid w:val="00DA6726"/>
    <w:rsid w:val="00DA68CF"/>
    <w:rsid w:val="00DA71D1"/>
    <w:rsid w:val="00DA7D37"/>
    <w:rsid w:val="00DA7E74"/>
    <w:rsid w:val="00DB012E"/>
    <w:rsid w:val="00DB12CB"/>
    <w:rsid w:val="00DB14CE"/>
    <w:rsid w:val="00DB1928"/>
    <w:rsid w:val="00DB2035"/>
    <w:rsid w:val="00DB298D"/>
    <w:rsid w:val="00DB2B2C"/>
    <w:rsid w:val="00DB2B3C"/>
    <w:rsid w:val="00DB3878"/>
    <w:rsid w:val="00DB40CE"/>
    <w:rsid w:val="00DB4BBD"/>
    <w:rsid w:val="00DB5608"/>
    <w:rsid w:val="00DB5C71"/>
    <w:rsid w:val="00DB5DD4"/>
    <w:rsid w:val="00DB6226"/>
    <w:rsid w:val="00DB6A0B"/>
    <w:rsid w:val="00DB6D5F"/>
    <w:rsid w:val="00DB7664"/>
    <w:rsid w:val="00DB7F18"/>
    <w:rsid w:val="00DC0341"/>
    <w:rsid w:val="00DC1807"/>
    <w:rsid w:val="00DC1A99"/>
    <w:rsid w:val="00DC234F"/>
    <w:rsid w:val="00DC2463"/>
    <w:rsid w:val="00DC2D56"/>
    <w:rsid w:val="00DC2F52"/>
    <w:rsid w:val="00DC466F"/>
    <w:rsid w:val="00DC4E15"/>
    <w:rsid w:val="00DC4F15"/>
    <w:rsid w:val="00DC55CB"/>
    <w:rsid w:val="00DC67F3"/>
    <w:rsid w:val="00DC6BC1"/>
    <w:rsid w:val="00DC6CE3"/>
    <w:rsid w:val="00DC6E8E"/>
    <w:rsid w:val="00DC7184"/>
    <w:rsid w:val="00DC7539"/>
    <w:rsid w:val="00DC7907"/>
    <w:rsid w:val="00DD1168"/>
    <w:rsid w:val="00DD1921"/>
    <w:rsid w:val="00DD1949"/>
    <w:rsid w:val="00DD1C92"/>
    <w:rsid w:val="00DD1FFC"/>
    <w:rsid w:val="00DD221D"/>
    <w:rsid w:val="00DD2397"/>
    <w:rsid w:val="00DD30E9"/>
    <w:rsid w:val="00DD3BB3"/>
    <w:rsid w:val="00DD41A3"/>
    <w:rsid w:val="00DD42A3"/>
    <w:rsid w:val="00DD447D"/>
    <w:rsid w:val="00DD4D68"/>
    <w:rsid w:val="00DD4DD8"/>
    <w:rsid w:val="00DD50AC"/>
    <w:rsid w:val="00DD5934"/>
    <w:rsid w:val="00DD5B1C"/>
    <w:rsid w:val="00DD6169"/>
    <w:rsid w:val="00DD70AA"/>
    <w:rsid w:val="00DD73BE"/>
    <w:rsid w:val="00DD77E7"/>
    <w:rsid w:val="00DD7924"/>
    <w:rsid w:val="00DE0726"/>
    <w:rsid w:val="00DE0872"/>
    <w:rsid w:val="00DE0D61"/>
    <w:rsid w:val="00DE10A3"/>
    <w:rsid w:val="00DE1243"/>
    <w:rsid w:val="00DE1345"/>
    <w:rsid w:val="00DE17AD"/>
    <w:rsid w:val="00DE1A64"/>
    <w:rsid w:val="00DE1B7F"/>
    <w:rsid w:val="00DE2799"/>
    <w:rsid w:val="00DE2BE5"/>
    <w:rsid w:val="00DE34E8"/>
    <w:rsid w:val="00DE36B8"/>
    <w:rsid w:val="00DE3758"/>
    <w:rsid w:val="00DE47EE"/>
    <w:rsid w:val="00DE480B"/>
    <w:rsid w:val="00DE483B"/>
    <w:rsid w:val="00DE49F2"/>
    <w:rsid w:val="00DE5324"/>
    <w:rsid w:val="00DE5332"/>
    <w:rsid w:val="00DE5474"/>
    <w:rsid w:val="00DE56DF"/>
    <w:rsid w:val="00DE56FB"/>
    <w:rsid w:val="00DE598E"/>
    <w:rsid w:val="00DE5EE5"/>
    <w:rsid w:val="00DE6A9E"/>
    <w:rsid w:val="00DE75C6"/>
    <w:rsid w:val="00DE788C"/>
    <w:rsid w:val="00DE7B4D"/>
    <w:rsid w:val="00DE7F6C"/>
    <w:rsid w:val="00DF06D4"/>
    <w:rsid w:val="00DF0B34"/>
    <w:rsid w:val="00DF100F"/>
    <w:rsid w:val="00DF11EF"/>
    <w:rsid w:val="00DF3F71"/>
    <w:rsid w:val="00DF4030"/>
    <w:rsid w:val="00DF410F"/>
    <w:rsid w:val="00DF42C6"/>
    <w:rsid w:val="00DF43B1"/>
    <w:rsid w:val="00DF4768"/>
    <w:rsid w:val="00DF48A3"/>
    <w:rsid w:val="00DF4D9B"/>
    <w:rsid w:val="00DF53E5"/>
    <w:rsid w:val="00DF5B9F"/>
    <w:rsid w:val="00DF6D5A"/>
    <w:rsid w:val="00DF70B3"/>
    <w:rsid w:val="00DF75AA"/>
    <w:rsid w:val="00E00764"/>
    <w:rsid w:val="00E01B03"/>
    <w:rsid w:val="00E01B60"/>
    <w:rsid w:val="00E023E3"/>
    <w:rsid w:val="00E02941"/>
    <w:rsid w:val="00E02AF6"/>
    <w:rsid w:val="00E02DCB"/>
    <w:rsid w:val="00E03346"/>
    <w:rsid w:val="00E03722"/>
    <w:rsid w:val="00E03AB8"/>
    <w:rsid w:val="00E03C9F"/>
    <w:rsid w:val="00E04007"/>
    <w:rsid w:val="00E043AB"/>
    <w:rsid w:val="00E043BC"/>
    <w:rsid w:val="00E049A1"/>
    <w:rsid w:val="00E04EF5"/>
    <w:rsid w:val="00E050CF"/>
    <w:rsid w:val="00E051C5"/>
    <w:rsid w:val="00E05719"/>
    <w:rsid w:val="00E05993"/>
    <w:rsid w:val="00E06073"/>
    <w:rsid w:val="00E06631"/>
    <w:rsid w:val="00E069EA"/>
    <w:rsid w:val="00E07242"/>
    <w:rsid w:val="00E0734F"/>
    <w:rsid w:val="00E07B3B"/>
    <w:rsid w:val="00E07DEA"/>
    <w:rsid w:val="00E07FC0"/>
    <w:rsid w:val="00E10441"/>
    <w:rsid w:val="00E1087D"/>
    <w:rsid w:val="00E10C12"/>
    <w:rsid w:val="00E10F1B"/>
    <w:rsid w:val="00E116AA"/>
    <w:rsid w:val="00E1180E"/>
    <w:rsid w:val="00E11AE0"/>
    <w:rsid w:val="00E12362"/>
    <w:rsid w:val="00E13052"/>
    <w:rsid w:val="00E14483"/>
    <w:rsid w:val="00E146C5"/>
    <w:rsid w:val="00E14E63"/>
    <w:rsid w:val="00E157BA"/>
    <w:rsid w:val="00E15917"/>
    <w:rsid w:val="00E168E6"/>
    <w:rsid w:val="00E16FF9"/>
    <w:rsid w:val="00E17447"/>
    <w:rsid w:val="00E1762F"/>
    <w:rsid w:val="00E1776A"/>
    <w:rsid w:val="00E177A2"/>
    <w:rsid w:val="00E17911"/>
    <w:rsid w:val="00E17EF8"/>
    <w:rsid w:val="00E17F5D"/>
    <w:rsid w:val="00E2017B"/>
    <w:rsid w:val="00E204BF"/>
    <w:rsid w:val="00E2063F"/>
    <w:rsid w:val="00E20B4E"/>
    <w:rsid w:val="00E20BDF"/>
    <w:rsid w:val="00E213B3"/>
    <w:rsid w:val="00E219CB"/>
    <w:rsid w:val="00E221BD"/>
    <w:rsid w:val="00E22758"/>
    <w:rsid w:val="00E2318D"/>
    <w:rsid w:val="00E23CEC"/>
    <w:rsid w:val="00E23E4D"/>
    <w:rsid w:val="00E2433D"/>
    <w:rsid w:val="00E243E1"/>
    <w:rsid w:val="00E25964"/>
    <w:rsid w:val="00E26735"/>
    <w:rsid w:val="00E2719F"/>
    <w:rsid w:val="00E27FCD"/>
    <w:rsid w:val="00E307D6"/>
    <w:rsid w:val="00E315A4"/>
    <w:rsid w:val="00E31D97"/>
    <w:rsid w:val="00E32BAF"/>
    <w:rsid w:val="00E32D61"/>
    <w:rsid w:val="00E33901"/>
    <w:rsid w:val="00E34412"/>
    <w:rsid w:val="00E345C1"/>
    <w:rsid w:val="00E35312"/>
    <w:rsid w:val="00E354DE"/>
    <w:rsid w:val="00E3565E"/>
    <w:rsid w:val="00E35FBE"/>
    <w:rsid w:val="00E360B1"/>
    <w:rsid w:val="00E36F7F"/>
    <w:rsid w:val="00E37A8B"/>
    <w:rsid w:val="00E40420"/>
    <w:rsid w:val="00E407EC"/>
    <w:rsid w:val="00E40EEB"/>
    <w:rsid w:val="00E4152F"/>
    <w:rsid w:val="00E4214B"/>
    <w:rsid w:val="00E425F2"/>
    <w:rsid w:val="00E4309E"/>
    <w:rsid w:val="00E43185"/>
    <w:rsid w:val="00E444B1"/>
    <w:rsid w:val="00E448C4"/>
    <w:rsid w:val="00E449C8"/>
    <w:rsid w:val="00E44BC7"/>
    <w:rsid w:val="00E44C34"/>
    <w:rsid w:val="00E44F80"/>
    <w:rsid w:val="00E45008"/>
    <w:rsid w:val="00E45224"/>
    <w:rsid w:val="00E458F6"/>
    <w:rsid w:val="00E45A4B"/>
    <w:rsid w:val="00E46729"/>
    <w:rsid w:val="00E4673B"/>
    <w:rsid w:val="00E46765"/>
    <w:rsid w:val="00E46C34"/>
    <w:rsid w:val="00E47279"/>
    <w:rsid w:val="00E472C7"/>
    <w:rsid w:val="00E47571"/>
    <w:rsid w:val="00E47968"/>
    <w:rsid w:val="00E47993"/>
    <w:rsid w:val="00E47E28"/>
    <w:rsid w:val="00E50472"/>
    <w:rsid w:val="00E507CF"/>
    <w:rsid w:val="00E50987"/>
    <w:rsid w:val="00E50D8A"/>
    <w:rsid w:val="00E50E4D"/>
    <w:rsid w:val="00E51200"/>
    <w:rsid w:val="00E51B5D"/>
    <w:rsid w:val="00E52638"/>
    <w:rsid w:val="00E52A5B"/>
    <w:rsid w:val="00E52B8B"/>
    <w:rsid w:val="00E52FEE"/>
    <w:rsid w:val="00E53291"/>
    <w:rsid w:val="00E53627"/>
    <w:rsid w:val="00E53EE1"/>
    <w:rsid w:val="00E5496E"/>
    <w:rsid w:val="00E54DCF"/>
    <w:rsid w:val="00E54EDD"/>
    <w:rsid w:val="00E54F10"/>
    <w:rsid w:val="00E55985"/>
    <w:rsid w:val="00E56353"/>
    <w:rsid w:val="00E5669D"/>
    <w:rsid w:val="00E56B21"/>
    <w:rsid w:val="00E57DE4"/>
    <w:rsid w:val="00E601CB"/>
    <w:rsid w:val="00E60E3A"/>
    <w:rsid w:val="00E61237"/>
    <w:rsid w:val="00E61297"/>
    <w:rsid w:val="00E62462"/>
    <w:rsid w:val="00E62A6B"/>
    <w:rsid w:val="00E62E0F"/>
    <w:rsid w:val="00E63637"/>
    <w:rsid w:val="00E639C0"/>
    <w:rsid w:val="00E6470C"/>
    <w:rsid w:val="00E6476B"/>
    <w:rsid w:val="00E654C2"/>
    <w:rsid w:val="00E65510"/>
    <w:rsid w:val="00E65ADE"/>
    <w:rsid w:val="00E65E29"/>
    <w:rsid w:val="00E6617E"/>
    <w:rsid w:val="00E668E7"/>
    <w:rsid w:val="00E675AA"/>
    <w:rsid w:val="00E67A8B"/>
    <w:rsid w:val="00E67F8D"/>
    <w:rsid w:val="00E70D87"/>
    <w:rsid w:val="00E70D89"/>
    <w:rsid w:val="00E718BA"/>
    <w:rsid w:val="00E722F4"/>
    <w:rsid w:val="00E7231F"/>
    <w:rsid w:val="00E72609"/>
    <w:rsid w:val="00E727BD"/>
    <w:rsid w:val="00E72887"/>
    <w:rsid w:val="00E72A06"/>
    <w:rsid w:val="00E72B70"/>
    <w:rsid w:val="00E72C38"/>
    <w:rsid w:val="00E736C9"/>
    <w:rsid w:val="00E73711"/>
    <w:rsid w:val="00E737A6"/>
    <w:rsid w:val="00E73C56"/>
    <w:rsid w:val="00E7408B"/>
    <w:rsid w:val="00E742A2"/>
    <w:rsid w:val="00E749D3"/>
    <w:rsid w:val="00E74A2C"/>
    <w:rsid w:val="00E74BA0"/>
    <w:rsid w:val="00E74DAD"/>
    <w:rsid w:val="00E7526D"/>
    <w:rsid w:val="00E75442"/>
    <w:rsid w:val="00E75529"/>
    <w:rsid w:val="00E76CA2"/>
    <w:rsid w:val="00E772E6"/>
    <w:rsid w:val="00E77CE8"/>
    <w:rsid w:val="00E80287"/>
    <w:rsid w:val="00E806AE"/>
    <w:rsid w:val="00E8120D"/>
    <w:rsid w:val="00E8144E"/>
    <w:rsid w:val="00E81A4D"/>
    <w:rsid w:val="00E81D6C"/>
    <w:rsid w:val="00E820F6"/>
    <w:rsid w:val="00E8223D"/>
    <w:rsid w:val="00E826FD"/>
    <w:rsid w:val="00E82849"/>
    <w:rsid w:val="00E82992"/>
    <w:rsid w:val="00E82A8F"/>
    <w:rsid w:val="00E82BE9"/>
    <w:rsid w:val="00E832A4"/>
    <w:rsid w:val="00E83748"/>
    <w:rsid w:val="00E83A05"/>
    <w:rsid w:val="00E84025"/>
    <w:rsid w:val="00E842CC"/>
    <w:rsid w:val="00E84C03"/>
    <w:rsid w:val="00E84CC6"/>
    <w:rsid w:val="00E8577D"/>
    <w:rsid w:val="00E85F5C"/>
    <w:rsid w:val="00E8622F"/>
    <w:rsid w:val="00E86246"/>
    <w:rsid w:val="00E8648E"/>
    <w:rsid w:val="00E86540"/>
    <w:rsid w:val="00E86630"/>
    <w:rsid w:val="00E86E70"/>
    <w:rsid w:val="00E87673"/>
    <w:rsid w:val="00E87E9E"/>
    <w:rsid w:val="00E90246"/>
    <w:rsid w:val="00E9077F"/>
    <w:rsid w:val="00E90F9E"/>
    <w:rsid w:val="00E91EF7"/>
    <w:rsid w:val="00E925A1"/>
    <w:rsid w:val="00E927C2"/>
    <w:rsid w:val="00E938AC"/>
    <w:rsid w:val="00E942FB"/>
    <w:rsid w:val="00E94C57"/>
    <w:rsid w:val="00E95869"/>
    <w:rsid w:val="00E95BD5"/>
    <w:rsid w:val="00E95E3B"/>
    <w:rsid w:val="00E96028"/>
    <w:rsid w:val="00E96261"/>
    <w:rsid w:val="00E96C6C"/>
    <w:rsid w:val="00E97000"/>
    <w:rsid w:val="00E973D0"/>
    <w:rsid w:val="00E97600"/>
    <w:rsid w:val="00E9772E"/>
    <w:rsid w:val="00E97BD8"/>
    <w:rsid w:val="00EA03D8"/>
    <w:rsid w:val="00EA09BB"/>
    <w:rsid w:val="00EA0A3C"/>
    <w:rsid w:val="00EA0AB0"/>
    <w:rsid w:val="00EA0E4D"/>
    <w:rsid w:val="00EA1201"/>
    <w:rsid w:val="00EA1AED"/>
    <w:rsid w:val="00EA1D66"/>
    <w:rsid w:val="00EA291C"/>
    <w:rsid w:val="00EA2B85"/>
    <w:rsid w:val="00EA409E"/>
    <w:rsid w:val="00EA51C1"/>
    <w:rsid w:val="00EA59C9"/>
    <w:rsid w:val="00EA68C5"/>
    <w:rsid w:val="00EA6ED6"/>
    <w:rsid w:val="00EA6FDE"/>
    <w:rsid w:val="00EB0255"/>
    <w:rsid w:val="00EB0406"/>
    <w:rsid w:val="00EB0984"/>
    <w:rsid w:val="00EB09A7"/>
    <w:rsid w:val="00EB0CA8"/>
    <w:rsid w:val="00EB0EB0"/>
    <w:rsid w:val="00EB0F07"/>
    <w:rsid w:val="00EB11D6"/>
    <w:rsid w:val="00EB1578"/>
    <w:rsid w:val="00EB17F7"/>
    <w:rsid w:val="00EB1930"/>
    <w:rsid w:val="00EB1C62"/>
    <w:rsid w:val="00EB1E09"/>
    <w:rsid w:val="00EB2708"/>
    <w:rsid w:val="00EB2830"/>
    <w:rsid w:val="00EB3694"/>
    <w:rsid w:val="00EB3700"/>
    <w:rsid w:val="00EB3BA4"/>
    <w:rsid w:val="00EB3DCF"/>
    <w:rsid w:val="00EB449E"/>
    <w:rsid w:val="00EB4A62"/>
    <w:rsid w:val="00EB4F33"/>
    <w:rsid w:val="00EB58F3"/>
    <w:rsid w:val="00EB5B99"/>
    <w:rsid w:val="00EB610D"/>
    <w:rsid w:val="00EB64B1"/>
    <w:rsid w:val="00EB69CF"/>
    <w:rsid w:val="00EB6E24"/>
    <w:rsid w:val="00EB78CD"/>
    <w:rsid w:val="00EB7B26"/>
    <w:rsid w:val="00EB7C54"/>
    <w:rsid w:val="00EC0374"/>
    <w:rsid w:val="00EC0DC6"/>
    <w:rsid w:val="00EC10B6"/>
    <w:rsid w:val="00EC173F"/>
    <w:rsid w:val="00EC1865"/>
    <w:rsid w:val="00EC1CC4"/>
    <w:rsid w:val="00EC1CCD"/>
    <w:rsid w:val="00EC1D8E"/>
    <w:rsid w:val="00EC1E0C"/>
    <w:rsid w:val="00EC23FC"/>
    <w:rsid w:val="00EC36B7"/>
    <w:rsid w:val="00EC3925"/>
    <w:rsid w:val="00EC406F"/>
    <w:rsid w:val="00EC5DA0"/>
    <w:rsid w:val="00EC6711"/>
    <w:rsid w:val="00EC6CB4"/>
    <w:rsid w:val="00EC7104"/>
    <w:rsid w:val="00EC719B"/>
    <w:rsid w:val="00EC7676"/>
    <w:rsid w:val="00ED010A"/>
    <w:rsid w:val="00ED1367"/>
    <w:rsid w:val="00ED2162"/>
    <w:rsid w:val="00ED25F4"/>
    <w:rsid w:val="00ED271F"/>
    <w:rsid w:val="00ED3246"/>
    <w:rsid w:val="00ED3857"/>
    <w:rsid w:val="00ED3929"/>
    <w:rsid w:val="00ED4215"/>
    <w:rsid w:val="00ED52A9"/>
    <w:rsid w:val="00ED5D8A"/>
    <w:rsid w:val="00ED5FD4"/>
    <w:rsid w:val="00ED61AA"/>
    <w:rsid w:val="00ED7364"/>
    <w:rsid w:val="00ED73EA"/>
    <w:rsid w:val="00ED77ED"/>
    <w:rsid w:val="00ED7957"/>
    <w:rsid w:val="00ED7B96"/>
    <w:rsid w:val="00ED7BC4"/>
    <w:rsid w:val="00ED7E6C"/>
    <w:rsid w:val="00EE04F4"/>
    <w:rsid w:val="00EE1098"/>
    <w:rsid w:val="00EE2262"/>
    <w:rsid w:val="00EE248B"/>
    <w:rsid w:val="00EE2995"/>
    <w:rsid w:val="00EE3099"/>
    <w:rsid w:val="00EE35E4"/>
    <w:rsid w:val="00EE3AF9"/>
    <w:rsid w:val="00EE3C91"/>
    <w:rsid w:val="00EE43DF"/>
    <w:rsid w:val="00EE4ADF"/>
    <w:rsid w:val="00EE5535"/>
    <w:rsid w:val="00EE58CA"/>
    <w:rsid w:val="00EE62D6"/>
    <w:rsid w:val="00EE63A5"/>
    <w:rsid w:val="00EE6500"/>
    <w:rsid w:val="00EE6850"/>
    <w:rsid w:val="00EE730D"/>
    <w:rsid w:val="00EE7410"/>
    <w:rsid w:val="00EF1122"/>
    <w:rsid w:val="00EF12CE"/>
    <w:rsid w:val="00EF1617"/>
    <w:rsid w:val="00EF2373"/>
    <w:rsid w:val="00EF23A9"/>
    <w:rsid w:val="00EF28B7"/>
    <w:rsid w:val="00EF28F2"/>
    <w:rsid w:val="00EF2EA2"/>
    <w:rsid w:val="00EF3A65"/>
    <w:rsid w:val="00EF3A86"/>
    <w:rsid w:val="00EF411B"/>
    <w:rsid w:val="00EF429D"/>
    <w:rsid w:val="00EF433F"/>
    <w:rsid w:val="00EF446C"/>
    <w:rsid w:val="00EF4978"/>
    <w:rsid w:val="00EF4ED7"/>
    <w:rsid w:val="00EF5027"/>
    <w:rsid w:val="00EF5363"/>
    <w:rsid w:val="00EF5642"/>
    <w:rsid w:val="00EF5798"/>
    <w:rsid w:val="00EF5CA4"/>
    <w:rsid w:val="00EF626C"/>
    <w:rsid w:val="00EF6390"/>
    <w:rsid w:val="00EF68E2"/>
    <w:rsid w:val="00EF789A"/>
    <w:rsid w:val="00F00496"/>
    <w:rsid w:val="00F00CFE"/>
    <w:rsid w:val="00F013B5"/>
    <w:rsid w:val="00F017D2"/>
    <w:rsid w:val="00F01B1A"/>
    <w:rsid w:val="00F01BC7"/>
    <w:rsid w:val="00F01E2D"/>
    <w:rsid w:val="00F02F7A"/>
    <w:rsid w:val="00F03024"/>
    <w:rsid w:val="00F03479"/>
    <w:rsid w:val="00F03564"/>
    <w:rsid w:val="00F03E41"/>
    <w:rsid w:val="00F03E78"/>
    <w:rsid w:val="00F0411F"/>
    <w:rsid w:val="00F043AC"/>
    <w:rsid w:val="00F04C8F"/>
    <w:rsid w:val="00F058F7"/>
    <w:rsid w:val="00F05AD8"/>
    <w:rsid w:val="00F06217"/>
    <w:rsid w:val="00F06A70"/>
    <w:rsid w:val="00F06F74"/>
    <w:rsid w:val="00F07988"/>
    <w:rsid w:val="00F100A4"/>
    <w:rsid w:val="00F11128"/>
    <w:rsid w:val="00F11377"/>
    <w:rsid w:val="00F1151D"/>
    <w:rsid w:val="00F12623"/>
    <w:rsid w:val="00F12A41"/>
    <w:rsid w:val="00F12C52"/>
    <w:rsid w:val="00F13DA3"/>
    <w:rsid w:val="00F13E59"/>
    <w:rsid w:val="00F13E81"/>
    <w:rsid w:val="00F13FB6"/>
    <w:rsid w:val="00F14439"/>
    <w:rsid w:val="00F14A25"/>
    <w:rsid w:val="00F150A4"/>
    <w:rsid w:val="00F16628"/>
    <w:rsid w:val="00F1728B"/>
    <w:rsid w:val="00F17B97"/>
    <w:rsid w:val="00F17C3B"/>
    <w:rsid w:val="00F17D33"/>
    <w:rsid w:val="00F20945"/>
    <w:rsid w:val="00F216B8"/>
    <w:rsid w:val="00F2191A"/>
    <w:rsid w:val="00F21B4C"/>
    <w:rsid w:val="00F21E4B"/>
    <w:rsid w:val="00F220C1"/>
    <w:rsid w:val="00F227E7"/>
    <w:rsid w:val="00F23EEC"/>
    <w:rsid w:val="00F24021"/>
    <w:rsid w:val="00F242E2"/>
    <w:rsid w:val="00F244A7"/>
    <w:rsid w:val="00F2481D"/>
    <w:rsid w:val="00F25284"/>
    <w:rsid w:val="00F257FD"/>
    <w:rsid w:val="00F2587E"/>
    <w:rsid w:val="00F259E4"/>
    <w:rsid w:val="00F25B95"/>
    <w:rsid w:val="00F25DCB"/>
    <w:rsid w:val="00F26F7F"/>
    <w:rsid w:val="00F27656"/>
    <w:rsid w:val="00F27CD2"/>
    <w:rsid w:val="00F3070A"/>
    <w:rsid w:val="00F30AB8"/>
    <w:rsid w:val="00F3176A"/>
    <w:rsid w:val="00F3177C"/>
    <w:rsid w:val="00F321D0"/>
    <w:rsid w:val="00F32735"/>
    <w:rsid w:val="00F32A47"/>
    <w:rsid w:val="00F33576"/>
    <w:rsid w:val="00F33871"/>
    <w:rsid w:val="00F33E2F"/>
    <w:rsid w:val="00F34564"/>
    <w:rsid w:val="00F34D31"/>
    <w:rsid w:val="00F34D3A"/>
    <w:rsid w:val="00F352CC"/>
    <w:rsid w:val="00F354B5"/>
    <w:rsid w:val="00F35939"/>
    <w:rsid w:val="00F360FF"/>
    <w:rsid w:val="00F36711"/>
    <w:rsid w:val="00F37008"/>
    <w:rsid w:val="00F3783A"/>
    <w:rsid w:val="00F37B48"/>
    <w:rsid w:val="00F37BBF"/>
    <w:rsid w:val="00F402B7"/>
    <w:rsid w:val="00F4086C"/>
    <w:rsid w:val="00F41778"/>
    <w:rsid w:val="00F423B7"/>
    <w:rsid w:val="00F4370C"/>
    <w:rsid w:val="00F444BD"/>
    <w:rsid w:val="00F44787"/>
    <w:rsid w:val="00F451FD"/>
    <w:rsid w:val="00F45870"/>
    <w:rsid w:val="00F45DCF"/>
    <w:rsid w:val="00F45E5B"/>
    <w:rsid w:val="00F4618F"/>
    <w:rsid w:val="00F469AB"/>
    <w:rsid w:val="00F46B2F"/>
    <w:rsid w:val="00F46B37"/>
    <w:rsid w:val="00F4711C"/>
    <w:rsid w:val="00F47BC3"/>
    <w:rsid w:val="00F47C07"/>
    <w:rsid w:val="00F47F7C"/>
    <w:rsid w:val="00F50252"/>
    <w:rsid w:val="00F5036C"/>
    <w:rsid w:val="00F5051D"/>
    <w:rsid w:val="00F50772"/>
    <w:rsid w:val="00F50F40"/>
    <w:rsid w:val="00F5127A"/>
    <w:rsid w:val="00F519A7"/>
    <w:rsid w:val="00F51A09"/>
    <w:rsid w:val="00F521B2"/>
    <w:rsid w:val="00F523DA"/>
    <w:rsid w:val="00F524F8"/>
    <w:rsid w:val="00F5266A"/>
    <w:rsid w:val="00F53059"/>
    <w:rsid w:val="00F5307C"/>
    <w:rsid w:val="00F53507"/>
    <w:rsid w:val="00F537C0"/>
    <w:rsid w:val="00F538AA"/>
    <w:rsid w:val="00F54EAA"/>
    <w:rsid w:val="00F5532C"/>
    <w:rsid w:val="00F55C4F"/>
    <w:rsid w:val="00F55FBA"/>
    <w:rsid w:val="00F56412"/>
    <w:rsid w:val="00F568FA"/>
    <w:rsid w:val="00F56DEC"/>
    <w:rsid w:val="00F5707E"/>
    <w:rsid w:val="00F5727F"/>
    <w:rsid w:val="00F57B81"/>
    <w:rsid w:val="00F602BB"/>
    <w:rsid w:val="00F60422"/>
    <w:rsid w:val="00F615B7"/>
    <w:rsid w:val="00F615C3"/>
    <w:rsid w:val="00F61CCA"/>
    <w:rsid w:val="00F623A1"/>
    <w:rsid w:val="00F62943"/>
    <w:rsid w:val="00F62F0F"/>
    <w:rsid w:val="00F63382"/>
    <w:rsid w:val="00F63528"/>
    <w:rsid w:val="00F63BA6"/>
    <w:rsid w:val="00F6430A"/>
    <w:rsid w:val="00F65D4D"/>
    <w:rsid w:val="00F660E2"/>
    <w:rsid w:val="00F66DC0"/>
    <w:rsid w:val="00F66ED5"/>
    <w:rsid w:val="00F671F3"/>
    <w:rsid w:val="00F6774F"/>
    <w:rsid w:val="00F7022E"/>
    <w:rsid w:val="00F705A3"/>
    <w:rsid w:val="00F70871"/>
    <w:rsid w:val="00F70D62"/>
    <w:rsid w:val="00F7131B"/>
    <w:rsid w:val="00F713EA"/>
    <w:rsid w:val="00F72086"/>
    <w:rsid w:val="00F72483"/>
    <w:rsid w:val="00F732C2"/>
    <w:rsid w:val="00F73388"/>
    <w:rsid w:val="00F73500"/>
    <w:rsid w:val="00F73A7A"/>
    <w:rsid w:val="00F73D59"/>
    <w:rsid w:val="00F747FA"/>
    <w:rsid w:val="00F7482B"/>
    <w:rsid w:val="00F74F94"/>
    <w:rsid w:val="00F754A6"/>
    <w:rsid w:val="00F76AB9"/>
    <w:rsid w:val="00F77C39"/>
    <w:rsid w:val="00F77CF3"/>
    <w:rsid w:val="00F8013D"/>
    <w:rsid w:val="00F803CD"/>
    <w:rsid w:val="00F80793"/>
    <w:rsid w:val="00F81666"/>
    <w:rsid w:val="00F818AF"/>
    <w:rsid w:val="00F81E60"/>
    <w:rsid w:val="00F8226E"/>
    <w:rsid w:val="00F82324"/>
    <w:rsid w:val="00F82655"/>
    <w:rsid w:val="00F82D29"/>
    <w:rsid w:val="00F82DBE"/>
    <w:rsid w:val="00F83750"/>
    <w:rsid w:val="00F8453D"/>
    <w:rsid w:val="00F84750"/>
    <w:rsid w:val="00F84949"/>
    <w:rsid w:val="00F8557F"/>
    <w:rsid w:val="00F8666A"/>
    <w:rsid w:val="00F870F9"/>
    <w:rsid w:val="00F8777F"/>
    <w:rsid w:val="00F90ADD"/>
    <w:rsid w:val="00F91CCF"/>
    <w:rsid w:val="00F9306B"/>
    <w:rsid w:val="00F93195"/>
    <w:rsid w:val="00F9319A"/>
    <w:rsid w:val="00F93901"/>
    <w:rsid w:val="00F93FCB"/>
    <w:rsid w:val="00F94AF7"/>
    <w:rsid w:val="00F9599C"/>
    <w:rsid w:val="00F95C1D"/>
    <w:rsid w:val="00F9653D"/>
    <w:rsid w:val="00F9729B"/>
    <w:rsid w:val="00F97E1F"/>
    <w:rsid w:val="00FA04F1"/>
    <w:rsid w:val="00FA15D7"/>
    <w:rsid w:val="00FA200D"/>
    <w:rsid w:val="00FA21E6"/>
    <w:rsid w:val="00FA31FC"/>
    <w:rsid w:val="00FA3633"/>
    <w:rsid w:val="00FA438D"/>
    <w:rsid w:val="00FA4F83"/>
    <w:rsid w:val="00FA53B3"/>
    <w:rsid w:val="00FA637C"/>
    <w:rsid w:val="00FA6A55"/>
    <w:rsid w:val="00FA7087"/>
    <w:rsid w:val="00FA728E"/>
    <w:rsid w:val="00FA767D"/>
    <w:rsid w:val="00FB018A"/>
    <w:rsid w:val="00FB05F3"/>
    <w:rsid w:val="00FB165B"/>
    <w:rsid w:val="00FB2105"/>
    <w:rsid w:val="00FB214C"/>
    <w:rsid w:val="00FB2297"/>
    <w:rsid w:val="00FB2691"/>
    <w:rsid w:val="00FB2CFB"/>
    <w:rsid w:val="00FB322E"/>
    <w:rsid w:val="00FB3DD3"/>
    <w:rsid w:val="00FB3F07"/>
    <w:rsid w:val="00FB42FA"/>
    <w:rsid w:val="00FB49A1"/>
    <w:rsid w:val="00FB4D4E"/>
    <w:rsid w:val="00FB531B"/>
    <w:rsid w:val="00FB5809"/>
    <w:rsid w:val="00FB5C87"/>
    <w:rsid w:val="00FB5F5C"/>
    <w:rsid w:val="00FB6A55"/>
    <w:rsid w:val="00FB7229"/>
    <w:rsid w:val="00FB7CEE"/>
    <w:rsid w:val="00FB7D43"/>
    <w:rsid w:val="00FB7FEF"/>
    <w:rsid w:val="00FC0454"/>
    <w:rsid w:val="00FC0617"/>
    <w:rsid w:val="00FC1212"/>
    <w:rsid w:val="00FC160E"/>
    <w:rsid w:val="00FC16FF"/>
    <w:rsid w:val="00FC1CB3"/>
    <w:rsid w:val="00FC22FF"/>
    <w:rsid w:val="00FC432A"/>
    <w:rsid w:val="00FC44D7"/>
    <w:rsid w:val="00FC4DBA"/>
    <w:rsid w:val="00FC502D"/>
    <w:rsid w:val="00FC56A8"/>
    <w:rsid w:val="00FC581A"/>
    <w:rsid w:val="00FC618F"/>
    <w:rsid w:val="00FC641A"/>
    <w:rsid w:val="00FC738B"/>
    <w:rsid w:val="00FC75C5"/>
    <w:rsid w:val="00FD042B"/>
    <w:rsid w:val="00FD0925"/>
    <w:rsid w:val="00FD0D7D"/>
    <w:rsid w:val="00FD107C"/>
    <w:rsid w:val="00FD15CB"/>
    <w:rsid w:val="00FD1B56"/>
    <w:rsid w:val="00FD20CF"/>
    <w:rsid w:val="00FD26FB"/>
    <w:rsid w:val="00FD2A77"/>
    <w:rsid w:val="00FD2BBD"/>
    <w:rsid w:val="00FD3123"/>
    <w:rsid w:val="00FD3401"/>
    <w:rsid w:val="00FD3A86"/>
    <w:rsid w:val="00FD47C8"/>
    <w:rsid w:val="00FD5638"/>
    <w:rsid w:val="00FD5FE0"/>
    <w:rsid w:val="00FD6488"/>
    <w:rsid w:val="00FD66E4"/>
    <w:rsid w:val="00FD6727"/>
    <w:rsid w:val="00FD6EEF"/>
    <w:rsid w:val="00FD755E"/>
    <w:rsid w:val="00FD7861"/>
    <w:rsid w:val="00FD786F"/>
    <w:rsid w:val="00FE0349"/>
    <w:rsid w:val="00FE0A25"/>
    <w:rsid w:val="00FE0F43"/>
    <w:rsid w:val="00FE0F92"/>
    <w:rsid w:val="00FE120E"/>
    <w:rsid w:val="00FE12AA"/>
    <w:rsid w:val="00FE1BD2"/>
    <w:rsid w:val="00FE1C2A"/>
    <w:rsid w:val="00FE1E4F"/>
    <w:rsid w:val="00FE2851"/>
    <w:rsid w:val="00FE2BF7"/>
    <w:rsid w:val="00FE339A"/>
    <w:rsid w:val="00FE3704"/>
    <w:rsid w:val="00FE39F6"/>
    <w:rsid w:val="00FE3ADC"/>
    <w:rsid w:val="00FE3F1C"/>
    <w:rsid w:val="00FE4C45"/>
    <w:rsid w:val="00FE4CF1"/>
    <w:rsid w:val="00FE4CFE"/>
    <w:rsid w:val="00FE50B8"/>
    <w:rsid w:val="00FE56EF"/>
    <w:rsid w:val="00FE5DE6"/>
    <w:rsid w:val="00FE5EA2"/>
    <w:rsid w:val="00FE5FDC"/>
    <w:rsid w:val="00FE64E6"/>
    <w:rsid w:val="00FE72A0"/>
    <w:rsid w:val="00FF0282"/>
    <w:rsid w:val="00FF07B7"/>
    <w:rsid w:val="00FF0889"/>
    <w:rsid w:val="00FF0C96"/>
    <w:rsid w:val="00FF1154"/>
    <w:rsid w:val="00FF130D"/>
    <w:rsid w:val="00FF1CAF"/>
    <w:rsid w:val="00FF21B2"/>
    <w:rsid w:val="00FF2C8C"/>
    <w:rsid w:val="00FF3963"/>
    <w:rsid w:val="00FF451D"/>
    <w:rsid w:val="00FF4E66"/>
    <w:rsid w:val="00FF531A"/>
    <w:rsid w:val="00FF5765"/>
    <w:rsid w:val="00FF6019"/>
    <w:rsid w:val="00FF6683"/>
    <w:rsid w:val="00FF66BF"/>
    <w:rsid w:val="00FF682A"/>
    <w:rsid w:val="00FF6966"/>
    <w:rsid w:val="00FF7857"/>
    <w:rsid w:val="00FF7D1F"/>
    <w:rsid w:val="00FF7E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ind w:left="720"/>
    </w:pPr>
    <w:rPr>
      <w:rFonts w:ascii="Garamond" w:hAnsi="Garamond"/>
      <w:sz w:val="24"/>
    </w:rPr>
  </w:style>
  <w:style w:type="paragraph" w:styleId="Heading1">
    <w:name w:val="heading 1"/>
    <w:basedOn w:val="Normal"/>
    <w:next w:val="Normal"/>
    <w:qFormat/>
    <w:rsid w:val="00C40E3D"/>
    <w:pPr>
      <w:jc w:val="right"/>
      <w:outlineLvl w:val="0"/>
    </w:pPr>
    <w:rPr>
      <w:rFonts w:ascii="Arial" w:hAnsi="Arial" w:cs="Arial"/>
      <w:b/>
      <w:sz w:val="44"/>
      <w:szCs w:val="44"/>
    </w:rPr>
  </w:style>
  <w:style w:type="paragraph" w:styleId="Heading2">
    <w:name w:val="heading 2"/>
    <w:basedOn w:val="Normal"/>
    <w:next w:val="Normal"/>
    <w:link w:val="Heading2Char"/>
    <w:qFormat/>
    <w:rsid w:val="00C40E3D"/>
    <w:pPr>
      <w:keepNext/>
      <w:pageBreakBefore/>
      <w:pBdr>
        <w:bottom w:val="single" w:sz="4" w:space="1" w:color="auto"/>
      </w:pBdr>
      <w:spacing w:after="360"/>
      <w:ind w:left="3402" w:hanging="3402"/>
      <w:outlineLvl w:val="1"/>
    </w:pPr>
    <w:rPr>
      <w:rFonts w:ascii="Tahoma" w:hAnsi="Tahoma"/>
      <w:b/>
      <w:sz w:val="44"/>
    </w:rPr>
  </w:style>
  <w:style w:type="paragraph" w:styleId="Heading3">
    <w:name w:val="heading 3"/>
    <w:basedOn w:val="Normal"/>
    <w:next w:val="Normal"/>
    <w:qFormat/>
    <w:rsid w:val="0019483D"/>
    <w:pPr>
      <w:outlineLvl w:val="2"/>
    </w:pPr>
    <w:rPr>
      <w:rFonts w:ascii="Tahoma" w:hAnsi="Tahoma"/>
      <w:b/>
      <w:sz w:val="28"/>
    </w:rPr>
  </w:style>
  <w:style w:type="paragraph" w:styleId="Heading4">
    <w:name w:val="heading 4"/>
    <w:basedOn w:val="Normal"/>
    <w:next w:val="Normal"/>
    <w:qFormat/>
    <w:rsid w:val="0063011F"/>
    <w:pPr>
      <w:ind w:left="1134"/>
      <w:outlineLvl w:val="3"/>
    </w:pPr>
    <w:rPr>
      <w:rFonts w:ascii="Tahoma" w:hAnsi="Tahoma"/>
      <w:b/>
      <w:sz w:val="22"/>
    </w:rPr>
  </w:style>
  <w:style w:type="paragraph" w:styleId="Heading5">
    <w:name w:val="heading 5"/>
    <w:basedOn w:val="Normal"/>
    <w:next w:val="Normal"/>
    <w:qFormat/>
    <w:rsid w:val="0019483D"/>
    <w:pPr>
      <w:outlineLvl w:val="4"/>
    </w:pPr>
    <w:rPr>
      <w:rFonts w:ascii="Tahoma" w:hAnsi="Tahoma"/>
      <w:b/>
      <w:sz w:val="20"/>
    </w:rPr>
  </w:style>
  <w:style w:type="paragraph" w:styleId="Heading6">
    <w:name w:val="heading 6"/>
    <w:basedOn w:val="Normal"/>
    <w:next w:val="Normal"/>
    <w:qFormat/>
    <w:rsid w:val="0019483D"/>
    <w:pPr>
      <w:outlineLvl w:val="5"/>
    </w:pPr>
    <w:rPr>
      <w:b/>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40E3D"/>
    <w:rPr>
      <w:rFonts w:ascii="Tahoma" w:hAnsi="Tahoma"/>
      <w:b/>
      <w:sz w:val="44"/>
    </w:rPr>
  </w:style>
  <w:style w:type="paragraph" w:customStyle="1" w:styleId="Bullet">
    <w:name w:val="Bullet"/>
    <w:basedOn w:val="Normal"/>
    <w:pPr>
      <w:numPr>
        <w:numId w:val="1"/>
      </w:numPr>
    </w:pPr>
  </w:style>
  <w:style w:type="character" w:styleId="CommentReference">
    <w:name w:val="annotation reference"/>
    <w:uiPriority w:val="99"/>
    <w:rPr>
      <w:sz w:val="16"/>
    </w:rPr>
  </w:style>
  <w:style w:type="paragraph" w:styleId="CommentText">
    <w:name w:val="annotation text"/>
    <w:basedOn w:val="Normal"/>
    <w:link w:val="CommentTextChar"/>
    <w:rPr>
      <w:sz w:val="20"/>
    </w:rPr>
  </w:style>
  <w:style w:type="paragraph" w:styleId="Date">
    <w:name w:val="Date"/>
    <w:basedOn w:val="Normal"/>
    <w:next w:val="Normal"/>
    <w:pPr>
      <w:ind w:right="113"/>
      <w:jc w:val="right"/>
    </w:pPr>
    <w:rPr>
      <w:rFonts w:ascii="Arial" w:hAnsi="Arial"/>
      <w:b/>
      <w:sz w:val="36"/>
    </w:rPr>
  </w:style>
  <w:style w:type="paragraph" w:customStyle="1" w:styleId="Summaryboxtext">
    <w:name w:val="Summary box text"/>
    <w:basedOn w:val="Normal"/>
    <w:rsid w:val="000A3AAF"/>
    <w:pPr>
      <w:spacing w:after="100" w:afterAutospacing="1"/>
      <w:ind w:left="0"/>
    </w:pPr>
    <w:rPr>
      <w:rFonts w:ascii="Arial Narrow" w:hAnsi="Arial Narrow"/>
    </w:rPr>
  </w:style>
  <w:style w:type="paragraph" w:styleId="Footer">
    <w:name w:val="footer"/>
    <w:basedOn w:val="Normal"/>
    <w:pPr>
      <w:pBdr>
        <w:top w:val="single" w:sz="4" w:space="9" w:color="auto"/>
      </w:pBdr>
      <w:tabs>
        <w:tab w:val="right" w:pos="9000"/>
      </w:tabs>
    </w:pPr>
    <w:rPr>
      <w:rFonts w:ascii="Arial" w:hAnsi="Arial"/>
      <w:b/>
      <w:sz w:val="20"/>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customStyle="1" w:styleId="Summaryboxheading">
    <w:name w:val="Summary box heading"/>
    <w:basedOn w:val="Summaryboxtext"/>
    <w:rsid w:val="00D918EC"/>
    <w:pPr>
      <w:spacing w:before="120"/>
    </w:pPr>
    <w:rPr>
      <w:b/>
    </w:rPr>
  </w:style>
  <w:style w:type="paragraph" w:customStyle="1" w:styleId="Heading2a">
    <w:name w:val="Heading 2a"/>
    <w:basedOn w:val="Heading2"/>
    <w:rsid w:val="007F6EF6"/>
    <w:pPr>
      <w:outlineLvl w:val="9"/>
    </w:pPr>
    <w:rPr>
      <w:sz w:val="22"/>
    </w:rPr>
  </w:style>
  <w:style w:type="character" w:styleId="PageNumber">
    <w:name w:val="page number"/>
    <w:rPr>
      <w:rFonts w:ascii="Tahoma" w:hAnsi="Tahoma"/>
      <w:b/>
      <w:sz w:val="18"/>
    </w:rPr>
  </w:style>
  <w:style w:type="paragraph" w:customStyle="1" w:styleId="PublicationTitle">
    <w:name w:val="PublicationTitle"/>
    <w:basedOn w:val="Normal"/>
    <w:pPr>
      <w:spacing w:line="480" w:lineRule="exact"/>
      <w:ind w:left="0" w:right="113"/>
      <w:jc w:val="right"/>
    </w:pPr>
    <w:rPr>
      <w:rFonts w:ascii="Arial" w:hAnsi="Arial"/>
      <w:b/>
      <w:i/>
      <w:sz w:val="44"/>
    </w:rPr>
  </w:style>
  <w:style w:type="paragraph" w:customStyle="1" w:styleId="References">
    <w:name w:val="References"/>
    <w:basedOn w:val="Normal"/>
    <w:link w:val="ReferencesChar"/>
    <w:pPr>
      <w:keepLines/>
      <w:ind w:left="1440" w:hanging="720"/>
    </w:pPr>
  </w:style>
  <w:style w:type="paragraph" w:customStyle="1" w:styleId="Sub-title">
    <w:name w:val="Sub-title"/>
    <w:basedOn w:val="Normal"/>
    <w:pPr>
      <w:ind w:left="0" w:right="113"/>
      <w:jc w:val="right"/>
    </w:pPr>
    <w:rPr>
      <w:rFonts w:ascii="Arial" w:hAnsi="Arial"/>
      <w:b/>
      <w:sz w:val="32"/>
    </w:rPr>
  </w:style>
  <w:style w:type="paragraph" w:styleId="TableofFigures">
    <w:name w:val="table of figures"/>
    <w:basedOn w:val="Normal"/>
    <w:next w:val="Normal"/>
    <w:uiPriority w:val="99"/>
    <w:pPr>
      <w:tabs>
        <w:tab w:val="left" w:pos="1800"/>
        <w:tab w:val="right" w:leader="dot" w:pos="9017"/>
      </w:tabs>
      <w:spacing w:after="120"/>
      <w:ind w:left="1800" w:right="720" w:hanging="1080"/>
    </w:pPr>
    <w:rPr>
      <w:noProof/>
    </w:rPr>
  </w:style>
  <w:style w:type="paragraph" w:customStyle="1" w:styleId="TableText">
    <w:name w:val="TableText"/>
    <w:basedOn w:val="Normal"/>
    <w:link w:val="TableTextChar"/>
    <w:qFormat/>
    <w:pPr>
      <w:keepNext/>
      <w:spacing w:before="40" w:after="40"/>
      <w:ind w:left="0"/>
    </w:pPr>
    <w:rPr>
      <w:rFonts w:ascii="Arial Narrow" w:hAnsi="Arial Narrow"/>
      <w:sz w:val="18"/>
    </w:rPr>
  </w:style>
  <w:style w:type="character" w:customStyle="1" w:styleId="TableTextChar">
    <w:name w:val="TableText Char"/>
    <w:link w:val="TableText"/>
    <w:rsid w:val="00310008"/>
    <w:rPr>
      <w:rFonts w:ascii="Arial Narrow" w:hAnsi="Arial Narrow"/>
      <w:sz w:val="18"/>
      <w:lang w:val="en-AU" w:eastAsia="en-AU" w:bidi="ar-SA"/>
    </w:rPr>
  </w:style>
  <w:style w:type="paragraph" w:customStyle="1" w:styleId="TableHeading">
    <w:name w:val="TableHeading"/>
    <w:basedOn w:val="TableText"/>
    <w:link w:val="TableHeadingChar"/>
    <w:uiPriority w:val="99"/>
    <w:rsid w:val="00862A16"/>
    <w:rPr>
      <w:b/>
    </w:rPr>
  </w:style>
  <w:style w:type="character" w:customStyle="1" w:styleId="TableHeadingChar">
    <w:name w:val="TableHeading Char"/>
    <w:link w:val="TableHeading"/>
    <w:uiPriority w:val="99"/>
    <w:rsid w:val="00862A16"/>
    <w:rPr>
      <w:rFonts w:ascii="Arial Narrow" w:hAnsi="Arial Narrow"/>
      <w:b/>
      <w:sz w:val="18"/>
      <w:lang w:val="en-AU" w:eastAsia="en-AU" w:bidi="ar-SA"/>
    </w:rPr>
  </w:style>
  <w:style w:type="paragraph" w:customStyle="1" w:styleId="TableName">
    <w:name w:val="TableName"/>
    <w:basedOn w:val="TableText"/>
    <w:link w:val="TableNameChar"/>
    <w:qFormat/>
    <w:rsid w:val="000D2EB6"/>
    <w:pPr>
      <w:ind w:left="1440" w:hanging="720"/>
    </w:pPr>
    <w:rPr>
      <w:b/>
      <w:sz w:val="20"/>
    </w:rPr>
  </w:style>
  <w:style w:type="character" w:customStyle="1" w:styleId="TableNameChar">
    <w:name w:val="TableName Char"/>
    <w:link w:val="TableName"/>
    <w:rsid w:val="000D2EB6"/>
    <w:rPr>
      <w:rFonts w:ascii="Arial Narrow" w:hAnsi="Arial Narrow"/>
      <w:b/>
      <w:lang w:val="en-AU" w:eastAsia="en-AU" w:bidi="ar-SA"/>
    </w:rPr>
  </w:style>
  <w:style w:type="paragraph" w:customStyle="1" w:styleId="TableNotes">
    <w:name w:val="TableNotes"/>
    <w:basedOn w:val="TableText"/>
    <w:link w:val="TableNotesChar"/>
    <w:rsid w:val="00F2587E"/>
    <w:pPr>
      <w:keepNext w:val="0"/>
      <w:keepLines/>
      <w:spacing w:before="0" w:after="360"/>
      <w:ind w:left="720"/>
      <w:contextualSpacing/>
    </w:pPr>
    <w:rPr>
      <w:sz w:val="16"/>
    </w:rPr>
  </w:style>
  <w:style w:type="character" w:customStyle="1" w:styleId="TableNotesChar">
    <w:name w:val="TableNotes Char"/>
    <w:link w:val="TableNotes"/>
    <w:rsid w:val="00F2587E"/>
    <w:rPr>
      <w:rFonts w:ascii="Arial Narrow" w:hAnsi="Arial Narrow"/>
      <w:sz w:val="16"/>
      <w:lang w:val="en-AU" w:eastAsia="en-AU" w:bidi="ar-SA"/>
    </w:rPr>
  </w:style>
  <w:style w:type="paragraph" w:styleId="Title">
    <w:name w:val="Title"/>
    <w:basedOn w:val="Normal"/>
    <w:qFormat/>
    <w:pPr>
      <w:ind w:left="0"/>
      <w:jc w:val="center"/>
    </w:pPr>
    <w:rPr>
      <w:rFonts w:ascii="Arial" w:hAnsi="Arial"/>
      <w:b/>
      <w:smallCaps/>
      <w:sz w:val="44"/>
    </w:rPr>
  </w:style>
  <w:style w:type="paragraph" w:styleId="TOC1">
    <w:name w:val="toc 1"/>
    <w:basedOn w:val="Normal"/>
    <w:next w:val="Normal"/>
    <w:autoRedefine/>
    <w:uiPriority w:val="39"/>
    <w:pPr>
      <w:tabs>
        <w:tab w:val="left" w:pos="1276"/>
        <w:tab w:val="right" w:leader="dot" w:pos="9017"/>
      </w:tabs>
      <w:spacing w:before="120" w:after="60"/>
      <w:ind w:right="720"/>
    </w:pPr>
    <w:rPr>
      <w:b/>
      <w:noProof/>
    </w:rPr>
  </w:style>
  <w:style w:type="paragraph" w:styleId="TOC2">
    <w:name w:val="toc 2"/>
    <w:basedOn w:val="Normal"/>
    <w:next w:val="Normal"/>
    <w:autoRedefine/>
    <w:uiPriority w:val="39"/>
    <w:rsid w:val="0013164F"/>
    <w:pPr>
      <w:tabs>
        <w:tab w:val="left" w:pos="1134"/>
        <w:tab w:val="right" w:leader="dot" w:pos="9017"/>
      </w:tabs>
      <w:spacing w:after="60"/>
      <w:ind w:left="1440" w:right="720" w:hanging="447"/>
    </w:pPr>
    <w:rPr>
      <w:b/>
      <w:noProof/>
    </w:rPr>
  </w:style>
  <w:style w:type="paragraph" w:styleId="TOC3">
    <w:name w:val="toc 3"/>
    <w:basedOn w:val="Normal"/>
    <w:next w:val="Normal"/>
    <w:autoRedefine/>
    <w:uiPriority w:val="39"/>
    <w:pPr>
      <w:tabs>
        <w:tab w:val="right" w:leader="dot" w:pos="9016"/>
      </w:tabs>
      <w:spacing w:after="0"/>
      <w:ind w:left="1418"/>
    </w:pPr>
    <w:rPr>
      <w:noProof/>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rsid w:val="00C4750D"/>
    <w:pPr>
      <w:spacing w:after="0"/>
      <w:ind w:left="1760"/>
    </w:pPr>
  </w:style>
  <w:style w:type="paragraph" w:customStyle="1" w:styleId="Dash">
    <w:name w:val="Dash"/>
    <w:basedOn w:val="Normal"/>
    <w:pPr>
      <w:numPr>
        <w:numId w:val="2"/>
      </w:numPr>
    </w:pPr>
  </w:style>
  <w:style w:type="paragraph" w:styleId="Quote">
    <w:name w:val="Quote"/>
    <w:basedOn w:val="Normal"/>
    <w:qFormat/>
    <w:pPr>
      <w:keepLines/>
      <w:ind w:left="1440" w:right="720"/>
    </w:pPr>
    <w:rPr>
      <w:sz w:val="22"/>
    </w:rPr>
  </w:style>
  <w:style w:type="paragraph" w:styleId="BodyText">
    <w:name w:val="Body Text"/>
    <w:basedOn w:val="Normal"/>
    <w:link w:val="BodyTextChar"/>
    <w:pPr>
      <w:spacing w:after="0"/>
      <w:ind w:left="0"/>
    </w:pPr>
    <w:rPr>
      <w:rFonts w:ascii="Helv" w:hAnsi="Helv"/>
      <w:b/>
      <w:i/>
      <w:snapToGrid w:val="0"/>
      <w:color w:val="000000"/>
      <w:sz w:val="28"/>
      <w:lang w:eastAsia="en-US"/>
    </w:rPr>
  </w:style>
  <w:style w:type="paragraph" w:styleId="BalloonText">
    <w:name w:val="Balloon Text"/>
    <w:basedOn w:val="Normal"/>
    <w:semiHidden/>
    <w:rsid w:val="00AF06B8"/>
    <w:rPr>
      <w:rFonts w:ascii="Tahoma" w:hAnsi="Tahoma" w:cs="Tahoma"/>
      <w:sz w:val="16"/>
      <w:szCs w:val="16"/>
    </w:rPr>
  </w:style>
  <w:style w:type="character" w:styleId="Hyperlink">
    <w:name w:val="Hyperlink"/>
    <w:uiPriority w:val="99"/>
    <w:rsid w:val="00AF06B8"/>
    <w:rPr>
      <w:color w:val="0000FF"/>
      <w:u w:val="single"/>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003287"/>
    <w:rPr>
      <w:b/>
      <w:bCs/>
      <w:sz w:val="20"/>
    </w:rPr>
  </w:style>
  <w:style w:type="paragraph" w:customStyle="1" w:styleId="TableHeading0">
    <w:name w:val="Table Heading"/>
    <w:basedOn w:val="Normal"/>
    <w:next w:val="Normal"/>
    <w:rsid w:val="00C9014F"/>
    <w:pPr>
      <w:keepNext/>
      <w:spacing w:before="40" w:after="40"/>
      <w:ind w:left="0"/>
    </w:pPr>
    <w:rPr>
      <w:rFonts w:ascii="Arial" w:hAnsi="Arial"/>
      <w:b/>
      <w:sz w:val="18"/>
      <w:lang w:val="en-GB" w:eastAsia="en-US"/>
    </w:rPr>
  </w:style>
  <w:style w:type="table" w:styleId="TableGrid">
    <w:name w:val="Table Grid"/>
    <w:basedOn w:val="TableNormal"/>
    <w:uiPriority w:val="59"/>
    <w:rsid w:val="005265C4"/>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rsid w:val="001A4FAC"/>
    <w:pPr>
      <w:keepNext/>
      <w:spacing w:before="40" w:after="40"/>
      <w:ind w:left="0"/>
    </w:pPr>
    <w:rPr>
      <w:rFonts w:ascii="Arial" w:hAnsi="Arial"/>
      <w:sz w:val="18"/>
      <w:lang w:eastAsia="en-US"/>
    </w:rPr>
  </w:style>
  <w:style w:type="character" w:customStyle="1" w:styleId="TableTextChar0">
    <w:name w:val="Table Text Char"/>
    <w:link w:val="TableText0"/>
    <w:rsid w:val="001A4FAC"/>
    <w:rPr>
      <w:rFonts w:ascii="Arial" w:hAnsi="Arial"/>
      <w:sz w:val="18"/>
      <w:lang w:val="en-AU" w:eastAsia="en-US" w:bidi="ar-SA"/>
    </w:rPr>
  </w:style>
  <w:style w:type="paragraph" w:customStyle="1" w:styleId="Boxname">
    <w:name w:val="Box name"/>
    <w:basedOn w:val="TableName"/>
    <w:link w:val="BoxnameChar"/>
    <w:rsid w:val="00310008"/>
  </w:style>
  <w:style w:type="character" w:customStyle="1" w:styleId="BoxnameChar">
    <w:name w:val="Box name Char"/>
    <w:basedOn w:val="TableNameChar"/>
    <w:link w:val="Boxname"/>
    <w:rsid w:val="00B141EB"/>
    <w:rPr>
      <w:rFonts w:ascii="Arial Narrow" w:hAnsi="Arial Narrow"/>
      <w:b/>
      <w:lang w:val="en-AU" w:eastAsia="en-AU" w:bidi="ar-SA"/>
    </w:rPr>
  </w:style>
  <w:style w:type="paragraph" w:styleId="CommentSubject">
    <w:name w:val="annotation subject"/>
    <w:basedOn w:val="CommentText"/>
    <w:next w:val="CommentText"/>
    <w:semiHidden/>
    <w:rsid w:val="003060DC"/>
    <w:rPr>
      <w:b/>
      <w:bCs/>
    </w:rPr>
  </w:style>
  <w:style w:type="paragraph" w:customStyle="1" w:styleId="StyleTableTextArialNarrowFirstline045cm">
    <w:name w:val="Style Table Text + Arial Narrow First line:  0.45 cm"/>
    <w:basedOn w:val="TableText0"/>
    <w:rsid w:val="008E0528"/>
    <w:pPr>
      <w:spacing w:after="360"/>
      <w:ind w:firstLine="720"/>
    </w:pPr>
    <w:rPr>
      <w:rFonts w:ascii="Arial Narrow" w:hAnsi="Arial Narrow"/>
    </w:rPr>
  </w:style>
  <w:style w:type="character" w:styleId="FollowedHyperlink">
    <w:name w:val="FollowedHyperlink"/>
    <w:rsid w:val="003079EF"/>
    <w:rPr>
      <w:color w:val="800080"/>
      <w:u w:val="single"/>
    </w:rPr>
  </w:style>
  <w:style w:type="paragraph" w:customStyle="1" w:styleId="TableNamea">
    <w:name w:val="Table Name(a)"/>
    <w:basedOn w:val="Normal"/>
    <w:rsid w:val="0031303D"/>
    <w:pPr>
      <w:keepNext/>
      <w:spacing w:before="120" w:after="120"/>
      <w:ind w:left="1077" w:hanging="1077"/>
    </w:pPr>
    <w:rPr>
      <w:rFonts w:ascii="Arial" w:hAnsi="Arial"/>
      <w:b/>
      <w:sz w:val="20"/>
      <w:lang w:eastAsia="en-US"/>
    </w:rPr>
  </w:style>
  <w:style w:type="character" w:customStyle="1" w:styleId="BodyTextChar">
    <w:name w:val="Body Text Char"/>
    <w:link w:val="BodyText"/>
    <w:rsid w:val="00E97600"/>
    <w:rPr>
      <w:rFonts w:ascii="Helv" w:hAnsi="Helv"/>
      <w:b/>
      <w:i/>
      <w:snapToGrid w:val="0"/>
      <w:color w:val="000000"/>
      <w:sz w:val="28"/>
      <w:lang w:val="en-AU" w:eastAsia="en-US" w:bidi="ar-SA"/>
    </w:rPr>
  </w:style>
  <w:style w:type="paragraph" w:customStyle="1" w:styleId="CharChar1CharCharCharChar">
    <w:name w:val="Char Char1 Char Char Char Char"/>
    <w:basedOn w:val="Normal"/>
    <w:rsid w:val="00B60AC5"/>
    <w:pPr>
      <w:spacing w:after="0"/>
      <w:ind w:left="0"/>
    </w:pPr>
    <w:rPr>
      <w:rFonts w:ascii="Arial" w:hAnsi="Arial" w:cs="Arial"/>
      <w:sz w:val="22"/>
      <w:szCs w:val="22"/>
      <w:lang w:eastAsia="en-US"/>
    </w:rPr>
  </w:style>
  <w:style w:type="paragraph" w:styleId="ListParagraph">
    <w:name w:val="List Paragraph"/>
    <w:basedOn w:val="Normal"/>
    <w:uiPriority w:val="99"/>
    <w:qFormat/>
    <w:rsid w:val="00C4750D"/>
    <w:pPr>
      <w:spacing w:after="0"/>
      <w:contextualSpacing/>
    </w:pPr>
    <w:rPr>
      <w:rFonts w:ascii="Calibri" w:hAnsi="Calibri"/>
      <w:szCs w:val="24"/>
      <w:lang w:eastAsia="en-US"/>
    </w:rPr>
  </w:style>
  <w:style w:type="character" w:customStyle="1" w:styleId="CommentTextChar">
    <w:name w:val="Comment Text Char"/>
    <w:link w:val="CommentText"/>
    <w:rsid w:val="00C4750D"/>
    <w:rPr>
      <w:rFonts w:ascii="Garamond" w:hAnsi="Garamond"/>
    </w:rPr>
  </w:style>
  <w:style w:type="paragraph" w:styleId="NormalWeb">
    <w:name w:val="Normal (Web)"/>
    <w:basedOn w:val="Normal"/>
    <w:uiPriority w:val="99"/>
    <w:unhideWhenUsed/>
    <w:rsid w:val="00E45A4B"/>
    <w:pPr>
      <w:spacing w:before="100" w:beforeAutospacing="1" w:after="100" w:afterAutospacing="1"/>
      <w:ind w:left="0"/>
    </w:pPr>
    <w:rPr>
      <w:rFonts w:ascii="Times New Roman" w:hAnsi="Times New Roman"/>
      <w:szCs w:val="24"/>
    </w:rPr>
  </w:style>
  <w:style w:type="paragraph" w:customStyle="1" w:styleId="fulltext-text">
    <w:name w:val="fulltext-text"/>
    <w:basedOn w:val="Normal"/>
    <w:rsid w:val="00E772E6"/>
    <w:pPr>
      <w:spacing w:before="100" w:beforeAutospacing="1" w:after="360"/>
      <w:ind w:left="0"/>
    </w:pPr>
    <w:rPr>
      <w:rFonts w:ascii="Times New Roman" w:hAnsi="Times New Roman"/>
      <w:szCs w:val="24"/>
    </w:rPr>
  </w:style>
  <w:style w:type="character" w:customStyle="1" w:styleId="apple-converted-space">
    <w:name w:val="apple-converted-space"/>
    <w:basedOn w:val="DefaultParagraphFont"/>
    <w:rsid w:val="004A7875"/>
  </w:style>
  <w:style w:type="table" w:customStyle="1" w:styleId="1">
    <w:name w:val="1"/>
    <w:uiPriority w:val="99"/>
    <w:rsid w:val="00587BF8"/>
    <w:rPr>
      <w:lang w:val="en-US" w:eastAsia="en-US"/>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4" w:space="0" w:color="auto"/>
          <w:right w:val="nil"/>
          <w:insideH w:val="nil"/>
          <w:insideV w:val="nil"/>
          <w:tl2br w:val="nil"/>
          <w:tr2bl w:val="nil"/>
        </w:tcBorders>
      </w:tcPr>
    </w:tblStylePr>
  </w:style>
  <w:style w:type="character" w:customStyle="1" w:styleId="highlight">
    <w:name w:val="highlight"/>
    <w:basedOn w:val="DefaultParagraphFont"/>
    <w:rsid w:val="00904582"/>
  </w:style>
  <w:style w:type="paragraph" w:styleId="TOCHeading">
    <w:name w:val="TOC Heading"/>
    <w:basedOn w:val="Heading1"/>
    <w:next w:val="Normal"/>
    <w:uiPriority w:val="39"/>
    <w:unhideWhenUsed/>
    <w:qFormat/>
    <w:rsid w:val="004A554A"/>
    <w:pPr>
      <w:keepNext/>
      <w:keepLines/>
      <w:spacing w:before="480" w:after="0" w:line="276" w:lineRule="auto"/>
      <w:ind w:left="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Figures">
    <w:name w:val="Figures"/>
    <w:basedOn w:val="TableName"/>
    <w:qFormat/>
    <w:rsid w:val="003E5E41"/>
  </w:style>
  <w:style w:type="paragraph" w:customStyle="1" w:styleId="EndNoteBibliographyTitle">
    <w:name w:val="EndNote Bibliography Title"/>
    <w:basedOn w:val="Normal"/>
    <w:link w:val="EndNoteBibliographyTitleChar"/>
    <w:rsid w:val="003D3549"/>
    <w:pPr>
      <w:spacing w:after="0"/>
      <w:jc w:val="center"/>
    </w:pPr>
    <w:rPr>
      <w:noProof/>
    </w:rPr>
  </w:style>
  <w:style w:type="character" w:customStyle="1" w:styleId="ReferencesChar">
    <w:name w:val="References Char"/>
    <w:basedOn w:val="DefaultParagraphFont"/>
    <w:link w:val="References"/>
    <w:rsid w:val="003D3549"/>
    <w:rPr>
      <w:rFonts w:ascii="Garamond" w:hAnsi="Garamond"/>
      <w:sz w:val="24"/>
    </w:rPr>
  </w:style>
  <w:style w:type="character" w:customStyle="1" w:styleId="EndNoteBibliographyTitleChar">
    <w:name w:val="EndNote Bibliography Title Char"/>
    <w:basedOn w:val="ReferencesChar"/>
    <w:link w:val="EndNoteBibliographyTitle"/>
    <w:rsid w:val="003D3549"/>
    <w:rPr>
      <w:rFonts w:ascii="Garamond" w:hAnsi="Garamond"/>
      <w:noProof/>
      <w:sz w:val="24"/>
    </w:rPr>
  </w:style>
  <w:style w:type="paragraph" w:customStyle="1" w:styleId="EndNoteBibliography">
    <w:name w:val="EndNote Bibliography"/>
    <w:basedOn w:val="Normal"/>
    <w:link w:val="EndNoteBibliographyChar"/>
    <w:rsid w:val="003D3549"/>
    <w:rPr>
      <w:noProof/>
    </w:rPr>
  </w:style>
  <w:style w:type="character" w:customStyle="1" w:styleId="EndNoteBibliographyChar">
    <w:name w:val="EndNote Bibliography Char"/>
    <w:basedOn w:val="ReferencesChar"/>
    <w:link w:val="EndNoteBibliography"/>
    <w:rsid w:val="003D3549"/>
    <w:rPr>
      <w:rFonts w:ascii="Garamond" w:hAnsi="Garamond"/>
      <w:noProof/>
      <w:sz w:val="24"/>
    </w:rPr>
  </w:style>
  <w:style w:type="paragraph" w:customStyle="1" w:styleId="Default">
    <w:name w:val="Default"/>
    <w:rsid w:val="00F47C0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ind w:left="720"/>
    </w:pPr>
    <w:rPr>
      <w:rFonts w:ascii="Garamond" w:hAnsi="Garamond"/>
      <w:sz w:val="24"/>
    </w:rPr>
  </w:style>
  <w:style w:type="paragraph" w:styleId="Heading1">
    <w:name w:val="heading 1"/>
    <w:basedOn w:val="Normal"/>
    <w:next w:val="Normal"/>
    <w:qFormat/>
    <w:rsid w:val="00C40E3D"/>
    <w:pPr>
      <w:jc w:val="right"/>
      <w:outlineLvl w:val="0"/>
    </w:pPr>
    <w:rPr>
      <w:rFonts w:ascii="Arial" w:hAnsi="Arial" w:cs="Arial"/>
      <w:b/>
      <w:sz w:val="44"/>
      <w:szCs w:val="44"/>
    </w:rPr>
  </w:style>
  <w:style w:type="paragraph" w:styleId="Heading2">
    <w:name w:val="heading 2"/>
    <w:basedOn w:val="Normal"/>
    <w:next w:val="Normal"/>
    <w:link w:val="Heading2Char"/>
    <w:qFormat/>
    <w:rsid w:val="00C40E3D"/>
    <w:pPr>
      <w:keepNext/>
      <w:pageBreakBefore/>
      <w:pBdr>
        <w:bottom w:val="single" w:sz="4" w:space="1" w:color="auto"/>
      </w:pBdr>
      <w:spacing w:after="360"/>
      <w:ind w:left="3402" w:hanging="3402"/>
      <w:outlineLvl w:val="1"/>
    </w:pPr>
    <w:rPr>
      <w:rFonts w:ascii="Tahoma" w:hAnsi="Tahoma"/>
      <w:b/>
      <w:sz w:val="44"/>
    </w:rPr>
  </w:style>
  <w:style w:type="paragraph" w:styleId="Heading3">
    <w:name w:val="heading 3"/>
    <w:basedOn w:val="Normal"/>
    <w:next w:val="Normal"/>
    <w:qFormat/>
    <w:rsid w:val="0019483D"/>
    <w:pPr>
      <w:outlineLvl w:val="2"/>
    </w:pPr>
    <w:rPr>
      <w:rFonts w:ascii="Tahoma" w:hAnsi="Tahoma"/>
      <w:b/>
      <w:sz w:val="28"/>
    </w:rPr>
  </w:style>
  <w:style w:type="paragraph" w:styleId="Heading4">
    <w:name w:val="heading 4"/>
    <w:basedOn w:val="Normal"/>
    <w:next w:val="Normal"/>
    <w:qFormat/>
    <w:rsid w:val="0063011F"/>
    <w:pPr>
      <w:ind w:left="1134"/>
      <w:outlineLvl w:val="3"/>
    </w:pPr>
    <w:rPr>
      <w:rFonts w:ascii="Tahoma" w:hAnsi="Tahoma"/>
      <w:b/>
      <w:sz w:val="22"/>
    </w:rPr>
  </w:style>
  <w:style w:type="paragraph" w:styleId="Heading5">
    <w:name w:val="heading 5"/>
    <w:basedOn w:val="Normal"/>
    <w:next w:val="Normal"/>
    <w:qFormat/>
    <w:rsid w:val="0019483D"/>
    <w:pPr>
      <w:outlineLvl w:val="4"/>
    </w:pPr>
    <w:rPr>
      <w:rFonts w:ascii="Tahoma" w:hAnsi="Tahoma"/>
      <w:b/>
      <w:sz w:val="20"/>
    </w:rPr>
  </w:style>
  <w:style w:type="paragraph" w:styleId="Heading6">
    <w:name w:val="heading 6"/>
    <w:basedOn w:val="Normal"/>
    <w:next w:val="Normal"/>
    <w:qFormat/>
    <w:rsid w:val="0019483D"/>
    <w:pPr>
      <w:outlineLvl w:val="5"/>
    </w:pPr>
    <w:rPr>
      <w:b/>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40E3D"/>
    <w:rPr>
      <w:rFonts w:ascii="Tahoma" w:hAnsi="Tahoma"/>
      <w:b/>
      <w:sz w:val="44"/>
    </w:rPr>
  </w:style>
  <w:style w:type="paragraph" w:customStyle="1" w:styleId="Bullet">
    <w:name w:val="Bullet"/>
    <w:basedOn w:val="Normal"/>
    <w:pPr>
      <w:numPr>
        <w:numId w:val="1"/>
      </w:numPr>
    </w:pPr>
  </w:style>
  <w:style w:type="character" w:styleId="CommentReference">
    <w:name w:val="annotation reference"/>
    <w:uiPriority w:val="99"/>
    <w:rPr>
      <w:sz w:val="16"/>
    </w:rPr>
  </w:style>
  <w:style w:type="paragraph" w:styleId="CommentText">
    <w:name w:val="annotation text"/>
    <w:basedOn w:val="Normal"/>
    <w:link w:val="CommentTextChar"/>
    <w:rPr>
      <w:sz w:val="20"/>
    </w:rPr>
  </w:style>
  <w:style w:type="paragraph" w:styleId="Date">
    <w:name w:val="Date"/>
    <w:basedOn w:val="Normal"/>
    <w:next w:val="Normal"/>
    <w:pPr>
      <w:ind w:right="113"/>
      <w:jc w:val="right"/>
    </w:pPr>
    <w:rPr>
      <w:rFonts w:ascii="Arial" w:hAnsi="Arial"/>
      <w:b/>
      <w:sz w:val="36"/>
    </w:rPr>
  </w:style>
  <w:style w:type="paragraph" w:customStyle="1" w:styleId="Summaryboxtext">
    <w:name w:val="Summary box text"/>
    <w:basedOn w:val="Normal"/>
    <w:rsid w:val="000A3AAF"/>
    <w:pPr>
      <w:spacing w:after="100" w:afterAutospacing="1"/>
      <w:ind w:left="0"/>
    </w:pPr>
    <w:rPr>
      <w:rFonts w:ascii="Arial Narrow" w:hAnsi="Arial Narrow"/>
    </w:rPr>
  </w:style>
  <w:style w:type="paragraph" w:styleId="Footer">
    <w:name w:val="footer"/>
    <w:basedOn w:val="Normal"/>
    <w:pPr>
      <w:pBdr>
        <w:top w:val="single" w:sz="4" w:space="9" w:color="auto"/>
      </w:pBdr>
      <w:tabs>
        <w:tab w:val="right" w:pos="9000"/>
      </w:tabs>
    </w:pPr>
    <w:rPr>
      <w:rFonts w:ascii="Arial" w:hAnsi="Arial"/>
      <w:b/>
      <w:sz w:val="20"/>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customStyle="1" w:styleId="Summaryboxheading">
    <w:name w:val="Summary box heading"/>
    <w:basedOn w:val="Summaryboxtext"/>
    <w:rsid w:val="00D918EC"/>
    <w:pPr>
      <w:spacing w:before="120"/>
    </w:pPr>
    <w:rPr>
      <w:b/>
    </w:rPr>
  </w:style>
  <w:style w:type="paragraph" w:customStyle="1" w:styleId="Heading2a">
    <w:name w:val="Heading 2a"/>
    <w:basedOn w:val="Heading2"/>
    <w:rsid w:val="007F6EF6"/>
    <w:pPr>
      <w:outlineLvl w:val="9"/>
    </w:pPr>
    <w:rPr>
      <w:sz w:val="22"/>
    </w:rPr>
  </w:style>
  <w:style w:type="character" w:styleId="PageNumber">
    <w:name w:val="page number"/>
    <w:rPr>
      <w:rFonts w:ascii="Tahoma" w:hAnsi="Tahoma"/>
      <w:b/>
      <w:sz w:val="18"/>
    </w:rPr>
  </w:style>
  <w:style w:type="paragraph" w:customStyle="1" w:styleId="PublicationTitle">
    <w:name w:val="PublicationTitle"/>
    <w:basedOn w:val="Normal"/>
    <w:pPr>
      <w:spacing w:line="480" w:lineRule="exact"/>
      <w:ind w:left="0" w:right="113"/>
      <w:jc w:val="right"/>
    </w:pPr>
    <w:rPr>
      <w:rFonts w:ascii="Arial" w:hAnsi="Arial"/>
      <w:b/>
      <w:i/>
      <w:sz w:val="44"/>
    </w:rPr>
  </w:style>
  <w:style w:type="paragraph" w:customStyle="1" w:styleId="References">
    <w:name w:val="References"/>
    <w:basedOn w:val="Normal"/>
    <w:link w:val="ReferencesChar"/>
    <w:pPr>
      <w:keepLines/>
      <w:ind w:left="1440" w:hanging="720"/>
    </w:pPr>
  </w:style>
  <w:style w:type="paragraph" w:customStyle="1" w:styleId="Sub-title">
    <w:name w:val="Sub-title"/>
    <w:basedOn w:val="Normal"/>
    <w:pPr>
      <w:ind w:left="0" w:right="113"/>
      <w:jc w:val="right"/>
    </w:pPr>
    <w:rPr>
      <w:rFonts w:ascii="Arial" w:hAnsi="Arial"/>
      <w:b/>
      <w:sz w:val="32"/>
    </w:rPr>
  </w:style>
  <w:style w:type="paragraph" w:styleId="TableofFigures">
    <w:name w:val="table of figures"/>
    <w:basedOn w:val="Normal"/>
    <w:next w:val="Normal"/>
    <w:uiPriority w:val="99"/>
    <w:pPr>
      <w:tabs>
        <w:tab w:val="left" w:pos="1800"/>
        <w:tab w:val="right" w:leader="dot" w:pos="9017"/>
      </w:tabs>
      <w:spacing w:after="120"/>
      <w:ind w:left="1800" w:right="720" w:hanging="1080"/>
    </w:pPr>
    <w:rPr>
      <w:noProof/>
    </w:rPr>
  </w:style>
  <w:style w:type="paragraph" w:customStyle="1" w:styleId="TableText">
    <w:name w:val="TableText"/>
    <w:basedOn w:val="Normal"/>
    <w:link w:val="TableTextChar"/>
    <w:qFormat/>
    <w:pPr>
      <w:keepNext/>
      <w:spacing w:before="40" w:after="40"/>
      <w:ind w:left="0"/>
    </w:pPr>
    <w:rPr>
      <w:rFonts w:ascii="Arial Narrow" w:hAnsi="Arial Narrow"/>
      <w:sz w:val="18"/>
    </w:rPr>
  </w:style>
  <w:style w:type="character" w:customStyle="1" w:styleId="TableTextChar">
    <w:name w:val="TableText Char"/>
    <w:link w:val="TableText"/>
    <w:rsid w:val="00310008"/>
    <w:rPr>
      <w:rFonts w:ascii="Arial Narrow" w:hAnsi="Arial Narrow"/>
      <w:sz w:val="18"/>
      <w:lang w:val="en-AU" w:eastAsia="en-AU" w:bidi="ar-SA"/>
    </w:rPr>
  </w:style>
  <w:style w:type="paragraph" w:customStyle="1" w:styleId="TableHeading">
    <w:name w:val="TableHeading"/>
    <w:basedOn w:val="TableText"/>
    <w:link w:val="TableHeadingChar"/>
    <w:uiPriority w:val="99"/>
    <w:rsid w:val="00862A16"/>
    <w:rPr>
      <w:b/>
    </w:rPr>
  </w:style>
  <w:style w:type="character" w:customStyle="1" w:styleId="TableHeadingChar">
    <w:name w:val="TableHeading Char"/>
    <w:link w:val="TableHeading"/>
    <w:uiPriority w:val="99"/>
    <w:rsid w:val="00862A16"/>
    <w:rPr>
      <w:rFonts w:ascii="Arial Narrow" w:hAnsi="Arial Narrow"/>
      <w:b/>
      <w:sz w:val="18"/>
      <w:lang w:val="en-AU" w:eastAsia="en-AU" w:bidi="ar-SA"/>
    </w:rPr>
  </w:style>
  <w:style w:type="paragraph" w:customStyle="1" w:styleId="TableName">
    <w:name w:val="TableName"/>
    <w:basedOn w:val="TableText"/>
    <w:link w:val="TableNameChar"/>
    <w:qFormat/>
    <w:rsid w:val="000D2EB6"/>
    <w:pPr>
      <w:ind w:left="1440" w:hanging="720"/>
    </w:pPr>
    <w:rPr>
      <w:b/>
      <w:sz w:val="20"/>
    </w:rPr>
  </w:style>
  <w:style w:type="character" w:customStyle="1" w:styleId="TableNameChar">
    <w:name w:val="TableName Char"/>
    <w:link w:val="TableName"/>
    <w:rsid w:val="000D2EB6"/>
    <w:rPr>
      <w:rFonts w:ascii="Arial Narrow" w:hAnsi="Arial Narrow"/>
      <w:b/>
      <w:lang w:val="en-AU" w:eastAsia="en-AU" w:bidi="ar-SA"/>
    </w:rPr>
  </w:style>
  <w:style w:type="paragraph" w:customStyle="1" w:styleId="TableNotes">
    <w:name w:val="TableNotes"/>
    <w:basedOn w:val="TableText"/>
    <w:link w:val="TableNotesChar"/>
    <w:rsid w:val="00F2587E"/>
    <w:pPr>
      <w:keepNext w:val="0"/>
      <w:keepLines/>
      <w:spacing w:before="0" w:after="360"/>
      <w:ind w:left="720"/>
      <w:contextualSpacing/>
    </w:pPr>
    <w:rPr>
      <w:sz w:val="16"/>
    </w:rPr>
  </w:style>
  <w:style w:type="character" w:customStyle="1" w:styleId="TableNotesChar">
    <w:name w:val="TableNotes Char"/>
    <w:link w:val="TableNotes"/>
    <w:rsid w:val="00F2587E"/>
    <w:rPr>
      <w:rFonts w:ascii="Arial Narrow" w:hAnsi="Arial Narrow"/>
      <w:sz w:val="16"/>
      <w:lang w:val="en-AU" w:eastAsia="en-AU" w:bidi="ar-SA"/>
    </w:rPr>
  </w:style>
  <w:style w:type="paragraph" w:styleId="Title">
    <w:name w:val="Title"/>
    <w:basedOn w:val="Normal"/>
    <w:qFormat/>
    <w:pPr>
      <w:ind w:left="0"/>
      <w:jc w:val="center"/>
    </w:pPr>
    <w:rPr>
      <w:rFonts w:ascii="Arial" w:hAnsi="Arial"/>
      <w:b/>
      <w:smallCaps/>
      <w:sz w:val="44"/>
    </w:rPr>
  </w:style>
  <w:style w:type="paragraph" w:styleId="TOC1">
    <w:name w:val="toc 1"/>
    <w:basedOn w:val="Normal"/>
    <w:next w:val="Normal"/>
    <w:autoRedefine/>
    <w:uiPriority w:val="39"/>
    <w:pPr>
      <w:tabs>
        <w:tab w:val="left" w:pos="1276"/>
        <w:tab w:val="right" w:leader="dot" w:pos="9017"/>
      </w:tabs>
      <w:spacing w:before="120" w:after="60"/>
      <w:ind w:right="720"/>
    </w:pPr>
    <w:rPr>
      <w:b/>
      <w:noProof/>
    </w:rPr>
  </w:style>
  <w:style w:type="paragraph" w:styleId="TOC2">
    <w:name w:val="toc 2"/>
    <w:basedOn w:val="Normal"/>
    <w:next w:val="Normal"/>
    <w:autoRedefine/>
    <w:uiPriority w:val="39"/>
    <w:rsid w:val="0013164F"/>
    <w:pPr>
      <w:tabs>
        <w:tab w:val="left" w:pos="1134"/>
        <w:tab w:val="right" w:leader="dot" w:pos="9017"/>
      </w:tabs>
      <w:spacing w:after="60"/>
      <w:ind w:left="1440" w:right="720" w:hanging="447"/>
    </w:pPr>
    <w:rPr>
      <w:b/>
      <w:noProof/>
    </w:rPr>
  </w:style>
  <w:style w:type="paragraph" w:styleId="TOC3">
    <w:name w:val="toc 3"/>
    <w:basedOn w:val="Normal"/>
    <w:next w:val="Normal"/>
    <w:autoRedefine/>
    <w:uiPriority w:val="39"/>
    <w:pPr>
      <w:tabs>
        <w:tab w:val="right" w:leader="dot" w:pos="9016"/>
      </w:tabs>
      <w:spacing w:after="0"/>
      <w:ind w:left="1418"/>
    </w:pPr>
    <w:rPr>
      <w:noProof/>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rsid w:val="00C4750D"/>
    <w:pPr>
      <w:spacing w:after="0"/>
      <w:ind w:left="1760"/>
    </w:pPr>
  </w:style>
  <w:style w:type="paragraph" w:customStyle="1" w:styleId="Dash">
    <w:name w:val="Dash"/>
    <w:basedOn w:val="Normal"/>
    <w:pPr>
      <w:numPr>
        <w:numId w:val="2"/>
      </w:numPr>
    </w:pPr>
  </w:style>
  <w:style w:type="paragraph" w:styleId="Quote">
    <w:name w:val="Quote"/>
    <w:basedOn w:val="Normal"/>
    <w:qFormat/>
    <w:pPr>
      <w:keepLines/>
      <w:ind w:left="1440" w:right="720"/>
    </w:pPr>
    <w:rPr>
      <w:sz w:val="22"/>
    </w:rPr>
  </w:style>
  <w:style w:type="paragraph" w:styleId="BodyText">
    <w:name w:val="Body Text"/>
    <w:basedOn w:val="Normal"/>
    <w:link w:val="BodyTextChar"/>
    <w:pPr>
      <w:spacing w:after="0"/>
      <w:ind w:left="0"/>
    </w:pPr>
    <w:rPr>
      <w:rFonts w:ascii="Helv" w:hAnsi="Helv"/>
      <w:b/>
      <w:i/>
      <w:snapToGrid w:val="0"/>
      <w:color w:val="000000"/>
      <w:sz w:val="28"/>
      <w:lang w:eastAsia="en-US"/>
    </w:rPr>
  </w:style>
  <w:style w:type="paragraph" w:styleId="BalloonText">
    <w:name w:val="Balloon Text"/>
    <w:basedOn w:val="Normal"/>
    <w:semiHidden/>
    <w:rsid w:val="00AF06B8"/>
    <w:rPr>
      <w:rFonts w:ascii="Tahoma" w:hAnsi="Tahoma" w:cs="Tahoma"/>
      <w:sz w:val="16"/>
      <w:szCs w:val="16"/>
    </w:rPr>
  </w:style>
  <w:style w:type="character" w:styleId="Hyperlink">
    <w:name w:val="Hyperlink"/>
    <w:uiPriority w:val="99"/>
    <w:rsid w:val="00AF06B8"/>
    <w:rPr>
      <w:color w:val="0000FF"/>
      <w:u w:val="single"/>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003287"/>
    <w:rPr>
      <w:b/>
      <w:bCs/>
      <w:sz w:val="20"/>
    </w:rPr>
  </w:style>
  <w:style w:type="paragraph" w:customStyle="1" w:styleId="TableHeading0">
    <w:name w:val="Table Heading"/>
    <w:basedOn w:val="Normal"/>
    <w:next w:val="Normal"/>
    <w:rsid w:val="00C9014F"/>
    <w:pPr>
      <w:keepNext/>
      <w:spacing w:before="40" w:after="40"/>
      <w:ind w:left="0"/>
    </w:pPr>
    <w:rPr>
      <w:rFonts w:ascii="Arial" w:hAnsi="Arial"/>
      <w:b/>
      <w:sz w:val="18"/>
      <w:lang w:val="en-GB" w:eastAsia="en-US"/>
    </w:rPr>
  </w:style>
  <w:style w:type="table" w:styleId="TableGrid">
    <w:name w:val="Table Grid"/>
    <w:basedOn w:val="TableNormal"/>
    <w:uiPriority w:val="59"/>
    <w:rsid w:val="005265C4"/>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rsid w:val="001A4FAC"/>
    <w:pPr>
      <w:keepNext/>
      <w:spacing w:before="40" w:after="40"/>
      <w:ind w:left="0"/>
    </w:pPr>
    <w:rPr>
      <w:rFonts w:ascii="Arial" w:hAnsi="Arial"/>
      <w:sz w:val="18"/>
      <w:lang w:eastAsia="en-US"/>
    </w:rPr>
  </w:style>
  <w:style w:type="character" w:customStyle="1" w:styleId="TableTextChar0">
    <w:name w:val="Table Text Char"/>
    <w:link w:val="TableText0"/>
    <w:rsid w:val="001A4FAC"/>
    <w:rPr>
      <w:rFonts w:ascii="Arial" w:hAnsi="Arial"/>
      <w:sz w:val="18"/>
      <w:lang w:val="en-AU" w:eastAsia="en-US" w:bidi="ar-SA"/>
    </w:rPr>
  </w:style>
  <w:style w:type="paragraph" w:customStyle="1" w:styleId="Boxname">
    <w:name w:val="Box name"/>
    <w:basedOn w:val="TableName"/>
    <w:link w:val="BoxnameChar"/>
    <w:rsid w:val="00310008"/>
  </w:style>
  <w:style w:type="character" w:customStyle="1" w:styleId="BoxnameChar">
    <w:name w:val="Box name Char"/>
    <w:basedOn w:val="TableNameChar"/>
    <w:link w:val="Boxname"/>
    <w:rsid w:val="00B141EB"/>
    <w:rPr>
      <w:rFonts w:ascii="Arial Narrow" w:hAnsi="Arial Narrow"/>
      <w:b/>
      <w:lang w:val="en-AU" w:eastAsia="en-AU" w:bidi="ar-SA"/>
    </w:rPr>
  </w:style>
  <w:style w:type="paragraph" w:styleId="CommentSubject">
    <w:name w:val="annotation subject"/>
    <w:basedOn w:val="CommentText"/>
    <w:next w:val="CommentText"/>
    <w:semiHidden/>
    <w:rsid w:val="003060DC"/>
    <w:rPr>
      <w:b/>
      <w:bCs/>
    </w:rPr>
  </w:style>
  <w:style w:type="paragraph" w:customStyle="1" w:styleId="StyleTableTextArialNarrowFirstline045cm">
    <w:name w:val="Style Table Text + Arial Narrow First line:  0.45 cm"/>
    <w:basedOn w:val="TableText0"/>
    <w:rsid w:val="008E0528"/>
    <w:pPr>
      <w:spacing w:after="360"/>
      <w:ind w:firstLine="720"/>
    </w:pPr>
    <w:rPr>
      <w:rFonts w:ascii="Arial Narrow" w:hAnsi="Arial Narrow"/>
    </w:rPr>
  </w:style>
  <w:style w:type="character" w:styleId="FollowedHyperlink">
    <w:name w:val="FollowedHyperlink"/>
    <w:rsid w:val="003079EF"/>
    <w:rPr>
      <w:color w:val="800080"/>
      <w:u w:val="single"/>
    </w:rPr>
  </w:style>
  <w:style w:type="paragraph" w:customStyle="1" w:styleId="TableNamea">
    <w:name w:val="Table Name(a)"/>
    <w:basedOn w:val="Normal"/>
    <w:rsid w:val="0031303D"/>
    <w:pPr>
      <w:keepNext/>
      <w:spacing w:before="120" w:after="120"/>
      <w:ind w:left="1077" w:hanging="1077"/>
    </w:pPr>
    <w:rPr>
      <w:rFonts w:ascii="Arial" w:hAnsi="Arial"/>
      <w:b/>
      <w:sz w:val="20"/>
      <w:lang w:eastAsia="en-US"/>
    </w:rPr>
  </w:style>
  <w:style w:type="character" w:customStyle="1" w:styleId="BodyTextChar">
    <w:name w:val="Body Text Char"/>
    <w:link w:val="BodyText"/>
    <w:rsid w:val="00E97600"/>
    <w:rPr>
      <w:rFonts w:ascii="Helv" w:hAnsi="Helv"/>
      <w:b/>
      <w:i/>
      <w:snapToGrid w:val="0"/>
      <w:color w:val="000000"/>
      <w:sz w:val="28"/>
      <w:lang w:val="en-AU" w:eastAsia="en-US" w:bidi="ar-SA"/>
    </w:rPr>
  </w:style>
  <w:style w:type="paragraph" w:customStyle="1" w:styleId="CharChar1CharCharCharChar">
    <w:name w:val="Char Char1 Char Char Char Char"/>
    <w:basedOn w:val="Normal"/>
    <w:rsid w:val="00B60AC5"/>
    <w:pPr>
      <w:spacing w:after="0"/>
      <w:ind w:left="0"/>
    </w:pPr>
    <w:rPr>
      <w:rFonts w:ascii="Arial" w:hAnsi="Arial" w:cs="Arial"/>
      <w:sz w:val="22"/>
      <w:szCs w:val="22"/>
      <w:lang w:eastAsia="en-US"/>
    </w:rPr>
  </w:style>
  <w:style w:type="paragraph" w:styleId="ListParagraph">
    <w:name w:val="List Paragraph"/>
    <w:basedOn w:val="Normal"/>
    <w:uiPriority w:val="99"/>
    <w:qFormat/>
    <w:rsid w:val="00C4750D"/>
    <w:pPr>
      <w:spacing w:after="0"/>
      <w:contextualSpacing/>
    </w:pPr>
    <w:rPr>
      <w:rFonts w:ascii="Calibri" w:hAnsi="Calibri"/>
      <w:szCs w:val="24"/>
      <w:lang w:eastAsia="en-US"/>
    </w:rPr>
  </w:style>
  <w:style w:type="character" w:customStyle="1" w:styleId="CommentTextChar">
    <w:name w:val="Comment Text Char"/>
    <w:link w:val="CommentText"/>
    <w:rsid w:val="00C4750D"/>
    <w:rPr>
      <w:rFonts w:ascii="Garamond" w:hAnsi="Garamond"/>
    </w:rPr>
  </w:style>
  <w:style w:type="paragraph" w:styleId="NormalWeb">
    <w:name w:val="Normal (Web)"/>
    <w:basedOn w:val="Normal"/>
    <w:uiPriority w:val="99"/>
    <w:unhideWhenUsed/>
    <w:rsid w:val="00E45A4B"/>
    <w:pPr>
      <w:spacing w:before="100" w:beforeAutospacing="1" w:after="100" w:afterAutospacing="1"/>
      <w:ind w:left="0"/>
    </w:pPr>
    <w:rPr>
      <w:rFonts w:ascii="Times New Roman" w:hAnsi="Times New Roman"/>
      <w:szCs w:val="24"/>
    </w:rPr>
  </w:style>
  <w:style w:type="paragraph" w:customStyle="1" w:styleId="fulltext-text">
    <w:name w:val="fulltext-text"/>
    <w:basedOn w:val="Normal"/>
    <w:rsid w:val="00E772E6"/>
    <w:pPr>
      <w:spacing w:before="100" w:beforeAutospacing="1" w:after="360"/>
      <w:ind w:left="0"/>
    </w:pPr>
    <w:rPr>
      <w:rFonts w:ascii="Times New Roman" w:hAnsi="Times New Roman"/>
      <w:szCs w:val="24"/>
    </w:rPr>
  </w:style>
  <w:style w:type="character" w:customStyle="1" w:styleId="apple-converted-space">
    <w:name w:val="apple-converted-space"/>
    <w:basedOn w:val="DefaultParagraphFont"/>
    <w:rsid w:val="004A7875"/>
  </w:style>
  <w:style w:type="table" w:customStyle="1" w:styleId="1">
    <w:name w:val="1"/>
    <w:uiPriority w:val="99"/>
    <w:rsid w:val="00587BF8"/>
    <w:rPr>
      <w:lang w:val="en-US" w:eastAsia="en-US"/>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4" w:space="0" w:color="auto"/>
          <w:right w:val="nil"/>
          <w:insideH w:val="nil"/>
          <w:insideV w:val="nil"/>
          <w:tl2br w:val="nil"/>
          <w:tr2bl w:val="nil"/>
        </w:tcBorders>
      </w:tcPr>
    </w:tblStylePr>
  </w:style>
  <w:style w:type="character" w:customStyle="1" w:styleId="highlight">
    <w:name w:val="highlight"/>
    <w:basedOn w:val="DefaultParagraphFont"/>
    <w:rsid w:val="00904582"/>
  </w:style>
  <w:style w:type="paragraph" w:styleId="TOCHeading">
    <w:name w:val="TOC Heading"/>
    <w:basedOn w:val="Heading1"/>
    <w:next w:val="Normal"/>
    <w:uiPriority w:val="39"/>
    <w:unhideWhenUsed/>
    <w:qFormat/>
    <w:rsid w:val="004A554A"/>
    <w:pPr>
      <w:keepNext/>
      <w:keepLines/>
      <w:spacing w:before="480" w:after="0" w:line="276" w:lineRule="auto"/>
      <w:ind w:left="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Figures">
    <w:name w:val="Figures"/>
    <w:basedOn w:val="TableName"/>
    <w:qFormat/>
    <w:rsid w:val="003E5E41"/>
  </w:style>
  <w:style w:type="paragraph" w:customStyle="1" w:styleId="EndNoteBibliographyTitle">
    <w:name w:val="EndNote Bibliography Title"/>
    <w:basedOn w:val="Normal"/>
    <w:link w:val="EndNoteBibliographyTitleChar"/>
    <w:rsid w:val="003D3549"/>
    <w:pPr>
      <w:spacing w:after="0"/>
      <w:jc w:val="center"/>
    </w:pPr>
    <w:rPr>
      <w:noProof/>
    </w:rPr>
  </w:style>
  <w:style w:type="character" w:customStyle="1" w:styleId="ReferencesChar">
    <w:name w:val="References Char"/>
    <w:basedOn w:val="DefaultParagraphFont"/>
    <w:link w:val="References"/>
    <w:rsid w:val="003D3549"/>
    <w:rPr>
      <w:rFonts w:ascii="Garamond" w:hAnsi="Garamond"/>
      <w:sz w:val="24"/>
    </w:rPr>
  </w:style>
  <w:style w:type="character" w:customStyle="1" w:styleId="EndNoteBibliographyTitleChar">
    <w:name w:val="EndNote Bibliography Title Char"/>
    <w:basedOn w:val="ReferencesChar"/>
    <w:link w:val="EndNoteBibliographyTitle"/>
    <w:rsid w:val="003D3549"/>
    <w:rPr>
      <w:rFonts w:ascii="Garamond" w:hAnsi="Garamond"/>
      <w:noProof/>
      <w:sz w:val="24"/>
    </w:rPr>
  </w:style>
  <w:style w:type="paragraph" w:customStyle="1" w:styleId="EndNoteBibliography">
    <w:name w:val="EndNote Bibliography"/>
    <w:basedOn w:val="Normal"/>
    <w:link w:val="EndNoteBibliographyChar"/>
    <w:rsid w:val="003D3549"/>
    <w:rPr>
      <w:noProof/>
    </w:rPr>
  </w:style>
  <w:style w:type="character" w:customStyle="1" w:styleId="EndNoteBibliographyChar">
    <w:name w:val="EndNote Bibliography Char"/>
    <w:basedOn w:val="ReferencesChar"/>
    <w:link w:val="EndNoteBibliography"/>
    <w:rsid w:val="003D3549"/>
    <w:rPr>
      <w:rFonts w:ascii="Garamond" w:hAnsi="Garamond"/>
      <w:noProof/>
      <w:sz w:val="24"/>
    </w:rPr>
  </w:style>
  <w:style w:type="paragraph" w:customStyle="1" w:styleId="Default">
    <w:name w:val="Default"/>
    <w:rsid w:val="00F47C0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1479">
      <w:bodyDiv w:val="1"/>
      <w:marLeft w:val="0"/>
      <w:marRight w:val="0"/>
      <w:marTop w:val="0"/>
      <w:marBottom w:val="0"/>
      <w:divBdr>
        <w:top w:val="none" w:sz="0" w:space="0" w:color="auto"/>
        <w:left w:val="none" w:sz="0" w:space="0" w:color="auto"/>
        <w:bottom w:val="none" w:sz="0" w:space="0" w:color="auto"/>
        <w:right w:val="none" w:sz="0" w:space="0" w:color="auto"/>
      </w:divBdr>
    </w:div>
    <w:div w:id="68574738">
      <w:bodyDiv w:val="1"/>
      <w:marLeft w:val="0"/>
      <w:marRight w:val="0"/>
      <w:marTop w:val="0"/>
      <w:marBottom w:val="0"/>
      <w:divBdr>
        <w:top w:val="none" w:sz="0" w:space="0" w:color="auto"/>
        <w:left w:val="none" w:sz="0" w:space="0" w:color="auto"/>
        <w:bottom w:val="none" w:sz="0" w:space="0" w:color="auto"/>
        <w:right w:val="none" w:sz="0" w:space="0" w:color="auto"/>
      </w:divBdr>
    </w:div>
    <w:div w:id="118423729">
      <w:bodyDiv w:val="1"/>
      <w:marLeft w:val="0"/>
      <w:marRight w:val="0"/>
      <w:marTop w:val="0"/>
      <w:marBottom w:val="0"/>
      <w:divBdr>
        <w:top w:val="none" w:sz="0" w:space="0" w:color="auto"/>
        <w:left w:val="none" w:sz="0" w:space="0" w:color="auto"/>
        <w:bottom w:val="none" w:sz="0" w:space="0" w:color="auto"/>
        <w:right w:val="none" w:sz="0" w:space="0" w:color="auto"/>
      </w:divBdr>
    </w:div>
    <w:div w:id="185215284">
      <w:bodyDiv w:val="1"/>
      <w:marLeft w:val="0"/>
      <w:marRight w:val="0"/>
      <w:marTop w:val="0"/>
      <w:marBottom w:val="0"/>
      <w:divBdr>
        <w:top w:val="none" w:sz="0" w:space="0" w:color="auto"/>
        <w:left w:val="none" w:sz="0" w:space="0" w:color="auto"/>
        <w:bottom w:val="none" w:sz="0" w:space="0" w:color="auto"/>
        <w:right w:val="none" w:sz="0" w:space="0" w:color="auto"/>
      </w:divBdr>
    </w:div>
    <w:div w:id="194470657">
      <w:bodyDiv w:val="1"/>
      <w:marLeft w:val="0"/>
      <w:marRight w:val="0"/>
      <w:marTop w:val="0"/>
      <w:marBottom w:val="0"/>
      <w:divBdr>
        <w:top w:val="none" w:sz="0" w:space="0" w:color="auto"/>
        <w:left w:val="none" w:sz="0" w:space="0" w:color="auto"/>
        <w:bottom w:val="none" w:sz="0" w:space="0" w:color="auto"/>
        <w:right w:val="none" w:sz="0" w:space="0" w:color="auto"/>
      </w:divBdr>
    </w:div>
    <w:div w:id="214315871">
      <w:bodyDiv w:val="1"/>
      <w:marLeft w:val="0"/>
      <w:marRight w:val="0"/>
      <w:marTop w:val="0"/>
      <w:marBottom w:val="0"/>
      <w:divBdr>
        <w:top w:val="none" w:sz="0" w:space="0" w:color="auto"/>
        <w:left w:val="none" w:sz="0" w:space="0" w:color="auto"/>
        <w:bottom w:val="none" w:sz="0" w:space="0" w:color="auto"/>
        <w:right w:val="none" w:sz="0" w:space="0" w:color="auto"/>
      </w:divBdr>
    </w:div>
    <w:div w:id="227109199">
      <w:bodyDiv w:val="1"/>
      <w:marLeft w:val="0"/>
      <w:marRight w:val="0"/>
      <w:marTop w:val="0"/>
      <w:marBottom w:val="0"/>
      <w:divBdr>
        <w:top w:val="none" w:sz="0" w:space="0" w:color="auto"/>
        <w:left w:val="none" w:sz="0" w:space="0" w:color="auto"/>
        <w:bottom w:val="none" w:sz="0" w:space="0" w:color="auto"/>
        <w:right w:val="none" w:sz="0" w:space="0" w:color="auto"/>
      </w:divBdr>
    </w:div>
    <w:div w:id="237252292">
      <w:bodyDiv w:val="1"/>
      <w:marLeft w:val="0"/>
      <w:marRight w:val="0"/>
      <w:marTop w:val="0"/>
      <w:marBottom w:val="0"/>
      <w:divBdr>
        <w:top w:val="none" w:sz="0" w:space="0" w:color="auto"/>
        <w:left w:val="none" w:sz="0" w:space="0" w:color="auto"/>
        <w:bottom w:val="none" w:sz="0" w:space="0" w:color="auto"/>
        <w:right w:val="none" w:sz="0" w:space="0" w:color="auto"/>
      </w:divBdr>
    </w:div>
    <w:div w:id="287049758">
      <w:bodyDiv w:val="1"/>
      <w:marLeft w:val="0"/>
      <w:marRight w:val="0"/>
      <w:marTop w:val="0"/>
      <w:marBottom w:val="0"/>
      <w:divBdr>
        <w:top w:val="none" w:sz="0" w:space="0" w:color="auto"/>
        <w:left w:val="none" w:sz="0" w:space="0" w:color="auto"/>
        <w:bottom w:val="none" w:sz="0" w:space="0" w:color="auto"/>
        <w:right w:val="none" w:sz="0" w:space="0" w:color="auto"/>
      </w:divBdr>
    </w:div>
    <w:div w:id="303127052">
      <w:bodyDiv w:val="1"/>
      <w:marLeft w:val="0"/>
      <w:marRight w:val="0"/>
      <w:marTop w:val="0"/>
      <w:marBottom w:val="0"/>
      <w:divBdr>
        <w:top w:val="none" w:sz="0" w:space="0" w:color="auto"/>
        <w:left w:val="none" w:sz="0" w:space="0" w:color="auto"/>
        <w:bottom w:val="none" w:sz="0" w:space="0" w:color="auto"/>
        <w:right w:val="none" w:sz="0" w:space="0" w:color="auto"/>
      </w:divBdr>
    </w:div>
    <w:div w:id="314456309">
      <w:bodyDiv w:val="1"/>
      <w:marLeft w:val="0"/>
      <w:marRight w:val="0"/>
      <w:marTop w:val="0"/>
      <w:marBottom w:val="0"/>
      <w:divBdr>
        <w:top w:val="none" w:sz="0" w:space="0" w:color="auto"/>
        <w:left w:val="none" w:sz="0" w:space="0" w:color="auto"/>
        <w:bottom w:val="none" w:sz="0" w:space="0" w:color="auto"/>
        <w:right w:val="none" w:sz="0" w:space="0" w:color="auto"/>
      </w:divBdr>
    </w:div>
    <w:div w:id="323435338">
      <w:bodyDiv w:val="1"/>
      <w:marLeft w:val="0"/>
      <w:marRight w:val="0"/>
      <w:marTop w:val="0"/>
      <w:marBottom w:val="0"/>
      <w:divBdr>
        <w:top w:val="none" w:sz="0" w:space="0" w:color="auto"/>
        <w:left w:val="none" w:sz="0" w:space="0" w:color="auto"/>
        <w:bottom w:val="none" w:sz="0" w:space="0" w:color="auto"/>
        <w:right w:val="none" w:sz="0" w:space="0" w:color="auto"/>
      </w:divBdr>
    </w:div>
    <w:div w:id="339695907">
      <w:bodyDiv w:val="1"/>
      <w:marLeft w:val="0"/>
      <w:marRight w:val="0"/>
      <w:marTop w:val="0"/>
      <w:marBottom w:val="0"/>
      <w:divBdr>
        <w:top w:val="none" w:sz="0" w:space="0" w:color="auto"/>
        <w:left w:val="none" w:sz="0" w:space="0" w:color="auto"/>
        <w:bottom w:val="none" w:sz="0" w:space="0" w:color="auto"/>
        <w:right w:val="none" w:sz="0" w:space="0" w:color="auto"/>
      </w:divBdr>
    </w:div>
    <w:div w:id="342828412">
      <w:bodyDiv w:val="1"/>
      <w:marLeft w:val="0"/>
      <w:marRight w:val="0"/>
      <w:marTop w:val="0"/>
      <w:marBottom w:val="0"/>
      <w:divBdr>
        <w:top w:val="none" w:sz="0" w:space="0" w:color="auto"/>
        <w:left w:val="none" w:sz="0" w:space="0" w:color="auto"/>
        <w:bottom w:val="none" w:sz="0" w:space="0" w:color="auto"/>
        <w:right w:val="none" w:sz="0" w:space="0" w:color="auto"/>
      </w:divBdr>
    </w:div>
    <w:div w:id="349263256">
      <w:bodyDiv w:val="1"/>
      <w:marLeft w:val="0"/>
      <w:marRight w:val="0"/>
      <w:marTop w:val="0"/>
      <w:marBottom w:val="0"/>
      <w:divBdr>
        <w:top w:val="none" w:sz="0" w:space="0" w:color="auto"/>
        <w:left w:val="none" w:sz="0" w:space="0" w:color="auto"/>
        <w:bottom w:val="none" w:sz="0" w:space="0" w:color="auto"/>
        <w:right w:val="none" w:sz="0" w:space="0" w:color="auto"/>
      </w:divBdr>
      <w:divsChild>
        <w:div w:id="1008098438">
          <w:marLeft w:val="0"/>
          <w:marRight w:val="0"/>
          <w:marTop w:val="0"/>
          <w:marBottom w:val="0"/>
          <w:divBdr>
            <w:top w:val="none" w:sz="0" w:space="0" w:color="auto"/>
            <w:left w:val="none" w:sz="0" w:space="0" w:color="auto"/>
            <w:bottom w:val="none" w:sz="0" w:space="0" w:color="auto"/>
            <w:right w:val="none" w:sz="0" w:space="0" w:color="auto"/>
          </w:divBdr>
        </w:div>
        <w:div w:id="1495754264">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
    <w:div w:id="424306319">
      <w:bodyDiv w:val="1"/>
      <w:marLeft w:val="0"/>
      <w:marRight w:val="0"/>
      <w:marTop w:val="0"/>
      <w:marBottom w:val="0"/>
      <w:divBdr>
        <w:top w:val="none" w:sz="0" w:space="0" w:color="auto"/>
        <w:left w:val="none" w:sz="0" w:space="0" w:color="auto"/>
        <w:bottom w:val="none" w:sz="0" w:space="0" w:color="auto"/>
        <w:right w:val="none" w:sz="0" w:space="0" w:color="auto"/>
      </w:divBdr>
    </w:div>
    <w:div w:id="426197672">
      <w:bodyDiv w:val="1"/>
      <w:marLeft w:val="0"/>
      <w:marRight w:val="0"/>
      <w:marTop w:val="0"/>
      <w:marBottom w:val="0"/>
      <w:divBdr>
        <w:top w:val="none" w:sz="0" w:space="0" w:color="auto"/>
        <w:left w:val="none" w:sz="0" w:space="0" w:color="auto"/>
        <w:bottom w:val="none" w:sz="0" w:space="0" w:color="auto"/>
        <w:right w:val="none" w:sz="0" w:space="0" w:color="auto"/>
      </w:divBdr>
    </w:div>
    <w:div w:id="436288957">
      <w:bodyDiv w:val="1"/>
      <w:marLeft w:val="0"/>
      <w:marRight w:val="0"/>
      <w:marTop w:val="0"/>
      <w:marBottom w:val="0"/>
      <w:divBdr>
        <w:top w:val="none" w:sz="0" w:space="0" w:color="auto"/>
        <w:left w:val="none" w:sz="0" w:space="0" w:color="auto"/>
        <w:bottom w:val="none" w:sz="0" w:space="0" w:color="auto"/>
        <w:right w:val="none" w:sz="0" w:space="0" w:color="auto"/>
      </w:divBdr>
    </w:div>
    <w:div w:id="473185767">
      <w:bodyDiv w:val="1"/>
      <w:marLeft w:val="0"/>
      <w:marRight w:val="0"/>
      <w:marTop w:val="0"/>
      <w:marBottom w:val="0"/>
      <w:divBdr>
        <w:top w:val="none" w:sz="0" w:space="0" w:color="auto"/>
        <w:left w:val="none" w:sz="0" w:space="0" w:color="auto"/>
        <w:bottom w:val="none" w:sz="0" w:space="0" w:color="auto"/>
        <w:right w:val="none" w:sz="0" w:space="0" w:color="auto"/>
      </w:divBdr>
    </w:div>
    <w:div w:id="520629547">
      <w:bodyDiv w:val="1"/>
      <w:marLeft w:val="0"/>
      <w:marRight w:val="0"/>
      <w:marTop w:val="0"/>
      <w:marBottom w:val="0"/>
      <w:divBdr>
        <w:top w:val="none" w:sz="0" w:space="0" w:color="auto"/>
        <w:left w:val="none" w:sz="0" w:space="0" w:color="auto"/>
        <w:bottom w:val="none" w:sz="0" w:space="0" w:color="auto"/>
        <w:right w:val="none" w:sz="0" w:space="0" w:color="auto"/>
      </w:divBdr>
    </w:div>
    <w:div w:id="586231862">
      <w:bodyDiv w:val="1"/>
      <w:marLeft w:val="0"/>
      <w:marRight w:val="0"/>
      <w:marTop w:val="0"/>
      <w:marBottom w:val="0"/>
      <w:divBdr>
        <w:top w:val="none" w:sz="0" w:space="0" w:color="auto"/>
        <w:left w:val="none" w:sz="0" w:space="0" w:color="auto"/>
        <w:bottom w:val="none" w:sz="0" w:space="0" w:color="auto"/>
        <w:right w:val="none" w:sz="0" w:space="0" w:color="auto"/>
      </w:divBdr>
    </w:div>
    <w:div w:id="602879509">
      <w:bodyDiv w:val="1"/>
      <w:marLeft w:val="0"/>
      <w:marRight w:val="0"/>
      <w:marTop w:val="0"/>
      <w:marBottom w:val="0"/>
      <w:divBdr>
        <w:top w:val="none" w:sz="0" w:space="0" w:color="auto"/>
        <w:left w:val="none" w:sz="0" w:space="0" w:color="auto"/>
        <w:bottom w:val="none" w:sz="0" w:space="0" w:color="auto"/>
        <w:right w:val="none" w:sz="0" w:space="0" w:color="auto"/>
      </w:divBdr>
    </w:div>
    <w:div w:id="619993469">
      <w:bodyDiv w:val="1"/>
      <w:marLeft w:val="0"/>
      <w:marRight w:val="0"/>
      <w:marTop w:val="0"/>
      <w:marBottom w:val="0"/>
      <w:divBdr>
        <w:top w:val="none" w:sz="0" w:space="0" w:color="auto"/>
        <w:left w:val="none" w:sz="0" w:space="0" w:color="auto"/>
        <w:bottom w:val="none" w:sz="0" w:space="0" w:color="auto"/>
        <w:right w:val="none" w:sz="0" w:space="0" w:color="auto"/>
      </w:divBdr>
    </w:div>
    <w:div w:id="724842007">
      <w:bodyDiv w:val="1"/>
      <w:marLeft w:val="0"/>
      <w:marRight w:val="0"/>
      <w:marTop w:val="0"/>
      <w:marBottom w:val="0"/>
      <w:divBdr>
        <w:top w:val="none" w:sz="0" w:space="0" w:color="auto"/>
        <w:left w:val="none" w:sz="0" w:space="0" w:color="auto"/>
        <w:bottom w:val="none" w:sz="0" w:space="0" w:color="auto"/>
        <w:right w:val="none" w:sz="0" w:space="0" w:color="auto"/>
      </w:divBdr>
    </w:div>
    <w:div w:id="735400191">
      <w:bodyDiv w:val="1"/>
      <w:marLeft w:val="0"/>
      <w:marRight w:val="0"/>
      <w:marTop w:val="0"/>
      <w:marBottom w:val="0"/>
      <w:divBdr>
        <w:top w:val="none" w:sz="0" w:space="0" w:color="auto"/>
        <w:left w:val="none" w:sz="0" w:space="0" w:color="auto"/>
        <w:bottom w:val="none" w:sz="0" w:space="0" w:color="auto"/>
        <w:right w:val="none" w:sz="0" w:space="0" w:color="auto"/>
      </w:divBdr>
    </w:div>
    <w:div w:id="809976376">
      <w:bodyDiv w:val="1"/>
      <w:marLeft w:val="0"/>
      <w:marRight w:val="0"/>
      <w:marTop w:val="0"/>
      <w:marBottom w:val="0"/>
      <w:divBdr>
        <w:top w:val="none" w:sz="0" w:space="0" w:color="auto"/>
        <w:left w:val="none" w:sz="0" w:space="0" w:color="auto"/>
        <w:bottom w:val="none" w:sz="0" w:space="0" w:color="auto"/>
        <w:right w:val="none" w:sz="0" w:space="0" w:color="auto"/>
      </w:divBdr>
    </w:div>
    <w:div w:id="875460534">
      <w:bodyDiv w:val="1"/>
      <w:marLeft w:val="0"/>
      <w:marRight w:val="0"/>
      <w:marTop w:val="0"/>
      <w:marBottom w:val="0"/>
      <w:divBdr>
        <w:top w:val="none" w:sz="0" w:space="0" w:color="auto"/>
        <w:left w:val="none" w:sz="0" w:space="0" w:color="auto"/>
        <w:bottom w:val="none" w:sz="0" w:space="0" w:color="auto"/>
        <w:right w:val="none" w:sz="0" w:space="0" w:color="auto"/>
      </w:divBdr>
      <w:divsChild>
        <w:div w:id="1436560732">
          <w:marLeft w:val="0"/>
          <w:marRight w:val="0"/>
          <w:marTop w:val="0"/>
          <w:marBottom w:val="0"/>
          <w:divBdr>
            <w:top w:val="none" w:sz="0" w:space="0" w:color="auto"/>
            <w:left w:val="none" w:sz="0" w:space="0" w:color="auto"/>
            <w:bottom w:val="none" w:sz="0" w:space="0" w:color="auto"/>
            <w:right w:val="none" w:sz="0" w:space="0" w:color="auto"/>
          </w:divBdr>
          <w:divsChild>
            <w:div w:id="1610431818">
              <w:marLeft w:val="0"/>
              <w:marRight w:val="0"/>
              <w:marTop w:val="0"/>
              <w:marBottom w:val="0"/>
              <w:divBdr>
                <w:top w:val="none" w:sz="0" w:space="0" w:color="auto"/>
                <w:left w:val="none" w:sz="0" w:space="0" w:color="auto"/>
                <w:bottom w:val="none" w:sz="0" w:space="0" w:color="auto"/>
                <w:right w:val="none" w:sz="0" w:space="0" w:color="auto"/>
              </w:divBdr>
              <w:divsChild>
                <w:div w:id="484592634">
                  <w:blockQuote w:val="1"/>
                  <w:marLeft w:val="720"/>
                  <w:marRight w:val="0"/>
                  <w:marTop w:val="100"/>
                  <w:marBottom w:val="100"/>
                  <w:divBdr>
                    <w:top w:val="none" w:sz="0" w:space="0" w:color="auto"/>
                    <w:left w:val="none" w:sz="0" w:space="0" w:color="auto"/>
                    <w:bottom w:val="none" w:sz="0" w:space="0" w:color="auto"/>
                    <w:right w:val="none" w:sz="0" w:space="0" w:color="auto"/>
                  </w:divBdr>
                </w:div>
                <w:div w:id="21383266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26304389">
      <w:bodyDiv w:val="1"/>
      <w:marLeft w:val="0"/>
      <w:marRight w:val="0"/>
      <w:marTop w:val="0"/>
      <w:marBottom w:val="0"/>
      <w:divBdr>
        <w:top w:val="none" w:sz="0" w:space="0" w:color="auto"/>
        <w:left w:val="none" w:sz="0" w:space="0" w:color="auto"/>
        <w:bottom w:val="none" w:sz="0" w:space="0" w:color="auto"/>
        <w:right w:val="none" w:sz="0" w:space="0" w:color="auto"/>
      </w:divBdr>
    </w:div>
    <w:div w:id="946424486">
      <w:bodyDiv w:val="1"/>
      <w:marLeft w:val="0"/>
      <w:marRight w:val="0"/>
      <w:marTop w:val="0"/>
      <w:marBottom w:val="0"/>
      <w:divBdr>
        <w:top w:val="none" w:sz="0" w:space="0" w:color="auto"/>
        <w:left w:val="none" w:sz="0" w:space="0" w:color="auto"/>
        <w:bottom w:val="none" w:sz="0" w:space="0" w:color="auto"/>
        <w:right w:val="none" w:sz="0" w:space="0" w:color="auto"/>
      </w:divBdr>
    </w:div>
    <w:div w:id="948901432">
      <w:bodyDiv w:val="1"/>
      <w:marLeft w:val="0"/>
      <w:marRight w:val="0"/>
      <w:marTop w:val="0"/>
      <w:marBottom w:val="0"/>
      <w:divBdr>
        <w:top w:val="none" w:sz="0" w:space="0" w:color="auto"/>
        <w:left w:val="none" w:sz="0" w:space="0" w:color="auto"/>
        <w:bottom w:val="none" w:sz="0" w:space="0" w:color="auto"/>
        <w:right w:val="none" w:sz="0" w:space="0" w:color="auto"/>
      </w:divBdr>
    </w:div>
    <w:div w:id="972826291">
      <w:bodyDiv w:val="1"/>
      <w:marLeft w:val="0"/>
      <w:marRight w:val="0"/>
      <w:marTop w:val="0"/>
      <w:marBottom w:val="0"/>
      <w:divBdr>
        <w:top w:val="none" w:sz="0" w:space="0" w:color="auto"/>
        <w:left w:val="none" w:sz="0" w:space="0" w:color="auto"/>
        <w:bottom w:val="none" w:sz="0" w:space="0" w:color="auto"/>
        <w:right w:val="none" w:sz="0" w:space="0" w:color="auto"/>
      </w:divBdr>
    </w:div>
    <w:div w:id="1001277645">
      <w:bodyDiv w:val="1"/>
      <w:marLeft w:val="0"/>
      <w:marRight w:val="0"/>
      <w:marTop w:val="0"/>
      <w:marBottom w:val="0"/>
      <w:divBdr>
        <w:top w:val="none" w:sz="0" w:space="0" w:color="auto"/>
        <w:left w:val="none" w:sz="0" w:space="0" w:color="auto"/>
        <w:bottom w:val="none" w:sz="0" w:space="0" w:color="auto"/>
        <w:right w:val="none" w:sz="0" w:space="0" w:color="auto"/>
      </w:divBdr>
    </w:div>
    <w:div w:id="1009672186">
      <w:bodyDiv w:val="1"/>
      <w:marLeft w:val="0"/>
      <w:marRight w:val="0"/>
      <w:marTop w:val="0"/>
      <w:marBottom w:val="0"/>
      <w:divBdr>
        <w:top w:val="none" w:sz="0" w:space="0" w:color="auto"/>
        <w:left w:val="none" w:sz="0" w:space="0" w:color="auto"/>
        <w:bottom w:val="none" w:sz="0" w:space="0" w:color="auto"/>
        <w:right w:val="none" w:sz="0" w:space="0" w:color="auto"/>
      </w:divBdr>
    </w:div>
    <w:div w:id="1046946924">
      <w:bodyDiv w:val="1"/>
      <w:marLeft w:val="0"/>
      <w:marRight w:val="0"/>
      <w:marTop w:val="0"/>
      <w:marBottom w:val="0"/>
      <w:divBdr>
        <w:top w:val="none" w:sz="0" w:space="0" w:color="auto"/>
        <w:left w:val="none" w:sz="0" w:space="0" w:color="auto"/>
        <w:bottom w:val="none" w:sz="0" w:space="0" w:color="auto"/>
        <w:right w:val="none" w:sz="0" w:space="0" w:color="auto"/>
      </w:divBdr>
    </w:div>
    <w:div w:id="1069227355">
      <w:bodyDiv w:val="1"/>
      <w:marLeft w:val="0"/>
      <w:marRight w:val="0"/>
      <w:marTop w:val="0"/>
      <w:marBottom w:val="0"/>
      <w:divBdr>
        <w:top w:val="none" w:sz="0" w:space="0" w:color="auto"/>
        <w:left w:val="none" w:sz="0" w:space="0" w:color="auto"/>
        <w:bottom w:val="none" w:sz="0" w:space="0" w:color="auto"/>
        <w:right w:val="none" w:sz="0" w:space="0" w:color="auto"/>
      </w:divBdr>
    </w:div>
    <w:div w:id="1083646542">
      <w:bodyDiv w:val="1"/>
      <w:marLeft w:val="0"/>
      <w:marRight w:val="0"/>
      <w:marTop w:val="0"/>
      <w:marBottom w:val="0"/>
      <w:divBdr>
        <w:top w:val="none" w:sz="0" w:space="0" w:color="auto"/>
        <w:left w:val="none" w:sz="0" w:space="0" w:color="auto"/>
        <w:bottom w:val="none" w:sz="0" w:space="0" w:color="auto"/>
        <w:right w:val="none" w:sz="0" w:space="0" w:color="auto"/>
      </w:divBdr>
    </w:div>
    <w:div w:id="1129009919">
      <w:bodyDiv w:val="1"/>
      <w:marLeft w:val="0"/>
      <w:marRight w:val="0"/>
      <w:marTop w:val="0"/>
      <w:marBottom w:val="0"/>
      <w:divBdr>
        <w:top w:val="none" w:sz="0" w:space="0" w:color="auto"/>
        <w:left w:val="none" w:sz="0" w:space="0" w:color="auto"/>
        <w:bottom w:val="none" w:sz="0" w:space="0" w:color="auto"/>
        <w:right w:val="none" w:sz="0" w:space="0" w:color="auto"/>
      </w:divBdr>
    </w:div>
    <w:div w:id="1133403089">
      <w:bodyDiv w:val="1"/>
      <w:marLeft w:val="0"/>
      <w:marRight w:val="0"/>
      <w:marTop w:val="0"/>
      <w:marBottom w:val="0"/>
      <w:divBdr>
        <w:top w:val="none" w:sz="0" w:space="0" w:color="auto"/>
        <w:left w:val="none" w:sz="0" w:space="0" w:color="auto"/>
        <w:bottom w:val="none" w:sz="0" w:space="0" w:color="auto"/>
        <w:right w:val="none" w:sz="0" w:space="0" w:color="auto"/>
      </w:divBdr>
    </w:div>
    <w:div w:id="1157265967">
      <w:bodyDiv w:val="1"/>
      <w:marLeft w:val="0"/>
      <w:marRight w:val="0"/>
      <w:marTop w:val="0"/>
      <w:marBottom w:val="0"/>
      <w:divBdr>
        <w:top w:val="none" w:sz="0" w:space="0" w:color="auto"/>
        <w:left w:val="none" w:sz="0" w:space="0" w:color="auto"/>
        <w:bottom w:val="none" w:sz="0" w:space="0" w:color="auto"/>
        <w:right w:val="none" w:sz="0" w:space="0" w:color="auto"/>
      </w:divBdr>
    </w:div>
    <w:div w:id="1198665108">
      <w:bodyDiv w:val="1"/>
      <w:marLeft w:val="0"/>
      <w:marRight w:val="0"/>
      <w:marTop w:val="0"/>
      <w:marBottom w:val="0"/>
      <w:divBdr>
        <w:top w:val="none" w:sz="0" w:space="0" w:color="auto"/>
        <w:left w:val="none" w:sz="0" w:space="0" w:color="auto"/>
        <w:bottom w:val="none" w:sz="0" w:space="0" w:color="auto"/>
        <w:right w:val="none" w:sz="0" w:space="0" w:color="auto"/>
      </w:divBdr>
    </w:div>
    <w:div w:id="1230194485">
      <w:bodyDiv w:val="1"/>
      <w:marLeft w:val="0"/>
      <w:marRight w:val="0"/>
      <w:marTop w:val="0"/>
      <w:marBottom w:val="0"/>
      <w:divBdr>
        <w:top w:val="none" w:sz="0" w:space="0" w:color="auto"/>
        <w:left w:val="none" w:sz="0" w:space="0" w:color="auto"/>
        <w:bottom w:val="none" w:sz="0" w:space="0" w:color="auto"/>
        <w:right w:val="none" w:sz="0" w:space="0" w:color="auto"/>
      </w:divBdr>
    </w:div>
    <w:div w:id="1265068322">
      <w:bodyDiv w:val="1"/>
      <w:marLeft w:val="0"/>
      <w:marRight w:val="0"/>
      <w:marTop w:val="0"/>
      <w:marBottom w:val="0"/>
      <w:divBdr>
        <w:top w:val="none" w:sz="0" w:space="0" w:color="auto"/>
        <w:left w:val="none" w:sz="0" w:space="0" w:color="auto"/>
        <w:bottom w:val="none" w:sz="0" w:space="0" w:color="auto"/>
        <w:right w:val="none" w:sz="0" w:space="0" w:color="auto"/>
      </w:divBdr>
    </w:div>
    <w:div w:id="1267154314">
      <w:bodyDiv w:val="1"/>
      <w:marLeft w:val="0"/>
      <w:marRight w:val="0"/>
      <w:marTop w:val="0"/>
      <w:marBottom w:val="0"/>
      <w:divBdr>
        <w:top w:val="none" w:sz="0" w:space="0" w:color="auto"/>
        <w:left w:val="none" w:sz="0" w:space="0" w:color="auto"/>
        <w:bottom w:val="none" w:sz="0" w:space="0" w:color="auto"/>
        <w:right w:val="none" w:sz="0" w:space="0" w:color="auto"/>
      </w:divBdr>
    </w:div>
    <w:div w:id="1274558720">
      <w:bodyDiv w:val="1"/>
      <w:marLeft w:val="0"/>
      <w:marRight w:val="0"/>
      <w:marTop w:val="0"/>
      <w:marBottom w:val="0"/>
      <w:divBdr>
        <w:top w:val="none" w:sz="0" w:space="0" w:color="auto"/>
        <w:left w:val="none" w:sz="0" w:space="0" w:color="auto"/>
        <w:bottom w:val="none" w:sz="0" w:space="0" w:color="auto"/>
        <w:right w:val="none" w:sz="0" w:space="0" w:color="auto"/>
      </w:divBdr>
    </w:div>
    <w:div w:id="1302228593">
      <w:bodyDiv w:val="1"/>
      <w:marLeft w:val="0"/>
      <w:marRight w:val="0"/>
      <w:marTop w:val="0"/>
      <w:marBottom w:val="0"/>
      <w:divBdr>
        <w:top w:val="none" w:sz="0" w:space="0" w:color="auto"/>
        <w:left w:val="none" w:sz="0" w:space="0" w:color="auto"/>
        <w:bottom w:val="none" w:sz="0" w:space="0" w:color="auto"/>
        <w:right w:val="none" w:sz="0" w:space="0" w:color="auto"/>
      </w:divBdr>
    </w:div>
    <w:div w:id="1314411822">
      <w:bodyDiv w:val="1"/>
      <w:marLeft w:val="0"/>
      <w:marRight w:val="0"/>
      <w:marTop w:val="0"/>
      <w:marBottom w:val="0"/>
      <w:divBdr>
        <w:top w:val="none" w:sz="0" w:space="0" w:color="auto"/>
        <w:left w:val="none" w:sz="0" w:space="0" w:color="auto"/>
        <w:bottom w:val="none" w:sz="0" w:space="0" w:color="auto"/>
        <w:right w:val="none" w:sz="0" w:space="0" w:color="auto"/>
      </w:divBdr>
    </w:div>
    <w:div w:id="1338533151">
      <w:bodyDiv w:val="1"/>
      <w:marLeft w:val="0"/>
      <w:marRight w:val="0"/>
      <w:marTop w:val="0"/>
      <w:marBottom w:val="0"/>
      <w:divBdr>
        <w:top w:val="none" w:sz="0" w:space="0" w:color="auto"/>
        <w:left w:val="none" w:sz="0" w:space="0" w:color="auto"/>
        <w:bottom w:val="none" w:sz="0" w:space="0" w:color="auto"/>
        <w:right w:val="none" w:sz="0" w:space="0" w:color="auto"/>
      </w:divBdr>
    </w:div>
    <w:div w:id="1340502452">
      <w:bodyDiv w:val="1"/>
      <w:marLeft w:val="0"/>
      <w:marRight w:val="0"/>
      <w:marTop w:val="0"/>
      <w:marBottom w:val="0"/>
      <w:divBdr>
        <w:top w:val="none" w:sz="0" w:space="0" w:color="auto"/>
        <w:left w:val="none" w:sz="0" w:space="0" w:color="auto"/>
        <w:bottom w:val="none" w:sz="0" w:space="0" w:color="auto"/>
        <w:right w:val="none" w:sz="0" w:space="0" w:color="auto"/>
      </w:divBdr>
    </w:div>
    <w:div w:id="1342392059">
      <w:bodyDiv w:val="1"/>
      <w:marLeft w:val="0"/>
      <w:marRight w:val="0"/>
      <w:marTop w:val="0"/>
      <w:marBottom w:val="0"/>
      <w:divBdr>
        <w:top w:val="none" w:sz="0" w:space="0" w:color="auto"/>
        <w:left w:val="none" w:sz="0" w:space="0" w:color="auto"/>
        <w:bottom w:val="none" w:sz="0" w:space="0" w:color="auto"/>
        <w:right w:val="none" w:sz="0" w:space="0" w:color="auto"/>
      </w:divBdr>
    </w:div>
    <w:div w:id="1419057409">
      <w:bodyDiv w:val="1"/>
      <w:marLeft w:val="0"/>
      <w:marRight w:val="0"/>
      <w:marTop w:val="0"/>
      <w:marBottom w:val="0"/>
      <w:divBdr>
        <w:top w:val="none" w:sz="0" w:space="0" w:color="auto"/>
        <w:left w:val="none" w:sz="0" w:space="0" w:color="auto"/>
        <w:bottom w:val="none" w:sz="0" w:space="0" w:color="auto"/>
        <w:right w:val="none" w:sz="0" w:space="0" w:color="auto"/>
      </w:divBdr>
    </w:div>
    <w:div w:id="1454137281">
      <w:bodyDiv w:val="1"/>
      <w:marLeft w:val="0"/>
      <w:marRight w:val="0"/>
      <w:marTop w:val="0"/>
      <w:marBottom w:val="0"/>
      <w:divBdr>
        <w:top w:val="none" w:sz="0" w:space="0" w:color="auto"/>
        <w:left w:val="none" w:sz="0" w:space="0" w:color="auto"/>
        <w:bottom w:val="none" w:sz="0" w:space="0" w:color="auto"/>
        <w:right w:val="none" w:sz="0" w:space="0" w:color="auto"/>
      </w:divBdr>
      <w:divsChild>
        <w:div w:id="795098642">
          <w:marLeft w:val="547"/>
          <w:marRight w:val="0"/>
          <w:marTop w:val="154"/>
          <w:marBottom w:val="0"/>
          <w:divBdr>
            <w:top w:val="none" w:sz="0" w:space="0" w:color="auto"/>
            <w:left w:val="none" w:sz="0" w:space="0" w:color="auto"/>
            <w:bottom w:val="none" w:sz="0" w:space="0" w:color="auto"/>
            <w:right w:val="none" w:sz="0" w:space="0" w:color="auto"/>
          </w:divBdr>
        </w:div>
        <w:div w:id="1693804493">
          <w:marLeft w:val="547"/>
          <w:marRight w:val="0"/>
          <w:marTop w:val="154"/>
          <w:marBottom w:val="0"/>
          <w:divBdr>
            <w:top w:val="none" w:sz="0" w:space="0" w:color="auto"/>
            <w:left w:val="none" w:sz="0" w:space="0" w:color="auto"/>
            <w:bottom w:val="none" w:sz="0" w:space="0" w:color="auto"/>
            <w:right w:val="none" w:sz="0" w:space="0" w:color="auto"/>
          </w:divBdr>
        </w:div>
      </w:divsChild>
    </w:div>
    <w:div w:id="1454711629">
      <w:bodyDiv w:val="1"/>
      <w:marLeft w:val="0"/>
      <w:marRight w:val="0"/>
      <w:marTop w:val="0"/>
      <w:marBottom w:val="0"/>
      <w:divBdr>
        <w:top w:val="none" w:sz="0" w:space="0" w:color="auto"/>
        <w:left w:val="none" w:sz="0" w:space="0" w:color="auto"/>
        <w:bottom w:val="none" w:sz="0" w:space="0" w:color="auto"/>
        <w:right w:val="none" w:sz="0" w:space="0" w:color="auto"/>
      </w:divBdr>
      <w:divsChild>
        <w:div w:id="1631780876">
          <w:marLeft w:val="547"/>
          <w:marRight w:val="0"/>
          <w:marTop w:val="144"/>
          <w:marBottom w:val="0"/>
          <w:divBdr>
            <w:top w:val="none" w:sz="0" w:space="0" w:color="auto"/>
            <w:left w:val="none" w:sz="0" w:space="0" w:color="auto"/>
            <w:bottom w:val="none" w:sz="0" w:space="0" w:color="auto"/>
            <w:right w:val="none" w:sz="0" w:space="0" w:color="auto"/>
          </w:divBdr>
        </w:div>
      </w:divsChild>
    </w:div>
    <w:div w:id="1533106271">
      <w:bodyDiv w:val="1"/>
      <w:marLeft w:val="0"/>
      <w:marRight w:val="0"/>
      <w:marTop w:val="0"/>
      <w:marBottom w:val="0"/>
      <w:divBdr>
        <w:top w:val="none" w:sz="0" w:space="0" w:color="auto"/>
        <w:left w:val="none" w:sz="0" w:space="0" w:color="auto"/>
        <w:bottom w:val="none" w:sz="0" w:space="0" w:color="auto"/>
        <w:right w:val="none" w:sz="0" w:space="0" w:color="auto"/>
      </w:divBdr>
    </w:div>
    <w:div w:id="1545752214">
      <w:bodyDiv w:val="1"/>
      <w:marLeft w:val="0"/>
      <w:marRight w:val="0"/>
      <w:marTop w:val="0"/>
      <w:marBottom w:val="0"/>
      <w:divBdr>
        <w:top w:val="none" w:sz="0" w:space="0" w:color="auto"/>
        <w:left w:val="none" w:sz="0" w:space="0" w:color="auto"/>
        <w:bottom w:val="none" w:sz="0" w:space="0" w:color="auto"/>
        <w:right w:val="none" w:sz="0" w:space="0" w:color="auto"/>
      </w:divBdr>
    </w:div>
    <w:div w:id="1557161320">
      <w:bodyDiv w:val="1"/>
      <w:marLeft w:val="0"/>
      <w:marRight w:val="0"/>
      <w:marTop w:val="0"/>
      <w:marBottom w:val="0"/>
      <w:divBdr>
        <w:top w:val="none" w:sz="0" w:space="0" w:color="auto"/>
        <w:left w:val="none" w:sz="0" w:space="0" w:color="auto"/>
        <w:bottom w:val="none" w:sz="0" w:space="0" w:color="auto"/>
        <w:right w:val="none" w:sz="0" w:space="0" w:color="auto"/>
      </w:divBdr>
      <w:divsChild>
        <w:div w:id="918906596">
          <w:marLeft w:val="0"/>
          <w:marRight w:val="0"/>
          <w:marTop w:val="0"/>
          <w:marBottom w:val="0"/>
          <w:divBdr>
            <w:top w:val="none" w:sz="0" w:space="0" w:color="auto"/>
            <w:left w:val="none" w:sz="0" w:space="0" w:color="auto"/>
            <w:bottom w:val="none" w:sz="0" w:space="0" w:color="auto"/>
            <w:right w:val="none" w:sz="0" w:space="0" w:color="auto"/>
          </w:divBdr>
          <w:divsChild>
            <w:div w:id="1233853673">
              <w:marLeft w:val="0"/>
              <w:marRight w:val="0"/>
              <w:marTop w:val="0"/>
              <w:marBottom w:val="0"/>
              <w:divBdr>
                <w:top w:val="none" w:sz="0" w:space="0" w:color="auto"/>
                <w:left w:val="none" w:sz="0" w:space="0" w:color="auto"/>
                <w:bottom w:val="none" w:sz="0" w:space="0" w:color="auto"/>
                <w:right w:val="none" w:sz="0" w:space="0" w:color="auto"/>
              </w:divBdr>
              <w:divsChild>
                <w:div w:id="701250827">
                  <w:blockQuote w:val="1"/>
                  <w:marLeft w:val="720"/>
                  <w:marRight w:val="0"/>
                  <w:marTop w:val="100"/>
                  <w:marBottom w:val="100"/>
                  <w:divBdr>
                    <w:top w:val="none" w:sz="0" w:space="0" w:color="auto"/>
                    <w:left w:val="none" w:sz="0" w:space="0" w:color="auto"/>
                    <w:bottom w:val="none" w:sz="0" w:space="0" w:color="auto"/>
                    <w:right w:val="none" w:sz="0" w:space="0" w:color="auto"/>
                  </w:divBdr>
                </w:div>
                <w:div w:id="15117963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0332296">
      <w:bodyDiv w:val="1"/>
      <w:marLeft w:val="0"/>
      <w:marRight w:val="0"/>
      <w:marTop w:val="0"/>
      <w:marBottom w:val="0"/>
      <w:divBdr>
        <w:top w:val="none" w:sz="0" w:space="0" w:color="auto"/>
        <w:left w:val="none" w:sz="0" w:space="0" w:color="auto"/>
        <w:bottom w:val="none" w:sz="0" w:space="0" w:color="auto"/>
        <w:right w:val="none" w:sz="0" w:space="0" w:color="auto"/>
      </w:divBdr>
    </w:div>
    <w:div w:id="1666662417">
      <w:bodyDiv w:val="1"/>
      <w:marLeft w:val="0"/>
      <w:marRight w:val="0"/>
      <w:marTop w:val="0"/>
      <w:marBottom w:val="0"/>
      <w:divBdr>
        <w:top w:val="none" w:sz="0" w:space="0" w:color="auto"/>
        <w:left w:val="none" w:sz="0" w:space="0" w:color="auto"/>
        <w:bottom w:val="none" w:sz="0" w:space="0" w:color="auto"/>
        <w:right w:val="none" w:sz="0" w:space="0" w:color="auto"/>
      </w:divBdr>
    </w:div>
    <w:div w:id="1735424605">
      <w:bodyDiv w:val="1"/>
      <w:marLeft w:val="0"/>
      <w:marRight w:val="0"/>
      <w:marTop w:val="0"/>
      <w:marBottom w:val="0"/>
      <w:divBdr>
        <w:top w:val="none" w:sz="0" w:space="0" w:color="auto"/>
        <w:left w:val="none" w:sz="0" w:space="0" w:color="auto"/>
        <w:bottom w:val="none" w:sz="0" w:space="0" w:color="auto"/>
        <w:right w:val="none" w:sz="0" w:space="0" w:color="auto"/>
      </w:divBdr>
    </w:div>
    <w:div w:id="1738088951">
      <w:bodyDiv w:val="1"/>
      <w:marLeft w:val="0"/>
      <w:marRight w:val="0"/>
      <w:marTop w:val="0"/>
      <w:marBottom w:val="0"/>
      <w:divBdr>
        <w:top w:val="none" w:sz="0" w:space="0" w:color="auto"/>
        <w:left w:val="none" w:sz="0" w:space="0" w:color="auto"/>
        <w:bottom w:val="none" w:sz="0" w:space="0" w:color="auto"/>
        <w:right w:val="none" w:sz="0" w:space="0" w:color="auto"/>
      </w:divBdr>
      <w:divsChild>
        <w:div w:id="871763811">
          <w:marLeft w:val="547"/>
          <w:marRight w:val="0"/>
          <w:marTop w:val="154"/>
          <w:marBottom w:val="0"/>
          <w:divBdr>
            <w:top w:val="none" w:sz="0" w:space="0" w:color="auto"/>
            <w:left w:val="none" w:sz="0" w:space="0" w:color="auto"/>
            <w:bottom w:val="none" w:sz="0" w:space="0" w:color="auto"/>
            <w:right w:val="none" w:sz="0" w:space="0" w:color="auto"/>
          </w:divBdr>
        </w:div>
        <w:div w:id="1694765035">
          <w:marLeft w:val="547"/>
          <w:marRight w:val="0"/>
          <w:marTop w:val="154"/>
          <w:marBottom w:val="0"/>
          <w:divBdr>
            <w:top w:val="none" w:sz="0" w:space="0" w:color="auto"/>
            <w:left w:val="none" w:sz="0" w:space="0" w:color="auto"/>
            <w:bottom w:val="none" w:sz="0" w:space="0" w:color="auto"/>
            <w:right w:val="none" w:sz="0" w:space="0" w:color="auto"/>
          </w:divBdr>
        </w:div>
      </w:divsChild>
    </w:div>
    <w:div w:id="1829711595">
      <w:bodyDiv w:val="1"/>
      <w:marLeft w:val="0"/>
      <w:marRight w:val="0"/>
      <w:marTop w:val="0"/>
      <w:marBottom w:val="0"/>
      <w:divBdr>
        <w:top w:val="none" w:sz="0" w:space="0" w:color="auto"/>
        <w:left w:val="none" w:sz="0" w:space="0" w:color="auto"/>
        <w:bottom w:val="none" w:sz="0" w:space="0" w:color="auto"/>
        <w:right w:val="none" w:sz="0" w:space="0" w:color="auto"/>
      </w:divBdr>
    </w:div>
    <w:div w:id="1862552291">
      <w:bodyDiv w:val="1"/>
      <w:marLeft w:val="0"/>
      <w:marRight w:val="0"/>
      <w:marTop w:val="0"/>
      <w:marBottom w:val="0"/>
      <w:divBdr>
        <w:top w:val="none" w:sz="0" w:space="0" w:color="auto"/>
        <w:left w:val="none" w:sz="0" w:space="0" w:color="auto"/>
        <w:bottom w:val="none" w:sz="0" w:space="0" w:color="auto"/>
        <w:right w:val="none" w:sz="0" w:space="0" w:color="auto"/>
      </w:divBdr>
    </w:div>
    <w:div w:id="1911845922">
      <w:bodyDiv w:val="1"/>
      <w:marLeft w:val="0"/>
      <w:marRight w:val="0"/>
      <w:marTop w:val="0"/>
      <w:marBottom w:val="0"/>
      <w:divBdr>
        <w:top w:val="none" w:sz="0" w:space="0" w:color="auto"/>
        <w:left w:val="none" w:sz="0" w:space="0" w:color="auto"/>
        <w:bottom w:val="none" w:sz="0" w:space="0" w:color="auto"/>
        <w:right w:val="none" w:sz="0" w:space="0" w:color="auto"/>
      </w:divBdr>
    </w:div>
    <w:div w:id="1931039305">
      <w:bodyDiv w:val="1"/>
      <w:marLeft w:val="0"/>
      <w:marRight w:val="0"/>
      <w:marTop w:val="0"/>
      <w:marBottom w:val="0"/>
      <w:divBdr>
        <w:top w:val="none" w:sz="0" w:space="0" w:color="auto"/>
        <w:left w:val="none" w:sz="0" w:space="0" w:color="auto"/>
        <w:bottom w:val="none" w:sz="0" w:space="0" w:color="auto"/>
        <w:right w:val="none" w:sz="0" w:space="0" w:color="auto"/>
      </w:divBdr>
    </w:div>
    <w:div w:id="1955359853">
      <w:bodyDiv w:val="1"/>
      <w:marLeft w:val="0"/>
      <w:marRight w:val="0"/>
      <w:marTop w:val="0"/>
      <w:marBottom w:val="0"/>
      <w:divBdr>
        <w:top w:val="none" w:sz="0" w:space="0" w:color="auto"/>
        <w:left w:val="none" w:sz="0" w:space="0" w:color="auto"/>
        <w:bottom w:val="none" w:sz="0" w:space="0" w:color="auto"/>
        <w:right w:val="none" w:sz="0" w:space="0" w:color="auto"/>
      </w:divBdr>
    </w:div>
    <w:div w:id="2041975585">
      <w:bodyDiv w:val="1"/>
      <w:marLeft w:val="0"/>
      <w:marRight w:val="0"/>
      <w:marTop w:val="0"/>
      <w:marBottom w:val="0"/>
      <w:divBdr>
        <w:top w:val="none" w:sz="0" w:space="0" w:color="auto"/>
        <w:left w:val="none" w:sz="0" w:space="0" w:color="auto"/>
        <w:bottom w:val="none" w:sz="0" w:space="0" w:color="auto"/>
        <w:right w:val="none" w:sz="0" w:space="0" w:color="auto"/>
      </w:divBdr>
    </w:div>
    <w:div w:id="2051146078">
      <w:bodyDiv w:val="1"/>
      <w:marLeft w:val="0"/>
      <w:marRight w:val="0"/>
      <w:marTop w:val="0"/>
      <w:marBottom w:val="0"/>
      <w:divBdr>
        <w:top w:val="none" w:sz="0" w:space="0" w:color="auto"/>
        <w:left w:val="none" w:sz="0" w:space="0" w:color="auto"/>
        <w:bottom w:val="none" w:sz="0" w:space="0" w:color="auto"/>
        <w:right w:val="none" w:sz="0" w:space="0" w:color="auto"/>
      </w:divBdr>
    </w:div>
    <w:div w:id="20987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canceraustralia.gov.au/publications-resources/cancer-australia-publications/recommendations-use-bisphosphonates-early-breast" TargetMode="External"/><Relationship Id="rId39" Type="http://schemas.openxmlformats.org/officeDocument/2006/relationships/hyperlink" Target="http://apps.who.int/trialsearch" TargetMode="External"/><Relationship Id="rId21" Type="http://schemas.openxmlformats.org/officeDocument/2006/relationships/header" Target="header6.xml"/><Relationship Id="rId34" Type="http://schemas.openxmlformats.org/officeDocument/2006/relationships/image" Target="media/image5.png"/><Relationship Id="rId42" Type="http://schemas.openxmlformats.org/officeDocument/2006/relationships/footer" Target="footer7.xml"/><Relationship Id="rId47" Type="http://schemas.openxmlformats.org/officeDocument/2006/relationships/header" Target="header11.xml"/><Relationship Id="rId50" Type="http://schemas.openxmlformats.org/officeDocument/2006/relationships/image" Target="media/image8.png"/><Relationship Id="rId55" Type="http://schemas.openxmlformats.org/officeDocument/2006/relationships/hyperlink" Target="https://www.bcna.org.au/about-bcna/advocacy/submissions-and-reviews/submission-dxa-scan-rebates" TargetMode="External"/><Relationship Id="rId63" Type="http://schemas.openxmlformats.org/officeDocument/2006/relationships/hyperlink" Target="http://dx.doi.org/10.1007/s10549-012-1973-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sac.gov.au/" TargetMode="External"/><Relationship Id="rId20" Type="http://schemas.openxmlformats.org/officeDocument/2006/relationships/footer" Target="footer5.xml"/><Relationship Id="rId29" Type="http://schemas.openxmlformats.org/officeDocument/2006/relationships/hyperlink" Target="http://www.shef.ac.uk/FRAX/tool.jsp?country=31" TargetMode="External"/><Relationship Id="rId41" Type="http://schemas.openxmlformats.org/officeDocument/2006/relationships/hyperlink" Target="http://www.crd.york.ac.uk/CRDWeb/" TargetMode="External"/><Relationship Id="rId54" Type="http://schemas.openxmlformats.org/officeDocument/2006/relationships/image" Target="media/image11.png"/><Relationship Id="rId62" Type="http://schemas.openxmlformats.org/officeDocument/2006/relationships/hyperlink" Target="http://dx.doi.org/10.1507/endocrj.EJ12-02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yperlink" Target="http://www.msac.gov.au/internet/msac/publishing.nsf/Content/reviews-lp.%20%20Over%20$100" TargetMode="External"/><Relationship Id="rId37" Type="http://schemas.openxmlformats.org/officeDocument/2006/relationships/hyperlink" Target="http://www.clinicaltrials.gov/" TargetMode="External"/><Relationship Id="rId40" Type="http://schemas.openxmlformats.org/officeDocument/2006/relationships/hyperlink" Target="http://www.inahta.org/" TargetMode="External"/><Relationship Id="rId45" Type="http://schemas.openxmlformats.org/officeDocument/2006/relationships/hyperlink" Target="http://www.garvan.org.au/bone-fracture-risk" TargetMode="External"/><Relationship Id="rId53" Type="http://schemas.microsoft.com/office/2007/relationships/hdphoto" Target="media/hdphoto2.wdp"/><Relationship Id="rId58" Type="http://schemas.openxmlformats.org/officeDocument/2006/relationships/hyperlink" Target="http://dx.doi.org/10.1002/cncr.26313" TargetMode="External"/><Relationship Id="rId5" Type="http://schemas.openxmlformats.org/officeDocument/2006/relationships/settings" Target="settings.xml"/><Relationship Id="rId15" Type="http://schemas.openxmlformats.org/officeDocument/2006/relationships/hyperlink" Target="http://www.msac.gov.au" TargetMode="External"/><Relationship Id="rId23" Type="http://schemas.openxmlformats.org/officeDocument/2006/relationships/header" Target="header7.xml"/><Relationship Id="rId28" Type="http://schemas.openxmlformats.org/officeDocument/2006/relationships/footer" Target="footer6.xml"/><Relationship Id="rId36" Type="http://schemas.openxmlformats.org/officeDocument/2006/relationships/hyperlink" Target="http://www.controlled-trials.com/" TargetMode="External"/><Relationship Id="rId49" Type="http://schemas.openxmlformats.org/officeDocument/2006/relationships/header" Target="header12.xml"/><Relationship Id="rId57" Type="http://schemas.openxmlformats.org/officeDocument/2006/relationships/footer" Target="footer9.xml"/><Relationship Id="rId61" Type="http://schemas.openxmlformats.org/officeDocument/2006/relationships/hyperlink" Target="http://www.nhmrc.gov.au/consult/index.htm"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image" Target="media/image3.png"/><Relationship Id="rId44" Type="http://schemas.microsoft.com/office/2007/relationships/hdphoto" Target="media/hdphoto1.wdp"/><Relationship Id="rId52" Type="http://schemas.openxmlformats.org/officeDocument/2006/relationships/image" Target="media/image10.png"/><Relationship Id="rId60" Type="http://schemas.openxmlformats.org/officeDocument/2006/relationships/hyperlink" Target="http://dx.doi.org/10.1016/j.jbo.2012.06.002"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 Id="rId27" Type="http://schemas.openxmlformats.org/officeDocument/2006/relationships/image" Target="media/image2.png"/><Relationship Id="rId30" Type="http://schemas.openxmlformats.org/officeDocument/2006/relationships/hyperlink" Target="https://www.ebs.tga.gov.au/" TargetMode="External"/><Relationship Id="rId35" Type="http://schemas.openxmlformats.org/officeDocument/2006/relationships/image" Target="media/image6.png"/><Relationship Id="rId43" Type="http://schemas.openxmlformats.org/officeDocument/2006/relationships/image" Target="media/image7.png"/><Relationship Id="rId48" Type="http://schemas.openxmlformats.org/officeDocument/2006/relationships/footer" Target="footer8.xml"/><Relationship Id="rId56" Type="http://schemas.openxmlformats.org/officeDocument/2006/relationships/image" Target="media/image12.png"/><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9.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image" Target="media/image4.png"/><Relationship Id="rId38" Type="http://schemas.openxmlformats.org/officeDocument/2006/relationships/hyperlink" Target="http://www.anzctr.org.au/" TargetMode="External"/><Relationship Id="rId46" Type="http://schemas.openxmlformats.org/officeDocument/2006/relationships/header" Target="header10.xml"/><Relationship Id="rId59" Type="http://schemas.openxmlformats.org/officeDocument/2006/relationships/hyperlink" Target="http://dx.doi.org/10.1093/annonc/mds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F619B-0497-4471-8C18-248AA39E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112</Pages>
  <Words>41147</Words>
  <Characters>317464</Characters>
  <Application>Microsoft Office Word</Application>
  <DocSecurity>0</DocSecurity>
  <Lines>2645</Lines>
  <Paragraphs>715</Paragraphs>
  <ScaleCrop>false</ScaleCrop>
  <HeadingPairs>
    <vt:vector size="2" baseType="variant">
      <vt:variant>
        <vt:lpstr>Title</vt:lpstr>
      </vt:variant>
      <vt:variant>
        <vt:i4>1</vt:i4>
      </vt:variant>
    </vt:vector>
  </HeadingPairs>
  <TitlesOfParts>
    <vt:vector size="1" baseType="lpstr">
      <vt:lpstr>MSAC Assessment Report Template</vt:lpstr>
    </vt:vector>
  </TitlesOfParts>
  <Company>Dept Health And Ageing</Company>
  <LinksUpToDate>false</LinksUpToDate>
  <CharactersWithSpaces>357896</CharactersWithSpaces>
  <SharedDoc>false</SharedDoc>
  <HLinks>
    <vt:vector size="360" baseType="variant">
      <vt:variant>
        <vt:i4>1245236</vt:i4>
      </vt:variant>
      <vt:variant>
        <vt:i4>359</vt:i4>
      </vt:variant>
      <vt:variant>
        <vt:i4>0</vt:i4>
      </vt:variant>
      <vt:variant>
        <vt:i4>5</vt:i4>
      </vt:variant>
      <vt:variant>
        <vt:lpwstr/>
      </vt:variant>
      <vt:variant>
        <vt:lpwstr>_Toc204743604</vt:lpwstr>
      </vt:variant>
      <vt:variant>
        <vt:i4>1376313</vt:i4>
      </vt:variant>
      <vt:variant>
        <vt:i4>350</vt:i4>
      </vt:variant>
      <vt:variant>
        <vt:i4>0</vt:i4>
      </vt:variant>
      <vt:variant>
        <vt:i4>5</vt:i4>
      </vt:variant>
      <vt:variant>
        <vt:lpwstr/>
      </vt:variant>
      <vt:variant>
        <vt:lpwstr>_Toc209512356</vt:lpwstr>
      </vt:variant>
      <vt:variant>
        <vt:i4>1376313</vt:i4>
      </vt:variant>
      <vt:variant>
        <vt:i4>344</vt:i4>
      </vt:variant>
      <vt:variant>
        <vt:i4>0</vt:i4>
      </vt:variant>
      <vt:variant>
        <vt:i4>5</vt:i4>
      </vt:variant>
      <vt:variant>
        <vt:lpwstr/>
      </vt:variant>
      <vt:variant>
        <vt:lpwstr>_Toc209512355</vt:lpwstr>
      </vt:variant>
      <vt:variant>
        <vt:i4>1376313</vt:i4>
      </vt:variant>
      <vt:variant>
        <vt:i4>338</vt:i4>
      </vt:variant>
      <vt:variant>
        <vt:i4>0</vt:i4>
      </vt:variant>
      <vt:variant>
        <vt:i4>5</vt:i4>
      </vt:variant>
      <vt:variant>
        <vt:lpwstr/>
      </vt:variant>
      <vt:variant>
        <vt:lpwstr>_Toc209512354</vt:lpwstr>
      </vt:variant>
      <vt:variant>
        <vt:i4>1376313</vt:i4>
      </vt:variant>
      <vt:variant>
        <vt:i4>332</vt:i4>
      </vt:variant>
      <vt:variant>
        <vt:i4>0</vt:i4>
      </vt:variant>
      <vt:variant>
        <vt:i4>5</vt:i4>
      </vt:variant>
      <vt:variant>
        <vt:lpwstr/>
      </vt:variant>
      <vt:variant>
        <vt:lpwstr>_Toc209512353</vt:lpwstr>
      </vt:variant>
      <vt:variant>
        <vt:i4>1376313</vt:i4>
      </vt:variant>
      <vt:variant>
        <vt:i4>326</vt:i4>
      </vt:variant>
      <vt:variant>
        <vt:i4>0</vt:i4>
      </vt:variant>
      <vt:variant>
        <vt:i4>5</vt:i4>
      </vt:variant>
      <vt:variant>
        <vt:lpwstr/>
      </vt:variant>
      <vt:variant>
        <vt:lpwstr>_Toc209512352</vt:lpwstr>
      </vt:variant>
      <vt:variant>
        <vt:i4>1376313</vt:i4>
      </vt:variant>
      <vt:variant>
        <vt:i4>320</vt:i4>
      </vt:variant>
      <vt:variant>
        <vt:i4>0</vt:i4>
      </vt:variant>
      <vt:variant>
        <vt:i4>5</vt:i4>
      </vt:variant>
      <vt:variant>
        <vt:lpwstr/>
      </vt:variant>
      <vt:variant>
        <vt:lpwstr>_Toc209512351</vt:lpwstr>
      </vt:variant>
      <vt:variant>
        <vt:i4>1114167</vt:i4>
      </vt:variant>
      <vt:variant>
        <vt:i4>311</vt:i4>
      </vt:variant>
      <vt:variant>
        <vt:i4>0</vt:i4>
      </vt:variant>
      <vt:variant>
        <vt:i4>5</vt:i4>
      </vt:variant>
      <vt:variant>
        <vt:lpwstr/>
      </vt:variant>
      <vt:variant>
        <vt:lpwstr>_Toc370118584</vt:lpwstr>
      </vt:variant>
      <vt:variant>
        <vt:i4>1114167</vt:i4>
      </vt:variant>
      <vt:variant>
        <vt:i4>305</vt:i4>
      </vt:variant>
      <vt:variant>
        <vt:i4>0</vt:i4>
      </vt:variant>
      <vt:variant>
        <vt:i4>5</vt:i4>
      </vt:variant>
      <vt:variant>
        <vt:lpwstr/>
      </vt:variant>
      <vt:variant>
        <vt:lpwstr>_Toc370118583</vt:lpwstr>
      </vt:variant>
      <vt:variant>
        <vt:i4>1114167</vt:i4>
      </vt:variant>
      <vt:variant>
        <vt:i4>299</vt:i4>
      </vt:variant>
      <vt:variant>
        <vt:i4>0</vt:i4>
      </vt:variant>
      <vt:variant>
        <vt:i4>5</vt:i4>
      </vt:variant>
      <vt:variant>
        <vt:lpwstr/>
      </vt:variant>
      <vt:variant>
        <vt:lpwstr>_Toc370118582</vt:lpwstr>
      </vt:variant>
      <vt:variant>
        <vt:i4>1114167</vt:i4>
      </vt:variant>
      <vt:variant>
        <vt:i4>293</vt:i4>
      </vt:variant>
      <vt:variant>
        <vt:i4>0</vt:i4>
      </vt:variant>
      <vt:variant>
        <vt:i4>5</vt:i4>
      </vt:variant>
      <vt:variant>
        <vt:lpwstr/>
      </vt:variant>
      <vt:variant>
        <vt:lpwstr>_Toc370118581</vt:lpwstr>
      </vt:variant>
      <vt:variant>
        <vt:i4>1114167</vt:i4>
      </vt:variant>
      <vt:variant>
        <vt:i4>287</vt:i4>
      </vt:variant>
      <vt:variant>
        <vt:i4>0</vt:i4>
      </vt:variant>
      <vt:variant>
        <vt:i4>5</vt:i4>
      </vt:variant>
      <vt:variant>
        <vt:lpwstr/>
      </vt:variant>
      <vt:variant>
        <vt:lpwstr>_Toc370118580</vt:lpwstr>
      </vt:variant>
      <vt:variant>
        <vt:i4>1966135</vt:i4>
      </vt:variant>
      <vt:variant>
        <vt:i4>281</vt:i4>
      </vt:variant>
      <vt:variant>
        <vt:i4>0</vt:i4>
      </vt:variant>
      <vt:variant>
        <vt:i4>5</vt:i4>
      </vt:variant>
      <vt:variant>
        <vt:lpwstr/>
      </vt:variant>
      <vt:variant>
        <vt:lpwstr>_Toc370118579</vt:lpwstr>
      </vt:variant>
      <vt:variant>
        <vt:i4>1966135</vt:i4>
      </vt:variant>
      <vt:variant>
        <vt:i4>275</vt:i4>
      </vt:variant>
      <vt:variant>
        <vt:i4>0</vt:i4>
      </vt:variant>
      <vt:variant>
        <vt:i4>5</vt:i4>
      </vt:variant>
      <vt:variant>
        <vt:lpwstr/>
      </vt:variant>
      <vt:variant>
        <vt:lpwstr>_Toc370118578</vt:lpwstr>
      </vt:variant>
      <vt:variant>
        <vt:i4>1966135</vt:i4>
      </vt:variant>
      <vt:variant>
        <vt:i4>269</vt:i4>
      </vt:variant>
      <vt:variant>
        <vt:i4>0</vt:i4>
      </vt:variant>
      <vt:variant>
        <vt:i4>5</vt:i4>
      </vt:variant>
      <vt:variant>
        <vt:lpwstr/>
      </vt:variant>
      <vt:variant>
        <vt:lpwstr>_Toc370118577</vt:lpwstr>
      </vt:variant>
      <vt:variant>
        <vt:i4>1966135</vt:i4>
      </vt:variant>
      <vt:variant>
        <vt:i4>263</vt:i4>
      </vt:variant>
      <vt:variant>
        <vt:i4>0</vt:i4>
      </vt:variant>
      <vt:variant>
        <vt:i4>5</vt:i4>
      </vt:variant>
      <vt:variant>
        <vt:lpwstr/>
      </vt:variant>
      <vt:variant>
        <vt:lpwstr>_Toc370118576</vt:lpwstr>
      </vt:variant>
      <vt:variant>
        <vt:i4>1966135</vt:i4>
      </vt:variant>
      <vt:variant>
        <vt:i4>257</vt:i4>
      </vt:variant>
      <vt:variant>
        <vt:i4>0</vt:i4>
      </vt:variant>
      <vt:variant>
        <vt:i4>5</vt:i4>
      </vt:variant>
      <vt:variant>
        <vt:lpwstr/>
      </vt:variant>
      <vt:variant>
        <vt:lpwstr>_Toc370118575</vt:lpwstr>
      </vt:variant>
      <vt:variant>
        <vt:i4>1966135</vt:i4>
      </vt:variant>
      <vt:variant>
        <vt:i4>251</vt:i4>
      </vt:variant>
      <vt:variant>
        <vt:i4>0</vt:i4>
      </vt:variant>
      <vt:variant>
        <vt:i4>5</vt:i4>
      </vt:variant>
      <vt:variant>
        <vt:lpwstr/>
      </vt:variant>
      <vt:variant>
        <vt:lpwstr>_Toc370118574</vt:lpwstr>
      </vt:variant>
      <vt:variant>
        <vt:i4>1966135</vt:i4>
      </vt:variant>
      <vt:variant>
        <vt:i4>245</vt:i4>
      </vt:variant>
      <vt:variant>
        <vt:i4>0</vt:i4>
      </vt:variant>
      <vt:variant>
        <vt:i4>5</vt:i4>
      </vt:variant>
      <vt:variant>
        <vt:lpwstr/>
      </vt:variant>
      <vt:variant>
        <vt:lpwstr>_Toc370118573</vt:lpwstr>
      </vt:variant>
      <vt:variant>
        <vt:i4>1966135</vt:i4>
      </vt:variant>
      <vt:variant>
        <vt:i4>239</vt:i4>
      </vt:variant>
      <vt:variant>
        <vt:i4>0</vt:i4>
      </vt:variant>
      <vt:variant>
        <vt:i4>5</vt:i4>
      </vt:variant>
      <vt:variant>
        <vt:lpwstr/>
      </vt:variant>
      <vt:variant>
        <vt:lpwstr>_Toc370118572</vt:lpwstr>
      </vt:variant>
      <vt:variant>
        <vt:i4>1966135</vt:i4>
      </vt:variant>
      <vt:variant>
        <vt:i4>233</vt:i4>
      </vt:variant>
      <vt:variant>
        <vt:i4>0</vt:i4>
      </vt:variant>
      <vt:variant>
        <vt:i4>5</vt:i4>
      </vt:variant>
      <vt:variant>
        <vt:lpwstr/>
      </vt:variant>
      <vt:variant>
        <vt:lpwstr>_Toc370118571</vt:lpwstr>
      </vt:variant>
      <vt:variant>
        <vt:i4>1966135</vt:i4>
      </vt:variant>
      <vt:variant>
        <vt:i4>227</vt:i4>
      </vt:variant>
      <vt:variant>
        <vt:i4>0</vt:i4>
      </vt:variant>
      <vt:variant>
        <vt:i4>5</vt:i4>
      </vt:variant>
      <vt:variant>
        <vt:lpwstr/>
      </vt:variant>
      <vt:variant>
        <vt:lpwstr>_Toc370118570</vt:lpwstr>
      </vt:variant>
      <vt:variant>
        <vt:i4>2031671</vt:i4>
      </vt:variant>
      <vt:variant>
        <vt:i4>221</vt:i4>
      </vt:variant>
      <vt:variant>
        <vt:i4>0</vt:i4>
      </vt:variant>
      <vt:variant>
        <vt:i4>5</vt:i4>
      </vt:variant>
      <vt:variant>
        <vt:lpwstr/>
      </vt:variant>
      <vt:variant>
        <vt:lpwstr>_Toc370118569</vt:lpwstr>
      </vt:variant>
      <vt:variant>
        <vt:i4>2031671</vt:i4>
      </vt:variant>
      <vt:variant>
        <vt:i4>215</vt:i4>
      </vt:variant>
      <vt:variant>
        <vt:i4>0</vt:i4>
      </vt:variant>
      <vt:variant>
        <vt:i4>5</vt:i4>
      </vt:variant>
      <vt:variant>
        <vt:lpwstr/>
      </vt:variant>
      <vt:variant>
        <vt:lpwstr>_Toc370118568</vt:lpwstr>
      </vt:variant>
      <vt:variant>
        <vt:i4>2031671</vt:i4>
      </vt:variant>
      <vt:variant>
        <vt:i4>209</vt:i4>
      </vt:variant>
      <vt:variant>
        <vt:i4>0</vt:i4>
      </vt:variant>
      <vt:variant>
        <vt:i4>5</vt:i4>
      </vt:variant>
      <vt:variant>
        <vt:lpwstr/>
      </vt:variant>
      <vt:variant>
        <vt:lpwstr>_Toc370118567</vt:lpwstr>
      </vt:variant>
      <vt:variant>
        <vt:i4>2031671</vt:i4>
      </vt:variant>
      <vt:variant>
        <vt:i4>203</vt:i4>
      </vt:variant>
      <vt:variant>
        <vt:i4>0</vt:i4>
      </vt:variant>
      <vt:variant>
        <vt:i4>5</vt:i4>
      </vt:variant>
      <vt:variant>
        <vt:lpwstr/>
      </vt:variant>
      <vt:variant>
        <vt:lpwstr>_Toc370118566</vt:lpwstr>
      </vt:variant>
      <vt:variant>
        <vt:i4>2031671</vt:i4>
      </vt:variant>
      <vt:variant>
        <vt:i4>197</vt:i4>
      </vt:variant>
      <vt:variant>
        <vt:i4>0</vt:i4>
      </vt:variant>
      <vt:variant>
        <vt:i4>5</vt:i4>
      </vt:variant>
      <vt:variant>
        <vt:lpwstr/>
      </vt:variant>
      <vt:variant>
        <vt:lpwstr>_Toc370118565</vt:lpwstr>
      </vt:variant>
      <vt:variant>
        <vt:i4>2031671</vt:i4>
      </vt:variant>
      <vt:variant>
        <vt:i4>191</vt:i4>
      </vt:variant>
      <vt:variant>
        <vt:i4>0</vt:i4>
      </vt:variant>
      <vt:variant>
        <vt:i4>5</vt:i4>
      </vt:variant>
      <vt:variant>
        <vt:lpwstr/>
      </vt:variant>
      <vt:variant>
        <vt:lpwstr>_Toc370118564</vt:lpwstr>
      </vt:variant>
      <vt:variant>
        <vt:i4>2031671</vt:i4>
      </vt:variant>
      <vt:variant>
        <vt:i4>185</vt:i4>
      </vt:variant>
      <vt:variant>
        <vt:i4>0</vt:i4>
      </vt:variant>
      <vt:variant>
        <vt:i4>5</vt:i4>
      </vt:variant>
      <vt:variant>
        <vt:lpwstr/>
      </vt:variant>
      <vt:variant>
        <vt:lpwstr>_Toc370118563</vt:lpwstr>
      </vt:variant>
      <vt:variant>
        <vt:i4>2031671</vt:i4>
      </vt:variant>
      <vt:variant>
        <vt:i4>179</vt:i4>
      </vt:variant>
      <vt:variant>
        <vt:i4>0</vt:i4>
      </vt:variant>
      <vt:variant>
        <vt:i4>5</vt:i4>
      </vt:variant>
      <vt:variant>
        <vt:lpwstr/>
      </vt:variant>
      <vt:variant>
        <vt:lpwstr>_Toc370118562</vt:lpwstr>
      </vt:variant>
      <vt:variant>
        <vt:i4>2031671</vt:i4>
      </vt:variant>
      <vt:variant>
        <vt:i4>173</vt:i4>
      </vt:variant>
      <vt:variant>
        <vt:i4>0</vt:i4>
      </vt:variant>
      <vt:variant>
        <vt:i4>5</vt:i4>
      </vt:variant>
      <vt:variant>
        <vt:lpwstr/>
      </vt:variant>
      <vt:variant>
        <vt:lpwstr>_Toc370118561</vt:lpwstr>
      </vt:variant>
      <vt:variant>
        <vt:i4>2031671</vt:i4>
      </vt:variant>
      <vt:variant>
        <vt:i4>167</vt:i4>
      </vt:variant>
      <vt:variant>
        <vt:i4>0</vt:i4>
      </vt:variant>
      <vt:variant>
        <vt:i4>5</vt:i4>
      </vt:variant>
      <vt:variant>
        <vt:lpwstr/>
      </vt:variant>
      <vt:variant>
        <vt:lpwstr>_Toc370118560</vt:lpwstr>
      </vt:variant>
      <vt:variant>
        <vt:i4>1835063</vt:i4>
      </vt:variant>
      <vt:variant>
        <vt:i4>161</vt:i4>
      </vt:variant>
      <vt:variant>
        <vt:i4>0</vt:i4>
      </vt:variant>
      <vt:variant>
        <vt:i4>5</vt:i4>
      </vt:variant>
      <vt:variant>
        <vt:lpwstr/>
      </vt:variant>
      <vt:variant>
        <vt:lpwstr>_Toc370118559</vt:lpwstr>
      </vt:variant>
      <vt:variant>
        <vt:i4>1835063</vt:i4>
      </vt:variant>
      <vt:variant>
        <vt:i4>155</vt:i4>
      </vt:variant>
      <vt:variant>
        <vt:i4>0</vt:i4>
      </vt:variant>
      <vt:variant>
        <vt:i4>5</vt:i4>
      </vt:variant>
      <vt:variant>
        <vt:lpwstr/>
      </vt:variant>
      <vt:variant>
        <vt:lpwstr>_Toc370118558</vt:lpwstr>
      </vt:variant>
      <vt:variant>
        <vt:i4>1835063</vt:i4>
      </vt:variant>
      <vt:variant>
        <vt:i4>149</vt:i4>
      </vt:variant>
      <vt:variant>
        <vt:i4>0</vt:i4>
      </vt:variant>
      <vt:variant>
        <vt:i4>5</vt:i4>
      </vt:variant>
      <vt:variant>
        <vt:lpwstr/>
      </vt:variant>
      <vt:variant>
        <vt:lpwstr>_Toc370118557</vt:lpwstr>
      </vt:variant>
      <vt:variant>
        <vt:i4>1835063</vt:i4>
      </vt:variant>
      <vt:variant>
        <vt:i4>143</vt:i4>
      </vt:variant>
      <vt:variant>
        <vt:i4>0</vt:i4>
      </vt:variant>
      <vt:variant>
        <vt:i4>5</vt:i4>
      </vt:variant>
      <vt:variant>
        <vt:lpwstr/>
      </vt:variant>
      <vt:variant>
        <vt:lpwstr>_Toc370118556</vt:lpwstr>
      </vt:variant>
      <vt:variant>
        <vt:i4>1835063</vt:i4>
      </vt:variant>
      <vt:variant>
        <vt:i4>137</vt:i4>
      </vt:variant>
      <vt:variant>
        <vt:i4>0</vt:i4>
      </vt:variant>
      <vt:variant>
        <vt:i4>5</vt:i4>
      </vt:variant>
      <vt:variant>
        <vt:lpwstr/>
      </vt:variant>
      <vt:variant>
        <vt:lpwstr>_Toc370118555</vt:lpwstr>
      </vt:variant>
      <vt:variant>
        <vt:i4>1835063</vt:i4>
      </vt:variant>
      <vt:variant>
        <vt:i4>131</vt:i4>
      </vt:variant>
      <vt:variant>
        <vt:i4>0</vt:i4>
      </vt:variant>
      <vt:variant>
        <vt:i4>5</vt:i4>
      </vt:variant>
      <vt:variant>
        <vt:lpwstr/>
      </vt:variant>
      <vt:variant>
        <vt:lpwstr>_Toc370118554</vt:lpwstr>
      </vt:variant>
      <vt:variant>
        <vt:i4>1835063</vt:i4>
      </vt:variant>
      <vt:variant>
        <vt:i4>125</vt:i4>
      </vt:variant>
      <vt:variant>
        <vt:i4>0</vt:i4>
      </vt:variant>
      <vt:variant>
        <vt:i4>5</vt:i4>
      </vt:variant>
      <vt:variant>
        <vt:lpwstr/>
      </vt:variant>
      <vt:variant>
        <vt:lpwstr>_Toc370118553</vt:lpwstr>
      </vt:variant>
      <vt:variant>
        <vt:i4>1835063</vt:i4>
      </vt:variant>
      <vt:variant>
        <vt:i4>119</vt:i4>
      </vt:variant>
      <vt:variant>
        <vt:i4>0</vt:i4>
      </vt:variant>
      <vt:variant>
        <vt:i4>5</vt:i4>
      </vt:variant>
      <vt:variant>
        <vt:lpwstr/>
      </vt:variant>
      <vt:variant>
        <vt:lpwstr>_Toc370118552</vt:lpwstr>
      </vt:variant>
      <vt:variant>
        <vt:i4>1835063</vt:i4>
      </vt:variant>
      <vt:variant>
        <vt:i4>113</vt:i4>
      </vt:variant>
      <vt:variant>
        <vt:i4>0</vt:i4>
      </vt:variant>
      <vt:variant>
        <vt:i4>5</vt:i4>
      </vt:variant>
      <vt:variant>
        <vt:lpwstr/>
      </vt:variant>
      <vt:variant>
        <vt:lpwstr>_Toc370118551</vt:lpwstr>
      </vt:variant>
      <vt:variant>
        <vt:i4>1835063</vt:i4>
      </vt:variant>
      <vt:variant>
        <vt:i4>107</vt:i4>
      </vt:variant>
      <vt:variant>
        <vt:i4>0</vt:i4>
      </vt:variant>
      <vt:variant>
        <vt:i4>5</vt:i4>
      </vt:variant>
      <vt:variant>
        <vt:lpwstr/>
      </vt:variant>
      <vt:variant>
        <vt:lpwstr>_Toc370118550</vt:lpwstr>
      </vt:variant>
      <vt:variant>
        <vt:i4>1900599</vt:i4>
      </vt:variant>
      <vt:variant>
        <vt:i4>101</vt:i4>
      </vt:variant>
      <vt:variant>
        <vt:i4>0</vt:i4>
      </vt:variant>
      <vt:variant>
        <vt:i4>5</vt:i4>
      </vt:variant>
      <vt:variant>
        <vt:lpwstr/>
      </vt:variant>
      <vt:variant>
        <vt:lpwstr>_Toc370118549</vt:lpwstr>
      </vt:variant>
      <vt:variant>
        <vt:i4>1900599</vt:i4>
      </vt:variant>
      <vt:variant>
        <vt:i4>95</vt:i4>
      </vt:variant>
      <vt:variant>
        <vt:i4>0</vt:i4>
      </vt:variant>
      <vt:variant>
        <vt:i4>5</vt:i4>
      </vt:variant>
      <vt:variant>
        <vt:lpwstr/>
      </vt:variant>
      <vt:variant>
        <vt:lpwstr>_Toc370118548</vt:lpwstr>
      </vt:variant>
      <vt:variant>
        <vt:i4>1900599</vt:i4>
      </vt:variant>
      <vt:variant>
        <vt:i4>89</vt:i4>
      </vt:variant>
      <vt:variant>
        <vt:i4>0</vt:i4>
      </vt:variant>
      <vt:variant>
        <vt:i4>5</vt:i4>
      </vt:variant>
      <vt:variant>
        <vt:lpwstr/>
      </vt:variant>
      <vt:variant>
        <vt:lpwstr>_Toc370118547</vt:lpwstr>
      </vt:variant>
      <vt:variant>
        <vt:i4>1900599</vt:i4>
      </vt:variant>
      <vt:variant>
        <vt:i4>83</vt:i4>
      </vt:variant>
      <vt:variant>
        <vt:i4>0</vt:i4>
      </vt:variant>
      <vt:variant>
        <vt:i4>5</vt:i4>
      </vt:variant>
      <vt:variant>
        <vt:lpwstr/>
      </vt:variant>
      <vt:variant>
        <vt:lpwstr>_Toc370118546</vt:lpwstr>
      </vt:variant>
      <vt:variant>
        <vt:i4>1900599</vt:i4>
      </vt:variant>
      <vt:variant>
        <vt:i4>77</vt:i4>
      </vt:variant>
      <vt:variant>
        <vt:i4>0</vt:i4>
      </vt:variant>
      <vt:variant>
        <vt:i4>5</vt:i4>
      </vt:variant>
      <vt:variant>
        <vt:lpwstr/>
      </vt:variant>
      <vt:variant>
        <vt:lpwstr>_Toc370118545</vt:lpwstr>
      </vt:variant>
      <vt:variant>
        <vt:i4>1900599</vt:i4>
      </vt:variant>
      <vt:variant>
        <vt:i4>71</vt:i4>
      </vt:variant>
      <vt:variant>
        <vt:i4>0</vt:i4>
      </vt:variant>
      <vt:variant>
        <vt:i4>5</vt:i4>
      </vt:variant>
      <vt:variant>
        <vt:lpwstr/>
      </vt:variant>
      <vt:variant>
        <vt:lpwstr>_Toc370118544</vt:lpwstr>
      </vt:variant>
      <vt:variant>
        <vt:i4>1900599</vt:i4>
      </vt:variant>
      <vt:variant>
        <vt:i4>65</vt:i4>
      </vt:variant>
      <vt:variant>
        <vt:i4>0</vt:i4>
      </vt:variant>
      <vt:variant>
        <vt:i4>5</vt:i4>
      </vt:variant>
      <vt:variant>
        <vt:lpwstr/>
      </vt:variant>
      <vt:variant>
        <vt:lpwstr>_Toc370118543</vt:lpwstr>
      </vt:variant>
      <vt:variant>
        <vt:i4>1900599</vt:i4>
      </vt:variant>
      <vt:variant>
        <vt:i4>59</vt:i4>
      </vt:variant>
      <vt:variant>
        <vt:i4>0</vt:i4>
      </vt:variant>
      <vt:variant>
        <vt:i4>5</vt:i4>
      </vt:variant>
      <vt:variant>
        <vt:lpwstr/>
      </vt:variant>
      <vt:variant>
        <vt:lpwstr>_Toc370118542</vt:lpwstr>
      </vt:variant>
      <vt:variant>
        <vt:i4>1900599</vt:i4>
      </vt:variant>
      <vt:variant>
        <vt:i4>53</vt:i4>
      </vt:variant>
      <vt:variant>
        <vt:i4>0</vt:i4>
      </vt:variant>
      <vt:variant>
        <vt:i4>5</vt:i4>
      </vt:variant>
      <vt:variant>
        <vt:lpwstr/>
      </vt:variant>
      <vt:variant>
        <vt:lpwstr>_Toc370118541</vt:lpwstr>
      </vt:variant>
      <vt:variant>
        <vt:i4>1900599</vt:i4>
      </vt:variant>
      <vt:variant>
        <vt:i4>47</vt:i4>
      </vt:variant>
      <vt:variant>
        <vt:i4>0</vt:i4>
      </vt:variant>
      <vt:variant>
        <vt:i4>5</vt:i4>
      </vt:variant>
      <vt:variant>
        <vt:lpwstr/>
      </vt:variant>
      <vt:variant>
        <vt:lpwstr>_Toc370118540</vt:lpwstr>
      </vt:variant>
      <vt:variant>
        <vt:i4>1703991</vt:i4>
      </vt:variant>
      <vt:variant>
        <vt:i4>41</vt:i4>
      </vt:variant>
      <vt:variant>
        <vt:i4>0</vt:i4>
      </vt:variant>
      <vt:variant>
        <vt:i4>5</vt:i4>
      </vt:variant>
      <vt:variant>
        <vt:lpwstr/>
      </vt:variant>
      <vt:variant>
        <vt:lpwstr>_Toc370118539</vt:lpwstr>
      </vt:variant>
      <vt:variant>
        <vt:i4>1703991</vt:i4>
      </vt:variant>
      <vt:variant>
        <vt:i4>35</vt:i4>
      </vt:variant>
      <vt:variant>
        <vt:i4>0</vt:i4>
      </vt:variant>
      <vt:variant>
        <vt:i4>5</vt:i4>
      </vt:variant>
      <vt:variant>
        <vt:lpwstr/>
      </vt:variant>
      <vt:variant>
        <vt:lpwstr>_Toc370118538</vt:lpwstr>
      </vt:variant>
      <vt:variant>
        <vt:i4>1703991</vt:i4>
      </vt:variant>
      <vt:variant>
        <vt:i4>29</vt:i4>
      </vt:variant>
      <vt:variant>
        <vt:i4>0</vt:i4>
      </vt:variant>
      <vt:variant>
        <vt:i4>5</vt:i4>
      </vt:variant>
      <vt:variant>
        <vt:lpwstr/>
      </vt:variant>
      <vt:variant>
        <vt:lpwstr>_Toc370118537</vt:lpwstr>
      </vt:variant>
      <vt:variant>
        <vt:i4>1703991</vt:i4>
      </vt:variant>
      <vt:variant>
        <vt:i4>23</vt:i4>
      </vt:variant>
      <vt:variant>
        <vt:i4>0</vt:i4>
      </vt:variant>
      <vt:variant>
        <vt:i4>5</vt:i4>
      </vt:variant>
      <vt:variant>
        <vt:lpwstr/>
      </vt:variant>
      <vt:variant>
        <vt:lpwstr>_Toc370118536</vt:lpwstr>
      </vt:variant>
      <vt:variant>
        <vt:i4>1703991</vt:i4>
      </vt:variant>
      <vt:variant>
        <vt:i4>17</vt:i4>
      </vt:variant>
      <vt:variant>
        <vt:i4>0</vt:i4>
      </vt:variant>
      <vt:variant>
        <vt:i4>5</vt:i4>
      </vt:variant>
      <vt:variant>
        <vt:lpwstr/>
      </vt:variant>
      <vt:variant>
        <vt:lpwstr>_Toc370118535</vt:lpwstr>
      </vt:variant>
      <vt:variant>
        <vt:i4>1703991</vt:i4>
      </vt:variant>
      <vt:variant>
        <vt:i4>11</vt:i4>
      </vt:variant>
      <vt:variant>
        <vt:i4>0</vt:i4>
      </vt:variant>
      <vt:variant>
        <vt:i4>5</vt:i4>
      </vt:variant>
      <vt:variant>
        <vt:lpwstr/>
      </vt:variant>
      <vt:variant>
        <vt:lpwstr>_Toc370118534</vt:lpwstr>
      </vt:variant>
      <vt:variant>
        <vt:i4>1703991</vt:i4>
      </vt:variant>
      <vt:variant>
        <vt:i4>5</vt:i4>
      </vt:variant>
      <vt:variant>
        <vt:i4>0</vt:i4>
      </vt:variant>
      <vt:variant>
        <vt:i4>5</vt:i4>
      </vt:variant>
      <vt:variant>
        <vt:lpwstr/>
      </vt:variant>
      <vt:variant>
        <vt:lpwstr>_Toc370118533</vt:lpwstr>
      </vt: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Assessment Report Template</dc:title>
  <dc:creator>leditb</dc:creator>
  <cp:lastModifiedBy>McCandless Sean</cp:lastModifiedBy>
  <cp:revision>4</cp:revision>
  <cp:lastPrinted>2015-04-08T21:18:00Z</cp:lastPrinted>
  <dcterms:created xsi:type="dcterms:W3CDTF">2015-04-08T21:15:00Z</dcterms:created>
  <dcterms:modified xsi:type="dcterms:W3CDTF">2015-04-08T21:19:00Z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