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7976656" wp14:editId="163DBBA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Application</w:t>
      </w:r>
      <w:r w:rsidR="005078F7">
        <w:rPr>
          <w:rFonts w:ascii="Arial" w:hAnsi="Arial" w:cs="Arial"/>
          <w:b/>
          <w:bCs/>
          <w:i/>
          <w:color w:val="000080"/>
          <w:sz w:val="28"/>
          <w:szCs w:val="28"/>
        </w:rPr>
        <w:t xml:space="preserve"> 1319</w:t>
      </w:r>
      <w:r w:rsidRPr="007B32D1">
        <w:rPr>
          <w:rFonts w:ascii="Arial" w:hAnsi="Arial" w:cs="Arial"/>
          <w:b/>
          <w:bCs/>
          <w:i/>
          <w:color w:val="000080"/>
          <w:sz w:val="28"/>
          <w:szCs w:val="28"/>
        </w:rPr>
        <w:t xml:space="preserve"> – </w:t>
      </w:r>
      <w:r w:rsidR="005078F7">
        <w:rPr>
          <w:rFonts w:ascii="Arial" w:hAnsi="Arial" w:cs="Arial"/>
          <w:b/>
          <w:i/>
          <w:color w:val="000080"/>
          <w:sz w:val="28"/>
          <w:szCs w:val="28"/>
        </w:rPr>
        <w:t>Image-guided radiation therapy for cancer treatment delivery</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5078F7" w:rsidP="001F7EB9">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C1364" w:rsidRPr="00D90A38">
        <w:rPr>
          <w:rFonts w:ascii="Arial" w:hAnsi="Arial" w:cs="Arial"/>
          <w:b/>
          <w:szCs w:val="24"/>
        </w:rPr>
        <w:tab/>
      </w:r>
      <w:r>
        <w:rPr>
          <w:rFonts w:ascii="Arial" w:hAnsi="Arial" w:cs="Arial"/>
          <w:b/>
          <w:szCs w:val="24"/>
        </w:rPr>
        <w:t xml:space="preserve">Royal Australian and New Zealand College of </w:t>
      </w:r>
      <w:r>
        <w:rPr>
          <w:rFonts w:ascii="Arial" w:hAnsi="Arial" w:cs="Arial"/>
          <w:b/>
          <w:szCs w:val="24"/>
        </w:rPr>
        <w:tab/>
      </w:r>
      <w:r>
        <w:rPr>
          <w:rFonts w:ascii="Arial" w:hAnsi="Arial" w:cs="Arial"/>
          <w:b/>
          <w:szCs w:val="24"/>
        </w:rPr>
        <w:tab/>
        <w:t xml:space="preserve">Radiologists </w:t>
      </w:r>
    </w:p>
    <w:p w:rsidR="00BC1364" w:rsidRPr="00D90A38" w:rsidRDefault="00BC1364" w:rsidP="00065623">
      <w:pPr>
        <w:tabs>
          <w:tab w:val="left" w:pos="2265"/>
          <w:tab w:val="left" w:pos="3420"/>
          <w:tab w:val="left" w:pos="4320"/>
        </w:tabs>
        <w:rPr>
          <w:rFonts w:ascii="Arial" w:hAnsi="Arial" w:cs="Arial"/>
          <w:b/>
        </w:rPr>
      </w:pPr>
    </w:p>
    <w:p w:rsidR="00775829"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775829">
        <w:rPr>
          <w:rFonts w:ascii="Arial" w:hAnsi="Arial" w:cs="Arial"/>
          <w:b/>
          <w:szCs w:val="24"/>
        </w:rPr>
        <w:t>63</w:t>
      </w:r>
      <w:r w:rsidR="00775829" w:rsidRPr="00F26128">
        <w:rPr>
          <w:rFonts w:ascii="Arial" w:hAnsi="Arial" w:cs="Arial"/>
          <w:b/>
          <w:szCs w:val="24"/>
          <w:vertAlign w:val="superscript"/>
        </w:rPr>
        <w:t>rd</w:t>
      </w:r>
      <w:r w:rsidR="00775829">
        <w:rPr>
          <w:rFonts w:ascii="Arial" w:hAnsi="Arial" w:cs="Arial"/>
          <w:b/>
          <w:szCs w:val="24"/>
        </w:rPr>
        <w:t xml:space="preserve"> MSAC Meeting, 1-2 April 2015</w:t>
      </w:r>
    </w:p>
    <w:p w:rsidR="00BC1364" w:rsidRDefault="005078F7" w:rsidP="00CA06EB">
      <w:pPr>
        <w:ind w:left="2880" w:firstLine="720"/>
        <w:rPr>
          <w:szCs w:val="24"/>
        </w:rPr>
      </w:pPr>
      <w:r>
        <w:rPr>
          <w:rFonts w:ascii="Arial" w:hAnsi="Arial" w:cs="Arial"/>
          <w:b/>
          <w:szCs w:val="24"/>
        </w:rPr>
        <w:t>62</w:t>
      </w:r>
      <w:r w:rsidRPr="005078F7">
        <w:rPr>
          <w:rFonts w:ascii="Arial" w:hAnsi="Arial" w:cs="Arial"/>
          <w:b/>
          <w:szCs w:val="24"/>
          <w:vertAlign w:val="superscript"/>
        </w:rPr>
        <w:t>nd</w:t>
      </w:r>
      <w:r>
        <w:rPr>
          <w:rFonts w:ascii="Arial" w:hAnsi="Arial" w:cs="Arial"/>
          <w:b/>
          <w:szCs w:val="24"/>
        </w:rPr>
        <w:t xml:space="preserve"> MSAC Meeting</w:t>
      </w:r>
      <w:r w:rsidR="00CB32A1">
        <w:rPr>
          <w:rFonts w:ascii="Arial" w:hAnsi="Arial" w:cs="Arial"/>
          <w:b/>
          <w:szCs w:val="24"/>
        </w:rPr>
        <w:t>,</w:t>
      </w:r>
      <w:r>
        <w:rPr>
          <w:rFonts w:ascii="Arial" w:hAnsi="Arial" w:cs="Arial"/>
          <w:b/>
          <w:szCs w:val="24"/>
        </w:rPr>
        <w:t xml:space="preserve"> 26-28 November 2014</w:t>
      </w:r>
    </w:p>
    <w:p w:rsidR="00CA06EB" w:rsidRDefault="00CA06EB" w:rsidP="00CA06EB">
      <w:pPr>
        <w:ind w:left="2880" w:firstLine="720"/>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Medical Services Advisory Committee web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5078F7" w:rsidRDefault="005078F7" w:rsidP="005078F7">
      <w:pPr>
        <w:spacing w:after="240"/>
      </w:pPr>
      <w:r w:rsidRPr="00EB2D0F">
        <w:t>An application requesting MBS listing of image</w:t>
      </w:r>
      <w:r>
        <w:t>-</w:t>
      </w:r>
      <w:r w:rsidRPr="00EB2D0F">
        <w:t>guided radiation therapy (IGRT) for cancer treatment deliv</w:t>
      </w:r>
      <w:r w:rsidR="00773ED1">
        <w:t>ery was received from the Trans-</w:t>
      </w:r>
      <w:r w:rsidRPr="00EB2D0F">
        <w:t xml:space="preserve">Tasman Radiation Oncology Group (TROG) by the Department of Health in August 2011. As a result of completion of the Assessment of New Radiation Oncology Treatments and Technologies (ANROTAT) project being undertaken by TROG, the Faculty of Radiation Oncology </w:t>
      </w:r>
      <w:r>
        <w:t>within</w:t>
      </w:r>
      <w:r w:rsidRPr="00EB2D0F">
        <w:t xml:space="preserve"> the Royal Australian and New Zealand College of Radiologists has now </w:t>
      </w:r>
      <w:r>
        <w:t>assumed</w:t>
      </w:r>
      <w:r w:rsidRPr="00EB2D0F">
        <w:t xml:space="preserve"> res</w:t>
      </w:r>
      <w:r w:rsidR="00625C54">
        <w:t xml:space="preserve">ponsibility for sponsoring this </w:t>
      </w:r>
      <w:r w:rsidR="00660885">
        <w:t>application</w:t>
      </w:r>
      <w:r w:rsidR="0028488B">
        <w:t>.</w:t>
      </w:r>
    </w:p>
    <w:p w:rsidR="00A6649B" w:rsidRDefault="00775829" w:rsidP="00A6649B">
      <w:pPr>
        <w:pStyle w:val="Heading1"/>
      </w:pPr>
      <w:r>
        <w:t>2.</w:t>
      </w:r>
      <w:r>
        <w:tab/>
      </w:r>
      <w:r w:rsidR="00A6649B" w:rsidRPr="008D5885">
        <w:t>MSAC’s advice to the Minister</w:t>
      </w:r>
      <w:r w:rsidR="00A6649B">
        <w:t xml:space="preserve"> – April 2015 consideration</w:t>
      </w:r>
    </w:p>
    <w:p w:rsidR="00A6649B" w:rsidRDefault="00A6649B" w:rsidP="00A6649B"/>
    <w:p w:rsidR="00A6649B" w:rsidRDefault="00A6649B" w:rsidP="00A6649B">
      <w:r>
        <w:t xml:space="preserve">After considering the available evidence presented in relation to safety, clinical effectiveness and cost-effectiveness of Image Guided Radiation Therapy (IGRT) for the treatment of cancer, </w:t>
      </w:r>
      <w:r w:rsidRPr="006E369E">
        <w:t xml:space="preserve">MSAC </w:t>
      </w:r>
      <w:r>
        <w:t xml:space="preserve">supported public funding of IGRT on a cost neutral the basis relative to MBS expenditure on </w:t>
      </w:r>
      <w:r w:rsidR="009D7268">
        <w:t>three-dimensional conformal radiotherapy (</w:t>
      </w:r>
      <w:r>
        <w:t>3D-CRT</w:t>
      </w:r>
      <w:r w:rsidR="009D7268">
        <w:t>)</w:t>
      </w:r>
      <w:r>
        <w:t>.</w:t>
      </w:r>
    </w:p>
    <w:p w:rsidR="00A6649B" w:rsidRDefault="00A6649B" w:rsidP="00A6649B"/>
    <w:p w:rsidR="00A6649B" w:rsidRDefault="00A6649B" w:rsidP="00A6649B">
      <w:pPr>
        <w:pStyle w:val="Heading1"/>
      </w:pPr>
      <w:r w:rsidRPr="008D5885">
        <w:t>Summary of consideration and rationale for MSAC’s advice</w:t>
      </w:r>
      <w:r w:rsidRPr="00707064">
        <w:t xml:space="preserve"> </w:t>
      </w:r>
    </w:p>
    <w:p w:rsidR="00A6649B" w:rsidRDefault="00A6649B" w:rsidP="00A6649B"/>
    <w:p w:rsidR="00A6649B" w:rsidRDefault="00A6649B" w:rsidP="00A6649B">
      <w:r>
        <w:t>MSAC considered applications requesting MBS listing of intensity modulated radiation therapy (IMRT; application 1182) and image guided radiation therapy (IGRT; application 1319) concurrently.</w:t>
      </w:r>
    </w:p>
    <w:p w:rsidR="00A6649B" w:rsidRDefault="00A6649B" w:rsidP="00A6649B"/>
    <w:p w:rsidR="00CA06EB" w:rsidRDefault="00A6649B" w:rsidP="00A6649B">
      <w:r>
        <w:t xml:space="preserve">MSAC reaffirmed that, on balance, </w:t>
      </w:r>
      <w:r w:rsidR="003D4370">
        <w:t xml:space="preserve">there is insufficient evidence </w:t>
      </w:r>
      <w:proofErr w:type="gramStart"/>
      <w:r w:rsidR="003D4370">
        <w:t xml:space="preserve">of </w:t>
      </w:r>
      <w:r>
        <w:t xml:space="preserve"> superior</w:t>
      </w:r>
      <w:proofErr w:type="gramEnd"/>
      <w:r>
        <w:t xml:space="preserve"> outcomes for IGRT compared to portal imaging with off-line post-treatment assessment.  MSAC agreed that IGRT should be MBS listed.  However, MSAC directed that this listing be cost neutral relative to the comparator.</w:t>
      </w:r>
    </w:p>
    <w:p w:rsidR="00CA06EB" w:rsidRDefault="00CA06EB" w:rsidP="00A6649B"/>
    <w:p w:rsidR="00A6649B" w:rsidRDefault="00A6649B" w:rsidP="00A6649B">
      <w:r>
        <w:t>MSAC noted that IGRT is currently funded under existing items for external beam radiation therapy treatment verification (items #15705 and 15710).</w:t>
      </w:r>
    </w:p>
    <w:p w:rsidR="003D4370" w:rsidRDefault="003D4370" w:rsidP="00A6649B"/>
    <w:p w:rsidR="00A6649B" w:rsidRDefault="00A6649B" w:rsidP="00A6649B">
      <w:r>
        <w:t>MSAC noted that although the application was not cancer-specific, the bulk of the evidence related to prostate cancer.  MSAC found that the evidence:</w:t>
      </w:r>
    </w:p>
    <w:p w:rsidR="00A6649B" w:rsidRDefault="00A6649B" w:rsidP="00A6649B">
      <w:pPr>
        <w:pStyle w:val="ListParagraph"/>
        <w:numPr>
          <w:ilvl w:val="0"/>
          <w:numId w:val="31"/>
        </w:numPr>
      </w:pPr>
      <w:r>
        <w:t>supported non-inferiority in relation to acute effects</w:t>
      </w:r>
    </w:p>
    <w:p w:rsidR="00A6649B" w:rsidRDefault="00A6649B" w:rsidP="00A6649B">
      <w:pPr>
        <w:pStyle w:val="ListParagraph"/>
        <w:numPr>
          <w:ilvl w:val="0"/>
          <w:numId w:val="31"/>
        </w:numPr>
      </w:pPr>
      <w:r>
        <w:t>was insufficient in relation to late effects</w:t>
      </w:r>
    </w:p>
    <w:p w:rsidR="00A6649B" w:rsidRDefault="00A6649B" w:rsidP="00A6649B">
      <w:pPr>
        <w:pStyle w:val="ListParagraph"/>
        <w:numPr>
          <w:ilvl w:val="0"/>
          <w:numId w:val="31"/>
        </w:numPr>
      </w:pPr>
      <w:proofErr w:type="gramStart"/>
      <w:r>
        <w:t>did</w:t>
      </w:r>
      <w:proofErr w:type="gramEnd"/>
      <w:r>
        <w:t xml:space="preserve"> not support the safety of </w:t>
      </w:r>
      <w:r w:rsidR="003D4370">
        <w:t xml:space="preserve">dose escalation with </w:t>
      </w:r>
      <w:r>
        <w:t xml:space="preserve">IGRT. </w:t>
      </w:r>
    </w:p>
    <w:p w:rsidR="00A6649B" w:rsidRDefault="00A6649B" w:rsidP="00A6649B"/>
    <w:p w:rsidR="00A6649B" w:rsidRDefault="00A6649B" w:rsidP="00A6649B">
      <w:r>
        <w:t>MSAC was concerned about the inconsistencies in the evidence of clinical effectiveness. Most of the studies that show a benefit with daily IGRT used simulations for non-IGRT comparisons. MSAC was also concerned that patient outcome benefits were based on expert opinion rather than clinical evidence.</w:t>
      </w:r>
    </w:p>
    <w:p w:rsidR="00A6649B" w:rsidRDefault="00A6649B" w:rsidP="00A6649B"/>
    <w:p w:rsidR="00A6649B" w:rsidRDefault="00A6649B" w:rsidP="00A6649B">
      <w:r>
        <w:t>MSAC noted advice from the Department on the outcome of further discussion with the applicant.  The revised proposal included:</w:t>
      </w:r>
    </w:p>
    <w:p w:rsidR="00A6649B" w:rsidRDefault="00A6649B" w:rsidP="00A6649B">
      <w:pPr>
        <w:pStyle w:val="ListParagraph"/>
        <w:numPr>
          <w:ilvl w:val="0"/>
          <w:numId w:val="29"/>
        </w:numPr>
      </w:pPr>
      <w:r>
        <w:t>one item for IMRT simulation and planning</w:t>
      </w:r>
    </w:p>
    <w:p w:rsidR="00A6649B" w:rsidRDefault="00A6649B" w:rsidP="00A6649B">
      <w:pPr>
        <w:pStyle w:val="ListParagraph"/>
        <w:numPr>
          <w:ilvl w:val="0"/>
          <w:numId w:val="29"/>
        </w:numPr>
      </w:pPr>
      <w:r>
        <w:t>one IMRT treatment item</w:t>
      </w:r>
    </w:p>
    <w:p w:rsidR="00A6649B" w:rsidRDefault="00A6649B" w:rsidP="00A6649B">
      <w:pPr>
        <w:pStyle w:val="ListParagraph"/>
        <w:numPr>
          <w:ilvl w:val="0"/>
          <w:numId w:val="29"/>
        </w:numPr>
      </w:pPr>
      <w:r>
        <w:t>one IGRT item</w:t>
      </w:r>
    </w:p>
    <w:p w:rsidR="00A6649B" w:rsidRDefault="00A6649B" w:rsidP="00A6649B">
      <w:pPr>
        <w:pStyle w:val="ListParagraph"/>
        <w:numPr>
          <w:ilvl w:val="0"/>
          <w:numId w:val="29"/>
        </w:numPr>
      </w:pPr>
      <w:proofErr w:type="gramStart"/>
      <w:r>
        <w:t>proposed</w:t>
      </w:r>
      <w:proofErr w:type="gramEnd"/>
      <w:r>
        <w:t xml:space="preserve"> Schedule fees which were calculated by identifying the current utilisation of IG-IMRT  and projecting growth in services across the forward estimates.  This process recognised that IG-IMRT requires the highest level of complexity in regard to dosimetry and treatment verification.</w:t>
      </w:r>
    </w:p>
    <w:p w:rsidR="00A6649B" w:rsidRDefault="00A6649B" w:rsidP="00A6649B">
      <w:pPr>
        <w:pStyle w:val="ListParagraph"/>
        <w:numPr>
          <w:ilvl w:val="0"/>
          <w:numId w:val="29"/>
        </w:numPr>
      </w:pPr>
      <w:proofErr w:type="gramStart"/>
      <w:r>
        <w:t>a</w:t>
      </w:r>
      <w:proofErr w:type="gramEnd"/>
      <w:r>
        <w:t xml:space="preserve"> redistribution of that funding in recognition that the most complex and resource intensive component of the service is the dosimetry.</w:t>
      </w:r>
    </w:p>
    <w:p w:rsidR="00A6649B" w:rsidRDefault="00A6649B" w:rsidP="00A6649B"/>
    <w:p w:rsidR="00CA06EB" w:rsidRDefault="00A6649B" w:rsidP="00CA06EB">
      <w:r>
        <w:t xml:space="preserve">MSAC had previously expressed concern that IGRT was required with every IMRT session compared to off-line post-treatment verification which was thought to be provided daily for the first week and then weekly thereafter.  Following MBS data analysis, the Department advised that the utilisation rates for 3D-CRT and IMRT were similar with the average course of curative 3D-CRT treatment in 2013-14 associated with </w:t>
      </w:r>
      <w:r w:rsidR="003D4370">
        <w:t xml:space="preserve">a median of </w:t>
      </w:r>
      <w:r>
        <w:t>30 treatment verification scan</w:t>
      </w:r>
      <w:r w:rsidR="003D4370">
        <w:t>s</w:t>
      </w:r>
      <w:r>
        <w:t>.</w:t>
      </w:r>
    </w:p>
    <w:p w:rsidR="00A6649B" w:rsidRDefault="00A6649B" w:rsidP="00CA06EB">
      <w:r>
        <w:t xml:space="preserve"> </w:t>
      </w:r>
    </w:p>
    <w:p w:rsidR="00A6649B" w:rsidRDefault="00A6649B" w:rsidP="00A6649B">
      <w:r>
        <w:t xml:space="preserve">MSAC noted the </w:t>
      </w:r>
      <w:r w:rsidR="003D4370">
        <w:t xml:space="preserve">original </w:t>
      </w:r>
      <w:r>
        <w:t>economic evaluation was based on a cost minimisation analysis with the following assumptions:</w:t>
      </w:r>
    </w:p>
    <w:p w:rsidR="00A6649B" w:rsidRDefault="00A6649B" w:rsidP="00A6649B">
      <w:pPr>
        <w:pStyle w:val="ListParagraph"/>
        <w:numPr>
          <w:ilvl w:val="0"/>
          <w:numId w:val="30"/>
        </w:numPr>
      </w:pPr>
      <w:r>
        <w:t>that verification scans (non-IGRT) were performed daily for the first week, and weekly thereafter</w:t>
      </w:r>
    </w:p>
    <w:p w:rsidR="00A6649B" w:rsidRDefault="00A6649B" w:rsidP="00A6649B">
      <w:pPr>
        <w:pStyle w:val="ListParagraph"/>
        <w:numPr>
          <w:ilvl w:val="0"/>
          <w:numId w:val="30"/>
        </w:numPr>
      </w:pPr>
      <w:r>
        <w:t>the verification scan (15705 or 15710) fee used for the calculations was $76.60</w:t>
      </w:r>
    </w:p>
    <w:p w:rsidR="00A6649B" w:rsidRDefault="00A6649B" w:rsidP="00A6649B">
      <w:pPr>
        <w:pStyle w:val="ListParagraph"/>
        <w:numPr>
          <w:ilvl w:val="0"/>
          <w:numId w:val="30"/>
        </w:numPr>
      </w:pPr>
      <w:r>
        <w:t>either verification scan or IGRT (not both) can be claimed for any course of EBRT</w:t>
      </w:r>
    </w:p>
    <w:p w:rsidR="00A6649B" w:rsidRDefault="00A6649B" w:rsidP="00A6649B">
      <w:pPr>
        <w:pStyle w:val="ListParagraph"/>
        <w:numPr>
          <w:ilvl w:val="0"/>
          <w:numId w:val="30"/>
        </w:numPr>
      </w:pPr>
      <w:r>
        <w:t>that image guidance is done daily</w:t>
      </w:r>
    </w:p>
    <w:p w:rsidR="00A6649B" w:rsidRDefault="00A6649B" w:rsidP="00A6649B">
      <w:pPr>
        <w:pStyle w:val="ListParagraph"/>
        <w:numPr>
          <w:ilvl w:val="0"/>
          <w:numId w:val="30"/>
        </w:numPr>
      </w:pPr>
      <w:r>
        <w:t>the overall cost to the MBS per course of EBRT is identical whether IGRT or verification scans are used</w:t>
      </w:r>
    </w:p>
    <w:p w:rsidR="00A6649B" w:rsidRDefault="00A6649B" w:rsidP="00A6649B"/>
    <w:p w:rsidR="00A6649B" w:rsidRDefault="00A6649B" w:rsidP="00A6649B">
      <w:r>
        <w:t xml:space="preserve">The total cost for listing IGRT on the MBS, based on cost minimisation against verification scans (items 15705 and 15710), is expected to be cost neutral. This is based on the assumption that the </w:t>
      </w:r>
      <w:r w:rsidR="003D4370">
        <w:t xml:space="preserve">frequency of </w:t>
      </w:r>
      <w:r>
        <w:t>utilisation of IGRT and 3D-CRT treatment verification is similar and that the cost of IGRT will be offset by a reduction in the claims for treatment verification items.</w:t>
      </w:r>
    </w:p>
    <w:p w:rsidR="00A6649B" w:rsidRDefault="00A6649B" w:rsidP="00A6649B"/>
    <w:p w:rsidR="00A6649B" w:rsidRDefault="00A6649B" w:rsidP="00A6649B">
      <w:r>
        <w:lastRenderedPageBreak/>
        <w:t>MSAC noted advice on a cost neutral implementation strategy from the Department. Costing was based on 2013-2014 data on patient numbers and expenditure and projection of patient numbers to 2017-2018.</w:t>
      </w:r>
    </w:p>
    <w:p w:rsidR="00A6649B" w:rsidRDefault="00A6649B" w:rsidP="00A6649B"/>
    <w:p w:rsidR="00A6649B" w:rsidRDefault="00A6649B" w:rsidP="00A6649B">
      <w:r>
        <w:t xml:space="preserve">It was also noted that from 1 January 2016 the new Medicare Safety Net will be capped at 150% of the Schedule Fee, which will limit the proportion of out-of-pocket costs that count towards the safety net threshold. </w:t>
      </w:r>
    </w:p>
    <w:p w:rsidR="00A6649B" w:rsidRDefault="00A6649B" w:rsidP="00A6649B"/>
    <w:p w:rsidR="00E977EE" w:rsidRPr="00625C54" w:rsidRDefault="0097082A" w:rsidP="00E977EE">
      <w:pPr>
        <w:tabs>
          <w:tab w:val="left" w:pos="720"/>
        </w:tabs>
        <w:ind w:left="709" w:hanging="709"/>
        <w:rPr>
          <w:b/>
          <w:i/>
          <w:szCs w:val="24"/>
        </w:rPr>
      </w:pPr>
      <w:r w:rsidRPr="00625C54">
        <w:rPr>
          <w:b/>
          <w:i/>
          <w:szCs w:val="24"/>
        </w:rPr>
        <w:t>MSAC Review of November 2014 Discussion</w:t>
      </w:r>
    </w:p>
    <w:p w:rsidR="00A6649B" w:rsidRDefault="0097082A" w:rsidP="00625C54">
      <w:r>
        <w:t>At</w:t>
      </w:r>
      <w:r w:rsidR="00A6649B">
        <w:t xml:space="preserve"> the November 2014 meeting, after considering the strength of the available evidence in relation to safety, clinical effectiveness and cost-effectiveness, </w:t>
      </w:r>
      <w:r>
        <w:t xml:space="preserve">MSAC agreed that </w:t>
      </w:r>
      <w:r w:rsidR="00A6649B">
        <w:t xml:space="preserve">the evidence did not </w:t>
      </w:r>
      <w:r w:rsidR="004E0185">
        <w:t>demonstrate</w:t>
      </w:r>
      <w:r w:rsidR="00A6649B">
        <w:t xml:space="preserve"> improved health outcomes </w:t>
      </w:r>
      <w:r w:rsidR="004E0185">
        <w:t xml:space="preserve">for </w:t>
      </w:r>
      <w:r w:rsidR="00BB2578">
        <w:t xml:space="preserve">IGRT </w:t>
      </w:r>
      <w:r w:rsidR="00A6649B">
        <w:t xml:space="preserve">over the comparator of portal imaging with off-line post-treatment assessment.  MSAC </w:t>
      </w:r>
      <w:r w:rsidR="004E0185">
        <w:t xml:space="preserve">noted that </w:t>
      </w:r>
      <w:r>
        <w:t>the meeting</w:t>
      </w:r>
      <w:r w:rsidR="004E0185">
        <w:t xml:space="preserve"> had </w:t>
      </w:r>
      <w:r w:rsidR="00A6649B">
        <w:t>foreshadowed funding of IGRT on a cost neutral basis</w:t>
      </w:r>
      <w:r>
        <w:t xml:space="preserve"> subject to the provision </w:t>
      </w:r>
      <w:r w:rsidR="00A0752E">
        <w:t>of Departmental advice</w:t>
      </w:r>
      <w:r w:rsidR="00A6649B">
        <w:t xml:space="preserve"> on:</w:t>
      </w:r>
    </w:p>
    <w:p w:rsidR="00A6649B" w:rsidRDefault="00A6649B" w:rsidP="00625C54">
      <w:pPr>
        <w:pStyle w:val="ListParagraph"/>
        <w:numPr>
          <w:ilvl w:val="0"/>
          <w:numId w:val="36"/>
        </w:numPr>
      </w:pPr>
      <w:r>
        <w:t>an implementation strategy which achieves budget neutrality such as a bundle fee structure; and</w:t>
      </w:r>
    </w:p>
    <w:p w:rsidR="00A6649B" w:rsidRDefault="00A6649B" w:rsidP="00625C54">
      <w:pPr>
        <w:pStyle w:val="ListParagraph"/>
        <w:numPr>
          <w:ilvl w:val="0"/>
          <w:numId w:val="36"/>
        </w:numPr>
      </w:pPr>
      <w:proofErr w:type="gramStart"/>
      <w:r>
        <w:t>current</w:t>
      </w:r>
      <w:proofErr w:type="gramEnd"/>
      <w:r>
        <w:t xml:space="preserve"> utilisation of MBS treatment verification items.</w:t>
      </w:r>
    </w:p>
    <w:p w:rsidR="00A0752E" w:rsidRDefault="00A0752E" w:rsidP="00A0752E"/>
    <w:p w:rsidR="004E0185" w:rsidRDefault="004E0185" w:rsidP="002367D7">
      <w:r>
        <w:t>Other key issues from the November 2014 discussion included:</w:t>
      </w:r>
    </w:p>
    <w:p w:rsidR="00F359ED" w:rsidRDefault="0097082A" w:rsidP="00625C54">
      <w:pPr>
        <w:pStyle w:val="ListParagraph"/>
        <w:ind w:left="0"/>
      </w:pPr>
      <w:r>
        <w:t xml:space="preserve">MSAC observed that </w:t>
      </w:r>
      <w:r w:rsidR="00F359ED" w:rsidRPr="00F359ED">
        <w:rPr>
          <w:bCs/>
        </w:rPr>
        <w:t xml:space="preserve">IGRT </w:t>
      </w:r>
      <w:r w:rsidR="00F359ED">
        <w:t xml:space="preserve">is currently funded </w:t>
      </w:r>
      <w:r>
        <w:t>under</w:t>
      </w:r>
      <w:r w:rsidR="00F359ED">
        <w:t xml:space="preserve"> existing MBS items for </w:t>
      </w:r>
      <w:r>
        <w:t>3D-CRT</w:t>
      </w:r>
      <w:r w:rsidR="00F359ED">
        <w:t xml:space="preserve"> treatment verification.</w:t>
      </w:r>
      <w:r>
        <w:t xml:space="preserve">  </w:t>
      </w:r>
      <w:r w:rsidR="005F4A87">
        <w:t xml:space="preserve">The applicant is proposing IGRT to replace portal imaging with off-line post-treatment assessment for use with 3D-CRT and IMRT.  </w:t>
      </w:r>
      <w:r w:rsidR="00A0752E">
        <w:t>IGRT is a technique that</w:t>
      </w:r>
      <w:r w:rsidR="002367D7">
        <w:t xml:space="preserve"> </w:t>
      </w:r>
      <w:r w:rsidR="003D4370">
        <w:t xml:space="preserve">more closely </w:t>
      </w:r>
      <w:r w:rsidR="00A0752E">
        <w:t>targets</w:t>
      </w:r>
      <w:r w:rsidR="00773ED1">
        <w:t xml:space="preserve"> </w:t>
      </w:r>
      <w:r w:rsidR="002367D7">
        <w:t>the radiation dose to the tumour</w:t>
      </w:r>
      <w:r w:rsidR="00773ED1">
        <w:t xml:space="preserve">, </w:t>
      </w:r>
      <w:r w:rsidR="00A0752E">
        <w:t xml:space="preserve">and </w:t>
      </w:r>
      <w:r w:rsidR="00773ED1">
        <w:t>reduc</w:t>
      </w:r>
      <w:r w:rsidR="00A0752E">
        <w:t>es</w:t>
      </w:r>
      <w:r w:rsidR="00773ED1">
        <w:t xml:space="preserve"> the dose to surrounding tissue</w:t>
      </w:r>
      <w:r w:rsidR="004E0185">
        <w:t xml:space="preserve">.  </w:t>
      </w:r>
      <w:r>
        <w:t>MSAC noted the applicant</w:t>
      </w:r>
      <w:r w:rsidR="005F4A87">
        <w:t>’</w:t>
      </w:r>
      <w:r>
        <w:t>s claims that</w:t>
      </w:r>
      <w:r w:rsidR="00A0752E">
        <w:t xml:space="preserve"> this</w:t>
      </w:r>
      <w:r w:rsidR="00773ED1">
        <w:t xml:space="preserve"> </w:t>
      </w:r>
      <w:r w:rsidR="002367D7">
        <w:t>decreas</w:t>
      </w:r>
      <w:r w:rsidR="007A05C9">
        <w:t>es</w:t>
      </w:r>
      <w:r w:rsidR="002367D7">
        <w:t xml:space="preserve"> potential side effects and improv</w:t>
      </w:r>
      <w:r w:rsidR="007A05C9">
        <w:t>es</w:t>
      </w:r>
      <w:r w:rsidR="002367D7">
        <w:t xml:space="preserve"> outcomes. </w:t>
      </w:r>
    </w:p>
    <w:p w:rsidR="00F359ED" w:rsidRDefault="00F359ED" w:rsidP="00625C54">
      <w:pPr>
        <w:pStyle w:val="ListParagraph"/>
        <w:ind w:left="0"/>
      </w:pPr>
    </w:p>
    <w:p w:rsidR="004E0185" w:rsidRDefault="005F4A87" w:rsidP="002367D7">
      <w:r>
        <w:t xml:space="preserve">In discussing the evidence, </w:t>
      </w:r>
      <w:r w:rsidR="002367D7">
        <w:t xml:space="preserve">MSAC </w:t>
      </w:r>
      <w:r>
        <w:t xml:space="preserve">agreed </w:t>
      </w:r>
      <w:r w:rsidR="002367D7">
        <w:t xml:space="preserve">that the effectiveness </w:t>
      </w:r>
      <w:r w:rsidR="00F359ED">
        <w:t xml:space="preserve">outcomes </w:t>
      </w:r>
      <w:r w:rsidR="002367D7">
        <w:t xml:space="preserve">for IGRT were complex and inconsistent across patient populations, cancer types and clinical outcomes. </w:t>
      </w:r>
    </w:p>
    <w:p w:rsidR="005C1146" w:rsidRDefault="005F4A87" w:rsidP="002367D7">
      <w:r>
        <w:t>A</w:t>
      </w:r>
      <w:r w:rsidR="002367D7">
        <w:t xml:space="preserve"> </w:t>
      </w:r>
      <w:r>
        <w:t xml:space="preserve">primary </w:t>
      </w:r>
      <w:r w:rsidR="002367D7">
        <w:t xml:space="preserve">concern </w:t>
      </w:r>
      <w:r>
        <w:t xml:space="preserve">was </w:t>
      </w:r>
      <w:r w:rsidR="002367D7">
        <w:t xml:space="preserve">that many studies compared IGRT </w:t>
      </w:r>
      <w:r w:rsidR="003D4370">
        <w:t xml:space="preserve">planning </w:t>
      </w:r>
      <w:r w:rsidR="00A11EA9">
        <w:t>target</w:t>
      </w:r>
      <w:r w:rsidR="003D4370">
        <w:t xml:space="preserve"> volume (</w:t>
      </w:r>
      <w:r w:rsidR="005B6300">
        <w:t>PTV</w:t>
      </w:r>
      <w:r w:rsidR="003D4370">
        <w:t>)</w:t>
      </w:r>
      <w:r w:rsidR="005B6300">
        <w:t xml:space="preserve"> margins and tumour dosimetry </w:t>
      </w:r>
      <w:r w:rsidR="002367D7">
        <w:t>to simulations of non-IGRT scenarios</w:t>
      </w:r>
      <w:r>
        <w:t xml:space="preserve"> </w:t>
      </w:r>
      <w:r w:rsidR="004E0185">
        <w:t>which</w:t>
      </w:r>
      <w:r w:rsidR="007A05C9">
        <w:t xml:space="preserve"> </w:t>
      </w:r>
      <w:r w:rsidR="002367D7">
        <w:t xml:space="preserve">assume superiority of IGRT over non-IGRT. </w:t>
      </w:r>
      <w:r>
        <w:t xml:space="preserve"> </w:t>
      </w:r>
      <w:r w:rsidR="002367D7">
        <w:t>MSA</w:t>
      </w:r>
      <w:r w:rsidR="007A05C9">
        <w:t xml:space="preserve">C </w:t>
      </w:r>
      <w:r>
        <w:t>commented</w:t>
      </w:r>
      <w:r w:rsidR="007A05C9">
        <w:t xml:space="preserve"> </w:t>
      </w:r>
      <w:r w:rsidR="002367D7">
        <w:t xml:space="preserve">that </w:t>
      </w:r>
      <w:r w:rsidR="00F359ED">
        <w:t xml:space="preserve">where </w:t>
      </w:r>
      <w:r w:rsidR="002367D7">
        <w:t>health outcomes were repo</w:t>
      </w:r>
      <w:r w:rsidR="00F359ED">
        <w:t xml:space="preserve">rted </w:t>
      </w:r>
      <w:r w:rsidR="002367D7">
        <w:t>there was no statistically significant difference between IGRT and non-IGRT.</w:t>
      </w:r>
      <w:r>
        <w:t xml:space="preserve">  Evidence from the </w:t>
      </w:r>
      <w:r w:rsidR="002367D7">
        <w:t xml:space="preserve">ANROTAT </w:t>
      </w:r>
      <w:r w:rsidR="003D4370">
        <w:t xml:space="preserve">study </w:t>
      </w:r>
      <w:r w:rsidR="00A11EA9">
        <w:t xml:space="preserve">of prostate cancer </w:t>
      </w:r>
      <w:r>
        <w:t xml:space="preserve">was </w:t>
      </w:r>
      <w:r w:rsidR="002367D7">
        <w:t>considered</w:t>
      </w:r>
      <w:r>
        <w:t>.  However, MSAC considered that</w:t>
      </w:r>
      <w:r w:rsidR="002367D7">
        <w:t xml:space="preserve"> </w:t>
      </w:r>
      <w:r w:rsidR="00F359ED">
        <w:t xml:space="preserve">the </w:t>
      </w:r>
      <w:r w:rsidR="002367D7">
        <w:t xml:space="preserve">prostate cancer </w:t>
      </w:r>
      <w:r w:rsidR="00F359ED">
        <w:t xml:space="preserve">study </w:t>
      </w:r>
      <w:r w:rsidR="00BE2AC8">
        <w:t>was</w:t>
      </w:r>
      <w:r w:rsidR="002367D7">
        <w:t xml:space="preserve"> too small to </w:t>
      </w:r>
      <w:r w:rsidR="00A11EA9">
        <w:t xml:space="preserve">permit extrapolation of </w:t>
      </w:r>
      <w:r w:rsidR="002367D7">
        <w:t xml:space="preserve">the effectiveness and utility of IGRT more generally. </w:t>
      </w:r>
    </w:p>
    <w:p w:rsidR="005F4A87" w:rsidRDefault="005F4A87" w:rsidP="007A05C9"/>
    <w:p w:rsidR="007A05C9" w:rsidRDefault="005F4A87">
      <w:r w:rsidRPr="008049E1">
        <w:t xml:space="preserve">MSAC </w:t>
      </w:r>
      <w:r>
        <w:t xml:space="preserve">discussed concerns raised by </w:t>
      </w:r>
      <w:r w:rsidRPr="008049E1">
        <w:t xml:space="preserve">the applicant </w:t>
      </w:r>
      <w:r>
        <w:t xml:space="preserve">regarding the interpretation of evidence and the validity of the assessment.  However, </w:t>
      </w:r>
      <w:r w:rsidR="002367D7">
        <w:t xml:space="preserve">MSAC considered the quality of the </w:t>
      </w:r>
      <w:r w:rsidR="007A05C9">
        <w:t xml:space="preserve">available studies </w:t>
      </w:r>
      <w:r w:rsidR="002367D7">
        <w:t>to be poor with inconsistent evidence of safety</w:t>
      </w:r>
      <w:r w:rsidR="007A05C9">
        <w:t xml:space="preserve"> and</w:t>
      </w:r>
      <w:r w:rsidR="002367D7">
        <w:t xml:space="preserve"> clinical effectiveness. </w:t>
      </w:r>
      <w:r>
        <w:t xml:space="preserve">Overall, </w:t>
      </w:r>
      <w:r w:rsidR="007A05C9" w:rsidRPr="008049E1">
        <w:t xml:space="preserve">MSAC agreed that the assessment </w:t>
      </w:r>
      <w:r w:rsidR="007A05C9">
        <w:t xml:space="preserve">report </w:t>
      </w:r>
      <w:r w:rsidR="007A05C9" w:rsidRPr="008049E1">
        <w:t xml:space="preserve">represented a </w:t>
      </w:r>
      <w:r w:rsidR="007A05C9">
        <w:t>fair</w:t>
      </w:r>
      <w:r w:rsidR="007A05C9" w:rsidRPr="008049E1">
        <w:t xml:space="preserve"> analysis of a poor dataset.</w:t>
      </w:r>
    </w:p>
    <w:p w:rsidR="005F4A87" w:rsidRDefault="005F4A87" w:rsidP="002367D7"/>
    <w:p w:rsidR="005C1146" w:rsidRDefault="002367D7" w:rsidP="002367D7">
      <w:r>
        <w:t xml:space="preserve">MSAC </w:t>
      </w:r>
      <w:r w:rsidR="005F4A87">
        <w:t xml:space="preserve">reiterated </w:t>
      </w:r>
      <w:r w:rsidR="000035AD">
        <w:t>that</w:t>
      </w:r>
      <w:r>
        <w:t xml:space="preserve"> a cost minimisation </w:t>
      </w:r>
      <w:r w:rsidR="000035AD">
        <w:t xml:space="preserve">analysis </w:t>
      </w:r>
      <w:r>
        <w:t>was appropriate</w:t>
      </w:r>
      <w:r w:rsidR="005F4A87">
        <w:t>, noting</w:t>
      </w:r>
      <w:r w:rsidR="005C1146">
        <w:t xml:space="preserve"> </w:t>
      </w:r>
      <w:r>
        <w:t xml:space="preserve">that the analysis </w:t>
      </w:r>
      <w:r w:rsidR="00A11EA9">
        <w:t xml:space="preserve">had </w:t>
      </w:r>
      <w:r w:rsidR="000035AD">
        <w:t xml:space="preserve">assumed </w:t>
      </w:r>
      <w:r>
        <w:t xml:space="preserve">that current practice </w:t>
      </w:r>
      <w:r w:rsidR="000035AD">
        <w:t xml:space="preserve">is for </w:t>
      </w:r>
      <w:r>
        <w:t xml:space="preserve">a verification scan </w:t>
      </w:r>
      <w:r w:rsidR="000035AD">
        <w:t xml:space="preserve">to be </w:t>
      </w:r>
      <w:r>
        <w:t xml:space="preserve">done once daily for the first week then once per week thereafter. </w:t>
      </w:r>
      <w:r w:rsidR="0096160B">
        <w:t xml:space="preserve"> Note that this assumption of how non-IGRT (portal imaging) verification scans are currently used in practice was incorrect, as evidenced by the subsequently available Medicare data</w:t>
      </w:r>
      <w:r w:rsidR="007D42F2">
        <w:t>.</w:t>
      </w:r>
    </w:p>
    <w:p w:rsidR="00A6649B" w:rsidRDefault="00A6649B" w:rsidP="00550354"/>
    <w:p w:rsidR="0042054E" w:rsidRDefault="0042054E">
      <w:pPr>
        <w:rPr>
          <w:rFonts w:ascii="Arial" w:hAnsi="Arial"/>
          <w:b/>
          <w:bCs/>
          <w:szCs w:val="28"/>
        </w:rPr>
      </w:pPr>
      <w:r>
        <w:br w:type="page"/>
      </w:r>
    </w:p>
    <w:p w:rsidR="00A6649B" w:rsidRDefault="00BE3B9C" w:rsidP="00BE3B9C">
      <w:pPr>
        <w:pStyle w:val="Heading1"/>
      </w:pPr>
      <w:r>
        <w:lastRenderedPageBreak/>
        <w:t xml:space="preserve">MSAC’s </w:t>
      </w:r>
      <w:r w:rsidR="00A6649B">
        <w:t>November 2014 consideration</w:t>
      </w:r>
    </w:p>
    <w:p w:rsidR="008B4DA7" w:rsidRDefault="008B4DA7" w:rsidP="00A6649B"/>
    <w:p w:rsidR="00A6649B" w:rsidRDefault="00A6649B" w:rsidP="00A6649B">
      <w:r>
        <w:t>After considering the available evidence in relation to safety, clinical effectiveness and cost-effectiveness, MSAC deferred the application to seek further information from the Department:</w:t>
      </w:r>
    </w:p>
    <w:p w:rsidR="00A6649B" w:rsidRDefault="00A6649B" w:rsidP="00A6649B">
      <w:pPr>
        <w:numPr>
          <w:ilvl w:val="0"/>
          <w:numId w:val="28"/>
        </w:numPr>
      </w:pPr>
      <w:r>
        <w:t>regarding a potential implementation strategy which achieves budget neutrality such as a bundle fee structure; and</w:t>
      </w:r>
    </w:p>
    <w:p w:rsidR="00A6649B" w:rsidRDefault="00A6649B" w:rsidP="00A6649B">
      <w:pPr>
        <w:numPr>
          <w:ilvl w:val="0"/>
          <w:numId w:val="28"/>
        </w:numPr>
      </w:pPr>
      <w:r>
        <w:t>Medicare data regarding current utilisation of MBS items to estimate the number of treatment verifications per treatment course.</w:t>
      </w:r>
    </w:p>
    <w:p w:rsidR="00A6649B" w:rsidRDefault="00A6649B" w:rsidP="00A6649B"/>
    <w:p w:rsidR="00A6649B" w:rsidRDefault="00A6649B" w:rsidP="00A6649B">
      <w:r>
        <w:t>MSAC concluded that the evidence overall did not indicate improved health outcomes over the comparator of portal imaging with off-line post-treatment assessment, and so foreshadowed its intention to support funding of IGRT on the basis of an implementation strategy that would achieve budget neutrality, taking into consideration the different frequency of use between IGRT and its comparator.</w:t>
      </w:r>
    </w:p>
    <w:p w:rsidR="00A6649B" w:rsidRDefault="00A6649B" w:rsidP="00A6649B">
      <w:pPr>
        <w:pStyle w:val="Default"/>
        <w:ind w:left="720"/>
        <w:rPr>
          <w:color w:val="FF0000"/>
        </w:rPr>
      </w:pPr>
    </w:p>
    <w:p w:rsidR="00A6649B" w:rsidRDefault="00A6649B" w:rsidP="00A6649B">
      <w:pPr>
        <w:pStyle w:val="Heading1"/>
      </w:pPr>
      <w:r w:rsidRPr="008D5885">
        <w:t>Summary of consideration and rationale for MSAC’s advice</w:t>
      </w:r>
      <w:r w:rsidRPr="00707064">
        <w:t xml:space="preserve"> </w:t>
      </w:r>
    </w:p>
    <w:p w:rsidR="008B4DA7" w:rsidRDefault="008B4DA7" w:rsidP="00A6649B"/>
    <w:p w:rsidR="00A6649B" w:rsidRDefault="00A6649B" w:rsidP="00A6649B">
      <w:r>
        <w:t>MSAC considered this application alongside MSAC application 1182 for IMRT as it wa</w:t>
      </w:r>
      <w:r w:rsidRPr="00AC7DA6">
        <w:t xml:space="preserve">s proposed that IGRT would be used alongside </w:t>
      </w:r>
      <w:r>
        <w:t>external beam radiation therapy (</w:t>
      </w:r>
      <w:r w:rsidRPr="00AC7DA6">
        <w:t>EBRT</w:t>
      </w:r>
      <w:r>
        <w:t>), including IMRT.</w:t>
      </w:r>
    </w:p>
    <w:p w:rsidR="00A6649B" w:rsidRDefault="00A6649B" w:rsidP="00A6649B"/>
    <w:p w:rsidR="00A6649B" w:rsidRDefault="00A6649B" w:rsidP="00A6649B">
      <w:r>
        <w:t xml:space="preserve">MSAC noted that </w:t>
      </w:r>
      <w:r>
        <w:rPr>
          <w:bCs/>
        </w:rPr>
        <w:t>IG</w:t>
      </w:r>
      <w:r w:rsidRPr="00E71CB8">
        <w:rPr>
          <w:bCs/>
        </w:rPr>
        <w:t xml:space="preserve">RT </w:t>
      </w:r>
      <w:r>
        <w:rPr>
          <w:bCs/>
        </w:rPr>
        <w:t>for</w:t>
      </w:r>
      <w:r w:rsidRPr="00E71CB8">
        <w:rPr>
          <w:bCs/>
        </w:rPr>
        <w:t xml:space="preserve"> treatment of cancer</w:t>
      </w:r>
      <w:r>
        <w:t xml:space="preserve"> is not specifically listed on the MBS but is currently being funded via existing MBS items for radiation therapy treatment verification. The application proposes that IGRT should only be used in conjunction with two radiation therapy technologies, three-dimensional conformal radiation therapy (3DCRT) or intensity modulated radiation therapy (IMRT) to target the radiation dose to the tumour more accurately, thus reducing the dose to surrounding normal tissues (i.e., tighter PTV), thereby decreasing potential side effects associated with the treatment and therefore improving outcomes. It is intended to replace the existing practice of using verification scans following radiation delivery. </w:t>
      </w:r>
    </w:p>
    <w:p w:rsidR="00A6649B" w:rsidRDefault="00A6649B" w:rsidP="00A6649B"/>
    <w:p w:rsidR="00A6649B" w:rsidRDefault="00A6649B" w:rsidP="00A6649B">
      <w:r>
        <w:t>MSAC considered the safety and efficacy of IGRT compared to the current standard practice of portal imaging with post-treatment verification and modification to treatment area. For the purposes of the analysis, 42 studies were identified that evaluated the safety and efficacy of IGRT for various cancers. MSAC noted from the nine studies which reported on safety outcomes that there was inconsistent evidence of improved safety with IGRT and insufficient evidence to support safety of IGRT with dose escalation.</w:t>
      </w:r>
    </w:p>
    <w:p w:rsidR="00A6649B" w:rsidRDefault="00A6649B" w:rsidP="00A6649B"/>
    <w:p w:rsidR="00A6649B" w:rsidRDefault="00A6649B" w:rsidP="00A6649B">
      <w:r>
        <w:t>MSAC noted that although the application was not cancer specific, the largest evidence base presented for the clinical effectiveness of IGRT was in prostate cancer. MSAC considered that the effectiveness results for IGRT were complex and inconsistent across patient populations, cancer types and clinical outcomes. MSAC was concerned that many of the studies compared IGRT PTV margins and tumour dosimetry to simulations of non-IGRT scenarios which may have incorrectly assumed superiority of IGRT over non-IGRT in every situation. MSAC noted that health outcomes were reported in only a few of the studies. For the studies that did report progression-free survival or relapse free survival there was no statistically significant difference between IGRT and non-IGRT.</w:t>
      </w:r>
    </w:p>
    <w:p w:rsidR="00A6649B" w:rsidRDefault="00A6649B" w:rsidP="00A6649B"/>
    <w:p w:rsidR="00A6649B" w:rsidRDefault="00A6649B" w:rsidP="00A6649B">
      <w:r>
        <w:t xml:space="preserve">MSAC noted the inclusion of additional data from the ANROTAT study. MSAC considered this study of 20 prostate cancer patients was too small to extrapolate the effectiveness and utility of IGRT more generally. In addition, the probabilities of moving between health states </w:t>
      </w:r>
      <w:r>
        <w:lastRenderedPageBreak/>
        <w:t xml:space="preserve">in the Markov model from the ANROTAT study were based on expert opinion only and the health state of surviving prostate </w:t>
      </w:r>
      <w:r w:rsidRPr="00CA1CD4">
        <w:rPr>
          <w:szCs w:val="24"/>
        </w:rPr>
        <w:t>cancer (</w:t>
      </w:r>
      <w:r w:rsidRPr="00BE01B4">
        <w:rPr>
          <w:szCs w:val="24"/>
        </w:rPr>
        <w:t>time without symptom</w:t>
      </w:r>
      <w:r>
        <w:rPr>
          <w:szCs w:val="24"/>
        </w:rPr>
        <w:t>s or toxicity [</w:t>
      </w:r>
      <w:proofErr w:type="spellStart"/>
      <w:r w:rsidRPr="00BE01B4">
        <w:rPr>
          <w:szCs w:val="24"/>
        </w:rPr>
        <w:t>TWiST</w:t>
      </w:r>
      <w:proofErr w:type="spellEnd"/>
      <w:r>
        <w:rPr>
          <w:szCs w:val="24"/>
        </w:rPr>
        <w:t>]</w:t>
      </w:r>
      <w:r w:rsidRPr="00BE01B4">
        <w:rPr>
          <w:szCs w:val="24"/>
        </w:rPr>
        <w:t>)</w:t>
      </w:r>
      <w:r>
        <w:rPr>
          <w:rFonts w:ascii="Arial" w:hAnsi="Arial" w:cs="Arial"/>
          <w:sz w:val="20"/>
        </w:rPr>
        <w:t xml:space="preserve"> </w:t>
      </w:r>
      <w:r>
        <w:t>was given a utility of 1.00 which is implausible as it implies perfect health among survivors.</w:t>
      </w:r>
    </w:p>
    <w:p w:rsidR="00A6649B" w:rsidRDefault="00A6649B" w:rsidP="00A6649B"/>
    <w:p w:rsidR="00A6649B" w:rsidRDefault="00A6649B" w:rsidP="00A6649B">
      <w:r>
        <w:t xml:space="preserve">Overall, MSAC considered the quality of the evidence used in the submission to be poor with inconsistent evidence of safety, clinical effectiveness and outcome benefits. In addition the available data are complex with respect to different cancer types, populations, study design and outcomes. </w:t>
      </w:r>
      <w:r w:rsidRPr="008049E1">
        <w:t xml:space="preserve">MSAC noted that the applicant was unhappy with the contracted assessment report. However, MSAC agreed with ESC that the assessment </w:t>
      </w:r>
      <w:r>
        <w:t xml:space="preserve">report </w:t>
      </w:r>
      <w:r w:rsidRPr="008049E1">
        <w:t xml:space="preserve">generally represented a </w:t>
      </w:r>
      <w:r>
        <w:t>fair</w:t>
      </w:r>
      <w:r w:rsidRPr="008049E1">
        <w:t xml:space="preserve"> analysis of a poor dataset.</w:t>
      </w:r>
      <w:r>
        <w:t xml:space="preserve"> </w:t>
      </w:r>
    </w:p>
    <w:p w:rsidR="00A6649B" w:rsidRDefault="00A6649B" w:rsidP="00A6649B"/>
    <w:p w:rsidR="00A6649B" w:rsidRDefault="00A6649B" w:rsidP="00A6649B">
      <w:r>
        <w:t xml:space="preserve">Due to the lack of evidence for any significant benefit in clinical outcomes between IGRT and non-IGRT, MSAC considered that a cost minimisation analysis was appropriate. However, MSAC noted that the economic analysis presented assumed that current practice is for a verification scan to be done once daily for the first week then once per week thereafter. MSAC recalled that it had previously accepted advice in relation to fiducial markers that the currently accepted standard of care was daily verification scans and MSAC received further advice that radiation therapy is moving to daily verification, especially when escalating doses over 70 </w:t>
      </w:r>
      <w:proofErr w:type="spellStart"/>
      <w:r>
        <w:t>Gy</w:t>
      </w:r>
      <w:proofErr w:type="spellEnd"/>
      <w:r>
        <w:t>.  MSAC also noted that it is likely that IGRT was being claimed under the current verification item numbers (15705 and 15710), but was unable to quantify the extent of this practice.</w:t>
      </w:r>
    </w:p>
    <w:p w:rsidR="00A6649B" w:rsidRDefault="00A6649B" w:rsidP="00A6649B"/>
    <w:p w:rsidR="00A6649B" w:rsidRDefault="00A6649B" w:rsidP="00A6649B">
      <w:r>
        <w:t xml:space="preserve">MSAC noted that the economic evaluation resulted in a wide range of MBS item fees, between $22.98 and $76.60, in order to achieve cost-neutrality; this range depended on the number of fractions of radiation delivered and the frequency of verification per radiotherapy course. MSAC considered the frequency of verification scans and therefore the budgetary impact of publicly funding IGRT, even on a cost minimisation basis, was uncertain. </w:t>
      </w:r>
    </w:p>
    <w:p w:rsidR="00A6649B" w:rsidRDefault="00A6649B" w:rsidP="00A6649B"/>
    <w:p w:rsidR="00A6649B" w:rsidRDefault="00A6649B" w:rsidP="00550354">
      <w:r>
        <w:t xml:space="preserve">MSAC requested further advice from the Department regarding a potential implementation strategy which achieves cost neutrality such as a bundle fee structure. MSAC also requested the Department to examine Medicare data regarding the utilisation of existing MBS items for treatment verification practices and provide an estimate on the number of treatment verifications per radiation treatment course. </w:t>
      </w:r>
    </w:p>
    <w:p w:rsidR="00550354" w:rsidRPr="00707064" w:rsidRDefault="00550354" w:rsidP="00550354">
      <w:pPr>
        <w:rPr>
          <w:szCs w:val="24"/>
        </w:rPr>
      </w:pPr>
    </w:p>
    <w:p w:rsidR="00BC1364" w:rsidRPr="00D90A38" w:rsidRDefault="00BC1364" w:rsidP="00BE3B9C">
      <w:pPr>
        <w:pStyle w:val="Heading1"/>
        <w:numPr>
          <w:ilvl w:val="0"/>
          <w:numId w:val="40"/>
        </w:numPr>
        <w:ind w:hanging="720"/>
      </w:pPr>
      <w:r w:rsidRPr="00D90A38">
        <w:t>Background</w:t>
      </w:r>
    </w:p>
    <w:p w:rsidR="00BC1364" w:rsidRDefault="00BC1364" w:rsidP="00DD2858">
      <w:pPr>
        <w:rPr>
          <w:b/>
          <w:szCs w:val="24"/>
        </w:rPr>
      </w:pPr>
    </w:p>
    <w:p w:rsidR="005078F7" w:rsidRDefault="005078F7" w:rsidP="005078F7">
      <w:r w:rsidRPr="00AC7DA6">
        <w:t xml:space="preserve">MSAC has not previously considered IGRT for use in cancer treatment. </w:t>
      </w:r>
    </w:p>
    <w:p w:rsidR="005078F7" w:rsidRDefault="005078F7" w:rsidP="005078F7"/>
    <w:p w:rsidR="005078F7" w:rsidRPr="00BB418D" w:rsidRDefault="00AD046E" w:rsidP="005078F7">
      <w:r>
        <w:t>This application was considered by ESC in June 2014. Following discussion with the applicant additional analysis was commissioned to revise the assessment report following publication of new evidence</w:t>
      </w:r>
    </w:p>
    <w:p w:rsidR="007B32D1" w:rsidRPr="007B32D1" w:rsidRDefault="007B32D1" w:rsidP="007B32D1"/>
    <w:p w:rsidR="00BC1364" w:rsidRPr="00D90A38" w:rsidRDefault="00BC1364" w:rsidP="00BE3B9C">
      <w:pPr>
        <w:pStyle w:val="Heading1"/>
        <w:numPr>
          <w:ilvl w:val="0"/>
          <w:numId w:val="40"/>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5078F7" w:rsidRDefault="00AD046E" w:rsidP="005078F7">
      <w:r>
        <w:t>Equipment</w:t>
      </w:r>
      <w:r w:rsidR="005078F7" w:rsidRPr="00CB5FC7">
        <w:t xml:space="preserve"> that could be used </w:t>
      </w:r>
      <w:r>
        <w:t>to provide</w:t>
      </w:r>
      <w:r w:rsidR="005078F7" w:rsidRPr="00CB5FC7">
        <w:t xml:space="preserve"> the proposed new service </w:t>
      </w:r>
      <w:r>
        <w:t>was</w:t>
      </w:r>
      <w:r w:rsidRPr="00CB5FC7">
        <w:t xml:space="preserve"> </w:t>
      </w:r>
      <w:r w:rsidR="005078F7">
        <w:t xml:space="preserve">originally </w:t>
      </w:r>
      <w:r>
        <w:t>identified</w:t>
      </w:r>
      <w:r w:rsidRPr="00CB5FC7">
        <w:t xml:space="preserve"> </w:t>
      </w:r>
      <w:r w:rsidR="005078F7" w:rsidRPr="00CB5FC7">
        <w:t>by the applicant as examp</w:t>
      </w:r>
      <w:r w:rsidR="005078F7">
        <w:t>le listings</w:t>
      </w:r>
      <w:r w:rsidR="00CB32A1">
        <w:t>, a</w:t>
      </w:r>
      <w:r w:rsidR="005078F7">
        <w:t>ll are TGA approved.</w:t>
      </w:r>
    </w:p>
    <w:p w:rsidR="005078F7" w:rsidRDefault="005078F7" w:rsidP="005078F7"/>
    <w:p w:rsidR="005078F7" w:rsidRDefault="00CB32A1" w:rsidP="005078F7">
      <w:pPr>
        <w:rPr>
          <w:bCs/>
        </w:rPr>
      </w:pPr>
      <w:r>
        <w:rPr>
          <w:bCs/>
        </w:rPr>
        <w:t>Expert advice indicated</w:t>
      </w:r>
      <w:r w:rsidR="005078F7" w:rsidRPr="007B6622">
        <w:rPr>
          <w:bCs/>
        </w:rPr>
        <w:t xml:space="preserve"> that a range of other vendors may also </w:t>
      </w:r>
      <w:r w:rsidR="005078F7">
        <w:rPr>
          <w:bCs/>
        </w:rPr>
        <w:t>offer</w:t>
      </w:r>
      <w:r w:rsidR="005078F7" w:rsidRPr="002142E6">
        <w:rPr>
          <w:bCs/>
        </w:rPr>
        <w:t xml:space="preserve"> products</w:t>
      </w:r>
      <w:r w:rsidR="005078F7">
        <w:rPr>
          <w:bCs/>
        </w:rPr>
        <w:t>/equipment</w:t>
      </w:r>
      <w:r w:rsidR="005078F7" w:rsidRPr="002142E6">
        <w:rPr>
          <w:bCs/>
        </w:rPr>
        <w:t xml:space="preserve"> in relation to the service. It is considered that </w:t>
      </w:r>
      <w:r w:rsidR="00AD046E">
        <w:rPr>
          <w:bCs/>
        </w:rPr>
        <w:t>83.2</w:t>
      </w:r>
      <w:r w:rsidR="005078F7" w:rsidRPr="002142E6">
        <w:rPr>
          <w:bCs/>
        </w:rPr>
        <w:t xml:space="preserve">% of </w:t>
      </w:r>
      <w:r w:rsidR="005078F7">
        <w:rPr>
          <w:bCs/>
        </w:rPr>
        <w:t>linear accelerators (</w:t>
      </w:r>
      <w:r w:rsidR="000035AD">
        <w:rPr>
          <w:bCs/>
        </w:rPr>
        <w:t>“</w:t>
      </w:r>
      <w:proofErr w:type="spellStart"/>
      <w:r w:rsidR="005078F7">
        <w:rPr>
          <w:bCs/>
        </w:rPr>
        <w:t>l</w:t>
      </w:r>
      <w:r w:rsidR="005078F7" w:rsidRPr="002142E6">
        <w:rPr>
          <w:bCs/>
        </w:rPr>
        <w:t>inacs</w:t>
      </w:r>
      <w:proofErr w:type="spellEnd"/>
      <w:r w:rsidR="000035AD">
        <w:rPr>
          <w:bCs/>
        </w:rPr>
        <w:t>”</w:t>
      </w:r>
      <w:r w:rsidR="005078F7">
        <w:rPr>
          <w:bCs/>
        </w:rPr>
        <w:t>)</w:t>
      </w:r>
      <w:r w:rsidR="005078F7" w:rsidRPr="002142E6">
        <w:rPr>
          <w:bCs/>
        </w:rPr>
        <w:t xml:space="preserve"> currently in use in Australia are capable of online </w:t>
      </w:r>
      <w:r w:rsidR="000035AD">
        <w:rPr>
          <w:bCs/>
        </w:rPr>
        <w:t xml:space="preserve">image-guided </w:t>
      </w:r>
      <w:r w:rsidR="005078F7" w:rsidRPr="002142E6">
        <w:rPr>
          <w:bCs/>
        </w:rPr>
        <w:t>correction (RANZCR 201</w:t>
      </w:r>
      <w:r w:rsidR="00AD046E">
        <w:rPr>
          <w:bCs/>
        </w:rPr>
        <w:t>3</w:t>
      </w:r>
      <w:r w:rsidR="005078F7" w:rsidRPr="002142E6">
        <w:rPr>
          <w:bCs/>
        </w:rPr>
        <w:t>).</w:t>
      </w:r>
    </w:p>
    <w:p w:rsidR="00BC1364" w:rsidRPr="00707064" w:rsidRDefault="00BC1364" w:rsidP="009E0D98">
      <w:pPr>
        <w:tabs>
          <w:tab w:val="left" w:pos="720"/>
          <w:tab w:val="left" w:pos="1140"/>
        </w:tabs>
        <w:rPr>
          <w:color w:val="0070C0"/>
          <w:szCs w:val="24"/>
        </w:rPr>
      </w:pPr>
    </w:p>
    <w:p w:rsidR="00BC1364" w:rsidRPr="007B32D1" w:rsidRDefault="00BC1364" w:rsidP="00BE3B9C">
      <w:pPr>
        <w:pStyle w:val="Heading1"/>
        <w:numPr>
          <w:ilvl w:val="0"/>
          <w:numId w:val="40"/>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96160B" w:rsidRDefault="005078F7">
      <w:pPr>
        <w:rPr>
          <w:szCs w:val="24"/>
        </w:rPr>
      </w:pPr>
      <w:r>
        <w:rPr>
          <w:lang w:eastAsia="ja-JP"/>
        </w:rPr>
        <w:t>Two proposed MBS item descriptors for IGRT were set out in the Final Protocol</w:t>
      </w:r>
      <w:r w:rsidR="00AD046E">
        <w:rPr>
          <w:lang w:eastAsia="ja-JP"/>
        </w:rPr>
        <w:t>.  However, t</w:t>
      </w:r>
      <w:r w:rsidR="00AD046E" w:rsidRPr="00790888">
        <w:rPr>
          <w:szCs w:val="24"/>
        </w:rPr>
        <w:t>he applicant subsequently advised that there was no need to distinguish betwe</w:t>
      </w:r>
      <w:r w:rsidR="00AD046E">
        <w:rPr>
          <w:szCs w:val="24"/>
        </w:rPr>
        <w:t xml:space="preserve">en planar and volumetric IGRT. </w:t>
      </w:r>
    </w:p>
    <w:p w:rsidR="0096160B" w:rsidRDefault="0096160B">
      <w:pPr>
        <w:rPr>
          <w:szCs w:val="24"/>
        </w:rPr>
      </w:pPr>
    </w:p>
    <w:p w:rsidR="005078F7" w:rsidRPr="00A3268D" w:rsidRDefault="005078F7" w:rsidP="005078F7">
      <w:pPr>
        <w:pStyle w:val="Caption"/>
        <w:ind w:left="1418" w:hanging="1418"/>
        <w:rPr>
          <w:rFonts w:ascii="Arial" w:hAnsi="Arial" w:cs="Arial"/>
        </w:rPr>
      </w:pPr>
      <w:r w:rsidRPr="00A3268D">
        <w:rPr>
          <w:rFonts w:ascii="Arial" w:hAnsi="Arial" w:cs="Arial"/>
        </w:rPr>
        <w:t xml:space="preserve">Proposed MBS item descriptor for </w:t>
      </w:r>
      <w:r w:rsidR="0096160B">
        <w:rPr>
          <w:rFonts w:ascii="Arial" w:hAnsi="Arial" w:cs="Arial"/>
        </w:rPr>
        <w:t>image</w:t>
      </w:r>
      <w:r w:rsidRPr="00A3268D">
        <w:rPr>
          <w:rFonts w:ascii="Arial" w:hAnsi="Arial" w:cs="Arial"/>
        </w:rPr>
        <w:t xml:space="preserve"> guided radiation therapy (</w:t>
      </w:r>
      <w:r>
        <w:rPr>
          <w:rFonts w:ascii="Arial" w:hAnsi="Arial" w:cs="Arial"/>
        </w:rPr>
        <w:t>online</w:t>
      </w:r>
      <w:r w:rsidRPr="00A3268D">
        <w:rPr>
          <w:rFonts w:ascii="Arial" w:hAnsi="Arial" w:cs="Arial"/>
        </w:rPr>
        <w:t>)</w:t>
      </w:r>
    </w:p>
    <w:tbl>
      <w:tblPr>
        <w:tblStyle w:val="TableGrid"/>
        <w:tblW w:w="9716" w:type="dxa"/>
        <w:tblLayout w:type="fixed"/>
        <w:tblLook w:val="00A0" w:firstRow="1" w:lastRow="0" w:firstColumn="1" w:lastColumn="0" w:noHBand="0" w:noVBand="0"/>
        <w:tblCaption w:val="Table - Proposed MBS item descriptor for image guided radiation therapy (online)"/>
        <w:tblDescription w:val="Proposed MBS item descriptor for image guided radiation therapy (online)"/>
      </w:tblPr>
      <w:tblGrid>
        <w:gridCol w:w="9716"/>
      </w:tblGrid>
      <w:tr w:rsidR="0096160B" w:rsidRPr="00003FFE" w:rsidTr="00CA06EB">
        <w:trPr>
          <w:tblHeader/>
        </w:trPr>
        <w:tc>
          <w:tcPr>
            <w:tcW w:w="9716" w:type="dxa"/>
          </w:tcPr>
          <w:p w:rsidR="0096160B" w:rsidRPr="00003FFE" w:rsidRDefault="0096160B" w:rsidP="00B70368">
            <w:pPr>
              <w:keepNext/>
              <w:spacing w:before="240" w:after="120"/>
              <w:rPr>
                <w:sz w:val="20"/>
                <w:lang w:eastAsia="ja-JP"/>
              </w:rPr>
            </w:pPr>
            <w:r w:rsidRPr="00003FFE">
              <w:rPr>
                <w:sz w:val="20"/>
                <w:lang w:eastAsia="ja-JP"/>
              </w:rPr>
              <w:t xml:space="preserve">MBS </w:t>
            </w:r>
            <w:r>
              <w:rPr>
                <w:sz w:val="20"/>
                <w:lang w:eastAsia="ja-JP"/>
              </w:rPr>
              <w:t>XXXXX</w:t>
            </w:r>
          </w:p>
          <w:p w:rsidR="0096160B" w:rsidRPr="00003FFE" w:rsidRDefault="0096160B" w:rsidP="00B70368">
            <w:pPr>
              <w:keepNext/>
              <w:rPr>
                <w:sz w:val="20"/>
                <w:lang w:eastAsia="ja-JP"/>
              </w:rPr>
            </w:pPr>
            <w:r w:rsidRPr="00003FFE">
              <w:rPr>
                <w:sz w:val="20"/>
                <w:lang w:eastAsia="ja-JP"/>
              </w:rPr>
              <w:t>Planar/Volumetric Image Guided Radiation Therapy for IMRT - the use of at least two (2) planar imag</w:t>
            </w:r>
            <w:r>
              <w:rPr>
                <w:sz w:val="20"/>
                <w:lang w:eastAsia="ja-JP"/>
              </w:rPr>
              <w:t>e views/projections or one (1) v</w:t>
            </w:r>
            <w:r w:rsidRPr="00003FFE">
              <w:rPr>
                <w:sz w:val="20"/>
                <w:lang w:eastAsia="ja-JP"/>
              </w:rPr>
              <w:t xml:space="preserve">olumetric image set to facilitate a </w:t>
            </w:r>
            <w:r>
              <w:rPr>
                <w:sz w:val="20"/>
                <w:lang w:eastAsia="ja-JP"/>
              </w:rPr>
              <w:t>three d</w:t>
            </w:r>
            <w:r w:rsidRPr="00003FFE">
              <w:rPr>
                <w:sz w:val="20"/>
                <w:lang w:eastAsia="ja-JP"/>
              </w:rPr>
              <w:t>imensional adjustment to radiation treatment field positioning, where the following conditions are met;</w:t>
            </w:r>
          </w:p>
          <w:p w:rsidR="0096160B" w:rsidRPr="00003FFE" w:rsidRDefault="0096160B" w:rsidP="0096160B">
            <w:pPr>
              <w:keepNext/>
              <w:numPr>
                <w:ilvl w:val="0"/>
                <w:numId w:val="41"/>
              </w:numPr>
              <w:ind w:left="714" w:hanging="357"/>
              <w:rPr>
                <w:sz w:val="20"/>
                <w:lang w:eastAsia="ja-JP"/>
              </w:rPr>
            </w:pPr>
            <w:r w:rsidRPr="00003FFE">
              <w:rPr>
                <w:sz w:val="20"/>
                <w:lang w:eastAsia="ja-JP"/>
              </w:rPr>
              <w:t xml:space="preserve">Treatment technique is classified as IMRT </w:t>
            </w:r>
          </w:p>
          <w:p w:rsidR="0096160B" w:rsidRPr="00003FFE" w:rsidRDefault="0096160B" w:rsidP="0096160B">
            <w:pPr>
              <w:keepNext/>
              <w:numPr>
                <w:ilvl w:val="0"/>
                <w:numId w:val="41"/>
              </w:numPr>
              <w:ind w:left="714" w:hanging="357"/>
              <w:rPr>
                <w:sz w:val="20"/>
                <w:lang w:eastAsia="ja-JP"/>
              </w:rPr>
            </w:pPr>
            <w:r w:rsidRPr="00003FFE">
              <w:rPr>
                <w:sz w:val="20"/>
                <w:lang w:eastAsia="ja-JP"/>
              </w:rPr>
              <w:t>Margins applied to volumes (CTV/PTV) are tailored or reduced to minimise treatment related exposure of healthy/normal tissues</w:t>
            </w:r>
          </w:p>
          <w:p w:rsidR="0096160B" w:rsidRPr="00003FFE" w:rsidRDefault="0096160B" w:rsidP="0096160B">
            <w:pPr>
              <w:keepNext/>
              <w:numPr>
                <w:ilvl w:val="0"/>
                <w:numId w:val="41"/>
              </w:numPr>
              <w:ind w:left="714" w:hanging="357"/>
              <w:rPr>
                <w:sz w:val="20"/>
                <w:lang w:eastAsia="ja-JP"/>
              </w:rPr>
            </w:pPr>
            <w:r w:rsidRPr="00003FFE">
              <w:rPr>
                <w:sz w:val="20"/>
                <w:lang w:eastAsia="ja-JP"/>
              </w:rPr>
              <w:t>Decisions using acquired images are based on action algorithms and are enacted immediately prior to or during treatment delivery by qualified and trained staff considering complex competing factors and using software driven modelling programs.</w:t>
            </w:r>
          </w:p>
          <w:p w:rsidR="0096160B" w:rsidRPr="00003FFE" w:rsidRDefault="0096160B" w:rsidP="0096160B">
            <w:pPr>
              <w:keepNext/>
              <w:numPr>
                <w:ilvl w:val="0"/>
                <w:numId w:val="41"/>
              </w:numPr>
              <w:ind w:left="714" w:hanging="357"/>
              <w:rPr>
                <w:sz w:val="20"/>
                <w:lang w:eastAsia="ja-JP"/>
              </w:rPr>
            </w:pPr>
            <w:r w:rsidRPr="00003FFE">
              <w:rPr>
                <w:sz w:val="20"/>
                <w:lang w:eastAsia="ja-JP"/>
              </w:rPr>
              <w:t>Radiation Field positioning requires accuracy levels of less than 5mm (curative cases) or up to 10mm (palliative cases) to ensure accurate dose delivery to the target.</w:t>
            </w:r>
          </w:p>
          <w:p w:rsidR="0096160B" w:rsidRPr="00003FFE" w:rsidRDefault="0096160B" w:rsidP="0096160B">
            <w:pPr>
              <w:keepNext/>
              <w:numPr>
                <w:ilvl w:val="0"/>
                <w:numId w:val="41"/>
              </w:numPr>
              <w:ind w:left="714" w:hanging="357"/>
              <w:rPr>
                <w:sz w:val="20"/>
                <w:lang w:eastAsia="ja-JP"/>
              </w:rPr>
            </w:pPr>
            <w:r w:rsidRPr="00003FFE">
              <w:rPr>
                <w:sz w:val="20"/>
                <w:lang w:eastAsia="ja-JP"/>
              </w:rPr>
              <w:t>Image decisions and actions are documented in the patient’s record.</w:t>
            </w:r>
          </w:p>
          <w:p w:rsidR="0096160B" w:rsidRPr="00003FFE" w:rsidRDefault="0096160B" w:rsidP="0096160B">
            <w:pPr>
              <w:keepNext/>
              <w:numPr>
                <w:ilvl w:val="0"/>
                <w:numId w:val="41"/>
              </w:numPr>
              <w:rPr>
                <w:sz w:val="20"/>
                <w:lang w:eastAsia="ja-JP"/>
              </w:rPr>
            </w:pPr>
            <w:r w:rsidRPr="00003FFE">
              <w:rPr>
                <w:sz w:val="20"/>
                <w:lang w:eastAsia="ja-JP"/>
              </w:rPr>
              <w:t>The Radiation Oncologist is responsible for supervising the process including specifying the type and frequency of the imaging, the tolerance and action levels to be incorporated in the process, reviewing the trend analysis(</w:t>
            </w:r>
            <w:proofErr w:type="spellStart"/>
            <w:r w:rsidRPr="00003FFE">
              <w:rPr>
                <w:sz w:val="20"/>
                <w:lang w:eastAsia="ja-JP"/>
              </w:rPr>
              <w:t>es</w:t>
            </w:r>
            <w:proofErr w:type="spellEnd"/>
            <w:r w:rsidRPr="00003FFE">
              <w:rPr>
                <w:sz w:val="20"/>
                <w:lang w:eastAsia="ja-JP"/>
              </w:rPr>
              <w:t xml:space="preserve">) +/or reports and relevant images during the treatment course and specifying action protocols as required. </w:t>
            </w:r>
          </w:p>
          <w:p w:rsidR="0096160B" w:rsidRPr="00003FFE" w:rsidRDefault="0096160B" w:rsidP="0096160B">
            <w:pPr>
              <w:keepNext/>
              <w:numPr>
                <w:ilvl w:val="0"/>
                <w:numId w:val="41"/>
              </w:numPr>
              <w:ind w:left="714" w:hanging="357"/>
              <w:rPr>
                <w:sz w:val="20"/>
                <w:lang w:eastAsia="ja-JP"/>
              </w:rPr>
            </w:pPr>
            <w:r w:rsidRPr="00003FFE">
              <w:rPr>
                <w:sz w:val="20"/>
                <w:lang w:eastAsia="ja-JP"/>
              </w:rPr>
              <w:t>Where required, re-planning is required when the treatment adjustments are inadequate to satisfy treatment protocol requirements.</w:t>
            </w:r>
          </w:p>
          <w:p w:rsidR="0096160B" w:rsidRPr="00003FFE" w:rsidRDefault="0096160B" w:rsidP="0096160B">
            <w:pPr>
              <w:keepNext/>
              <w:numPr>
                <w:ilvl w:val="0"/>
                <w:numId w:val="41"/>
              </w:numPr>
              <w:ind w:left="714" w:hanging="357"/>
              <w:rPr>
                <w:sz w:val="20"/>
                <w:lang w:eastAsia="ja-JP"/>
              </w:rPr>
            </w:pPr>
            <w:r w:rsidRPr="00003FFE">
              <w:rPr>
                <w:sz w:val="20"/>
                <w:lang w:eastAsia="ja-JP"/>
              </w:rPr>
              <w:t>Imaging infrastructure (hardware and software) is linked to the treatment unit and networked to an image database enabling both on-line and off-line reviews.</w:t>
            </w:r>
          </w:p>
          <w:p w:rsidR="0096160B" w:rsidRDefault="0096160B" w:rsidP="00B70368">
            <w:pPr>
              <w:keepNext/>
              <w:rPr>
                <w:sz w:val="20"/>
                <w:lang w:eastAsia="ja-JP"/>
              </w:rPr>
            </w:pPr>
          </w:p>
          <w:p w:rsidR="0096160B" w:rsidRPr="00003FFE" w:rsidRDefault="0096160B" w:rsidP="0096160B">
            <w:pPr>
              <w:keepNext/>
              <w:rPr>
                <w:sz w:val="20"/>
                <w:lang w:eastAsia="ja-JP"/>
              </w:rPr>
            </w:pPr>
            <w:r w:rsidRPr="00003FFE">
              <w:rPr>
                <w:sz w:val="20"/>
                <w:lang w:eastAsia="ja-JP"/>
              </w:rPr>
              <w:t xml:space="preserve">Fee: </w:t>
            </w:r>
            <w:r>
              <w:rPr>
                <w:sz w:val="20"/>
                <w:lang w:eastAsia="ja-JP"/>
              </w:rPr>
              <w:t>Under development</w:t>
            </w:r>
          </w:p>
        </w:tc>
      </w:tr>
    </w:tbl>
    <w:p w:rsidR="005078F7" w:rsidRDefault="005078F7" w:rsidP="005078F7"/>
    <w:p w:rsidR="00AA0242" w:rsidRDefault="005078F7" w:rsidP="00AD046E">
      <w:pPr>
        <w:pStyle w:val="Pa31"/>
        <w:rPr>
          <w:rStyle w:val="A41"/>
          <w:rFonts w:ascii="Times New Roman" w:hAnsi="Times New Roman" w:cs="Times New Roman"/>
          <w:sz w:val="24"/>
          <w:szCs w:val="24"/>
        </w:rPr>
      </w:pPr>
      <w:r w:rsidRPr="00625C54">
        <w:rPr>
          <w:rFonts w:ascii="Times New Roman" w:hAnsi="Times New Roman"/>
        </w:rPr>
        <w:t xml:space="preserve">IGRT is </w:t>
      </w:r>
      <w:r w:rsidR="00AD046E" w:rsidRPr="00625C54">
        <w:rPr>
          <w:rStyle w:val="A41"/>
          <w:rFonts w:ascii="Times New Roman" w:hAnsi="Times New Roman" w:cs="Times New Roman"/>
          <w:sz w:val="24"/>
          <w:szCs w:val="24"/>
        </w:rPr>
        <w:t xml:space="preserve">the process of frequent two and three-dimensional imaging </w:t>
      </w:r>
      <w:r w:rsidR="00AA0242">
        <w:rPr>
          <w:rStyle w:val="A41"/>
          <w:rFonts w:ascii="Times New Roman" w:hAnsi="Times New Roman" w:cs="Times New Roman"/>
          <w:sz w:val="24"/>
          <w:szCs w:val="24"/>
        </w:rPr>
        <w:t>that is captured</w:t>
      </w:r>
      <w:r w:rsidR="00AD046E" w:rsidRPr="00625C54">
        <w:rPr>
          <w:rStyle w:val="A41"/>
          <w:rFonts w:ascii="Times New Roman" w:hAnsi="Times New Roman" w:cs="Times New Roman"/>
          <w:sz w:val="24"/>
          <w:szCs w:val="24"/>
        </w:rPr>
        <w:t xml:space="preserve"> as close as possible to the time of treatment</w:t>
      </w:r>
      <w:r w:rsidR="00E929F8">
        <w:rPr>
          <w:rStyle w:val="A41"/>
          <w:rFonts w:ascii="Times New Roman" w:hAnsi="Times New Roman" w:cs="Times New Roman"/>
          <w:sz w:val="24"/>
          <w:szCs w:val="24"/>
        </w:rPr>
        <w:t xml:space="preserve"> or </w:t>
      </w:r>
      <w:r w:rsidR="00A11EA9">
        <w:rPr>
          <w:rStyle w:val="A41"/>
          <w:rFonts w:ascii="Times New Roman" w:hAnsi="Times New Roman" w:cs="Times New Roman"/>
          <w:sz w:val="24"/>
          <w:szCs w:val="24"/>
        </w:rPr>
        <w:t>concurrent with treatment delivery</w:t>
      </w:r>
      <w:r w:rsidR="00AD046E" w:rsidRPr="00625C54">
        <w:rPr>
          <w:rStyle w:val="A41"/>
          <w:rFonts w:ascii="Times New Roman" w:hAnsi="Times New Roman" w:cs="Times New Roman"/>
          <w:sz w:val="24"/>
          <w:szCs w:val="24"/>
        </w:rPr>
        <w:t xml:space="preserve">. </w:t>
      </w:r>
      <w:r w:rsidR="00AA0242">
        <w:rPr>
          <w:rStyle w:val="A41"/>
          <w:rFonts w:ascii="Times New Roman" w:hAnsi="Times New Roman" w:cs="Times New Roman"/>
          <w:sz w:val="24"/>
          <w:szCs w:val="24"/>
        </w:rPr>
        <w:t xml:space="preserve"> The images enable the patient </w:t>
      </w:r>
      <w:r w:rsidR="00A11EA9">
        <w:rPr>
          <w:rStyle w:val="A41"/>
          <w:rFonts w:ascii="Times New Roman" w:hAnsi="Times New Roman" w:cs="Times New Roman"/>
          <w:sz w:val="24"/>
          <w:szCs w:val="24"/>
        </w:rPr>
        <w:t xml:space="preserve">or beam </w:t>
      </w:r>
      <w:r w:rsidR="00AA0242">
        <w:rPr>
          <w:rStyle w:val="A41"/>
          <w:rFonts w:ascii="Times New Roman" w:hAnsi="Times New Roman" w:cs="Times New Roman"/>
          <w:sz w:val="24"/>
          <w:szCs w:val="24"/>
        </w:rPr>
        <w:t>p</w:t>
      </w:r>
      <w:r w:rsidR="00AD046E" w:rsidRPr="00625C54">
        <w:rPr>
          <w:rStyle w:val="A41"/>
          <w:rFonts w:ascii="Times New Roman" w:hAnsi="Times New Roman" w:cs="Times New Roman"/>
          <w:sz w:val="24"/>
          <w:szCs w:val="24"/>
        </w:rPr>
        <w:t>osition</w:t>
      </w:r>
      <w:r w:rsidR="00AA0242">
        <w:rPr>
          <w:rStyle w:val="A41"/>
          <w:rFonts w:ascii="Times New Roman" w:hAnsi="Times New Roman" w:cs="Times New Roman"/>
          <w:sz w:val="24"/>
          <w:szCs w:val="24"/>
        </w:rPr>
        <w:t xml:space="preserve"> to be</w:t>
      </w:r>
      <w:r w:rsidR="00AD046E" w:rsidRPr="00625C54">
        <w:rPr>
          <w:rStyle w:val="A41"/>
          <w:rFonts w:ascii="Times New Roman" w:hAnsi="Times New Roman" w:cs="Times New Roman"/>
          <w:sz w:val="24"/>
          <w:szCs w:val="24"/>
        </w:rPr>
        <w:t xml:space="preserve"> correct</w:t>
      </w:r>
      <w:r w:rsidR="00AA0242">
        <w:rPr>
          <w:rStyle w:val="A41"/>
          <w:rFonts w:ascii="Times New Roman" w:hAnsi="Times New Roman" w:cs="Times New Roman"/>
          <w:sz w:val="24"/>
          <w:szCs w:val="24"/>
        </w:rPr>
        <w:t>ed</w:t>
      </w:r>
      <w:r w:rsidR="00AD046E" w:rsidRPr="00625C54">
        <w:rPr>
          <w:rStyle w:val="A41"/>
          <w:rFonts w:ascii="Times New Roman" w:hAnsi="Times New Roman" w:cs="Times New Roman"/>
          <w:sz w:val="24"/>
          <w:szCs w:val="24"/>
        </w:rPr>
        <w:t xml:space="preserve"> before </w:t>
      </w:r>
      <w:r w:rsidR="00A11EA9">
        <w:rPr>
          <w:rStyle w:val="A41"/>
          <w:rFonts w:ascii="Times New Roman" w:hAnsi="Times New Roman" w:cs="Times New Roman"/>
          <w:sz w:val="24"/>
          <w:szCs w:val="24"/>
        </w:rPr>
        <w:t xml:space="preserve">or during </w:t>
      </w:r>
      <w:r w:rsidR="00AD046E" w:rsidRPr="00625C54">
        <w:rPr>
          <w:rStyle w:val="A41"/>
          <w:rFonts w:ascii="Times New Roman" w:hAnsi="Times New Roman" w:cs="Times New Roman"/>
          <w:sz w:val="24"/>
          <w:szCs w:val="24"/>
        </w:rPr>
        <w:t xml:space="preserve">treatment delivery. </w:t>
      </w:r>
      <w:r w:rsidR="00AA0242">
        <w:rPr>
          <w:rStyle w:val="A41"/>
          <w:rFonts w:ascii="Times New Roman" w:hAnsi="Times New Roman" w:cs="Times New Roman"/>
          <w:sz w:val="24"/>
          <w:szCs w:val="24"/>
        </w:rPr>
        <w:t xml:space="preserve">IGRT is used when there is complex dosimetry </w:t>
      </w:r>
      <w:r w:rsidR="00AD046E" w:rsidRPr="00625C54">
        <w:rPr>
          <w:rStyle w:val="A41"/>
          <w:rFonts w:ascii="Times New Roman" w:hAnsi="Times New Roman" w:cs="Times New Roman"/>
          <w:sz w:val="24"/>
          <w:szCs w:val="24"/>
        </w:rPr>
        <w:t xml:space="preserve">and </w:t>
      </w:r>
      <w:r w:rsidR="00AA0242">
        <w:rPr>
          <w:rStyle w:val="A41"/>
          <w:rFonts w:ascii="Times New Roman" w:hAnsi="Times New Roman" w:cs="Times New Roman"/>
          <w:sz w:val="24"/>
          <w:szCs w:val="24"/>
        </w:rPr>
        <w:t>in</w:t>
      </w:r>
      <w:r w:rsidR="00AD046E" w:rsidRPr="00625C54">
        <w:rPr>
          <w:rStyle w:val="A41"/>
          <w:rFonts w:ascii="Times New Roman" w:hAnsi="Times New Roman" w:cs="Times New Roman"/>
          <w:sz w:val="24"/>
          <w:szCs w:val="24"/>
        </w:rPr>
        <w:t xml:space="preserve"> situations </w:t>
      </w:r>
      <w:r w:rsidR="00AA0242">
        <w:rPr>
          <w:rStyle w:val="A41"/>
          <w:rFonts w:ascii="Times New Roman" w:hAnsi="Times New Roman" w:cs="Times New Roman"/>
          <w:sz w:val="24"/>
          <w:szCs w:val="24"/>
        </w:rPr>
        <w:t>where it may be difficult to reproduce the patient position.</w:t>
      </w:r>
    </w:p>
    <w:p w:rsidR="005078F7" w:rsidRPr="00AD046E" w:rsidRDefault="005078F7" w:rsidP="005078F7">
      <w:pPr>
        <w:rPr>
          <w:szCs w:val="24"/>
        </w:rPr>
      </w:pPr>
    </w:p>
    <w:p w:rsidR="00AA0242" w:rsidRPr="00625C54" w:rsidRDefault="00AA0242" w:rsidP="00625C54">
      <w:pPr>
        <w:pStyle w:val="Pa15"/>
        <w:rPr>
          <w:rFonts w:ascii="Times New Roman" w:hAnsi="Times New Roman" w:cs="Times New Roman"/>
          <w:color w:val="221E1F"/>
        </w:rPr>
      </w:pPr>
      <w:r>
        <w:rPr>
          <w:rStyle w:val="A41"/>
          <w:rFonts w:ascii="Times New Roman" w:hAnsi="Times New Roman" w:cs="Times New Roman"/>
          <w:sz w:val="24"/>
          <w:szCs w:val="24"/>
        </w:rPr>
        <w:t>IGRT may be delivered using</w:t>
      </w:r>
      <w:r w:rsidR="00E929F8">
        <w:rPr>
          <w:rStyle w:val="A41"/>
          <w:rFonts w:ascii="Times New Roman" w:hAnsi="Times New Roman" w:cs="Times New Roman"/>
          <w:sz w:val="24"/>
          <w:szCs w:val="24"/>
        </w:rPr>
        <w:t xml:space="preserve"> a range of technology:</w:t>
      </w:r>
    </w:p>
    <w:p w:rsidR="00AA0242" w:rsidRPr="00625C54" w:rsidRDefault="00AA0242" w:rsidP="00625C54">
      <w:pPr>
        <w:pStyle w:val="Pa15"/>
        <w:numPr>
          <w:ilvl w:val="0"/>
          <w:numId w:val="32"/>
        </w:numPr>
        <w:rPr>
          <w:rFonts w:ascii="Times New Roman" w:hAnsi="Times New Roman" w:cs="Times New Roman"/>
          <w:color w:val="221E1F"/>
        </w:rPr>
      </w:pPr>
      <w:proofErr w:type="gramStart"/>
      <w:r>
        <w:rPr>
          <w:rStyle w:val="A5"/>
          <w:rFonts w:ascii="Times New Roman" w:hAnsi="Times New Roman" w:cs="Times New Roman"/>
          <w:sz w:val="24"/>
          <w:szCs w:val="24"/>
        </w:rPr>
        <w:t>t</w:t>
      </w:r>
      <w:r w:rsidRPr="00625C54">
        <w:rPr>
          <w:rStyle w:val="A5"/>
          <w:rFonts w:ascii="Times New Roman" w:hAnsi="Times New Roman" w:cs="Times New Roman"/>
          <w:sz w:val="24"/>
          <w:szCs w:val="24"/>
        </w:rPr>
        <w:t>wo-dimensional</w:t>
      </w:r>
      <w:proofErr w:type="gramEnd"/>
      <w:r w:rsidRPr="00625C54">
        <w:rPr>
          <w:rStyle w:val="A5"/>
          <w:rFonts w:ascii="Times New Roman" w:hAnsi="Times New Roman" w:cs="Times New Roman"/>
          <w:sz w:val="24"/>
          <w:szCs w:val="24"/>
        </w:rPr>
        <w:t xml:space="preserve"> </w:t>
      </w:r>
      <w:r>
        <w:rPr>
          <w:rStyle w:val="A5"/>
          <w:rFonts w:ascii="Times New Roman" w:hAnsi="Times New Roman" w:cs="Times New Roman"/>
          <w:sz w:val="24"/>
          <w:szCs w:val="24"/>
        </w:rPr>
        <w:t>i</w:t>
      </w:r>
      <w:r w:rsidRPr="00625C54">
        <w:rPr>
          <w:rStyle w:val="A5"/>
          <w:rFonts w:ascii="Times New Roman" w:hAnsi="Times New Roman" w:cs="Times New Roman"/>
          <w:sz w:val="24"/>
          <w:szCs w:val="24"/>
        </w:rPr>
        <w:t xml:space="preserve">maging </w:t>
      </w:r>
      <w:r>
        <w:rPr>
          <w:rStyle w:val="A5"/>
          <w:rFonts w:ascii="Times New Roman" w:hAnsi="Times New Roman" w:cs="Times New Roman"/>
          <w:sz w:val="24"/>
          <w:szCs w:val="24"/>
        </w:rPr>
        <w:t>localises</w:t>
      </w:r>
      <w:r w:rsidRPr="00625C54">
        <w:rPr>
          <w:rStyle w:val="A5"/>
          <w:rFonts w:ascii="Times New Roman" w:hAnsi="Times New Roman" w:cs="Times New Roman"/>
          <w:sz w:val="24"/>
          <w:szCs w:val="24"/>
        </w:rPr>
        <w:t xml:space="preserve"> the target by matching planar </w:t>
      </w:r>
      <w:proofErr w:type="spellStart"/>
      <w:r w:rsidRPr="00625C54">
        <w:rPr>
          <w:rStyle w:val="A5"/>
          <w:rFonts w:ascii="Times New Roman" w:hAnsi="Times New Roman" w:cs="Times New Roman"/>
          <w:sz w:val="24"/>
          <w:szCs w:val="24"/>
        </w:rPr>
        <w:t>kilovoltage</w:t>
      </w:r>
      <w:proofErr w:type="spellEnd"/>
      <w:r w:rsidRPr="00625C54">
        <w:rPr>
          <w:rStyle w:val="A5"/>
          <w:rFonts w:ascii="Times New Roman" w:hAnsi="Times New Roman" w:cs="Times New Roman"/>
          <w:sz w:val="24"/>
          <w:szCs w:val="24"/>
        </w:rPr>
        <w:t xml:space="preserve"> (kV) radiographs</w:t>
      </w:r>
      <w:r>
        <w:rPr>
          <w:rStyle w:val="A5"/>
          <w:rFonts w:ascii="Times New Roman" w:hAnsi="Times New Roman" w:cs="Times New Roman"/>
          <w:sz w:val="24"/>
          <w:szCs w:val="24"/>
        </w:rPr>
        <w:t>,</w:t>
      </w:r>
      <w:r w:rsidRPr="00625C54">
        <w:rPr>
          <w:rStyle w:val="A5"/>
          <w:rFonts w:ascii="Times New Roman" w:hAnsi="Times New Roman" w:cs="Times New Roman"/>
          <w:sz w:val="24"/>
          <w:szCs w:val="24"/>
        </w:rPr>
        <w:t xml:space="preserve"> fluoroscopy or megavoltage (MV) images with digital reconstructed radiographs (DRRs) from the planning CT. </w:t>
      </w:r>
    </w:p>
    <w:p w:rsidR="00AA0242" w:rsidRDefault="00AA0242" w:rsidP="00625C54">
      <w:pPr>
        <w:pStyle w:val="Pa31"/>
        <w:numPr>
          <w:ilvl w:val="0"/>
          <w:numId w:val="32"/>
        </w:numPr>
        <w:rPr>
          <w:rStyle w:val="A5"/>
          <w:rFonts w:ascii="Times New Roman" w:hAnsi="Times New Roman" w:cs="Arial"/>
          <w:sz w:val="24"/>
          <w:szCs w:val="24"/>
        </w:rPr>
      </w:pPr>
      <w:proofErr w:type="gramStart"/>
      <w:r>
        <w:rPr>
          <w:rStyle w:val="A5"/>
          <w:rFonts w:ascii="Times New Roman" w:hAnsi="Times New Roman"/>
          <w:sz w:val="24"/>
          <w:szCs w:val="24"/>
        </w:rPr>
        <w:t>t</w:t>
      </w:r>
      <w:r w:rsidRPr="00790888">
        <w:rPr>
          <w:rStyle w:val="A5"/>
          <w:rFonts w:ascii="Times New Roman" w:hAnsi="Times New Roman"/>
          <w:sz w:val="24"/>
          <w:szCs w:val="24"/>
        </w:rPr>
        <w:t>hree-dimensional</w:t>
      </w:r>
      <w:proofErr w:type="gramEnd"/>
      <w:r w:rsidRPr="00790888">
        <w:rPr>
          <w:rStyle w:val="A5"/>
          <w:rFonts w:ascii="Times New Roman" w:hAnsi="Times New Roman"/>
          <w:sz w:val="24"/>
          <w:szCs w:val="24"/>
        </w:rPr>
        <w:t xml:space="preserve"> </w:t>
      </w:r>
      <w:r>
        <w:rPr>
          <w:rStyle w:val="A5"/>
          <w:rFonts w:ascii="Times New Roman" w:hAnsi="Times New Roman"/>
          <w:sz w:val="24"/>
          <w:szCs w:val="24"/>
        </w:rPr>
        <w:t>i</w:t>
      </w:r>
      <w:r w:rsidRPr="00790888">
        <w:rPr>
          <w:rStyle w:val="A5"/>
          <w:rFonts w:ascii="Times New Roman" w:hAnsi="Times New Roman"/>
          <w:sz w:val="24"/>
          <w:szCs w:val="24"/>
        </w:rPr>
        <w:t xml:space="preserve">maging </w:t>
      </w:r>
      <w:r>
        <w:rPr>
          <w:rStyle w:val="A5"/>
          <w:rFonts w:ascii="Times New Roman" w:hAnsi="Times New Roman"/>
          <w:sz w:val="24"/>
          <w:szCs w:val="24"/>
        </w:rPr>
        <w:t>which localises</w:t>
      </w:r>
      <w:r w:rsidRPr="00790888">
        <w:rPr>
          <w:rStyle w:val="A5"/>
          <w:rFonts w:ascii="Times New Roman" w:hAnsi="Times New Roman"/>
          <w:sz w:val="24"/>
          <w:szCs w:val="24"/>
        </w:rPr>
        <w:t xml:space="preserve"> the target by comparing a cone-beam computed tomography (CBCT) dataset with the planning computed tomography (CT) dataset from planning.</w:t>
      </w:r>
    </w:p>
    <w:p w:rsidR="00E929F8" w:rsidRPr="00E929F8" w:rsidRDefault="00E929F8" w:rsidP="00625C54">
      <w:pPr>
        <w:pStyle w:val="Pa31"/>
        <w:numPr>
          <w:ilvl w:val="0"/>
          <w:numId w:val="32"/>
        </w:numPr>
        <w:rPr>
          <w:rStyle w:val="A41"/>
          <w:rFonts w:ascii="Times New Roman" w:hAnsi="Times New Roman" w:cs="Times New Roman"/>
          <w:sz w:val="24"/>
          <w:szCs w:val="24"/>
        </w:rPr>
      </w:pPr>
      <w:proofErr w:type="gramStart"/>
      <w:r>
        <w:rPr>
          <w:rStyle w:val="A41"/>
          <w:rFonts w:ascii="Times New Roman" w:hAnsi="Times New Roman" w:cs="Times New Roman"/>
          <w:sz w:val="24"/>
          <w:szCs w:val="24"/>
        </w:rPr>
        <w:t>u</w:t>
      </w:r>
      <w:r w:rsidRPr="00625C54">
        <w:rPr>
          <w:rStyle w:val="A41"/>
          <w:rFonts w:ascii="Times New Roman" w:hAnsi="Times New Roman" w:cs="Times New Roman"/>
          <w:sz w:val="24"/>
          <w:szCs w:val="24"/>
        </w:rPr>
        <w:t>ltrasound</w:t>
      </w:r>
      <w:proofErr w:type="gramEnd"/>
      <w:r w:rsidRPr="00625C54">
        <w:rPr>
          <w:rStyle w:val="A41"/>
          <w:rFonts w:ascii="Times New Roman" w:hAnsi="Times New Roman" w:cs="Times New Roman"/>
          <w:sz w:val="24"/>
          <w:szCs w:val="24"/>
        </w:rPr>
        <w:t xml:space="preserve"> for image guidance </w:t>
      </w:r>
      <w:r>
        <w:rPr>
          <w:rStyle w:val="A41"/>
          <w:rFonts w:ascii="Times New Roman" w:hAnsi="Times New Roman" w:cs="Times New Roman"/>
          <w:sz w:val="24"/>
          <w:szCs w:val="24"/>
        </w:rPr>
        <w:t>which allows</w:t>
      </w:r>
      <w:r w:rsidRPr="00625C54">
        <w:rPr>
          <w:rStyle w:val="A41"/>
          <w:rFonts w:ascii="Times New Roman" w:hAnsi="Times New Roman" w:cs="Times New Roman"/>
          <w:sz w:val="24"/>
          <w:szCs w:val="24"/>
        </w:rPr>
        <w:t xml:space="preserve"> automated scanning from outside of the treatment room.</w:t>
      </w:r>
    </w:p>
    <w:p w:rsidR="00E929F8" w:rsidRPr="00625C54" w:rsidRDefault="00E929F8" w:rsidP="00625C54">
      <w:pPr>
        <w:pStyle w:val="Default"/>
      </w:pPr>
    </w:p>
    <w:p w:rsidR="00E929F8" w:rsidRPr="00625C54" w:rsidRDefault="00E929F8" w:rsidP="00625C54">
      <w:pPr>
        <w:pStyle w:val="Default"/>
      </w:pPr>
      <w:r>
        <w:rPr>
          <w:rStyle w:val="A41"/>
          <w:rFonts w:cs="Times New Roman"/>
          <w:sz w:val="24"/>
          <w:szCs w:val="24"/>
        </w:rPr>
        <w:t>MRI guided IGRT which provides</w:t>
      </w:r>
      <w:r w:rsidRPr="00790888">
        <w:rPr>
          <w:rStyle w:val="A41"/>
          <w:rFonts w:cs="Times New Roman"/>
          <w:sz w:val="24"/>
          <w:szCs w:val="24"/>
        </w:rPr>
        <w:t xml:space="preserve"> real-time image guidance</w:t>
      </w:r>
      <w:r>
        <w:rPr>
          <w:rStyle w:val="A41"/>
          <w:rFonts w:cs="Times New Roman"/>
          <w:sz w:val="24"/>
          <w:szCs w:val="24"/>
        </w:rPr>
        <w:t xml:space="preserve"> is a further option</w:t>
      </w:r>
      <w:r w:rsidRPr="00790888">
        <w:rPr>
          <w:rStyle w:val="A41"/>
          <w:rFonts w:cs="Times New Roman"/>
          <w:sz w:val="24"/>
          <w:szCs w:val="24"/>
        </w:rPr>
        <w:t>.</w:t>
      </w:r>
    </w:p>
    <w:p w:rsidR="00BC1364" w:rsidRPr="00707064" w:rsidRDefault="00BC1364" w:rsidP="00AB3BFC">
      <w:pPr>
        <w:tabs>
          <w:tab w:val="left" w:pos="720"/>
          <w:tab w:val="left" w:pos="1140"/>
        </w:tabs>
        <w:rPr>
          <w:color w:val="0070C0"/>
          <w:szCs w:val="24"/>
        </w:rPr>
      </w:pPr>
    </w:p>
    <w:p w:rsidR="00BC1364" w:rsidRPr="007B32D1" w:rsidRDefault="00BC1364" w:rsidP="00BE3B9C">
      <w:pPr>
        <w:pStyle w:val="Heading1"/>
        <w:numPr>
          <w:ilvl w:val="0"/>
          <w:numId w:val="40"/>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5078F7" w:rsidRDefault="00CB32A1" w:rsidP="005078F7">
      <w:r>
        <w:rPr>
          <w:color w:val="000000"/>
          <w:szCs w:val="24"/>
        </w:rPr>
        <w:t>Consumers considered that t</w:t>
      </w:r>
      <w:r w:rsidR="005078F7">
        <w:rPr>
          <w:color w:val="000000"/>
          <w:szCs w:val="24"/>
        </w:rPr>
        <w:t xml:space="preserve">he proposed intervention could lead to higher costs for the community, specifically in staffing and capital costs. Consumers may reasonably assume the latest treatments are the best treatments. As a lack of information on radiation exposure and </w:t>
      </w:r>
      <w:r w:rsidR="005078F7">
        <w:rPr>
          <w:color w:val="000000"/>
          <w:szCs w:val="24"/>
        </w:rPr>
        <w:lastRenderedPageBreak/>
        <w:t>side effect management</w:t>
      </w:r>
      <w:r w:rsidR="005078F7" w:rsidDel="00B36356">
        <w:rPr>
          <w:color w:val="000000"/>
          <w:szCs w:val="24"/>
        </w:rPr>
        <w:t xml:space="preserve"> </w:t>
      </w:r>
      <w:r w:rsidR="005078F7">
        <w:rPr>
          <w:color w:val="000000"/>
          <w:szCs w:val="24"/>
        </w:rPr>
        <w:t xml:space="preserve">makes it difficult to assess safety and wellbeing impacts, consumers depend on clinicians to provide evidence-based advice on treatment. </w:t>
      </w:r>
    </w:p>
    <w:p w:rsidR="005078F7" w:rsidRDefault="005078F7" w:rsidP="005078F7"/>
    <w:p w:rsidR="005078F7" w:rsidRPr="005B318E" w:rsidRDefault="005078F7" w:rsidP="005078F7">
      <w:pPr>
        <w:rPr>
          <w:szCs w:val="24"/>
        </w:rPr>
      </w:pPr>
      <w:r>
        <w:t xml:space="preserve">The Protocol Advisory Sub-Committee (PASC) received one response to the public consultation request from a professional body (the Royal Australian and New Zealand College of Radiologists) and six responses </w:t>
      </w:r>
      <w:r w:rsidRPr="005B318E">
        <w:rPr>
          <w:szCs w:val="24"/>
        </w:rPr>
        <w:t>from the public.</w:t>
      </w:r>
    </w:p>
    <w:p w:rsidR="005078F7" w:rsidRPr="005B318E" w:rsidRDefault="005078F7" w:rsidP="005078F7">
      <w:pPr>
        <w:rPr>
          <w:szCs w:val="24"/>
        </w:rPr>
      </w:pPr>
    </w:p>
    <w:p w:rsidR="005078F7" w:rsidRPr="005B318E" w:rsidRDefault="005078F7" w:rsidP="005078F7">
      <w:pPr>
        <w:rPr>
          <w:szCs w:val="24"/>
        </w:rPr>
      </w:pPr>
      <w:r w:rsidRPr="005B318E">
        <w:rPr>
          <w:szCs w:val="24"/>
        </w:rPr>
        <w:t xml:space="preserve">Overall, feedback </w:t>
      </w:r>
      <w:r>
        <w:rPr>
          <w:szCs w:val="24"/>
        </w:rPr>
        <w:t>on the proposal</w:t>
      </w:r>
      <w:r w:rsidRPr="005B318E">
        <w:rPr>
          <w:rFonts w:eastAsiaTheme="minorHAnsi"/>
          <w:szCs w:val="24"/>
          <w:lang w:eastAsia="en-US"/>
        </w:rPr>
        <w:t xml:space="preserve"> </w:t>
      </w:r>
      <w:r w:rsidRPr="005B318E">
        <w:rPr>
          <w:szCs w:val="24"/>
        </w:rPr>
        <w:t>was positive</w:t>
      </w:r>
      <w:r>
        <w:t xml:space="preserve"> and did not identify disadvantages. Feedback indicated that the likely usage of such imaging might increase, </w:t>
      </w:r>
      <w:r w:rsidRPr="005B318E">
        <w:rPr>
          <w:szCs w:val="24"/>
        </w:rPr>
        <w:t xml:space="preserve">and it is </w:t>
      </w:r>
      <w:r>
        <w:rPr>
          <w:szCs w:val="24"/>
        </w:rPr>
        <w:t>conceivable that, for some</w:t>
      </w:r>
      <w:r w:rsidRPr="005B318E">
        <w:rPr>
          <w:szCs w:val="24"/>
        </w:rPr>
        <w:t xml:space="preserve"> complex cases</w:t>
      </w:r>
      <w:r>
        <w:rPr>
          <w:szCs w:val="24"/>
        </w:rPr>
        <w:t xml:space="preserve">, such imaging will be used in </w:t>
      </w:r>
      <w:r w:rsidRPr="005B318E">
        <w:rPr>
          <w:szCs w:val="24"/>
        </w:rPr>
        <w:t xml:space="preserve">each treatment session. </w:t>
      </w:r>
    </w:p>
    <w:p w:rsidR="005078F7" w:rsidRPr="005B318E" w:rsidRDefault="005078F7" w:rsidP="005078F7">
      <w:pPr>
        <w:rPr>
          <w:szCs w:val="24"/>
        </w:rPr>
      </w:pPr>
    </w:p>
    <w:p w:rsidR="005078F7" w:rsidRDefault="005078F7" w:rsidP="005078F7">
      <w:r w:rsidRPr="005B318E">
        <w:rPr>
          <w:szCs w:val="24"/>
        </w:rPr>
        <w:t xml:space="preserve">Public consultation feedback </w:t>
      </w:r>
      <w:r>
        <w:rPr>
          <w:szCs w:val="24"/>
        </w:rPr>
        <w:t>generally supported the view that IGRT c</w:t>
      </w:r>
      <w:r w:rsidRPr="005B318E">
        <w:rPr>
          <w:szCs w:val="24"/>
        </w:rPr>
        <w:t xml:space="preserve">ould enable more accurate treatment for the patient and improve patient outcomes. </w:t>
      </w:r>
      <w:r>
        <w:rPr>
          <w:szCs w:val="24"/>
        </w:rPr>
        <w:t>F</w:t>
      </w:r>
      <w:r>
        <w:t>eedback also supported the applicant’s proposal to separate item numbers for multiple planar imaging and volumetric imaging. However, it was suggested that separate fees should be determined because of the fundamental differences between the two.</w:t>
      </w:r>
    </w:p>
    <w:p w:rsidR="00BC1364" w:rsidRPr="00707064" w:rsidRDefault="00BC1364" w:rsidP="00DD2858">
      <w:pPr>
        <w:rPr>
          <w:b/>
          <w:szCs w:val="24"/>
        </w:rPr>
      </w:pPr>
    </w:p>
    <w:p w:rsidR="00BC1364" w:rsidRDefault="00BC1364" w:rsidP="00BE3B9C">
      <w:pPr>
        <w:pStyle w:val="Heading1"/>
        <w:numPr>
          <w:ilvl w:val="0"/>
          <w:numId w:val="40"/>
        </w:numPr>
        <w:ind w:hanging="720"/>
      </w:pPr>
      <w:r w:rsidRPr="00D90A38">
        <w:t>Proposed intervention’s place in clinical management</w:t>
      </w:r>
    </w:p>
    <w:p w:rsidR="00BC1364" w:rsidRDefault="00BC1364" w:rsidP="00DD2858">
      <w:pPr>
        <w:rPr>
          <w:color w:val="3366FF"/>
          <w:szCs w:val="24"/>
        </w:rPr>
      </w:pPr>
    </w:p>
    <w:p w:rsidR="00CB32A1" w:rsidRDefault="00CB32A1" w:rsidP="00CB32A1">
      <w:pPr>
        <w:spacing w:after="240"/>
      </w:pPr>
      <w:r>
        <w:t xml:space="preserve">IGRT </w:t>
      </w:r>
      <w:r w:rsidR="00E929F8">
        <w:t>is a process that enables images to be captured immediately before</w:t>
      </w:r>
      <w:r>
        <w:t xml:space="preserve"> or during </w:t>
      </w:r>
      <w:r w:rsidR="00E465BD">
        <w:t>the</w:t>
      </w:r>
      <w:r>
        <w:t xml:space="preserve"> delivery of </w:t>
      </w:r>
      <w:r w:rsidR="00C24BC1">
        <w:t xml:space="preserve">external beam </w:t>
      </w:r>
      <w:r w:rsidR="00BE01B4">
        <w:t>radiation</w:t>
      </w:r>
      <w:r w:rsidR="00C24BC1">
        <w:t xml:space="preserve"> therapy (</w:t>
      </w:r>
      <w:r w:rsidR="00BF50C5">
        <w:t>EBRT</w:t>
      </w:r>
      <w:r w:rsidR="00C24BC1">
        <w:t>)</w:t>
      </w:r>
      <w:r w:rsidR="00E465BD">
        <w:t xml:space="preserve">.  It is used to adjust patient position to maximise dose to </w:t>
      </w:r>
      <w:r w:rsidR="00C24BC1">
        <w:t>target volumes</w:t>
      </w:r>
      <w:r>
        <w:t xml:space="preserve"> and improve accuracy of the radiation therapy.  This has the aim of increasing the dose of radiation delivered to the tumour, whilst reducing the dose of radiation delivered to normal tissue around the tumour.</w:t>
      </w:r>
    </w:p>
    <w:p w:rsidR="00CB32A1" w:rsidRDefault="00CB32A1" w:rsidP="00CB32A1">
      <w:pPr>
        <w:spacing w:after="240"/>
      </w:pPr>
      <w:r>
        <w:t xml:space="preserve">The IGRT processes proposed in this application involve multi-plane image sets or volumetric data sets being obtained at the planning stages and again during treatment delivery. Analysis, interpretation and treatment alignment can be adjusted during treatment and in accordance with narrower margins, where appropriate. Review and assessment of the images enables trained staff (using specialised software) to make adjustments to the patient or machine positional parameters, ensuring the radiation is precisely focussed on the tumour. </w:t>
      </w:r>
      <w:r w:rsidR="00E465BD">
        <w:t>It is claimed that t</w:t>
      </w:r>
      <w:r>
        <w:t>his maximises the prescribed and delivered dose to the target and minimises radiation from EBRT to normal tissues close to the target, providing the opportunity to gain maximum tumour control and decrease possible side effects associated with the treatment.</w:t>
      </w:r>
    </w:p>
    <w:p w:rsidR="005078F7" w:rsidRDefault="00CB32A1" w:rsidP="00625C54">
      <w:pPr>
        <w:spacing w:after="240"/>
        <w:rPr>
          <w:szCs w:val="24"/>
        </w:rPr>
      </w:pPr>
      <w:r w:rsidRPr="00BF062D">
        <w:t>IGRT is indicated for the treatment of a range of cancers</w:t>
      </w:r>
      <w:r>
        <w:t>,</w:t>
      </w:r>
      <w:r w:rsidRPr="00BF062D">
        <w:t xml:space="preserve"> including (but not limited to) head and neck, prostate, bladder and lung cancers. </w:t>
      </w:r>
      <w:r w:rsidR="00E465BD">
        <w:t>I</w:t>
      </w:r>
      <w:r w:rsidR="005078F7">
        <w:t xml:space="preserve">GRT is </w:t>
      </w:r>
      <w:r w:rsidR="00E465BD">
        <w:t xml:space="preserve">currently </w:t>
      </w:r>
      <w:r w:rsidR="005078F7">
        <w:t xml:space="preserve">funded </w:t>
      </w:r>
      <w:r w:rsidR="00E465BD">
        <w:t>under existing</w:t>
      </w:r>
      <w:r w:rsidR="005078F7">
        <w:t xml:space="preserve"> MBS</w:t>
      </w:r>
      <w:r w:rsidR="00E465BD">
        <w:t xml:space="preserve"> items for treatment verification. T</w:t>
      </w:r>
      <w:r w:rsidR="005078F7">
        <w:t xml:space="preserve">he application proposes that IGRT should only be used in conjunction with </w:t>
      </w:r>
      <w:r w:rsidR="005078F7" w:rsidRPr="00513570">
        <w:t>3DCRT</w:t>
      </w:r>
      <w:r w:rsidR="005078F7">
        <w:t xml:space="preserve"> or </w:t>
      </w:r>
      <w:r w:rsidR="005078F7" w:rsidRPr="00513570">
        <w:t>IMRT</w:t>
      </w:r>
      <w:r w:rsidR="005078F7">
        <w:t xml:space="preserve"> and is intended to replace the existing practice of using verification scans </w:t>
      </w:r>
      <w:r>
        <w:t xml:space="preserve">(currently claimed under </w:t>
      </w:r>
      <w:r w:rsidRPr="00B266A1">
        <w:t>MBS item</w:t>
      </w:r>
      <w:r>
        <w:t>s</w:t>
      </w:r>
      <w:r w:rsidRPr="00B266A1">
        <w:t xml:space="preserve"> 15705 </w:t>
      </w:r>
      <w:r>
        <w:t>or</w:t>
      </w:r>
      <w:r w:rsidRPr="00B266A1">
        <w:t xml:space="preserve"> 15710</w:t>
      </w:r>
      <w:r>
        <w:t xml:space="preserve">) </w:t>
      </w:r>
      <w:r w:rsidR="005078F7">
        <w:t>after radiation delivery.</w:t>
      </w:r>
    </w:p>
    <w:p w:rsidR="009A77E8" w:rsidRDefault="009A77E8">
      <w:pPr>
        <w:rPr>
          <w:szCs w:val="24"/>
        </w:rPr>
      </w:pPr>
      <w:r>
        <w:rPr>
          <w:szCs w:val="24"/>
        </w:rPr>
        <w:br w:type="page"/>
      </w:r>
    </w:p>
    <w:p w:rsidR="005078F7" w:rsidRDefault="005078F7" w:rsidP="005078F7">
      <w:pPr>
        <w:tabs>
          <w:tab w:val="left" w:pos="720"/>
          <w:tab w:val="left" w:pos="1140"/>
        </w:tabs>
        <w:spacing w:before="120"/>
        <w:rPr>
          <w:szCs w:val="24"/>
        </w:rPr>
      </w:pPr>
      <w:r>
        <w:rPr>
          <w:szCs w:val="24"/>
        </w:rPr>
        <w:lastRenderedPageBreak/>
        <w:t xml:space="preserve">Figure 1 </w:t>
      </w:r>
      <w:r w:rsidR="00102777">
        <w:rPr>
          <w:szCs w:val="24"/>
        </w:rPr>
        <w:t xml:space="preserve">below </w:t>
      </w:r>
      <w:r>
        <w:rPr>
          <w:szCs w:val="24"/>
        </w:rPr>
        <w:t>shows the clinical management algorithm for the proposed new intervention:</w:t>
      </w:r>
    </w:p>
    <w:p w:rsidR="00BC1364" w:rsidRDefault="00BC1364" w:rsidP="00DD2858">
      <w:pPr>
        <w:rPr>
          <w:color w:val="3366FF"/>
          <w:szCs w:val="24"/>
        </w:rPr>
      </w:pPr>
    </w:p>
    <w:p w:rsidR="001C5AD2" w:rsidRDefault="001C5AD2" w:rsidP="00DD2858">
      <w:pPr>
        <w:rPr>
          <w:color w:val="3366FF"/>
          <w:szCs w:val="24"/>
        </w:rPr>
      </w:pPr>
      <w:r>
        <w:rPr>
          <w:noProof/>
        </w:rPr>
        <mc:AlternateContent>
          <mc:Choice Requires="wpg">
            <w:drawing>
              <wp:inline distT="0" distB="0" distL="0" distR="0" wp14:anchorId="6045AFA0" wp14:editId="6C6F7978">
                <wp:extent cx="5731510" cy="7884795"/>
                <wp:effectExtent l="0" t="0" r="0" b="1905"/>
                <wp:docPr id="16" name="Group 2" descr="Clinical decision tre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31510" cy="7884795"/>
                          <a:chOff x="1440" y="895"/>
                          <a:chExt cx="9754" cy="13418"/>
                        </a:xfrm>
                      </wpg:grpSpPr>
                      <wps:wsp>
                        <wps:cNvPr id="17" name="AutoShape 3"/>
                        <wps:cNvSpPr>
                          <a:spLocks noChangeAspect="1" noChangeArrowheads="1" noTextEdit="1"/>
                        </wps:cNvSpPr>
                        <wps:spPr bwMode="auto">
                          <a:xfrm>
                            <a:off x="1440" y="895"/>
                            <a:ext cx="9754" cy="13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4"/>
                        <wps:cNvSpPr txBox="1">
                          <a:spLocks noChangeArrowheads="1"/>
                        </wps:cNvSpPr>
                        <wps:spPr bwMode="auto">
                          <a:xfrm>
                            <a:off x="4054" y="1063"/>
                            <a:ext cx="3233" cy="398"/>
                          </a:xfrm>
                          <a:prstGeom prst="rect">
                            <a:avLst/>
                          </a:prstGeom>
                          <a:solidFill>
                            <a:srgbClr val="FFFFFF"/>
                          </a:solidFill>
                          <a:ln w="9525">
                            <a:solidFill>
                              <a:srgbClr val="000000"/>
                            </a:solidFill>
                            <a:miter lim="800000"/>
                            <a:headEnd/>
                            <a:tailEnd/>
                          </a:ln>
                        </wps:spPr>
                        <wps:txbx>
                          <w:txbxContent>
                            <w:p w:rsidR="004E0185" w:rsidRDefault="004E0185" w:rsidP="001C5AD2">
                              <w:pPr>
                                <w:ind w:hanging="720"/>
                                <w:jc w:val="center"/>
                                <w:rPr>
                                  <w:sz w:val="18"/>
                                  <w:szCs w:val="18"/>
                                </w:rPr>
                              </w:pPr>
                              <w:r>
                                <w:rPr>
                                  <w:sz w:val="18"/>
                                  <w:szCs w:val="18"/>
                                </w:rPr>
                                <w:t>Patients diagnosed with cancer</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1784" y="13294"/>
                            <a:ext cx="9106" cy="828"/>
                          </a:xfrm>
                          <a:prstGeom prst="rect">
                            <a:avLst/>
                          </a:prstGeom>
                          <a:solidFill>
                            <a:srgbClr val="FFFFFF"/>
                          </a:solidFill>
                          <a:ln w="9525">
                            <a:solidFill>
                              <a:srgbClr val="000000"/>
                            </a:solidFill>
                            <a:miter lim="800000"/>
                            <a:headEnd/>
                            <a:tailEnd/>
                          </a:ln>
                        </wps:spPr>
                        <wps:txbx>
                          <w:txbxContent>
                            <w:p w:rsidR="004E0185" w:rsidRDefault="004E0185" w:rsidP="001C5AD2">
                              <w:pPr>
                                <w:jc w:val="center"/>
                                <w:rPr>
                                  <w:sz w:val="18"/>
                                  <w:szCs w:val="18"/>
                                </w:rPr>
                              </w:pPr>
                              <w:r>
                                <w:rPr>
                                  <w:sz w:val="18"/>
                                  <w:szCs w:val="18"/>
                                </w:rPr>
                                <w:t>Image guided primary outcomes: toxicity, tumour control, Progression free survival, overall survival, quality of life</w:t>
                              </w:r>
                            </w:p>
                          </w:txbxContent>
                        </wps:txbx>
                        <wps:bodyPr rot="0" vert="horz" wrap="square" lIns="91440" tIns="45720" rIns="91440" bIns="45720" anchor="t" anchorCtr="0" upright="1">
                          <a:noAutofit/>
                        </wps:bodyPr>
                      </wps:wsp>
                      <wps:wsp>
                        <wps:cNvPr id="20" name="AutoShape 6"/>
                        <wps:cNvSpPr>
                          <a:spLocks noChangeArrowheads="1"/>
                        </wps:cNvSpPr>
                        <wps:spPr bwMode="auto">
                          <a:xfrm>
                            <a:off x="1950" y="2308"/>
                            <a:ext cx="2315" cy="1197"/>
                          </a:xfrm>
                          <a:prstGeom prst="diamond">
                            <a:avLst/>
                          </a:prstGeom>
                          <a:solidFill>
                            <a:srgbClr val="FFFFFF"/>
                          </a:solidFill>
                          <a:ln w="9525">
                            <a:solidFill>
                              <a:srgbClr val="000000"/>
                            </a:solidFill>
                            <a:miter lim="800000"/>
                            <a:headEnd/>
                            <a:tailEnd/>
                          </a:ln>
                        </wps:spPr>
                        <wps:txbx>
                          <w:txbxContent>
                            <w:p w:rsidR="004E0185" w:rsidRDefault="004E0185" w:rsidP="001C5AD2">
                              <w:pPr>
                                <w:rPr>
                                  <w:sz w:val="18"/>
                                  <w:szCs w:val="18"/>
                                </w:rPr>
                              </w:pPr>
                              <w:r>
                                <w:rPr>
                                  <w:sz w:val="18"/>
                                  <w:szCs w:val="18"/>
                                </w:rPr>
                                <w:t>Treatment decision</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6613" y="2471"/>
                            <a:ext cx="2779" cy="838"/>
                          </a:xfrm>
                          <a:prstGeom prst="rect">
                            <a:avLst/>
                          </a:prstGeom>
                          <a:solidFill>
                            <a:srgbClr val="FFFFFF"/>
                          </a:solidFill>
                          <a:ln w="9525">
                            <a:solidFill>
                              <a:srgbClr val="000000"/>
                            </a:solidFill>
                            <a:miter lim="800000"/>
                            <a:headEnd/>
                            <a:tailEnd/>
                          </a:ln>
                        </wps:spPr>
                        <wps:txbx>
                          <w:txbxContent>
                            <w:p w:rsidR="004E0185" w:rsidRPr="00870F85" w:rsidRDefault="004E0185" w:rsidP="001C5AD2">
                              <w:pPr>
                                <w:ind w:hanging="142"/>
                                <w:jc w:val="center"/>
                                <w:rPr>
                                  <w:sz w:val="16"/>
                                  <w:szCs w:val="16"/>
                                </w:rPr>
                              </w:pPr>
                              <w:r w:rsidRPr="00870F85">
                                <w:rPr>
                                  <w:sz w:val="16"/>
                                  <w:szCs w:val="16"/>
                                </w:rPr>
                                <w:t>Surgery, chemotherapy, active surveillance, no treatment or other treatment</w:t>
                              </w:r>
                            </w:p>
                          </w:txbxContent>
                        </wps:txbx>
                        <wps:bodyPr rot="0" vert="horz" wrap="square" lIns="91440" tIns="45720" rIns="91440" bIns="45720" anchor="t" anchorCtr="0" upright="1">
                          <a:noAutofit/>
                        </wps:bodyPr>
                      </wps:wsp>
                      <wps:wsp>
                        <wps:cNvPr id="22" name="AutoShape 8"/>
                        <wps:cNvCnPr>
                          <a:cxnSpLocks noChangeShapeType="1"/>
                          <a:stCxn id="20" idx="3"/>
                          <a:endCxn id="21" idx="1"/>
                        </wps:cNvCnPr>
                        <wps:spPr bwMode="auto">
                          <a:xfrm flipV="1">
                            <a:off x="4265" y="2890"/>
                            <a:ext cx="2348"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9"/>
                        <wps:cNvSpPr>
                          <a:spLocks noChangeArrowheads="1"/>
                        </wps:cNvSpPr>
                        <wps:spPr bwMode="auto">
                          <a:xfrm>
                            <a:off x="4940" y="3880"/>
                            <a:ext cx="2798" cy="427"/>
                          </a:xfrm>
                          <a:prstGeom prst="rect">
                            <a:avLst/>
                          </a:prstGeom>
                          <a:solidFill>
                            <a:srgbClr val="FFFFFF"/>
                          </a:solidFill>
                          <a:ln w="9525">
                            <a:solidFill>
                              <a:srgbClr val="000000"/>
                            </a:solidFill>
                            <a:miter lim="800000"/>
                            <a:headEnd/>
                            <a:tailEnd/>
                          </a:ln>
                        </wps:spPr>
                        <wps:txbx>
                          <w:txbxContent>
                            <w:p w:rsidR="004E0185" w:rsidRDefault="004E0185" w:rsidP="001C5AD2">
                              <w:pPr>
                                <w:jc w:val="center"/>
                                <w:rPr>
                                  <w:sz w:val="18"/>
                                  <w:szCs w:val="18"/>
                                </w:rPr>
                              </w:pPr>
                              <w:r>
                                <w:rPr>
                                  <w:sz w:val="18"/>
                                  <w:szCs w:val="18"/>
                                </w:rPr>
                                <w:t>Radiation therapy</w:t>
                              </w:r>
                            </w:p>
                          </w:txbxContent>
                        </wps:txbx>
                        <wps:bodyPr rot="0" vert="horz" wrap="square" lIns="91440" tIns="45720" rIns="91440" bIns="45720" anchor="t" anchorCtr="0" upright="1">
                          <a:noAutofit/>
                        </wps:bodyPr>
                      </wps:wsp>
                      <wps:wsp>
                        <wps:cNvPr id="24" name="AutoShape 10"/>
                        <wps:cNvCnPr>
                          <a:cxnSpLocks noChangeShapeType="1"/>
                          <a:stCxn id="18" idx="2"/>
                          <a:endCxn id="20" idx="0"/>
                        </wps:cNvCnPr>
                        <wps:spPr bwMode="auto">
                          <a:xfrm rot="5400000">
                            <a:off x="3966" y="603"/>
                            <a:ext cx="847" cy="256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11"/>
                        <wps:cNvCnPr>
                          <a:cxnSpLocks noChangeShapeType="1"/>
                          <a:stCxn id="20" idx="2"/>
                          <a:endCxn id="23" idx="0"/>
                        </wps:cNvCnPr>
                        <wps:spPr bwMode="auto">
                          <a:xfrm rot="16200000" flipH="1">
                            <a:off x="4536" y="2077"/>
                            <a:ext cx="375" cy="323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Text Box 12"/>
                        <wps:cNvSpPr txBox="1">
                          <a:spLocks noChangeArrowheads="1"/>
                        </wps:cNvSpPr>
                        <wps:spPr bwMode="auto">
                          <a:xfrm>
                            <a:off x="8301" y="4708"/>
                            <a:ext cx="2666" cy="390"/>
                          </a:xfrm>
                          <a:prstGeom prst="rect">
                            <a:avLst/>
                          </a:prstGeom>
                          <a:solidFill>
                            <a:srgbClr val="FFFFFF"/>
                          </a:solidFill>
                          <a:ln w="9525">
                            <a:solidFill>
                              <a:srgbClr val="000000"/>
                            </a:solidFill>
                            <a:miter lim="800000"/>
                            <a:headEnd/>
                            <a:tailEnd/>
                          </a:ln>
                        </wps:spPr>
                        <wps:txbx>
                          <w:txbxContent>
                            <w:p w:rsidR="004E0185" w:rsidRPr="00B52B03" w:rsidRDefault="004E0185" w:rsidP="001C5AD2">
                              <w:pPr>
                                <w:rPr>
                                  <w:b/>
                                  <w:sz w:val="16"/>
                                  <w:szCs w:val="16"/>
                                </w:rPr>
                              </w:pPr>
                              <w:r w:rsidRPr="00B52B03">
                                <w:rPr>
                                  <w:b/>
                                  <w:sz w:val="16"/>
                                  <w:szCs w:val="16"/>
                                </w:rPr>
                                <w:t>IGRT volumetric imaging</w:t>
                              </w:r>
                            </w:p>
                          </w:txbxContent>
                        </wps:txbx>
                        <wps:bodyPr rot="0" vert="horz" wrap="square" lIns="91440" tIns="45720" rIns="91440" bIns="45720" anchor="t" anchorCtr="0" upright="1">
                          <a:noAutofit/>
                        </wps:bodyPr>
                      </wps:wsp>
                      <wps:wsp>
                        <wps:cNvPr id="27" name="Rectangle 13"/>
                        <wps:cNvSpPr>
                          <a:spLocks noChangeArrowheads="1"/>
                        </wps:cNvSpPr>
                        <wps:spPr bwMode="auto">
                          <a:xfrm>
                            <a:off x="8301" y="5499"/>
                            <a:ext cx="2666" cy="578"/>
                          </a:xfrm>
                          <a:prstGeom prst="rect">
                            <a:avLst/>
                          </a:prstGeom>
                          <a:solidFill>
                            <a:srgbClr val="FFFFFF"/>
                          </a:solidFill>
                          <a:ln w="9525">
                            <a:solidFill>
                              <a:srgbClr val="000000"/>
                            </a:solidFill>
                            <a:miter lim="800000"/>
                            <a:headEnd/>
                            <a:tailEnd/>
                          </a:ln>
                        </wps:spPr>
                        <wps:txbx>
                          <w:txbxContent>
                            <w:p w:rsidR="004E0185" w:rsidRPr="005E27B4" w:rsidRDefault="004E0185" w:rsidP="001C5AD2">
                              <w:pPr>
                                <w:jc w:val="center"/>
                                <w:rPr>
                                  <w:sz w:val="18"/>
                                  <w:szCs w:val="18"/>
                                </w:rPr>
                              </w:pPr>
                              <w:r>
                                <w:rPr>
                                  <w:sz w:val="18"/>
                                  <w:szCs w:val="18"/>
                                </w:rPr>
                                <w:t>Patient data acquisition (CT, MRI, PET)</w:t>
                              </w:r>
                            </w:p>
                          </w:txbxContent>
                        </wps:txbx>
                        <wps:bodyPr rot="0" vert="horz" wrap="square" lIns="91440" tIns="45720" rIns="91440" bIns="45720" anchor="t" anchorCtr="0" upright="1">
                          <a:noAutofit/>
                        </wps:bodyPr>
                      </wps:wsp>
                      <wps:wsp>
                        <wps:cNvPr id="28" name="Text Box 14"/>
                        <wps:cNvSpPr txBox="1">
                          <a:spLocks noChangeArrowheads="1"/>
                        </wps:cNvSpPr>
                        <wps:spPr bwMode="auto">
                          <a:xfrm>
                            <a:off x="1784" y="4715"/>
                            <a:ext cx="2571" cy="383"/>
                          </a:xfrm>
                          <a:prstGeom prst="rect">
                            <a:avLst/>
                          </a:prstGeom>
                          <a:solidFill>
                            <a:srgbClr val="FFFFFF"/>
                          </a:solidFill>
                          <a:ln w="9525">
                            <a:solidFill>
                              <a:srgbClr val="000000"/>
                            </a:solidFill>
                            <a:miter lim="800000"/>
                            <a:headEnd/>
                            <a:tailEnd/>
                          </a:ln>
                        </wps:spPr>
                        <wps:txbx>
                          <w:txbxContent>
                            <w:p w:rsidR="004E0185" w:rsidRPr="00B52B03" w:rsidRDefault="004E0185" w:rsidP="001C5AD2">
                              <w:pPr>
                                <w:ind w:left="142"/>
                                <w:rPr>
                                  <w:b/>
                                  <w:sz w:val="16"/>
                                  <w:szCs w:val="16"/>
                                </w:rPr>
                              </w:pPr>
                              <w:r w:rsidRPr="00B52B03">
                                <w:rPr>
                                  <w:b/>
                                  <w:sz w:val="16"/>
                                  <w:szCs w:val="16"/>
                                </w:rPr>
                                <w:t xml:space="preserve">Post treatment verification </w:t>
                              </w:r>
                            </w:p>
                          </w:txbxContent>
                        </wps:txbx>
                        <wps:bodyPr rot="0" vert="horz" wrap="square" lIns="91440" tIns="45720" rIns="91440" bIns="45720" anchor="t" anchorCtr="0" upright="1">
                          <a:noAutofit/>
                        </wps:bodyPr>
                      </wps:wsp>
                      <wps:wsp>
                        <wps:cNvPr id="29" name="Rectangle 15"/>
                        <wps:cNvSpPr>
                          <a:spLocks noChangeArrowheads="1"/>
                        </wps:cNvSpPr>
                        <wps:spPr bwMode="auto">
                          <a:xfrm>
                            <a:off x="1784" y="5499"/>
                            <a:ext cx="2571" cy="578"/>
                          </a:xfrm>
                          <a:prstGeom prst="rect">
                            <a:avLst/>
                          </a:prstGeom>
                          <a:solidFill>
                            <a:srgbClr val="FFFFFF"/>
                          </a:solidFill>
                          <a:ln w="9525">
                            <a:solidFill>
                              <a:srgbClr val="000000"/>
                            </a:solidFill>
                            <a:miter lim="800000"/>
                            <a:headEnd/>
                            <a:tailEnd/>
                          </a:ln>
                        </wps:spPr>
                        <wps:txbx>
                          <w:txbxContent>
                            <w:p w:rsidR="004E0185" w:rsidRDefault="004E0185" w:rsidP="001C5AD2">
                              <w:pPr>
                                <w:ind w:left="142"/>
                                <w:jc w:val="center"/>
                                <w:rPr>
                                  <w:sz w:val="18"/>
                                  <w:szCs w:val="18"/>
                                </w:rPr>
                              </w:pPr>
                              <w:r>
                                <w:rPr>
                                  <w:sz w:val="18"/>
                                  <w:szCs w:val="18"/>
                                </w:rPr>
                                <w:t>Patient data acquisition (CT, MRI, PET)</w:t>
                              </w:r>
                            </w:p>
                            <w:p w:rsidR="004E0185" w:rsidRDefault="004E0185" w:rsidP="001C5AD2">
                              <w:pPr>
                                <w:jc w:val="center"/>
                              </w:pPr>
                            </w:p>
                          </w:txbxContent>
                        </wps:txbx>
                        <wps:bodyPr rot="0" vert="horz" wrap="square" lIns="91440" tIns="45720" rIns="91440" bIns="45720" anchor="t" anchorCtr="0" upright="1">
                          <a:noAutofit/>
                        </wps:bodyPr>
                      </wps:wsp>
                      <wps:wsp>
                        <wps:cNvPr id="30" name="Rectangle 16"/>
                        <wps:cNvSpPr>
                          <a:spLocks noChangeArrowheads="1"/>
                        </wps:cNvSpPr>
                        <wps:spPr bwMode="auto">
                          <a:xfrm>
                            <a:off x="1785" y="6479"/>
                            <a:ext cx="2570" cy="1026"/>
                          </a:xfrm>
                          <a:prstGeom prst="rect">
                            <a:avLst/>
                          </a:prstGeom>
                          <a:solidFill>
                            <a:srgbClr val="FFFFFF"/>
                          </a:solidFill>
                          <a:ln w="9525">
                            <a:solidFill>
                              <a:srgbClr val="000000"/>
                            </a:solidFill>
                            <a:miter lim="800000"/>
                            <a:headEnd/>
                            <a:tailEnd/>
                          </a:ln>
                        </wps:spPr>
                        <wps:txbx>
                          <w:txbxContent>
                            <w:p w:rsidR="004E0185" w:rsidRDefault="004E0185" w:rsidP="001C5AD2">
                              <w:pPr>
                                <w:ind w:left="142"/>
                                <w:jc w:val="center"/>
                                <w:rPr>
                                  <w:sz w:val="18"/>
                                  <w:szCs w:val="18"/>
                                </w:rPr>
                              </w:pPr>
                              <w:r>
                                <w:rPr>
                                  <w:sz w:val="18"/>
                                  <w:szCs w:val="18"/>
                                </w:rPr>
                                <w:t>Contouring, prescription – Larger margins to account for uncertainties</w:t>
                              </w:r>
                            </w:p>
                            <w:p w:rsidR="004E0185" w:rsidRDefault="004E0185" w:rsidP="001C5AD2">
                              <w:pPr>
                                <w:jc w:val="center"/>
                              </w:pPr>
                            </w:p>
                          </w:txbxContent>
                        </wps:txbx>
                        <wps:bodyPr rot="0" vert="horz" wrap="square" lIns="91440" tIns="45720" rIns="91440" bIns="45720" anchor="t" anchorCtr="0" upright="1">
                          <a:noAutofit/>
                        </wps:bodyPr>
                      </wps:wsp>
                      <wps:wsp>
                        <wps:cNvPr id="31" name="Rectangle 17"/>
                        <wps:cNvSpPr>
                          <a:spLocks noChangeArrowheads="1"/>
                        </wps:cNvSpPr>
                        <wps:spPr bwMode="auto">
                          <a:xfrm>
                            <a:off x="1785" y="8075"/>
                            <a:ext cx="2570" cy="1475"/>
                          </a:xfrm>
                          <a:prstGeom prst="rect">
                            <a:avLst/>
                          </a:prstGeom>
                          <a:solidFill>
                            <a:srgbClr val="FFFFFF"/>
                          </a:solidFill>
                          <a:ln w="9525">
                            <a:solidFill>
                              <a:srgbClr val="000000"/>
                            </a:solidFill>
                            <a:miter lim="800000"/>
                            <a:headEnd/>
                            <a:tailEnd/>
                          </a:ln>
                        </wps:spPr>
                        <wps:txbx>
                          <w:txbxContent>
                            <w:p w:rsidR="004E0185" w:rsidRDefault="004E0185" w:rsidP="001C5AD2">
                              <w:pPr>
                                <w:ind w:left="142"/>
                                <w:rPr>
                                  <w:sz w:val="18"/>
                                  <w:szCs w:val="18"/>
                                </w:rPr>
                              </w:pPr>
                              <w:r>
                                <w:rPr>
                                  <w:sz w:val="18"/>
                                  <w:szCs w:val="18"/>
                                </w:rPr>
                                <w:t>Generation of reference images and tolerance/action levels (</w:t>
                              </w:r>
                              <w:r w:rsidRPr="00750991">
                                <w:rPr>
                                  <w:b/>
                                  <w:sz w:val="18"/>
                                  <w:szCs w:val="18"/>
                                </w:rPr>
                                <w:t>larger action levels, 5-10mm curative; &gt;10mm palliative</w:t>
                              </w:r>
                              <w:r>
                                <w:rPr>
                                  <w:sz w:val="18"/>
                                  <w:szCs w:val="18"/>
                                </w:rPr>
                                <w:t xml:space="preserve">) </w:t>
                              </w:r>
                            </w:p>
                            <w:p w:rsidR="004E0185" w:rsidRDefault="004E0185" w:rsidP="001C5AD2">
                              <w:pPr>
                                <w:jc w:val="center"/>
                              </w:pPr>
                            </w:p>
                          </w:txbxContent>
                        </wps:txbx>
                        <wps:bodyPr rot="0" vert="horz" wrap="square" lIns="91440" tIns="45720" rIns="91440" bIns="45720" anchor="t" anchorCtr="0" upright="1">
                          <a:noAutofit/>
                        </wps:bodyPr>
                      </wps:wsp>
                      <wps:wsp>
                        <wps:cNvPr id="32" name="AutoShape 18"/>
                        <wps:cNvCnPr>
                          <a:cxnSpLocks noChangeShapeType="1"/>
                          <a:stCxn id="23" idx="1"/>
                          <a:endCxn id="28" idx="0"/>
                        </wps:cNvCnPr>
                        <wps:spPr bwMode="auto">
                          <a:xfrm rot="10800000" flipV="1">
                            <a:off x="3070" y="4094"/>
                            <a:ext cx="1870" cy="62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9"/>
                        <wps:cNvCnPr>
                          <a:cxnSpLocks noChangeShapeType="1"/>
                          <a:endCxn id="26" idx="0"/>
                        </wps:cNvCnPr>
                        <wps:spPr bwMode="auto">
                          <a:xfrm>
                            <a:off x="7738" y="4094"/>
                            <a:ext cx="1896" cy="61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20"/>
                        <wps:cNvSpPr txBox="1">
                          <a:spLocks noChangeArrowheads="1"/>
                        </wps:cNvSpPr>
                        <wps:spPr bwMode="auto">
                          <a:xfrm>
                            <a:off x="1786" y="9833"/>
                            <a:ext cx="2569" cy="992"/>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jc w:val="center"/>
                                <w:rPr>
                                  <w:i/>
                                  <w:sz w:val="18"/>
                                  <w:szCs w:val="18"/>
                                </w:rPr>
                              </w:pPr>
                              <w:r w:rsidRPr="000D2F91">
                                <w:rPr>
                                  <w:i/>
                                  <w:sz w:val="18"/>
                                  <w:szCs w:val="18"/>
                                </w:rPr>
                                <w:t xml:space="preserve">Verification imaging </w:t>
                              </w:r>
                              <w:r w:rsidRPr="000D2F91">
                                <w:rPr>
                                  <w:b/>
                                  <w:i/>
                                  <w:sz w:val="18"/>
                                  <w:szCs w:val="18"/>
                                </w:rPr>
                                <w:t>daily in week one</w:t>
                              </w:r>
                              <w:r w:rsidRPr="000D2F91">
                                <w:rPr>
                                  <w:i/>
                                  <w:sz w:val="18"/>
                                  <w:szCs w:val="18"/>
                                </w:rPr>
                                <w:t>, with off-line review to determine random errors</w:t>
                              </w:r>
                            </w:p>
                          </w:txbxContent>
                        </wps:txbx>
                        <wps:bodyPr rot="0" vert="horz" wrap="square" lIns="91440" tIns="45720" rIns="91440" bIns="45720" anchor="t" anchorCtr="0" upright="1">
                          <a:noAutofit/>
                        </wps:bodyPr>
                      </wps:wsp>
                      <wps:wsp>
                        <wps:cNvPr id="35" name="AutoShape 21"/>
                        <wps:cNvCnPr>
                          <a:cxnSpLocks noChangeShapeType="1"/>
                        </wps:cNvCnPr>
                        <wps:spPr bwMode="auto">
                          <a:xfrm flipH="1">
                            <a:off x="3071" y="6077"/>
                            <a:ext cx="2"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2"/>
                        <wps:cNvCnPr>
                          <a:cxnSpLocks noChangeShapeType="1"/>
                          <a:stCxn id="26" idx="2"/>
                          <a:endCxn id="27" idx="0"/>
                        </wps:cNvCnPr>
                        <wps:spPr bwMode="auto">
                          <a:xfrm>
                            <a:off x="9634" y="5098"/>
                            <a:ext cx="1"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23"/>
                        <wps:cNvSpPr txBox="1">
                          <a:spLocks noChangeArrowheads="1"/>
                        </wps:cNvSpPr>
                        <wps:spPr bwMode="auto">
                          <a:xfrm>
                            <a:off x="4940" y="4715"/>
                            <a:ext cx="2798" cy="383"/>
                          </a:xfrm>
                          <a:prstGeom prst="rect">
                            <a:avLst/>
                          </a:prstGeom>
                          <a:solidFill>
                            <a:srgbClr val="FFFFFF"/>
                          </a:solidFill>
                          <a:ln w="9525">
                            <a:solidFill>
                              <a:srgbClr val="000000"/>
                            </a:solidFill>
                            <a:miter lim="800000"/>
                            <a:headEnd/>
                            <a:tailEnd/>
                          </a:ln>
                        </wps:spPr>
                        <wps:txbx>
                          <w:txbxContent>
                            <w:p w:rsidR="004E0185" w:rsidRPr="00B52B03" w:rsidRDefault="004E0185" w:rsidP="001C5AD2">
                              <w:pPr>
                                <w:ind w:left="142"/>
                                <w:rPr>
                                  <w:b/>
                                  <w:sz w:val="16"/>
                                  <w:szCs w:val="16"/>
                                </w:rPr>
                              </w:pPr>
                              <w:r w:rsidRPr="00B52B03">
                                <w:rPr>
                                  <w:b/>
                                  <w:sz w:val="16"/>
                                  <w:szCs w:val="16"/>
                                </w:rPr>
                                <w:t>IGRT planar imaging</w:t>
                              </w:r>
                            </w:p>
                          </w:txbxContent>
                        </wps:txbx>
                        <wps:bodyPr rot="0" vert="horz" wrap="square" lIns="91440" tIns="45720" rIns="91440" bIns="45720" anchor="t" anchorCtr="0" upright="1">
                          <a:noAutofit/>
                        </wps:bodyPr>
                      </wps:wsp>
                      <wps:wsp>
                        <wps:cNvPr id="38" name="Text Box 24"/>
                        <wps:cNvSpPr txBox="1">
                          <a:spLocks noChangeArrowheads="1"/>
                        </wps:cNvSpPr>
                        <wps:spPr bwMode="auto">
                          <a:xfrm>
                            <a:off x="4940" y="5499"/>
                            <a:ext cx="2798" cy="578"/>
                          </a:xfrm>
                          <a:prstGeom prst="rect">
                            <a:avLst/>
                          </a:prstGeom>
                          <a:solidFill>
                            <a:srgbClr val="FFFFFF"/>
                          </a:solidFill>
                          <a:ln w="9525">
                            <a:solidFill>
                              <a:srgbClr val="000000"/>
                            </a:solidFill>
                            <a:miter lim="800000"/>
                            <a:headEnd/>
                            <a:tailEnd/>
                          </a:ln>
                        </wps:spPr>
                        <wps:txbx>
                          <w:txbxContent>
                            <w:p w:rsidR="004E0185" w:rsidRPr="009748D8" w:rsidRDefault="004E0185" w:rsidP="001C5AD2">
                              <w:pPr>
                                <w:jc w:val="center"/>
                                <w:rPr>
                                  <w:sz w:val="18"/>
                                  <w:szCs w:val="18"/>
                                </w:rPr>
                              </w:pPr>
                              <w:r w:rsidRPr="009748D8">
                                <w:rPr>
                                  <w:sz w:val="18"/>
                                  <w:szCs w:val="18"/>
                                </w:rPr>
                                <w:t>Patient data acquisition (CT, MRI, PET)</w:t>
                              </w:r>
                            </w:p>
                          </w:txbxContent>
                        </wps:txbx>
                        <wps:bodyPr rot="0" vert="horz" wrap="square" lIns="91440" tIns="45720" rIns="91440" bIns="45720" anchor="t" anchorCtr="0" upright="1">
                          <a:noAutofit/>
                        </wps:bodyPr>
                      </wps:wsp>
                      <wps:wsp>
                        <wps:cNvPr id="39" name="AutoShape 25"/>
                        <wps:cNvCnPr>
                          <a:cxnSpLocks noChangeShapeType="1"/>
                          <a:stCxn id="28" idx="2"/>
                        </wps:cNvCnPr>
                        <wps:spPr bwMode="auto">
                          <a:xfrm>
                            <a:off x="3070" y="5098"/>
                            <a:ext cx="7"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6"/>
                        <wps:cNvSpPr txBox="1">
                          <a:spLocks noChangeArrowheads="1"/>
                        </wps:cNvSpPr>
                        <wps:spPr bwMode="auto">
                          <a:xfrm>
                            <a:off x="4940" y="6471"/>
                            <a:ext cx="2798" cy="911"/>
                          </a:xfrm>
                          <a:prstGeom prst="rect">
                            <a:avLst/>
                          </a:prstGeom>
                          <a:solidFill>
                            <a:srgbClr val="FFFFFF"/>
                          </a:solidFill>
                          <a:ln w="9525">
                            <a:solidFill>
                              <a:srgbClr val="000000"/>
                            </a:solidFill>
                            <a:miter lim="800000"/>
                            <a:headEnd/>
                            <a:tailEnd/>
                          </a:ln>
                        </wps:spPr>
                        <wps:txbx>
                          <w:txbxContent>
                            <w:p w:rsidR="004E0185" w:rsidRPr="00AE30DB" w:rsidRDefault="004E0185" w:rsidP="001C5AD2">
                              <w:pPr>
                                <w:rPr>
                                  <w:sz w:val="16"/>
                                  <w:szCs w:val="16"/>
                                </w:rPr>
                              </w:pPr>
                              <w:r>
                                <w:rPr>
                                  <w:sz w:val="16"/>
                                  <w:szCs w:val="16"/>
                                </w:rPr>
                                <w:t>Contouring, prescription – tighter margins as result certainty of patient position prior to treatment</w:t>
                              </w:r>
                            </w:p>
                          </w:txbxContent>
                        </wps:txbx>
                        <wps:bodyPr rot="0" vert="horz" wrap="square" lIns="91440" tIns="45720" rIns="91440" bIns="45720" anchor="t" anchorCtr="0" upright="1">
                          <a:noAutofit/>
                        </wps:bodyPr>
                      </wps:wsp>
                      <wps:wsp>
                        <wps:cNvPr id="41" name="Text Box 27"/>
                        <wps:cNvSpPr txBox="1">
                          <a:spLocks noChangeArrowheads="1"/>
                        </wps:cNvSpPr>
                        <wps:spPr bwMode="auto">
                          <a:xfrm>
                            <a:off x="8301" y="6471"/>
                            <a:ext cx="2666" cy="1108"/>
                          </a:xfrm>
                          <a:prstGeom prst="rect">
                            <a:avLst/>
                          </a:prstGeom>
                          <a:solidFill>
                            <a:srgbClr val="FFFFFF"/>
                          </a:solidFill>
                          <a:ln w="9525">
                            <a:solidFill>
                              <a:srgbClr val="000000"/>
                            </a:solidFill>
                            <a:miter lim="800000"/>
                            <a:headEnd/>
                            <a:tailEnd/>
                          </a:ln>
                        </wps:spPr>
                        <wps:txbx>
                          <w:txbxContent>
                            <w:p w:rsidR="004E0185" w:rsidRPr="00AE30DB" w:rsidRDefault="004E0185" w:rsidP="001C5AD2">
                              <w:pPr>
                                <w:rPr>
                                  <w:sz w:val="16"/>
                                  <w:szCs w:val="16"/>
                                </w:rPr>
                              </w:pPr>
                              <w:r>
                                <w:rPr>
                                  <w:sz w:val="16"/>
                                  <w:szCs w:val="16"/>
                                </w:rPr>
                                <w:t>Contouring, prescription – tighter margins as result certainty of patient position prior to treatment</w:t>
                              </w:r>
                            </w:p>
                            <w:p w:rsidR="004E0185" w:rsidRDefault="004E0185" w:rsidP="001C5AD2"/>
                          </w:txbxContent>
                        </wps:txbx>
                        <wps:bodyPr rot="0" vert="horz" wrap="square" lIns="91440" tIns="45720" rIns="91440" bIns="45720" anchor="t" anchorCtr="0" upright="1">
                          <a:noAutofit/>
                        </wps:bodyPr>
                      </wps:wsp>
                      <wps:wsp>
                        <wps:cNvPr id="42" name="Text Box 28"/>
                        <wps:cNvSpPr txBox="1">
                          <a:spLocks noChangeArrowheads="1"/>
                        </wps:cNvSpPr>
                        <wps:spPr bwMode="auto">
                          <a:xfrm>
                            <a:off x="4940" y="8075"/>
                            <a:ext cx="2798" cy="1296"/>
                          </a:xfrm>
                          <a:prstGeom prst="rect">
                            <a:avLst/>
                          </a:prstGeom>
                          <a:solidFill>
                            <a:srgbClr val="FFFFFF"/>
                          </a:solidFill>
                          <a:ln w="9525">
                            <a:solidFill>
                              <a:srgbClr val="000000"/>
                            </a:solidFill>
                            <a:miter lim="800000"/>
                            <a:headEnd/>
                            <a:tailEnd/>
                          </a:ln>
                        </wps:spPr>
                        <wps:txbx>
                          <w:txbxContent>
                            <w:p w:rsidR="004E0185" w:rsidRDefault="004E0185" w:rsidP="001C5AD2">
                              <w:pPr>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4E0185" w:rsidRDefault="004E0185" w:rsidP="001C5AD2"/>
                          </w:txbxContent>
                        </wps:txbx>
                        <wps:bodyPr rot="0" vert="horz" wrap="square" lIns="91440" tIns="45720" rIns="91440" bIns="45720" anchor="t" anchorCtr="0" upright="1">
                          <a:noAutofit/>
                        </wps:bodyPr>
                      </wps:wsp>
                      <wps:wsp>
                        <wps:cNvPr id="43" name="Text Box 29"/>
                        <wps:cNvSpPr txBox="1">
                          <a:spLocks noChangeArrowheads="1"/>
                        </wps:cNvSpPr>
                        <wps:spPr bwMode="auto">
                          <a:xfrm>
                            <a:off x="8301" y="8075"/>
                            <a:ext cx="2666" cy="1296"/>
                          </a:xfrm>
                          <a:prstGeom prst="rect">
                            <a:avLst/>
                          </a:prstGeom>
                          <a:solidFill>
                            <a:srgbClr val="FFFFFF"/>
                          </a:solidFill>
                          <a:ln w="9525">
                            <a:solidFill>
                              <a:srgbClr val="000000"/>
                            </a:solidFill>
                            <a:miter lim="800000"/>
                            <a:headEnd/>
                            <a:tailEnd/>
                          </a:ln>
                        </wps:spPr>
                        <wps:txbx>
                          <w:txbxContent>
                            <w:p w:rsidR="004E0185" w:rsidRDefault="004E0185" w:rsidP="001C5AD2">
                              <w:pPr>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4E0185" w:rsidRDefault="004E0185" w:rsidP="001C5AD2"/>
                          </w:txbxContent>
                        </wps:txbx>
                        <wps:bodyPr rot="0" vert="horz" wrap="square" lIns="91440" tIns="45720" rIns="91440" bIns="45720" anchor="t" anchorCtr="0" upright="1">
                          <a:noAutofit/>
                        </wps:bodyPr>
                      </wps:wsp>
                      <wps:wsp>
                        <wps:cNvPr id="44" name="Text Box 30"/>
                        <wps:cNvSpPr txBox="1">
                          <a:spLocks noChangeArrowheads="1"/>
                        </wps:cNvSpPr>
                        <wps:spPr bwMode="auto">
                          <a:xfrm>
                            <a:off x="4940" y="9914"/>
                            <a:ext cx="2798" cy="843"/>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rPr>
                                  <w:i/>
                                  <w:sz w:val="18"/>
                                  <w:szCs w:val="18"/>
                                </w:rPr>
                              </w:pPr>
                              <w:r w:rsidRPr="000D2F91">
                                <w:rPr>
                                  <w:i/>
                                  <w:sz w:val="18"/>
                                  <w:szCs w:val="18"/>
                                </w:rPr>
                                <w:t xml:space="preserve">Imaging </w:t>
                              </w:r>
                              <w:r w:rsidRPr="000D2F91">
                                <w:rPr>
                                  <w:b/>
                                  <w:i/>
                                  <w:sz w:val="18"/>
                                  <w:szCs w:val="18"/>
                                </w:rPr>
                                <w:t>prior to or during treatment</w:t>
                              </w:r>
                              <w:r w:rsidRPr="000D2F91">
                                <w:rPr>
                                  <w:i/>
                                  <w:sz w:val="18"/>
                                  <w:szCs w:val="18"/>
                                </w:rPr>
                                <w:t>: patient shift if error exceeds action level</w:t>
                              </w:r>
                            </w:p>
                            <w:p w:rsidR="004E0185" w:rsidRDefault="004E0185" w:rsidP="001C5AD2"/>
                          </w:txbxContent>
                        </wps:txbx>
                        <wps:bodyPr rot="0" vert="horz" wrap="square" lIns="91440" tIns="45720" rIns="91440" bIns="45720" anchor="t" anchorCtr="0" upright="1">
                          <a:noAutofit/>
                        </wps:bodyPr>
                      </wps:wsp>
                      <wps:wsp>
                        <wps:cNvPr id="45" name="Text Box 31"/>
                        <wps:cNvSpPr txBox="1">
                          <a:spLocks noChangeArrowheads="1"/>
                        </wps:cNvSpPr>
                        <wps:spPr bwMode="auto">
                          <a:xfrm>
                            <a:off x="8301" y="9914"/>
                            <a:ext cx="2666" cy="843"/>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rPr>
                                  <w:i/>
                                  <w:sz w:val="18"/>
                                  <w:szCs w:val="18"/>
                                </w:rPr>
                              </w:pPr>
                              <w:r w:rsidRPr="000D2F91">
                                <w:rPr>
                                  <w:i/>
                                  <w:sz w:val="18"/>
                                  <w:szCs w:val="18"/>
                                </w:rPr>
                                <w:t xml:space="preserve">Imaging </w:t>
                              </w:r>
                              <w:r w:rsidRPr="000D2F91">
                                <w:rPr>
                                  <w:b/>
                                  <w:i/>
                                  <w:sz w:val="18"/>
                                  <w:szCs w:val="18"/>
                                </w:rPr>
                                <w:t>prior to or during treatment</w:t>
                              </w:r>
                              <w:r w:rsidRPr="000D2F91">
                                <w:rPr>
                                  <w:i/>
                                  <w:sz w:val="18"/>
                                  <w:szCs w:val="18"/>
                                </w:rPr>
                                <w:t>: patient shift if error exceeds action level</w:t>
                              </w:r>
                            </w:p>
                            <w:p w:rsidR="004E0185" w:rsidRDefault="004E0185" w:rsidP="001C5AD2"/>
                          </w:txbxContent>
                        </wps:txbx>
                        <wps:bodyPr rot="0" vert="horz" wrap="square" lIns="91440" tIns="45720" rIns="91440" bIns="45720" anchor="t" anchorCtr="0" upright="1">
                          <a:noAutofit/>
                        </wps:bodyPr>
                      </wps:wsp>
                      <wps:wsp>
                        <wps:cNvPr id="46" name="Text Box 32"/>
                        <wps:cNvSpPr txBox="1">
                          <a:spLocks noChangeArrowheads="1"/>
                        </wps:cNvSpPr>
                        <wps:spPr bwMode="auto">
                          <a:xfrm>
                            <a:off x="1784" y="11405"/>
                            <a:ext cx="2571" cy="924"/>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rPr>
                                  <w:i/>
                                  <w:sz w:val="18"/>
                                  <w:szCs w:val="18"/>
                                </w:rPr>
                              </w:pPr>
                              <w:r w:rsidRPr="000D2F91">
                                <w:rPr>
                                  <w:i/>
                                  <w:sz w:val="18"/>
                                  <w:szCs w:val="18"/>
                                </w:rPr>
                                <w:t xml:space="preserve">Verification imaging </w:t>
                              </w:r>
                              <w:r w:rsidRPr="000D2F91">
                                <w:rPr>
                                  <w:b/>
                                  <w:i/>
                                  <w:sz w:val="18"/>
                                  <w:szCs w:val="18"/>
                                </w:rPr>
                                <w:t>once weekly</w:t>
                              </w:r>
                              <w:r w:rsidRPr="000D2F91">
                                <w:rPr>
                                  <w:i/>
                                  <w:sz w:val="18"/>
                                  <w:szCs w:val="18"/>
                                </w:rPr>
                                <w:t>, with off-line review to identify problems</w:t>
                              </w:r>
                            </w:p>
                          </w:txbxContent>
                        </wps:txbx>
                        <wps:bodyPr rot="0" vert="horz" wrap="square" lIns="91440" tIns="45720" rIns="91440" bIns="45720" anchor="t" anchorCtr="0" upright="1">
                          <a:noAutofit/>
                        </wps:bodyPr>
                      </wps:wsp>
                      <wps:wsp>
                        <wps:cNvPr id="47" name="Text Box 33"/>
                        <wps:cNvSpPr txBox="1">
                          <a:spLocks noChangeArrowheads="1"/>
                        </wps:cNvSpPr>
                        <wps:spPr bwMode="auto">
                          <a:xfrm>
                            <a:off x="4940" y="11405"/>
                            <a:ext cx="2798" cy="924"/>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rPr>
                                  <w:i/>
                                  <w:sz w:val="16"/>
                                  <w:szCs w:val="16"/>
                                </w:rPr>
                              </w:pPr>
                              <w:r w:rsidRPr="000D2F91">
                                <w:rPr>
                                  <w:i/>
                                  <w:sz w:val="16"/>
                                  <w:szCs w:val="16"/>
                                </w:rPr>
                                <w:t>Change in setup position based on patient shifts from one or more previous fractions if warranted</w:t>
                              </w:r>
                            </w:p>
                            <w:p w:rsidR="004E0185" w:rsidRDefault="004E0185" w:rsidP="001C5AD2"/>
                          </w:txbxContent>
                        </wps:txbx>
                        <wps:bodyPr rot="0" vert="horz" wrap="square" lIns="91440" tIns="45720" rIns="91440" bIns="45720" anchor="t" anchorCtr="0" upright="1">
                          <a:noAutofit/>
                        </wps:bodyPr>
                      </wps:wsp>
                      <wps:wsp>
                        <wps:cNvPr id="48" name="Text Box 34"/>
                        <wps:cNvSpPr txBox="1">
                          <a:spLocks noChangeArrowheads="1"/>
                        </wps:cNvSpPr>
                        <wps:spPr bwMode="auto">
                          <a:xfrm>
                            <a:off x="8390" y="11405"/>
                            <a:ext cx="2500" cy="924"/>
                          </a:xfrm>
                          <a:prstGeom prst="rect">
                            <a:avLst/>
                          </a:prstGeom>
                          <a:solidFill>
                            <a:srgbClr val="FFFFFF"/>
                          </a:solidFill>
                          <a:ln w="9525">
                            <a:solidFill>
                              <a:srgbClr val="000000"/>
                            </a:solidFill>
                            <a:miter lim="800000"/>
                            <a:headEnd/>
                            <a:tailEnd/>
                          </a:ln>
                        </wps:spPr>
                        <wps:txbx>
                          <w:txbxContent>
                            <w:p w:rsidR="004E0185" w:rsidRPr="000D2F91" w:rsidRDefault="004E0185" w:rsidP="001C5AD2">
                              <w:pPr>
                                <w:ind w:left="142"/>
                                <w:rPr>
                                  <w:i/>
                                  <w:sz w:val="16"/>
                                  <w:szCs w:val="16"/>
                                </w:rPr>
                              </w:pPr>
                              <w:r w:rsidRPr="000D2F91">
                                <w:rPr>
                                  <w:i/>
                                  <w:sz w:val="16"/>
                                  <w:szCs w:val="16"/>
                                </w:rPr>
                                <w:t>Change in setup position based on patient shifts from one or more previous fractions if warranted</w:t>
                              </w:r>
                            </w:p>
                            <w:p w:rsidR="004E0185" w:rsidRDefault="004E0185" w:rsidP="001C5AD2"/>
                          </w:txbxContent>
                        </wps:txbx>
                        <wps:bodyPr rot="0" vert="horz" wrap="square" lIns="91440" tIns="45720" rIns="91440" bIns="45720" anchor="t" anchorCtr="0" upright="1">
                          <a:noAutofit/>
                        </wps:bodyPr>
                      </wps:wsp>
                      <wps:wsp>
                        <wps:cNvPr id="49" name="AutoShape 35"/>
                        <wps:cNvCnPr>
                          <a:cxnSpLocks noChangeShapeType="1"/>
                          <a:stCxn id="23" idx="2"/>
                          <a:endCxn id="37" idx="0"/>
                        </wps:cNvCnPr>
                        <wps:spPr bwMode="auto">
                          <a:xfrm>
                            <a:off x="6339" y="4307"/>
                            <a:ext cx="1" cy="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36"/>
                        <wps:cNvCnPr>
                          <a:cxnSpLocks noChangeShapeType="1"/>
                          <a:stCxn id="37" idx="2"/>
                          <a:endCxn id="38" idx="0"/>
                        </wps:cNvCnPr>
                        <wps:spPr bwMode="auto">
                          <a:xfrm>
                            <a:off x="6339" y="5098"/>
                            <a:ext cx="1"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37"/>
                        <wps:cNvCnPr>
                          <a:cxnSpLocks noChangeShapeType="1"/>
                          <a:stCxn id="38" idx="2"/>
                          <a:endCxn id="40" idx="0"/>
                        </wps:cNvCnPr>
                        <wps:spPr bwMode="auto">
                          <a:xfrm>
                            <a:off x="6339" y="6077"/>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38"/>
                        <wps:cNvCnPr>
                          <a:cxnSpLocks noChangeShapeType="1"/>
                          <a:stCxn id="40" idx="2"/>
                          <a:endCxn id="42" idx="0"/>
                        </wps:cNvCnPr>
                        <wps:spPr bwMode="auto">
                          <a:xfrm>
                            <a:off x="6339" y="7382"/>
                            <a:ext cx="1"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39"/>
                        <wps:cNvCnPr>
                          <a:cxnSpLocks noChangeShapeType="1"/>
                          <a:stCxn id="42" idx="2"/>
                          <a:endCxn id="44" idx="0"/>
                        </wps:cNvCnPr>
                        <wps:spPr bwMode="auto">
                          <a:xfrm>
                            <a:off x="6339" y="9371"/>
                            <a:ext cx="1" cy="5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0"/>
                        <wps:cNvCnPr>
                          <a:cxnSpLocks noChangeShapeType="1"/>
                          <a:stCxn id="44" idx="2"/>
                          <a:endCxn id="47" idx="0"/>
                        </wps:cNvCnPr>
                        <wps:spPr bwMode="auto">
                          <a:xfrm>
                            <a:off x="6339" y="10757"/>
                            <a:ext cx="1"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1"/>
                        <wps:cNvCnPr>
                          <a:cxnSpLocks noChangeShapeType="1"/>
                          <a:stCxn id="30" idx="2"/>
                          <a:endCxn id="31" idx="0"/>
                        </wps:cNvCnPr>
                        <wps:spPr bwMode="auto">
                          <a:xfrm>
                            <a:off x="3070" y="7505"/>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2"/>
                        <wps:cNvCnPr>
                          <a:cxnSpLocks noChangeShapeType="1"/>
                          <a:stCxn id="31" idx="2"/>
                          <a:endCxn id="34" idx="0"/>
                        </wps:cNvCnPr>
                        <wps:spPr bwMode="auto">
                          <a:xfrm>
                            <a:off x="3070" y="9550"/>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43"/>
                        <wps:cNvCnPr>
                          <a:cxnSpLocks noChangeShapeType="1"/>
                          <a:stCxn id="34" idx="2"/>
                          <a:endCxn id="46" idx="0"/>
                        </wps:cNvCnPr>
                        <wps:spPr bwMode="auto">
                          <a:xfrm flipH="1">
                            <a:off x="3070" y="10825"/>
                            <a:ext cx="1"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44"/>
                        <wps:cNvCnPr>
                          <a:cxnSpLocks noChangeShapeType="1"/>
                          <a:stCxn id="27" idx="2"/>
                          <a:endCxn id="41" idx="0"/>
                        </wps:cNvCnPr>
                        <wps:spPr bwMode="auto">
                          <a:xfrm>
                            <a:off x="9634" y="6077"/>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45"/>
                        <wps:cNvCnPr>
                          <a:cxnSpLocks noChangeShapeType="1"/>
                          <a:stCxn id="41" idx="2"/>
                          <a:endCxn id="43" idx="0"/>
                        </wps:cNvCnPr>
                        <wps:spPr bwMode="auto">
                          <a:xfrm>
                            <a:off x="9634" y="7579"/>
                            <a:ext cx="1"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CnPr>
                          <a:cxnSpLocks noChangeShapeType="1"/>
                          <a:stCxn id="43" idx="2"/>
                          <a:endCxn id="45" idx="0"/>
                        </wps:cNvCnPr>
                        <wps:spPr bwMode="auto">
                          <a:xfrm>
                            <a:off x="9634" y="9371"/>
                            <a:ext cx="1" cy="5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47"/>
                        <wps:cNvCnPr>
                          <a:cxnSpLocks noChangeShapeType="1"/>
                          <a:stCxn id="45" idx="2"/>
                          <a:endCxn id="48" idx="0"/>
                        </wps:cNvCnPr>
                        <wps:spPr bwMode="auto">
                          <a:xfrm>
                            <a:off x="9634" y="10757"/>
                            <a:ext cx="6" cy="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48"/>
                        <wps:cNvCnPr>
                          <a:cxnSpLocks noChangeShapeType="1"/>
                          <a:stCxn id="47" idx="2"/>
                        </wps:cNvCnPr>
                        <wps:spPr bwMode="auto">
                          <a:xfrm>
                            <a:off x="6339" y="12329"/>
                            <a:ext cx="1" cy="5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9"/>
                        <wps:cNvCnPr>
                          <a:cxnSpLocks noChangeShapeType="1"/>
                          <a:stCxn id="46" idx="2"/>
                        </wps:cNvCnPr>
                        <wps:spPr bwMode="auto">
                          <a:xfrm rot="16200000" flipH="1">
                            <a:off x="4446" y="10953"/>
                            <a:ext cx="518" cy="326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50"/>
                        <wps:cNvCnPr>
                          <a:cxnSpLocks noChangeShapeType="1"/>
                          <a:stCxn id="48" idx="2"/>
                        </wps:cNvCnPr>
                        <wps:spPr bwMode="auto">
                          <a:xfrm rot="5400000">
                            <a:off x="7731" y="10937"/>
                            <a:ext cx="518" cy="33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51"/>
                        <wps:cNvCnPr>
                          <a:cxnSpLocks noChangeShapeType="1"/>
                          <a:endCxn id="19" idx="0"/>
                        </wps:cNvCnPr>
                        <wps:spPr bwMode="auto">
                          <a:xfrm flipH="1">
                            <a:off x="6337" y="12847"/>
                            <a:ext cx="2" cy="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alt="Clinical decision tree" style="width:451.3pt;height:620.85pt;mso-position-horizontal-relative:char;mso-position-vertical-relative:line" coordorigin="1440,895" coordsize="9754,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">
                <o:lock v:ext="edit" aspectratio="t"/>
                <v:rect id="AutoShape 3" o:spid="_x0000_s1027" style="position:absolute;left:1440;top:895;width:9754;height:1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left:4054;top:1063;width:32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E0185" w:rsidRDefault="004E0185" w:rsidP="001C5AD2">
                        <w:pPr>
                          <w:ind w:hanging="720"/>
                          <w:jc w:val="center"/>
                          <w:rPr>
                            <w:sz w:val="18"/>
                            <w:szCs w:val="18"/>
                          </w:rPr>
                        </w:pPr>
                        <w:r>
                          <w:rPr>
                            <w:sz w:val="18"/>
                            <w:szCs w:val="18"/>
                          </w:rPr>
                          <w:t>Patients diagnosed with cancer</w:t>
                        </w:r>
                      </w:p>
                    </w:txbxContent>
                  </v:textbox>
                </v:shape>
                <v:shape id="Text Box 5" o:spid="_x0000_s1029" type="#_x0000_t202" style="position:absolute;left:1784;top:13294;width:910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E0185" w:rsidRDefault="004E0185" w:rsidP="001C5AD2">
                        <w:pPr>
                          <w:jc w:val="center"/>
                          <w:rPr>
                            <w:sz w:val="18"/>
                            <w:szCs w:val="18"/>
                          </w:rPr>
                        </w:pPr>
                        <w:r>
                          <w:rPr>
                            <w:sz w:val="18"/>
                            <w:szCs w:val="18"/>
                          </w:rPr>
                          <w:t>Image guided primary outcomes: toxicity, tumour control, Progression free survival, overall survival, quality of life</w:t>
                        </w:r>
                      </w:p>
                    </w:txbxContent>
                  </v:textbox>
                </v:shape>
                <v:shapetype id="_x0000_t4" coordsize="21600,21600" o:spt="4" path="m10800,l,10800,10800,21600,21600,10800xe">
                  <v:stroke joinstyle="miter"/>
                  <v:path gradientshapeok="t" o:connecttype="rect" textboxrect="5400,5400,16200,16200"/>
                </v:shapetype>
                <v:shape id="AutoShape 6" o:spid="_x0000_s1030" type="#_x0000_t4" style="position:absolute;left:1950;top:2308;width:231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H78A&#10;AADbAAAADwAAAGRycy9kb3ducmV2LnhtbERPzYrCMBC+L/gOYQRva6oHkWoUEQRxvVh9gLEZm2oz&#10;qUm27b795rCwx4/vf70dbCM68qF2rGA2zUAQl07XXCm4XQ+fSxAhImtsHJOCHwqw3Yw+1phr1/OF&#10;uiJWIoVwyFGBibHNpQylIYth6lrixD2ctxgT9JXUHvsUbhs5z7KFtFhzajDY0t5Q+Sq+rYLnvTX9&#10;efl+ZEXpO3k6++P78qXUZDzsViAiDfFf/Oc+agXztD5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P6MfvwAAANsAAAAPAAAAAAAAAAAAAAAAAJgCAABkcnMvZG93bnJl&#10;di54bWxQSwUGAAAAAAQABAD1AAAAhAMAAAAA&#10;">
                  <v:textbox>
                    <w:txbxContent>
                      <w:p w:rsidR="004E0185" w:rsidRDefault="004E0185" w:rsidP="001C5AD2">
                        <w:pPr>
                          <w:rPr>
                            <w:sz w:val="18"/>
                            <w:szCs w:val="18"/>
                          </w:rPr>
                        </w:pPr>
                        <w:r>
                          <w:rPr>
                            <w:sz w:val="18"/>
                            <w:szCs w:val="18"/>
                          </w:rPr>
                          <w:t>Treatment decision</w:t>
                        </w:r>
                      </w:p>
                    </w:txbxContent>
                  </v:textbox>
                </v:shape>
                <v:rect id="Rectangle 7" o:spid="_x0000_s1031" style="position:absolute;left:6613;top:2471;width:2779;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E0185" w:rsidRPr="00870F85" w:rsidRDefault="004E0185" w:rsidP="001C5AD2">
                        <w:pPr>
                          <w:ind w:hanging="142"/>
                          <w:jc w:val="center"/>
                          <w:rPr>
                            <w:sz w:val="16"/>
                            <w:szCs w:val="16"/>
                          </w:rPr>
                        </w:pPr>
                        <w:r w:rsidRPr="00870F85">
                          <w:rPr>
                            <w:sz w:val="16"/>
                            <w:szCs w:val="16"/>
                          </w:rPr>
                          <w:t>Surgery, chemotherapy, active surveillance, no treatment or other treatment</w:t>
                        </w:r>
                      </w:p>
                    </w:txbxContent>
                  </v:textbox>
                </v:rect>
                <v:shapetype id="_x0000_t32" coordsize="21600,21600" o:spt="32" o:oned="t" path="m,l21600,21600e" filled="f">
                  <v:path arrowok="t" fillok="f" o:connecttype="none"/>
                  <o:lock v:ext="edit" shapetype="t"/>
                </v:shapetype>
                <v:shape id="AutoShape 8" o:spid="_x0000_s1032" type="#_x0000_t32" style="position:absolute;left:4265;top:2890;width:2348;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9" o:spid="_x0000_s1033" style="position:absolute;left:4940;top:3880;width:2798;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E0185" w:rsidRDefault="004E0185" w:rsidP="001C5AD2">
                        <w:pPr>
                          <w:jc w:val="center"/>
                          <w:rPr>
                            <w:sz w:val="18"/>
                            <w:szCs w:val="18"/>
                          </w:rPr>
                        </w:pPr>
                        <w:r>
                          <w:rPr>
                            <w:sz w:val="18"/>
                            <w:szCs w:val="18"/>
                          </w:rPr>
                          <w:t>Radiation therapy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966;top:603;width:847;height:25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cwcUAAADbAAAADwAAAGRycy9kb3ducmV2LnhtbESPQWvCQBSE70L/w/IK3nRTEZHUVaxQ&#10;yEERU0vp7ZF9zcZm34bsRuO/dwXB4zAz3zCLVW9rcabWV44VvI0TEMSF0xWXCo5fn6M5CB+QNdaO&#10;ScGVPKyWL4MFptpd+EDnPJQiQtinqMCE0KRS+sKQRT92DXH0/lxrMUTZllK3eIlwW8tJksykxYrj&#10;gsGGNoaK/7yzCn6/d+X2uv/I15hlnTluTt3P9qTU8LVfv4MI1Idn+NHOtILJF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QcwcUAAADbAAAADwAAAAAAAAAA&#10;AAAAAAChAgAAZHJzL2Rvd25yZXYueG1sUEsFBgAAAAAEAAQA+QAAAJMDAAAAAA==&#10;">
                  <v:stroke endarrow="block"/>
                </v:shape>
                <v:shape id="AutoShape 11" o:spid="_x0000_s1035" type="#_x0000_t34" style="position:absolute;left:4536;top:2077;width:375;height:323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szycQAAADbAAAADwAAAGRycy9kb3ducmV2LnhtbESPzWrDMBCE74G+g9hCb7Ec0/w5VkIp&#10;lOZSSNw+wEZa/xBrZSw1cfr0VaGQ4zAz3zDFbrSduNDgW8cKZkkKglg703Kt4OvzbboC4QOywc4x&#10;KbiRh932YVJgbtyVj3QpQy0ihH2OCpoQ+lxKrxuy6BPXE0evcoPFEOVQSzPgNcJtJ7M0XUiLLceF&#10;Bnt6bUify2+r4Pnmjz/0sZLZoV6vtU+X7xWflHp6HF82IAKN4R7+b++Ngmw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zPJxAAAANsAAAAPAAAAAAAAAAAA&#10;AAAAAKECAABkcnMvZG93bnJldi54bWxQSwUGAAAAAAQABAD5AAAAkgMAAAAA&#10;">
                  <v:stroke endarrow="block"/>
                </v:shape>
                <v:shape id="Text Box 12" o:spid="_x0000_s1036" type="#_x0000_t202" style="position:absolute;left:8301;top:4708;width:266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E0185" w:rsidRPr="00B52B03" w:rsidRDefault="004E0185" w:rsidP="001C5AD2">
                        <w:pPr>
                          <w:rPr>
                            <w:b/>
                            <w:sz w:val="16"/>
                            <w:szCs w:val="16"/>
                          </w:rPr>
                        </w:pPr>
                        <w:r w:rsidRPr="00B52B03">
                          <w:rPr>
                            <w:b/>
                            <w:sz w:val="16"/>
                            <w:szCs w:val="16"/>
                          </w:rPr>
                          <w:t>IGRT volumetric imaging</w:t>
                        </w:r>
                      </w:p>
                    </w:txbxContent>
                  </v:textbox>
                </v:shape>
                <v:rect id="Rectangle 13" o:spid="_x0000_s1037" style="position:absolute;left:8301;top:5499;width:2666;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E0185" w:rsidRPr="005E27B4" w:rsidRDefault="004E0185" w:rsidP="001C5AD2">
                        <w:pPr>
                          <w:jc w:val="center"/>
                          <w:rPr>
                            <w:sz w:val="18"/>
                            <w:szCs w:val="18"/>
                          </w:rPr>
                        </w:pPr>
                        <w:r>
                          <w:rPr>
                            <w:sz w:val="18"/>
                            <w:szCs w:val="18"/>
                          </w:rPr>
                          <w:t>Patient data acquisition (CT, MRI, PET)</w:t>
                        </w:r>
                      </w:p>
                    </w:txbxContent>
                  </v:textbox>
                </v:rect>
                <v:shape id="Text Box 14" o:spid="_x0000_s1038" type="#_x0000_t202" style="position:absolute;left:1784;top:4715;width:257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E0185" w:rsidRPr="00B52B03" w:rsidRDefault="004E0185" w:rsidP="001C5AD2">
                        <w:pPr>
                          <w:ind w:left="142"/>
                          <w:rPr>
                            <w:b/>
                            <w:sz w:val="16"/>
                            <w:szCs w:val="16"/>
                          </w:rPr>
                        </w:pPr>
                        <w:r w:rsidRPr="00B52B03">
                          <w:rPr>
                            <w:b/>
                            <w:sz w:val="16"/>
                            <w:szCs w:val="16"/>
                          </w:rPr>
                          <w:t xml:space="preserve">Post treatment verification </w:t>
                        </w:r>
                      </w:p>
                    </w:txbxContent>
                  </v:textbox>
                </v:shape>
                <v:rect id="Rectangle 15" o:spid="_x0000_s1039" style="position:absolute;left:1784;top:5499;width:2571;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E0185" w:rsidRDefault="004E0185" w:rsidP="001C5AD2">
                        <w:pPr>
                          <w:ind w:left="142"/>
                          <w:jc w:val="center"/>
                          <w:rPr>
                            <w:sz w:val="18"/>
                            <w:szCs w:val="18"/>
                          </w:rPr>
                        </w:pPr>
                        <w:r>
                          <w:rPr>
                            <w:sz w:val="18"/>
                            <w:szCs w:val="18"/>
                          </w:rPr>
                          <w:t>Patient data acquisition (CT, MRI, PET)</w:t>
                        </w:r>
                      </w:p>
                      <w:p w:rsidR="004E0185" w:rsidRDefault="004E0185" w:rsidP="001C5AD2">
                        <w:pPr>
                          <w:jc w:val="center"/>
                        </w:pPr>
                      </w:p>
                    </w:txbxContent>
                  </v:textbox>
                </v:rect>
                <v:rect id="Rectangle 16" o:spid="_x0000_s1040" style="position:absolute;left:1785;top:6479;width:257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E0185" w:rsidRDefault="004E0185" w:rsidP="001C5AD2">
                        <w:pPr>
                          <w:ind w:left="142"/>
                          <w:jc w:val="center"/>
                          <w:rPr>
                            <w:sz w:val="18"/>
                            <w:szCs w:val="18"/>
                          </w:rPr>
                        </w:pPr>
                        <w:r>
                          <w:rPr>
                            <w:sz w:val="18"/>
                            <w:szCs w:val="18"/>
                          </w:rPr>
                          <w:t>Contouring, prescription – Larger margins to account for uncertainties</w:t>
                        </w:r>
                      </w:p>
                      <w:p w:rsidR="004E0185" w:rsidRDefault="004E0185" w:rsidP="001C5AD2">
                        <w:pPr>
                          <w:jc w:val="center"/>
                        </w:pPr>
                      </w:p>
                    </w:txbxContent>
                  </v:textbox>
                </v:rect>
                <v:rect id="Rectangle 17" o:spid="_x0000_s1041" style="position:absolute;left:1785;top:8075;width:2570;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4E0185" w:rsidRDefault="004E0185" w:rsidP="001C5AD2">
                        <w:pPr>
                          <w:ind w:left="142"/>
                          <w:rPr>
                            <w:sz w:val="18"/>
                            <w:szCs w:val="18"/>
                          </w:rPr>
                        </w:pPr>
                        <w:r>
                          <w:rPr>
                            <w:sz w:val="18"/>
                            <w:szCs w:val="18"/>
                          </w:rPr>
                          <w:t>Generation of reference images and tolerance/action levels (</w:t>
                        </w:r>
                        <w:r w:rsidRPr="00750991">
                          <w:rPr>
                            <w:b/>
                            <w:sz w:val="18"/>
                            <w:szCs w:val="18"/>
                          </w:rPr>
                          <w:t>larger action levels, 5-10mm curative; &gt;10mm palliative</w:t>
                        </w:r>
                        <w:r>
                          <w:rPr>
                            <w:sz w:val="18"/>
                            <w:szCs w:val="18"/>
                          </w:rPr>
                          <w:t xml:space="preserve">) </w:t>
                        </w:r>
                      </w:p>
                      <w:p w:rsidR="004E0185" w:rsidRDefault="004E0185" w:rsidP="001C5AD2">
                        <w:pPr>
                          <w:jc w:val="center"/>
                        </w:pPr>
                      </w:p>
                    </w:txbxContent>
                  </v:textbox>
                </v:rect>
                <v:shapetype id="_x0000_t33" coordsize="21600,21600" o:spt="33" o:oned="t" path="m,l21600,r,21600e" filled="f">
                  <v:stroke joinstyle="miter"/>
                  <v:path arrowok="t" fillok="f" o:connecttype="none"/>
                  <o:lock v:ext="edit" shapetype="t"/>
                </v:shapetype>
                <v:shape id="AutoShape 18" o:spid="_x0000_s1042" type="#_x0000_t33" style="position:absolute;left:3070;top:4094;width:1870;height:6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Z/sUAAADbAAAADwAAAGRycy9kb3ducmV2LnhtbESPQWvCQBSE70L/w/IK3nRTxWJTN6GW&#10;il6KaHro8ZF9zYZm38bsRuO/7xYEj8PMfMOs8sE24kydrx0reJomIIhLp2uuFHwVm8kShA/IGhvH&#10;pOBKHvLsYbTCVLsLH+h8DJWIEPYpKjAhtKmUvjRk0U9dSxy9H9dZDFF2ldQdXiLcNnKWJM/SYs1x&#10;wWBL74bK32NvFSzMqXzZ7K68X67boi8++s/vba/U+HF4ewURaAj38K290wrmM/j/En+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YZ/sUAAADbAAAADwAAAAAAAAAA&#10;AAAAAAChAgAAZHJzL2Rvd25yZXYueG1sUEsFBgAAAAAEAAQA+QAAAJMDAAAAAA==&#10;">
                  <v:stroke endarrow="block"/>
                </v:shape>
                <v:shape id="AutoShape 19" o:spid="_x0000_s1043" type="#_x0000_t33" style="position:absolute;left:7738;top:4094;width:1896;height:6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LxeMQAAADbAAAADwAAAGRycy9kb3ducmV2LnhtbESPQWvCQBSE74L/YXlCb3WTClpSNyKC&#10;rfTW2EOPr9nXJJp9G3dXE/vru0LB4zAz3zDL1WBacSHnG8sK0mkCgri0uuFKwed++/gMwgdkja1l&#10;UnAlD6t8PFpipm3PH3QpQiUihH2GCuoQukxKX9Zk0E9tRxy9H+sMhihdJbXDPsJNK5+SZC4NNhwX&#10;auxoU1N5LM5Gwdv60Dv5+7U4fadnjf3r/L04oVIPk2H9AiLQEO7h//ZOK5jN4PY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vF4xAAAANsAAAAPAAAAAAAAAAAA&#10;AAAAAKECAABkcnMvZG93bnJldi54bWxQSwUGAAAAAAQABAD5AAAAkgMAAAAA&#10;">
                  <v:stroke endarrow="block"/>
                </v:shape>
                <v:shape id="Text Box 20" o:spid="_x0000_s1044" type="#_x0000_t202" style="position:absolute;left:1786;top:9833;width:2569;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E0185" w:rsidRPr="000D2F91" w:rsidRDefault="004E0185" w:rsidP="001C5AD2">
                        <w:pPr>
                          <w:ind w:left="142"/>
                          <w:jc w:val="center"/>
                          <w:rPr>
                            <w:i/>
                            <w:sz w:val="18"/>
                            <w:szCs w:val="18"/>
                          </w:rPr>
                        </w:pPr>
                        <w:r w:rsidRPr="000D2F91">
                          <w:rPr>
                            <w:i/>
                            <w:sz w:val="18"/>
                            <w:szCs w:val="18"/>
                          </w:rPr>
                          <w:t xml:space="preserve">Verification imaging </w:t>
                        </w:r>
                        <w:r w:rsidRPr="000D2F91">
                          <w:rPr>
                            <w:b/>
                            <w:i/>
                            <w:sz w:val="18"/>
                            <w:szCs w:val="18"/>
                          </w:rPr>
                          <w:t>daily in week one</w:t>
                        </w:r>
                        <w:r w:rsidRPr="000D2F91">
                          <w:rPr>
                            <w:i/>
                            <w:sz w:val="18"/>
                            <w:szCs w:val="18"/>
                          </w:rPr>
                          <w:t>, with off-line review to determine random errors</w:t>
                        </w:r>
                      </w:p>
                    </w:txbxContent>
                  </v:textbox>
                </v:shape>
                <v:shape id="AutoShape 21" o:spid="_x0000_s1045" type="#_x0000_t32" style="position:absolute;left:3071;top:6077;width:2;height:4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22" o:spid="_x0000_s1046" type="#_x0000_t32" style="position:absolute;left:9634;top:5098;width:1;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Text Box 23" o:spid="_x0000_s1047" type="#_x0000_t202" style="position:absolute;left:4940;top:4715;width:279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E0185" w:rsidRPr="00B52B03" w:rsidRDefault="004E0185" w:rsidP="001C5AD2">
                        <w:pPr>
                          <w:ind w:left="142"/>
                          <w:rPr>
                            <w:b/>
                            <w:sz w:val="16"/>
                            <w:szCs w:val="16"/>
                          </w:rPr>
                        </w:pPr>
                        <w:r w:rsidRPr="00B52B03">
                          <w:rPr>
                            <w:b/>
                            <w:sz w:val="16"/>
                            <w:szCs w:val="16"/>
                          </w:rPr>
                          <w:t>IGRT planar imaging</w:t>
                        </w:r>
                      </w:p>
                    </w:txbxContent>
                  </v:textbox>
                </v:shape>
                <v:shape id="Text Box 24" o:spid="_x0000_s1048" type="#_x0000_t202" style="position:absolute;left:4940;top:5499;width:279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E0185" w:rsidRPr="009748D8" w:rsidRDefault="004E0185" w:rsidP="001C5AD2">
                        <w:pPr>
                          <w:jc w:val="center"/>
                          <w:rPr>
                            <w:sz w:val="18"/>
                            <w:szCs w:val="18"/>
                          </w:rPr>
                        </w:pPr>
                        <w:r w:rsidRPr="009748D8">
                          <w:rPr>
                            <w:sz w:val="18"/>
                            <w:szCs w:val="18"/>
                          </w:rPr>
                          <w:t>Patient data acquisition (CT, MRI, PET)</w:t>
                        </w:r>
                      </w:p>
                    </w:txbxContent>
                  </v:textbox>
                </v:shape>
                <v:shape id="AutoShape 25" o:spid="_x0000_s1049" type="#_x0000_t32" style="position:absolute;left:3070;top:5098;width:7;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Text Box 26" o:spid="_x0000_s1050" type="#_x0000_t202" style="position:absolute;left:4940;top:6471;width:2798;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E0185" w:rsidRPr="00AE30DB" w:rsidRDefault="004E0185" w:rsidP="001C5AD2">
                        <w:pPr>
                          <w:rPr>
                            <w:sz w:val="16"/>
                            <w:szCs w:val="16"/>
                          </w:rPr>
                        </w:pPr>
                        <w:r>
                          <w:rPr>
                            <w:sz w:val="16"/>
                            <w:szCs w:val="16"/>
                          </w:rPr>
                          <w:t>Contouring, prescription – tighter margins as result certainty of patient position prior to treatment</w:t>
                        </w:r>
                      </w:p>
                    </w:txbxContent>
                  </v:textbox>
                </v:shape>
                <v:shape id="Text Box 27" o:spid="_x0000_s1051" type="#_x0000_t202" style="position:absolute;left:8301;top:6471;width:2666;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E0185" w:rsidRPr="00AE30DB" w:rsidRDefault="004E0185" w:rsidP="001C5AD2">
                        <w:pPr>
                          <w:rPr>
                            <w:sz w:val="16"/>
                            <w:szCs w:val="16"/>
                          </w:rPr>
                        </w:pPr>
                        <w:r>
                          <w:rPr>
                            <w:sz w:val="16"/>
                            <w:szCs w:val="16"/>
                          </w:rPr>
                          <w:t>Contouring, prescription – tighter margins as result certainty of patient position prior to treatment</w:t>
                        </w:r>
                      </w:p>
                      <w:p w:rsidR="004E0185" w:rsidRDefault="004E0185" w:rsidP="001C5AD2"/>
                    </w:txbxContent>
                  </v:textbox>
                </v:shape>
                <v:shape id="Text Box 28" o:spid="_x0000_s1052" type="#_x0000_t202" style="position:absolute;left:4940;top:8075;width:279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E0185" w:rsidRDefault="004E0185" w:rsidP="001C5AD2">
                        <w:pPr>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4E0185" w:rsidRDefault="004E0185" w:rsidP="001C5AD2"/>
                    </w:txbxContent>
                  </v:textbox>
                </v:shape>
                <v:shape id="Text Box 29" o:spid="_x0000_s1053" type="#_x0000_t202" style="position:absolute;left:8301;top:8075;width:266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E0185" w:rsidRDefault="004E0185" w:rsidP="001C5AD2">
                        <w:pPr>
                          <w:rPr>
                            <w:sz w:val="18"/>
                            <w:szCs w:val="18"/>
                          </w:rPr>
                        </w:pPr>
                        <w:r>
                          <w:rPr>
                            <w:sz w:val="18"/>
                            <w:szCs w:val="18"/>
                          </w:rPr>
                          <w:t>Generation of reference images and tolerance/action levels (</w:t>
                        </w:r>
                        <w:r w:rsidRPr="00750991">
                          <w:rPr>
                            <w:b/>
                            <w:sz w:val="18"/>
                            <w:szCs w:val="18"/>
                          </w:rPr>
                          <w:t xml:space="preserve">lower action levels, &lt;5mm curative; up to </w:t>
                        </w:r>
                        <w:r>
                          <w:rPr>
                            <w:b/>
                            <w:sz w:val="18"/>
                            <w:szCs w:val="18"/>
                          </w:rPr>
                          <w:t>1</w:t>
                        </w:r>
                        <w:r w:rsidRPr="00750991">
                          <w:rPr>
                            <w:b/>
                            <w:sz w:val="18"/>
                            <w:szCs w:val="18"/>
                          </w:rPr>
                          <w:t>0mm palliative</w:t>
                        </w:r>
                        <w:r>
                          <w:rPr>
                            <w:sz w:val="18"/>
                            <w:szCs w:val="18"/>
                          </w:rPr>
                          <w:t xml:space="preserve">) </w:t>
                        </w:r>
                      </w:p>
                      <w:p w:rsidR="004E0185" w:rsidRDefault="004E0185" w:rsidP="001C5AD2"/>
                    </w:txbxContent>
                  </v:textbox>
                </v:shape>
                <v:shape id="Text Box 30" o:spid="_x0000_s1054" type="#_x0000_t202" style="position:absolute;left:4940;top:9914;width:2798;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E0185" w:rsidRPr="000D2F91" w:rsidRDefault="004E0185" w:rsidP="001C5AD2">
                        <w:pPr>
                          <w:ind w:left="142"/>
                          <w:rPr>
                            <w:i/>
                            <w:sz w:val="18"/>
                            <w:szCs w:val="18"/>
                          </w:rPr>
                        </w:pPr>
                        <w:r w:rsidRPr="000D2F91">
                          <w:rPr>
                            <w:i/>
                            <w:sz w:val="18"/>
                            <w:szCs w:val="18"/>
                          </w:rPr>
                          <w:t xml:space="preserve">Imaging </w:t>
                        </w:r>
                        <w:r w:rsidRPr="000D2F91">
                          <w:rPr>
                            <w:b/>
                            <w:i/>
                            <w:sz w:val="18"/>
                            <w:szCs w:val="18"/>
                          </w:rPr>
                          <w:t>prior to or during treatment</w:t>
                        </w:r>
                        <w:r w:rsidRPr="000D2F91">
                          <w:rPr>
                            <w:i/>
                            <w:sz w:val="18"/>
                            <w:szCs w:val="18"/>
                          </w:rPr>
                          <w:t>: patient shift if error exceeds action level</w:t>
                        </w:r>
                      </w:p>
                      <w:p w:rsidR="004E0185" w:rsidRDefault="004E0185" w:rsidP="001C5AD2"/>
                    </w:txbxContent>
                  </v:textbox>
                </v:shape>
                <v:shape id="Text Box 31" o:spid="_x0000_s1055" type="#_x0000_t202" style="position:absolute;left:8301;top:9914;width:2666;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E0185" w:rsidRPr="000D2F91" w:rsidRDefault="004E0185" w:rsidP="001C5AD2">
                        <w:pPr>
                          <w:ind w:left="142"/>
                          <w:rPr>
                            <w:i/>
                            <w:sz w:val="18"/>
                            <w:szCs w:val="18"/>
                          </w:rPr>
                        </w:pPr>
                        <w:r w:rsidRPr="000D2F91">
                          <w:rPr>
                            <w:i/>
                            <w:sz w:val="18"/>
                            <w:szCs w:val="18"/>
                          </w:rPr>
                          <w:t xml:space="preserve">Imaging </w:t>
                        </w:r>
                        <w:r w:rsidRPr="000D2F91">
                          <w:rPr>
                            <w:b/>
                            <w:i/>
                            <w:sz w:val="18"/>
                            <w:szCs w:val="18"/>
                          </w:rPr>
                          <w:t>prior to or during treatment</w:t>
                        </w:r>
                        <w:r w:rsidRPr="000D2F91">
                          <w:rPr>
                            <w:i/>
                            <w:sz w:val="18"/>
                            <w:szCs w:val="18"/>
                          </w:rPr>
                          <w:t>: patient shift if error exceeds action level</w:t>
                        </w:r>
                      </w:p>
                      <w:p w:rsidR="004E0185" w:rsidRDefault="004E0185" w:rsidP="001C5AD2"/>
                    </w:txbxContent>
                  </v:textbox>
                </v:shape>
                <v:shape id="Text Box 32" o:spid="_x0000_s1056" type="#_x0000_t202" style="position:absolute;left:1784;top:11405;width:257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E0185" w:rsidRPr="000D2F91" w:rsidRDefault="004E0185" w:rsidP="001C5AD2">
                        <w:pPr>
                          <w:ind w:left="142"/>
                          <w:rPr>
                            <w:i/>
                            <w:sz w:val="18"/>
                            <w:szCs w:val="18"/>
                          </w:rPr>
                        </w:pPr>
                        <w:r w:rsidRPr="000D2F91">
                          <w:rPr>
                            <w:i/>
                            <w:sz w:val="18"/>
                            <w:szCs w:val="18"/>
                          </w:rPr>
                          <w:t xml:space="preserve">Verification imaging </w:t>
                        </w:r>
                        <w:r w:rsidRPr="000D2F91">
                          <w:rPr>
                            <w:b/>
                            <w:i/>
                            <w:sz w:val="18"/>
                            <w:szCs w:val="18"/>
                          </w:rPr>
                          <w:t>once weekly</w:t>
                        </w:r>
                        <w:r w:rsidRPr="000D2F91">
                          <w:rPr>
                            <w:i/>
                            <w:sz w:val="18"/>
                            <w:szCs w:val="18"/>
                          </w:rPr>
                          <w:t>, with off-line review to identify problems</w:t>
                        </w:r>
                      </w:p>
                    </w:txbxContent>
                  </v:textbox>
                </v:shape>
                <v:shape id="Text Box 33" o:spid="_x0000_s1057" type="#_x0000_t202" style="position:absolute;left:4940;top:11405;width:2798;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E0185" w:rsidRPr="000D2F91" w:rsidRDefault="004E0185" w:rsidP="001C5AD2">
                        <w:pPr>
                          <w:ind w:left="142"/>
                          <w:rPr>
                            <w:i/>
                            <w:sz w:val="16"/>
                            <w:szCs w:val="16"/>
                          </w:rPr>
                        </w:pPr>
                        <w:r w:rsidRPr="000D2F91">
                          <w:rPr>
                            <w:i/>
                            <w:sz w:val="16"/>
                            <w:szCs w:val="16"/>
                          </w:rPr>
                          <w:t>Change in setup position based on patient shifts from one or more previous fractions if warranted</w:t>
                        </w:r>
                      </w:p>
                      <w:p w:rsidR="004E0185" w:rsidRDefault="004E0185" w:rsidP="001C5AD2"/>
                    </w:txbxContent>
                  </v:textbox>
                </v:shape>
                <v:shape id="Text Box 34" o:spid="_x0000_s1058" type="#_x0000_t202" style="position:absolute;left:8390;top:11405;width:25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E0185" w:rsidRPr="000D2F91" w:rsidRDefault="004E0185" w:rsidP="001C5AD2">
                        <w:pPr>
                          <w:ind w:left="142"/>
                          <w:rPr>
                            <w:i/>
                            <w:sz w:val="16"/>
                            <w:szCs w:val="16"/>
                          </w:rPr>
                        </w:pPr>
                        <w:r w:rsidRPr="000D2F91">
                          <w:rPr>
                            <w:i/>
                            <w:sz w:val="16"/>
                            <w:szCs w:val="16"/>
                          </w:rPr>
                          <w:t>Change in setup position based on patient shifts from one or more previous fractions if warranted</w:t>
                        </w:r>
                      </w:p>
                      <w:p w:rsidR="004E0185" w:rsidRDefault="004E0185" w:rsidP="001C5AD2"/>
                    </w:txbxContent>
                  </v:textbox>
                </v:shape>
                <v:shape id="AutoShape 35" o:spid="_x0000_s1059" type="#_x0000_t32" style="position:absolute;left:6339;top:4307;width:1;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36" o:spid="_x0000_s1060" type="#_x0000_t32" style="position:absolute;left:6339;top:5098;width:1;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37" o:spid="_x0000_s1061" type="#_x0000_t32" style="position:absolute;left:6339;top:6077;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38" o:spid="_x0000_s1062" type="#_x0000_t32" style="position:absolute;left:6339;top:7382;width:1;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39" o:spid="_x0000_s1063" type="#_x0000_t32" style="position:absolute;left:6339;top:9371;width:1;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40" o:spid="_x0000_s1064" type="#_x0000_t32" style="position:absolute;left:6339;top:10757;width:1;height: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41" o:spid="_x0000_s1065" type="#_x0000_t32" style="position:absolute;left:3070;top:7505;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42" o:spid="_x0000_s1066" type="#_x0000_t32" style="position:absolute;left:3070;top:9550;width:1;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43" o:spid="_x0000_s1067" type="#_x0000_t32" style="position:absolute;left:3070;top:10825;width:1;height:5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x78MAAADbAAAADwAAAGRycy9kb3ducmV2LnhtbESPT2sCMRTE74V+h/AK3rrZFrSyGqUV&#10;BPFS/AN6fGyeu8HNy7KJm/XbN4LQ4zAzv2Hmy8E2oqfOG8cKPrIcBHHptOFKwfGwfp+C8AFZY+OY&#10;FNzJw3Lx+jLHQrvIO+r3oRIJwr5ABXUIbSGlL2uy6DPXEifv4jqLIcmukrrDmOC2kZ95PpEWDaeF&#10;Glta1VRe9zerwMRf07ebVfzZns5eRzL3sTNKjd6G7xmIQEP4Dz/bG61g/AW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5Me/DAAAA2wAAAA8AAAAAAAAAAAAA&#10;AAAAoQIAAGRycy9kb3ducmV2LnhtbFBLBQYAAAAABAAEAPkAAACRAwAAAAA=&#10;">
                  <v:stroke endarrow="block"/>
                </v:shape>
                <v:shape id="AutoShape 44" o:spid="_x0000_s1068" type="#_x0000_t32" style="position:absolute;left:9634;top:6077;width:1;height: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45" o:spid="_x0000_s1069" type="#_x0000_t32" style="position:absolute;left:9634;top:7579;width:1;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46" o:spid="_x0000_s1070" type="#_x0000_t32" style="position:absolute;left:9634;top:9371;width:1;height: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47" o:spid="_x0000_s1071" type="#_x0000_t32" style="position:absolute;left:9634;top:10757;width:6;height: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48" o:spid="_x0000_s1072" type="#_x0000_t32" style="position:absolute;left:6339;top:12329;width:1;height: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49" o:spid="_x0000_s1073" type="#_x0000_t33" style="position:absolute;left:4446;top:10953;width:518;height:32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gMIAAADbAAAADwAAAGRycy9kb3ducmV2LnhtbESPQWsCMRSE7wX/Q3iCl6LZVZCyGkUL&#10;C97arkU8PjbPzeLmZUlS3f77RhB6HGbmG2a9HWwnbuRD61hBPstAENdOt9wo+D6W0zcQISJr7ByT&#10;gl8KsN2MXtZYaHfnL7pVsREJwqFABSbGvpAy1IYshpnriZN3cd5iTNI3Unu8J7jt5DzLltJiy2nB&#10;YE/vhupr9WMV7D9Zf5zO80VZGpn711xXtotKTcbDbgUi0hD/w8/2QStYLuDxJf0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KgMIAAADbAAAADwAAAAAAAAAAAAAA&#10;AAChAgAAZHJzL2Rvd25yZXYueG1sUEsFBgAAAAAEAAQA+QAAAJADAAAAAA==&#10;"/>
                <v:shape id="AutoShape 50" o:spid="_x0000_s1074" type="#_x0000_t33" style="position:absolute;left:7731;top:10937;width:518;height:330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4QHMMAAADbAAAADwAAAGRycy9kb3ducmV2LnhtbESPT2vCQBTE7wW/w/KE3urGYkOIrhIK&#10;hfZmUy/eHtmXP5h9G3e3MfbTu4LQ4zAzv2E2u8n0YiTnO8sKlosEBHFldceNgsPPx0sGwgdkjb1l&#10;UnAlD7vt7GmDubYX/qaxDI2IEPY5KmhDGHIpfdWSQb+wA3H0ausMhihdI7XDS4SbXr4mSSoNdhwX&#10;WhzovaXqVP4aBcda7k+ImUu+0tIXq3P39xauSj3Pp2INItAU/sOP9qdWkK7g/iX+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eEBzDAAAA2wAAAA8AAAAAAAAAAAAA&#10;AAAAoQIAAGRycy9kb3ducmV2LnhtbFBLBQYAAAAABAAEAPkAAACRAwAAAAA=&#10;"/>
                <v:shape id="AutoShape 51" o:spid="_x0000_s1075" type="#_x0000_t32" style="position:absolute;left:6337;top:12847;width:2;height:4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w10:anchorlock/>
              </v:group>
            </w:pict>
          </mc:Fallback>
        </mc:AlternateContent>
      </w:r>
    </w:p>
    <w:p w:rsidR="009A77E8" w:rsidRDefault="009A77E8">
      <w:pPr>
        <w:rPr>
          <w:color w:val="3366FF"/>
          <w:szCs w:val="24"/>
        </w:rPr>
      </w:pPr>
      <w:r>
        <w:rPr>
          <w:color w:val="3366FF"/>
          <w:szCs w:val="24"/>
        </w:rPr>
        <w:br w:type="page"/>
      </w:r>
    </w:p>
    <w:p w:rsidR="00BC1364" w:rsidRPr="008D5885" w:rsidRDefault="00BC1364" w:rsidP="00BE3B9C">
      <w:pPr>
        <w:pStyle w:val="Heading1"/>
        <w:numPr>
          <w:ilvl w:val="0"/>
          <w:numId w:val="40"/>
        </w:numPr>
        <w:ind w:hanging="720"/>
      </w:pPr>
      <w:r w:rsidRPr="008D5885">
        <w:lastRenderedPageBreak/>
        <w:t xml:space="preserve">Comparator </w:t>
      </w:r>
    </w:p>
    <w:p w:rsidR="00BC1364" w:rsidRDefault="00BC1364" w:rsidP="00DD2858">
      <w:pPr>
        <w:rPr>
          <w:b/>
          <w:szCs w:val="24"/>
        </w:rPr>
      </w:pPr>
    </w:p>
    <w:p w:rsidR="00810045" w:rsidRPr="00625C54" w:rsidRDefault="001C5AD2" w:rsidP="00625C54">
      <w:pPr>
        <w:rPr>
          <w:rFonts w:eastAsia="Tahoma"/>
          <w:szCs w:val="24"/>
        </w:rPr>
      </w:pPr>
      <w:r>
        <w:t xml:space="preserve">The comparator is </w:t>
      </w:r>
      <w:r w:rsidR="00E465BD">
        <w:t xml:space="preserve">portal imaging with off-line post-treatment assessment which is currently </w:t>
      </w:r>
      <w:r w:rsidR="00E465BD" w:rsidRPr="00810045">
        <w:rPr>
          <w:szCs w:val="24"/>
        </w:rPr>
        <w:t xml:space="preserve">claimed under MBS items for treatment verification </w:t>
      </w:r>
      <w:r w:rsidR="00810045" w:rsidRPr="00810045">
        <w:rPr>
          <w:szCs w:val="24"/>
        </w:rPr>
        <w:t>(</w:t>
      </w:r>
      <w:r w:rsidRPr="00810045">
        <w:rPr>
          <w:szCs w:val="24"/>
        </w:rPr>
        <w:t>15700, 15705 and 15710</w:t>
      </w:r>
      <w:r w:rsidR="00810045" w:rsidRPr="00810045">
        <w:rPr>
          <w:szCs w:val="24"/>
        </w:rPr>
        <w:t>)</w:t>
      </w:r>
      <w:r w:rsidRPr="00810045">
        <w:rPr>
          <w:szCs w:val="24"/>
        </w:rPr>
        <w:t xml:space="preserve">.  </w:t>
      </w:r>
      <w:r w:rsidR="00810045">
        <w:rPr>
          <w:szCs w:val="24"/>
        </w:rPr>
        <w:t>This process may use:</w:t>
      </w:r>
    </w:p>
    <w:p w:rsidR="00810045" w:rsidRPr="00625C54" w:rsidRDefault="00810045" w:rsidP="00625C54">
      <w:pPr>
        <w:pStyle w:val="ListParagraph"/>
        <w:numPr>
          <w:ilvl w:val="0"/>
          <w:numId w:val="35"/>
        </w:numPr>
        <w:tabs>
          <w:tab w:val="left" w:pos="840"/>
        </w:tabs>
        <w:ind w:right="921"/>
        <w:rPr>
          <w:rFonts w:eastAsia="Tahoma"/>
          <w:szCs w:val="24"/>
        </w:rPr>
      </w:pPr>
      <w:r w:rsidRPr="00625C54">
        <w:rPr>
          <w:rFonts w:eastAsia="Tahoma"/>
          <w:szCs w:val="24"/>
        </w:rPr>
        <w:t>x-ra</w:t>
      </w:r>
      <w:r w:rsidRPr="00625C54">
        <w:rPr>
          <w:rFonts w:eastAsia="Tahoma"/>
          <w:spacing w:val="-1"/>
          <w:szCs w:val="24"/>
        </w:rPr>
        <w:t>y</w:t>
      </w:r>
      <w:r w:rsidRPr="00625C54">
        <w:rPr>
          <w:rFonts w:eastAsia="Tahoma"/>
          <w:szCs w:val="24"/>
        </w:rPr>
        <w:t>s (portal</w:t>
      </w:r>
      <w:r w:rsidRPr="00625C54">
        <w:rPr>
          <w:rFonts w:eastAsia="Tahoma"/>
          <w:spacing w:val="-1"/>
          <w:szCs w:val="24"/>
        </w:rPr>
        <w:t xml:space="preserve"> </w:t>
      </w:r>
      <w:r w:rsidRPr="00625C54">
        <w:rPr>
          <w:rFonts w:eastAsia="Tahoma"/>
          <w:szCs w:val="24"/>
        </w:rPr>
        <w:t>imaging, megavo</w:t>
      </w:r>
      <w:r w:rsidRPr="00625C54">
        <w:rPr>
          <w:rFonts w:eastAsia="Tahoma"/>
          <w:spacing w:val="-1"/>
          <w:szCs w:val="24"/>
        </w:rPr>
        <w:t>l</w:t>
      </w:r>
      <w:r w:rsidRPr="00625C54">
        <w:rPr>
          <w:rFonts w:eastAsia="Tahoma"/>
          <w:szCs w:val="24"/>
        </w:rPr>
        <w:t xml:space="preserve">tage or </w:t>
      </w:r>
      <w:proofErr w:type="spellStart"/>
      <w:r w:rsidRPr="00625C54">
        <w:rPr>
          <w:rFonts w:eastAsia="Tahoma"/>
          <w:szCs w:val="24"/>
        </w:rPr>
        <w:t>kilovoltage</w:t>
      </w:r>
      <w:proofErr w:type="spellEnd"/>
      <w:r w:rsidRPr="00625C54">
        <w:rPr>
          <w:rFonts w:eastAsia="Tahoma"/>
          <w:szCs w:val="24"/>
        </w:rPr>
        <w:t xml:space="preserve">, </w:t>
      </w:r>
      <w:r w:rsidRPr="00625C54">
        <w:rPr>
          <w:rFonts w:eastAsia="Tahoma"/>
          <w:spacing w:val="-1"/>
          <w:szCs w:val="24"/>
        </w:rPr>
        <w:t>u</w:t>
      </w:r>
      <w:r w:rsidRPr="00625C54">
        <w:rPr>
          <w:rFonts w:eastAsia="Tahoma"/>
          <w:spacing w:val="1"/>
          <w:szCs w:val="24"/>
        </w:rPr>
        <w:t>s</w:t>
      </w:r>
      <w:r w:rsidRPr="00625C54">
        <w:rPr>
          <w:rFonts w:eastAsia="Tahoma"/>
          <w:szCs w:val="24"/>
        </w:rPr>
        <w:t xml:space="preserve">ing a </w:t>
      </w:r>
      <w:proofErr w:type="spellStart"/>
      <w:r w:rsidRPr="00625C54">
        <w:rPr>
          <w:rFonts w:eastAsia="Tahoma"/>
          <w:spacing w:val="-1"/>
          <w:szCs w:val="24"/>
        </w:rPr>
        <w:t>l</w:t>
      </w:r>
      <w:r w:rsidRPr="00625C54">
        <w:rPr>
          <w:rFonts w:eastAsia="Tahoma"/>
          <w:szCs w:val="24"/>
        </w:rPr>
        <w:t>in</w:t>
      </w:r>
      <w:r w:rsidR="003E44C6">
        <w:rPr>
          <w:rFonts w:eastAsia="Tahoma"/>
          <w:szCs w:val="24"/>
        </w:rPr>
        <w:t>ac</w:t>
      </w:r>
      <w:proofErr w:type="spellEnd"/>
      <w:r w:rsidRPr="00625C54">
        <w:rPr>
          <w:rFonts w:eastAsia="Tahoma"/>
          <w:szCs w:val="24"/>
        </w:rPr>
        <w:t>);</w:t>
      </w:r>
    </w:p>
    <w:p w:rsidR="00810045" w:rsidRPr="00625C54" w:rsidRDefault="00810045" w:rsidP="00625C54">
      <w:pPr>
        <w:pStyle w:val="ListParagraph"/>
        <w:numPr>
          <w:ilvl w:val="0"/>
          <w:numId w:val="35"/>
        </w:numPr>
        <w:tabs>
          <w:tab w:val="left" w:pos="840"/>
        </w:tabs>
        <w:spacing w:before="5"/>
        <w:ind w:right="-20"/>
        <w:rPr>
          <w:rFonts w:eastAsia="Tahoma"/>
          <w:szCs w:val="24"/>
        </w:rPr>
      </w:pPr>
      <w:r w:rsidRPr="00625C54">
        <w:rPr>
          <w:rFonts w:eastAsia="Tahoma"/>
          <w:szCs w:val="24"/>
        </w:rPr>
        <w:t>computed tomography; or</w:t>
      </w:r>
    </w:p>
    <w:p w:rsidR="003E44C6" w:rsidRPr="00625C54" w:rsidRDefault="00810045" w:rsidP="00625C54">
      <w:pPr>
        <w:pStyle w:val="ListParagraph"/>
        <w:numPr>
          <w:ilvl w:val="0"/>
          <w:numId w:val="35"/>
        </w:numPr>
        <w:rPr>
          <w:szCs w:val="24"/>
        </w:rPr>
      </w:pPr>
      <w:r w:rsidRPr="00625C54">
        <w:rPr>
          <w:rFonts w:eastAsia="Tahoma"/>
          <w:szCs w:val="24"/>
        </w:rPr>
        <w:t>ultrasound</w:t>
      </w:r>
      <w:r w:rsidR="003E44C6">
        <w:rPr>
          <w:rFonts w:eastAsia="Tahoma"/>
          <w:szCs w:val="24"/>
        </w:rPr>
        <w:t xml:space="preserve"> (</w:t>
      </w:r>
      <w:r w:rsidRPr="00625C54">
        <w:rPr>
          <w:rFonts w:eastAsia="Tahoma"/>
          <w:szCs w:val="24"/>
        </w:rPr>
        <w:t xml:space="preserve">images </w:t>
      </w:r>
      <w:r w:rsidR="003E44C6">
        <w:rPr>
          <w:rFonts w:eastAsia="Tahoma"/>
          <w:szCs w:val="24"/>
        </w:rPr>
        <w:t xml:space="preserve">captured </w:t>
      </w:r>
      <w:r w:rsidRPr="00625C54">
        <w:rPr>
          <w:rFonts w:eastAsia="Tahoma"/>
          <w:szCs w:val="24"/>
        </w:rPr>
        <w:t>in</w:t>
      </w:r>
      <w:r w:rsidRPr="00625C54">
        <w:rPr>
          <w:rFonts w:eastAsia="Tahoma"/>
          <w:spacing w:val="-1"/>
          <w:szCs w:val="24"/>
        </w:rPr>
        <w:t xml:space="preserve"> </w:t>
      </w:r>
      <w:r w:rsidRPr="00625C54">
        <w:rPr>
          <w:rFonts w:eastAsia="Tahoma"/>
          <w:szCs w:val="24"/>
        </w:rPr>
        <w:t>at least three dimensio</w:t>
      </w:r>
      <w:r w:rsidRPr="00625C54">
        <w:rPr>
          <w:rFonts w:eastAsia="Tahoma"/>
          <w:spacing w:val="-1"/>
          <w:szCs w:val="24"/>
        </w:rPr>
        <w:t>n</w:t>
      </w:r>
      <w:r w:rsidRPr="00625C54">
        <w:rPr>
          <w:rFonts w:eastAsia="Tahoma"/>
          <w:szCs w:val="24"/>
        </w:rPr>
        <w:t>s</w:t>
      </w:r>
      <w:r w:rsidR="008029B5">
        <w:rPr>
          <w:rFonts w:eastAsia="Tahoma"/>
          <w:szCs w:val="24"/>
        </w:rPr>
        <w:t>)</w:t>
      </w:r>
      <w:r w:rsidRPr="00625C54">
        <w:rPr>
          <w:rFonts w:eastAsia="Tahoma"/>
          <w:szCs w:val="24"/>
        </w:rPr>
        <w:t xml:space="preserve">; </w:t>
      </w:r>
    </w:p>
    <w:p w:rsidR="001C5AD2" w:rsidRPr="003E44C6" w:rsidRDefault="003E44C6" w:rsidP="003E44C6">
      <w:pPr>
        <w:rPr>
          <w:szCs w:val="24"/>
        </w:rPr>
      </w:pPr>
      <w:r>
        <w:rPr>
          <w:rFonts w:eastAsia="Tahoma"/>
          <w:szCs w:val="24"/>
        </w:rPr>
        <w:t>In addition, there must be</w:t>
      </w:r>
      <w:r w:rsidR="00810045" w:rsidRPr="00625C54">
        <w:rPr>
          <w:rFonts w:eastAsia="Tahoma"/>
          <w:szCs w:val="24"/>
        </w:rPr>
        <w:t xml:space="preserve"> a re</w:t>
      </w:r>
      <w:r w:rsidR="00810045" w:rsidRPr="00625C54">
        <w:rPr>
          <w:rFonts w:eastAsia="Tahoma"/>
          <w:spacing w:val="-1"/>
          <w:szCs w:val="24"/>
        </w:rPr>
        <w:t>c</w:t>
      </w:r>
      <w:r w:rsidR="00810045" w:rsidRPr="00625C54">
        <w:rPr>
          <w:rFonts w:eastAsia="Tahoma"/>
          <w:szCs w:val="24"/>
        </w:rPr>
        <w:t>ord of the assess</w:t>
      </w:r>
      <w:r w:rsidR="00810045" w:rsidRPr="00625C54">
        <w:rPr>
          <w:rFonts w:eastAsia="Tahoma"/>
          <w:spacing w:val="-2"/>
          <w:szCs w:val="24"/>
        </w:rPr>
        <w:t>m</w:t>
      </w:r>
      <w:r w:rsidR="00810045" w:rsidRPr="00625C54">
        <w:rPr>
          <w:rFonts w:eastAsia="Tahoma"/>
          <w:szCs w:val="24"/>
        </w:rPr>
        <w:t xml:space="preserve">ent(s) and any </w:t>
      </w:r>
      <w:r w:rsidR="00810045" w:rsidRPr="00625C54">
        <w:rPr>
          <w:rFonts w:eastAsia="Tahoma"/>
          <w:spacing w:val="-1"/>
          <w:szCs w:val="24"/>
        </w:rPr>
        <w:t>c</w:t>
      </w:r>
      <w:r w:rsidR="00810045" w:rsidRPr="00625C54">
        <w:rPr>
          <w:rFonts w:eastAsia="Tahoma"/>
          <w:szCs w:val="24"/>
        </w:rPr>
        <w:t>o</w:t>
      </w:r>
      <w:r w:rsidR="00810045" w:rsidRPr="00625C54">
        <w:rPr>
          <w:rFonts w:eastAsia="Tahoma"/>
          <w:spacing w:val="-1"/>
          <w:szCs w:val="24"/>
        </w:rPr>
        <w:t>r</w:t>
      </w:r>
      <w:r w:rsidR="00810045" w:rsidRPr="00625C54">
        <w:rPr>
          <w:rFonts w:eastAsia="Tahoma"/>
          <w:szCs w:val="24"/>
        </w:rPr>
        <w:t>rection(s)</w:t>
      </w:r>
      <w:r w:rsidR="00810045" w:rsidRPr="00625C54">
        <w:rPr>
          <w:rFonts w:eastAsia="Tahoma"/>
          <w:spacing w:val="-1"/>
          <w:szCs w:val="24"/>
        </w:rPr>
        <w:t xml:space="preserve"> </w:t>
      </w:r>
      <w:r w:rsidR="00810045" w:rsidRPr="00625C54">
        <w:rPr>
          <w:rFonts w:eastAsia="Tahoma"/>
          <w:szCs w:val="24"/>
        </w:rPr>
        <w:t>of significant t</w:t>
      </w:r>
      <w:r w:rsidR="00810045" w:rsidRPr="00625C54">
        <w:rPr>
          <w:rFonts w:eastAsia="Tahoma"/>
          <w:spacing w:val="-1"/>
          <w:szCs w:val="24"/>
        </w:rPr>
        <w:t>r</w:t>
      </w:r>
      <w:r w:rsidR="00810045" w:rsidRPr="00625C54">
        <w:rPr>
          <w:rFonts w:eastAsia="Tahoma"/>
          <w:szCs w:val="24"/>
        </w:rPr>
        <w:t>eatment deli</w:t>
      </w:r>
      <w:r w:rsidR="00810045" w:rsidRPr="00625C54">
        <w:rPr>
          <w:rFonts w:eastAsia="Tahoma"/>
          <w:spacing w:val="-1"/>
          <w:szCs w:val="24"/>
        </w:rPr>
        <w:t>v</w:t>
      </w:r>
      <w:r w:rsidR="00810045" w:rsidRPr="00625C54">
        <w:rPr>
          <w:rFonts w:eastAsia="Tahoma"/>
          <w:szCs w:val="24"/>
        </w:rPr>
        <w:t>ery inaccuracies dete</w:t>
      </w:r>
      <w:r w:rsidR="00810045" w:rsidRPr="00625C54">
        <w:rPr>
          <w:rFonts w:eastAsia="Tahoma"/>
          <w:spacing w:val="-1"/>
          <w:szCs w:val="24"/>
        </w:rPr>
        <w:t>c</w:t>
      </w:r>
      <w:r w:rsidR="00810045" w:rsidRPr="00625C54">
        <w:rPr>
          <w:rFonts w:eastAsia="Tahoma"/>
          <w:szCs w:val="24"/>
        </w:rPr>
        <w:t>ted</w:t>
      </w:r>
      <w:r>
        <w:rPr>
          <w:rFonts w:eastAsia="Tahoma"/>
          <w:szCs w:val="24"/>
        </w:rPr>
        <w:t>.</w:t>
      </w:r>
    </w:p>
    <w:p w:rsidR="00BC1364" w:rsidRPr="00810045" w:rsidRDefault="00BC1364" w:rsidP="00DD2858">
      <w:pPr>
        <w:rPr>
          <w:b/>
          <w:szCs w:val="24"/>
        </w:rPr>
      </w:pPr>
    </w:p>
    <w:p w:rsidR="00BC1364" w:rsidRPr="008D5885" w:rsidRDefault="00BC1364" w:rsidP="00BE3B9C">
      <w:pPr>
        <w:pStyle w:val="Heading1"/>
        <w:numPr>
          <w:ilvl w:val="0"/>
          <w:numId w:val="40"/>
        </w:numPr>
        <w:ind w:hanging="720"/>
      </w:pPr>
      <w:r w:rsidRPr="008D5885">
        <w:t>Comparative safety</w:t>
      </w:r>
    </w:p>
    <w:p w:rsidR="00BC1364" w:rsidRDefault="00BC1364" w:rsidP="00DD2858">
      <w:pPr>
        <w:pStyle w:val="ListParagraph"/>
        <w:ind w:left="0"/>
        <w:rPr>
          <w:b/>
          <w:szCs w:val="24"/>
        </w:rPr>
      </w:pPr>
    </w:p>
    <w:p w:rsidR="001C5AD2" w:rsidRPr="008B5BAE" w:rsidRDefault="001C5AD2" w:rsidP="001C5AD2">
      <w:pPr>
        <w:pStyle w:val="CommentText"/>
        <w:rPr>
          <w:sz w:val="24"/>
          <w:szCs w:val="24"/>
        </w:rPr>
      </w:pPr>
      <w:r w:rsidRPr="008B5BAE">
        <w:rPr>
          <w:sz w:val="24"/>
          <w:szCs w:val="24"/>
        </w:rPr>
        <w:t xml:space="preserve">Nine studies reported patient safety outcomes.  Seven of the nine </w:t>
      </w:r>
      <w:r w:rsidRPr="005B21F8">
        <w:rPr>
          <w:sz w:val="24"/>
          <w:szCs w:val="24"/>
        </w:rPr>
        <w:t xml:space="preserve">studies reporting safety </w:t>
      </w:r>
      <w:r w:rsidRPr="008B5BAE">
        <w:rPr>
          <w:sz w:val="24"/>
          <w:szCs w:val="24"/>
        </w:rPr>
        <w:t xml:space="preserve">were </w:t>
      </w:r>
      <w:r>
        <w:rPr>
          <w:sz w:val="24"/>
          <w:szCs w:val="24"/>
        </w:rPr>
        <w:t xml:space="preserve">for </w:t>
      </w:r>
      <w:r w:rsidRPr="008B5BAE">
        <w:rPr>
          <w:sz w:val="24"/>
          <w:szCs w:val="24"/>
        </w:rPr>
        <w:t>prostate cancer</w:t>
      </w:r>
      <w:r>
        <w:rPr>
          <w:sz w:val="24"/>
          <w:szCs w:val="24"/>
        </w:rPr>
        <w:t xml:space="preserve"> and </w:t>
      </w:r>
      <w:r w:rsidRPr="008B5BAE">
        <w:rPr>
          <w:sz w:val="24"/>
          <w:szCs w:val="24"/>
        </w:rPr>
        <w:t xml:space="preserve">a single study </w:t>
      </w:r>
      <w:r>
        <w:rPr>
          <w:sz w:val="24"/>
          <w:szCs w:val="24"/>
        </w:rPr>
        <w:t xml:space="preserve">on </w:t>
      </w:r>
      <w:r w:rsidRPr="008B5BAE">
        <w:rPr>
          <w:sz w:val="24"/>
          <w:szCs w:val="24"/>
        </w:rPr>
        <w:t xml:space="preserve">each </w:t>
      </w:r>
      <w:r>
        <w:rPr>
          <w:sz w:val="24"/>
          <w:szCs w:val="24"/>
        </w:rPr>
        <w:t>for</w:t>
      </w:r>
      <w:r w:rsidRPr="008B5BAE">
        <w:rPr>
          <w:sz w:val="24"/>
          <w:szCs w:val="24"/>
        </w:rPr>
        <w:t xml:space="preserve"> early </w:t>
      </w:r>
      <w:r w:rsidR="00D5620F">
        <w:rPr>
          <w:sz w:val="24"/>
          <w:szCs w:val="24"/>
        </w:rPr>
        <w:t xml:space="preserve">stage </w:t>
      </w:r>
      <w:r w:rsidRPr="008B5BAE">
        <w:rPr>
          <w:sz w:val="24"/>
          <w:szCs w:val="24"/>
        </w:rPr>
        <w:t>Hodgkin</w:t>
      </w:r>
      <w:r>
        <w:rPr>
          <w:sz w:val="24"/>
          <w:szCs w:val="24"/>
        </w:rPr>
        <w:t>’</w:t>
      </w:r>
      <w:r w:rsidRPr="008B5BAE">
        <w:rPr>
          <w:sz w:val="24"/>
          <w:szCs w:val="24"/>
        </w:rPr>
        <w:t xml:space="preserve">s </w:t>
      </w:r>
      <w:r w:rsidR="00D5620F">
        <w:rPr>
          <w:sz w:val="24"/>
          <w:szCs w:val="24"/>
        </w:rPr>
        <w:t>l</w:t>
      </w:r>
      <w:r w:rsidR="00D5620F" w:rsidRPr="008B5BAE">
        <w:rPr>
          <w:sz w:val="24"/>
          <w:szCs w:val="24"/>
        </w:rPr>
        <w:t xml:space="preserve">ymphoma </w:t>
      </w:r>
      <w:r w:rsidRPr="008B5BAE">
        <w:rPr>
          <w:sz w:val="24"/>
          <w:szCs w:val="24"/>
        </w:rPr>
        <w:t xml:space="preserve">and </w:t>
      </w:r>
      <w:r>
        <w:rPr>
          <w:sz w:val="24"/>
          <w:szCs w:val="24"/>
        </w:rPr>
        <w:t>h</w:t>
      </w:r>
      <w:r w:rsidRPr="008B5BAE">
        <w:rPr>
          <w:sz w:val="24"/>
          <w:szCs w:val="24"/>
        </w:rPr>
        <w:t>ead</w:t>
      </w:r>
      <w:r>
        <w:rPr>
          <w:sz w:val="24"/>
          <w:szCs w:val="24"/>
        </w:rPr>
        <w:t xml:space="preserve"> </w:t>
      </w:r>
      <w:r w:rsidRPr="008B5BAE">
        <w:rPr>
          <w:sz w:val="24"/>
          <w:szCs w:val="24"/>
        </w:rPr>
        <w:t>&amp; neck</w:t>
      </w:r>
      <w:r>
        <w:rPr>
          <w:sz w:val="24"/>
          <w:szCs w:val="24"/>
        </w:rPr>
        <w:t xml:space="preserve"> cancer</w:t>
      </w:r>
      <w:r w:rsidRPr="008B5BAE">
        <w:rPr>
          <w:sz w:val="24"/>
          <w:szCs w:val="24"/>
        </w:rPr>
        <w:t>.</w:t>
      </w:r>
    </w:p>
    <w:p w:rsidR="001C5AD2" w:rsidRDefault="001C5AD2" w:rsidP="001C5AD2">
      <w:pPr>
        <w:pStyle w:val="CommentText"/>
      </w:pPr>
    </w:p>
    <w:p w:rsidR="001C5AD2" w:rsidRDefault="00ED5EA2" w:rsidP="001C5AD2">
      <w:pPr>
        <w:spacing w:after="240"/>
      </w:pPr>
      <w:r>
        <w:t>There wa</w:t>
      </w:r>
      <w:r w:rsidR="001C5AD2">
        <w:t>s conflicting evidence for safety in prostate cancer, but the majority of studies suggest IGRT leads to a reduction in rectal and bladder toxicities in the treatment of prostate cancer compared to no IGRT, and a reduction in oesophagitis in head and neck cancers.</w:t>
      </w:r>
    </w:p>
    <w:p w:rsidR="001C5AD2" w:rsidRDefault="001C5AD2" w:rsidP="001C5AD2">
      <w:pPr>
        <w:spacing w:after="240"/>
      </w:pPr>
      <w:r>
        <w:t xml:space="preserve">Seven studies reported on the comparative safety of IGRT versus no IGRT in the treatment of </w:t>
      </w:r>
      <w:r w:rsidRPr="00BE01B4">
        <w:rPr>
          <w:i/>
        </w:rPr>
        <w:t>prostate cancer</w:t>
      </w:r>
      <w:r>
        <w:t>. The IGRT methods used and the comparators in each of the studies varied. The most common adverse events reported were rectal/gastrointestinal and bladder/genitourinary.</w:t>
      </w:r>
    </w:p>
    <w:p w:rsidR="001C5AD2" w:rsidRDefault="001C5AD2" w:rsidP="001C5AD2">
      <w:pPr>
        <w:spacing w:after="240"/>
      </w:pPr>
      <w:r>
        <w:t>With respect to rectal/gastrointestinal adverse events, three of the studies reported statistically significant reductions of such events amongst patients treated with IGRT compared with no image guidance; two reported no differences; and the remaining study reported worse acute rectal toxicity amongst patients treated with IGRT compared with no IGRT.</w:t>
      </w:r>
    </w:p>
    <w:p w:rsidR="001C5AD2" w:rsidRDefault="001C5AD2" w:rsidP="001C5AD2">
      <w:pPr>
        <w:spacing w:after="240"/>
      </w:pPr>
      <w:r>
        <w:t>For bladder/genitourinary toxicities, five studies reported these events. Statistically significant reductions in bladder/genitourinary toxicities were reported in four studies; no difference in one study; and one study reported worse acute bladder toxicity amongst patients treated with IGRT compared with no IGRT.</w:t>
      </w:r>
    </w:p>
    <w:p w:rsidR="001C5AD2" w:rsidRDefault="001C5AD2" w:rsidP="001C5AD2">
      <w:pPr>
        <w:spacing w:after="240"/>
      </w:pPr>
      <w:r>
        <w:t>The results reported across the studies are not consistent, however the majority do suggest better rectal and bladder safety profiles for IGRT when used in the treatment of prostate cancer versus no IGRT.</w:t>
      </w:r>
    </w:p>
    <w:p w:rsidR="001C5AD2" w:rsidRDefault="001C5AD2" w:rsidP="001C5AD2">
      <w:pPr>
        <w:spacing w:after="240"/>
      </w:pPr>
      <w:r>
        <w:t xml:space="preserve">One study reported comparative safety of IGRT and no IGRT in </w:t>
      </w:r>
      <w:r w:rsidRPr="00BE01B4">
        <w:rPr>
          <w:i/>
        </w:rPr>
        <w:t xml:space="preserve">early stage Hodgkin’s </w:t>
      </w:r>
      <w:r w:rsidR="00D5620F" w:rsidRPr="00BE01B4">
        <w:rPr>
          <w:i/>
        </w:rPr>
        <w:t>lymphoma</w:t>
      </w:r>
      <w:r>
        <w:t>.  The incidence of grade 2 adverse events in patients treated with 3D-CRT was statistically significantly greater than those treated with IGRT (Pearson Χ2=4.09, P= 0.043).</w:t>
      </w:r>
    </w:p>
    <w:p w:rsidR="00BC1364" w:rsidRPr="00707064" w:rsidRDefault="001C5AD2" w:rsidP="00223750">
      <w:pPr>
        <w:spacing w:after="240"/>
        <w:rPr>
          <w:b/>
          <w:szCs w:val="24"/>
        </w:rPr>
      </w:pPr>
      <w:r>
        <w:t xml:space="preserve">One study reported comparative safety of IGRT and no IGRT in the treatment of </w:t>
      </w:r>
      <w:r w:rsidRPr="00BE01B4">
        <w:rPr>
          <w:i/>
        </w:rPr>
        <w:t>head &amp; neck cancers</w:t>
      </w:r>
      <w:r>
        <w:t>. The results from this study indicate</w:t>
      </w:r>
      <w:r w:rsidR="00ED5EA2">
        <w:t>d</w:t>
      </w:r>
      <w:r>
        <w:t xml:space="preserve"> a statistically significant reduction in the rate of oesophagitis (RR=1.6, p=0.34) with the use of image guidance, however no differences were observed for the other reported adverse event outcomes of oral </w:t>
      </w:r>
      <w:proofErr w:type="spellStart"/>
      <w:r>
        <w:t>mucositis</w:t>
      </w:r>
      <w:proofErr w:type="spellEnd"/>
      <w:r>
        <w:t xml:space="preserve">, dysphagia or </w:t>
      </w:r>
      <w:proofErr w:type="spellStart"/>
      <w:r>
        <w:t>xerostomia</w:t>
      </w:r>
      <w:proofErr w:type="spellEnd"/>
      <w:r>
        <w:t>.</w:t>
      </w:r>
    </w:p>
    <w:p w:rsidR="00FD5F23" w:rsidRDefault="00FD5F23">
      <w:pPr>
        <w:rPr>
          <w:rFonts w:ascii="Arial" w:hAnsi="Arial"/>
          <w:b/>
          <w:bCs/>
          <w:szCs w:val="28"/>
        </w:rPr>
      </w:pPr>
      <w:r>
        <w:br w:type="page"/>
      </w:r>
    </w:p>
    <w:p w:rsidR="00BC1364" w:rsidRPr="008D5885" w:rsidRDefault="00BC1364" w:rsidP="00BE3B9C">
      <w:pPr>
        <w:pStyle w:val="Heading1"/>
        <w:numPr>
          <w:ilvl w:val="0"/>
          <w:numId w:val="40"/>
        </w:numPr>
        <w:ind w:hanging="720"/>
      </w:pPr>
      <w:r w:rsidRPr="008D5885">
        <w:lastRenderedPageBreak/>
        <w:t>Comparative effectiveness</w:t>
      </w:r>
    </w:p>
    <w:p w:rsidR="00BC1364" w:rsidRDefault="00BC1364" w:rsidP="00DD2858">
      <w:pPr>
        <w:rPr>
          <w:b/>
        </w:rPr>
      </w:pPr>
    </w:p>
    <w:p w:rsidR="001C5AD2" w:rsidRPr="009D1B78" w:rsidRDefault="001C5AD2" w:rsidP="001C5AD2">
      <w:pPr>
        <w:spacing w:after="240"/>
      </w:pPr>
      <w:r>
        <w:t>T</w:t>
      </w:r>
      <w:r w:rsidRPr="006C541F">
        <w:t>en studies reported systematic and random errors of IGRT compared to no IGRT</w:t>
      </w:r>
      <w:r>
        <w:t>;</w:t>
      </w:r>
      <w:r w:rsidRPr="006C541F">
        <w:t xml:space="preserve"> </w:t>
      </w:r>
      <w:r>
        <w:t>21</w:t>
      </w:r>
      <w:r w:rsidRPr="006C541F">
        <w:t xml:space="preserve"> studies reported the margins used in converting </w:t>
      </w:r>
      <w:r w:rsidR="0086584D">
        <w:t>clinical target volume (</w:t>
      </w:r>
      <w:r w:rsidRPr="006C541F">
        <w:t>CTV</w:t>
      </w:r>
      <w:r w:rsidR="0086584D">
        <w:t>)</w:t>
      </w:r>
      <w:r w:rsidRPr="006C541F">
        <w:t xml:space="preserve"> to</w:t>
      </w:r>
      <w:r w:rsidR="0086584D">
        <w:t xml:space="preserve"> planning target volume</w:t>
      </w:r>
      <w:r w:rsidRPr="006C541F">
        <w:t xml:space="preserve"> </w:t>
      </w:r>
      <w:r w:rsidR="0086584D">
        <w:t>(</w:t>
      </w:r>
      <w:r w:rsidRPr="006C541F">
        <w:t>PTV</w:t>
      </w:r>
      <w:r w:rsidR="0086584D">
        <w:t>)</w:t>
      </w:r>
      <w:r w:rsidRPr="006C541F">
        <w:t xml:space="preserve"> with IGRT</w:t>
      </w:r>
      <w:r>
        <w:t>;</w:t>
      </w:r>
      <w:r w:rsidRPr="006C541F">
        <w:t xml:space="preserve"> </w:t>
      </w:r>
      <w:r>
        <w:t>s</w:t>
      </w:r>
      <w:r w:rsidRPr="006C541F">
        <w:t>even studies reported the dose to tumour in IGRT compared to no IGRT</w:t>
      </w:r>
      <w:r>
        <w:t>;</w:t>
      </w:r>
      <w:r w:rsidRPr="006C541F">
        <w:t xml:space="preserve"> </w:t>
      </w:r>
      <w:r>
        <w:t>16</w:t>
      </w:r>
      <w:r w:rsidRPr="006C541F">
        <w:t xml:space="preserve"> studies reported dose to normal tissue in IGRT compared to no IGRT</w:t>
      </w:r>
      <w:r>
        <w:t>;</w:t>
      </w:r>
      <w:r w:rsidRPr="006C541F">
        <w:t xml:space="preserve"> </w:t>
      </w:r>
      <w:r>
        <w:t xml:space="preserve">and five studies reported patient clinical outcomes. </w:t>
      </w:r>
    </w:p>
    <w:p w:rsidR="001C5AD2" w:rsidRPr="00063D99" w:rsidRDefault="001C5AD2" w:rsidP="001C5AD2">
      <w:pPr>
        <w:tabs>
          <w:tab w:val="left" w:pos="720"/>
        </w:tabs>
        <w:spacing w:before="120"/>
        <w:rPr>
          <w:b/>
          <w:szCs w:val="24"/>
        </w:rPr>
      </w:pPr>
      <w:r w:rsidRPr="00063D99">
        <w:rPr>
          <w:b/>
          <w:szCs w:val="24"/>
        </w:rPr>
        <w:t xml:space="preserve">Systematic and random errors </w:t>
      </w:r>
    </w:p>
    <w:p w:rsidR="001C5AD2" w:rsidRDefault="001C5AD2" w:rsidP="00223750">
      <w:r w:rsidRPr="00063D99">
        <w:t xml:space="preserve">Irrespective of cancer type, the consensus </w:t>
      </w:r>
      <w:r w:rsidR="00223750">
        <w:t>wa</w:t>
      </w:r>
      <w:r w:rsidRPr="00063D99">
        <w:t>s that IGRT will reduce systematic error associated with radiation therapy, and all studies but two (both of which reported no difference), reported a reduction in random error (one study did not report on random errors). However, the magnitude of error, as well as the reduction in error</w:t>
      </w:r>
      <w:r>
        <w:t>,</w:t>
      </w:r>
      <w:r w:rsidRPr="00063D99">
        <w:t xml:space="preserve"> varied across studies. </w:t>
      </w:r>
    </w:p>
    <w:p w:rsidR="00223750" w:rsidRPr="00063D99" w:rsidRDefault="00223750" w:rsidP="00223750"/>
    <w:p w:rsidR="001C5AD2" w:rsidRPr="009327BE" w:rsidRDefault="008029B5" w:rsidP="00223750">
      <w:pPr>
        <w:tabs>
          <w:tab w:val="left" w:pos="720"/>
        </w:tabs>
        <w:rPr>
          <w:b/>
          <w:szCs w:val="24"/>
        </w:rPr>
      </w:pPr>
      <w:r>
        <w:rPr>
          <w:b/>
          <w:szCs w:val="24"/>
        </w:rPr>
        <w:t>Clinical target volume (</w:t>
      </w:r>
      <w:r w:rsidR="001C5AD2" w:rsidRPr="009327BE">
        <w:rPr>
          <w:b/>
          <w:szCs w:val="24"/>
        </w:rPr>
        <w:t>CTV</w:t>
      </w:r>
      <w:r>
        <w:rPr>
          <w:b/>
          <w:szCs w:val="24"/>
        </w:rPr>
        <w:t>)</w:t>
      </w:r>
      <w:r w:rsidR="001C5AD2" w:rsidRPr="009327BE">
        <w:rPr>
          <w:b/>
          <w:szCs w:val="24"/>
        </w:rPr>
        <w:t xml:space="preserve"> to </w:t>
      </w:r>
      <w:r w:rsidR="0086584D">
        <w:rPr>
          <w:b/>
          <w:szCs w:val="24"/>
        </w:rPr>
        <w:t>PTV</w:t>
      </w:r>
    </w:p>
    <w:p w:rsidR="001C5AD2" w:rsidRPr="00BE01B4" w:rsidRDefault="001C5AD2" w:rsidP="001C5AD2">
      <w:pPr>
        <w:rPr>
          <w:i/>
        </w:rPr>
      </w:pPr>
      <w:r>
        <w:t>R</w:t>
      </w:r>
      <w:r w:rsidRPr="00063D99">
        <w:t>esults from the studies consistently indicate</w:t>
      </w:r>
      <w:r>
        <w:t>d</w:t>
      </w:r>
      <w:r w:rsidRPr="00063D99">
        <w:t xml:space="preserve"> that smaller PTV margins result</w:t>
      </w:r>
      <w:r>
        <w:t>ed</w:t>
      </w:r>
      <w:r w:rsidRPr="00063D99">
        <w:t xml:space="preserve"> when daily IGRT </w:t>
      </w:r>
      <w:r>
        <w:t>wa</w:t>
      </w:r>
      <w:r w:rsidRPr="00063D99">
        <w:t>s employed</w:t>
      </w:r>
      <w:r>
        <w:t>,</w:t>
      </w:r>
      <w:r w:rsidRPr="00063D99">
        <w:t xml:space="preserve"> compared with no daily IGRT in the treatment of cancer, although the magnitude of the margins and changes to those margins varied markedly between studies. </w:t>
      </w:r>
      <w:r w:rsidR="00D5620F">
        <w:t xml:space="preserve">Most studies compared IGRT volumes to non-IGRT </w:t>
      </w:r>
      <w:r w:rsidR="00D5620F">
        <w:rPr>
          <w:i/>
        </w:rPr>
        <w:t>simulations.</w:t>
      </w:r>
    </w:p>
    <w:p w:rsidR="001C5AD2" w:rsidRDefault="001C5AD2" w:rsidP="001C5AD2"/>
    <w:p w:rsidR="001C5AD2" w:rsidRDefault="001C5AD2" w:rsidP="00223750">
      <w:r w:rsidRPr="00063D99">
        <w:t>One study reported that a very large proportion of fractions would have been outside the 5</w:t>
      </w:r>
      <w:r>
        <w:t>mm</w:t>
      </w:r>
      <w:r w:rsidRPr="00063D99">
        <w:t xml:space="preserve"> (69%) and 3mm (93%) margins in the absence of daily IGRT, although another study did not report any statistical</w:t>
      </w:r>
      <w:r>
        <w:t>ly</w:t>
      </w:r>
      <w:r w:rsidRPr="00063D99">
        <w:t xml:space="preserve"> significant differences in the number of unsuccessful fractions between IGRT and no IGRT (defined as the CTV coverage by the 95% </w:t>
      </w:r>
      <w:proofErr w:type="spellStart"/>
      <w:r w:rsidRPr="00063D99">
        <w:t>isodose</w:t>
      </w:r>
      <w:proofErr w:type="spellEnd"/>
      <w:r w:rsidRPr="00063D99">
        <w:t xml:space="preserve"> line being &lt;99%). </w:t>
      </w:r>
    </w:p>
    <w:p w:rsidR="00223750" w:rsidRPr="00063D99" w:rsidRDefault="00223750" w:rsidP="00223750"/>
    <w:p w:rsidR="001C5AD2" w:rsidRPr="00063D99" w:rsidRDefault="001C5AD2" w:rsidP="00223750">
      <w:pPr>
        <w:tabs>
          <w:tab w:val="left" w:pos="720"/>
        </w:tabs>
        <w:rPr>
          <w:b/>
          <w:szCs w:val="24"/>
        </w:rPr>
      </w:pPr>
      <w:r w:rsidRPr="00063D99">
        <w:rPr>
          <w:b/>
          <w:szCs w:val="24"/>
        </w:rPr>
        <w:t>Dose to Tumour</w:t>
      </w:r>
    </w:p>
    <w:p w:rsidR="001C5AD2" w:rsidRDefault="001C5AD2" w:rsidP="001C5AD2">
      <w:r>
        <w:t>One</w:t>
      </w:r>
      <w:r w:rsidRPr="00063D99">
        <w:t xml:space="preserve"> study did not report statistical significance</w:t>
      </w:r>
      <w:r>
        <w:t>,</w:t>
      </w:r>
      <w:r w:rsidRPr="00063D99">
        <w:t xml:space="preserve"> but </w:t>
      </w:r>
      <w:r>
        <w:t xml:space="preserve">based on the </w:t>
      </w:r>
      <w:r w:rsidRPr="00063D99">
        <w:t>results presented</w:t>
      </w:r>
      <w:r>
        <w:t>,</w:t>
      </w:r>
      <w:r w:rsidRPr="00063D99">
        <w:t xml:space="preserve"> there is likely no difference in the dose delivered to tumour in rectal cancer between IGRT and no IGRT. </w:t>
      </w:r>
    </w:p>
    <w:p w:rsidR="001C5AD2" w:rsidRDefault="001C5AD2" w:rsidP="001C5AD2"/>
    <w:p w:rsidR="001C5AD2" w:rsidRDefault="001C5AD2" w:rsidP="001C5AD2">
      <w:r w:rsidRPr="00063D99">
        <w:t xml:space="preserve">One </w:t>
      </w:r>
      <w:r w:rsidRPr="00BE01B4">
        <w:rPr>
          <w:i/>
        </w:rPr>
        <w:t>prostate cancer</w:t>
      </w:r>
      <w:r w:rsidRPr="00063D99">
        <w:t xml:space="preserve"> </w:t>
      </w:r>
      <w:r>
        <w:t>study</w:t>
      </w:r>
      <w:r w:rsidRPr="00063D99">
        <w:t xml:space="preserve"> reported that a statistically significantly higher minimal radiation dose was delivered to 100% of the prostate target, whereas a lower dose was delivered to 95% of the pelvic node</w:t>
      </w:r>
      <w:r>
        <w:t>,</w:t>
      </w:r>
      <w:r w:rsidRPr="00063D99">
        <w:t xml:space="preserve"> and a reduced maximum dose that covered 2cm</w:t>
      </w:r>
      <w:r w:rsidRPr="00223750">
        <w:rPr>
          <w:vertAlign w:val="superscript"/>
        </w:rPr>
        <w:t>3</w:t>
      </w:r>
      <w:r w:rsidRPr="00063D99">
        <w:t xml:space="preserve"> of the pelvic node target in the IGRT c</w:t>
      </w:r>
      <w:r w:rsidR="001F7EB9">
        <w:t>ompared with the no IGRT group.</w:t>
      </w:r>
    </w:p>
    <w:p w:rsidR="001C5AD2" w:rsidRDefault="001C5AD2" w:rsidP="001C5AD2"/>
    <w:p w:rsidR="001C5AD2" w:rsidRDefault="001C5AD2" w:rsidP="001C5AD2">
      <w:r w:rsidRPr="00063D99">
        <w:t>The other prostate cancer study reported that a statistically significantly higher minimal radiation dose was delivered to 95% of the prostate target. It should be highlighted that these prostate studies are of very different design – one comparing two cohorts of patients and the other comparing results from actual IGRT dose delivery to simulated no</w:t>
      </w:r>
      <w:r w:rsidR="0042708D">
        <w:t>n-</w:t>
      </w:r>
      <w:r w:rsidRPr="00063D99">
        <w:t>IGRT plans. This may aid in explain the discrepancy in the results.</w:t>
      </w:r>
    </w:p>
    <w:p w:rsidR="001C5AD2" w:rsidRPr="00063D99" w:rsidRDefault="001C5AD2" w:rsidP="001C5AD2"/>
    <w:p w:rsidR="001C5AD2" w:rsidRDefault="001C5AD2" w:rsidP="00223750">
      <w:r>
        <w:t>A</w:t>
      </w:r>
      <w:r w:rsidRPr="00063D99">
        <w:t xml:space="preserve"> </w:t>
      </w:r>
      <w:r w:rsidRPr="00BE01B4">
        <w:rPr>
          <w:i/>
        </w:rPr>
        <w:t>head and neck cancer</w:t>
      </w:r>
      <w:r w:rsidRPr="00063D99">
        <w:t xml:space="preserve"> study reported lower doses delivered to the tumour based on 95% of dose delivered to gross tumour volume and 95% clinical target volume prescribed to 60Gy, though no statistical significance was reported. One of the </w:t>
      </w:r>
      <w:r w:rsidRPr="00BE01B4">
        <w:rPr>
          <w:i/>
        </w:rPr>
        <w:t>lung cancer</w:t>
      </w:r>
      <w:r w:rsidRPr="00063D99">
        <w:t xml:space="preserve"> studies reported a range of uniformity measures for dosage delivered but the result</w:t>
      </w:r>
      <w:r w:rsidR="00223750">
        <w:t>s were inconsistent (there was a</w:t>
      </w:r>
      <w:r w:rsidRPr="00063D99">
        <w:t xml:space="preserve"> statistically significant difference in homogeneity index but not in conformity index) whilst the other reported statistically significantly higher minimum and maximum doses to the tumour.</w:t>
      </w:r>
      <w:r w:rsidR="0042708D">
        <w:t xml:space="preserve">  The head &amp; neck and lung cancer studies used non-IGRT simulations as the comparator.</w:t>
      </w:r>
    </w:p>
    <w:p w:rsidR="00223750" w:rsidRPr="00063D99" w:rsidRDefault="00223750" w:rsidP="00223750"/>
    <w:p w:rsidR="00FD5F23" w:rsidRDefault="00FD5F23" w:rsidP="00223750">
      <w:pPr>
        <w:tabs>
          <w:tab w:val="left" w:pos="720"/>
        </w:tabs>
        <w:rPr>
          <w:b/>
          <w:szCs w:val="24"/>
        </w:rPr>
      </w:pPr>
    </w:p>
    <w:p w:rsidR="001C5AD2" w:rsidRPr="00063D99" w:rsidRDefault="001C5AD2" w:rsidP="00223750">
      <w:pPr>
        <w:tabs>
          <w:tab w:val="left" w:pos="720"/>
        </w:tabs>
        <w:rPr>
          <w:b/>
          <w:szCs w:val="24"/>
        </w:rPr>
      </w:pPr>
      <w:r w:rsidRPr="00063D99">
        <w:rPr>
          <w:b/>
          <w:szCs w:val="24"/>
        </w:rPr>
        <w:lastRenderedPageBreak/>
        <w:t>Dose to normal tissue</w:t>
      </w:r>
    </w:p>
    <w:p w:rsidR="001C5AD2" w:rsidRDefault="001C5AD2" w:rsidP="00223750">
      <w:pPr>
        <w:tabs>
          <w:tab w:val="left" w:pos="720"/>
        </w:tabs>
        <w:rPr>
          <w:szCs w:val="24"/>
        </w:rPr>
      </w:pPr>
      <w:r w:rsidRPr="00063D99">
        <w:rPr>
          <w:szCs w:val="24"/>
        </w:rPr>
        <w:t>The majority of studies seem to conclude that IGRT delivers lower radiation to normal tissue</w:t>
      </w:r>
      <w:r w:rsidR="0042708D">
        <w:rPr>
          <w:szCs w:val="24"/>
        </w:rPr>
        <w:t>s</w:t>
      </w:r>
      <w:r w:rsidRPr="00063D99">
        <w:rPr>
          <w:szCs w:val="24"/>
        </w:rPr>
        <w:t xml:space="preserve"> and organ</w:t>
      </w:r>
      <w:r w:rsidR="0042708D">
        <w:rPr>
          <w:szCs w:val="24"/>
        </w:rPr>
        <w:t>s</w:t>
      </w:r>
      <w:r w:rsidRPr="00063D99">
        <w:rPr>
          <w:szCs w:val="24"/>
        </w:rPr>
        <w:t xml:space="preserve"> at risk in the treatment of cancer, though some fail to reach statistical significance (e.g. small bowel exposure in a prostate study, bladder exposure in a prostate study, mandibular dose in a head and neck cancer study).  The magnitude of reduction varies across studies and is likely to be due to the differences in study methods and patients enrolled. </w:t>
      </w:r>
    </w:p>
    <w:p w:rsidR="00223750" w:rsidRPr="00063D99" w:rsidRDefault="00223750" w:rsidP="00223750">
      <w:pPr>
        <w:tabs>
          <w:tab w:val="left" w:pos="720"/>
        </w:tabs>
        <w:rPr>
          <w:szCs w:val="24"/>
        </w:rPr>
      </w:pPr>
    </w:p>
    <w:p w:rsidR="001C5AD2" w:rsidRPr="00063D99" w:rsidRDefault="001C5AD2" w:rsidP="00223750">
      <w:pPr>
        <w:tabs>
          <w:tab w:val="left" w:pos="720"/>
        </w:tabs>
        <w:rPr>
          <w:b/>
          <w:szCs w:val="24"/>
        </w:rPr>
      </w:pPr>
      <w:r w:rsidRPr="00063D99">
        <w:rPr>
          <w:b/>
          <w:szCs w:val="24"/>
        </w:rPr>
        <w:t>Impact on health outcomes</w:t>
      </w:r>
    </w:p>
    <w:p w:rsidR="00223750" w:rsidRDefault="001C5AD2" w:rsidP="00223750">
      <w:pPr>
        <w:tabs>
          <w:tab w:val="left" w:pos="720"/>
        </w:tabs>
        <w:rPr>
          <w:szCs w:val="24"/>
        </w:rPr>
      </w:pPr>
      <w:r w:rsidRPr="00063D99">
        <w:rPr>
          <w:szCs w:val="24"/>
        </w:rPr>
        <w:t xml:space="preserve">Two of three </w:t>
      </w:r>
      <w:r w:rsidRPr="00BE01B4">
        <w:rPr>
          <w:i/>
          <w:szCs w:val="24"/>
        </w:rPr>
        <w:t>prostate cancer</w:t>
      </w:r>
      <w:r w:rsidRPr="00063D99">
        <w:rPr>
          <w:szCs w:val="24"/>
        </w:rPr>
        <w:t xml:space="preserve"> studies indicated statistically significant improve</w:t>
      </w:r>
      <w:r>
        <w:rPr>
          <w:szCs w:val="24"/>
        </w:rPr>
        <w:t>ments</w:t>
      </w:r>
      <w:r w:rsidRPr="00063D99">
        <w:rPr>
          <w:szCs w:val="24"/>
        </w:rPr>
        <w:t xml:space="preserve"> </w:t>
      </w:r>
      <w:r>
        <w:rPr>
          <w:szCs w:val="24"/>
        </w:rPr>
        <w:t xml:space="preserve">in </w:t>
      </w:r>
      <w:r w:rsidRPr="00063D99">
        <w:rPr>
          <w:szCs w:val="24"/>
        </w:rPr>
        <w:t xml:space="preserve">freedom from biochemical failure rates among those treated with IGRT compared with no IGRT, whilst the other reported </w:t>
      </w:r>
      <w:r w:rsidRPr="00AC7DA6">
        <w:rPr>
          <w:szCs w:val="24"/>
        </w:rPr>
        <w:t>no statistically significant differences (p=0.386) in the 3 year actuarial biochemical progression free survival between treatment with</w:t>
      </w:r>
      <w:r w:rsidR="0042708D">
        <w:rPr>
          <w:szCs w:val="24"/>
        </w:rPr>
        <w:t>out</w:t>
      </w:r>
      <w:r w:rsidRPr="00AC7DA6">
        <w:rPr>
          <w:szCs w:val="24"/>
        </w:rPr>
        <w:t xml:space="preserve"> (86.0%) and </w:t>
      </w:r>
      <w:r w:rsidR="0042708D">
        <w:rPr>
          <w:szCs w:val="24"/>
        </w:rPr>
        <w:t xml:space="preserve">with </w:t>
      </w:r>
      <w:r w:rsidRPr="00AC7DA6">
        <w:rPr>
          <w:szCs w:val="24"/>
        </w:rPr>
        <w:t>IGRT (90.3%).</w:t>
      </w:r>
    </w:p>
    <w:p w:rsidR="001C5AD2" w:rsidRPr="00063D99" w:rsidRDefault="001C5AD2" w:rsidP="00223750">
      <w:pPr>
        <w:tabs>
          <w:tab w:val="left" w:pos="720"/>
        </w:tabs>
        <w:rPr>
          <w:szCs w:val="24"/>
        </w:rPr>
      </w:pPr>
      <w:r w:rsidRPr="00AC7DA6">
        <w:rPr>
          <w:szCs w:val="24"/>
        </w:rPr>
        <w:t xml:space="preserve"> </w:t>
      </w:r>
    </w:p>
    <w:p w:rsidR="001C5AD2" w:rsidRDefault="001C5AD2" w:rsidP="00223750">
      <w:pPr>
        <w:tabs>
          <w:tab w:val="left" w:pos="720"/>
        </w:tabs>
        <w:rPr>
          <w:szCs w:val="24"/>
        </w:rPr>
      </w:pPr>
      <w:r>
        <w:rPr>
          <w:szCs w:val="24"/>
        </w:rPr>
        <w:t>A</w:t>
      </w:r>
      <w:r w:rsidRPr="00063D99">
        <w:rPr>
          <w:szCs w:val="24"/>
        </w:rPr>
        <w:t xml:space="preserve"> </w:t>
      </w:r>
      <w:r w:rsidRPr="00BE01B4">
        <w:rPr>
          <w:i/>
          <w:szCs w:val="24"/>
        </w:rPr>
        <w:t>head and neck cancer</w:t>
      </w:r>
      <w:r w:rsidRPr="00063D99">
        <w:rPr>
          <w:szCs w:val="24"/>
        </w:rPr>
        <w:t xml:space="preserve"> study reported no differences between IGRT and no IGRT for three</w:t>
      </w:r>
      <w:r>
        <w:rPr>
          <w:szCs w:val="24"/>
        </w:rPr>
        <w:noBreakHyphen/>
      </w:r>
      <w:r w:rsidRPr="00063D99">
        <w:rPr>
          <w:szCs w:val="24"/>
        </w:rPr>
        <w:t>year loco-regional control or overall survival.</w:t>
      </w:r>
    </w:p>
    <w:p w:rsidR="00223750" w:rsidRPr="00063D99" w:rsidRDefault="00223750" w:rsidP="00223750">
      <w:pPr>
        <w:tabs>
          <w:tab w:val="left" w:pos="720"/>
        </w:tabs>
        <w:rPr>
          <w:szCs w:val="24"/>
        </w:rPr>
      </w:pPr>
    </w:p>
    <w:p w:rsidR="001C5AD2" w:rsidRDefault="001C5AD2" w:rsidP="00223750">
      <w:pPr>
        <w:tabs>
          <w:tab w:val="left" w:pos="709"/>
        </w:tabs>
        <w:rPr>
          <w:szCs w:val="24"/>
        </w:rPr>
      </w:pPr>
      <w:r>
        <w:rPr>
          <w:szCs w:val="24"/>
        </w:rPr>
        <w:t>One study</w:t>
      </w:r>
      <w:r w:rsidRPr="00AC7DA6">
        <w:rPr>
          <w:szCs w:val="24"/>
        </w:rPr>
        <w:t xml:space="preserve"> reported 3 year relapse</w:t>
      </w:r>
      <w:r>
        <w:rPr>
          <w:szCs w:val="24"/>
        </w:rPr>
        <w:t>-</w:t>
      </w:r>
      <w:r w:rsidRPr="00AC7DA6">
        <w:rPr>
          <w:szCs w:val="24"/>
        </w:rPr>
        <w:t xml:space="preserve">free survival rates for patients </w:t>
      </w:r>
      <w:r w:rsidR="0042708D">
        <w:rPr>
          <w:szCs w:val="24"/>
        </w:rPr>
        <w:t xml:space="preserve">with </w:t>
      </w:r>
      <w:r w:rsidR="0042708D" w:rsidRPr="00BE01B4">
        <w:rPr>
          <w:i/>
          <w:szCs w:val="24"/>
        </w:rPr>
        <w:t>Hodgkin’s lymphoma</w:t>
      </w:r>
      <w:r w:rsidR="0042708D">
        <w:rPr>
          <w:szCs w:val="24"/>
        </w:rPr>
        <w:t xml:space="preserve"> </w:t>
      </w:r>
      <w:r w:rsidRPr="00AC7DA6">
        <w:rPr>
          <w:szCs w:val="24"/>
        </w:rPr>
        <w:t>treated with</w:t>
      </w:r>
      <w:r w:rsidR="0042708D">
        <w:rPr>
          <w:szCs w:val="24"/>
        </w:rPr>
        <w:t>out</w:t>
      </w:r>
      <w:r w:rsidRPr="00AC7DA6">
        <w:rPr>
          <w:szCs w:val="24"/>
        </w:rPr>
        <w:t xml:space="preserve"> (n=49) compared to patients treated with IGRT (n=41).  The 3 year relapse-free survival rate for patients treated with 3D-CRT was 97.8%</w:t>
      </w:r>
      <w:r>
        <w:rPr>
          <w:szCs w:val="24"/>
        </w:rPr>
        <w:t>,</w:t>
      </w:r>
      <w:r w:rsidRPr="00AC7DA6">
        <w:rPr>
          <w:szCs w:val="24"/>
        </w:rPr>
        <w:t xml:space="preserve"> and for patients treated with IGRT it was 100%, with the difference not being statistically significant (p = 0.389). </w:t>
      </w:r>
      <w:r>
        <w:rPr>
          <w:szCs w:val="24"/>
        </w:rPr>
        <w:t>Two</w:t>
      </w:r>
      <w:r w:rsidRPr="00AC7DA6">
        <w:rPr>
          <w:szCs w:val="24"/>
        </w:rPr>
        <w:t xml:space="preserve"> cases of relapse w</w:t>
      </w:r>
      <w:r>
        <w:rPr>
          <w:szCs w:val="24"/>
        </w:rPr>
        <w:t>ere</w:t>
      </w:r>
      <w:r w:rsidRPr="00AC7DA6">
        <w:rPr>
          <w:szCs w:val="24"/>
        </w:rPr>
        <w:t xml:space="preserve"> reported, with </w:t>
      </w:r>
      <w:r>
        <w:rPr>
          <w:szCs w:val="24"/>
        </w:rPr>
        <w:t>one</w:t>
      </w:r>
      <w:r w:rsidRPr="00AC7DA6">
        <w:rPr>
          <w:szCs w:val="24"/>
        </w:rPr>
        <w:t xml:space="preserve"> in the 3D-CRT treatment group at 16 months</w:t>
      </w:r>
      <w:r>
        <w:rPr>
          <w:szCs w:val="24"/>
        </w:rPr>
        <w:t>,</w:t>
      </w:r>
      <w:r w:rsidRPr="00AC7DA6">
        <w:rPr>
          <w:szCs w:val="24"/>
        </w:rPr>
        <w:t xml:space="preserve"> and </w:t>
      </w:r>
      <w:r>
        <w:rPr>
          <w:szCs w:val="24"/>
        </w:rPr>
        <w:t>one</w:t>
      </w:r>
      <w:r w:rsidRPr="00AC7DA6">
        <w:rPr>
          <w:szCs w:val="24"/>
        </w:rPr>
        <w:t xml:space="preserve"> in the IGR</w:t>
      </w:r>
      <w:r>
        <w:rPr>
          <w:szCs w:val="24"/>
        </w:rPr>
        <w:t xml:space="preserve">T treatment group at 36 months. The Assessment Group noted </w:t>
      </w:r>
      <w:r w:rsidR="00223750">
        <w:rPr>
          <w:szCs w:val="24"/>
        </w:rPr>
        <w:t xml:space="preserve">that </w:t>
      </w:r>
      <w:r>
        <w:rPr>
          <w:szCs w:val="24"/>
        </w:rPr>
        <w:t xml:space="preserve">this </w:t>
      </w:r>
      <w:r w:rsidRPr="00AC7DA6">
        <w:rPr>
          <w:szCs w:val="24"/>
        </w:rPr>
        <w:t>appears to not have affected the relapse free survival rate, possibly because relapse was outside of field treated by RT.</w:t>
      </w:r>
    </w:p>
    <w:p w:rsidR="00BC1364" w:rsidRPr="000F14B4" w:rsidRDefault="00BC1364" w:rsidP="00DD2858">
      <w:pPr>
        <w:rPr>
          <w:b/>
          <w:color w:val="FF0000"/>
          <w:szCs w:val="24"/>
        </w:rPr>
      </w:pPr>
    </w:p>
    <w:p w:rsidR="00BC1364" w:rsidRDefault="00BC1364" w:rsidP="00BE3B9C">
      <w:pPr>
        <w:pStyle w:val="Heading1"/>
        <w:numPr>
          <w:ilvl w:val="0"/>
          <w:numId w:val="40"/>
        </w:numPr>
        <w:ind w:hanging="720"/>
      </w:pPr>
      <w:r w:rsidRPr="008D5885">
        <w:t>Economic evaluation</w:t>
      </w:r>
    </w:p>
    <w:p w:rsidR="00BC1364" w:rsidRDefault="00BC1364" w:rsidP="00DD2858">
      <w:pPr>
        <w:rPr>
          <w:b/>
          <w:szCs w:val="24"/>
        </w:rPr>
      </w:pPr>
    </w:p>
    <w:p w:rsidR="001C5AD2" w:rsidRPr="009641FF" w:rsidRDefault="001C5AD2" w:rsidP="001C5AD2">
      <w:r>
        <w:t>A</w:t>
      </w:r>
      <w:r w:rsidRPr="009641FF">
        <w:t xml:space="preserve"> cost minimisation approach against existing verification was adopted</w:t>
      </w:r>
      <w:r>
        <w:t xml:space="preserve"> due to</w:t>
      </w:r>
      <w:r w:rsidRPr="009641FF">
        <w:t xml:space="preserve"> </w:t>
      </w:r>
      <w:r w:rsidR="0042708D">
        <w:t>insufficient</w:t>
      </w:r>
      <w:r w:rsidRPr="009641FF">
        <w:t xml:space="preserve"> evidence </w:t>
      </w:r>
      <w:r>
        <w:t xml:space="preserve">of </w:t>
      </w:r>
      <w:r w:rsidR="0042708D">
        <w:t>improved</w:t>
      </w:r>
      <w:r w:rsidRPr="009641FF">
        <w:t xml:space="preserve"> clinical out</w:t>
      </w:r>
      <w:r>
        <w:t>comes between IGRT and non-IGRT</w:t>
      </w:r>
      <w:r w:rsidRPr="009641FF">
        <w:t xml:space="preserve">. The cost minimisation </w:t>
      </w:r>
      <w:r>
        <w:t xml:space="preserve">analysis was based on the </w:t>
      </w:r>
      <w:r w:rsidRPr="009641FF">
        <w:t>following assumptions:</w:t>
      </w:r>
    </w:p>
    <w:p w:rsidR="001C5AD2" w:rsidRPr="009641FF" w:rsidRDefault="001C5AD2" w:rsidP="001C5AD2">
      <w:pPr>
        <w:numPr>
          <w:ilvl w:val="0"/>
          <w:numId w:val="27"/>
        </w:numPr>
        <w:ind w:left="1134" w:hanging="425"/>
      </w:pPr>
      <w:r w:rsidRPr="009641FF">
        <w:t>Current practice is that a verification scan is done once daily for the first week (5</w:t>
      </w:r>
      <w:r w:rsidR="00223750">
        <w:t> </w:t>
      </w:r>
      <w:r w:rsidRPr="009641FF">
        <w:t>fractions) then once per week thereafter</w:t>
      </w:r>
      <w:r>
        <w:t xml:space="preserve"> (as specified in the final protocol)</w:t>
      </w:r>
      <w:r w:rsidRPr="009641FF">
        <w:t>.</w:t>
      </w:r>
    </w:p>
    <w:p w:rsidR="001C5AD2" w:rsidRPr="009641FF" w:rsidRDefault="001C5AD2" w:rsidP="001C5AD2">
      <w:pPr>
        <w:numPr>
          <w:ilvl w:val="0"/>
          <w:numId w:val="27"/>
        </w:numPr>
        <w:ind w:left="1134" w:hanging="425"/>
      </w:pPr>
      <w:r w:rsidRPr="009641FF">
        <w:t>The fee for verification is $76.60 per scan, based on MBS item 15705 and 15710</w:t>
      </w:r>
      <w:r>
        <w:t>.</w:t>
      </w:r>
    </w:p>
    <w:p w:rsidR="001C5AD2" w:rsidRPr="009641FF" w:rsidRDefault="0042708D" w:rsidP="001C5AD2">
      <w:pPr>
        <w:numPr>
          <w:ilvl w:val="0"/>
          <w:numId w:val="27"/>
        </w:numPr>
        <w:ind w:left="1134" w:hanging="425"/>
      </w:pPr>
      <w:r>
        <w:t>Either</w:t>
      </w:r>
      <w:r w:rsidR="001C5AD2" w:rsidRPr="009641FF">
        <w:t xml:space="preserve"> verification or IGRT imaging</w:t>
      </w:r>
      <w:r>
        <w:t>, but not both,</w:t>
      </w:r>
      <w:r w:rsidR="001C5AD2" w:rsidRPr="009641FF">
        <w:t xml:space="preserve"> may be claimed for each course of radiation therapy. </w:t>
      </w:r>
    </w:p>
    <w:p w:rsidR="001C5AD2" w:rsidRPr="009641FF" w:rsidRDefault="001C5AD2" w:rsidP="001C5AD2">
      <w:pPr>
        <w:numPr>
          <w:ilvl w:val="0"/>
          <w:numId w:val="27"/>
        </w:numPr>
        <w:ind w:left="1134" w:hanging="425"/>
      </w:pPr>
      <w:r w:rsidRPr="009641FF">
        <w:t>IGRT scans are done daily, and real time IGRT will attract the same MBS fee as daily imaging</w:t>
      </w:r>
      <w:r>
        <w:t>.</w:t>
      </w:r>
    </w:p>
    <w:p w:rsidR="001C5AD2" w:rsidRDefault="001C5AD2" w:rsidP="001C5AD2">
      <w:pPr>
        <w:numPr>
          <w:ilvl w:val="0"/>
          <w:numId w:val="27"/>
        </w:numPr>
        <w:spacing w:after="240"/>
        <w:ind w:left="1134" w:hanging="425"/>
      </w:pPr>
      <w:r>
        <w:t>T</w:t>
      </w:r>
      <w:r w:rsidRPr="009641FF">
        <w:t>he overall cost to the MBS</w:t>
      </w:r>
      <w:r w:rsidR="0042708D">
        <w:t xml:space="preserve"> per course of treatment</w:t>
      </w:r>
      <w:r w:rsidRPr="009641FF">
        <w:t>, based on MBS item fees paid, will be the same in both IGRT scenarios and the current situation with verification only</w:t>
      </w:r>
      <w:r>
        <w:t>.</w:t>
      </w:r>
    </w:p>
    <w:p w:rsidR="001C5AD2" w:rsidRPr="00AC7DA6" w:rsidRDefault="001C5AD2" w:rsidP="001C5AD2">
      <w:pPr>
        <w:spacing w:after="240"/>
      </w:pPr>
      <w:r w:rsidRPr="00EB1312">
        <w:rPr>
          <w:szCs w:val="24"/>
        </w:rPr>
        <w:t xml:space="preserve">Based on the above assumptions, the MBS fee per scan may </w:t>
      </w:r>
      <w:r w:rsidR="0042708D">
        <w:rPr>
          <w:szCs w:val="24"/>
        </w:rPr>
        <w:t>range</w:t>
      </w:r>
      <w:r w:rsidR="0042708D" w:rsidRPr="00EB1312">
        <w:rPr>
          <w:szCs w:val="24"/>
        </w:rPr>
        <w:t xml:space="preserve"> </w:t>
      </w:r>
      <w:r w:rsidRPr="00EB1312">
        <w:rPr>
          <w:szCs w:val="24"/>
        </w:rPr>
        <w:t xml:space="preserve">between $22.98 and $76.60, depending on the duration of treatment using IGRT, when cost minimised against </w:t>
      </w:r>
      <w:r w:rsidRPr="00EB1312">
        <w:rPr>
          <w:szCs w:val="24"/>
        </w:rPr>
        <w:lastRenderedPageBreak/>
        <w:t>verification scans only</w:t>
      </w:r>
      <w:r w:rsidR="001C01F1">
        <w:rPr>
          <w:szCs w:val="24"/>
        </w:rPr>
        <w:t>.</w:t>
      </w:r>
      <w:r w:rsidRPr="00AC7DA6">
        <w:rPr>
          <w:noProof/>
        </w:rPr>
        <w:drawing>
          <wp:inline distT="0" distB="0" distL="0" distR="0" wp14:anchorId="0B93E376" wp14:editId="4389EAE0">
            <wp:extent cx="5731510" cy="2277908"/>
            <wp:effectExtent l="0" t="0" r="2540" b="8255"/>
            <wp:docPr id="29701" name="Picture 4" descr="Table shows the duration of treatment, number of verification scans, cost to the MBS, number of IGRT daily scans and the MBS fee per daily scan" title="Cost minimisation of IGRT against current preactice of verification scan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77908"/>
                    </a:xfrm>
                    <a:prstGeom prst="rect">
                      <a:avLst/>
                    </a:prstGeom>
                    <a:noFill/>
                    <a:ln>
                      <a:noFill/>
                    </a:ln>
                    <a:extLst/>
                  </pic:spPr>
                </pic:pic>
              </a:graphicData>
            </a:graphic>
          </wp:inline>
        </w:drawing>
      </w:r>
    </w:p>
    <w:p w:rsidR="001C5AD2" w:rsidRPr="00BB418D" w:rsidRDefault="001C5AD2" w:rsidP="001C5AD2">
      <w:pPr>
        <w:spacing w:before="240"/>
      </w:pPr>
      <w:r w:rsidRPr="00AC7DA6">
        <w:t xml:space="preserve">The wide range of values for the MBS fee is due to uncertainty around </w:t>
      </w:r>
      <w:r w:rsidR="00BE01B4">
        <w:t>how often verification is currently being used in clinical practice</w:t>
      </w:r>
      <w:r w:rsidRPr="00AC7DA6">
        <w:t xml:space="preserve">.  If the frequency of </w:t>
      </w:r>
      <w:r w:rsidR="00DB5EC8">
        <w:t xml:space="preserve">use of </w:t>
      </w:r>
      <w:r w:rsidRPr="00AC7DA6">
        <w:t>verification is different to these assumptions, then the cost of the estimated MBS</w:t>
      </w:r>
      <w:r w:rsidRPr="00983937">
        <w:t xml:space="preserve"> fee for IGRT would also be different. If the frequency of </w:t>
      </w:r>
      <w:r w:rsidR="00DB5EC8">
        <w:t xml:space="preserve">use of </w:t>
      </w:r>
      <w:r w:rsidRPr="00983937">
        <w:t>verification is greater than the assumption, then cost minimisation would result in a higher fee for IGRT items, and vice versa.</w:t>
      </w:r>
      <w:r>
        <w:t xml:space="preserve"> </w:t>
      </w:r>
    </w:p>
    <w:p w:rsidR="00BC1364" w:rsidRPr="0075468E" w:rsidRDefault="00BC1364" w:rsidP="00DD2858">
      <w:pPr>
        <w:rPr>
          <w:szCs w:val="24"/>
        </w:rPr>
      </w:pPr>
    </w:p>
    <w:p w:rsidR="00BC1364" w:rsidRDefault="00BC1364" w:rsidP="00BE3B9C">
      <w:pPr>
        <w:pStyle w:val="Heading1"/>
        <w:numPr>
          <w:ilvl w:val="0"/>
          <w:numId w:val="40"/>
        </w:numPr>
        <w:ind w:hanging="720"/>
      </w:pPr>
      <w:r w:rsidRPr="008D5885">
        <w:t>Financial/budgetary impacts</w:t>
      </w:r>
    </w:p>
    <w:p w:rsidR="00BC1364" w:rsidRDefault="00BC1364" w:rsidP="00D340DE">
      <w:pPr>
        <w:pStyle w:val="Default"/>
      </w:pPr>
    </w:p>
    <w:p w:rsidR="00656BFE" w:rsidRDefault="001C5AD2" w:rsidP="00656BFE">
      <w:pPr>
        <w:tabs>
          <w:tab w:val="left" w:pos="720"/>
          <w:tab w:val="left" w:pos="1140"/>
        </w:tabs>
      </w:pPr>
      <w:r>
        <w:t>The total cost for listing IGRT on the MBS, based on cost minimisation against verification scans (MBS items 15705 and 15710), is not expected to exceed $32</w:t>
      </w:r>
      <w:r w:rsidR="00223750">
        <w:t xml:space="preserve"> million</w:t>
      </w:r>
      <w:r>
        <w:t>.</w:t>
      </w:r>
    </w:p>
    <w:p w:rsidR="00656BFE" w:rsidRDefault="00656BFE" w:rsidP="00656BFE">
      <w:pPr>
        <w:tabs>
          <w:tab w:val="left" w:pos="720"/>
          <w:tab w:val="left" w:pos="1140"/>
        </w:tabs>
      </w:pPr>
    </w:p>
    <w:p w:rsidR="006A0D97" w:rsidRDefault="00656BFE" w:rsidP="00BE3B9C">
      <w:pPr>
        <w:pStyle w:val="Heading1"/>
        <w:numPr>
          <w:ilvl w:val="0"/>
          <w:numId w:val="40"/>
        </w:numPr>
        <w:ind w:hanging="720"/>
      </w:pPr>
      <w:r w:rsidRPr="006A0D97">
        <w:t xml:space="preserve"> </w:t>
      </w:r>
      <w:r w:rsidR="006A0D97" w:rsidRPr="006A0D97">
        <w:t>Key issues from ESC for MSAC</w:t>
      </w:r>
    </w:p>
    <w:p w:rsidR="00223750" w:rsidRDefault="00223750" w:rsidP="001C5AD2">
      <w:pPr>
        <w:tabs>
          <w:tab w:val="left" w:pos="720"/>
          <w:tab w:val="left" w:pos="1140"/>
        </w:tabs>
        <w:rPr>
          <w:color w:val="000000"/>
          <w:szCs w:val="24"/>
        </w:rPr>
      </w:pPr>
    </w:p>
    <w:p w:rsidR="001C5AD2" w:rsidRDefault="001C5AD2" w:rsidP="001C5AD2">
      <w:pPr>
        <w:autoSpaceDE w:val="0"/>
        <w:autoSpaceDN w:val="0"/>
        <w:adjustRightInd w:val="0"/>
        <w:rPr>
          <w:color w:val="000000"/>
          <w:szCs w:val="24"/>
        </w:rPr>
      </w:pPr>
      <w:r>
        <w:rPr>
          <w:color w:val="000000"/>
          <w:szCs w:val="24"/>
        </w:rPr>
        <w:t>ESC considered that the assessment generally represented a good analysis of a poor dataset.</w:t>
      </w:r>
    </w:p>
    <w:p w:rsidR="001C5AD2" w:rsidRDefault="001C5AD2" w:rsidP="001C5AD2">
      <w:pPr>
        <w:autoSpaceDE w:val="0"/>
        <w:autoSpaceDN w:val="0"/>
        <w:adjustRightInd w:val="0"/>
        <w:rPr>
          <w:color w:val="000000"/>
          <w:szCs w:val="24"/>
        </w:rPr>
      </w:pPr>
    </w:p>
    <w:p w:rsidR="001C5AD2" w:rsidRDefault="001C5AD2" w:rsidP="001C5AD2">
      <w:pPr>
        <w:autoSpaceDE w:val="0"/>
        <w:autoSpaceDN w:val="0"/>
        <w:adjustRightInd w:val="0"/>
        <w:rPr>
          <w:color w:val="000000"/>
          <w:szCs w:val="24"/>
        </w:rPr>
      </w:pPr>
      <w:r>
        <w:rPr>
          <w:color w:val="000000"/>
          <w:szCs w:val="24"/>
        </w:rPr>
        <w:t xml:space="preserve">In considering the ANROTAT study, ESC noted that </w:t>
      </w:r>
      <w:r w:rsidRPr="00AC7DA6">
        <w:rPr>
          <w:color w:val="000000"/>
          <w:szCs w:val="24"/>
        </w:rPr>
        <w:t xml:space="preserve">the conclusions from the study </w:t>
      </w:r>
      <w:r>
        <w:rPr>
          <w:color w:val="000000"/>
          <w:szCs w:val="24"/>
        </w:rPr>
        <w:t xml:space="preserve">were </w:t>
      </w:r>
      <w:r w:rsidRPr="00AC7DA6">
        <w:rPr>
          <w:color w:val="000000"/>
          <w:szCs w:val="24"/>
        </w:rPr>
        <w:t>heavily reliant on expert opinion from TROG (such as in the determination of transition probabilities and quality of life of various health states</w:t>
      </w:r>
      <w:r w:rsidR="00C72D29">
        <w:rPr>
          <w:color w:val="000000"/>
          <w:szCs w:val="24"/>
        </w:rPr>
        <w:t>)</w:t>
      </w:r>
      <w:r>
        <w:rPr>
          <w:color w:val="000000"/>
          <w:szCs w:val="24"/>
        </w:rPr>
        <w:t>.</w:t>
      </w:r>
    </w:p>
    <w:p w:rsidR="001C5AD2" w:rsidRPr="004F12ED" w:rsidRDefault="001C5AD2" w:rsidP="001C5AD2">
      <w:pPr>
        <w:autoSpaceDE w:val="0"/>
        <w:autoSpaceDN w:val="0"/>
        <w:adjustRightInd w:val="0"/>
        <w:rPr>
          <w:color w:val="000000"/>
          <w:szCs w:val="24"/>
        </w:rPr>
      </w:pPr>
    </w:p>
    <w:p w:rsidR="001C5AD2" w:rsidRDefault="001C5AD2" w:rsidP="001C5AD2">
      <w:pPr>
        <w:autoSpaceDE w:val="0"/>
        <w:autoSpaceDN w:val="0"/>
        <w:adjustRightInd w:val="0"/>
        <w:rPr>
          <w:color w:val="000000"/>
          <w:szCs w:val="24"/>
        </w:rPr>
      </w:pPr>
      <w:r>
        <w:rPr>
          <w:color w:val="000000"/>
          <w:szCs w:val="24"/>
        </w:rPr>
        <w:t xml:space="preserve">ESC noted that evidence regarding patient outcomes was limited to expert medical opinion, not research evidence. ESC was concerned there may be no survival or quality of life benefit from IGRT.  ESC noted there is no clearly defined ‘gold standard’ for measuring accuracy in existing radiation therapy. </w:t>
      </w:r>
    </w:p>
    <w:p w:rsidR="001C5AD2" w:rsidRDefault="001C5AD2" w:rsidP="001C5AD2">
      <w:pPr>
        <w:autoSpaceDE w:val="0"/>
        <w:autoSpaceDN w:val="0"/>
        <w:adjustRightInd w:val="0"/>
        <w:rPr>
          <w:color w:val="000000"/>
          <w:szCs w:val="24"/>
        </w:rPr>
      </w:pPr>
    </w:p>
    <w:p w:rsidR="001C5AD2" w:rsidRDefault="001C5AD2" w:rsidP="001C5AD2">
      <w:pPr>
        <w:autoSpaceDE w:val="0"/>
        <w:autoSpaceDN w:val="0"/>
        <w:adjustRightInd w:val="0"/>
        <w:rPr>
          <w:color w:val="000000"/>
          <w:szCs w:val="24"/>
        </w:rPr>
      </w:pPr>
      <w:r>
        <w:rPr>
          <w:color w:val="000000"/>
          <w:szCs w:val="24"/>
        </w:rPr>
        <w:t xml:space="preserve">ESC noted that the economic modelling was presented as a cost-neutral proposal because of </w:t>
      </w:r>
      <w:r w:rsidR="000F6FFE">
        <w:rPr>
          <w:color w:val="000000"/>
          <w:szCs w:val="24"/>
        </w:rPr>
        <w:t>insufficient</w:t>
      </w:r>
      <w:r>
        <w:rPr>
          <w:color w:val="000000"/>
          <w:szCs w:val="24"/>
        </w:rPr>
        <w:t xml:space="preserve"> evidence for </w:t>
      </w:r>
      <w:r w:rsidR="000F6FFE">
        <w:rPr>
          <w:color w:val="000000"/>
          <w:szCs w:val="24"/>
        </w:rPr>
        <w:t>improved</w:t>
      </w:r>
      <w:r>
        <w:rPr>
          <w:color w:val="000000"/>
          <w:szCs w:val="24"/>
        </w:rPr>
        <w:t xml:space="preserve"> clinical outcomes between IGRT and non-IGRT. Cost neutrality will depend </w:t>
      </w:r>
      <w:r w:rsidRPr="00EB776C">
        <w:rPr>
          <w:color w:val="000000"/>
          <w:szCs w:val="24"/>
        </w:rPr>
        <w:t xml:space="preserve">on </w:t>
      </w:r>
      <w:r>
        <w:rPr>
          <w:color w:val="000000"/>
          <w:szCs w:val="24"/>
        </w:rPr>
        <w:t xml:space="preserve">the </w:t>
      </w:r>
      <w:r w:rsidRPr="00EB776C">
        <w:rPr>
          <w:color w:val="000000"/>
          <w:szCs w:val="24"/>
        </w:rPr>
        <w:t xml:space="preserve">assumptions </w:t>
      </w:r>
      <w:r>
        <w:rPr>
          <w:color w:val="000000"/>
          <w:szCs w:val="24"/>
        </w:rPr>
        <w:t xml:space="preserve">made when developing the cost </w:t>
      </w:r>
      <w:r w:rsidRPr="00EB776C">
        <w:rPr>
          <w:color w:val="000000"/>
          <w:szCs w:val="24"/>
        </w:rPr>
        <w:t>min</w:t>
      </w:r>
      <w:r>
        <w:rPr>
          <w:color w:val="000000"/>
          <w:szCs w:val="24"/>
        </w:rPr>
        <w:t>imisation</w:t>
      </w:r>
      <w:r w:rsidRPr="00EB776C">
        <w:rPr>
          <w:color w:val="000000"/>
          <w:szCs w:val="24"/>
        </w:rPr>
        <w:t xml:space="preserve"> </w:t>
      </w:r>
      <w:r>
        <w:rPr>
          <w:color w:val="000000"/>
          <w:szCs w:val="24"/>
        </w:rPr>
        <w:t xml:space="preserve">approach to the MBS </w:t>
      </w:r>
      <w:r w:rsidRPr="00EB776C">
        <w:rPr>
          <w:color w:val="000000"/>
          <w:szCs w:val="24"/>
        </w:rPr>
        <w:t xml:space="preserve">fee </w:t>
      </w:r>
      <w:r>
        <w:rPr>
          <w:color w:val="000000"/>
          <w:szCs w:val="24"/>
        </w:rPr>
        <w:t xml:space="preserve">and </w:t>
      </w:r>
      <w:r w:rsidRPr="00EB776C">
        <w:rPr>
          <w:color w:val="000000"/>
          <w:szCs w:val="24"/>
        </w:rPr>
        <w:t xml:space="preserve">direct substitution for </w:t>
      </w:r>
      <w:r>
        <w:rPr>
          <w:color w:val="000000"/>
          <w:szCs w:val="24"/>
        </w:rPr>
        <w:t xml:space="preserve">existing </w:t>
      </w:r>
      <w:r w:rsidRPr="00EB776C">
        <w:rPr>
          <w:color w:val="000000"/>
          <w:szCs w:val="24"/>
        </w:rPr>
        <w:t>verification scans</w:t>
      </w:r>
      <w:r>
        <w:rPr>
          <w:color w:val="000000"/>
          <w:szCs w:val="24"/>
        </w:rPr>
        <w:t>. ESC considered that the validity of these assumptions will be d</w:t>
      </w:r>
      <w:r w:rsidRPr="00EB776C">
        <w:rPr>
          <w:color w:val="000000"/>
          <w:szCs w:val="24"/>
        </w:rPr>
        <w:t>ifficult to evaluate</w:t>
      </w:r>
      <w:r>
        <w:rPr>
          <w:color w:val="000000"/>
          <w:szCs w:val="24"/>
        </w:rPr>
        <w:t>.</w:t>
      </w:r>
      <w:r w:rsidRPr="00EB776C">
        <w:rPr>
          <w:color w:val="000000"/>
          <w:szCs w:val="24"/>
        </w:rPr>
        <w:t xml:space="preserve"> </w:t>
      </w:r>
    </w:p>
    <w:p w:rsidR="001C5AD2" w:rsidRDefault="001C5AD2" w:rsidP="001C5AD2">
      <w:pPr>
        <w:autoSpaceDE w:val="0"/>
        <w:autoSpaceDN w:val="0"/>
        <w:adjustRightInd w:val="0"/>
        <w:rPr>
          <w:color w:val="000000"/>
          <w:szCs w:val="24"/>
        </w:rPr>
      </w:pPr>
    </w:p>
    <w:p w:rsidR="001C5AD2" w:rsidRDefault="000F6FFE" w:rsidP="00223750">
      <w:pPr>
        <w:autoSpaceDE w:val="0"/>
        <w:autoSpaceDN w:val="0"/>
        <w:adjustRightInd w:val="0"/>
        <w:rPr>
          <w:color w:val="000000"/>
          <w:szCs w:val="24"/>
        </w:rPr>
      </w:pPr>
      <w:r w:rsidRPr="00DB5EC8">
        <w:rPr>
          <w:szCs w:val="24"/>
        </w:rPr>
        <w:t xml:space="preserve">ESC noted that the current use of verification scans is highly uncertain. </w:t>
      </w:r>
      <w:r w:rsidR="001C5AD2">
        <w:rPr>
          <w:color w:val="000000"/>
          <w:szCs w:val="24"/>
        </w:rPr>
        <w:t>On the basis of the economic analysis and the applicant’s assertion that IGRT is currently being claimed under image verification items, ESC was concerned that current practice may be over-reimbursed.</w:t>
      </w:r>
    </w:p>
    <w:p w:rsidR="00223750" w:rsidRPr="00223750" w:rsidRDefault="00223750" w:rsidP="00223750">
      <w:pPr>
        <w:autoSpaceDE w:val="0"/>
        <w:autoSpaceDN w:val="0"/>
        <w:adjustRightInd w:val="0"/>
        <w:rPr>
          <w:color w:val="000000"/>
          <w:szCs w:val="24"/>
        </w:rPr>
      </w:pPr>
    </w:p>
    <w:p w:rsidR="001C5AD2" w:rsidRPr="004F12ED" w:rsidRDefault="001C5AD2" w:rsidP="001C5AD2">
      <w:pPr>
        <w:rPr>
          <w:szCs w:val="24"/>
        </w:rPr>
      </w:pPr>
      <w:r>
        <w:rPr>
          <w:szCs w:val="24"/>
        </w:rPr>
        <w:t>ESC noted that there was no justification for having separate item descriptors for planar IGRT and volumetric IGRT.</w:t>
      </w:r>
    </w:p>
    <w:p w:rsidR="001C5AD2" w:rsidRDefault="001C5AD2" w:rsidP="001C5AD2"/>
    <w:p w:rsidR="001C5AD2" w:rsidRPr="00876583" w:rsidRDefault="001C5AD2" w:rsidP="001C5AD2">
      <w:pPr>
        <w:autoSpaceDE w:val="0"/>
        <w:autoSpaceDN w:val="0"/>
        <w:adjustRightInd w:val="0"/>
        <w:rPr>
          <w:color w:val="000000"/>
          <w:szCs w:val="24"/>
        </w:rPr>
      </w:pPr>
      <w:r w:rsidRPr="00876583">
        <w:rPr>
          <w:color w:val="000000"/>
          <w:szCs w:val="24"/>
        </w:rPr>
        <w:lastRenderedPageBreak/>
        <w:t>ESC note</w:t>
      </w:r>
      <w:r>
        <w:rPr>
          <w:color w:val="000000"/>
          <w:szCs w:val="24"/>
        </w:rPr>
        <w:t>d</w:t>
      </w:r>
      <w:r w:rsidRPr="00876583">
        <w:rPr>
          <w:color w:val="000000"/>
          <w:szCs w:val="24"/>
        </w:rPr>
        <w:t xml:space="preserve"> that</w:t>
      </w:r>
      <w:r>
        <w:rPr>
          <w:color w:val="000000"/>
          <w:szCs w:val="24"/>
        </w:rPr>
        <w:t xml:space="preserve"> the proposed descriptor is for </w:t>
      </w:r>
      <w:r w:rsidRPr="00876583">
        <w:rPr>
          <w:color w:val="000000"/>
          <w:szCs w:val="24"/>
        </w:rPr>
        <w:t xml:space="preserve">IGRT </w:t>
      </w:r>
      <w:r>
        <w:rPr>
          <w:color w:val="000000"/>
          <w:szCs w:val="24"/>
        </w:rPr>
        <w:t>in conjunction with</w:t>
      </w:r>
      <w:r w:rsidRPr="00876583">
        <w:rPr>
          <w:color w:val="000000"/>
          <w:szCs w:val="24"/>
        </w:rPr>
        <w:t xml:space="preserve"> either 3DCRT</w:t>
      </w:r>
      <w:r>
        <w:rPr>
          <w:color w:val="000000"/>
          <w:szCs w:val="24"/>
        </w:rPr>
        <w:t xml:space="preserve"> or</w:t>
      </w:r>
      <w:r w:rsidRPr="00876583">
        <w:rPr>
          <w:color w:val="000000"/>
          <w:szCs w:val="24"/>
        </w:rPr>
        <w:t xml:space="preserve"> </w:t>
      </w:r>
      <w:r>
        <w:rPr>
          <w:color w:val="000000"/>
          <w:szCs w:val="24"/>
        </w:rPr>
        <w:t>IMRT. IMRT is the topic of a separate MSAC application (1182) from the same applicant.</w:t>
      </w:r>
    </w:p>
    <w:p w:rsidR="001C5AD2" w:rsidRDefault="001C5AD2" w:rsidP="001C5AD2"/>
    <w:p w:rsidR="001C5AD2" w:rsidRDefault="001C5AD2" w:rsidP="001C5AD2">
      <w:r>
        <w:t xml:space="preserve">ESC noted that, in order to be cost neutral, the appropriate MBS fee was highly dependent on the number of verification scans provided. </w:t>
      </w:r>
    </w:p>
    <w:p w:rsidR="000F6FFE" w:rsidRDefault="000F6FFE" w:rsidP="001C5AD2"/>
    <w:p w:rsidR="00BC1364" w:rsidRDefault="00BC1364" w:rsidP="00BE3B9C">
      <w:pPr>
        <w:pStyle w:val="Heading1"/>
        <w:numPr>
          <w:ilvl w:val="0"/>
          <w:numId w:val="40"/>
        </w:numPr>
        <w:ind w:hanging="720"/>
      </w:pPr>
      <w:r w:rsidRPr="008D5885">
        <w:t>Other significant factors</w:t>
      </w:r>
    </w:p>
    <w:p w:rsidR="00D90A38" w:rsidRDefault="00D90A38" w:rsidP="00DD2858">
      <w:pPr>
        <w:rPr>
          <w:szCs w:val="24"/>
        </w:rPr>
      </w:pPr>
    </w:p>
    <w:p w:rsidR="00BC1364" w:rsidRPr="00223750" w:rsidRDefault="00223750" w:rsidP="00DD2858">
      <w:pPr>
        <w:rPr>
          <w:szCs w:val="24"/>
        </w:rPr>
      </w:pPr>
      <w:r w:rsidRPr="00223750">
        <w:rPr>
          <w:szCs w:val="24"/>
        </w:rPr>
        <w:t>Nil</w:t>
      </w:r>
    </w:p>
    <w:p w:rsidR="00BC1364" w:rsidRPr="00707064" w:rsidRDefault="00BC1364" w:rsidP="00DD2858">
      <w:pPr>
        <w:tabs>
          <w:tab w:val="left" w:pos="720"/>
        </w:tabs>
        <w:ind w:left="709" w:hanging="709"/>
        <w:rPr>
          <w:szCs w:val="24"/>
        </w:rPr>
      </w:pPr>
    </w:p>
    <w:p w:rsidR="00BC1364" w:rsidRDefault="00BC1364" w:rsidP="00BE3B9C">
      <w:pPr>
        <w:pStyle w:val="Heading1"/>
        <w:numPr>
          <w:ilvl w:val="0"/>
          <w:numId w:val="40"/>
        </w:numPr>
        <w:ind w:hanging="720"/>
      </w:pPr>
      <w:r w:rsidRPr="008D5885">
        <w:t xml:space="preserve">Applicant’s comments on MSAC’s </w:t>
      </w:r>
      <w:r w:rsidR="00DA56AA">
        <w:t>Public Summary Document</w:t>
      </w:r>
    </w:p>
    <w:p w:rsidR="0028488B" w:rsidRDefault="0028488B" w:rsidP="0028488B">
      <w:pPr>
        <w:rPr>
          <w:szCs w:val="24"/>
        </w:rPr>
      </w:pPr>
    </w:p>
    <w:p w:rsidR="0028488B" w:rsidRDefault="0028488B" w:rsidP="0028488B">
      <w:pPr>
        <w:rPr>
          <w:szCs w:val="24"/>
        </w:rPr>
      </w:pPr>
      <w:r w:rsidRPr="0028488B">
        <w:rPr>
          <w:szCs w:val="24"/>
        </w:rPr>
        <w:t xml:space="preserve">The Faculty of Radiation Oncology (FRO) commends the MSAC for the development of an MBS item number for IGRT, which is an integral part of safe and accurate delivery of radiation therapy – to ensure there is not geographical miss of the tumour with highly conformal treatment techniques including IMRT. IGRT allows for the radiation to be accurately directed to the cancer while accounting for the movement of organs or tumours within the patient. IGRT will replace existing verification imaging techniques where IMRT is used, but existing verification imaging descriptors need to remain available for use with non-IMRT treatments. The purpose of this application is to ensure that IGRT is available, accessible and reimbursed where clinically indicated. </w:t>
      </w:r>
    </w:p>
    <w:p w:rsidR="00F57D8D" w:rsidRDefault="00F57D8D" w:rsidP="0028488B">
      <w:pPr>
        <w:rPr>
          <w:szCs w:val="24"/>
        </w:rPr>
      </w:pPr>
    </w:p>
    <w:p w:rsidR="00793E84" w:rsidRDefault="00793E84" w:rsidP="0028488B">
      <w:pPr>
        <w:rPr>
          <w:szCs w:val="24"/>
        </w:rPr>
      </w:pPr>
      <w:r w:rsidRPr="00793E84">
        <w:rPr>
          <w:szCs w:val="24"/>
        </w:rPr>
        <w:t>The FRO</w:t>
      </w:r>
      <w:r>
        <w:rPr>
          <w:szCs w:val="24"/>
        </w:rPr>
        <w:t xml:space="preserve"> disagrees with the assessment’s interpretation of the studies on the safety of IGRT. We wish to reiterate that </w:t>
      </w:r>
      <w:r w:rsidRPr="00793E84">
        <w:rPr>
          <w:szCs w:val="24"/>
        </w:rPr>
        <w:t>the studies consistently show no worse toxicity or negative impact with IGRT, with all but one showing benefit with IGRT and one showing no impact.</w:t>
      </w:r>
    </w:p>
    <w:p w:rsidR="00BC1364" w:rsidRDefault="00BC1364" w:rsidP="00230D6B">
      <w:pPr>
        <w:rPr>
          <w:b/>
          <w:szCs w:val="24"/>
        </w:rPr>
      </w:pPr>
    </w:p>
    <w:p w:rsidR="00BC1364" w:rsidRDefault="00271F18" w:rsidP="00BE3B9C">
      <w:pPr>
        <w:pStyle w:val="Heading1"/>
        <w:numPr>
          <w:ilvl w:val="0"/>
          <w:numId w:val="40"/>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2F" w:rsidRDefault="0068232F" w:rsidP="00065623">
      <w:r>
        <w:separator/>
      </w:r>
    </w:p>
  </w:endnote>
  <w:endnote w:type="continuationSeparator" w:id="0">
    <w:p w:rsidR="0068232F" w:rsidRDefault="0068232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85" w:rsidRDefault="004E0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4E0185" w:rsidRDefault="004E0185">
        <w:pPr>
          <w:pStyle w:val="Footer"/>
          <w:jc w:val="right"/>
        </w:pPr>
        <w:r>
          <w:fldChar w:fldCharType="begin"/>
        </w:r>
        <w:r>
          <w:instrText xml:space="preserve"> PAGE   \* MERGEFORMAT </w:instrText>
        </w:r>
        <w:r>
          <w:fldChar w:fldCharType="separate"/>
        </w:r>
        <w:r w:rsidR="00F45E45">
          <w:rPr>
            <w:noProof/>
          </w:rPr>
          <w:t>1</w:t>
        </w:r>
        <w:r>
          <w:rPr>
            <w:noProof/>
          </w:rPr>
          <w:fldChar w:fldCharType="end"/>
        </w:r>
      </w:p>
    </w:sdtContent>
  </w:sdt>
  <w:p w:rsidR="004E0185" w:rsidRDefault="004E0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85" w:rsidRDefault="004E0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2F" w:rsidRDefault="0068232F" w:rsidP="00065623">
      <w:r>
        <w:separator/>
      </w:r>
    </w:p>
  </w:footnote>
  <w:footnote w:type="continuationSeparator" w:id="0">
    <w:p w:rsidR="0068232F" w:rsidRDefault="0068232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85" w:rsidRDefault="004E0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85" w:rsidRDefault="004E01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185" w:rsidRDefault="004E0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AE0"/>
    <w:multiLevelType w:val="hybridMultilevel"/>
    <w:tmpl w:val="23DE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26ADF"/>
    <w:multiLevelType w:val="hybridMultilevel"/>
    <w:tmpl w:val="76181806"/>
    <w:lvl w:ilvl="0" w:tplc="AFFCFF6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1079B5"/>
    <w:multiLevelType w:val="hybridMultilevel"/>
    <w:tmpl w:val="DD34C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F00C8D"/>
    <w:multiLevelType w:val="hybridMultilevel"/>
    <w:tmpl w:val="37E8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9B138D"/>
    <w:multiLevelType w:val="hybridMultilevel"/>
    <w:tmpl w:val="5BC8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072183C"/>
    <w:multiLevelType w:val="hybridMultilevel"/>
    <w:tmpl w:val="C98A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177AAB"/>
    <w:multiLevelType w:val="hybridMultilevel"/>
    <w:tmpl w:val="7858355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7443BC"/>
    <w:multiLevelType w:val="hybridMultilevel"/>
    <w:tmpl w:val="9100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94F9D"/>
    <w:multiLevelType w:val="hybridMultilevel"/>
    <w:tmpl w:val="FDF67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3D54F4"/>
    <w:multiLevelType w:val="hybridMultilevel"/>
    <w:tmpl w:val="CEAC3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A142B2"/>
    <w:multiLevelType w:val="hybridMultilevel"/>
    <w:tmpl w:val="EC70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7608D"/>
    <w:multiLevelType w:val="hybridMultilevel"/>
    <w:tmpl w:val="AEE05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3B003B"/>
    <w:multiLevelType w:val="hybridMultilevel"/>
    <w:tmpl w:val="18665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A274DB"/>
    <w:multiLevelType w:val="hybridMultilevel"/>
    <w:tmpl w:val="996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127D4C"/>
    <w:multiLevelType w:val="hybridMultilevel"/>
    <w:tmpl w:val="363CE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6001309"/>
    <w:multiLevelType w:val="hybridMultilevel"/>
    <w:tmpl w:val="65C6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88740E"/>
    <w:multiLevelType w:val="hybridMultilevel"/>
    <w:tmpl w:val="5184C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18F5E23"/>
    <w:multiLevelType w:val="hybridMultilevel"/>
    <w:tmpl w:val="44000FD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5"/>
  </w:num>
  <w:num w:numId="4">
    <w:abstractNumId w:val="31"/>
  </w:num>
  <w:num w:numId="5">
    <w:abstractNumId w:val="21"/>
  </w:num>
  <w:num w:numId="6">
    <w:abstractNumId w:val="29"/>
  </w:num>
  <w:num w:numId="7">
    <w:abstractNumId w:val="34"/>
  </w:num>
  <w:num w:numId="8">
    <w:abstractNumId w:val="22"/>
  </w:num>
  <w:num w:numId="9">
    <w:abstractNumId w:val="41"/>
  </w:num>
  <w:num w:numId="10">
    <w:abstractNumId w:val="3"/>
  </w:num>
  <w:num w:numId="11">
    <w:abstractNumId w:val="33"/>
  </w:num>
  <w:num w:numId="12">
    <w:abstractNumId w:val="35"/>
  </w:num>
  <w:num w:numId="13">
    <w:abstractNumId w:val="11"/>
  </w:num>
  <w:num w:numId="14">
    <w:abstractNumId w:val="39"/>
  </w:num>
  <w:num w:numId="15">
    <w:abstractNumId w:val="32"/>
  </w:num>
  <w:num w:numId="16">
    <w:abstractNumId w:val="36"/>
  </w:num>
  <w:num w:numId="17">
    <w:abstractNumId w:val="23"/>
  </w:num>
  <w:num w:numId="18">
    <w:abstractNumId w:val="26"/>
  </w:num>
  <w:num w:numId="19">
    <w:abstractNumId w:val="38"/>
  </w:num>
  <w:num w:numId="20">
    <w:abstractNumId w:val="37"/>
  </w:num>
  <w:num w:numId="21">
    <w:abstractNumId w:val="8"/>
  </w:num>
  <w:num w:numId="22">
    <w:abstractNumId w:val="17"/>
  </w:num>
  <w:num w:numId="23">
    <w:abstractNumId w:val="7"/>
  </w:num>
  <w:num w:numId="24">
    <w:abstractNumId w:val="16"/>
  </w:num>
  <w:num w:numId="25">
    <w:abstractNumId w:val="30"/>
  </w:num>
  <w:num w:numId="26">
    <w:abstractNumId w:val="20"/>
  </w:num>
  <w:num w:numId="27">
    <w:abstractNumId w:val="40"/>
  </w:num>
  <w:num w:numId="28">
    <w:abstractNumId w:val="10"/>
  </w:num>
  <w:num w:numId="29">
    <w:abstractNumId w:val="19"/>
  </w:num>
  <w:num w:numId="30">
    <w:abstractNumId w:val="25"/>
  </w:num>
  <w:num w:numId="31">
    <w:abstractNumId w:val="15"/>
  </w:num>
  <w:num w:numId="32">
    <w:abstractNumId w:val="28"/>
  </w:num>
  <w:num w:numId="33">
    <w:abstractNumId w:val="9"/>
  </w:num>
  <w:num w:numId="34">
    <w:abstractNumId w:val="0"/>
  </w:num>
  <w:num w:numId="35">
    <w:abstractNumId w:val="6"/>
  </w:num>
  <w:num w:numId="36">
    <w:abstractNumId w:val="2"/>
  </w:num>
  <w:num w:numId="37">
    <w:abstractNumId w:val="12"/>
  </w:num>
  <w:num w:numId="38">
    <w:abstractNumId w:val="13"/>
  </w:num>
  <w:num w:numId="39">
    <w:abstractNumId w:val="24"/>
  </w:num>
  <w:num w:numId="40">
    <w:abstractNumId w:val="1"/>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5AD"/>
    <w:rsid w:val="00011604"/>
    <w:rsid w:val="00011A36"/>
    <w:rsid w:val="00012327"/>
    <w:rsid w:val="00023246"/>
    <w:rsid w:val="00047606"/>
    <w:rsid w:val="00065623"/>
    <w:rsid w:val="000756B9"/>
    <w:rsid w:val="00096B67"/>
    <w:rsid w:val="00096DAF"/>
    <w:rsid w:val="000C2F47"/>
    <w:rsid w:val="000D6C00"/>
    <w:rsid w:val="000E4E04"/>
    <w:rsid w:val="000F14B4"/>
    <w:rsid w:val="000F6FFE"/>
    <w:rsid w:val="000F75DF"/>
    <w:rsid w:val="00102777"/>
    <w:rsid w:val="001328FA"/>
    <w:rsid w:val="00147AAF"/>
    <w:rsid w:val="001552C0"/>
    <w:rsid w:val="001640B1"/>
    <w:rsid w:val="0018435E"/>
    <w:rsid w:val="001A1E2B"/>
    <w:rsid w:val="001C01F1"/>
    <w:rsid w:val="001C5AD2"/>
    <w:rsid w:val="001D298F"/>
    <w:rsid w:val="001D520D"/>
    <w:rsid w:val="001E6093"/>
    <w:rsid w:val="001F7EB9"/>
    <w:rsid w:val="002041A1"/>
    <w:rsid w:val="002054F0"/>
    <w:rsid w:val="00223750"/>
    <w:rsid w:val="00230D6B"/>
    <w:rsid w:val="00232068"/>
    <w:rsid w:val="002330F2"/>
    <w:rsid w:val="002367D7"/>
    <w:rsid w:val="00243D9E"/>
    <w:rsid w:val="00253B66"/>
    <w:rsid w:val="00261DF1"/>
    <w:rsid w:val="00271F18"/>
    <w:rsid w:val="00282779"/>
    <w:rsid w:val="0028334D"/>
    <w:rsid w:val="0028488B"/>
    <w:rsid w:val="002B214A"/>
    <w:rsid w:val="002B5485"/>
    <w:rsid w:val="002B7FFA"/>
    <w:rsid w:val="002C2BCF"/>
    <w:rsid w:val="002F279D"/>
    <w:rsid w:val="002F43B8"/>
    <w:rsid w:val="00314C7B"/>
    <w:rsid w:val="003233F2"/>
    <w:rsid w:val="00327F67"/>
    <w:rsid w:val="0034554D"/>
    <w:rsid w:val="00352224"/>
    <w:rsid w:val="00356E69"/>
    <w:rsid w:val="003671E6"/>
    <w:rsid w:val="00384272"/>
    <w:rsid w:val="00386D67"/>
    <w:rsid w:val="003945B8"/>
    <w:rsid w:val="003D4370"/>
    <w:rsid w:val="003D7F29"/>
    <w:rsid w:val="003E44C6"/>
    <w:rsid w:val="003F1081"/>
    <w:rsid w:val="00405A6B"/>
    <w:rsid w:val="00407B1F"/>
    <w:rsid w:val="00414C57"/>
    <w:rsid w:val="0041758C"/>
    <w:rsid w:val="0042054E"/>
    <w:rsid w:val="0042708D"/>
    <w:rsid w:val="004539DE"/>
    <w:rsid w:val="00484329"/>
    <w:rsid w:val="004A2CF1"/>
    <w:rsid w:val="004C3035"/>
    <w:rsid w:val="004C307F"/>
    <w:rsid w:val="004E0185"/>
    <w:rsid w:val="004E4BA8"/>
    <w:rsid w:val="004F7B7C"/>
    <w:rsid w:val="005078F7"/>
    <w:rsid w:val="0052243D"/>
    <w:rsid w:val="00532435"/>
    <w:rsid w:val="00550354"/>
    <w:rsid w:val="00571236"/>
    <w:rsid w:val="005953A1"/>
    <w:rsid w:val="005A6090"/>
    <w:rsid w:val="005B6300"/>
    <w:rsid w:val="005C1146"/>
    <w:rsid w:val="005D0332"/>
    <w:rsid w:val="005D0D8C"/>
    <w:rsid w:val="005F4A87"/>
    <w:rsid w:val="00614585"/>
    <w:rsid w:val="00625C54"/>
    <w:rsid w:val="00641868"/>
    <w:rsid w:val="00646A54"/>
    <w:rsid w:val="00646E5F"/>
    <w:rsid w:val="00656BFE"/>
    <w:rsid w:val="00660885"/>
    <w:rsid w:val="0068232F"/>
    <w:rsid w:val="006903D1"/>
    <w:rsid w:val="006A0D97"/>
    <w:rsid w:val="006C0A91"/>
    <w:rsid w:val="006C66A7"/>
    <w:rsid w:val="006C6F08"/>
    <w:rsid w:val="006F5921"/>
    <w:rsid w:val="006F7BB9"/>
    <w:rsid w:val="007054BB"/>
    <w:rsid w:val="00707064"/>
    <w:rsid w:val="00730683"/>
    <w:rsid w:val="0075261F"/>
    <w:rsid w:val="0075468E"/>
    <w:rsid w:val="0076405F"/>
    <w:rsid w:val="007665D8"/>
    <w:rsid w:val="00766E36"/>
    <w:rsid w:val="00773ED1"/>
    <w:rsid w:val="00775829"/>
    <w:rsid w:val="007765F4"/>
    <w:rsid w:val="00776633"/>
    <w:rsid w:val="00784D53"/>
    <w:rsid w:val="00793E84"/>
    <w:rsid w:val="00797797"/>
    <w:rsid w:val="007A05C9"/>
    <w:rsid w:val="007A63C9"/>
    <w:rsid w:val="007B32D1"/>
    <w:rsid w:val="007B7095"/>
    <w:rsid w:val="007C028D"/>
    <w:rsid w:val="007D24E1"/>
    <w:rsid w:val="007D42F2"/>
    <w:rsid w:val="007F4CE9"/>
    <w:rsid w:val="007F4E20"/>
    <w:rsid w:val="008029B5"/>
    <w:rsid w:val="00810045"/>
    <w:rsid w:val="00822C7E"/>
    <w:rsid w:val="00847060"/>
    <w:rsid w:val="00856A33"/>
    <w:rsid w:val="0086584D"/>
    <w:rsid w:val="008663E5"/>
    <w:rsid w:val="00892620"/>
    <w:rsid w:val="008B4DA7"/>
    <w:rsid w:val="008B5CFB"/>
    <w:rsid w:val="008C7D37"/>
    <w:rsid w:val="008D5885"/>
    <w:rsid w:val="008F58B2"/>
    <w:rsid w:val="00923FA2"/>
    <w:rsid w:val="009378DE"/>
    <w:rsid w:val="00945828"/>
    <w:rsid w:val="0096060D"/>
    <w:rsid w:val="0096160B"/>
    <w:rsid w:val="0097082A"/>
    <w:rsid w:val="00971BB0"/>
    <w:rsid w:val="00974A50"/>
    <w:rsid w:val="0097585A"/>
    <w:rsid w:val="009924B0"/>
    <w:rsid w:val="009942C9"/>
    <w:rsid w:val="009A77E8"/>
    <w:rsid w:val="009B35C4"/>
    <w:rsid w:val="009C630A"/>
    <w:rsid w:val="009D7268"/>
    <w:rsid w:val="009E0D98"/>
    <w:rsid w:val="00A068A1"/>
    <w:rsid w:val="00A0752E"/>
    <w:rsid w:val="00A11EA9"/>
    <w:rsid w:val="00A1207D"/>
    <w:rsid w:val="00A12FD8"/>
    <w:rsid w:val="00A346FC"/>
    <w:rsid w:val="00A6649B"/>
    <w:rsid w:val="00A84F93"/>
    <w:rsid w:val="00AA0242"/>
    <w:rsid w:val="00AA6F5E"/>
    <w:rsid w:val="00AB1AC5"/>
    <w:rsid w:val="00AB3BFC"/>
    <w:rsid w:val="00AB7302"/>
    <w:rsid w:val="00AC4F2E"/>
    <w:rsid w:val="00AD046E"/>
    <w:rsid w:val="00AD0C37"/>
    <w:rsid w:val="00AD385F"/>
    <w:rsid w:val="00AD5E6E"/>
    <w:rsid w:val="00AE6E2A"/>
    <w:rsid w:val="00AF55F3"/>
    <w:rsid w:val="00B0740A"/>
    <w:rsid w:val="00B31E9C"/>
    <w:rsid w:val="00B51C6D"/>
    <w:rsid w:val="00B54DE1"/>
    <w:rsid w:val="00B64804"/>
    <w:rsid w:val="00B708D9"/>
    <w:rsid w:val="00B86D64"/>
    <w:rsid w:val="00BA23AE"/>
    <w:rsid w:val="00BA4AC5"/>
    <w:rsid w:val="00BB2578"/>
    <w:rsid w:val="00BC1364"/>
    <w:rsid w:val="00BC7DE9"/>
    <w:rsid w:val="00BD6DB8"/>
    <w:rsid w:val="00BE01B4"/>
    <w:rsid w:val="00BE2AC8"/>
    <w:rsid w:val="00BE3B9C"/>
    <w:rsid w:val="00BF479B"/>
    <w:rsid w:val="00BF50C5"/>
    <w:rsid w:val="00C02577"/>
    <w:rsid w:val="00C16BEB"/>
    <w:rsid w:val="00C20BEE"/>
    <w:rsid w:val="00C24BC1"/>
    <w:rsid w:val="00C67DD2"/>
    <w:rsid w:val="00C72D29"/>
    <w:rsid w:val="00C76F5C"/>
    <w:rsid w:val="00C96BAD"/>
    <w:rsid w:val="00CA06EB"/>
    <w:rsid w:val="00CA1CD4"/>
    <w:rsid w:val="00CA6944"/>
    <w:rsid w:val="00CB0F8E"/>
    <w:rsid w:val="00CB32A1"/>
    <w:rsid w:val="00CB3B7B"/>
    <w:rsid w:val="00CB7E7D"/>
    <w:rsid w:val="00CC2911"/>
    <w:rsid w:val="00CD0697"/>
    <w:rsid w:val="00CF0C6D"/>
    <w:rsid w:val="00CF7307"/>
    <w:rsid w:val="00CF7C68"/>
    <w:rsid w:val="00D124FA"/>
    <w:rsid w:val="00D31FE3"/>
    <w:rsid w:val="00D340DE"/>
    <w:rsid w:val="00D55723"/>
    <w:rsid w:val="00D5620F"/>
    <w:rsid w:val="00D62FAD"/>
    <w:rsid w:val="00D70450"/>
    <w:rsid w:val="00D710A3"/>
    <w:rsid w:val="00D83BFD"/>
    <w:rsid w:val="00D90A38"/>
    <w:rsid w:val="00DA0515"/>
    <w:rsid w:val="00DA171E"/>
    <w:rsid w:val="00DA56AA"/>
    <w:rsid w:val="00DB5833"/>
    <w:rsid w:val="00DB5EC8"/>
    <w:rsid w:val="00DD2858"/>
    <w:rsid w:val="00DD54E7"/>
    <w:rsid w:val="00DD68C0"/>
    <w:rsid w:val="00E03E33"/>
    <w:rsid w:val="00E0767F"/>
    <w:rsid w:val="00E12518"/>
    <w:rsid w:val="00E13783"/>
    <w:rsid w:val="00E345BD"/>
    <w:rsid w:val="00E3642A"/>
    <w:rsid w:val="00E415C4"/>
    <w:rsid w:val="00E465BD"/>
    <w:rsid w:val="00E50016"/>
    <w:rsid w:val="00E50EAA"/>
    <w:rsid w:val="00E656D6"/>
    <w:rsid w:val="00E84404"/>
    <w:rsid w:val="00E929F8"/>
    <w:rsid w:val="00E977EE"/>
    <w:rsid w:val="00EA67A2"/>
    <w:rsid w:val="00EC4F98"/>
    <w:rsid w:val="00ED5EA2"/>
    <w:rsid w:val="00F12F02"/>
    <w:rsid w:val="00F35134"/>
    <w:rsid w:val="00F359ED"/>
    <w:rsid w:val="00F41812"/>
    <w:rsid w:val="00F45E45"/>
    <w:rsid w:val="00F5632B"/>
    <w:rsid w:val="00F57D8D"/>
    <w:rsid w:val="00F64675"/>
    <w:rsid w:val="00F73333"/>
    <w:rsid w:val="00F95D8F"/>
    <w:rsid w:val="00FA2ACA"/>
    <w:rsid w:val="00FB350A"/>
    <w:rsid w:val="00FD5F23"/>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5078F7"/>
    <w:pPr>
      <w:keepNext/>
      <w:spacing w:after="40"/>
      <w:ind w:left="709" w:hanging="709"/>
    </w:pPr>
    <w:rPr>
      <w:rFonts w:ascii="Arial Narrow" w:hAnsi="Arial Narrow" w:cs="Tahoma"/>
      <w:b/>
      <w:sz w:val="20"/>
      <w:lang w:val="en-GB" w:eastAsia="ja-JP"/>
    </w:rPr>
  </w:style>
  <w:style w:type="paragraph" w:customStyle="1" w:styleId="TableName">
    <w:name w:val="TableName"/>
    <w:basedOn w:val="Normal"/>
    <w:link w:val="TableNameChar"/>
    <w:rsid w:val="005078F7"/>
    <w:pPr>
      <w:keepNext/>
      <w:spacing w:before="40" w:after="40"/>
      <w:ind w:left="1440" w:hanging="720"/>
    </w:pPr>
    <w:rPr>
      <w:rFonts w:ascii="Arial Narrow" w:hAnsi="Arial Narrow"/>
      <w:b/>
      <w:sz w:val="20"/>
    </w:rPr>
  </w:style>
  <w:style w:type="character" w:customStyle="1" w:styleId="TableNameChar">
    <w:name w:val="TableName Char"/>
    <w:link w:val="TableName"/>
    <w:rsid w:val="005078F7"/>
    <w:rPr>
      <w:rFonts w:ascii="Arial Narrow" w:eastAsia="Times New Roman" w:hAnsi="Arial Narrow"/>
      <w:b/>
      <w:sz w:val="20"/>
      <w:szCs w:val="20"/>
    </w:rPr>
  </w:style>
  <w:style w:type="paragraph" w:customStyle="1" w:styleId="Style2">
    <w:name w:val="Style2"/>
    <w:basedOn w:val="Normal"/>
    <w:link w:val="Style2Char"/>
    <w:qFormat/>
    <w:rsid w:val="001C5AD2"/>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1C5AD2"/>
    <w:rPr>
      <w:rFonts w:ascii="Arial" w:eastAsia="Times New Roman" w:hAnsi="Arial" w:cs="Arial"/>
      <w:color w:val="3366FF"/>
      <w:sz w:val="24"/>
      <w:szCs w:val="24"/>
    </w:rPr>
  </w:style>
  <w:style w:type="paragraph" w:styleId="Revision">
    <w:name w:val="Revision"/>
    <w:hidden/>
    <w:uiPriority w:val="99"/>
    <w:semiHidden/>
    <w:rsid w:val="00AD046E"/>
    <w:rPr>
      <w:rFonts w:eastAsia="Times New Roman"/>
      <w:sz w:val="24"/>
      <w:szCs w:val="20"/>
    </w:rPr>
  </w:style>
  <w:style w:type="paragraph" w:customStyle="1" w:styleId="Pa31">
    <w:name w:val="Pa3+1"/>
    <w:basedOn w:val="Default"/>
    <w:next w:val="Default"/>
    <w:uiPriority w:val="99"/>
    <w:rsid w:val="00AD046E"/>
    <w:pPr>
      <w:spacing w:line="241" w:lineRule="atLeast"/>
    </w:pPr>
    <w:rPr>
      <w:rFonts w:ascii="HelveticaNeue Condensed" w:hAnsi="HelveticaNeue Condensed"/>
      <w:color w:val="auto"/>
      <w:lang w:eastAsia="en-AU"/>
    </w:rPr>
  </w:style>
  <w:style w:type="character" w:customStyle="1" w:styleId="A41">
    <w:name w:val="A4+1"/>
    <w:uiPriority w:val="99"/>
    <w:rsid w:val="00AD046E"/>
    <w:rPr>
      <w:rFonts w:cs="HelveticaNeue Condensed"/>
      <w:color w:val="221E1F"/>
      <w:sz w:val="18"/>
      <w:szCs w:val="18"/>
    </w:rPr>
  </w:style>
  <w:style w:type="paragraph" w:customStyle="1" w:styleId="Pa15">
    <w:name w:val="Pa15"/>
    <w:basedOn w:val="Default"/>
    <w:next w:val="Default"/>
    <w:uiPriority w:val="99"/>
    <w:rsid w:val="00AA0242"/>
    <w:pPr>
      <w:spacing w:line="221" w:lineRule="atLeast"/>
    </w:pPr>
    <w:rPr>
      <w:rFonts w:ascii="Arial" w:hAnsi="Arial" w:cs="Arial"/>
      <w:color w:val="auto"/>
      <w:lang w:eastAsia="en-AU"/>
    </w:rPr>
  </w:style>
  <w:style w:type="character" w:customStyle="1" w:styleId="A5">
    <w:name w:val="A5"/>
    <w:uiPriority w:val="99"/>
    <w:rsid w:val="00AA0242"/>
    <w:rPr>
      <w:color w:val="221E1F"/>
      <w:sz w:val="18"/>
      <w:szCs w:val="18"/>
    </w:rPr>
  </w:style>
  <w:style w:type="table" w:styleId="TableGrid">
    <w:name w:val="Table Grid"/>
    <w:basedOn w:val="TableNormal"/>
    <w:locked/>
    <w:rsid w:val="00CA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5078F7"/>
    <w:pPr>
      <w:keepNext/>
      <w:spacing w:after="40"/>
      <w:ind w:left="709" w:hanging="709"/>
    </w:pPr>
    <w:rPr>
      <w:rFonts w:ascii="Arial Narrow" w:hAnsi="Arial Narrow" w:cs="Tahoma"/>
      <w:b/>
      <w:sz w:val="20"/>
      <w:lang w:val="en-GB" w:eastAsia="ja-JP"/>
    </w:rPr>
  </w:style>
  <w:style w:type="paragraph" w:customStyle="1" w:styleId="TableName">
    <w:name w:val="TableName"/>
    <w:basedOn w:val="Normal"/>
    <w:link w:val="TableNameChar"/>
    <w:rsid w:val="005078F7"/>
    <w:pPr>
      <w:keepNext/>
      <w:spacing w:before="40" w:after="40"/>
      <w:ind w:left="1440" w:hanging="720"/>
    </w:pPr>
    <w:rPr>
      <w:rFonts w:ascii="Arial Narrow" w:hAnsi="Arial Narrow"/>
      <w:b/>
      <w:sz w:val="20"/>
    </w:rPr>
  </w:style>
  <w:style w:type="character" w:customStyle="1" w:styleId="TableNameChar">
    <w:name w:val="TableName Char"/>
    <w:link w:val="TableName"/>
    <w:rsid w:val="005078F7"/>
    <w:rPr>
      <w:rFonts w:ascii="Arial Narrow" w:eastAsia="Times New Roman" w:hAnsi="Arial Narrow"/>
      <w:b/>
      <w:sz w:val="20"/>
      <w:szCs w:val="20"/>
    </w:rPr>
  </w:style>
  <w:style w:type="paragraph" w:customStyle="1" w:styleId="Style2">
    <w:name w:val="Style2"/>
    <w:basedOn w:val="Normal"/>
    <w:link w:val="Style2Char"/>
    <w:qFormat/>
    <w:rsid w:val="001C5AD2"/>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1C5AD2"/>
    <w:rPr>
      <w:rFonts w:ascii="Arial" w:eastAsia="Times New Roman" w:hAnsi="Arial" w:cs="Arial"/>
      <w:color w:val="3366FF"/>
      <w:sz w:val="24"/>
      <w:szCs w:val="24"/>
    </w:rPr>
  </w:style>
  <w:style w:type="paragraph" w:styleId="Revision">
    <w:name w:val="Revision"/>
    <w:hidden/>
    <w:uiPriority w:val="99"/>
    <w:semiHidden/>
    <w:rsid w:val="00AD046E"/>
    <w:rPr>
      <w:rFonts w:eastAsia="Times New Roman"/>
      <w:sz w:val="24"/>
      <w:szCs w:val="20"/>
    </w:rPr>
  </w:style>
  <w:style w:type="paragraph" w:customStyle="1" w:styleId="Pa31">
    <w:name w:val="Pa3+1"/>
    <w:basedOn w:val="Default"/>
    <w:next w:val="Default"/>
    <w:uiPriority w:val="99"/>
    <w:rsid w:val="00AD046E"/>
    <w:pPr>
      <w:spacing w:line="241" w:lineRule="atLeast"/>
    </w:pPr>
    <w:rPr>
      <w:rFonts w:ascii="HelveticaNeue Condensed" w:hAnsi="HelveticaNeue Condensed"/>
      <w:color w:val="auto"/>
      <w:lang w:eastAsia="en-AU"/>
    </w:rPr>
  </w:style>
  <w:style w:type="character" w:customStyle="1" w:styleId="A41">
    <w:name w:val="A4+1"/>
    <w:uiPriority w:val="99"/>
    <w:rsid w:val="00AD046E"/>
    <w:rPr>
      <w:rFonts w:cs="HelveticaNeue Condensed"/>
      <w:color w:val="221E1F"/>
      <w:sz w:val="18"/>
      <w:szCs w:val="18"/>
    </w:rPr>
  </w:style>
  <w:style w:type="paragraph" w:customStyle="1" w:styleId="Pa15">
    <w:name w:val="Pa15"/>
    <w:basedOn w:val="Default"/>
    <w:next w:val="Default"/>
    <w:uiPriority w:val="99"/>
    <w:rsid w:val="00AA0242"/>
    <w:pPr>
      <w:spacing w:line="221" w:lineRule="atLeast"/>
    </w:pPr>
    <w:rPr>
      <w:rFonts w:ascii="Arial" w:hAnsi="Arial" w:cs="Arial"/>
      <w:color w:val="auto"/>
      <w:lang w:eastAsia="en-AU"/>
    </w:rPr>
  </w:style>
  <w:style w:type="character" w:customStyle="1" w:styleId="A5">
    <w:name w:val="A5"/>
    <w:uiPriority w:val="99"/>
    <w:rsid w:val="00AA0242"/>
    <w:rPr>
      <w:color w:val="221E1F"/>
      <w:sz w:val="18"/>
      <w:szCs w:val="18"/>
    </w:rPr>
  </w:style>
  <w:style w:type="table" w:styleId="TableGrid">
    <w:name w:val="Table Grid"/>
    <w:basedOn w:val="TableNormal"/>
    <w:locked/>
    <w:rsid w:val="00CA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2090422073">
      <w:bodyDiv w:val="1"/>
      <w:marLeft w:val="0"/>
      <w:marRight w:val="0"/>
      <w:marTop w:val="0"/>
      <w:marBottom w:val="0"/>
      <w:divBdr>
        <w:top w:val="none" w:sz="0" w:space="0" w:color="auto"/>
        <w:left w:val="none" w:sz="0" w:space="0" w:color="auto"/>
        <w:bottom w:val="none" w:sz="0" w:space="0" w:color="auto"/>
        <w:right w:val="none" w:sz="0" w:space="0" w:color="auto"/>
      </w:divBdr>
      <w:divsChild>
        <w:div w:id="2027249270">
          <w:marLeft w:val="547"/>
          <w:marRight w:val="0"/>
          <w:marTop w:val="134"/>
          <w:marBottom w:val="0"/>
          <w:divBdr>
            <w:top w:val="none" w:sz="0" w:space="0" w:color="auto"/>
            <w:left w:val="none" w:sz="0" w:space="0" w:color="auto"/>
            <w:bottom w:val="none" w:sz="0" w:space="0" w:color="auto"/>
            <w:right w:val="none" w:sz="0" w:space="0" w:color="auto"/>
          </w:divBdr>
        </w:div>
      </w:divsChild>
    </w:div>
    <w:div w:id="2096704780">
      <w:bodyDiv w:val="1"/>
      <w:marLeft w:val="0"/>
      <w:marRight w:val="0"/>
      <w:marTop w:val="0"/>
      <w:marBottom w:val="0"/>
      <w:divBdr>
        <w:top w:val="none" w:sz="0" w:space="0" w:color="auto"/>
        <w:left w:val="none" w:sz="0" w:space="0" w:color="auto"/>
        <w:bottom w:val="none" w:sz="0" w:space="0" w:color="auto"/>
        <w:right w:val="none" w:sz="0" w:space="0" w:color="auto"/>
      </w:divBdr>
      <w:divsChild>
        <w:div w:id="75932727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68AE-6DEA-437C-AC19-08891FE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4965</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2015-05-07T00:16:00Z</cp:lastPrinted>
  <dcterms:created xsi:type="dcterms:W3CDTF">2015-07-28T22:36:00Z</dcterms:created>
  <dcterms:modified xsi:type="dcterms:W3CDTF">2015-07-28T22:36:00Z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