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3B" w:rsidRPr="00707064" w:rsidRDefault="0087063B" w:rsidP="0087063B">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40809D0" wp14:editId="036D5066">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87063B" w:rsidRPr="007B32D1" w:rsidRDefault="0087063B" w:rsidP="0087063B">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rsidR="0087063B" w:rsidRPr="0087063B" w:rsidRDefault="0087063B" w:rsidP="0087063B">
      <w:pPr>
        <w:pStyle w:val="Heading1"/>
        <w:rPr>
          <w:sz w:val="24"/>
          <w:szCs w:val="24"/>
        </w:rPr>
      </w:pPr>
      <w:r w:rsidRPr="0087063B">
        <w:rPr>
          <w:rStyle w:val="IntenseReference"/>
          <w:b/>
          <w:bCs/>
          <w:i w:val="0"/>
          <w:smallCaps w:val="0"/>
          <w:color w:val="auto"/>
          <w:sz w:val="24"/>
          <w:szCs w:val="24"/>
        </w:rPr>
        <w:t xml:space="preserve">Report to the Medical Services Advisory Committee on </w:t>
      </w:r>
      <w:r w:rsidRPr="0087063B">
        <w:rPr>
          <w:sz w:val="24"/>
          <w:szCs w:val="24"/>
        </w:rPr>
        <w:t>utilisation of MBS item 38273 following application 1330: Transcatheter closure of a patent ductus arteriosus</w:t>
      </w:r>
    </w:p>
    <w:p w:rsidR="0087063B" w:rsidRPr="00D90A38" w:rsidRDefault="0087063B" w:rsidP="0087063B">
      <w:pPr>
        <w:spacing w:before="360"/>
        <w:ind w:left="3600" w:hanging="3600"/>
        <w:rPr>
          <w:rFonts w:ascii="Arial" w:hAnsi="Arial" w:cs="Arial"/>
          <w:b/>
          <w:szCs w:val="24"/>
        </w:rPr>
      </w:pPr>
      <w:r>
        <w:rPr>
          <w:rFonts w:ascii="Arial" w:hAnsi="Arial" w:cs="Arial"/>
          <w:b/>
          <w:szCs w:val="24"/>
        </w:rPr>
        <w:t>Medicare Benefits Schedule (MBS) item considered</w:t>
      </w:r>
      <w:r w:rsidRPr="00D90A38">
        <w:rPr>
          <w:rFonts w:ascii="Arial" w:hAnsi="Arial" w:cs="Arial"/>
          <w:b/>
          <w:szCs w:val="24"/>
        </w:rPr>
        <w:t>:</w:t>
      </w:r>
      <w:r w:rsidRPr="00D90A38">
        <w:rPr>
          <w:rFonts w:ascii="Arial" w:hAnsi="Arial" w:cs="Arial"/>
          <w:b/>
          <w:szCs w:val="24"/>
        </w:rPr>
        <w:tab/>
      </w:r>
      <w:r>
        <w:rPr>
          <w:rFonts w:ascii="Arial" w:hAnsi="Arial" w:cs="Arial"/>
          <w:b/>
          <w:szCs w:val="24"/>
        </w:rPr>
        <w:t>38273</w:t>
      </w:r>
    </w:p>
    <w:p w:rsidR="0087063B" w:rsidRPr="00D90A38" w:rsidRDefault="0087063B" w:rsidP="0087063B">
      <w:pPr>
        <w:spacing w:before="360"/>
        <w:ind w:left="3600" w:hanging="3600"/>
        <w:rPr>
          <w:rFonts w:ascii="Arial" w:hAnsi="Arial" w:cs="Arial"/>
          <w:b/>
          <w:szCs w:val="24"/>
        </w:rPr>
      </w:pPr>
      <w:r>
        <w:rPr>
          <w:rFonts w:ascii="Arial" w:hAnsi="Arial" w:cs="Arial"/>
          <w:b/>
          <w:szCs w:val="24"/>
        </w:rPr>
        <w:t>D</w:t>
      </w:r>
      <w:r w:rsidRPr="00D90A38">
        <w:rPr>
          <w:rFonts w:ascii="Arial" w:hAnsi="Arial" w:cs="Arial"/>
          <w:b/>
          <w:szCs w:val="24"/>
        </w:rPr>
        <w:t>ate of MSAC consideration:</w:t>
      </w:r>
      <w:r w:rsidRPr="00D90A38">
        <w:rPr>
          <w:rFonts w:ascii="Arial" w:hAnsi="Arial" w:cs="Arial"/>
          <w:b/>
          <w:szCs w:val="24"/>
        </w:rPr>
        <w:tab/>
      </w:r>
      <w:r>
        <w:rPr>
          <w:rFonts w:ascii="Arial" w:hAnsi="Arial" w:cs="Arial"/>
          <w:b/>
          <w:szCs w:val="24"/>
        </w:rPr>
        <w:t>23 November 2017</w:t>
      </w:r>
    </w:p>
    <w:p w:rsidR="0087063B" w:rsidRDefault="0087063B" w:rsidP="00E62A7C">
      <w:pPr>
        <w:spacing w:before="240"/>
        <w:rPr>
          <w:szCs w:val="24"/>
        </w:rPr>
      </w:pPr>
      <w:r>
        <w:rPr>
          <w:szCs w:val="24"/>
        </w:rPr>
        <w:t xml:space="preserve">Context for decision: MSAC makes its advice in accordance with its Terms of Reference, see the </w:t>
      </w:r>
      <w:hyperlink r:id="rId10" w:history="1">
        <w:r w:rsidRPr="009B433F">
          <w:rPr>
            <w:rStyle w:val="Hyperlink"/>
            <w:szCs w:val="24"/>
          </w:rPr>
          <w:t xml:space="preserve">MSAC </w:t>
        </w:r>
        <w:r>
          <w:rPr>
            <w:rStyle w:val="Hyperlink"/>
            <w:szCs w:val="24"/>
          </w:rPr>
          <w:t>W</w:t>
        </w:r>
        <w:r w:rsidRPr="009B433F">
          <w:rPr>
            <w:rStyle w:val="Hyperlink"/>
            <w:szCs w:val="24"/>
          </w:rPr>
          <w:t>ebsite</w:t>
        </w:r>
      </w:hyperlink>
      <w:r>
        <w:t>.</w:t>
      </w:r>
    </w:p>
    <w:p w:rsidR="0087063B" w:rsidRPr="00004200" w:rsidRDefault="0087063B" w:rsidP="00004200">
      <w:pPr>
        <w:pStyle w:val="Heading1"/>
        <w:keepLines/>
        <w:numPr>
          <w:ilvl w:val="0"/>
          <w:numId w:val="1"/>
        </w:numPr>
        <w:tabs>
          <w:tab w:val="left" w:pos="720"/>
          <w:tab w:val="left" w:pos="1140"/>
        </w:tabs>
        <w:spacing w:after="0"/>
        <w:ind w:hanging="720"/>
        <w:rPr>
          <w:sz w:val="24"/>
          <w:szCs w:val="24"/>
        </w:rPr>
      </w:pPr>
      <w:r w:rsidRPr="00004200">
        <w:rPr>
          <w:sz w:val="24"/>
          <w:szCs w:val="24"/>
        </w:rPr>
        <w:t xml:space="preserve">Purpose </w:t>
      </w:r>
    </w:p>
    <w:p w:rsidR="0087063B" w:rsidRDefault="0087063B" w:rsidP="0087063B">
      <w:r>
        <w:t>The purpose of the report presented to the Medical Services Advisory Committee (MSAC) was to inform MSAC of the real world impacts on the outcomes of Application 1330. The MSAC uses this information to ensure that the new item/s resulting from this application/s is being used as intended.</w:t>
      </w:r>
    </w:p>
    <w:p w:rsidR="0087063B" w:rsidRPr="00DB1935" w:rsidRDefault="0087063B" w:rsidP="0087063B">
      <w:pPr>
        <w:spacing w:before="240"/>
      </w:pPr>
      <w:r w:rsidRPr="00341476">
        <w:t xml:space="preserve">The </w:t>
      </w:r>
      <w:r>
        <w:t>report</w:t>
      </w:r>
      <w:r w:rsidRPr="00341476">
        <w:t xml:space="preserve"> is not intended to be a review of the clinical information covered during the application process.</w:t>
      </w:r>
    </w:p>
    <w:p w:rsidR="0087063B" w:rsidRPr="00004200" w:rsidRDefault="0087063B" w:rsidP="00004200">
      <w:pPr>
        <w:pStyle w:val="Heading1"/>
        <w:keepLines/>
        <w:numPr>
          <w:ilvl w:val="0"/>
          <w:numId w:val="1"/>
        </w:numPr>
        <w:tabs>
          <w:tab w:val="left" w:pos="720"/>
          <w:tab w:val="left" w:pos="1140"/>
        </w:tabs>
        <w:spacing w:after="0"/>
        <w:ind w:hanging="720"/>
        <w:rPr>
          <w:sz w:val="24"/>
          <w:szCs w:val="24"/>
        </w:rPr>
      </w:pPr>
      <w:r w:rsidRPr="00004200">
        <w:rPr>
          <w:sz w:val="24"/>
          <w:szCs w:val="24"/>
        </w:rPr>
        <w:t xml:space="preserve">MSAC’s advice </w:t>
      </w:r>
    </w:p>
    <w:p w:rsidR="0087063B" w:rsidRPr="004617ED" w:rsidRDefault="0087063B" w:rsidP="0087063B">
      <w:r>
        <w:t>After considering the real world impacts of the outcomes of Application 1330 for the transcatheter closure of a patent ductus arteriosus</w:t>
      </w:r>
      <w:r w:rsidRPr="000E155F">
        <w:t xml:space="preserve"> </w:t>
      </w:r>
      <w:r>
        <w:t>(</w:t>
      </w:r>
      <w:r w:rsidRPr="000E155F">
        <w:t xml:space="preserve">MBS item </w:t>
      </w:r>
      <w:r>
        <w:t xml:space="preserve">38273), MSAC </w:t>
      </w:r>
      <w:r w:rsidRPr="00F92897">
        <w:t xml:space="preserve">considered actual utilisation data and compared it with prior utilisation predictions following MSAC’s support for </w:t>
      </w:r>
      <w:r w:rsidRPr="00CA7666">
        <w:t>the transcatheter closure of a patent ductus arteriosus</w:t>
      </w:r>
      <w:r w:rsidRPr="00F92897">
        <w:t>. MSAC noted there was lower than expected utilisation of this item and recommended no further action.</w:t>
      </w:r>
    </w:p>
    <w:p w:rsidR="0087063B" w:rsidRPr="00004200" w:rsidRDefault="0087063B" w:rsidP="00004200">
      <w:pPr>
        <w:pStyle w:val="Heading1"/>
        <w:keepLines/>
        <w:numPr>
          <w:ilvl w:val="0"/>
          <w:numId w:val="1"/>
        </w:numPr>
        <w:tabs>
          <w:tab w:val="left" w:pos="720"/>
          <w:tab w:val="left" w:pos="1140"/>
        </w:tabs>
        <w:spacing w:after="0"/>
        <w:ind w:hanging="720"/>
        <w:rPr>
          <w:sz w:val="24"/>
          <w:szCs w:val="24"/>
        </w:rPr>
      </w:pPr>
      <w:r w:rsidRPr="00004200">
        <w:rPr>
          <w:sz w:val="24"/>
          <w:szCs w:val="24"/>
        </w:rPr>
        <w:t>Summary of consideration and rationale for MSAC’s advice</w:t>
      </w:r>
    </w:p>
    <w:p w:rsidR="0087063B" w:rsidRPr="00AB29C6" w:rsidRDefault="0087063B" w:rsidP="00004200">
      <w:pPr>
        <w:spacing w:after="240"/>
      </w:pPr>
      <w:r w:rsidRPr="00AB29C6">
        <w:t>MSAC considered the real world impacts of the outcome of Application 1330 for transcatheter closure of a patent ductus arteriosus (PDA) by examining available data for MBS item 38273.</w:t>
      </w:r>
    </w:p>
    <w:p w:rsidR="0087063B" w:rsidRPr="00AB29C6" w:rsidRDefault="0087063B" w:rsidP="00004200">
      <w:pPr>
        <w:spacing w:after="240"/>
      </w:pPr>
      <w:r w:rsidRPr="00AB29C6">
        <w:t>MSAC recalled that the financial analysis in the assessment report only used data from the private health care system. MSAC recalled that there were a predicted 55 procedures of transcatheter closure of PDA in the private setting for the period 2012–13 increasing to an estimated 58 services for 2015–16.</w:t>
      </w:r>
    </w:p>
    <w:p w:rsidR="0087063B" w:rsidRDefault="0087063B" w:rsidP="00004200">
      <w:pPr>
        <w:spacing w:after="240"/>
      </w:pPr>
      <w:r w:rsidRPr="00AB29C6">
        <w:t>MSAC noted that the actual uptake of MBS item 38273 was approximately 25% to 35% of the predicted volume of service. MSAC noted the lower than predicted uptake could be due to procedures for transcatheter closure of PDA being largely performed in the public sector rather than the private system.</w:t>
      </w:r>
    </w:p>
    <w:p w:rsidR="0087063B" w:rsidRPr="00F92897" w:rsidRDefault="0087063B" w:rsidP="0087063B">
      <w:r>
        <w:lastRenderedPageBreak/>
        <w:t xml:space="preserve">MSAC noted that MBS item 38273 was being claimed on a small number of occasions with item 60012 for angiography in 2014-15, which may not be appropriate. </w:t>
      </w:r>
    </w:p>
    <w:p w:rsidR="0087063B" w:rsidRPr="004617ED" w:rsidRDefault="0087063B" w:rsidP="0087063B">
      <w:pPr>
        <w:pStyle w:val="BodyText"/>
        <w:spacing w:before="240" w:line="240" w:lineRule="auto"/>
        <w:rPr>
          <w:rFonts w:ascii="Times New Roman" w:hAnsi="Times New Roman"/>
          <w:sz w:val="24"/>
          <w:szCs w:val="20"/>
        </w:rPr>
      </w:pPr>
      <w:r w:rsidRPr="00F92897">
        <w:rPr>
          <w:rFonts w:ascii="Times New Roman" w:hAnsi="Times New Roman"/>
          <w:sz w:val="24"/>
          <w:szCs w:val="20"/>
        </w:rPr>
        <w:t xml:space="preserve">MSAC recommended no further action is required for MBS item </w:t>
      </w:r>
      <w:r>
        <w:rPr>
          <w:rFonts w:ascii="Times New Roman" w:hAnsi="Times New Roman"/>
          <w:sz w:val="24"/>
          <w:szCs w:val="20"/>
        </w:rPr>
        <w:t>38273</w:t>
      </w:r>
      <w:r w:rsidRPr="00F92897">
        <w:rPr>
          <w:rFonts w:ascii="Times New Roman" w:hAnsi="Times New Roman"/>
          <w:sz w:val="24"/>
          <w:szCs w:val="20"/>
        </w:rPr>
        <w:t>.</w:t>
      </w:r>
    </w:p>
    <w:p w:rsidR="0087063B" w:rsidRPr="00004200" w:rsidRDefault="0087063B" w:rsidP="00004200">
      <w:pPr>
        <w:pStyle w:val="Heading1"/>
        <w:keepLines/>
        <w:numPr>
          <w:ilvl w:val="0"/>
          <w:numId w:val="1"/>
        </w:numPr>
        <w:tabs>
          <w:tab w:val="left" w:pos="720"/>
          <w:tab w:val="left" w:pos="1140"/>
        </w:tabs>
        <w:spacing w:after="0"/>
        <w:ind w:hanging="720"/>
        <w:rPr>
          <w:sz w:val="24"/>
          <w:szCs w:val="24"/>
        </w:rPr>
      </w:pPr>
      <w:r w:rsidRPr="00004200">
        <w:rPr>
          <w:sz w:val="24"/>
          <w:szCs w:val="24"/>
        </w:rPr>
        <w:t>Methodology</w:t>
      </w:r>
    </w:p>
    <w:p w:rsidR="0087063B" w:rsidRDefault="0087063B" w:rsidP="0087063B">
      <w:pPr>
        <w:rPr>
          <w:szCs w:val="24"/>
        </w:rPr>
      </w:pPr>
      <w:r>
        <w:rPr>
          <w:szCs w:val="24"/>
        </w:rPr>
        <w:t>An application is selected for consideration if the resulting new item(s) and/or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chairs of MSAC and its sub-committees.</w:t>
      </w:r>
    </w:p>
    <w:p w:rsidR="0087063B" w:rsidRDefault="0087063B" w:rsidP="0087063B">
      <w:pPr>
        <w:spacing w:before="240"/>
        <w:rPr>
          <w:szCs w:val="24"/>
        </w:rPr>
      </w:pPr>
      <w:r>
        <w:rPr>
          <w:szCs w:val="24"/>
        </w:rPr>
        <w:t>A report on the utilisation is developed by the department with information on a number of metrics including;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rsidR="0087063B" w:rsidRDefault="0087063B" w:rsidP="0087063B">
      <w:pPr>
        <w:spacing w:before="240"/>
        <w:rPr>
          <w:szCs w:val="24"/>
        </w:rPr>
      </w:pPr>
      <w:r>
        <w:rPr>
          <w:szCs w:val="24"/>
        </w:rPr>
        <w:t>Where possible the report compares data on real world utilisation to the assumptions made during the MSAC assessment. Most of these assumptions are drawn from the assessment report.</w:t>
      </w:r>
    </w:p>
    <w:p w:rsidR="0087063B" w:rsidRDefault="0087063B" w:rsidP="0087063B">
      <w:pPr>
        <w:spacing w:before="240"/>
        <w:rPr>
          <w:szCs w:val="24"/>
        </w:rPr>
      </w:pPr>
      <w:r>
        <w:rPr>
          <w:szCs w:val="24"/>
        </w:rPr>
        <w:t>Relevant stakeholders are provided an opportunity to comment on the findings in the report before it is presented to the MSAC. It is intended that stakeholders are given at least three weeks to consider the reports.</w:t>
      </w:r>
    </w:p>
    <w:p w:rsidR="0087063B" w:rsidRDefault="0087063B" w:rsidP="0087063B">
      <w:pPr>
        <w:spacing w:before="240"/>
        <w:rPr>
          <w:szCs w:val="24"/>
        </w:rPr>
      </w:pPr>
      <w:r>
        <w:rPr>
          <w:szCs w:val="24"/>
        </w:rPr>
        <w:t>The stakeholder version of the report does not contain information on assumptions from the MSAC consideration if this information is not already publicly available. This is to protect the commercial in confidence of the original applicants. The same principle is applied to this document.</w:t>
      </w:r>
    </w:p>
    <w:p w:rsidR="0087063B" w:rsidRPr="004617ED" w:rsidRDefault="0087063B" w:rsidP="0087063B">
      <w:pPr>
        <w:spacing w:before="240"/>
        <w:rPr>
          <w:szCs w:val="24"/>
        </w:rPr>
      </w:pPr>
      <w:r>
        <w:rPr>
          <w:szCs w:val="24"/>
        </w:rPr>
        <w:t xml:space="preserve">Once MSAC has considered the report, its advice is made available online at the </w:t>
      </w:r>
      <w:hyperlink r:id="rId11" w:history="1">
        <w:r w:rsidRPr="009B433F">
          <w:rPr>
            <w:rStyle w:val="Hyperlink"/>
            <w:szCs w:val="24"/>
          </w:rPr>
          <w:t xml:space="preserve">MSAC </w:t>
        </w:r>
        <w:r>
          <w:rPr>
            <w:rStyle w:val="Hyperlink"/>
            <w:szCs w:val="24"/>
          </w:rPr>
          <w:t>W</w:t>
        </w:r>
        <w:r w:rsidRPr="009B433F">
          <w:rPr>
            <w:rStyle w:val="Hyperlink"/>
            <w:szCs w:val="24"/>
          </w:rPr>
          <w:t>ebsite</w:t>
        </w:r>
      </w:hyperlink>
      <w:r>
        <w:rPr>
          <w:szCs w:val="24"/>
        </w:rPr>
        <w:t>.</w:t>
      </w:r>
    </w:p>
    <w:p w:rsidR="0087063B" w:rsidRPr="00004200" w:rsidRDefault="0087063B" w:rsidP="00004200">
      <w:pPr>
        <w:pStyle w:val="Heading1"/>
        <w:keepLines/>
        <w:numPr>
          <w:ilvl w:val="0"/>
          <w:numId w:val="1"/>
        </w:numPr>
        <w:tabs>
          <w:tab w:val="left" w:pos="720"/>
          <w:tab w:val="left" w:pos="1140"/>
        </w:tabs>
        <w:spacing w:after="0"/>
        <w:ind w:hanging="720"/>
        <w:rPr>
          <w:sz w:val="24"/>
          <w:szCs w:val="24"/>
        </w:rPr>
      </w:pPr>
      <w:r w:rsidRPr="00004200">
        <w:rPr>
          <w:sz w:val="24"/>
          <w:szCs w:val="24"/>
        </w:rPr>
        <w:t>Results</w:t>
      </w:r>
    </w:p>
    <w:p w:rsidR="0087063B" w:rsidRDefault="0087063B" w:rsidP="0087063B">
      <w:pPr>
        <w:pStyle w:val="Heading2"/>
      </w:pPr>
      <w:r>
        <w:t>Utilisation</w:t>
      </w:r>
    </w:p>
    <w:p w:rsidR="0087063B" w:rsidRDefault="0087063B" w:rsidP="00004200">
      <w:pPr>
        <w:spacing w:after="240"/>
      </w:pPr>
      <w:r>
        <w:t xml:space="preserve">Uptake of item 38273 has been lower than expected at approximately 25-35% of the anticipated service volume (Table 1). This may be due to the number of procedures performed in the private setting via the transcatheter method being lower than estimated. </w:t>
      </w:r>
    </w:p>
    <w:p w:rsidR="00CD2C8D" w:rsidRDefault="0087063B">
      <w:r>
        <w:t>Services from 1 July 2014 to 31 March 2017 were predominantly performed in NSW and Victoria.</w:t>
      </w:r>
      <w:r w:rsidR="00CD2C8D">
        <w:br w:type="page"/>
      </w:r>
    </w:p>
    <w:p w:rsidR="0087063B" w:rsidRPr="0087063B" w:rsidRDefault="0087063B" w:rsidP="0087063B">
      <w:pPr>
        <w:spacing w:after="240"/>
        <w:rPr>
          <w:b/>
          <w:sz w:val="22"/>
          <w:szCs w:val="22"/>
        </w:rPr>
      </w:pPr>
      <w:r w:rsidRPr="0087063B">
        <w:rPr>
          <w:b/>
          <w:sz w:val="22"/>
          <w:szCs w:val="22"/>
        </w:rPr>
        <w:lastRenderedPageBreak/>
        <w:t>Table 1: Predicted vs actual utilisation of MBS item 38273 in Australia</w:t>
      </w:r>
    </w:p>
    <w:tbl>
      <w:tblPr>
        <w:tblW w:w="4791" w:type="pct"/>
        <w:shd w:val="clear" w:color="auto" w:fill="FFFFFF" w:themeFill="background1"/>
        <w:tblLook w:val="04A0" w:firstRow="1" w:lastRow="0" w:firstColumn="1" w:lastColumn="0" w:noHBand="0" w:noVBand="1"/>
      </w:tblPr>
      <w:tblGrid>
        <w:gridCol w:w="2659"/>
        <w:gridCol w:w="2102"/>
        <w:gridCol w:w="2280"/>
        <w:gridCol w:w="1815"/>
      </w:tblGrid>
      <w:tr w:rsidR="0087063B" w:rsidRPr="008105A4" w:rsidTr="007813BB">
        <w:trPr>
          <w:trHeight w:val="468"/>
        </w:trPr>
        <w:tc>
          <w:tcPr>
            <w:tcW w:w="1501" w:type="pct"/>
            <w:vMerge w:val="restart"/>
            <w:tcBorders>
              <w:top w:val="single" w:sz="8" w:space="0" w:color="auto"/>
              <w:left w:val="single" w:sz="8" w:space="0" w:color="auto"/>
              <w:right w:val="single" w:sz="8" w:space="0" w:color="auto"/>
            </w:tcBorders>
            <w:shd w:val="clear" w:color="auto" w:fill="548DD4" w:themeFill="text2" w:themeFillTint="99"/>
          </w:tcPr>
          <w:p w:rsidR="0087063B" w:rsidRPr="008105A4" w:rsidRDefault="0087063B" w:rsidP="007813BB">
            <w:pPr>
              <w:jc w:val="center"/>
              <w:rPr>
                <w:rFonts w:asciiTheme="minorHAnsi" w:hAnsiTheme="minorHAnsi" w:cs="Arial"/>
                <w:b/>
                <w:bCs/>
                <w:color w:val="FFFFFF"/>
                <w:sz w:val="22"/>
                <w:szCs w:val="22"/>
              </w:rPr>
            </w:pPr>
          </w:p>
        </w:tc>
        <w:tc>
          <w:tcPr>
            <w:tcW w:w="3499" w:type="pct"/>
            <w:gridSpan w:val="3"/>
            <w:tcBorders>
              <w:top w:val="single" w:sz="8" w:space="0" w:color="auto"/>
              <w:left w:val="nil"/>
              <w:bottom w:val="single" w:sz="8" w:space="0" w:color="auto"/>
              <w:right w:val="single" w:sz="8" w:space="0" w:color="auto"/>
            </w:tcBorders>
            <w:shd w:val="clear" w:color="auto" w:fill="548DD4" w:themeFill="text2" w:themeFillTint="99"/>
            <w:vAlign w:val="center"/>
          </w:tcPr>
          <w:p w:rsidR="0087063B" w:rsidRPr="008105A4" w:rsidRDefault="0087063B" w:rsidP="007813BB">
            <w:pPr>
              <w:jc w:val="center"/>
              <w:rPr>
                <w:rFonts w:asciiTheme="minorHAnsi" w:hAnsiTheme="minorHAnsi" w:cs="Arial"/>
                <w:b/>
                <w:bCs/>
                <w:color w:val="FFFFFF"/>
                <w:sz w:val="22"/>
                <w:szCs w:val="22"/>
              </w:rPr>
            </w:pPr>
            <w:r w:rsidRPr="008105A4">
              <w:rPr>
                <w:rFonts w:asciiTheme="minorHAnsi" w:hAnsiTheme="minorHAnsi" w:cs="Arial"/>
                <w:b/>
                <w:bCs/>
                <w:color w:val="FFFFFF"/>
                <w:sz w:val="22"/>
                <w:szCs w:val="22"/>
              </w:rPr>
              <w:t>Financial Year/ Year since listing</w:t>
            </w:r>
          </w:p>
        </w:tc>
      </w:tr>
      <w:tr w:rsidR="0087063B" w:rsidRPr="008105A4" w:rsidTr="007813BB">
        <w:trPr>
          <w:trHeight w:val="254"/>
        </w:trPr>
        <w:tc>
          <w:tcPr>
            <w:tcW w:w="1501" w:type="pct"/>
            <w:vMerge/>
            <w:tcBorders>
              <w:left w:val="single" w:sz="8" w:space="0" w:color="auto"/>
              <w:bottom w:val="single" w:sz="8" w:space="0" w:color="auto"/>
              <w:right w:val="single" w:sz="8" w:space="0" w:color="auto"/>
            </w:tcBorders>
            <w:shd w:val="clear" w:color="auto" w:fill="548DD4" w:themeFill="text2" w:themeFillTint="99"/>
          </w:tcPr>
          <w:p w:rsidR="0087063B" w:rsidRPr="008105A4" w:rsidRDefault="0087063B" w:rsidP="007813BB">
            <w:pPr>
              <w:jc w:val="center"/>
              <w:rPr>
                <w:rFonts w:asciiTheme="minorHAnsi" w:hAnsiTheme="minorHAnsi" w:cs="Arial"/>
                <w:b/>
                <w:bCs/>
                <w:color w:val="FFFFFF"/>
                <w:sz w:val="22"/>
                <w:szCs w:val="22"/>
              </w:rPr>
            </w:pPr>
          </w:p>
        </w:tc>
        <w:tc>
          <w:tcPr>
            <w:tcW w:w="1187" w:type="pct"/>
            <w:tcBorders>
              <w:top w:val="single" w:sz="8" w:space="0" w:color="auto"/>
              <w:left w:val="nil"/>
              <w:bottom w:val="single" w:sz="8" w:space="0" w:color="auto"/>
              <w:right w:val="single" w:sz="8" w:space="0" w:color="auto"/>
            </w:tcBorders>
            <w:shd w:val="clear" w:color="auto" w:fill="548DD4" w:themeFill="text2" w:themeFillTint="99"/>
          </w:tcPr>
          <w:p w:rsidR="0087063B" w:rsidRPr="008105A4" w:rsidRDefault="0087063B" w:rsidP="007813BB">
            <w:pPr>
              <w:jc w:val="center"/>
              <w:rPr>
                <w:rFonts w:asciiTheme="minorHAnsi" w:hAnsiTheme="minorHAnsi" w:cs="Arial"/>
                <w:b/>
                <w:bCs/>
                <w:color w:val="FFFFFF"/>
                <w:sz w:val="22"/>
                <w:szCs w:val="22"/>
              </w:rPr>
            </w:pPr>
            <w:r w:rsidRPr="008105A4">
              <w:rPr>
                <w:rFonts w:asciiTheme="minorHAnsi" w:hAnsiTheme="minorHAnsi" w:cs="Arial"/>
                <w:b/>
                <w:bCs/>
                <w:color w:val="FFFFFF"/>
                <w:sz w:val="22"/>
                <w:szCs w:val="22"/>
              </w:rPr>
              <w:t xml:space="preserve">2014-15 </w:t>
            </w:r>
          </w:p>
        </w:tc>
        <w:tc>
          <w:tcPr>
            <w:tcW w:w="1287" w:type="pct"/>
            <w:tcBorders>
              <w:top w:val="single" w:sz="8" w:space="0" w:color="auto"/>
              <w:left w:val="nil"/>
              <w:bottom w:val="single" w:sz="8" w:space="0" w:color="auto"/>
              <w:right w:val="single" w:sz="8" w:space="0" w:color="auto"/>
            </w:tcBorders>
            <w:shd w:val="clear" w:color="auto" w:fill="548DD4" w:themeFill="text2" w:themeFillTint="99"/>
          </w:tcPr>
          <w:p w:rsidR="0087063B" w:rsidRPr="008105A4" w:rsidRDefault="0087063B" w:rsidP="007813BB">
            <w:pPr>
              <w:jc w:val="center"/>
              <w:rPr>
                <w:rFonts w:asciiTheme="minorHAnsi" w:hAnsiTheme="minorHAnsi" w:cs="Arial"/>
                <w:b/>
                <w:bCs/>
                <w:color w:val="FFFFFF"/>
                <w:sz w:val="22"/>
                <w:szCs w:val="22"/>
              </w:rPr>
            </w:pPr>
            <w:r w:rsidRPr="008105A4">
              <w:rPr>
                <w:rFonts w:asciiTheme="minorHAnsi" w:hAnsiTheme="minorHAnsi" w:cs="Arial"/>
                <w:b/>
                <w:bCs/>
                <w:color w:val="FFFFFF"/>
                <w:sz w:val="22"/>
                <w:szCs w:val="22"/>
              </w:rPr>
              <w:t>2015-16</w:t>
            </w:r>
          </w:p>
        </w:tc>
        <w:tc>
          <w:tcPr>
            <w:tcW w:w="1025" w:type="pct"/>
            <w:tcBorders>
              <w:top w:val="single" w:sz="8" w:space="0" w:color="auto"/>
              <w:left w:val="nil"/>
              <w:bottom w:val="single" w:sz="8" w:space="0" w:color="auto"/>
              <w:right w:val="single" w:sz="8" w:space="0" w:color="auto"/>
            </w:tcBorders>
            <w:shd w:val="clear" w:color="auto" w:fill="548DD4" w:themeFill="text2" w:themeFillTint="99"/>
          </w:tcPr>
          <w:p w:rsidR="0087063B" w:rsidRPr="008105A4" w:rsidRDefault="0087063B" w:rsidP="007813BB">
            <w:pPr>
              <w:jc w:val="center"/>
              <w:rPr>
                <w:rFonts w:asciiTheme="minorHAnsi" w:hAnsiTheme="minorHAnsi" w:cs="Arial"/>
                <w:b/>
                <w:bCs/>
                <w:color w:val="FFFFFF"/>
                <w:sz w:val="22"/>
                <w:szCs w:val="22"/>
              </w:rPr>
            </w:pPr>
            <w:r w:rsidRPr="008105A4">
              <w:rPr>
                <w:rFonts w:asciiTheme="minorHAnsi" w:hAnsiTheme="minorHAnsi" w:cs="Arial"/>
                <w:b/>
                <w:bCs/>
                <w:color w:val="FFFFFF"/>
                <w:sz w:val="22"/>
                <w:szCs w:val="22"/>
              </w:rPr>
              <w:t>2016-17*</w:t>
            </w:r>
          </w:p>
        </w:tc>
      </w:tr>
      <w:tr w:rsidR="0087063B" w:rsidRPr="008105A4" w:rsidTr="0087063B">
        <w:trPr>
          <w:trHeight w:val="480"/>
        </w:trPr>
        <w:tc>
          <w:tcPr>
            <w:tcW w:w="1501" w:type="pct"/>
            <w:tcBorders>
              <w:top w:val="nil"/>
              <w:left w:val="single" w:sz="8" w:space="0" w:color="auto"/>
              <w:bottom w:val="single" w:sz="8" w:space="0" w:color="auto"/>
              <w:right w:val="single" w:sz="8" w:space="0" w:color="auto"/>
            </w:tcBorders>
            <w:shd w:val="clear" w:color="auto" w:fill="FFFFFF" w:themeFill="background1"/>
            <w:vAlign w:val="center"/>
            <w:hideMark/>
          </w:tcPr>
          <w:p w:rsidR="0087063B" w:rsidRPr="008105A4" w:rsidRDefault="0087063B" w:rsidP="007813BB">
            <w:pPr>
              <w:rPr>
                <w:rFonts w:asciiTheme="minorHAnsi" w:hAnsiTheme="minorHAnsi" w:cs="Arial"/>
                <w:b/>
                <w:bCs/>
                <w:color w:val="000000"/>
                <w:sz w:val="22"/>
                <w:szCs w:val="22"/>
              </w:rPr>
            </w:pPr>
            <w:r w:rsidRPr="008105A4">
              <w:rPr>
                <w:rFonts w:asciiTheme="minorHAnsi" w:hAnsiTheme="minorHAnsi" w:cs="Arial"/>
                <w:b/>
                <w:bCs/>
                <w:color w:val="000000"/>
                <w:sz w:val="22"/>
                <w:szCs w:val="22"/>
              </w:rPr>
              <w:t xml:space="preserve">Actual number of Services </w:t>
            </w:r>
          </w:p>
        </w:tc>
        <w:tc>
          <w:tcPr>
            <w:tcW w:w="1187" w:type="pct"/>
            <w:tcBorders>
              <w:top w:val="nil"/>
              <w:left w:val="nil"/>
              <w:bottom w:val="single" w:sz="8" w:space="0" w:color="auto"/>
              <w:right w:val="single" w:sz="8" w:space="0" w:color="auto"/>
            </w:tcBorders>
            <w:shd w:val="clear" w:color="auto" w:fill="FFFFFF" w:themeFill="background1"/>
            <w:vAlign w:val="center"/>
          </w:tcPr>
          <w:p w:rsidR="0087063B" w:rsidRPr="008105A4" w:rsidRDefault="0087063B" w:rsidP="007813BB">
            <w:pPr>
              <w:jc w:val="right"/>
              <w:rPr>
                <w:rFonts w:asciiTheme="minorHAnsi" w:hAnsiTheme="minorHAnsi" w:cs="Arial"/>
                <w:color w:val="000000"/>
                <w:sz w:val="22"/>
                <w:szCs w:val="22"/>
              </w:rPr>
            </w:pPr>
            <w:r w:rsidRPr="008105A4">
              <w:rPr>
                <w:rFonts w:asciiTheme="minorHAnsi" w:hAnsiTheme="minorHAnsi" w:cs="Arial"/>
                <w:color w:val="000000"/>
                <w:sz w:val="22"/>
                <w:szCs w:val="22"/>
              </w:rPr>
              <w:t>14</w:t>
            </w:r>
          </w:p>
        </w:tc>
        <w:tc>
          <w:tcPr>
            <w:tcW w:w="1287" w:type="pct"/>
            <w:tcBorders>
              <w:top w:val="nil"/>
              <w:left w:val="nil"/>
              <w:bottom w:val="single" w:sz="8" w:space="0" w:color="auto"/>
              <w:right w:val="single" w:sz="8" w:space="0" w:color="auto"/>
            </w:tcBorders>
            <w:shd w:val="clear" w:color="auto" w:fill="FFFFFF" w:themeFill="background1"/>
            <w:vAlign w:val="center"/>
          </w:tcPr>
          <w:p w:rsidR="0087063B" w:rsidRPr="008105A4" w:rsidRDefault="0087063B" w:rsidP="007813BB">
            <w:pPr>
              <w:jc w:val="right"/>
              <w:rPr>
                <w:rFonts w:asciiTheme="minorHAnsi" w:hAnsiTheme="minorHAnsi" w:cs="Arial"/>
                <w:color w:val="000000"/>
                <w:sz w:val="22"/>
                <w:szCs w:val="22"/>
              </w:rPr>
            </w:pPr>
            <w:r w:rsidRPr="008105A4">
              <w:rPr>
                <w:rFonts w:asciiTheme="minorHAnsi" w:hAnsiTheme="minorHAnsi" w:cs="Arial"/>
                <w:color w:val="000000"/>
                <w:sz w:val="22"/>
                <w:szCs w:val="22"/>
              </w:rPr>
              <w:t>20</w:t>
            </w:r>
          </w:p>
        </w:tc>
        <w:tc>
          <w:tcPr>
            <w:tcW w:w="1025" w:type="pct"/>
            <w:tcBorders>
              <w:top w:val="nil"/>
              <w:left w:val="nil"/>
              <w:bottom w:val="single" w:sz="8" w:space="0" w:color="auto"/>
              <w:right w:val="single" w:sz="8" w:space="0" w:color="auto"/>
            </w:tcBorders>
            <w:shd w:val="clear" w:color="auto" w:fill="FFFFFF" w:themeFill="background1"/>
            <w:vAlign w:val="center"/>
          </w:tcPr>
          <w:p w:rsidR="0087063B" w:rsidRPr="008105A4" w:rsidRDefault="0087063B" w:rsidP="007813BB">
            <w:pPr>
              <w:jc w:val="right"/>
              <w:rPr>
                <w:rFonts w:asciiTheme="minorHAnsi" w:hAnsiTheme="minorHAnsi" w:cs="Arial"/>
                <w:color w:val="000000"/>
                <w:sz w:val="22"/>
                <w:szCs w:val="22"/>
              </w:rPr>
            </w:pPr>
            <w:r>
              <w:rPr>
                <w:rFonts w:asciiTheme="minorHAnsi" w:hAnsiTheme="minorHAnsi" w:cs="Arial"/>
                <w:color w:val="000000"/>
                <w:sz w:val="22"/>
                <w:szCs w:val="22"/>
              </w:rPr>
              <w:t>13</w:t>
            </w:r>
          </w:p>
        </w:tc>
      </w:tr>
      <w:tr w:rsidR="0087063B" w:rsidRPr="008105A4" w:rsidTr="0087063B">
        <w:trPr>
          <w:trHeight w:val="544"/>
        </w:trPr>
        <w:tc>
          <w:tcPr>
            <w:tcW w:w="1501" w:type="pct"/>
            <w:tcBorders>
              <w:top w:val="nil"/>
              <w:left w:val="single" w:sz="8" w:space="0" w:color="auto"/>
              <w:bottom w:val="single" w:sz="8" w:space="0" w:color="auto"/>
              <w:right w:val="single" w:sz="8" w:space="0" w:color="auto"/>
            </w:tcBorders>
            <w:shd w:val="clear" w:color="auto" w:fill="FFFFFF" w:themeFill="background1"/>
            <w:vAlign w:val="center"/>
          </w:tcPr>
          <w:p w:rsidR="0087063B" w:rsidRPr="008105A4" w:rsidRDefault="0087063B" w:rsidP="007813BB">
            <w:pPr>
              <w:rPr>
                <w:rFonts w:asciiTheme="minorHAnsi" w:hAnsiTheme="minorHAnsi" w:cs="Arial"/>
                <w:b/>
                <w:bCs/>
                <w:color w:val="000000"/>
                <w:sz w:val="22"/>
                <w:szCs w:val="22"/>
              </w:rPr>
            </w:pPr>
            <w:r w:rsidRPr="008105A4">
              <w:rPr>
                <w:rFonts w:asciiTheme="minorHAnsi" w:hAnsiTheme="minorHAnsi" w:cs="Arial"/>
                <w:b/>
                <w:bCs/>
                <w:color w:val="000000"/>
                <w:sz w:val="22"/>
                <w:szCs w:val="22"/>
              </w:rPr>
              <w:t>Total services projected (private setting, transcatheter method)</w:t>
            </w:r>
          </w:p>
        </w:tc>
        <w:tc>
          <w:tcPr>
            <w:tcW w:w="1187" w:type="pct"/>
            <w:tcBorders>
              <w:top w:val="nil"/>
              <w:left w:val="nil"/>
              <w:bottom w:val="single" w:sz="8" w:space="0" w:color="auto"/>
              <w:right w:val="single" w:sz="8" w:space="0" w:color="auto"/>
            </w:tcBorders>
            <w:shd w:val="clear" w:color="auto" w:fill="FFFFFF" w:themeFill="background1"/>
            <w:vAlign w:val="center"/>
          </w:tcPr>
          <w:p w:rsidR="0087063B" w:rsidRPr="008105A4" w:rsidRDefault="0087063B" w:rsidP="007813BB">
            <w:pPr>
              <w:jc w:val="right"/>
              <w:rPr>
                <w:rFonts w:asciiTheme="minorHAnsi" w:hAnsiTheme="minorHAnsi" w:cs="Arial"/>
                <w:color w:val="000000"/>
                <w:sz w:val="22"/>
                <w:szCs w:val="22"/>
              </w:rPr>
            </w:pPr>
            <w:r w:rsidRPr="008105A4">
              <w:rPr>
                <w:rFonts w:asciiTheme="minorHAnsi" w:hAnsiTheme="minorHAnsi" w:cs="Arial"/>
                <w:color w:val="000000"/>
                <w:sz w:val="22"/>
                <w:szCs w:val="22"/>
              </w:rPr>
              <w:t>57</w:t>
            </w:r>
          </w:p>
        </w:tc>
        <w:tc>
          <w:tcPr>
            <w:tcW w:w="1287" w:type="pct"/>
            <w:tcBorders>
              <w:top w:val="nil"/>
              <w:left w:val="nil"/>
              <w:bottom w:val="single" w:sz="8" w:space="0" w:color="auto"/>
              <w:right w:val="single" w:sz="8" w:space="0" w:color="auto"/>
            </w:tcBorders>
            <w:shd w:val="clear" w:color="auto" w:fill="FFFFFF" w:themeFill="background1"/>
            <w:vAlign w:val="center"/>
          </w:tcPr>
          <w:p w:rsidR="0087063B" w:rsidRPr="008105A4" w:rsidRDefault="0087063B" w:rsidP="007813BB">
            <w:pPr>
              <w:jc w:val="right"/>
              <w:rPr>
                <w:rFonts w:asciiTheme="minorHAnsi" w:hAnsiTheme="minorHAnsi" w:cs="Arial"/>
                <w:color w:val="000000"/>
                <w:sz w:val="22"/>
                <w:szCs w:val="22"/>
              </w:rPr>
            </w:pPr>
            <w:r w:rsidRPr="008105A4">
              <w:rPr>
                <w:rFonts w:asciiTheme="minorHAnsi" w:hAnsiTheme="minorHAnsi" w:cs="Arial"/>
                <w:color w:val="000000"/>
                <w:sz w:val="22"/>
                <w:szCs w:val="22"/>
              </w:rPr>
              <w:t>58</w:t>
            </w:r>
          </w:p>
        </w:tc>
        <w:tc>
          <w:tcPr>
            <w:tcW w:w="1025" w:type="pct"/>
            <w:tcBorders>
              <w:top w:val="nil"/>
              <w:left w:val="nil"/>
              <w:bottom w:val="single" w:sz="8" w:space="0" w:color="auto"/>
              <w:right w:val="single" w:sz="8" w:space="0" w:color="auto"/>
            </w:tcBorders>
            <w:shd w:val="clear" w:color="auto" w:fill="FFFFFF" w:themeFill="background1"/>
            <w:vAlign w:val="center"/>
          </w:tcPr>
          <w:p w:rsidR="0087063B" w:rsidRPr="008105A4" w:rsidRDefault="0087063B" w:rsidP="007813BB">
            <w:pPr>
              <w:jc w:val="right"/>
              <w:rPr>
                <w:rFonts w:asciiTheme="minorHAnsi" w:hAnsiTheme="minorHAnsi" w:cs="Arial"/>
                <w:color w:val="000000"/>
                <w:sz w:val="22"/>
                <w:szCs w:val="22"/>
              </w:rPr>
            </w:pPr>
            <w:r w:rsidRPr="008105A4">
              <w:rPr>
                <w:rFonts w:asciiTheme="minorHAnsi" w:hAnsiTheme="minorHAnsi" w:cs="Arial"/>
                <w:color w:val="000000"/>
                <w:sz w:val="22"/>
                <w:szCs w:val="22"/>
              </w:rPr>
              <w:t>59</w:t>
            </w:r>
          </w:p>
        </w:tc>
      </w:tr>
      <w:tr w:rsidR="0087063B" w:rsidRPr="008105A4" w:rsidTr="0087063B">
        <w:trPr>
          <w:trHeight w:val="424"/>
        </w:trPr>
        <w:tc>
          <w:tcPr>
            <w:tcW w:w="1501" w:type="pct"/>
            <w:tcBorders>
              <w:top w:val="nil"/>
              <w:left w:val="single" w:sz="8" w:space="0" w:color="auto"/>
              <w:bottom w:val="single" w:sz="4" w:space="0" w:color="auto"/>
              <w:right w:val="single" w:sz="8" w:space="0" w:color="auto"/>
            </w:tcBorders>
            <w:shd w:val="clear" w:color="auto" w:fill="FFFFFF" w:themeFill="background1"/>
            <w:vAlign w:val="center"/>
          </w:tcPr>
          <w:p w:rsidR="0087063B" w:rsidRPr="008105A4" w:rsidRDefault="0087063B" w:rsidP="0087063B">
            <w:pPr>
              <w:rPr>
                <w:rFonts w:asciiTheme="minorHAnsi" w:hAnsiTheme="minorHAnsi" w:cs="Arial"/>
                <w:b/>
                <w:bCs/>
                <w:color w:val="000000"/>
                <w:sz w:val="22"/>
                <w:szCs w:val="22"/>
              </w:rPr>
            </w:pPr>
            <w:r w:rsidRPr="008105A4">
              <w:rPr>
                <w:rFonts w:asciiTheme="minorHAnsi" w:hAnsiTheme="minorHAnsi" w:cs="Arial"/>
                <w:b/>
                <w:bCs/>
                <w:color w:val="000000"/>
                <w:sz w:val="22"/>
                <w:szCs w:val="22"/>
              </w:rPr>
              <w:t xml:space="preserve">% of actual services </w:t>
            </w:r>
            <w:r>
              <w:rPr>
                <w:rFonts w:asciiTheme="minorHAnsi" w:hAnsiTheme="minorHAnsi" w:cs="Arial"/>
                <w:b/>
                <w:bCs/>
                <w:color w:val="000000"/>
                <w:sz w:val="22"/>
                <w:szCs w:val="22"/>
              </w:rPr>
              <w:t xml:space="preserve">compared </w:t>
            </w:r>
            <w:r w:rsidRPr="008105A4">
              <w:rPr>
                <w:rFonts w:asciiTheme="minorHAnsi" w:hAnsiTheme="minorHAnsi" w:cs="Arial"/>
                <w:b/>
                <w:bCs/>
                <w:color w:val="000000"/>
                <w:sz w:val="22"/>
                <w:szCs w:val="22"/>
              </w:rPr>
              <w:t xml:space="preserve">to services projected </w:t>
            </w:r>
          </w:p>
        </w:tc>
        <w:tc>
          <w:tcPr>
            <w:tcW w:w="1187" w:type="pct"/>
            <w:tcBorders>
              <w:top w:val="nil"/>
              <w:left w:val="nil"/>
              <w:bottom w:val="single" w:sz="4" w:space="0" w:color="auto"/>
              <w:right w:val="single" w:sz="8" w:space="0" w:color="auto"/>
            </w:tcBorders>
            <w:shd w:val="clear" w:color="auto" w:fill="FFFFFF" w:themeFill="background1"/>
            <w:vAlign w:val="center"/>
          </w:tcPr>
          <w:p w:rsidR="0087063B" w:rsidRPr="008105A4" w:rsidRDefault="0087063B" w:rsidP="007813BB">
            <w:pPr>
              <w:jc w:val="right"/>
              <w:rPr>
                <w:rFonts w:asciiTheme="minorHAnsi" w:hAnsiTheme="minorHAnsi" w:cs="Arial"/>
                <w:color w:val="000000"/>
                <w:sz w:val="22"/>
                <w:szCs w:val="22"/>
              </w:rPr>
            </w:pPr>
            <w:r w:rsidRPr="008105A4">
              <w:rPr>
                <w:rFonts w:asciiTheme="minorHAnsi" w:hAnsiTheme="minorHAnsi" w:cs="Arial"/>
                <w:color w:val="000000"/>
                <w:sz w:val="22"/>
                <w:szCs w:val="22"/>
              </w:rPr>
              <w:t>25%</w:t>
            </w:r>
          </w:p>
        </w:tc>
        <w:tc>
          <w:tcPr>
            <w:tcW w:w="1287" w:type="pct"/>
            <w:tcBorders>
              <w:top w:val="nil"/>
              <w:left w:val="nil"/>
              <w:bottom w:val="single" w:sz="4" w:space="0" w:color="auto"/>
              <w:right w:val="single" w:sz="8" w:space="0" w:color="auto"/>
            </w:tcBorders>
            <w:shd w:val="clear" w:color="auto" w:fill="FFFFFF" w:themeFill="background1"/>
            <w:vAlign w:val="center"/>
          </w:tcPr>
          <w:p w:rsidR="0087063B" w:rsidRPr="008105A4" w:rsidRDefault="0087063B" w:rsidP="007813BB">
            <w:pPr>
              <w:jc w:val="right"/>
              <w:rPr>
                <w:rFonts w:asciiTheme="minorHAnsi" w:hAnsiTheme="minorHAnsi" w:cs="Arial"/>
                <w:color w:val="000000"/>
                <w:sz w:val="22"/>
                <w:szCs w:val="22"/>
              </w:rPr>
            </w:pPr>
            <w:r w:rsidRPr="008105A4">
              <w:rPr>
                <w:rFonts w:asciiTheme="minorHAnsi" w:hAnsiTheme="minorHAnsi" w:cs="Arial"/>
                <w:color w:val="000000"/>
                <w:sz w:val="22"/>
                <w:szCs w:val="22"/>
              </w:rPr>
              <w:t>35%</w:t>
            </w:r>
          </w:p>
        </w:tc>
        <w:tc>
          <w:tcPr>
            <w:tcW w:w="1025" w:type="pct"/>
            <w:tcBorders>
              <w:top w:val="nil"/>
              <w:left w:val="nil"/>
              <w:bottom w:val="single" w:sz="4" w:space="0" w:color="auto"/>
              <w:right w:val="single" w:sz="8" w:space="0" w:color="auto"/>
            </w:tcBorders>
            <w:shd w:val="clear" w:color="auto" w:fill="FFFFFF" w:themeFill="background1"/>
            <w:vAlign w:val="center"/>
          </w:tcPr>
          <w:p w:rsidR="0087063B" w:rsidRPr="008105A4" w:rsidRDefault="0087063B" w:rsidP="007813BB">
            <w:pPr>
              <w:jc w:val="right"/>
              <w:rPr>
                <w:rFonts w:asciiTheme="minorHAnsi" w:hAnsiTheme="minorHAnsi" w:cs="Arial"/>
                <w:color w:val="000000"/>
                <w:sz w:val="22"/>
                <w:szCs w:val="22"/>
              </w:rPr>
            </w:pPr>
            <w:r w:rsidRPr="008105A4">
              <w:rPr>
                <w:rFonts w:asciiTheme="minorHAnsi" w:hAnsiTheme="minorHAnsi" w:cs="Arial"/>
                <w:color w:val="000000"/>
                <w:sz w:val="22"/>
                <w:szCs w:val="22"/>
              </w:rPr>
              <w:t>36%</w:t>
            </w:r>
          </w:p>
        </w:tc>
      </w:tr>
    </w:tbl>
    <w:p w:rsidR="0087063B" w:rsidRPr="005F0BD4" w:rsidRDefault="0087063B" w:rsidP="0087063B">
      <w:pPr>
        <w:rPr>
          <w:bCs/>
          <w:sz w:val="18"/>
          <w:szCs w:val="18"/>
          <w:lang w:eastAsia="en-US"/>
        </w:rPr>
      </w:pPr>
      <w:r w:rsidRPr="005F0BD4">
        <w:rPr>
          <w:bCs/>
          <w:sz w:val="18"/>
          <w:szCs w:val="18"/>
          <w:lang w:eastAsia="en-US"/>
        </w:rPr>
        <w:t xml:space="preserve">Source: </w:t>
      </w:r>
      <w:r>
        <w:rPr>
          <w:bCs/>
          <w:sz w:val="18"/>
          <w:szCs w:val="18"/>
          <w:lang w:eastAsia="en-US"/>
        </w:rPr>
        <w:t xml:space="preserve">Department of Health, </w:t>
      </w:r>
      <w:r w:rsidRPr="005F0BD4">
        <w:rPr>
          <w:bCs/>
          <w:sz w:val="18"/>
          <w:szCs w:val="18"/>
          <w:lang w:eastAsia="en-US"/>
        </w:rPr>
        <w:t xml:space="preserve">May 2017 </w:t>
      </w:r>
    </w:p>
    <w:p w:rsidR="0087063B" w:rsidRPr="00004200" w:rsidRDefault="0087063B" w:rsidP="00004200">
      <w:pPr>
        <w:spacing w:after="240"/>
        <w:rPr>
          <w:bCs/>
          <w:color w:val="000000"/>
          <w:sz w:val="18"/>
          <w:szCs w:val="24"/>
          <w:lang w:eastAsia="en-US"/>
        </w:rPr>
      </w:pPr>
      <w:r w:rsidRPr="005F0BD4">
        <w:rPr>
          <w:bCs/>
          <w:color w:val="000000"/>
          <w:sz w:val="18"/>
          <w:szCs w:val="24"/>
          <w:lang w:eastAsia="en-US"/>
        </w:rPr>
        <w:t xml:space="preserve">*2016-17 financial </w:t>
      </w:r>
      <w:proofErr w:type="gramStart"/>
      <w:r w:rsidRPr="005F0BD4">
        <w:rPr>
          <w:bCs/>
          <w:color w:val="000000"/>
          <w:sz w:val="18"/>
          <w:szCs w:val="24"/>
          <w:lang w:eastAsia="en-US"/>
        </w:rPr>
        <w:t>year</w:t>
      </w:r>
      <w:proofErr w:type="gramEnd"/>
      <w:r w:rsidRPr="005F0BD4">
        <w:rPr>
          <w:bCs/>
          <w:color w:val="000000"/>
          <w:sz w:val="18"/>
          <w:szCs w:val="24"/>
          <w:lang w:eastAsia="en-US"/>
        </w:rPr>
        <w:t xml:space="preserve"> includes data to 31 March 2017</w:t>
      </w:r>
    </w:p>
    <w:p w:rsidR="0087063B" w:rsidRPr="00FB07D4" w:rsidRDefault="0087063B" w:rsidP="0087063B">
      <w:pPr>
        <w:rPr>
          <w:rFonts w:ascii="Arial" w:hAnsi="Arial" w:cs="Arial"/>
          <w:b/>
          <w:i/>
        </w:rPr>
      </w:pPr>
      <w:r w:rsidRPr="00FB07D4">
        <w:rPr>
          <w:rFonts w:ascii="Arial" w:hAnsi="Arial" w:cs="Arial"/>
          <w:b/>
          <w:i/>
        </w:rPr>
        <w:t>Provider breakdown</w:t>
      </w:r>
    </w:p>
    <w:p w:rsidR="0087063B" w:rsidRPr="004076B5" w:rsidRDefault="0087063B" w:rsidP="00004200">
      <w:pPr>
        <w:spacing w:after="240"/>
      </w:pPr>
      <w:r>
        <w:t>The below table shows the number of providers who have performed this service by financial year. The main providers of this service have a derived major specialty of card</w:t>
      </w:r>
      <w:r w:rsidR="00004200">
        <w:t>iology and paediatric medicine.</w:t>
      </w:r>
    </w:p>
    <w:p w:rsidR="0087063B" w:rsidRPr="00DA6C03" w:rsidRDefault="0087063B" w:rsidP="0087063B">
      <w:pPr>
        <w:pStyle w:val="Caption"/>
        <w:keepNext/>
        <w:rPr>
          <w:color w:val="auto"/>
          <w:sz w:val="22"/>
          <w:szCs w:val="22"/>
        </w:rPr>
      </w:pPr>
      <w:r>
        <w:rPr>
          <w:color w:val="auto"/>
          <w:sz w:val="22"/>
          <w:szCs w:val="22"/>
        </w:rPr>
        <w:t>Table 2</w:t>
      </w:r>
      <w:r w:rsidRPr="00DA6C03">
        <w:rPr>
          <w:color w:val="auto"/>
          <w:sz w:val="22"/>
          <w:szCs w:val="22"/>
        </w:rPr>
        <w:t>: Number of practitioners providing this service by financial year</w:t>
      </w:r>
    </w:p>
    <w:tbl>
      <w:tblPr>
        <w:tblW w:w="0" w:type="auto"/>
        <w:tblInd w:w="108" w:type="dxa"/>
        <w:tblLayout w:type="fixed"/>
        <w:tblLook w:val="04A0" w:firstRow="1" w:lastRow="0" w:firstColumn="1" w:lastColumn="0" w:noHBand="0" w:noVBand="1"/>
      </w:tblPr>
      <w:tblGrid>
        <w:gridCol w:w="1843"/>
        <w:gridCol w:w="1134"/>
      </w:tblGrid>
      <w:tr w:rsidR="0087063B" w:rsidRPr="00DA6C03" w:rsidTr="007813BB">
        <w:trPr>
          <w:trHeight w:val="450"/>
        </w:trPr>
        <w:tc>
          <w:tcPr>
            <w:tcW w:w="1843"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tcPr>
          <w:p w:rsidR="0087063B" w:rsidRPr="00DA6C03" w:rsidRDefault="0087063B" w:rsidP="007813BB">
            <w:pPr>
              <w:rPr>
                <w:rFonts w:asciiTheme="minorHAnsi" w:hAnsiTheme="minorHAnsi" w:cs="Arial"/>
                <w:b/>
                <w:bCs/>
                <w:color w:val="FFFFFF"/>
                <w:sz w:val="22"/>
                <w:szCs w:val="22"/>
              </w:rPr>
            </w:pPr>
            <w:r w:rsidRPr="00DA6C03">
              <w:rPr>
                <w:rFonts w:asciiTheme="minorHAnsi" w:hAnsiTheme="minorHAnsi" w:cs="Arial"/>
                <w:b/>
                <w:bCs/>
                <w:color w:val="FFFFFF"/>
                <w:sz w:val="22"/>
                <w:szCs w:val="22"/>
              </w:rPr>
              <w:t>Financial year</w:t>
            </w:r>
          </w:p>
        </w:tc>
        <w:tc>
          <w:tcPr>
            <w:tcW w:w="1134" w:type="dxa"/>
            <w:tcBorders>
              <w:top w:val="single" w:sz="4" w:space="0" w:color="000000"/>
              <w:left w:val="nil"/>
              <w:bottom w:val="single" w:sz="4" w:space="0" w:color="000000"/>
              <w:right w:val="single" w:sz="4" w:space="0" w:color="000000"/>
            </w:tcBorders>
            <w:shd w:val="clear" w:color="auto" w:fill="548DD4" w:themeFill="text2" w:themeFillTint="99"/>
            <w:vAlign w:val="bottom"/>
          </w:tcPr>
          <w:p w:rsidR="0087063B" w:rsidRPr="00DA6C03" w:rsidRDefault="0087063B" w:rsidP="007813BB">
            <w:pPr>
              <w:rPr>
                <w:rFonts w:asciiTheme="minorHAnsi" w:hAnsiTheme="minorHAnsi" w:cs="Arial"/>
                <w:b/>
                <w:bCs/>
                <w:color w:val="FFFFFF"/>
                <w:sz w:val="22"/>
                <w:szCs w:val="22"/>
              </w:rPr>
            </w:pPr>
            <w:r w:rsidRPr="00DA6C03">
              <w:rPr>
                <w:rFonts w:asciiTheme="minorHAnsi" w:hAnsiTheme="minorHAnsi" w:cs="Arial"/>
                <w:b/>
                <w:bCs/>
                <w:color w:val="FFFFFF"/>
                <w:sz w:val="22"/>
                <w:szCs w:val="22"/>
              </w:rPr>
              <w:t>Australia</w:t>
            </w:r>
          </w:p>
        </w:tc>
      </w:tr>
      <w:tr w:rsidR="0087063B" w:rsidRPr="00DA6C03" w:rsidTr="007813BB">
        <w:trPr>
          <w:trHeight w:val="246"/>
        </w:trPr>
        <w:tc>
          <w:tcPr>
            <w:tcW w:w="1843" w:type="dxa"/>
            <w:tcBorders>
              <w:top w:val="nil"/>
              <w:left w:val="single" w:sz="4" w:space="0" w:color="000000"/>
              <w:bottom w:val="single" w:sz="4" w:space="0" w:color="auto"/>
              <w:right w:val="single" w:sz="4" w:space="0" w:color="000000"/>
            </w:tcBorders>
            <w:shd w:val="clear" w:color="000000" w:fill="FFFFFF"/>
            <w:vAlign w:val="center"/>
          </w:tcPr>
          <w:p w:rsidR="0087063B" w:rsidRPr="00DA6C03" w:rsidRDefault="0087063B" w:rsidP="007813BB">
            <w:pPr>
              <w:rPr>
                <w:rFonts w:asciiTheme="minorHAnsi" w:hAnsiTheme="minorHAnsi" w:cs="Arial"/>
                <w:b/>
                <w:bCs/>
                <w:color w:val="000000"/>
                <w:sz w:val="22"/>
                <w:szCs w:val="22"/>
              </w:rPr>
            </w:pPr>
            <w:r w:rsidRPr="00DA6C03">
              <w:rPr>
                <w:rFonts w:asciiTheme="minorHAnsi" w:hAnsiTheme="minorHAnsi" w:cs="Arial"/>
                <w:b/>
                <w:bCs/>
                <w:color w:val="000000"/>
                <w:sz w:val="22"/>
                <w:szCs w:val="22"/>
              </w:rPr>
              <w:t>2014-15</w:t>
            </w:r>
          </w:p>
        </w:tc>
        <w:tc>
          <w:tcPr>
            <w:tcW w:w="1134" w:type="dxa"/>
            <w:tcBorders>
              <w:top w:val="nil"/>
              <w:left w:val="nil"/>
              <w:bottom w:val="single" w:sz="4" w:space="0" w:color="auto"/>
              <w:right w:val="single" w:sz="4" w:space="0" w:color="000000"/>
            </w:tcBorders>
            <w:shd w:val="clear" w:color="000000" w:fill="FFFFFF"/>
            <w:vAlign w:val="bottom"/>
          </w:tcPr>
          <w:p w:rsidR="0087063B" w:rsidRPr="00DA6C03" w:rsidRDefault="0087063B" w:rsidP="007813BB">
            <w:pPr>
              <w:jc w:val="right"/>
              <w:rPr>
                <w:rFonts w:asciiTheme="minorHAnsi" w:hAnsiTheme="minorHAnsi" w:cs="Arial"/>
                <w:color w:val="000000"/>
                <w:sz w:val="22"/>
                <w:szCs w:val="22"/>
              </w:rPr>
            </w:pPr>
            <w:r w:rsidRPr="00DA6C03">
              <w:rPr>
                <w:rFonts w:asciiTheme="minorHAnsi" w:hAnsiTheme="minorHAnsi" w:cs="Arial"/>
                <w:color w:val="000000"/>
                <w:sz w:val="22"/>
                <w:szCs w:val="22"/>
              </w:rPr>
              <w:t>5</w:t>
            </w:r>
          </w:p>
        </w:tc>
      </w:tr>
      <w:tr w:rsidR="0087063B" w:rsidRPr="00DA6C03" w:rsidTr="007813BB">
        <w:trPr>
          <w:trHeight w:val="246"/>
        </w:trPr>
        <w:tc>
          <w:tcPr>
            <w:tcW w:w="1843" w:type="dxa"/>
            <w:tcBorders>
              <w:top w:val="nil"/>
              <w:left w:val="single" w:sz="4" w:space="0" w:color="000000"/>
              <w:bottom w:val="single" w:sz="4" w:space="0" w:color="auto"/>
              <w:right w:val="single" w:sz="4" w:space="0" w:color="000000"/>
            </w:tcBorders>
            <w:shd w:val="clear" w:color="000000" w:fill="FFFFFF"/>
            <w:vAlign w:val="center"/>
            <w:hideMark/>
          </w:tcPr>
          <w:p w:rsidR="0087063B" w:rsidRPr="00DA6C03" w:rsidRDefault="0087063B" w:rsidP="007813BB">
            <w:pPr>
              <w:rPr>
                <w:rFonts w:asciiTheme="minorHAnsi" w:hAnsiTheme="minorHAnsi" w:cs="Arial"/>
                <w:b/>
                <w:bCs/>
                <w:color w:val="000000"/>
                <w:sz w:val="22"/>
                <w:szCs w:val="22"/>
              </w:rPr>
            </w:pPr>
            <w:r w:rsidRPr="00DA6C03">
              <w:rPr>
                <w:rFonts w:asciiTheme="minorHAnsi" w:hAnsiTheme="minorHAnsi" w:cs="Arial"/>
                <w:b/>
                <w:bCs/>
                <w:color w:val="000000"/>
                <w:sz w:val="22"/>
                <w:szCs w:val="22"/>
              </w:rPr>
              <w:t>2015-16</w:t>
            </w:r>
          </w:p>
        </w:tc>
        <w:tc>
          <w:tcPr>
            <w:tcW w:w="1134" w:type="dxa"/>
            <w:tcBorders>
              <w:top w:val="nil"/>
              <w:left w:val="nil"/>
              <w:bottom w:val="single" w:sz="4" w:space="0" w:color="auto"/>
              <w:right w:val="single" w:sz="4" w:space="0" w:color="000000"/>
            </w:tcBorders>
            <w:shd w:val="clear" w:color="000000" w:fill="FFFFFF"/>
            <w:vAlign w:val="bottom"/>
            <w:hideMark/>
          </w:tcPr>
          <w:p w:rsidR="0087063B" w:rsidRPr="00DA6C03" w:rsidRDefault="0087063B" w:rsidP="007813BB">
            <w:pPr>
              <w:jc w:val="right"/>
              <w:rPr>
                <w:rFonts w:asciiTheme="minorHAnsi" w:hAnsiTheme="minorHAnsi" w:cs="Arial"/>
                <w:color w:val="000000"/>
                <w:sz w:val="22"/>
                <w:szCs w:val="22"/>
              </w:rPr>
            </w:pPr>
            <w:r w:rsidRPr="00DA6C03">
              <w:rPr>
                <w:rFonts w:asciiTheme="minorHAnsi" w:hAnsiTheme="minorHAnsi" w:cs="Arial"/>
                <w:color w:val="000000"/>
                <w:sz w:val="22"/>
                <w:szCs w:val="22"/>
              </w:rPr>
              <w:t>8</w:t>
            </w:r>
          </w:p>
        </w:tc>
      </w:tr>
      <w:tr w:rsidR="0087063B" w:rsidRPr="00DA6C03" w:rsidTr="007813BB">
        <w:trPr>
          <w:trHeight w:val="24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7063B" w:rsidRPr="00DA6C03" w:rsidRDefault="0087063B" w:rsidP="007813BB">
            <w:pPr>
              <w:rPr>
                <w:rFonts w:asciiTheme="minorHAnsi" w:hAnsiTheme="minorHAnsi" w:cs="Arial"/>
                <w:b/>
                <w:bCs/>
                <w:color w:val="000000"/>
                <w:sz w:val="22"/>
                <w:szCs w:val="22"/>
              </w:rPr>
            </w:pPr>
            <w:r w:rsidRPr="00DA6C03">
              <w:rPr>
                <w:rFonts w:asciiTheme="minorHAnsi" w:hAnsiTheme="minorHAnsi" w:cs="Arial"/>
                <w:b/>
                <w:bCs/>
                <w:color w:val="000000"/>
                <w:sz w:val="22"/>
                <w:szCs w:val="22"/>
              </w:rPr>
              <w:t xml:space="preserve">2016-17 </w:t>
            </w:r>
            <w:r>
              <w:rPr>
                <w:rFonts w:asciiTheme="minorHAnsi" w:hAnsiTheme="minorHAnsi" w:cs="Arial"/>
                <w:b/>
                <w:bCs/>
                <w:color w:val="000000"/>
                <w:sz w:val="22"/>
                <w:szCs w:val="22"/>
              </w:rPr>
              <w:br/>
            </w:r>
            <w:r w:rsidRPr="00DA6C03">
              <w:rPr>
                <w:rFonts w:asciiTheme="minorHAnsi" w:hAnsiTheme="minorHAnsi" w:cs="Arial"/>
                <w:b/>
                <w:bCs/>
                <w:color w:val="000000"/>
                <w:sz w:val="22"/>
                <w:szCs w:val="22"/>
              </w:rPr>
              <w:t>(to 31 Mar 2017)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7063B" w:rsidRPr="00DA6C03" w:rsidRDefault="0087063B" w:rsidP="007813BB">
            <w:pPr>
              <w:jc w:val="right"/>
              <w:rPr>
                <w:rFonts w:asciiTheme="minorHAnsi" w:hAnsiTheme="minorHAnsi" w:cs="Arial"/>
                <w:color w:val="000000"/>
                <w:sz w:val="22"/>
                <w:szCs w:val="22"/>
              </w:rPr>
            </w:pPr>
            <w:r w:rsidRPr="00DA6C03">
              <w:rPr>
                <w:rFonts w:asciiTheme="minorHAnsi" w:hAnsiTheme="minorHAnsi" w:cs="Arial"/>
                <w:color w:val="000000"/>
                <w:sz w:val="22"/>
                <w:szCs w:val="22"/>
              </w:rPr>
              <w:t>7</w:t>
            </w:r>
          </w:p>
        </w:tc>
      </w:tr>
    </w:tbl>
    <w:p w:rsidR="0087063B" w:rsidRPr="00004200" w:rsidRDefault="0087063B" w:rsidP="00004200">
      <w:pPr>
        <w:rPr>
          <w:i/>
          <w:sz w:val="20"/>
        </w:rPr>
      </w:pPr>
      <w:r w:rsidRPr="00D6794B">
        <w:rPr>
          <w:i/>
          <w:sz w:val="20"/>
        </w:rPr>
        <w:t>Source: Department of Health, File: Q20801a</w:t>
      </w:r>
    </w:p>
    <w:p w:rsidR="0087063B" w:rsidRPr="00B81D7F" w:rsidRDefault="0087063B" w:rsidP="0087063B">
      <w:pPr>
        <w:pStyle w:val="Heading2"/>
      </w:pPr>
      <w:r>
        <w:t xml:space="preserve">Data on fees charged </w:t>
      </w:r>
    </w:p>
    <w:p w:rsidR="0087063B" w:rsidRPr="003569F1" w:rsidRDefault="0087063B" w:rsidP="00004200">
      <w:pPr>
        <w:spacing w:after="240"/>
      </w:pPr>
      <w:r w:rsidRPr="003569F1">
        <w:t xml:space="preserve">The </w:t>
      </w:r>
      <w:r>
        <w:t>information provided on fees below is a snapshot of how the ite</w:t>
      </w:r>
      <w:r w:rsidR="00004200">
        <w:t>m is being claimed in practice.</w:t>
      </w:r>
    </w:p>
    <w:p w:rsidR="0087063B" w:rsidRDefault="0087063B" w:rsidP="00004200">
      <w:pPr>
        <w:spacing w:after="240"/>
        <w:rPr>
          <w:color w:val="000000" w:themeColor="text1"/>
        </w:rPr>
      </w:pPr>
      <w:r w:rsidRPr="00B81D7F">
        <w:rPr>
          <w:color w:val="000000" w:themeColor="text1"/>
        </w:rPr>
        <w:t xml:space="preserve">The benefit for MBS item </w:t>
      </w:r>
      <w:r>
        <w:rPr>
          <w:color w:val="000000" w:themeColor="text1"/>
        </w:rPr>
        <w:t>38273</w:t>
      </w:r>
      <w:r w:rsidRPr="00B81D7F">
        <w:rPr>
          <w:color w:val="000000" w:themeColor="text1"/>
        </w:rPr>
        <w:t xml:space="preserve"> </w:t>
      </w:r>
      <w:r>
        <w:rPr>
          <w:color w:val="000000" w:themeColor="text1"/>
        </w:rPr>
        <w:t xml:space="preserve">is $684.25 (75% </w:t>
      </w:r>
      <w:proofErr w:type="gramStart"/>
      <w:r>
        <w:rPr>
          <w:color w:val="000000" w:themeColor="text1"/>
        </w:rPr>
        <w:t>benefit</w:t>
      </w:r>
      <w:proofErr w:type="gramEnd"/>
      <w:r>
        <w:rPr>
          <w:color w:val="000000" w:themeColor="text1"/>
        </w:rPr>
        <w:t xml:space="preserve"> only).</w:t>
      </w:r>
    </w:p>
    <w:p w:rsidR="0087063B" w:rsidRDefault="0087063B" w:rsidP="00004200">
      <w:pPr>
        <w:spacing w:after="240"/>
        <w:rPr>
          <w:color w:val="000000" w:themeColor="text1"/>
        </w:rPr>
      </w:pPr>
      <w:r>
        <w:rPr>
          <w:color w:val="000000" w:themeColor="text1"/>
        </w:rPr>
        <w:t xml:space="preserve">The average fee charged for item 38273 decreased from $1,014 in 2014-15 to $948 in </w:t>
      </w:r>
      <w:r>
        <w:rPr>
          <w:color w:val="000000" w:themeColor="text1"/>
        </w:rPr>
        <w:br/>
        <w:t>2016-17 (up to 31 Mar 2017). Due to low service volumes, there is no data on median fees charged or p</w:t>
      </w:r>
      <w:r w:rsidR="00004200">
        <w:rPr>
          <w:color w:val="000000" w:themeColor="text1"/>
        </w:rPr>
        <w:t>ercentile distribution of fees.</w:t>
      </w:r>
    </w:p>
    <w:p w:rsidR="0087063B" w:rsidRPr="00505630" w:rsidRDefault="0087063B" w:rsidP="0087063B">
      <w:pPr>
        <w:pStyle w:val="Caption"/>
        <w:keepNext/>
        <w:rPr>
          <w:color w:val="000000" w:themeColor="text1"/>
          <w:sz w:val="22"/>
          <w:szCs w:val="22"/>
        </w:rPr>
      </w:pPr>
      <w:r w:rsidRPr="00505630">
        <w:rPr>
          <w:color w:val="auto"/>
          <w:sz w:val="22"/>
          <w:szCs w:val="22"/>
        </w:rPr>
        <w:t xml:space="preserve">Table </w:t>
      </w:r>
      <w:r w:rsidR="00E40895">
        <w:rPr>
          <w:color w:val="auto"/>
          <w:sz w:val="22"/>
          <w:szCs w:val="22"/>
        </w:rPr>
        <w:t>3</w:t>
      </w:r>
      <w:r w:rsidRPr="00505630">
        <w:rPr>
          <w:color w:val="auto"/>
          <w:sz w:val="22"/>
          <w:szCs w:val="22"/>
        </w:rPr>
        <w:t xml:space="preserve">: </w:t>
      </w:r>
      <w:r w:rsidRPr="00505630">
        <w:rPr>
          <w:color w:val="000000" w:themeColor="text1"/>
          <w:sz w:val="22"/>
          <w:szCs w:val="22"/>
        </w:rPr>
        <w:t>Statistics on fees charged for MBS item 38273 by financial year</w:t>
      </w:r>
    </w:p>
    <w:tbl>
      <w:tblPr>
        <w:tblStyle w:val="TableGrid"/>
        <w:tblW w:w="0" w:type="auto"/>
        <w:tblInd w:w="108" w:type="dxa"/>
        <w:tblLook w:val="04A0" w:firstRow="1" w:lastRow="0" w:firstColumn="1" w:lastColumn="0" w:noHBand="0" w:noVBand="1"/>
        <w:tblCaption w:val="Statistics on fees charged for MBS item 38273 by financial year"/>
        <w:tblDescription w:val="Table of average fee charged for MBS item 38273 from 2014 to 2017 financial years, as well as the standrad deviation. "/>
      </w:tblPr>
      <w:tblGrid>
        <w:gridCol w:w="2127"/>
        <w:gridCol w:w="1937"/>
        <w:gridCol w:w="1890"/>
        <w:gridCol w:w="2126"/>
      </w:tblGrid>
      <w:tr w:rsidR="00CD2C8D" w:rsidRPr="007B45F8" w:rsidTr="00CD2C8D">
        <w:trPr>
          <w:tblHeader/>
        </w:trPr>
        <w:tc>
          <w:tcPr>
            <w:tcW w:w="2127" w:type="dxa"/>
            <w:shd w:val="clear" w:color="auto" w:fill="548DD4" w:themeFill="text2" w:themeFillTint="99"/>
          </w:tcPr>
          <w:p w:rsidR="00CD2C8D" w:rsidRPr="007B45F8" w:rsidRDefault="00CD2C8D" w:rsidP="007813BB">
            <w:pPr>
              <w:rPr>
                <w:rFonts w:asciiTheme="minorHAnsi" w:hAnsiTheme="minorHAnsi"/>
                <w:sz w:val="22"/>
                <w:szCs w:val="22"/>
              </w:rPr>
            </w:pPr>
          </w:p>
        </w:tc>
        <w:tc>
          <w:tcPr>
            <w:tcW w:w="1937" w:type="dxa"/>
            <w:shd w:val="clear" w:color="auto" w:fill="548DD4" w:themeFill="text2" w:themeFillTint="99"/>
          </w:tcPr>
          <w:p w:rsidR="00CD2C8D" w:rsidRPr="007B45F8" w:rsidRDefault="00CD2C8D" w:rsidP="007813BB">
            <w:pPr>
              <w:rPr>
                <w:rFonts w:asciiTheme="minorHAnsi" w:hAnsiTheme="minorHAnsi"/>
                <w:b/>
                <w:color w:val="FFFFFF" w:themeColor="background1"/>
                <w:sz w:val="22"/>
                <w:szCs w:val="22"/>
              </w:rPr>
            </w:pPr>
            <w:r w:rsidRPr="007B45F8">
              <w:rPr>
                <w:rFonts w:asciiTheme="minorHAnsi" w:hAnsiTheme="minorHAnsi"/>
                <w:b/>
                <w:color w:val="FFFFFF" w:themeColor="background1"/>
                <w:sz w:val="22"/>
                <w:szCs w:val="22"/>
              </w:rPr>
              <w:t>2014-15</w:t>
            </w:r>
          </w:p>
        </w:tc>
        <w:tc>
          <w:tcPr>
            <w:tcW w:w="1890" w:type="dxa"/>
            <w:shd w:val="clear" w:color="auto" w:fill="548DD4" w:themeFill="text2" w:themeFillTint="99"/>
          </w:tcPr>
          <w:p w:rsidR="00CD2C8D" w:rsidRPr="007B45F8" w:rsidRDefault="00CD2C8D" w:rsidP="007813BB">
            <w:pPr>
              <w:rPr>
                <w:rFonts w:asciiTheme="minorHAnsi" w:hAnsiTheme="minorHAnsi"/>
                <w:b/>
                <w:color w:val="FFFFFF" w:themeColor="background1"/>
                <w:sz w:val="22"/>
                <w:szCs w:val="22"/>
              </w:rPr>
            </w:pPr>
            <w:r w:rsidRPr="007B45F8">
              <w:rPr>
                <w:rFonts w:asciiTheme="minorHAnsi" w:hAnsiTheme="minorHAnsi"/>
                <w:b/>
                <w:color w:val="FFFFFF" w:themeColor="background1"/>
                <w:sz w:val="22"/>
                <w:szCs w:val="22"/>
              </w:rPr>
              <w:t>2015-16</w:t>
            </w:r>
          </w:p>
        </w:tc>
        <w:tc>
          <w:tcPr>
            <w:tcW w:w="2126" w:type="dxa"/>
            <w:shd w:val="clear" w:color="auto" w:fill="548DD4" w:themeFill="text2" w:themeFillTint="99"/>
          </w:tcPr>
          <w:p w:rsidR="00CD2C8D" w:rsidRPr="007B45F8" w:rsidRDefault="00CD2C8D" w:rsidP="007813BB">
            <w:pPr>
              <w:rPr>
                <w:rFonts w:asciiTheme="minorHAnsi" w:hAnsiTheme="minorHAnsi"/>
                <w:b/>
                <w:color w:val="FFFFFF" w:themeColor="background1"/>
                <w:sz w:val="22"/>
                <w:szCs w:val="22"/>
              </w:rPr>
            </w:pPr>
            <w:r w:rsidRPr="007B45F8">
              <w:rPr>
                <w:rFonts w:asciiTheme="minorHAnsi" w:hAnsiTheme="minorHAnsi"/>
                <w:b/>
                <w:color w:val="FFFFFF" w:themeColor="background1"/>
                <w:sz w:val="22"/>
                <w:szCs w:val="22"/>
              </w:rPr>
              <w:t>2016-17</w:t>
            </w:r>
            <w:r>
              <w:rPr>
                <w:rFonts w:asciiTheme="minorHAnsi" w:hAnsiTheme="minorHAnsi"/>
                <w:b/>
                <w:color w:val="FFFFFF" w:themeColor="background1"/>
                <w:sz w:val="22"/>
                <w:szCs w:val="22"/>
              </w:rPr>
              <w:t>*</w:t>
            </w:r>
          </w:p>
        </w:tc>
      </w:tr>
      <w:tr w:rsidR="0087063B" w:rsidRPr="007B45F8" w:rsidTr="007813BB">
        <w:tc>
          <w:tcPr>
            <w:tcW w:w="2127" w:type="dxa"/>
            <w:shd w:val="clear" w:color="auto" w:fill="548DD4" w:themeFill="text2" w:themeFillTint="99"/>
          </w:tcPr>
          <w:p w:rsidR="0087063B" w:rsidRPr="007B45F8" w:rsidRDefault="0087063B" w:rsidP="007813BB">
            <w:pPr>
              <w:rPr>
                <w:rFonts w:asciiTheme="minorHAnsi" w:hAnsiTheme="minorHAnsi"/>
                <w:b/>
                <w:color w:val="FFFFFF" w:themeColor="background1"/>
                <w:sz w:val="22"/>
                <w:szCs w:val="22"/>
              </w:rPr>
            </w:pPr>
            <w:r w:rsidRPr="007B45F8">
              <w:rPr>
                <w:rFonts w:asciiTheme="minorHAnsi" w:hAnsiTheme="minorHAnsi"/>
                <w:b/>
                <w:color w:val="FFFFFF" w:themeColor="background1"/>
                <w:sz w:val="22"/>
                <w:szCs w:val="22"/>
              </w:rPr>
              <w:t xml:space="preserve">Average fee charged </w:t>
            </w:r>
          </w:p>
        </w:tc>
        <w:tc>
          <w:tcPr>
            <w:tcW w:w="1937" w:type="dxa"/>
          </w:tcPr>
          <w:p w:rsidR="0087063B" w:rsidRPr="007B45F8" w:rsidRDefault="0087063B" w:rsidP="007813BB">
            <w:pPr>
              <w:rPr>
                <w:rFonts w:asciiTheme="minorHAnsi" w:hAnsiTheme="minorHAnsi"/>
                <w:sz w:val="22"/>
                <w:szCs w:val="22"/>
              </w:rPr>
            </w:pPr>
            <w:r>
              <w:rPr>
                <w:rFonts w:asciiTheme="minorHAnsi" w:hAnsiTheme="minorHAnsi"/>
                <w:sz w:val="22"/>
                <w:szCs w:val="22"/>
              </w:rPr>
              <w:t>$1,014.26</w:t>
            </w:r>
          </w:p>
        </w:tc>
        <w:tc>
          <w:tcPr>
            <w:tcW w:w="1890" w:type="dxa"/>
          </w:tcPr>
          <w:p w:rsidR="0087063B" w:rsidRPr="007B45F8" w:rsidRDefault="0087063B" w:rsidP="007813BB">
            <w:pPr>
              <w:rPr>
                <w:rFonts w:asciiTheme="minorHAnsi" w:hAnsiTheme="minorHAnsi"/>
                <w:sz w:val="22"/>
                <w:szCs w:val="22"/>
              </w:rPr>
            </w:pPr>
            <w:r>
              <w:rPr>
                <w:rFonts w:asciiTheme="minorHAnsi" w:hAnsiTheme="minorHAnsi"/>
                <w:sz w:val="22"/>
                <w:szCs w:val="22"/>
              </w:rPr>
              <w:t>$998.97</w:t>
            </w:r>
          </w:p>
        </w:tc>
        <w:tc>
          <w:tcPr>
            <w:tcW w:w="2126" w:type="dxa"/>
          </w:tcPr>
          <w:p w:rsidR="0087063B" w:rsidRPr="007B45F8" w:rsidRDefault="0087063B" w:rsidP="007813BB">
            <w:pPr>
              <w:rPr>
                <w:rFonts w:asciiTheme="minorHAnsi" w:hAnsiTheme="minorHAnsi"/>
                <w:sz w:val="22"/>
                <w:szCs w:val="22"/>
              </w:rPr>
            </w:pPr>
            <w:r>
              <w:rPr>
                <w:rFonts w:asciiTheme="minorHAnsi" w:hAnsiTheme="minorHAnsi"/>
                <w:sz w:val="22"/>
                <w:szCs w:val="22"/>
              </w:rPr>
              <w:t>$948.18</w:t>
            </w:r>
          </w:p>
        </w:tc>
      </w:tr>
      <w:tr w:rsidR="0087063B" w:rsidRPr="007B45F8" w:rsidTr="007813BB">
        <w:tc>
          <w:tcPr>
            <w:tcW w:w="2127" w:type="dxa"/>
            <w:shd w:val="clear" w:color="auto" w:fill="548DD4" w:themeFill="text2" w:themeFillTint="99"/>
          </w:tcPr>
          <w:p w:rsidR="0087063B" w:rsidRPr="007B45F8" w:rsidRDefault="0087063B" w:rsidP="007813BB">
            <w:pPr>
              <w:rPr>
                <w:rFonts w:asciiTheme="minorHAnsi" w:hAnsiTheme="minorHAnsi"/>
                <w:b/>
                <w:color w:val="FFFFFF" w:themeColor="background1"/>
                <w:sz w:val="22"/>
                <w:szCs w:val="22"/>
              </w:rPr>
            </w:pPr>
            <w:r w:rsidRPr="007B45F8">
              <w:rPr>
                <w:rFonts w:asciiTheme="minorHAnsi" w:hAnsiTheme="minorHAnsi"/>
                <w:b/>
                <w:color w:val="FFFFFF" w:themeColor="background1"/>
                <w:sz w:val="22"/>
                <w:szCs w:val="22"/>
              </w:rPr>
              <w:t xml:space="preserve">Standard deviation </w:t>
            </w:r>
          </w:p>
        </w:tc>
        <w:tc>
          <w:tcPr>
            <w:tcW w:w="1937" w:type="dxa"/>
          </w:tcPr>
          <w:p w:rsidR="0087063B" w:rsidRPr="007B45F8" w:rsidRDefault="0087063B" w:rsidP="007813BB">
            <w:pPr>
              <w:rPr>
                <w:rFonts w:asciiTheme="minorHAnsi" w:hAnsiTheme="minorHAnsi"/>
                <w:sz w:val="22"/>
                <w:szCs w:val="22"/>
              </w:rPr>
            </w:pPr>
            <w:r>
              <w:rPr>
                <w:rFonts w:asciiTheme="minorHAnsi" w:hAnsiTheme="minorHAnsi"/>
                <w:sz w:val="22"/>
                <w:szCs w:val="22"/>
              </w:rPr>
              <w:t>$145.57</w:t>
            </w:r>
          </w:p>
        </w:tc>
        <w:tc>
          <w:tcPr>
            <w:tcW w:w="1890" w:type="dxa"/>
          </w:tcPr>
          <w:p w:rsidR="0087063B" w:rsidRPr="007B45F8" w:rsidRDefault="0087063B" w:rsidP="007813BB">
            <w:pPr>
              <w:rPr>
                <w:rFonts w:asciiTheme="minorHAnsi" w:hAnsiTheme="minorHAnsi"/>
                <w:sz w:val="22"/>
                <w:szCs w:val="22"/>
              </w:rPr>
            </w:pPr>
            <w:r>
              <w:rPr>
                <w:rFonts w:asciiTheme="minorHAnsi" w:hAnsiTheme="minorHAnsi"/>
                <w:sz w:val="22"/>
                <w:szCs w:val="22"/>
              </w:rPr>
              <w:t>$159.83</w:t>
            </w:r>
          </w:p>
        </w:tc>
        <w:tc>
          <w:tcPr>
            <w:tcW w:w="2126" w:type="dxa"/>
          </w:tcPr>
          <w:p w:rsidR="0087063B" w:rsidRPr="007B45F8" w:rsidRDefault="0087063B" w:rsidP="007813BB">
            <w:pPr>
              <w:rPr>
                <w:rFonts w:asciiTheme="minorHAnsi" w:hAnsiTheme="minorHAnsi"/>
                <w:sz w:val="22"/>
                <w:szCs w:val="22"/>
              </w:rPr>
            </w:pPr>
            <w:r>
              <w:rPr>
                <w:rFonts w:asciiTheme="minorHAnsi" w:hAnsiTheme="minorHAnsi"/>
                <w:sz w:val="22"/>
                <w:szCs w:val="22"/>
              </w:rPr>
              <w:t>$198.98</w:t>
            </w:r>
          </w:p>
        </w:tc>
      </w:tr>
    </w:tbl>
    <w:p w:rsidR="00CD2C8D" w:rsidRDefault="00CD2C8D">
      <w:pPr>
        <w:rPr>
          <w:b/>
          <w:szCs w:val="24"/>
          <w:lang w:eastAsia="en-US"/>
        </w:rPr>
      </w:pPr>
      <w:r>
        <w:rPr>
          <w:b/>
          <w:szCs w:val="24"/>
          <w:lang w:eastAsia="en-US"/>
        </w:rPr>
        <w:br w:type="page"/>
      </w:r>
    </w:p>
    <w:p w:rsidR="0087063B" w:rsidRPr="0087063B" w:rsidRDefault="0087063B" w:rsidP="0087063B">
      <w:pPr>
        <w:spacing w:before="240"/>
        <w:contextualSpacing/>
        <w:rPr>
          <w:rFonts w:ascii="Arial" w:hAnsi="Arial" w:cs="Arial"/>
          <w:b/>
          <w:i/>
          <w:szCs w:val="24"/>
          <w:lang w:eastAsia="en-US"/>
        </w:rPr>
      </w:pPr>
      <w:r w:rsidRPr="0087063B">
        <w:rPr>
          <w:rFonts w:ascii="Arial" w:hAnsi="Arial" w:cs="Arial"/>
          <w:b/>
          <w:i/>
          <w:szCs w:val="24"/>
          <w:lang w:eastAsia="en-US"/>
        </w:rPr>
        <w:lastRenderedPageBreak/>
        <w:t>Patient breakdown</w:t>
      </w:r>
    </w:p>
    <w:p w:rsidR="0087063B" w:rsidRPr="00004200" w:rsidRDefault="0087063B" w:rsidP="00004200">
      <w:pPr>
        <w:spacing w:after="240"/>
      </w:pPr>
      <w:r>
        <w:t xml:space="preserve">Below is a graphical breakdown of number if services and age range of patients receiving this service by financial year since the item’s listing date, 1 July </w:t>
      </w:r>
      <w:proofErr w:type="gramStart"/>
      <w:r>
        <w:t>2014.</w:t>
      </w:r>
      <w:proofErr w:type="gramEnd"/>
    </w:p>
    <w:p w:rsidR="0087063B" w:rsidRPr="00004200" w:rsidRDefault="0087063B" w:rsidP="00004200">
      <w:pPr>
        <w:spacing w:after="240"/>
        <w:rPr>
          <w:sz w:val="18"/>
        </w:rPr>
      </w:pPr>
      <w:r>
        <w:rPr>
          <w:noProof/>
        </w:rPr>
        <w:drawing>
          <wp:inline distT="0" distB="0" distL="0" distR="0" wp14:anchorId="3FF6F941" wp14:editId="00C51599">
            <wp:extent cx="4257675" cy="7696200"/>
            <wp:effectExtent l="0" t="0" r="9525" b="0"/>
            <wp:docPr id="1" name="Picture 1" descr="Three bar graphs showing age range and gender of patients claiming MBS item 38273 from financial years 2014 to 2017." title="Demographic profile for MBS item 3827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57675" cy="7696200"/>
                    </a:xfrm>
                    <a:prstGeom prst="rect">
                      <a:avLst/>
                    </a:prstGeom>
                  </pic:spPr>
                </pic:pic>
              </a:graphicData>
            </a:graphic>
          </wp:inline>
        </w:drawing>
      </w:r>
    </w:p>
    <w:p w:rsidR="0087063B" w:rsidRPr="003C325B" w:rsidRDefault="0087063B" w:rsidP="0087063B">
      <w:pPr>
        <w:pStyle w:val="Caption"/>
        <w:spacing w:after="0"/>
        <w:rPr>
          <w:color w:val="auto"/>
          <w:sz w:val="22"/>
          <w:szCs w:val="22"/>
        </w:rPr>
      </w:pPr>
      <w:r w:rsidRPr="003C325B">
        <w:rPr>
          <w:color w:val="auto"/>
          <w:sz w:val="22"/>
          <w:szCs w:val="22"/>
        </w:rPr>
        <w:t>Figure 1: Demographic profile for MBS item 38273 for a) 2014-</w:t>
      </w:r>
      <w:proofErr w:type="gramStart"/>
      <w:r w:rsidRPr="003C325B">
        <w:rPr>
          <w:color w:val="auto"/>
          <w:sz w:val="22"/>
          <w:szCs w:val="22"/>
        </w:rPr>
        <w:t>15  b</w:t>
      </w:r>
      <w:proofErr w:type="gramEnd"/>
      <w:r w:rsidRPr="003C325B">
        <w:rPr>
          <w:color w:val="auto"/>
          <w:sz w:val="22"/>
          <w:szCs w:val="22"/>
        </w:rPr>
        <w:t>) 2015-16  c) 2016-17</w:t>
      </w:r>
    </w:p>
    <w:p w:rsidR="0087063B" w:rsidRPr="00004200" w:rsidRDefault="0087063B" w:rsidP="0087063B">
      <w:pPr>
        <w:rPr>
          <w:i/>
          <w:sz w:val="22"/>
          <w:szCs w:val="22"/>
        </w:rPr>
      </w:pPr>
      <w:r w:rsidRPr="003C325B">
        <w:rPr>
          <w:i/>
          <w:sz w:val="22"/>
          <w:szCs w:val="22"/>
        </w:rPr>
        <w:t xml:space="preserve">Source: Medicare Statistics Online </w:t>
      </w:r>
      <w:r>
        <w:br w:type="page"/>
      </w:r>
    </w:p>
    <w:p w:rsidR="0087063B" w:rsidRDefault="0087063B" w:rsidP="0087063B">
      <w:pPr>
        <w:pStyle w:val="Heading2"/>
      </w:pPr>
      <w:r w:rsidRPr="00457F5E">
        <w:lastRenderedPageBreak/>
        <w:t xml:space="preserve">Co-claiming </w:t>
      </w:r>
    </w:p>
    <w:p w:rsidR="0087063B" w:rsidRDefault="0087063B" w:rsidP="00004200">
      <w:pPr>
        <w:spacing w:after="240"/>
      </w:pPr>
      <w:r>
        <w:t xml:space="preserve">Below is a snapshot of MBS items commonly claimed with item 38273 on the same day, performed on the same patient, by the same </w:t>
      </w:r>
      <w:proofErr w:type="gramStart"/>
      <w:r>
        <w:t>provider.</w:t>
      </w:r>
      <w:proofErr w:type="gramEnd"/>
    </w:p>
    <w:p w:rsidR="0087063B" w:rsidRPr="0010777F" w:rsidRDefault="00E40895" w:rsidP="0087063B">
      <w:pPr>
        <w:spacing w:after="240"/>
        <w:rPr>
          <w:b/>
          <w:sz w:val="22"/>
          <w:szCs w:val="22"/>
        </w:rPr>
      </w:pPr>
      <w:r>
        <w:rPr>
          <w:b/>
          <w:sz w:val="22"/>
          <w:szCs w:val="22"/>
        </w:rPr>
        <w:t>Table 4</w:t>
      </w:r>
      <w:r w:rsidR="0087063B" w:rsidRPr="0010777F">
        <w:rPr>
          <w:b/>
          <w:sz w:val="22"/>
          <w:szCs w:val="22"/>
        </w:rPr>
        <w:t xml:space="preserve">: Common MBS items co-claimed with item 38273 by financial year.  </w:t>
      </w:r>
    </w:p>
    <w:tbl>
      <w:tblPr>
        <w:tblStyle w:val="TableGrid"/>
        <w:tblW w:w="0" w:type="auto"/>
        <w:tblLook w:val="04A0" w:firstRow="1" w:lastRow="0" w:firstColumn="1" w:lastColumn="0" w:noHBand="0" w:noVBand="1"/>
        <w:tblCaption w:val="Common MBS items co-claimed with item 38273 by financial year"/>
        <w:tblDescription w:val="Table displaying items claimed in conjunction with MBS item 38273 by financial years, from 2014 to 2017."/>
      </w:tblPr>
      <w:tblGrid>
        <w:gridCol w:w="3085"/>
        <w:gridCol w:w="3119"/>
        <w:gridCol w:w="2318"/>
      </w:tblGrid>
      <w:tr w:rsidR="0087063B" w:rsidRPr="00171D87" w:rsidTr="00CD2C8D">
        <w:trPr>
          <w:tblHeader/>
        </w:trPr>
        <w:tc>
          <w:tcPr>
            <w:tcW w:w="3085" w:type="dxa"/>
            <w:shd w:val="clear" w:color="auto" w:fill="548DD4" w:themeFill="text2" w:themeFillTint="99"/>
          </w:tcPr>
          <w:p w:rsidR="0087063B" w:rsidRPr="00171D87" w:rsidRDefault="0087063B" w:rsidP="007813BB">
            <w:pPr>
              <w:rPr>
                <w:rFonts w:asciiTheme="minorHAnsi" w:hAnsiTheme="minorHAnsi"/>
                <w:b/>
                <w:color w:val="FFFFFF" w:themeColor="background1"/>
                <w:sz w:val="22"/>
                <w:szCs w:val="22"/>
              </w:rPr>
            </w:pPr>
            <w:r w:rsidRPr="00171D87">
              <w:rPr>
                <w:rFonts w:asciiTheme="minorHAnsi" w:hAnsiTheme="minorHAnsi"/>
                <w:b/>
                <w:color w:val="FFFFFF" w:themeColor="background1"/>
                <w:sz w:val="22"/>
                <w:szCs w:val="22"/>
              </w:rPr>
              <w:t>2014-15</w:t>
            </w:r>
          </w:p>
        </w:tc>
        <w:tc>
          <w:tcPr>
            <w:tcW w:w="3119" w:type="dxa"/>
            <w:shd w:val="clear" w:color="auto" w:fill="548DD4" w:themeFill="text2" w:themeFillTint="99"/>
          </w:tcPr>
          <w:p w:rsidR="0087063B" w:rsidRPr="00171D87" w:rsidRDefault="0087063B" w:rsidP="007813BB">
            <w:pPr>
              <w:rPr>
                <w:rFonts w:asciiTheme="minorHAnsi" w:hAnsiTheme="minorHAnsi"/>
                <w:b/>
                <w:color w:val="FFFFFF" w:themeColor="background1"/>
                <w:sz w:val="22"/>
                <w:szCs w:val="22"/>
              </w:rPr>
            </w:pPr>
            <w:r w:rsidRPr="00171D87">
              <w:rPr>
                <w:rFonts w:asciiTheme="minorHAnsi" w:hAnsiTheme="minorHAnsi"/>
                <w:b/>
                <w:color w:val="FFFFFF" w:themeColor="background1"/>
                <w:sz w:val="22"/>
                <w:szCs w:val="22"/>
              </w:rPr>
              <w:t>2015-16</w:t>
            </w:r>
          </w:p>
        </w:tc>
        <w:tc>
          <w:tcPr>
            <w:tcW w:w="2318" w:type="dxa"/>
            <w:shd w:val="clear" w:color="auto" w:fill="548DD4" w:themeFill="text2" w:themeFillTint="99"/>
          </w:tcPr>
          <w:p w:rsidR="0087063B" w:rsidRPr="00171D87" w:rsidRDefault="0087063B" w:rsidP="007813BB">
            <w:pPr>
              <w:rPr>
                <w:rFonts w:asciiTheme="minorHAnsi" w:hAnsiTheme="minorHAnsi"/>
                <w:b/>
                <w:color w:val="FFFFFF" w:themeColor="background1"/>
                <w:sz w:val="22"/>
                <w:szCs w:val="22"/>
              </w:rPr>
            </w:pPr>
            <w:r w:rsidRPr="00171D87">
              <w:rPr>
                <w:rFonts w:asciiTheme="minorHAnsi" w:hAnsiTheme="minorHAnsi"/>
                <w:b/>
                <w:color w:val="FFFFFF" w:themeColor="background1"/>
                <w:sz w:val="22"/>
                <w:szCs w:val="22"/>
              </w:rPr>
              <w:t>2016-17</w:t>
            </w:r>
            <w:r>
              <w:rPr>
                <w:rFonts w:asciiTheme="minorHAnsi" w:hAnsiTheme="minorHAnsi"/>
                <w:b/>
                <w:color w:val="FFFFFF" w:themeColor="background1"/>
                <w:sz w:val="22"/>
                <w:szCs w:val="22"/>
              </w:rPr>
              <w:t>*</w:t>
            </w:r>
          </w:p>
        </w:tc>
      </w:tr>
      <w:tr w:rsidR="0087063B" w:rsidRPr="00171D87" w:rsidTr="00CD2C8D">
        <w:tc>
          <w:tcPr>
            <w:tcW w:w="3085"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w:t>
            </w:r>
          </w:p>
        </w:tc>
        <w:tc>
          <w:tcPr>
            <w:tcW w:w="3119"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w:t>
            </w:r>
          </w:p>
        </w:tc>
        <w:tc>
          <w:tcPr>
            <w:tcW w:w="2318" w:type="dxa"/>
            <w:vAlign w:val="center"/>
          </w:tcPr>
          <w:p w:rsidR="0087063B" w:rsidRPr="00171D87" w:rsidRDefault="0087063B" w:rsidP="007813BB">
            <w:pPr>
              <w:rPr>
                <w:rFonts w:asciiTheme="minorHAnsi" w:hAnsiTheme="minorHAnsi"/>
                <w:sz w:val="22"/>
                <w:szCs w:val="22"/>
              </w:rPr>
            </w:pPr>
            <w:r w:rsidRPr="00105D98">
              <w:rPr>
                <w:rFonts w:asciiTheme="minorHAnsi" w:hAnsiTheme="minorHAnsi" w:cs="Arial"/>
                <w:color w:val="000000"/>
                <w:sz w:val="22"/>
                <w:szCs w:val="22"/>
              </w:rPr>
              <w:t>38273</w:t>
            </w:r>
          </w:p>
        </w:tc>
      </w:tr>
      <w:tr w:rsidR="0087063B" w:rsidRPr="00171D87" w:rsidTr="00CD2C8D">
        <w:tc>
          <w:tcPr>
            <w:tcW w:w="3085"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38273, 116</w:t>
            </w:r>
          </w:p>
        </w:tc>
        <w:tc>
          <w:tcPr>
            <w:tcW w:w="3119"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38273, 110</w:t>
            </w:r>
          </w:p>
        </w:tc>
        <w:tc>
          <w:tcPr>
            <w:tcW w:w="2318" w:type="dxa"/>
            <w:vAlign w:val="center"/>
          </w:tcPr>
          <w:p w:rsidR="0087063B" w:rsidRPr="00171D87" w:rsidRDefault="0087063B" w:rsidP="007813BB">
            <w:pPr>
              <w:rPr>
                <w:rFonts w:asciiTheme="minorHAnsi" w:hAnsiTheme="minorHAnsi"/>
                <w:sz w:val="22"/>
                <w:szCs w:val="22"/>
              </w:rPr>
            </w:pPr>
            <w:r w:rsidRPr="00105D98">
              <w:rPr>
                <w:rFonts w:asciiTheme="minorHAnsi" w:hAnsiTheme="minorHAnsi" w:cs="Arial"/>
                <w:color w:val="000000"/>
                <w:sz w:val="22"/>
                <w:szCs w:val="22"/>
              </w:rPr>
              <w:t>38273, 116</w:t>
            </w:r>
          </w:p>
        </w:tc>
      </w:tr>
      <w:tr w:rsidR="0087063B" w:rsidRPr="00171D87" w:rsidTr="00CD2C8D">
        <w:tc>
          <w:tcPr>
            <w:tcW w:w="3085"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38273, 116, 55115</w:t>
            </w:r>
          </w:p>
        </w:tc>
        <w:tc>
          <w:tcPr>
            <w:tcW w:w="3119"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38273, 116</w:t>
            </w:r>
          </w:p>
        </w:tc>
        <w:tc>
          <w:tcPr>
            <w:tcW w:w="2318" w:type="dxa"/>
            <w:vAlign w:val="center"/>
          </w:tcPr>
          <w:p w:rsidR="0087063B" w:rsidRPr="00171D87" w:rsidRDefault="0087063B" w:rsidP="007813BB">
            <w:pPr>
              <w:rPr>
                <w:rFonts w:asciiTheme="minorHAnsi" w:hAnsiTheme="minorHAnsi"/>
                <w:sz w:val="22"/>
                <w:szCs w:val="22"/>
              </w:rPr>
            </w:pPr>
            <w:r w:rsidRPr="00105D98">
              <w:rPr>
                <w:rFonts w:asciiTheme="minorHAnsi" w:hAnsiTheme="minorHAnsi" w:cs="Arial"/>
                <w:color w:val="000000"/>
                <w:sz w:val="22"/>
                <w:szCs w:val="22"/>
              </w:rPr>
              <w:t>38273, 110</w:t>
            </w:r>
          </w:p>
        </w:tc>
      </w:tr>
      <w:tr w:rsidR="0087063B" w:rsidRPr="00171D87" w:rsidTr="00CD2C8D">
        <w:tc>
          <w:tcPr>
            <w:tcW w:w="3085"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38273, 116, 60012</w:t>
            </w:r>
          </w:p>
        </w:tc>
        <w:tc>
          <w:tcPr>
            <w:tcW w:w="3119"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w:t>
            </w:r>
            <w:r w:rsidRPr="00DA6C03">
              <w:rPr>
                <w:rFonts w:asciiTheme="minorHAnsi" w:hAnsiTheme="minorHAnsi"/>
                <w:sz w:val="22"/>
                <w:szCs w:val="22"/>
              </w:rPr>
              <w:t xml:space="preserve"> </w:t>
            </w:r>
            <w:r w:rsidRPr="00DA6C03">
              <w:rPr>
                <w:rFonts w:asciiTheme="minorHAnsi" w:hAnsiTheme="minorHAnsi" w:cs="Arial"/>
                <w:color w:val="000000"/>
                <w:sz w:val="22"/>
                <w:szCs w:val="22"/>
              </w:rPr>
              <w:t>110,55115</w:t>
            </w:r>
          </w:p>
        </w:tc>
        <w:tc>
          <w:tcPr>
            <w:tcW w:w="2318" w:type="dxa"/>
            <w:vAlign w:val="center"/>
          </w:tcPr>
          <w:p w:rsidR="0087063B" w:rsidRPr="00171D87" w:rsidRDefault="0087063B" w:rsidP="007813BB">
            <w:pPr>
              <w:rPr>
                <w:rFonts w:asciiTheme="minorHAnsi" w:hAnsiTheme="minorHAnsi"/>
                <w:sz w:val="22"/>
                <w:szCs w:val="22"/>
              </w:rPr>
            </w:pPr>
            <w:r w:rsidRPr="00105D98">
              <w:rPr>
                <w:rFonts w:asciiTheme="minorHAnsi" w:hAnsiTheme="minorHAnsi" w:cs="Arial"/>
                <w:color w:val="000000"/>
                <w:sz w:val="22"/>
                <w:szCs w:val="22"/>
              </w:rPr>
              <w:t>38273, 110, 116</w:t>
            </w:r>
          </w:p>
        </w:tc>
      </w:tr>
      <w:tr w:rsidR="0087063B" w:rsidRPr="00171D87" w:rsidTr="00CD2C8D">
        <w:tc>
          <w:tcPr>
            <w:tcW w:w="3085"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38273, 116,38206,55115,60015</w:t>
            </w:r>
          </w:p>
        </w:tc>
        <w:tc>
          <w:tcPr>
            <w:tcW w:w="3119" w:type="dxa"/>
            <w:vAlign w:val="center"/>
          </w:tcPr>
          <w:p w:rsidR="0087063B" w:rsidRPr="00171D87" w:rsidRDefault="0087063B" w:rsidP="007813BB">
            <w:pPr>
              <w:rPr>
                <w:rFonts w:asciiTheme="minorHAnsi" w:hAnsiTheme="minorHAnsi"/>
                <w:sz w:val="22"/>
                <w:szCs w:val="22"/>
              </w:rPr>
            </w:pPr>
            <w:r w:rsidRPr="00DA6C03">
              <w:rPr>
                <w:rFonts w:asciiTheme="minorHAnsi" w:hAnsiTheme="minorHAnsi" w:cs="Arial"/>
                <w:color w:val="000000"/>
                <w:sz w:val="22"/>
                <w:szCs w:val="22"/>
              </w:rPr>
              <w:t>38273, 110,38218,59912,60015</w:t>
            </w:r>
          </w:p>
        </w:tc>
        <w:tc>
          <w:tcPr>
            <w:tcW w:w="2318" w:type="dxa"/>
            <w:vAlign w:val="center"/>
          </w:tcPr>
          <w:p w:rsidR="0087063B" w:rsidRPr="00171D87" w:rsidRDefault="0087063B" w:rsidP="007813BB">
            <w:pPr>
              <w:rPr>
                <w:rFonts w:asciiTheme="minorHAnsi" w:hAnsiTheme="minorHAnsi"/>
                <w:sz w:val="22"/>
                <w:szCs w:val="22"/>
              </w:rPr>
            </w:pPr>
            <w:r w:rsidRPr="00105D98">
              <w:rPr>
                <w:rFonts w:asciiTheme="minorHAnsi" w:hAnsiTheme="minorHAnsi" w:cs="Arial"/>
                <w:color w:val="000000"/>
                <w:sz w:val="22"/>
                <w:szCs w:val="22"/>
              </w:rPr>
              <w:t>38273,</w:t>
            </w:r>
            <w:r w:rsidRPr="00105D98">
              <w:rPr>
                <w:rFonts w:asciiTheme="minorHAnsi" w:hAnsiTheme="minorHAnsi"/>
                <w:sz w:val="22"/>
                <w:szCs w:val="22"/>
              </w:rPr>
              <w:t xml:space="preserve"> </w:t>
            </w:r>
            <w:r w:rsidRPr="00105D98">
              <w:rPr>
                <w:rFonts w:asciiTheme="minorHAnsi" w:hAnsiTheme="minorHAnsi" w:cs="Arial"/>
                <w:color w:val="000000"/>
                <w:sz w:val="22"/>
                <w:szCs w:val="22"/>
              </w:rPr>
              <w:t>110,119</w:t>
            </w:r>
          </w:p>
        </w:tc>
      </w:tr>
    </w:tbl>
    <w:p w:rsidR="0087063B" w:rsidRPr="00004200" w:rsidRDefault="0087063B" w:rsidP="0087063B">
      <w:r>
        <w:rPr>
          <w:i/>
          <w:sz w:val="20"/>
        </w:rPr>
        <w:t xml:space="preserve">Source: Department of Health, </w:t>
      </w:r>
      <w:r w:rsidRPr="00D42A4E">
        <w:rPr>
          <w:i/>
          <w:sz w:val="20"/>
        </w:rPr>
        <w:t xml:space="preserve">File: </w:t>
      </w:r>
      <w:r>
        <w:rPr>
          <w:i/>
          <w:sz w:val="20"/>
        </w:rPr>
        <w:t>Q20801a</w:t>
      </w:r>
      <w:r>
        <w:rPr>
          <w:i/>
          <w:sz w:val="20"/>
        </w:rPr>
        <w:br/>
        <w:t>*= 2016-17 year is from 1 Jul 2016 to 31 Mar 2017, processed until 31 May 2017.</w:t>
      </w:r>
    </w:p>
    <w:p w:rsidR="0087063B" w:rsidRPr="00004200" w:rsidRDefault="0087063B" w:rsidP="00004200">
      <w:pPr>
        <w:pStyle w:val="Heading1"/>
        <w:keepLines/>
        <w:numPr>
          <w:ilvl w:val="0"/>
          <w:numId w:val="1"/>
        </w:numPr>
        <w:tabs>
          <w:tab w:val="left" w:pos="720"/>
          <w:tab w:val="left" w:pos="1140"/>
        </w:tabs>
        <w:spacing w:after="0"/>
        <w:ind w:hanging="720"/>
        <w:rPr>
          <w:sz w:val="24"/>
          <w:szCs w:val="24"/>
        </w:rPr>
      </w:pPr>
      <w:r w:rsidRPr="00004200">
        <w:rPr>
          <w:sz w:val="24"/>
          <w:szCs w:val="24"/>
        </w:rPr>
        <w:t>Background</w:t>
      </w:r>
    </w:p>
    <w:p w:rsidR="0087063B" w:rsidRDefault="0087063B" w:rsidP="00004200">
      <w:pPr>
        <w:spacing w:after="240"/>
      </w:pPr>
      <w:r>
        <w:t>MBS item 38273 for the transcatheter closure of a patent ductus arteriosus was li</w:t>
      </w:r>
      <w:r w:rsidR="00004200">
        <w:t>sted on the MBS on 1 July 2014.</w:t>
      </w:r>
    </w:p>
    <w:p w:rsidR="003C325B" w:rsidRDefault="0087063B" w:rsidP="00004200">
      <w:pPr>
        <w:tabs>
          <w:tab w:val="left" w:pos="720"/>
          <w:tab w:val="left" w:pos="1140"/>
        </w:tabs>
        <w:spacing w:after="240"/>
      </w:pPr>
      <w:r>
        <w:t xml:space="preserve">In September 2012, the Department of Health and Ageing received an application </w:t>
      </w:r>
      <w:r w:rsidR="00DE42F2">
        <w:t>from the Cardiac Society o</w:t>
      </w:r>
      <w:r>
        <w:t xml:space="preserve">f Australia and New Zealand </w:t>
      </w:r>
      <w:r w:rsidR="00DE42F2">
        <w:t>requesting MBS</w:t>
      </w:r>
      <w:r>
        <w:t xml:space="preserve"> funding for the transcatheter closure of a patent ductus arteriosus (PDA).</w:t>
      </w:r>
    </w:p>
    <w:p w:rsidR="003C325B" w:rsidRDefault="003C325B" w:rsidP="003C325B">
      <w:pPr>
        <w:tabs>
          <w:tab w:val="left" w:pos="720"/>
          <w:tab w:val="left" w:pos="1140"/>
        </w:tabs>
        <w:rPr>
          <w:szCs w:val="24"/>
        </w:rPr>
      </w:pPr>
      <w:r w:rsidRPr="0081242F">
        <w:rPr>
          <w:szCs w:val="24"/>
        </w:rPr>
        <w:t>Transcatheter closure of PDA is proposed as a direct substit</w:t>
      </w:r>
      <w:r>
        <w:rPr>
          <w:szCs w:val="24"/>
        </w:rPr>
        <w:t xml:space="preserve">ute for surgical closure of PDA. </w:t>
      </w:r>
    </w:p>
    <w:p w:rsidR="0087063B" w:rsidRPr="00A73760" w:rsidRDefault="0087063B" w:rsidP="0087063B">
      <w:pPr>
        <w:spacing w:before="240"/>
        <w:rPr>
          <w:spacing w:val="-3"/>
          <w:szCs w:val="24"/>
        </w:rPr>
      </w:pPr>
      <w:r w:rsidRPr="00A73760">
        <w:rPr>
          <w:spacing w:val="-3"/>
          <w:szCs w:val="24"/>
        </w:rPr>
        <w:t xml:space="preserve">MSAC’s role was to assess the safety, effectiveness and efficacy, cost-effectiveness of </w:t>
      </w:r>
      <w:r>
        <w:rPr>
          <w:spacing w:val="-3"/>
          <w:szCs w:val="24"/>
        </w:rPr>
        <w:t>the transcatheter method for the PDA closure</w:t>
      </w:r>
      <w:r w:rsidRPr="00A73760">
        <w:rPr>
          <w:spacing w:val="-3"/>
          <w:szCs w:val="24"/>
        </w:rPr>
        <w:t xml:space="preserve">. MSAC would also consider the wording of the MBS item descriptor, the MBS fee and the financial implications of publicly funding </w:t>
      </w:r>
      <w:r>
        <w:rPr>
          <w:spacing w:val="-3"/>
          <w:szCs w:val="24"/>
        </w:rPr>
        <w:t xml:space="preserve">this procedure. </w:t>
      </w:r>
    </w:p>
    <w:p w:rsidR="003C325B" w:rsidRDefault="003C325B" w:rsidP="00004200">
      <w:pPr>
        <w:spacing w:before="240" w:after="240"/>
        <w:rPr>
          <w:szCs w:val="24"/>
        </w:rPr>
      </w:pPr>
      <w:r w:rsidRPr="00C94709">
        <w:rPr>
          <w:szCs w:val="24"/>
        </w:rPr>
        <w:t xml:space="preserve">The applicant indicated that the technique involved in the procedure and the devices utilised most closely resemble MBS item 38272 transcatheter closure of </w:t>
      </w:r>
      <w:r>
        <w:rPr>
          <w:szCs w:val="24"/>
        </w:rPr>
        <w:t>atrial septal defect (</w:t>
      </w:r>
      <w:r w:rsidRPr="00C94709">
        <w:rPr>
          <w:szCs w:val="24"/>
        </w:rPr>
        <w:t>ASD</w:t>
      </w:r>
      <w:r>
        <w:rPr>
          <w:szCs w:val="24"/>
        </w:rPr>
        <w:t>)</w:t>
      </w:r>
      <w:r w:rsidRPr="00C94709">
        <w:rPr>
          <w:szCs w:val="24"/>
        </w:rPr>
        <w:t xml:space="preserve">. </w:t>
      </w:r>
    </w:p>
    <w:p w:rsidR="003C325B" w:rsidRDefault="003C325B" w:rsidP="003C325B">
      <w:pPr>
        <w:tabs>
          <w:tab w:val="left" w:pos="720"/>
          <w:tab w:val="left" w:pos="1140"/>
        </w:tabs>
        <w:rPr>
          <w:szCs w:val="24"/>
        </w:rPr>
      </w:pPr>
      <w:r>
        <w:rPr>
          <w:szCs w:val="24"/>
        </w:rPr>
        <w:t>At the time of this application’s consideration, transcatheter closure of PDA was</w:t>
      </w:r>
      <w:r w:rsidRPr="00541522">
        <w:rPr>
          <w:szCs w:val="24"/>
        </w:rPr>
        <w:t xml:space="preserve"> already available through the</w:t>
      </w:r>
      <w:r>
        <w:rPr>
          <w:szCs w:val="24"/>
        </w:rPr>
        <w:t xml:space="preserve"> public healthcare system. It was</w:t>
      </w:r>
      <w:r w:rsidRPr="00541522">
        <w:rPr>
          <w:szCs w:val="24"/>
        </w:rPr>
        <w:t xml:space="preserve"> anticipated that there will be no potential advantages (or disadvantages) to consumers should the procedure be explicitly funded under the MBS given it is a procedure that requires the proximity of cardiothoracic surgical backup in the event of complications.</w:t>
      </w:r>
    </w:p>
    <w:p w:rsidR="0087063B" w:rsidRDefault="0087063B" w:rsidP="0087063B">
      <w:pPr>
        <w:spacing w:before="240"/>
        <w:rPr>
          <w:szCs w:val="24"/>
        </w:rPr>
      </w:pPr>
      <w:r>
        <w:rPr>
          <w:szCs w:val="24"/>
        </w:rPr>
        <w:t xml:space="preserve">The MSAC supported the listing of the service onto the MBS at its </w:t>
      </w:r>
      <w:r w:rsidR="003C325B">
        <w:rPr>
          <w:szCs w:val="24"/>
        </w:rPr>
        <w:t>August 2013</w:t>
      </w:r>
      <w:r>
        <w:rPr>
          <w:szCs w:val="24"/>
        </w:rPr>
        <w:t xml:space="preserve"> meeting.</w:t>
      </w:r>
    </w:p>
    <w:p w:rsidR="0087063B" w:rsidRPr="00004200" w:rsidRDefault="0087063B" w:rsidP="00004200">
      <w:pPr>
        <w:pStyle w:val="Heading1"/>
        <w:keepLines/>
        <w:numPr>
          <w:ilvl w:val="0"/>
          <w:numId w:val="1"/>
        </w:numPr>
        <w:tabs>
          <w:tab w:val="left" w:pos="720"/>
          <w:tab w:val="left" w:pos="1140"/>
        </w:tabs>
        <w:spacing w:after="0"/>
        <w:ind w:hanging="720"/>
        <w:rPr>
          <w:sz w:val="24"/>
          <w:szCs w:val="24"/>
        </w:rPr>
      </w:pPr>
      <w:r w:rsidRPr="00004200">
        <w:rPr>
          <w:sz w:val="24"/>
          <w:szCs w:val="24"/>
        </w:rPr>
        <w:t>Item descriptor</w:t>
      </w:r>
    </w:p>
    <w:tbl>
      <w:tblPr>
        <w:tblStyle w:val="TableGrid"/>
        <w:tblpPr w:leftFromText="180" w:rightFromText="180" w:vertAnchor="text" w:tblpY="167"/>
        <w:tblW w:w="0" w:type="auto"/>
        <w:tblLook w:val="0000" w:firstRow="0" w:lastRow="0" w:firstColumn="0" w:lastColumn="0" w:noHBand="0" w:noVBand="0"/>
        <w:tblDescription w:val="This table contains the item descriptor for MBS item 18377. The table is split into two columns: 1) item number, 2) item descriptor text and fee information."/>
      </w:tblPr>
      <w:tblGrid>
        <w:gridCol w:w="816"/>
        <w:gridCol w:w="8426"/>
      </w:tblGrid>
      <w:tr w:rsidR="003C325B" w:rsidRPr="00806D78" w:rsidTr="00004200">
        <w:trPr>
          <w:trHeight w:val="1125"/>
          <w:tblHeader/>
        </w:trPr>
        <w:tc>
          <w:tcPr>
            <w:tcW w:w="0" w:type="auto"/>
          </w:tcPr>
          <w:p w:rsidR="003C325B" w:rsidRDefault="003C325B" w:rsidP="003C325B">
            <w:r>
              <w:t>38273</w:t>
            </w:r>
          </w:p>
        </w:tc>
        <w:tc>
          <w:tcPr>
            <w:tcW w:w="0" w:type="auto"/>
          </w:tcPr>
          <w:p w:rsidR="003C325B" w:rsidRDefault="003C325B" w:rsidP="00004200">
            <w:pPr>
              <w:spacing w:after="240"/>
              <w:rPr>
                <w:rStyle w:val="IntenseReference"/>
                <w:b w:val="0"/>
                <w:bCs w:val="0"/>
                <w:i w:val="0"/>
                <w:smallCaps w:val="0"/>
                <w:color w:val="auto"/>
                <w:spacing w:val="0"/>
              </w:rPr>
            </w:pPr>
            <w:r w:rsidRPr="00CB5B2B">
              <w:rPr>
                <w:rStyle w:val="IntenseReference"/>
                <w:b w:val="0"/>
                <w:bCs w:val="0"/>
                <w:i w:val="0"/>
                <w:smallCaps w:val="0"/>
                <w:color w:val="auto"/>
                <w:spacing w:val="0"/>
              </w:rPr>
              <w:t>Patent ductus arteriosus, transcatheter closure of, including cardiac catheterisation and any imaging associated with the service</w:t>
            </w:r>
            <w:r>
              <w:rPr>
                <w:rStyle w:val="IntenseReference"/>
                <w:b w:val="0"/>
                <w:bCs w:val="0"/>
                <w:i w:val="0"/>
                <w:smallCaps w:val="0"/>
                <w:color w:val="auto"/>
                <w:spacing w:val="0"/>
              </w:rPr>
              <w:t xml:space="preserve"> </w:t>
            </w:r>
            <w:r w:rsidRPr="00CB5B2B">
              <w:rPr>
                <w:rStyle w:val="IntenseReference"/>
                <w:b w:val="0"/>
                <w:bCs w:val="0"/>
                <w:i w:val="0"/>
                <w:smallCaps w:val="0"/>
                <w:color w:val="auto"/>
                <w:spacing w:val="0"/>
              </w:rPr>
              <w:t>(Anaes.) (Assist.)</w:t>
            </w:r>
          </w:p>
          <w:p w:rsidR="003C325B" w:rsidRPr="00806D78" w:rsidRDefault="003C325B" w:rsidP="003C325B">
            <w:r w:rsidRPr="00CB5B2B">
              <w:rPr>
                <w:rStyle w:val="IntenseReference"/>
                <w:bCs w:val="0"/>
                <w:i w:val="0"/>
                <w:smallCaps w:val="0"/>
                <w:color w:val="auto"/>
                <w:spacing w:val="0"/>
              </w:rPr>
              <w:t xml:space="preserve">Fee: </w:t>
            </w:r>
            <w:r w:rsidRPr="00CB5B2B">
              <w:rPr>
                <w:rStyle w:val="IntenseReference"/>
                <w:b w:val="0"/>
                <w:bCs w:val="0"/>
                <w:i w:val="0"/>
                <w:smallCaps w:val="0"/>
                <w:color w:val="auto"/>
                <w:spacing w:val="0"/>
              </w:rPr>
              <w:t xml:space="preserve">$912.30 </w:t>
            </w:r>
            <w:r w:rsidRPr="00CB5B2B">
              <w:rPr>
                <w:rStyle w:val="IntenseReference"/>
                <w:bCs w:val="0"/>
                <w:i w:val="0"/>
                <w:smallCaps w:val="0"/>
                <w:color w:val="auto"/>
                <w:spacing w:val="0"/>
              </w:rPr>
              <w:t>Benefit:</w:t>
            </w:r>
            <w:r w:rsidRPr="00CB5B2B">
              <w:rPr>
                <w:rStyle w:val="IntenseReference"/>
                <w:b w:val="0"/>
                <w:bCs w:val="0"/>
                <w:i w:val="0"/>
                <w:smallCaps w:val="0"/>
                <w:color w:val="auto"/>
                <w:spacing w:val="0"/>
              </w:rPr>
              <w:t xml:space="preserve"> 75% = $684.25</w:t>
            </w:r>
          </w:p>
        </w:tc>
      </w:tr>
    </w:tbl>
    <w:p w:rsidR="0087063B" w:rsidRPr="00004200" w:rsidRDefault="0087063B" w:rsidP="0087063B">
      <w:pPr>
        <w:pStyle w:val="Heading1"/>
        <w:keepLines/>
        <w:numPr>
          <w:ilvl w:val="0"/>
          <w:numId w:val="1"/>
        </w:numPr>
        <w:tabs>
          <w:tab w:val="left" w:pos="720"/>
          <w:tab w:val="left" w:pos="1140"/>
        </w:tabs>
        <w:spacing w:before="360" w:after="0"/>
        <w:ind w:hanging="720"/>
        <w:rPr>
          <w:sz w:val="24"/>
          <w:szCs w:val="24"/>
        </w:rPr>
      </w:pPr>
      <w:r w:rsidRPr="00004200">
        <w:rPr>
          <w:sz w:val="24"/>
          <w:szCs w:val="24"/>
        </w:rPr>
        <w:t>Applicant’s comments on MSAC’s public summary document</w:t>
      </w:r>
    </w:p>
    <w:p w:rsidR="003C325B" w:rsidRDefault="00FC2889" w:rsidP="0087063B">
      <w:r>
        <w:t xml:space="preserve">The department received no comments from the applicant in the PSD. </w:t>
      </w:r>
    </w:p>
    <w:p w:rsidR="0087063B" w:rsidRPr="00004200" w:rsidRDefault="0087063B" w:rsidP="0087063B">
      <w:pPr>
        <w:pStyle w:val="Heading1"/>
        <w:keepLines/>
        <w:numPr>
          <w:ilvl w:val="0"/>
          <w:numId w:val="1"/>
        </w:numPr>
        <w:tabs>
          <w:tab w:val="left" w:pos="720"/>
          <w:tab w:val="left" w:pos="1140"/>
        </w:tabs>
        <w:spacing w:before="360" w:after="0"/>
        <w:ind w:hanging="720"/>
        <w:rPr>
          <w:sz w:val="24"/>
          <w:szCs w:val="24"/>
        </w:rPr>
      </w:pPr>
      <w:r w:rsidRPr="00004200">
        <w:rPr>
          <w:sz w:val="24"/>
          <w:szCs w:val="24"/>
        </w:rPr>
        <w:t>Further information on MSAC</w:t>
      </w:r>
    </w:p>
    <w:p w:rsidR="00003743" w:rsidRPr="00004200" w:rsidRDefault="0087063B" w:rsidP="002F3AE3">
      <w:pPr>
        <w:rPr>
          <w:szCs w:val="24"/>
        </w:rPr>
      </w:pPr>
      <w:r>
        <w:rPr>
          <w:szCs w:val="24"/>
        </w:rPr>
        <w:t xml:space="preserve">MSAC Terms of Reference and other </w:t>
      </w:r>
      <w:r w:rsidRPr="00DD2858">
        <w:rPr>
          <w:szCs w:val="24"/>
        </w:rPr>
        <w:t xml:space="preserve">information are available on the MSAC Website at: </w:t>
      </w:r>
      <w:hyperlink r:id="rId13" w:tooltip="Link to Medical Services Advisory Committee website" w:history="1">
        <w:r w:rsidRPr="007B3BA8">
          <w:rPr>
            <w:rStyle w:val="Hyperlink"/>
            <w:szCs w:val="24"/>
          </w:rPr>
          <w:t>www.msac.gov.au</w:t>
        </w:r>
      </w:hyperlink>
      <w:r>
        <w:rPr>
          <w:szCs w:val="24"/>
        </w:rPr>
        <w:t>.</w:t>
      </w:r>
    </w:p>
    <w:sectPr w:rsidR="00003743" w:rsidRPr="00004200" w:rsidSect="00271F18">
      <w:footerReference w:type="default" r:id="rId1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3B" w:rsidRDefault="0087063B" w:rsidP="0087063B">
      <w:r>
        <w:separator/>
      </w:r>
    </w:p>
  </w:endnote>
  <w:endnote w:type="continuationSeparator" w:id="0">
    <w:p w:rsidR="0087063B" w:rsidRDefault="0087063B" w:rsidP="0087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CA7666" w:rsidRDefault="006047F7" w:rsidP="00716342">
        <w:pPr>
          <w:pStyle w:val="Footer"/>
          <w:spacing w:after="240"/>
          <w:jc w:val="right"/>
        </w:pPr>
        <w:r>
          <w:fldChar w:fldCharType="begin"/>
        </w:r>
        <w:r>
          <w:instrText xml:space="preserve"> PAGE   \* MERGEFORMAT </w:instrText>
        </w:r>
        <w:r>
          <w:fldChar w:fldCharType="separate"/>
        </w:r>
        <w:r w:rsidR="00616CA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3B" w:rsidRDefault="0087063B" w:rsidP="0087063B">
      <w:r>
        <w:separator/>
      </w:r>
    </w:p>
  </w:footnote>
  <w:footnote w:type="continuationSeparator" w:id="0">
    <w:p w:rsidR="0087063B" w:rsidRDefault="0087063B" w:rsidP="00870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0B80600"/>
    <w:multiLevelType w:val="hybridMultilevel"/>
    <w:tmpl w:val="9708A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3B"/>
    <w:rsid w:val="00003743"/>
    <w:rsid w:val="00004200"/>
    <w:rsid w:val="00067456"/>
    <w:rsid w:val="001B3443"/>
    <w:rsid w:val="002F3AE3"/>
    <w:rsid w:val="0030786C"/>
    <w:rsid w:val="003C325B"/>
    <w:rsid w:val="003D17F9"/>
    <w:rsid w:val="004867E2"/>
    <w:rsid w:val="006047F7"/>
    <w:rsid w:val="00616CAF"/>
    <w:rsid w:val="008264EB"/>
    <w:rsid w:val="0087063B"/>
    <w:rsid w:val="00A4512D"/>
    <w:rsid w:val="00A705AF"/>
    <w:rsid w:val="00B42851"/>
    <w:rsid w:val="00CB5B1A"/>
    <w:rsid w:val="00CD2C8D"/>
    <w:rsid w:val="00DE42F2"/>
    <w:rsid w:val="00E40895"/>
    <w:rsid w:val="00E62A7C"/>
    <w:rsid w:val="00FC2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2"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63B"/>
    <w:rPr>
      <w:sz w:val="24"/>
    </w:rPr>
  </w:style>
  <w:style w:type="paragraph" w:styleId="Heading1">
    <w:name w:val="heading 1"/>
    <w:basedOn w:val="Normal"/>
    <w:next w:val="Normal"/>
    <w:link w:val="Heading1Char"/>
    <w:uiPriority w:val="9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uiPriority w:val="99"/>
    <w:locked/>
    <w:rsid w:val="0087063B"/>
    <w:rPr>
      <w:rFonts w:ascii="Arial" w:hAnsi="Arial" w:cs="Arial"/>
      <w:b/>
      <w:bCs/>
      <w:kern w:val="28"/>
      <w:sz w:val="28"/>
      <w:szCs w:val="32"/>
      <w:lang w:eastAsia="en-US"/>
    </w:rPr>
  </w:style>
  <w:style w:type="character" w:styleId="Hyperlink">
    <w:name w:val="Hyperlink"/>
    <w:basedOn w:val="DefaultParagraphFont"/>
    <w:uiPriority w:val="99"/>
    <w:rsid w:val="0087063B"/>
    <w:rPr>
      <w:rFonts w:cs="Times New Roman"/>
      <w:color w:val="0000FF"/>
      <w:u w:val="single"/>
    </w:rPr>
  </w:style>
  <w:style w:type="paragraph" w:styleId="FootnoteText">
    <w:name w:val="footnote text"/>
    <w:basedOn w:val="Normal"/>
    <w:link w:val="FootnoteTextChar"/>
    <w:rsid w:val="0087063B"/>
    <w:rPr>
      <w:sz w:val="20"/>
    </w:rPr>
  </w:style>
  <w:style w:type="character" w:customStyle="1" w:styleId="FootnoteTextChar">
    <w:name w:val="Footnote Text Char"/>
    <w:basedOn w:val="DefaultParagraphFont"/>
    <w:link w:val="FootnoteText"/>
    <w:rsid w:val="0087063B"/>
  </w:style>
  <w:style w:type="character" w:styleId="FootnoteReference">
    <w:name w:val="footnote reference"/>
    <w:basedOn w:val="DefaultParagraphFont"/>
    <w:rsid w:val="0087063B"/>
    <w:rPr>
      <w:rFonts w:cs="Times New Roman"/>
      <w:vertAlign w:val="superscript"/>
    </w:rPr>
  </w:style>
  <w:style w:type="paragraph" w:styleId="Header">
    <w:name w:val="header"/>
    <w:basedOn w:val="Normal"/>
    <w:link w:val="HeaderChar"/>
    <w:uiPriority w:val="99"/>
    <w:rsid w:val="0087063B"/>
    <w:pPr>
      <w:tabs>
        <w:tab w:val="center" w:pos="4513"/>
        <w:tab w:val="right" w:pos="9026"/>
      </w:tabs>
    </w:pPr>
  </w:style>
  <w:style w:type="character" w:customStyle="1" w:styleId="HeaderChar">
    <w:name w:val="Header Char"/>
    <w:basedOn w:val="DefaultParagraphFont"/>
    <w:link w:val="Header"/>
    <w:uiPriority w:val="99"/>
    <w:rsid w:val="0087063B"/>
    <w:rPr>
      <w:sz w:val="24"/>
    </w:rPr>
  </w:style>
  <w:style w:type="paragraph" w:styleId="Footer">
    <w:name w:val="footer"/>
    <w:basedOn w:val="Normal"/>
    <w:link w:val="FooterChar"/>
    <w:uiPriority w:val="99"/>
    <w:rsid w:val="0087063B"/>
    <w:pPr>
      <w:tabs>
        <w:tab w:val="center" w:pos="4513"/>
        <w:tab w:val="right" w:pos="9026"/>
      </w:tabs>
    </w:pPr>
  </w:style>
  <w:style w:type="character" w:customStyle="1" w:styleId="FooterChar">
    <w:name w:val="Footer Char"/>
    <w:basedOn w:val="DefaultParagraphFont"/>
    <w:link w:val="Footer"/>
    <w:uiPriority w:val="99"/>
    <w:rsid w:val="0087063B"/>
    <w:rPr>
      <w:sz w:val="24"/>
    </w:rPr>
  </w:style>
  <w:style w:type="character" w:customStyle="1" w:styleId="Heading2Char">
    <w:name w:val="Heading 2 Char"/>
    <w:basedOn w:val="DefaultParagraphFont"/>
    <w:link w:val="Heading2"/>
    <w:uiPriority w:val="9"/>
    <w:rsid w:val="0087063B"/>
    <w:rPr>
      <w:rFonts w:ascii="Arial" w:hAnsi="Arial" w:cs="Arial"/>
      <w:b/>
      <w:bCs/>
      <w:i/>
      <w:iCs/>
      <w:sz w:val="24"/>
      <w:szCs w:val="28"/>
      <w:lang w:eastAsia="en-US"/>
    </w:rPr>
  </w:style>
  <w:style w:type="paragraph" w:styleId="BodyText">
    <w:name w:val="Body Text"/>
    <w:basedOn w:val="Normal"/>
    <w:link w:val="BodyTextChar"/>
    <w:uiPriority w:val="2"/>
    <w:qFormat/>
    <w:rsid w:val="0087063B"/>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87063B"/>
    <w:rPr>
      <w:rFonts w:asciiTheme="minorHAnsi" w:hAnsiTheme="minorHAnsi"/>
      <w:sz w:val="21"/>
      <w:szCs w:val="21"/>
    </w:rPr>
  </w:style>
  <w:style w:type="character" w:customStyle="1" w:styleId="Heading3Char">
    <w:name w:val="Heading 3 Char"/>
    <w:basedOn w:val="DefaultParagraphFont"/>
    <w:link w:val="Heading3"/>
    <w:rsid w:val="0087063B"/>
    <w:rPr>
      <w:rFonts w:ascii="Arial" w:hAnsi="Arial" w:cs="Arial"/>
      <w:bCs/>
      <w:sz w:val="24"/>
      <w:szCs w:val="26"/>
      <w:lang w:eastAsia="en-US"/>
    </w:rPr>
  </w:style>
  <w:style w:type="paragraph" w:styleId="BalloonText">
    <w:name w:val="Balloon Text"/>
    <w:basedOn w:val="Normal"/>
    <w:link w:val="BalloonTextChar"/>
    <w:rsid w:val="0087063B"/>
    <w:rPr>
      <w:rFonts w:ascii="Tahoma" w:hAnsi="Tahoma" w:cs="Tahoma"/>
      <w:sz w:val="16"/>
      <w:szCs w:val="16"/>
    </w:rPr>
  </w:style>
  <w:style w:type="character" w:customStyle="1" w:styleId="BalloonTextChar">
    <w:name w:val="Balloon Text Char"/>
    <w:basedOn w:val="DefaultParagraphFont"/>
    <w:link w:val="BalloonText"/>
    <w:rsid w:val="0087063B"/>
    <w:rPr>
      <w:rFonts w:ascii="Tahoma" w:hAnsi="Tahoma" w:cs="Tahoma"/>
      <w:sz w:val="16"/>
      <w:szCs w:val="16"/>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SMC Caption,CSR Caption,c"/>
    <w:basedOn w:val="Normal"/>
    <w:next w:val="Normal"/>
    <w:link w:val="CaptionChar"/>
    <w:unhideWhenUsed/>
    <w:qFormat/>
    <w:rsid w:val="0087063B"/>
    <w:pPr>
      <w:spacing w:after="200"/>
    </w:pPr>
    <w:rPr>
      <w:b/>
      <w:bCs/>
      <w:color w:val="4F81BD" w:themeColor="accent1"/>
      <w:sz w:val="18"/>
      <w:szCs w:val="18"/>
      <w:lang w:eastAsia="en-US"/>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locked/>
    <w:rsid w:val="0087063B"/>
    <w:rPr>
      <w:b/>
      <w:bCs/>
      <w:color w:val="4F81BD" w:themeColor="accent1"/>
      <w:sz w:val="18"/>
      <w:szCs w:val="18"/>
      <w:lang w:eastAsia="en-US"/>
    </w:rPr>
  </w:style>
  <w:style w:type="table" w:styleId="TableGrid">
    <w:name w:val="Table Grid"/>
    <w:basedOn w:val="TableNormal"/>
    <w:rsid w:val="008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2"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63B"/>
    <w:rPr>
      <w:sz w:val="24"/>
    </w:rPr>
  </w:style>
  <w:style w:type="paragraph" w:styleId="Heading1">
    <w:name w:val="heading 1"/>
    <w:basedOn w:val="Normal"/>
    <w:next w:val="Normal"/>
    <w:link w:val="Heading1Char"/>
    <w:uiPriority w:val="9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uiPriority w:val="99"/>
    <w:locked/>
    <w:rsid w:val="0087063B"/>
    <w:rPr>
      <w:rFonts w:ascii="Arial" w:hAnsi="Arial" w:cs="Arial"/>
      <w:b/>
      <w:bCs/>
      <w:kern w:val="28"/>
      <w:sz w:val="28"/>
      <w:szCs w:val="32"/>
      <w:lang w:eastAsia="en-US"/>
    </w:rPr>
  </w:style>
  <w:style w:type="character" w:styleId="Hyperlink">
    <w:name w:val="Hyperlink"/>
    <w:basedOn w:val="DefaultParagraphFont"/>
    <w:uiPriority w:val="99"/>
    <w:rsid w:val="0087063B"/>
    <w:rPr>
      <w:rFonts w:cs="Times New Roman"/>
      <w:color w:val="0000FF"/>
      <w:u w:val="single"/>
    </w:rPr>
  </w:style>
  <w:style w:type="paragraph" w:styleId="FootnoteText">
    <w:name w:val="footnote text"/>
    <w:basedOn w:val="Normal"/>
    <w:link w:val="FootnoteTextChar"/>
    <w:rsid w:val="0087063B"/>
    <w:rPr>
      <w:sz w:val="20"/>
    </w:rPr>
  </w:style>
  <w:style w:type="character" w:customStyle="1" w:styleId="FootnoteTextChar">
    <w:name w:val="Footnote Text Char"/>
    <w:basedOn w:val="DefaultParagraphFont"/>
    <w:link w:val="FootnoteText"/>
    <w:rsid w:val="0087063B"/>
  </w:style>
  <w:style w:type="character" w:styleId="FootnoteReference">
    <w:name w:val="footnote reference"/>
    <w:basedOn w:val="DefaultParagraphFont"/>
    <w:rsid w:val="0087063B"/>
    <w:rPr>
      <w:rFonts w:cs="Times New Roman"/>
      <w:vertAlign w:val="superscript"/>
    </w:rPr>
  </w:style>
  <w:style w:type="paragraph" w:styleId="Header">
    <w:name w:val="header"/>
    <w:basedOn w:val="Normal"/>
    <w:link w:val="HeaderChar"/>
    <w:uiPriority w:val="99"/>
    <w:rsid w:val="0087063B"/>
    <w:pPr>
      <w:tabs>
        <w:tab w:val="center" w:pos="4513"/>
        <w:tab w:val="right" w:pos="9026"/>
      </w:tabs>
    </w:pPr>
  </w:style>
  <w:style w:type="character" w:customStyle="1" w:styleId="HeaderChar">
    <w:name w:val="Header Char"/>
    <w:basedOn w:val="DefaultParagraphFont"/>
    <w:link w:val="Header"/>
    <w:uiPriority w:val="99"/>
    <w:rsid w:val="0087063B"/>
    <w:rPr>
      <w:sz w:val="24"/>
    </w:rPr>
  </w:style>
  <w:style w:type="paragraph" w:styleId="Footer">
    <w:name w:val="footer"/>
    <w:basedOn w:val="Normal"/>
    <w:link w:val="FooterChar"/>
    <w:uiPriority w:val="99"/>
    <w:rsid w:val="0087063B"/>
    <w:pPr>
      <w:tabs>
        <w:tab w:val="center" w:pos="4513"/>
        <w:tab w:val="right" w:pos="9026"/>
      </w:tabs>
    </w:pPr>
  </w:style>
  <w:style w:type="character" w:customStyle="1" w:styleId="FooterChar">
    <w:name w:val="Footer Char"/>
    <w:basedOn w:val="DefaultParagraphFont"/>
    <w:link w:val="Footer"/>
    <w:uiPriority w:val="99"/>
    <w:rsid w:val="0087063B"/>
    <w:rPr>
      <w:sz w:val="24"/>
    </w:rPr>
  </w:style>
  <w:style w:type="character" w:customStyle="1" w:styleId="Heading2Char">
    <w:name w:val="Heading 2 Char"/>
    <w:basedOn w:val="DefaultParagraphFont"/>
    <w:link w:val="Heading2"/>
    <w:uiPriority w:val="9"/>
    <w:rsid w:val="0087063B"/>
    <w:rPr>
      <w:rFonts w:ascii="Arial" w:hAnsi="Arial" w:cs="Arial"/>
      <w:b/>
      <w:bCs/>
      <w:i/>
      <w:iCs/>
      <w:sz w:val="24"/>
      <w:szCs w:val="28"/>
      <w:lang w:eastAsia="en-US"/>
    </w:rPr>
  </w:style>
  <w:style w:type="paragraph" w:styleId="BodyText">
    <w:name w:val="Body Text"/>
    <w:basedOn w:val="Normal"/>
    <w:link w:val="BodyTextChar"/>
    <w:uiPriority w:val="2"/>
    <w:qFormat/>
    <w:rsid w:val="0087063B"/>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87063B"/>
    <w:rPr>
      <w:rFonts w:asciiTheme="minorHAnsi" w:hAnsiTheme="minorHAnsi"/>
      <w:sz w:val="21"/>
      <w:szCs w:val="21"/>
    </w:rPr>
  </w:style>
  <w:style w:type="character" w:customStyle="1" w:styleId="Heading3Char">
    <w:name w:val="Heading 3 Char"/>
    <w:basedOn w:val="DefaultParagraphFont"/>
    <w:link w:val="Heading3"/>
    <w:rsid w:val="0087063B"/>
    <w:rPr>
      <w:rFonts w:ascii="Arial" w:hAnsi="Arial" w:cs="Arial"/>
      <w:bCs/>
      <w:sz w:val="24"/>
      <w:szCs w:val="26"/>
      <w:lang w:eastAsia="en-US"/>
    </w:rPr>
  </w:style>
  <w:style w:type="paragraph" w:styleId="BalloonText">
    <w:name w:val="Balloon Text"/>
    <w:basedOn w:val="Normal"/>
    <w:link w:val="BalloonTextChar"/>
    <w:rsid w:val="0087063B"/>
    <w:rPr>
      <w:rFonts w:ascii="Tahoma" w:hAnsi="Tahoma" w:cs="Tahoma"/>
      <w:sz w:val="16"/>
      <w:szCs w:val="16"/>
    </w:rPr>
  </w:style>
  <w:style w:type="character" w:customStyle="1" w:styleId="BalloonTextChar">
    <w:name w:val="Balloon Text Char"/>
    <w:basedOn w:val="DefaultParagraphFont"/>
    <w:link w:val="BalloonText"/>
    <w:rsid w:val="0087063B"/>
    <w:rPr>
      <w:rFonts w:ascii="Tahoma" w:hAnsi="Tahoma" w:cs="Tahoma"/>
      <w:sz w:val="16"/>
      <w:szCs w:val="16"/>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SMC Caption,CSR Caption,c"/>
    <w:basedOn w:val="Normal"/>
    <w:next w:val="Normal"/>
    <w:link w:val="CaptionChar"/>
    <w:unhideWhenUsed/>
    <w:qFormat/>
    <w:rsid w:val="0087063B"/>
    <w:pPr>
      <w:spacing w:after="200"/>
    </w:pPr>
    <w:rPr>
      <w:b/>
      <w:bCs/>
      <w:color w:val="4F81BD" w:themeColor="accent1"/>
      <w:sz w:val="18"/>
      <w:szCs w:val="18"/>
      <w:lang w:eastAsia="en-US"/>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locked/>
    <w:rsid w:val="0087063B"/>
    <w:rPr>
      <w:b/>
      <w:bCs/>
      <w:color w:val="4F81BD" w:themeColor="accent1"/>
      <w:sz w:val="18"/>
      <w:szCs w:val="18"/>
      <w:lang w:eastAsia="en-US"/>
    </w:rPr>
  </w:style>
  <w:style w:type="table" w:styleId="TableGrid">
    <w:name w:val="Table Grid"/>
    <w:basedOn w:val="TableNormal"/>
    <w:rsid w:val="008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Users\Huxlel\AppData\Local\Microsoft\Windows\Temporary%20Internet%20Files\Content.Outlook\VN1HWDJR\www.msac.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5AD8-BD11-4843-A9B8-A6C72F1A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7539</Characters>
  <Application>Microsoft Office Word</Application>
  <DocSecurity>0</DocSecurity>
  <Lines>62</Lines>
  <Paragraphs>17</Paragraphs>
  <ScaleCrop>false</ScaleCrop>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1330 - PvA PSD - November 2017</dc:title>
  <dc:creator/>
  <cp:lastModifiedBy/>
  <cp:revision>1</cp:revision>
  <dcterms:created xsi:type="dcterms:W3CDTF">2018-04-11T23:22:00Z</dcterms:created>
  <dcterms:modified xsi:type="dcterms:W3CDTF">2018-04-11T23:22:00Z</dcterms:modified>
</cp:coreProperties>
</file>