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54C" w:rsidRPr="00A34E9C" w:rsidRDefault="0086354C" w:rsidP="0086354C">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86354C" w:rsidRPr="00A34E9C" w:rsidTr="002C6039">
        <w:tc>
          <w:tcPr>
            <w:tcW w:w="5000" w:type="pct"/>
          </w:tcPr>
          <w:p w:rsidR="0086354C" w:rsidRDefault="0086354C" w:rsidP="002C6039">
            <w:pPr>
              <w:tabs>
                <w:tab w:val="left" w:pos="-720"/>
                <w:tab w:val="left" w:pos="0"/>
                <w:tab w:val="left" w:pos="1440"/>
                <w:tab w:val="left" w:pos="2160"/>
                <w:tab w:val="left" w:pos="2880"/>
                <w:tab w:val="left" w:pos="3600"/>
                <w:tab w:val="left" w:pos="4320"/>
              </w:tabs>
              <w:autoSpaceDE w:val="0"/>
              <w:autoSpaceDN w:val="0"/>
              <w:adjustRightInd w:val="0"/>
              <w:jc w:val="left"/>
              <w:rPr>
                <w:sz w:val="44"/>
                <w:szCs w:val="44"/>
              </w:rPr>
            </w:pPr>
            <w:r>
              <w:rPr>
                <w:sz w:val="44"/>
                <w:szCs w:val="44"/>
              </w:rPr>
              <w:t>1338</w:t>
            </w:r>
          </w:p>
          <w:p w:rsidR="0086354C" w:rsidRPr="00A34E9C" w:rsidRDefault="002C6039" w:rsidP="00AD1199">
            <w:pPr>
              <w:tabs>
                <w:tab w:val="left" w:pos="-720"/>
                <w:tab w:val="left" w:pos="0"/>
                <w:tab w:val="left" w:pos="1440"/>
                <w:tab w:val="left" w:pos="2160"/>
                <w:tab w:val="left" w:pos="2880"/>
                <w:tab w:val="left" w:pos="3600"/>
                <w:tab w:val="left" w:pos="4320"/>
              </w:tabs>
              <w:autoSpaceDE w:val="0"/>
              <w:autoSpaceDN w:val="0"/>
              <w:adjustRightInd w:val="0"/>
              <w:jc w:val="left"/>
            </w:pPr>
            <w:r>
              <w:rPr>
                <w:sz w:val="44"/>
                <w:szCs w:val="44"/>
              </w:rPr>
              <w:t xml:space="preserve">Final </w:t>
            </w:r>
            <w:r w:rsidR="00AD1199">
              <w:rPr>
                <w:sz w:val="44"/>
                <w:szCs w:val="44"/>
              </w:rPr>
              <w:t>P</w:t>
            </w:r>
            <w:r w:rsidR="0086354C" w:rsidRPr="00A34E9C">
              <w:rPr>
                <w:sz w:val="44"/>
                <w:szCs w:val="44"/>
              </w:rPr>
              <w:t>rotocol to guide the assessment of</w:t>
            </w:r>
            <w:r w:rsidR="0086354C">
              <w:rPr>
                <w:sz w:val="44"/>
                <w:szCs w:val="44"/>
              </w:rPr>
              <w:t xml:space="preserve"> </w:t>
            </w:r>
            <w:r w:rsidR="0086354C" w:rsidRPr="005859C0">
              <w:rPr>
                <w:sz w:val="44"/>
                <w:szCs w:val="44"/>
              </w:rPr>
              <w:t>catheter-based renal denervation for treatment-resistant hypertensio</w:t>
            </w:r>
            <w:r w:rsidR="0086354C">
              <w:rPr>
                <w:sz w:val="44"/>
                <w:szCs w:val="44"/>
              </w:rPr>
              <w:t>n</w:t>
            </w:r>
          </w:p>
        </w:tc>
      </w:tr>
      <w:tr w:rsidR="0086354C" w:rsidRPr="00A34E9C" w:rsidTr="002C6039">
        <w:tc>
          <w:tcPr>
            <w:tcW w:w="5000" w:type="pct"/>
          </w:tcPr>
          <w:p w:rsidR="0086354C" w:rsidRPr="00FE705C" w:rsidRDefault="00263605" w:rsidP="00263605">
            <w:pPr>
              <w:pStyle w:val="NoSpacing"/>
              <w:rPr>
                <w:rFonts w:ascii="Tahoma" w:hAnsi="Tahoma" w:cs="Tahoma"/>
                <w:sz w:val="32"/>
                <w:szCs w:val="32"/>
              </w:rPr>
            </w:pPr>
            <w:r>
              <w:rPr>
                <w:rFonts w:ascii="Tahoma" w:hAnsi="Tahoma" w:cs="Tahoma"/>
                <w:sz w:val="32"/>
                <w:szCs w:val="32"/>
                <w:lang w:val="en-AU"/>
              </w:rPr>
              <w:t>September</w:t>
            </w:r>
            <w:r w:rsidR="002C6039">
              <w:rPr>
                <w:rFonts w:ascii="Tahoma" w:hAnsi="Tahoma" w:cs="Tahoma"/>
                <w:sz w:val="32"/>
                <w:szCs w:val="32"/>
                <w:lang w:val="en-AU"/>
              </w:rPr>
              <w:t xml:space="preserve"> </w:t>
            </w:r>
            <w:r w:rsidR="0086354C">
              <w:rPr>
                <w:rFonts w:ascii="Tahoma" w:hAnsi="Tahoma" w:cs="Tahoma"/>
                <w:sz w:val="32"/>
                <w:szCs w:val="32"/>
                <w:lang w:val="en-AU"/>
              </w:rPr>
              <w:t>2013</w:t>
            </w:r>
          </w:p>
        </w:tc>
      </w:tr>
    </w:tbl>
    <w:p w:rsidR="0086354C" w:rsidRPr="00A34E9C" w:rsidRDefault="0086354C" w:rsidP="0086354C"/>
    <w:p w:rsidR="0086354C" w:rsidRPr="00A34E9C" w:rsidRDefault="0086354C" w:rsidP="0086354C">
      <w:pPr>
        <w:rPr>
          <w:rFonts w:ascii="Cambria" w:hAnsi="Cambria" w:cs="Cambria"/>
          <w:b/>
          <w:bCs/>
          <w:i/>
          <w:iCs/>
          <w:color w:val="365F91"/>
          <w:sz w:val="22"/>
          <w:szCs w:val="22"/>
          <w:lang w:val="en-US" w:eastAsia="en-US"/>
        </w:rPr>
      </w:pPr>
      <w:r w:rsidRPr="00A34E9C">
        <w:br w:type="page"/>
      </w:r>
    </w:p>
    <w:sdt>
      <w:sdtPr>
        <w:id w:val="213316374"/>
        <w:docPartObj>
          <w:docPartGallery w:val="Table of Contents"/>
          <w:docPartUnique/>
        </w:docPartObj>
      </w:sdtPr>
      <w:sdtEndPr>
        <w:rPr>
          <w:rFonts w:eastAsia="SimSun"/>
          <w:noProof/>
          <w:color w:val="auto"/>
          <w:lang w:val="en-AU" w:eastAsia="zh-CN"/>
        </w:rPr>
      </w:sdtEndPr>
      <w:sdtContent>
        <w:p w:rsidR="00727623" w:rsidRDefault="00727623">
          <w:pPr>
            <w:pStyle w:val="TOCHeading0"/>
          </w:pPr>
          <w:r>
            <w:t>Contents</w:t>
          </w:r>
        </w:p>
        <w:p w:rsidR="00727623" w:rsidRDefault="00727623">
          <w:pPr>
            <w:pStyle w:val="TOC1"/>
            <w:rPr>
              <w:rFonts w:asciiTheme="minorHAnsi" w:eastAsiaTheme="minorEastAsia" w:hAnsiTheme="minorHAnsi" w:cstheme="minorBidi"/>
              <w:b w:val="0"/>
              <w:bCs w:val="0"/>
              <w:sz w:val="22"/>
              <w:szCs w:val="22"/>
              <w:lang w:eastAsia="en-AU"/>
            </w:rPr>
          </w:pPr>
          <w:r>
            <w:fldChar w:fldCharType="begin"/>
          </w:r>
          <w:r>
            <w:instrText xml:space="preserve"> TOC \o "1-3" \h \z \u </w:instrText>
          </w:r>
          <w:r>
            <w:fldChar w:fldCharType="separate"/>
          </w:r>
          <w:hyperlink w:anchor="_Toc369595408" w:history="1">
            <w:r w:rsidRPr="000A7758">
              <w:rPr>
                <w:rStyle w:val="Hyperlink"/>
              </w:rPr>
              <w:t>MSAC and PASC</w:t>
            </w:r>
            <w:r>
              <w:rPr>
                <w:webHidden/>
              </w:rPr>
              <w:tab/>
            </w:r>
            <w:r>
              <w:rPr>
                <w:webHidden/>
              </w:rPr>
              <w:fldChar w:fldCharType="begin"/>
            </w:r>
            <w:r>
              <w:rPr>
                <w:webHidden/>
              </w:rPr>
              <w:instrText xml:space="preserve"> PAGEREF _Toc369595408 \h </w:instrText>
            </w:r>
            <w:r>
              <w:rPr>
                <w:webHidden/>
              </w:rPr>
            </w:r>
            <w:r>
              <w:rPr>
                <w:webHidden/>
              </w:rPr>
              <w:fldChar w:fldCharType="separate"/>
            </w:r>
            <w:r>
              <w:rPr>
                <w:webHidden/>
              </w:rPr>
              <w:t>3</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09" w:history="1">
            <w:r w:rsidRPr="000A7758">
              <w:rPr>
                <w:rStyle w:val="Hyperlink"/>
              </w:rPr>
              <w:t>Purpose of this document</w:t>
            </w:r>
            <w:r>
              <w:rPr>
                <w:webHidden/>
              </w:rPr>
              <w:tab/>
            </w:r>
            <w:r>
              <w:rPr>
                <w:webHidden/>
              </w:rPr>
              <w:fldChar w:fldCharType="begin"/>
            </w:r>
            <w:r>
              <w:rPr>
                <w:webHidden/>
              </w:rPr>
              <w:instrText xml:space="preserve"> PAGEREF _Toc369595409 \h </w:instrText>
            </w:r>
            <w:r>
              <w:rPr>
                <w:webHidden/>
              </w:rPr>
            </w:r>
            <w:r>
              <w:rPr>
                <w:webHidden/>
              </w:rPr>
              <w:fldChar w:fldCharType="separate"/>
            </w:r>
            <w:r>
              <w:rPr>
                <w:webHidden/>
              </w:rPr>
              <w:t>3</w:t>
            </w:r>
            <w:r>
              <w:rPr>
                <w:webHidden/>
              </w:rPr>
              <w:fldChar w:fldCharType="end"/>
            </w:r>
          </w:hyperlink>
        </w:p>
        <w:p w:rsidR="00727623" w:rsidRDefault="00727623">
          <w:pPr>
            <w:pStyle w:val="TOC1"/>
            <w:rPr>
              <w:rFonts w:asciiTheme="minorHAnsi" w:eastAsiaTheme="minorEastAsia" w:hAnsiTheme="minorHAnsi" w:cstheme="minorBidi"/>
              <w:b w:val="0"/>
              <w:bCs w:val="0"/>
              <w:sz w:val="22"/>
              <w:szCs w:val="22"/>
              <w:lang w:eastAsia="en-AU"/>
            </w:rPr>
          </w:pPr>
          <w:hyperlink w:anchor="_Toc369595410" w:history="1">
            <w:r w:rsidRPr="000A7758">
              <w:rPr>
                <w:rStyle w:val="Hyperlink"/>
              </w:rPr>
              <w:t>Purpose of application</w:t>
            </w:r>
            <w:r>
              <w:rPr>
                <w:webHidden/>
              </w:rPr>
              <w:tab/>
            </w:r>
            <w:r>
              <w:rPr>
                <w:webHidden/>
              </w:rPr>
              <w:fldChar w:fldCharType="begin"/>
            </w:r>
            <w:r>
              <w:rPr>
                <w:webHidden/>
              </w:rPr>
              <w:instrText xml:space="preserve"> PAGEREF _Toc369595410 \h </w:instrText>
            </w:r>
            <w:r>
              <w:rPr>
                <w:webHidden/>
              </w:rPr>
            </w:r>
            <w:r>
              <w:rPr>
                <w:webHidden/>
              </w:rPr>
              <w:fldChar w:fldCharType="separate"/>
            </w:r>
            <w:r>
              <w:rPr>
                <w:webHidden/>
              </w:rPr>
              <w:t>4</w:t>
            </w:r>
            <w:r>
              <w:rPr>
                <w:webHidden/>
              </w:rPr>
              <w:fldChar w:fldCharType="end"/>
            </w:r>
          </w:hyperlink>
        </w:p>
        <w:p w:rsidR="00727623" w:rsidRDefault="00727623">
          <w:pPr>
            <w:pStyle w:val="TOC1"/>
            <w:rPr>
              <w:rFonts w:asciiTheme="minorHAnsi" w:eastAsiaTheme="minorEastAsia" w:hAnsiTheme="minorHAnsi" w:cstheme="minorBidi"/>
              <w:b w:val="0"/>
              <w:bCs w:val="0"/>
              <w:sz w:val="22"/>
              <w:szCs w:val="22"/>
              <w:lang w:eastAsia="en-AU"/>
            </w:rPr>
          </w:pPr>
          <w:hyperlink w:anchor="_Toc369595411" w:history="1">
            <w:r w:rsidRPr="000A7758">
              <w:rPr>
                <w:rStyle w:val="Hyperlink"/>
              </w:rPr>
              <w:t>Intervention</w:t>
            </w:r>
            <w:r>
              <w:rPr>
                <w:webHidden/>
              </w:rPr>
              <w:tab/>
            </w:r>
            <w:r>
              <w:rPr>
                <w:webHidden/>
              </w:rPr>
              <w:fldChar w:fldCharType="begin"/>
            </w:r>
            <w:r>
              <w:rPr>
                <w:webHidden/>
              </w:rPr>
              <w:instrText xml:space="preserve"> PAGEREF _Toc369595411 \h </w:instrText>
            </w:r>
            <w:r>
              <w:rPr>
                <w:webHidden/>
              </w:rPr>
            </w:r>
            <w:r>
              <w:rPr>
                <w:webHidden/>
              </w:rPr>
              <w:fldChar w:fldCharType="separate"/>
            </w:r>
            <w:r>
              <w:rPr>
                <w:webHidden/>
              </w:rPr>
              <w:t>4</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12" w:history="1">
            <w:r w:rsidRPr="000A7758">
              <w:rPr>
                <w:rStyle w:val="Hyperlink"/>
              </w:rPr>
              <w:t>Description of the medical condition</w:t>
            </w:r>
            <w:r>
              <w:rPr>
                <w:webHidden/>
              </w:rPr>
              <w:tab/>
            </w:r>
            <w:r>
              <w:rPr>
                <w:webHidden/>
              </w:rPr>
              <w:fldChar w:fldCharType="begin"/>
            </w:r>
            <w:r>
              <w:rPr>
                <w:webHidden/>
              </w:rPr>
              <w:instrText xml:space="preserve"> PAGEREF _Toc369595412 \h </w:instrText>
            </w:r>
            <w:r>
              <w:rPr>
                <w:webHidden/>
              </w:rPr>
            </w:r>
            <w:r>
              <w:rPr>
                <w:webHidden/>
              </w:rPr>
              <w:fldChar w:fldCharType="separate"/>
            </w:r>
            <w:r>
              <w:rPr>
                <w:webHidden/>
              </w:rPr>
              <w:t>4</w:t>
            </w:r>
            <w:r>
              <w:rPr>
                <w:webHidden/>
              </w:rPr>
              <w:fldChar w:fldCharType="end"/>
            </w:r>
          </w:hyperlink>
        </w:p>
        <w:p w:rsidR="00727623" w:rsidRDefault="00727623">
          <w:pPr>
            <w:pStyle w:val="TOC3"/>
            <w:rPr>
              <w:rFonts w:asciiTheme="minorHAnsi" w:eastAsiaTheme="minorEastAsia" w:hAnsiTheme="minorHAnsi" w:cstheme="minorBidi"/>
              <w:lang w:val="en-AU" w:eastAsia="en-AU"/>
            </w:rPr>
          </w:pPr>
          <w:hyperlink w:anchor="_Toc369595413" w:history="1">
            <w:r w:rsidRPr="000A7758">
              <w:rPr>
                <w:rStyle w:val="Hyperlink"/>
              </w:rPr>
              <w:t>Clinical consequences of hypertension</w:t>
            </w:r>
            <w:r>
              <w:rPr>
                <w:webHidden/>
              </w:rPr>
              <w:tab/>
            </w:r>
            <w:r>
              <w:rPr>
                <w:webHidden/>
              </w:rPr>
              <w:fldChar w:fldCharType="begin"/>
            </w:r>
            <w:r>
              <w:rPr>
                <w:webHidden/>
              </w:rPr>
              <w:instrText xml:space="preserve"> PAGEREF _Toc369595413 \h </w:instrText>
            </w:r>
            <w:r>
              <w:rPr>
                <w:webHidden/>
              </w:rPr>
            </w:r>
            <w:r>
              <w:rPr>
                <w:webHidden/>
              </w:rPr>
              <w:fldChar w:fldCharType="separate"/>
            </w:r>
            <w:r>
              <w:rPr>
                <w:webHidden/>
              </w:rPr>
              <w:t>5</w:t>
            </w:r>
            <w:r>
              <w:rPr>
                <w:webHidden/>
              </w:rPr>
              <w:fldChar w:fldCharType="end"/>
            </w:r>
          </w:hyperlink>
        </w:p>
        <w:p w:rsidR="00727623" w:rsidRDefault="00727623">
          <w:pPr>
            <w:pStyle w:val="TOC3"/>
            <w:rPr>
              <w:rFonts w:asciiTheme="minorHAnsi" w:eastAsiaTheme="minorEastAsia" w:hAnsiTheme="minorHAnsi" w:cstheme="minorBidi"/>
              <w:lang w:val="en-AU" w:eastAsia="en-AU"/>
            </w:rPr>
          </w:pPr>
          <w:hyperlink w:anchor="_Toc369595414" w:history="1">
            <w:r w:rsidRPr="000A7758">
              <w:rPr>
                <w:rStyle w:val="Hyperlink"/>
              </w:rPr>
              <w:t>Current treatments for hypertension</w:t>
            </w:r>
            <w:r>
              <w:rPr>
                <w:webHidden/>
              </w:rPr>
              <w:tab/>
            </w:r>
            <w:r>
              <w:rPr>
                <w:webHidden/>
              </w:rPr>
              <w:fldChar w:fldCharType="begin"/>
            </w:r>
            <w:r>
              <w:rPr>
                <w:webHidden/>
              </w:rPr>
              <w:instrText xml:space="preserve"> PAGEREF _Toc369595414 \h </w:instrText>
            </w:r>
            <w:r>
              <w:rPr>
                <w:webHidden/>
              </w:rPr>
            </w:r>
            <w:r>
              <w:rPr>
                <w:webHidden/>
              </w:rPr>
              <w:fldChar w:fldCharType="separate"/>
            </w:r>
            <w:r>
              <w:rPr>
                <w:webHidden/>
              </w:rPr>
              <w:t>6</w:t>
            </w:r>
            <w:r>
              <w:rPr>
                <w:webHidden/>
              </w:rPr>
              <w:fldChar w:fldCharType="end"/>
            </w:r>
          </w:hyperlink>
        </w:p>
        <w:p w:rsidR="00727623" w:rsidRDefault="00727623">
          <w:pPr>
            <w:pStyle w:val="TOC3"/>
            <w:rPr>
              <w:rFonts w:asciiTheme="minorHAnsi" w:eastAsiaTheme="minorEastAsia" w:hAnsiTheme="minorHAnsi" w:cstheme="minorBidi"/>
              <w:lang w:val="en-AU" w:eastAsia="en-AU"/>
            </w:rPr>
          </w:pPr>
          <w:hyperlink w:anchor="_Toc369595415" w:history="1">
            <w:r w:rsidRPr="000A7758">
              <w:rPr>
                <w:rStyle w:val="Hyperlink"/>
              </w:rPr>
              <w:t>Treatment-resistant hypertension</w:t>
            </w:r>
            <w:r>
              <w:rPr>
                <w:webHidden/>
              </w:rPr>
              <w:tab/>
            </w:r>
            <w:r>
              <w:rPr>
                <w:webHidden/>
              </w:rPr>
              <w:fldChar w:fldCharType="begin"/>
            </w:r>
            <w:r>
              <w:rPr>
                <w:webHidden/>
              </w:rPr>
              <w:instrText xml:space="preserve"> PAGEREF _Toc369595415 \h </w:instrText>
            </w:r>
            <w:r>
              <w:rPr>
                <w:webHidden/>
              </w:rPr>
            </w:r>
            <w:r>
              <w:rPr>
                <w:webHidden/>
              </w:rPr>
              <w:fldChar w:fldCharType="separate"/>
            </w:r>
            <w:r>
              <w:rPr>
                <w:webHidden/>
              </w:rPr>
              <w:t>8</w:t>
            </w:r>
            <w:r>
              <w:rPr>
                <w:webHidden/>
              </w:rPr>
              <w:fldChar w:fldCharType="end"/>
            </w:r>
          </w:hyperlink>
        </w:p>
        <w:p w:rsidR="00727623" w:rsidRDefault="00727623">
          <w:pPr>
            <w:pStyle w:val="TOC3"/>
            <w:rPr>
              <w:rFonts w:asciiTheme="minorHAnsi" w:eastAsiaTheme="minorEastAsia" w:hAnsiTheme="minorHAnsi" w:cstheme="minorBidi"/>
              <w:lang w:val="en-AU" w:eastAsia="en-AU"/>
            </w:rPr>
          </w:pPr>
          <w:hyperlink w:anchor="_Toc369595416" w:history="1">
            <w:r w:rsidRPr="000A7758">
              <w:rPr>
                <w:rStyle w:val="Hyperlink"/>
              </w:rPr>
              <w:t>Clinical consequences of treatment-resistance hypertension</w:t>
            </w:r>
            <w:r>
              <w:rPr>
                <w:webHidden/>
              </w:rPr>
              <w:tab/>
            </w:r>
            <w:r>
              <w:rPr>
                <w:webHidden/>
              </w:rPr>
              <w:fldChar w:fldCharType="begin"/>
            </w:r>
            <w:r>
              <w:rPr>
                <w:webHidden/>
              </w:rPr>
              <w:instrText xml:space="preserve"> PAGEREF _Toc369595416 \h </w:instrText>
            </w:r>
            <w:r>
              <w:rPr>
                <w:webHidden/>
              </w:rPr>
            </w:r>
            <w:r>
              <w:rPr>
                <w:webHidden/>
              </w:rPr>
              <w:fldChar w:fldCharType="separate"/>
            </w:r>
            <w:r>
              <w:rPr>
                <w:webHidden/>
              </w:rPr>
              <w:t>9</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17" w:history="1">
            <w:r w:rsidRPr="000A7758">
              <w:rPr>
                <w:rStyle w:val="Hyperlink"/>
              </w:rPr>
              <w:t>Description and proposed delivery of proposed new intervention</w:t>
            </w:r>
            <w:r>
              <w:rPr>
                <w:webHidden/>
              </w:rPr>
              <w:tab/>
            </w:r>
            <w:r>
              <w:rPr>
                <w:webHidden/>
              </w:rPr>
              <w:fldChar w:fldCharType="begin"/>
            </w:r>
            <w:r>
              <w:rPr>
                <w:webHidden/>
              </w:rPr>
              <w:instrText xml:space="preserve"> PAGEREF _Toc369595417 \h </w:instrText>
            </w:r>
            <w:r>
              <w:rPr>
                <w:webHidden/>
              </w:rPr>
            </w:r>
            <w:r>
              <w:rPr>
                <w:webHidden/>
              </w:rPr>
              <w:fldChar w:fldCharType="separate"/>
            </w:r>
            <w:r>
              <w:rPr>
                <w:webHidden/>
              </w:rPr>
              <w:t>9</w:t>
            </w:r>
            <w:r>
              <w:rPr>
                <w:webHidden/>
              </w:rPr>
              <w:fldChar w:fldCharType="end"/>
            </w:r>
          </w:hyperlink>
        </w:p>
        <w:p w:rsidR="00727623" w:rsidRDefault="00727623">
          <w:pPr>
            <w:pStyle w:val="TOC3"/>
            <w:rPr>
              <w:rFonts w:asciiTheme="minorHAnsi" w:eastAsiaTheme="minorEastAsia" w:hAnsiTheme="minorHAnsi" w:cstheme="minorBidi"/>
              <w:lang w:val="en-AU" w:eastAsia="en-AU"/>
            </w:rPr>
          </w:pPr>
          <w:hyperlink w:anchor="_Toc369595418" w:history="1">
            <w:r w:rsidRPr="000A7758">
              <w:rPr>
                <w:rStyle w:val="Hyperlink"/>
              </w:rPr>
              <w:t>Catheter-based renal denervation in managing treatment-resistant hypertension</w:t>
            </w:r>
            <w:r>
              <w:rPr>
                <w:webHidden/>
              </w:rPr>
              <w:tab/>
            </w:r>
            <w:r>
              <w:rPr>
                <w:webHidden/>
              </w:rPr>
              <w:fldChar w:fldCharType="begin"/>
            </w:r>
            <w:r>
              <w:rPr>
                <w:webHidden/>
              </w:rPr>
              <w:instrText xml:space="preserve"> PAGEREF _Toc369595418 \h </w:instrText>
            </w:r>
            <w:r>
              <w:rPr>
                <w:webHidden/>
              </w:rPr>
            </w:r>
            <w:r>
              <w:rPr>
                <w:webHidden/>
              </w:rPr>
              <w:fldChar w:fldCharType="separate"/>
            </w:r>
            <w:r>
              <w:rPr>
                <w:webHidden/>
              </w:rPr>
              <w:t>9</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19" w:history="1">
            <w:r w:rsidRPr="000A7758">
              <w:rPr>
                <w:rStyle w:val="Hyperlink"/>
                <w:rFonts w:ascii="Arial" w:hAnsi="Arial" w:cs="Arial"/>
              </w:rPr>
              <w:t>Administration, dose, frequency of administration, duration of treatment</w:t>
            </w:r>
            <w:r>
              <w:rPr>
                <w:webHidden/>
              </w:rPr>
              <w:tab/>
            </w:r>
            <w:r>
              <w:rPr>
                <w:webHidden/>
              </w:rPr>
              <w:fldChar w:fldCharType="begin"/>
            </w:r>
            <w:r>
              <w:rPr>
                <w:webHidden/>
              </w:rPr>
              <w:instrText xml:space="preserve"> PAGEREF _Toc369595419 \h </w:instrText>
            </w:r>
            <w:r>
              <w:rPr>
                <w:webHidden/>
              </w:rPr>
            </w:r>
            <w:r>
              <w:rPr>
                <w:webHidden/>
              </w:rPr>
              <w:fldChar w:fldCharType="separate"/>
            </w:r>
            <w:r>
              <w:rPr>
                <w:webHidden/>
              </w:rPr>
              <w:t>11</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20" w:history="1">
            <w:r w:rsidRPr="000A7758">
              <w:rPr>
                <w:rStyle w:val="Hyperlink"/>
              </w:rPr>
              <w:t>Co-administered interventions</w:t>
            </w:r>
            <w:r>
              <w:rPr>
                <w:webHidden/>
              </w:rPr>
              <w:tab/>
            </w:r>
            <w:r>
              <w:rPr>
                <w:webHidden/>
              </w:rPr>
              <w:fldChar w:fldCharType="begin"/>
            </w:r>
            <w:r>
              <w:rPr>
                <w:webHidden/>
              </w:rPr>
              <w:instrText xml:space="preserve"> PAGEREF _Toc369595420 \h </w:instrText>
            </w:r>
            <w:r>
              <w:rPr>
                <w:webHidden/>
              </w:rPr>
            </w:r>
            <w:r>
              <w:rPr>
                <w:webHidden/>
              </w:rPr>
              <w:fldChar w:fldCharType="separate"/>
            </w:r>
            <w:r>
              <w:rPr>
                <w:webHidden/>
              </w:rPr>
              <w:t>14</w:t>
            </w:r>
            <w:r>
              <w:rPr>
                <w:webHidden/>
              </w:rPr>
              <w:fldChar w:fldCharType="end"/>
            </w:r>
          </w:hyperlink>
        </w:p>
        <w:p w:rsidR="00727623" w:rsidRDefault="00727623">
          <w:pPr>
            <w:pStyle w:val="TOC1"/>
            <w:rPr>
              <w:rFonts w:asciiTheme="minorHAnsi" w:eastAsiaTheme="minorEastAsia" w:hAnsiTheme="minorHAnsi" w:cstheme="minorBidi"/>
              <w:b w:val="0"/>
              <w:bCs w:val="0"/>
              <w:sz w:val="22"/>
              <w:szCs w:val="22"/>
              <w:lang w:eastAsia="en-AU"/>
            </w:rPr>
          </w:pPr>
          <w:hyperlink w:anchor="_Toc369595421" w:history="1">
            <w:r w:rsidRPr="000A7758">
              <w:rPr>
                <w:rStyle w:val="Hyperlink"/>
              </w:rPr>
              <w:t>Background</w:t>
            </w:r>
            <w:r>
              <w:rPr>
                <w:webHidden/>
              </w:rPr>
              <w:tab/>
            </w:r>
            <w:r>
              <w:rPr>
                <w:webHidden/>
              </w:rPr>
              <w:fldChar w:fldCharType="begin"/>
            </w:r>
            <w:r>
              <w:rPr>
                <w:webHidden/>
              </w:rPr>
              <w:instrText xml:space="preserve"> PAGEREF _Toc369595421 \h </w:instrText>
            </w:r>
            <w:r>
              <w:rPr>
                <w:webHidden/>
              </w:rPr>
            </w:r>
            <w:r>
              <w:rPr>
                <w:webHidden/>
              </w:rPr>
              <w:fldChar w:fldCharType="separate"/>
            </w:r>
            <w:r>
              <w:rPr>
                <w:webHidden/>
              </w:rPr>
              <w:t>17</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22" w:history="1">
            <w:r w:rsidRPr="000A7758">
              <w:rPr>
                <w:rStyle w:val="Hyperlink"/>
              </w:rPr>
              <w:t>Current arrangements for public reimbursement</w:t>
            </w:r>
            <w:r>
              <w:rPr>
                <w:webHidden/>
              </w:rPr>
              <w:tab/>
            </w:r>
            <w:r>
              <w:rPr>
                <w:webHidden/>
              </w:rPr>
              <w:fldChar w:fldCharType="begin"/>
            </w:r>
            <w:r>
              <w:rPr>
                <w:webHidden/>
              </w:rPr>
              <w:instrText xml:space="preserve"> PAGEREF _Toc369595422 \h </w:instrText>
            </w:r>
            <w:r>
              <w:rPr>
                <w:webHidden/>
              </w:rPr>
            </w:r>
            <w:r>
              <w:rPr>
                <w:webHidden/>
              </w:rPr>
              <w:fldChar w:fldCharType="separate"/>
            </w:r>
            <w:r>
              <w:rPr>
                <w:webHidden/>
              </w:rPr>
              <w:t>17</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23" w:history="1">
            <w:r w:rsidRPr="000A7758">
              <w:rPr>
                <w:rStyle w:val="Hyperlink"/>
              </w:rPr>
              <w:t>Current use of catheter-based renal denervation in Australia</w:t>
            </w:r>
            <w:r>
              <w:rPr>
                <w:webHidden/>
              </w:rPr>
              <w:tab/>
            </w:r>
            <w:r>
              <w:rPr>
                <w:webHidden/>
              </w:rPr>
              <w:fldChar w:fldCharType="begin"/>
            </w:r>
            <w:r>
              <w:rPr>
                <w:webHidden/>
              </w:rPr>
              <w:instrText xml:space="preserve"> PAGEREF _Toc369595423 \h </w:instrText>
            </w:r>
            <w:r>
              <w:rPr>
                <w:webHidden/>
              </w:rPr>
            </w:r>
            <w:r>
              <w:rPr>
                <w:webHidden/>
              </w:rPr>
              <w:fldChar w:fldCharType="separate"/>
            </w:r>
            <w:r>
              <w:rPr>
                <w:webHidden/>
              </w:rPr>
              <w:t>17</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24" w:history="1">
            <w:r w:rsidRPr="000A7758">
              <w:rPr>
                <w:rStyle w:val="Hyperlink"/>
              </w:rPr>
              <w:t>Regulatory status</w:t>
            </w:r>
            <w:r>
              <w:rPr>
                <w:webHidden/>
              </w:rPr>
              <w:tab/>
            </w:r>
            <w:r>
              <w:rPr>
                <w:webHidden/>
              </w:rPr>
              <w:fldChar w:fldCharType="begin"/>
            </w:r>
            <w:r>
              <w:rPr>
                <w:webHidden/>
              </w:rPr>
              <w:instrText xml:space="preserve"> PAGEREF _Toc369595424 \h </w:instrText>
            </w:r>
            <w:r>
              <w:rPr>
                <w:webHidden/>
              </w:rPr>
            </w:r>
            <w:r>
              <w:rPr>
                <w:webHidden/>
              </w:rPr>
              <w:fldChar w:fldCharType="separate"/>
            </w:r>
            <w:r>
              <w:rPr>
                <w:webHidden/>
              </w:rPr>
              <w:t>18</w:t>
            </w:r>
            <w:r>
              <w:rPr>
                <w:webHidden/>
              </w:rPr>
              <w:fldChar w:fldCharType="end"/>
            </w:r>
          </w:hyperlink>
        </w:p>
        <w:p w:rsidR="00727623" w:rsidRDefault="00727623">
          <w:pPr>
            <w:pStyle w:val="TOC1"/>
            <w:rPr>
              <w:rFonts w:asciiTheme="minorHAnsi" w:eastAsiaTheme="minorEastAsia" w:hAnsiTheme="minorHAnsi" w:cstheme="minorBidi"/>
              <w:b w:val="0"/>
              <w:bCs w:val="0"/>
              <w:sz w:val="22"/>
              <w:szCs w:val="22"/>
              <w:lang w:eastAsia="en-AU"/>
            </w:rPr>
          </w:pPr>
          <w:hyperlink w:anchor="_Toc369595425" w:history="1">
            <w:r w:rsidRPr="000A7758">
              <w:rPr>
                <w:rStyle w:val="Hyperlink"/>
              </w:rPr>
              <w:t>Patient population</w:t>
            </w:r>
            <w:r>
              <w:rPr>
                <w:webHidden/>
              </w:rPr>
              <w:tab/>
            </w:r>
            <w:r>
              <w:rPr>
                <w:webHidden/>
              </w:rPr>
              <w:fldChar w:fldCharType="begin"/>
            </w:r>
            <w:r>
              <w:rPr>
                <w:webHidden/>
              </w:rPr>
              <w:instrText xml:space="preserve"> PAGEREF _Toc369595425 \h </w:instrText>
            </w:r>
            <w:r>
              <w:rPr>
                <w:webHidden/>
              </w:rPr>
            </w:r>
            <w:r>
              <w:rPr>
                <w:webHidden/>
              </w:rPr>
              <w:fldChar w:fldCharType="separate"/>
            </w:r>
            <w:r>
              <w:rPr>
                <w:webHidden/>
              </w:rPr>
              <w:t>19</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26" w:history="1">
            <w:r w:rsidRPr="000A7758">
              <w:rPr>
                <w:rStyle w:val="Hyperlink"/>
              </w:rPr>
              <w:t>Proposed MBS listing</w:t>
            </w:r>
            <w:r>
              <w:rPr>
                <w:webHidden/>
              </w:rPr>
              <w:tab/>
            </w:r>
            <w:r>
              <w:rPr>
                <w:webHidden/>
              </w:rPr>
              <w:fldChar w:fldCharType="begin"/>
            </w:r>
            <w:r>
              <w:rPr>
                <w:webHidden/>
              </w:rPr>
              <w:instrText xml:space="preserve"> PAGEREF _Toc369595426 \h </w:instrText>
            </w:r>
            <w:r>
              <w:rPr>
                <w:webHidden/>
              </w:rPr>
            </w:r>
            <w:r>
              <w:rPr>
                <w:webHidden/>
              </w:rPr>
              <w:fldChar w:fldCharType="separate"/>
            </w:r>
            <w:r>
              <w:rPr>
                <w:webHidden/>
              </w:rPr>
              <w:t>20</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27" w:history="1">
            <w:r w:rsidRPr="000A7758">
              <w:rPr>
                <w:rStyle w:val="Hyperlink"/>
              </w:rPr>
              <w:t>Clinical place for proposed intervention</w:t>
            </w:r>
            <w:r>
              <w:rPr>
                <w:webHidden/>
              </w:rPr>
              <w:tab/>
            </w:r>
            <w:r>
              <w:rPr>
                <w:webHidden/>
              </w:rPr>
              <w:fldChar w:fldCharType="begin"/>
            </w:r>
            <w:r>
              <w:rPr>
                <w:webHidden/>
              </w:rPr>
              <w:instrText xml:space="preserve"> PAGEREF _Toc369595427 \h </w:instrText>
            </w:r>
            <w:r>
              <w:rPr>
                <w:webHidden/>
              </w:rPr>
            </w:r>
            <w:r>
              <w:rPr>
                <w:webHidden/>
              </w:rPr>
              <w:fldChar w:fldCharType="separate"/>
            </w:r>
            <w:r>
              <w:rPr>
                <w:webHidden/>
              </w:rPr>
              <w:t>21</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28" w:history="1">
            <w:r w:rsidRPr="000A7758">
              <w:rPr>
                <w:rStyle w:val="Hyperlink"/>
              </w:rPr>
              <w:t>Comparator</w:t>
            </w:r>
            <w:r>
              <w:rPr>
                <w:webHidden/>
              </w:rPr>
              <w:tab/>
            </w:r>
            <w:r>
              <w:rPr>
                <w:webHidden/>
              </w:rPr>
              <w:fldChar w:fldCharType="begin"/>
            </w:r>
            <w:r>
              <w:rPr>
                <w:webHidden/>
              </w:rPr>
              <w:instrText xml:space="preserve"> PAGEREF _Toc369595428 \h </w:instrText>
            </w:r>
            <w:r>
              <w:rPr>
                <w:webHidden/>
              </w:rPr>
            </w:r>
            <w:r>
              <w:rPr>
                <w:webHidden/>
              </w:rPr>
              <w:fldChar w:fldCharType="separate"/>
            </w:r>
            <w:r>
              <w:rPr>
                <w:webHidden/>
              </w:rPr>
              <w:t>26</w:t>
            </w:r>
            <w:r>
              <w:rPr>
                <w:webHidden/>
              </w:rPr>
              <w:fldChar w:fldCharType="end"/>
            </w:r>
          </w:hyperlink>
        </w:p>
        <w:p w:rsidR="00727623" w:rsidRDefault="00727623">
          <w:pPr>
            <w:pStyle w:val="TOC1"/>
            <w:rPr>
              <w:rFonts w:asciiTheme="minorHAnsi" w:eastAsiaTheme="minorEastAsia" w:hAnsiTheme="minorHAnsi" w:cstheme="minorBidi"/>
              <w:b w:val="0"/>
              <w:bCs w:val="0"/>
              <w:sz w:val="22"/>
              <w:szCs w:val="22"/>
              <w:lang w:eastAsia="en-AU"/>
            </w:rPr>
          </w:pPr>
          <w:hyperlink w:anchor="_Toc369595429" w:history="1">
            <w:r w:rsidRPr="000A7758">
              <w:rPr>
                <w:rStyle w:val="Hyperlink"/>
              </w:rPr>
              <w:t>Clinical claim</w:t>
            </w:r>
            <w:r>
              <w:rPr>
                <w:webHidden/>
              </w:rPr>
              <w:tab/>
            </w:r>
            <w:r>
              <w:rPr>
                <w:webHidden/>
              </w:rPr>
              <w:fldChar w:fldCharType="begin"/>
            </w:r>
            <w:r>
              <w:rPr>
                <w:webHidden/>
              </w:rPr>
              <w:instrText xml:space="preserve"> PAGEREF _Toc369595429 \h </w:instrText>
            </w:r>
            <w:r>
              <w:rPr>
                <w:webHidden/>
              </w:rPr>
            </w:r>
            <w:r>
              <w:rPr>
                <w:webHidden/>
              </w:rPr>
              <w:fldChar w:fldCharType="separate"/>
            </w:r>
            <w:r>
              <w:rPr>
                <w:webHidden/>
              </w:rPr>
              <w:t>26</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30" w:history="1">
            <w:r w:rsidRPr="000A7758">
              <w:rPr>
                <w:rStyle w:val="Hyperlink"/>
              </w:rPr>
              <w:t>Other relevant literature</w:t>
            </w:r>
            <w:r>
              <w:rPr>
                <w:webHidden/>
              </w:rPr>
              <w:tab/>
            </w:r>
            <w:r>
              <w:rPr>
                <w:webHidden/>
              </w:rPr>
              <w:fldChar w:fldCharType="begin"/>
            </w:r>
            <w:r>
              <w:rPr>
                <w:webHidden/>
              </w:rPr>
              <w:instrText xml:space="preserve"> PAGEREF _Toc369595430 \h </w:instrText>
            </w:r>
            <w:r>
              <w:rPr>
                <w:webHidden/>
              </w:rPr>
            </w:r>
            <w:r>
              <w:rPr>
                <w:webHidden/>
              </w:rPr>
              <w:fldChar w:fldCharType="separate"/>
            </w:r>
            <w:r>
              <w:rPr>
                <w:webHidden/>
              </w:rPr>
              <w:t>27</w:t>
            </w:r>
            <w:r>
              <w:rPr>
                <w:webHidden/>
              </w:rPr>
              <w:fldChar w:fldCharType="end"/>
            </w:r>
          </w:hyperlink>
        </w:p>
        <w:p w:rsidR="00727623" w:rsidRDefault="00727623">
          <w:pPr>
            <w:pStyle w:val="TOC1"/>
            <w:rPr>
              <w:rFonts w:asciiTheme="minorHAnsi" w:eastAsiaTheme="minorEastAsia" w:hAnsiTheme="minorHAnsi" w:cstheme="minorBidi"/>
              <w:b w:val="0"/>
              <w:bCs w:val="0"/>
              <w:sz w:val="22"/>
              <w:szCs w:val="22"/>
              <w:lang w:eastAsia="en-AU"/>
            </w:rPr>
          </w:pPr>
          <w:hyperlink w:anchor="_Toc369595431" w:history="1">
            <w:r w:rsidRPr="000A7758">
              <w:rPr>
                <w:rStyle w:val="Hyperlink"/>
              </w:rPr>
              <w:t>Outcomes and health care resources affected by introduction of proposed intervention</w:t>
            </w:r>
            <w:r>
              <w:rPr>
                <w:webHidden/>
              </w:rPr>
              <w:tab/>
            </w:r>
            <w:r>
              <w:rPr>
                <w:webHidden/>
              </w:rPr>
              <w:fldChar w:fldCharType="begin"/>
            </w:r>
            <w:r>
              <w:rPr>
                <w:webHidden/>
              </w:rPr>
              <w:instrText xml:space="preserve"> PAGEREF _Toc369595431 \h </w:instrText>
            </w:r>
            <w:r>
              <w:rPr>
                <w:webHidden/>
              </w:rPr>
            </w:r>
            <w:r>
              <w:rPr>
                <w:webHidden/>
              </w:rPr>
              <w:fldChar w:fldCharType="separate"/>
            </w:r>
            <w:r>
              <w:rPr>
                <w:webHidden/>
              </w:rPr>
              <w:t>28</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32" w:history="1">
            <w:r w:rsidRPr="000A7758">
              <w:rPr>
                <w:rStyle w:val="Hyperlink"/>
              </w:rPr>
              <w:t>Outcomes</w:t>
            </w:r>
            <w:r>
              <w:rPr>
                <w:webHidden/>
              </w:rPr>
              <w:tab/>
            </w:r>
            <w:r>
              <w:rPr>
                <w:webHidden/>
              </w:rPr>
              <w:fldChar w:fldCharType="begin"/>
            </w:r>
            <w:r>
              <w:rPr>
                <w:webHidden/>
              </w:rPr>
              <w:instrText xml:space="preserve"> PAGEREF _Toc369595432 \h </w:instrText>
            </w:r>
            <w:r>
              <w:rPr>
                <w:webHidden/>
              </w:rPr>
            </w:r>
            <w:r>
              <w:rPr>
                <w:webHidden/>
              </w:rPr>
              <w:fldChar w:fldCharType="separate"/>
            </w:r>
            <w:r>
              <w:rPr>
                <w:webHidden/>
              </w:rPr>
              <w:t>28</w:t>
            </w:r>
            <w:r>
              <w:rPr>
                <w:webHidden/>
              </w:rPr>
              <w:fldChar w:fldCharType="end"/>
            </w:r>
          </w:hyperlink>
        </w:p>
        <w:p w:rsidR="00727623" w:rsidRDefault="00727623">
          <w:pPr>
            <w:pStyle w:val="TOC3"/>
            <w:rPr>
              <w:rFonts w:asciiTheme="minorHAnsi" w:eastAsiaTheme="minorEastAsia" w:hAnsiTheme="minorHAnsi" w:cstheme="minorBidi"/>
              <w:lang w:val="en-AU" w:eastAsia="en-AU"/>
            </w:rPr>
          </w:pPr>
          <w:hyperlink w:anchor="_Toc369595433" w:history="1">
            <w:r w:rsidRPr="000A7758">
              <w:rPr>
                <w:rStyle w:val="Hyperlink"/>
                <w:lang w:val="en-GB" w:eastAsia="ja-JP"/>
              </w:rPr>
              <w:t>Primary outcomes include:</w:t>
            </w:r>
            <w:r>
              <w:rPr>
                <w:webHidden/>
              </w:rPr>
              <w:tab/>
            </w:r>
            <w:r>
              <w:rPr>
                <w:webHidden/>
              </w:rPr>
              <w:fldChar w:fldCharType="begin"/>
            </w:r>
            <w:r>
              <w:rPr>
                <w:webHidden/>
              </w:rPr>
              <w:instrText xml:space="preserve"> PAGEREF _Toc369595433 \h </w:instrText>
            </w:r>
            <w:r>
              <w:rPr>
                <w:webHidden/>
              </w:rPr>
            </w:r>
            <w:r>
              <w:rPr>
                <w:webHidden/>
              </w:rPr>
              <w:fldChar w:fldCharType="separate"/>
            </w:r>
            <w:r>
              <w:rPr>
                <w:webHidden/>
              </w:rPr>
              <w:t>28</w:t>
            </w:r>
            <w:r>
              <w:rPr>
                <w:webHidden/>
              </w:rPr>
              <w:fldChar w:fldCharType="end"/>
            </w:r>
          </w:hyperlink>
        </w:p>
        <w:p w:rsidR="00727623" w:rsidRDefault="00727623">
          <w:pPr>
            <w:pStyle w:val="TOC3"/>
            <w:rPr>
              <w:rFonts w:asciiTheme="minorHAnsi" w:eastAsiaTheme="minorEastAsia" w:hAnsiTheme="minorHAnsi" w:cstheme="minorBidi"/>
              <w:lang w:val="en-AU" w:eastAsia="en-AU"/>
            </w:rPr>
          </w:pPr>
          <w:hyperlink w:anchor="_Toc369595434" w:history="1">
            <w:r w:rsidRPr="000A7758">
              <w:rPr>
                <w:rStyle w:val="Hyperlink"/>
                <w:lang w:val="en-GB" w:eastAsia="ja-JP"/>
              </w:rPr>
              <w:t>Secondary outcomes include:</w:t>
            </w:r>
            <w:r>
              <w:rPr>
                <w:webHidden/>
              </w:rPr>
              <w:tab/>
            </w:r>
            <w:r>
              <w:rPr>
                <w:webHidden/>
              </w:rPr>
              <w:fldChar w:fldCharType="begin"/>
            </w:r>
            <w:r>
              <w:rPr>
                <w:webHidden/>
              </w:rPr>
              <w:instrText xml:space="preserve"> PAGEREF _Toc369595434 \h </w:instrText>
            </w:r>
            <w:r>
              <w:rPr>
                <w:webHidden/>
              </w:rPr>
            </w:r>
            <w:r>
              <w:rPr>
                <w:webHidden/>
              </w:rPr>
              <w:fldChar w:fldCharType="separate"/>
            </w:r>
            <w:r>
              <w:rPr>
                <w:webHidden/>
              </w:rPr>
              <w:t>28</w:t>
            </w:r>
            <w:r>
              <w:rPr>
                <w:webHidden/>
              </w:rPr>
              <w:fldChar w:fldCharType="end"/>
            </w:r>
          </w:hyperlink>
        </w:p>
        <w:p w:rsidR="00727623" w:rsidRDefault="00727623">
          <w:pPr>
            <w:pStyle w:val="TOC3"/>
            <w:rPr>
              <w:rFonts w:asciiTheme="minorHAnsi" w:eastAsiaTheme="minorEastAsia" w:hAnsiTheme="minorHAnsi" w:cstheme="minorBidi"/>
              <w:lang w:val="en-AU" w:eastAsia="en-AU"/>
            </w:rPr>
          </w:pPr>
          <w:hyperlink w:anchor="_Toc369595435" w:history="1">
            <w:r w:rsidRPr="000A7758">
              <w:rPr>
                <w:rStyle w:val="Hyperlink"/>
              </w:rPr>
              <w:t>Adverse events</w:t>
            </w:r>
            <w:r>
              <w:rPr>
                <w:webHidden/>
              </w:rPr>
              <w:tab/>
            </w:r>
            <w:r>
              <w:rPr>
                <w:webHidden/>
              </w:rPr>
              <w:fldChar w:fldCharType="begin"/>
            </w:r>
            <w:r>
              <w:rPr>
                <w:webHidden/>
              </w:rPr>
              <w:instrText xml:space="preserve"> PAGEREF _Toc369595435 \h </w:instrText>
            </w:r>
            <w:r>
              <w:rPr>
                <w:webHidden/>
              </w:rPr>
            </w:r>
            <w:r>
              <w:rPr>
                <w:webHidden/>
              </w:rPr>
              <w:fldChar w:fldCharType="separate"/>
            </w:r>
            <w:r>
              <w:rPr>
                <w:webHidden/>
              </w:rPr>
              <w:t>29</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36" w:history="1">
            <w:r w:rsidRPr="000A7758">
              <w:rPr>
                <w:rStyle w:val="Hyperlink"/>
              </w:rPr>
              <w:t>Health care resources</w:t>
            </w:r>
            <w:r>
              <w:rPr>
                <w:webHidden/>
              </w:rPr>
              <w:tab/>
            </w:r>
            <w:r>
              <w:rPr>
                <w:webHidden/>
              </w:rPr>
              <w:fldChar w:fldCharType="begin"/>
            </w:r>
            <w:r>
              <w:rPr>
                <w:webHidden/>
              </w:rPr>
              <w:instrText xml:space="preserve"> PAGEREF _Toc369595436 \h </w:instrText>
            </w:r>
            <w:r>
              <w:rPr>
                <w:webHidden/>
              </w:rPr>
            </w:r>
            <w:r>
              <w:rPr>
                <w:webHidden/>
              </w:rPr>
              <w:fldChar w:fldCharType="separate"/>
            </w:r>
            <w:r>
              <w:rPr>
                <w:webHidden/>
              </w:rPr>
              <w:t>30</w:t>
            </w:r>
            <w:r>
              <w:rPr>
                <w:webHidden/>
              </w:rPr>
              <w:fldChar w:fldCharType="end"/>
            </w:r>
          </w:hyperlink>
        </w:p>
        <w:p w:rsidR="00727623" w:rsidRDefault="00727623">
          <w:pPr>
            <w:pStyle w:val="TOC1"/>
            <w:rPr>
              <w:rFonts w:asciiTheme="minorHAnsi" w:eastAsiaTheme="minorEastAsia" w:hAnsiTheme="minorHAnsi" w:cstheme="minorBidi"/>
              <w:b w:val="0"/>
              <w:bCs w:val="0"/>
              <w:sz w:val="22"/>
              <w:szCs w:val="22"/>
              <w:lang w:eastAsia="en-AU"/>
            </w:rPr>
          </w:pPr>
          <w:hyperlink w:anchor="_Toc369595437" w:history="1">
            <w:r w:rsidRPr="000A7758">
              <w:rPr>
                <w:rStyle w:val="Hyperlink"/>
              </w:rPr>
              <w:t>Proposed structure of economic evaluation (decision-analytic)</w:t>
            </w:r>
            <w:r>
              <w:rPr>
                <w:webHidden/>
              </w:rPr>
              <w:tab/>
            </w:r>
            <w:r>
              <w:rPr>
                <w:webHidden/>
              </w:rPr>
              <w:fldChar w:fldCharType="begin"/>
            </w:r>
            <w:r>
              <w:rPr>
                <w:webHidden/>
              </w:rPr>
              <w:instrText xml:space="preserve"> PAGEREF _Toc369595437 \h </w:instrText>
            </w:r>
            <w:r>
              <w:rPr>
                <w:webHidden/>
              </w:rPr>
            </w:r>
            <w:r>
              <w:rPr>
                <w:webHidden/>
              </w:rPr>
              <w:fldChar w:fldCharType="separate"/>
            </w:r>
            <w:r>
              <w:rPr>
                <w:webHidden/>
              </w:rPr>
              <w:t>35</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38" w:history="1">
            <w:r w:rsidRPr="000A7758">
              <w:rPr>
                <w:rStyle w:val="Hyperlink"/>
              </w:rPr>
              <w:t>Primary questions for public funding</w:t>
            </w:r>
            <w:r>
              <w:rPr>
                <w:webHidden/>
              </w:rPr>
              <w:tab/>
            </w:r>
            <w:r>
              <w:rPr>
                <w:webHidden/>
              </w:rPr>
              <w:fldChar w:fldCharType="begin"/>
            </w:r>
            <w:r>
              <w:rPr>
                <w:webHidden/>
              </w:rPr>
              <w:instrText xml:space="preserve"> PAGEREF _Toc369595438 \h </w:instrText>
            </w:r>
            <w:r>
              <w:rPr>
                <w:webHidden/>
              </w:rPr>
            </w:r>
            <w:r>
              <w:rPr>
                <w:webHidden/>
              </w:rPr>
              <w:fldChar w:fldCharType="separate"/>
            </w:r>
            <w:r>
              <w:rPr>
                <w:webHidden/>
              </w:rPr>
              <w:t>37</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39" w:history="1">
            <w:r w:rsidRPr="000A7758">
              <w:rPr>
                <w:rStyle w:val="Hyperlink"/>
              </w:rPr>
              <w:t>Decision analytic</w:t>
            </w:r>
            <w:r>
              <w:rPr>
                <w:webHidden/>
              </w:rPr>
              <w:tab/>
            </w:r>
            <w:r>
              <w:rPr>
                <w:webHidden/>
              </w:rPr>
              <w:fldChar w:fldCharType="begin"/>
            </w:r>
            <w:r>
              <w:rPr>
                <w:webHidden/>
              </w:rPr>
              <w:instrText xml:space="preserve"> PAGEREF _Toc369595439 \h </w:instrText>
            </w:r>
            <w:r>
              <w:rPr>
                <w:webHidden/>
              </w:rPr>
            </w:r>
            <w:r>
              <w:rPr>
                <w:webHidden/>
              </w:rPr>
              <w:fldChar w:fldCharType="separate"/>
            </w:r>
            <w:r>
              <w:rPr>
                <w:webHidden/>
              </w:rPr>
              <w:t>39</w:t>
            </w:r>
            <w:r>
              <w:rPr>
                <w:webHidden/>
              </w:rPr>
              <w:fldChar w:fldCharType="end"/>
            </w:r>
          </w:hyperlink>
        </w:p>
        <w:p w:rsidR="00727623" w:rsidRDefault="00727623">
          <w:pPr>
            <w:pStyle w:val="TOC2"/>
            <w:rPr>
              <w:rFonts w:asciiTheme="minorHAnsi" w:eastAsiaTheme="minorEastAsia" w:hAnsiTheme="minorHAnsi" w:cstheme="minorBidi"/>
              <w:sz w:val="22"/>
              <w:szCs w:val="22"/>
              <w:lang w:val="en-AU" w:eastAsia="en-AU"/>
            </w:rPr>
          </w:pPr>
          <w:hyperlink w:anchor="_Toc369595440" w:history="1">
            <w:r w:rsidRPr="000A7758">
              <w:rPr>
                <w:rStyle w:val="Hyperlink"/>
              </w:rPr>
              <w:t>References</w:t>
            </w:r>
            <w:r>
              <w:rPr>
                <w:webHidden/>
              </w:rPr>
              <w:tab/>
            </w:r>
            <w:r>
              <w:rPr>
                <w:webHidden/>
              </w:rPr>
              <w:fldChar w:fldCharType="begin"/>
            </w:r>
            <w:r>
              <w:rPr>
                <w:webHidden/>
              </w:rPr>
              <w:instrText xml:space="preserve"> PAGEREF _Toc369595440 \h </w:instrText>
            </w:r>
            <w:r>
              <w:rPr>
                <w:webHidden/>
              </w:rPr>
            </w:r>
            <w:r>
              <w:rPr>
                <w:webHidden/>
              </w:rPr>
              <w:fldChar w:fldCharType="separate"/>
            </w:r>
            <w:r>
              <w:rPr>
                <w:webHidden/>
              </w:rPr>
              <w:t>40</w:t>
            </w:r>
            <w:r>
              <w:rPr>
                <w:webHidden/>
              </w:rPr>
              <w:fldChar w:fldCharType="end"/>
            </w:r>
          </w:hyperlink>
        </w:p>
        <w:p w:rsidR="00727623" w:rsidRDefault="00727623">
          <w:r>
            <w:rPr>
              <w:b/>
              <w:bCs/>
              <w:noProof/>
            </w:rPr>
            <w:fldChar w:fldCharType="end"/>
          </w:r>
        </w:p>
      </w:sdtContent>
    </w:sdt>
    <w:p w:rsidR="0086354C" w:rsidRPr="00A34E9C" w:rsidRDefault="0086354C" w:rsidP="0086354C"/>
    <w:p w:rsidR="0086354C" w:rsidRPr="00A34E9C" w:rsidRDefault="0086354C" w:rsidP="0086354C">
      <w:r w:rsidRPr="00A34E9C">
        <w:br w:type="page"/>
      </w:r>
    </w:p>
    <w:p w:rsidR="0086354C" w:rsidRPr="00A34E9C" w:rsidRDefault="0086354C" w:rsidP="0086354C">
      <w:pPr>
        <w:pStyle w:val="Heading1"/>
      </w:pPr>
      <w:bookmarkStart w:id="1" w:name="_Toc283297629"/>
      <w:bookmarkStart w:id="2" w:name="_Toc369595408"/>
      <w:bookmarkEnd w:id="0"/>
      <w:r w:rsidRPr="00A34E9C">
        <w:lastRenderedPageBreak/>
        <w:t>MSAC and PASC</w:t>
      </w:r>
      <w:bookmarkEnd w:id="1"/>
      <w:bookmarkEnd w:id="2"/>
    </w:p>
    <w:p w:rsidR="0086354C" w:rsidRPr="00A34E9C" w:rsidRDefault="0086354C" w:rsidP="0086354C">
      <w:r w:rsidRPr="00A34E9C">
        <w:t xml:space="preserve">The Medical Services Advisory Committee (MSAC) is an independent expert committee appointed by the Australian Government Health Minister to strengthen the role of evidence in health financing decisions in </w:t>
      </w:r>
      <w:smartTag w:uri="urn:schemas-microsoft-com:office:smarttags" w:element="place">
        <w:smartTag w:uri="urn:schemas-microsoft-com:office:smarttags" w:element="country-region">
          <w:r w:rsidRPr="00A34E9C">
            <w:t>Australia</w:t>
          </w:r>
        </w:smartTag>
      </w:smartTag>
      <w:r w:rsidRPr="00A34E9C">
        <w:t>. MSAC advises the Commonwealth Minister for Health and Ageing on the evidence relating to the safety, effectiveness, and cost-effectiveness of new and existing medical technologies and procedures and under what circumstances public funding should be supported.</w:t>
      </w:r>
    </w:p>
    <w:p w:rsidR="0086354C" w:rsidRPr="000901A8" w:rsidRDefault="0086354C" w:rsidP="0086354C">
      <w:r w:rsidRPr="000901A8">
        <w:t>The Protocol Advisory Sub-Committee (PASC) is a standing sub-committee of MSAC. Its primary objective is the determination of protocols to guide clinical and economic assessments of medical interventions proposed for public funding.</w:t>
      </w:r>
    </w:p>
    <w:p w:rsidR="0086354C" w:rsidRPr="00A34E9C" w:rsidRDefault="0086354C" w:rsidP="0086354C">
      <w:pPr>
        <w:pStyle w:val="Heading2"/>
      </w:pPr>
      <w:bookmarkStart w:id="3" w:name="_Toc283297630"/>
      <w:bookmarkStart w:id="4" w:name="_Toc369595409"/>
      <w:r w:rsidRPr="00A34E9C">
        <w:t>Purpose of this document</w:t>
      </w:r>
      <w:bookmarkEnd w:id="3"/>
      <w:bookmarkEnd w:id="4"/>
    </w:p>
    <w:p w:rsidR="0086354C" w:rsidRPr="00A34E9C" w:rsidRDefault="0086354C" w:rsidP="0086354C">
      <w:r w:rsidRPr="00A34E9C">
        <w:t>This document is intended to provide a draft decision analytic protocol that will be used to guide the assessment of an intervention for a particular population of patients. The draft protocol that will be finalised after inviting relevant stakeholders to provide input to the protocol. The final protocol will provide the basis for the assessment of the intervention.</w:t>
      </w:r>
    </w:p>
    <w:p w:rsidR="0086354C" w:rsidRPr="00A34E9C" w:rsidRDefault="0086354C" w:rsidP="0086354C">
      <w:r w:rsidRPr="00A34E9C">
        <w:t>The protocol guiding the assessment of the health intervention has been developed using the widely accepted “</w:t>
      </w:r>
      <w:smartTag w:uri="urn:schemas-microsoft-com:office:smarttags" w:element="stockticker">
        <w:r w:rsidRPr="00A34E9C">
          <w:t>PICO</w:t>
        </w:r>
      </w:smartTag>
      <w:r w:rsidRPr="00A34E9C">
        <w:t xml:space="preserve">” approach. The </w:t>
      </w:r>
      <w:smartTag w:uri="urn:schemas-microsoft-com:office:smarttags" w:element="stockticker">
        <w:r w:rsidRPr="00A34E9C">
          <w:t>PICO</w:t>
        </w:r>
      </w:smartTag>
      <w:r w:rsidRPr="00A34E9C">
        <w:t xml:space="preserve"> approach involves a clear articulation of the following aspects of the research question that the assessment is intended to answer:</w:t>
      </w:r>
    </w:p>
    <w:p w:rsidR="0086354C" w:rsidRPr="00A34E9C" w:rsidRDefault="0086354C" w:rsidP="0086354C">
      <w:pPr>
        <w:pStyle w:val="ListParagraph"/>
      </w:pPr>
      <w:r w:rsidRPr="00A34E9C">
        <w:rPr>
          <w:b/>
          <w:bCs/>
          <w:u w:val="single"/>
        </w:rPr>
        <w:t>P</w:t>
      </w:r>
      <w:r w:rsidRPr="00A34E9C">
        <w:t>atients – specification of the characteristics of the patients in whom the intervention is to be considered for use;</w:t>
      </w:r>
    </w:p>
    <w:p w:rsidR="0086354C" w:rsidRPr="00A34E9C" w:rsidRDefault="0086354C" w:rsidP="0086354C">
      <w:pPr>
        <w:pStyle w:val="ListParagraph"/>
      </w:pPr>
      <w:r w:rsidRPr="00A34E9C">
        <w:rPr>
          <w:b/>
          <w:bCs/>
          <w:u w:val="single"/>
        </w:rPr>
        <w:t>I</w:t>
      </w:r>
      <w:r w:rsidRPr="00A34E9C">
        <w:t>ntervention – specification of the proposed intervention</w:t>
      </w:r>
    </w:p>
    <w:p w:rsidR="0086354C" w:rsidRPr="00A34E9C" w:rsidRDefault="0086354C" w:rsidP="0086354C">
      <w:pPr>
        <w:pStyle w:val="ListParagraph"/>
      </w:pPr>
      <w:r w:rsidRPr="00A34E9C">
        <w:rPr>
          <w:b/>
          <w:bCs/>
          <w:u w:val="single"/>
        </w:rPr>
        <w:t>C</w:t>
      </w:r>
      <w:r w:rsidRPr="00A34E9C">
        <w:t>omparator – specification of the therapy most likely to be replaced by the proposed intervention</w:t>
      </w:r>
    </w:p>
    <w:p w:rsidR="0086354C" w:rsidRDefault="0086354C" w:rsidP="0086354C">
      <w:pPr>
        <w:pStyle w:val="ListParagraph"/>
      </w:pPr>
      <w:r w:rsidRPr="00A34E9C">
        <w:rPr>
          <w:b/>
          <w:bCs/>
          <w:u w:val="single"/>
        </w:rPr>
        <w:t>O</w:t>
      </w:r>
      <w:r w:rsidRPr="00A34E9C">
        <w:t>utcomes – specification of the health outcomes and the healthcare resources likely to be affected by the introduction of the proposed intervention</w:t>
      </w:r>
    </w:p>
    <w:p w:rsidR="0086354C" w:rsidRPr="000901A8" w:rsidRDefault="0086354C" w:rsidP="0086354C">
      <w:pPr>
        <w:pStyle w:val="Heading1"/>
      </w:pPr>
      <w:bookmarkStart w:id="5" w:name="_Toc283297631"/>
      <w:bookmarkStart w:id="6" w:name="_Toc369595410"/>
      <w:r w:rsidRPr="000901A8">
        <w:lastRenderedPageBreak/>
        <w:t>Purpose of application</w:t>
      </w:r>
      <w:bookmarkEnd w:id="5"/>
      <w:bookmarkEnd w:id="6"/>
    </w:p>
    <w:p w:rsidR="0086354C" w:rsidRDefault="0086354C" w:rsidP="0086354C">
      <w:r w:rsidRPr="00263199">
        <w:t xml:space="preserve">A proposal for an application requesting MBS listing of catheter-based renal </w:t>
      </w:r>
      <w:r>
        <w:t xml:space="preserve">denervation </w:t>
      </w:r>
      <w:r w:rsidRPr="00263199">
        <w:t>for treatment-resistant hypertension was received from Medtronic Australasia Pty Ltd by the Department of Health and Ageing in October 2012.</w:t>
      </w:r>
      <w:r w:rsidR="002C6039">
        <w:t xml:space="preserve"> PASC and the Department acknowledge that other devices are available and that the DAP and the subsequent assessment phase should clearly account for all eligible devices.</w:t>
      </w:r>
      <w:r w:rsidR="005F3212">
        <w:t xml:space="preserve"> </w:t>
      </w:r>
      <w:r w:rsidR="00263605">
        <w:t>The Department will liaise with the applicant and all device manufacturers to resolve this issue</w:t>
      </w:r>
      <w:r w:rsidR="005F3212">
        <w:t xml:space="preserve"> during the assessment process.</w:t>
      </w:r>
    </w:p>
    <w:p w:rsidR="0086354C" w:rsidRPr="00263199" w:rsidRDefault="0086354C" w:rsidP="0086354C">
      <w:r>
        <w:t>This decision analytic protocol has been drafted to guide the assessment of the safety, effectiveness and cost-effectiveness of</w:t>
      </w:r>
      <w:r w:rsidRPr="00B97377">
        <w:t xml:space="preserve"> </w:t>
      </w:r>
      <w:r w:rsidRPr="00263199">
        <w:t xml:space="preserve">catheter-based renal </w:t>
      </w:r>
      <w:r>
        <w:t>denervation</w:t>
      </w:r>
      <w:r w:rsidRPr="00263199">
        <w:t xml:space="preserve"> for treatment-resistant hypertension</w:t>
      </w:r>
      <w:r>
        <w:t xml:space="preserve"> in order to inform MSAC’s decision-making regarding public funding of the intervention.</w:t>
      </w:r>
    </w:p>
    <w:p w:rsidR="0086354C" w:rsidRPr="00A34E9C" w:rsidRDefault="0086354C" w:rsidP="0086354C">
      <w:pPr>
        <w:pStyle w:val="Heading1"/>
      </w:pPr>
      <w:bookmarkStart w:id="7" w:name="_Toc283297632"/>
      <w:bookmarkStart w:id="8" w:name="_Toc369595411"/>
      <w:r w:rsidRPr="00A34E9C">
        <w:t>Intervention</w:t>
      </w:r>
      <w:bookmarkEnd w:id="7"/>
      <w:bookmarkEnd w:id="8"/>
    </w:p>
    <w:p w:rsidR="0086354C" w:rsidRPr="00263199" w:rsidRDefault="0086354C" w:rsidP="0086354C">
      <w:pPr>
        <w:pStyle w:val="Heading2"/>
      </w:pPr>
      <w:bookmarkStart w:id="9" w:name="_Toc283297633"/>
      <w:bookmarkStart w:id="10" w:name="_Toc369595412"/>
      <w:r w:rsidRPr="00A34E9C">
        <w:t>Description</w:t>
      </w:r>
      <w:bookmarkEnd w:id="9"/>
      <w:r>
        <w:t xml:space="preserve"> of the medical condition</w:t>
      </w:r>
      <w:bookmarkStart w:id="11" w:name="_Toc283297634"/>
      <w:bookmarkEnd w:id="10"/>
    </w:p>
    <w:p w:rsidR="0086354C" w:rsidRDefault="0086354C" w:rsidP="0086354C">
      <w:r w:rsidRPr="00263199">
        <w:t xml:space="preserve">Hypertension is defined as abnormally high arterial blood pressure. In </w:t>
      </w:r>
      <w:smartTag w:uri="urn:schemas-microsoft-com:office:smarttags" w:element="place">
        <w:smartTag w:uri="urn:schemas-microsoft-com:office:smarttags" w:element="country-region">
          <w:r w:rsidRPr="00263199">
            <w:t>Australia</w:t>
          </w:r>
        </w:smartTag>
      </w:smartTag>
      <w:r w:rsidRPr="00263199">
        <w:t>, an adult systolic blood pressure of ≥140 mm Hg or a diastolic blood pressure of ≥90 mm Hg is classified as hypertension (National Heart Foundation 2010). Hypertension can be further divided into subcategories depending on systolic and diastolic blood pressure – with increasing grades representing an increase in severity (</w:t>
      </w:r>
      <w:r>
        <w:fldChar w:fldCharType="begin"/>
      </w:r>
      <w:r>
        <w:instrText xml:space="preserve"> REF _Ref350167891 \h  \* MERGEFORMAT </w:instrText>
      </w:r>
      <w:r>
        <w:fldChar w:fldCharType="separate"/>
      </w:r>
      <w:r w:rsidR="003115E8" w:rsidRPr="00603765">
        <w:t xml:space="preserve">Table </w:t>
      </w:r>
      <w:r w:rsidR="003115E8">
        <w:t>1</w:t>
      </w:r>
      <w:r>
        <w:fldChar w:fldCharType="end"/>
      </w:r>
      <w:r w:rsidRPr="00263199">
        <w:t xml:space="preserve">). </w:t>
      </w:r>
    </w:p>
    <w:p w:rsidR="0086354C" w:rsidRPr="00603765" w:rsidRDefault="0086354C" w:rsidP="00603765">
      <w:pPr>
        <w:pStyle w:val="Caption"/>
      </w:pPr>
      <w:bookmarkStart w:id="12" w:name="_Ref350167891"/>
      <w:r w:rsidRPr="00603765">
        <w:t xml:space="preserve">Table </w:t>
      </w:r>
      <w:r w:rsidRPr="00603765">
        <w:fldChar w:fldCharType="begin"/>
      </w:r>
      <w:r w:rsidRPr="00603765">
        <w:instrText xml:space="preserve"> SEQ Table \* ARABIC </w:instrText>
      </w:r>
      <w:r w:rsidRPr="00603765">
        <w:fldChar w:fldCharType="separate"/>
      </w:r>
      <w:r w:rsidR="003115E8">
        <w:rPr>
          <w:noProof/>
        </w:rPr>
        <w:t>1</w:t>
      </w:r>
      <w:r w:rsidRPr="00603765">
        <w:fldChar w:fldCharType="end"/>
      </w:r>
      <w:bookmarkEnd w:id="12"/>
      <w:r w:rsidRPr="00603765">
        <w:t xml:space="preserve"> National Heart Foundation classification of hypertension (Heart Foundation 2010)</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 National Heart Foundation classification of hypertension (Heart Foundation 2010)"/>
        <w:tblDescription w:val="Table 1 National Heart Foundation classification of hypertension (Heart Foundation 2010)"/>
      </w:tblPr>
      <w:tblGrid>
        <w:gridCol w:w="5620"/>
        <w:gridCol w:w="1780"/>
        <w:gridCol w:w="1780"/>
      </w:tblGrid>
      <w:tr w:rsidR="0086354C" w:rsidRPr="00A12DA3" w:rsidTr="002C6039">
        <w:trPr>
          <w:trHeight w:val="300"/>
          <w:tblHeader/>
        </w:trPr>
        <w:tc>
          <w:tcPr>
            <w:tcW w:w="5620" w:type="dxa"/>
            <w:noWrap/>
          </w:tcPr>
          <w:p w:rsidR="0086354C" w:rsidRPr="0058153C" w:rsidRDefault="0086354C" w:rsidP="002C6039">
            <w:pPr>
              <w:tabs>
                <w:tab w:val="left" w:pos="2835"/>
              </w:tabs>
              <w:spacing w:before="40" w:after="0" w:line="240" w:lineRule="auto"/>
              <w:rPr>
                <w:rFonts w:ascii="Arial Narrow" w:hAnsi="Arial Narrow" w:cs="Arial Narrow"/>
                <w:b/>
                <w:bCs/>
                <w:color w:val="000000"/>
                <w:sz w:val="18"/>
                <w:szCs w:val="18"/>
                <w:lang w:eastAsia="en-AU"/>
              </w:rPr>
            </w:pPr>
            <w:r w:rsidRPr="0058153C">
              <w:rPr>
                <w:rFonts w:ascii="Arial Narrow" w:hAnsi="Arial Narrow" w:cs="Arial Narrow"/>
                <w:b/>
                <w:bCs/>
                <w:color w:val="000000"/>
                <w:sz w:val="18"/>
                <w:szCs w:val="18"/>
                <w:lang w:eastAsia="en-AU"/>
              </w:rPr>
              <w:t>Diagnostic Category</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b/>
                <w:bCs/>
                <w:color w:val="000000"/>
                <w:sz w:val="18"/>
                <w:szCs w:val="18"/>
                <w:lang w:eastAsia="en-AU"/>
              </w:rPr>
            </w:pPr>
            <w:r w:rsidRPr="0058153C">
              <w:rPr>
                <w:rFonts w:ascii="Arial Narrow" w:hAnsi="Arial Narrow" w:cs="Arial Narrow"/>
                <w:b/>
                <w:bCs/>
                <w:color w:val="000000"/>
                <w:sz w:val="18"/>
                <w:szCs w:val="18"/>
                <w:lang w:eastAsia="en-AU"/>
              </w:rPr>
              <w:t>Systolic (mmHg)</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b/>
                <w:bCs/>
                <w:color w:val="000000"/>
                <w:sz w:val="18"/>
                <w:szCs w:val="18"/>
                <w:lang w:eastAsia="en-AU"/>
              </w:rPr>
            </w:pPr>
            <w:r w:rsidRPr="0058153C">
              <w:rPr>
                <w:rFonts w:ascii="Arial Narrow" w:hAnsi="Arial Narrow" w:cs="Arial Narrow"/>
                <w:b/>
                <w:bCs/>
                <w:color w:val="000000"/>
                <w:sz w:val="18"/>
                <w:szCs w:val="18"/>
                <w:lang w:eastAsia="en-AU"/>
              </w:rPr>
              <w:t>Diastolic (mmHg)</w:t>
            </w:r>
          </w:p>
        </w:tc>
      </w:tr>
      <w:tr w:rsidR="0086354C" w:rsidRPr="00A12DA3" w:rsidTr="002C6039">
        <w:trPr>
          <w:trHeight w:val="300"/>
        </w:trPr>
        <w:tc>
          <w:tcPr>
            <w:tcW w:w="562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smartTag w:uri="urn:schemas-microsoft-com:office:smarttags" w:element="place">
              <w:smartTag w:uri="urn:schemas-microsoft-com:office:smarttags" w:element="City">
                <w:r w:rsidRPr="0058153C">
                  <w:rPr>
                    <w:rFonts w:ascii="Arial Narrow" w:hAnsi="Arial Narrow" w:cs="Arial Narrow"/>
                    <w:color w:val="000000"/>
                    <w:sz w:val="18"/>
                    <w:szCs w:val="18"/>
                    <w:lang w:eastAsia="en-AU"/>
                  </w:rPr>
                  <w:t>Normal</w:t>
                </w:r>
              </w:smartTag>
            </w:smartTag>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&lt; 120</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&lt; 80</w:t>
            </w:r>
          </w:p>
        </w:tc>
      </w:tr>
      <w:tr w:rsidR="0086354C" w:rsidRPr="00A12DA3" w:rsidTr="002C6039">
        <w:trPr>
          <w:trHeight w:val="300"/>
        </w:trPr>
        <w:tc>
          <w:tcPr>
            <w:tcW w:w="562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High-normal (prehypertension)</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120 - 139</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80 - 89</w:t>
            </w:r>
          </w:p>
        </w:tc>
      </w:tr>
      <w:tr w:rsidR="0086354C" w:rsidRPr="00A12DA3" w:rsidTr="002C6039">
        <w:trPr>
          <w:trHeight w:val="300"/>
        </w:trPr>
        <w:tc>
          <w:tcPr>
            <w:tcW w:w="562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Grade 1 (mild) hypertension</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140 - 159</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90 - 99</w:t>
            </w:r>
          </w:p>
        </w:tc>
      </w:tr>
      <w:tr w:rsidR="0086354C" w:rsidRPr="00A12DA3" w:rsidTr="002C6039">
        <w:trPr>
          <w:trHeight w:val="300"/>
        </w:trPr>
        <w:tc>
          <w:tcPr>
            <w:tcW w:w="562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Grade 2 (moderate) hypertension</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160 - 179</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100 - 109</w:t>
            </w:r>
          </w:p>
        </w:tc>
      </w:tr>
      <w:tr w:rsidR="0086354C" w:rsidRPr="00A12DA3" w:rsidTr="002C6039">
        <w:trPr>
          <w:trHeight w:val="300"/>
        </w:trPr>
        <w:tc>
          <w:tcPr>
            <w:tcW w:w="562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Grade 3 (severe) hypertension</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 180</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 110</w:t>
            </w:r>
          </w:p>
        </w:tc>
      </w:tr>
      <w:tr w:rsidR="0086354C" w:rsidRPr="00A12DA3" w:rsidTr="002C6039">
        <w:trPr>
          <w:trHeight w:val="300"/>
        </w:trPr>
        <w:tc>
          <w:tcPr>
            <w:tcW w:w="562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Isolated systolic hypertension</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 140</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&lt; 90</w:t>
            </w:r>
          </w:p>
        </w:tc>
      </w:tr>
      <w:tr w:rsidR="0086354C" w:rsidRPr="00A12DA3" w:rsidTr="002C6039">
        <w:trPr>
          <w:trHeight w:val="300"/>
        </w:trPr>
        <w:tc>
          <w:tcPr>
            <w:tcW w:w="562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Isolated systolic hypertension with widened pulse pressure</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 160</w:t>
            </w:r>
          </w:p>
        </w:tc>
        <w:tc>
          <w:tcPr>
            <w:tcW w:w="1780" w:type="dxa"/>
            <w:noWrap/>
          </w:tcPr>
          <w:p w:rsidR="0086354C" w:rsidRPr="0058153C" w:rsidRDefault="0086354C" w:rsidP="002C6039">
            <w:pPr>
              <w:tabs>
                <w:tab w:val="left" w:pos="2835"/>
              </w:tabs>
              <w:spacing w:before="40" w:after="0" w:line="240" w:lineRule="auto"/>
              <w:rPr>
                <w:rFonts w:ascii="Arial Narrow" w:hAnsi="Arial Narrow" w:cs="Arial Narrow"/>
                <w:color w:val="000000"/>
                <w:sz w:val="18"/>
                <w:szCs w:val="18"/>
                <w:lang w:eastAsia="en-AU"/>
              </w:rPr>
            </w:pPr>
            <w:r w:rsidRPr="0058153C">
              <w:rPr>
                <w:rFonts w:ascii="Arial Narrow" w:hAnsi="Arial Narrow" w:cs="Arial Narrow"/>
                <w:color w:val="000000"/>
                <w:sz w:val="18"/>
                <w:szCs w:val="18"/>
                <w:lang w:eastAsia="en-AU"/>
              </w:rPr>
              <w:t>≤ 70</w:t>
            </w:r>
          </w:p>
        </w:tc>
      </w:tr>
    </w:tbl>
    <w:p w:rsidR="0086354C" w:rsidRPr="00EC11A8" w:rsidRDefault="0086354C" w:rsidP="0086354C">
      <w:pPr>
        <w:rPr>
          <w:rFonts w:ascii="Arial" w:hAnsi="Arial" w:cs="Arial"/>
        </w:rPr>
      </w:pPr>
    </w:p>
    <w:p w:rsidR="0086354C" w:rsidRPr="00263199" w:rsidRDefault="0086354C" w:rsidP="0086354C">
      <w:r w:rsidRPr="00A65942">
        <w:t xml:space="preserve">The </w:t>
      </w:r>
      <w:r>
        <w:t>a</w:t>
      </w:r>
      <w:r w:rsidRPr="00A65942">
        <w:t>etiology of hypertension is complex. In most patients hypertension</w:t>
      </w:r>
      <w:r>
        <w:t xml:space="preserve"> </w:t>
      </w:r>
      <w:r w:rsidR="00E73F30">
        <w:t>results from a</w:t>
      </w:r>
      <w:r w:rsidRPr="00A65942">
        <w:t xml:space="preserve"> combination of genetic</w:t>
      </w:r>
      <w:r>
        <w:t xml:space="preserve"> factors such as</w:t>
      </w:r>
      <w:r w:rsidRPr="00A65942">
        <w:t xml:space="preserve"> differe</w:t>
      </w:r>
      <w:r>
        <w:t>nces in adrenergic tone (Kamran-</w:t>
      </w:r>
      <w:r w:rsidRPr="00A65942">
        <w:t>Riaz et al</w:t>
      </w:r>
      <w:r>
        <w:t xml:space="preserve"> 2011) and lifestyle factors such as</w:t>
      </w:r>
      <w:r w:rsidRPr="00A65942">
        <w:t xml:space="preserve"> excess salt intake, smoking, moderate to high alcohol intake, body mass index &gt;25kg/m</w:t>
      </w:r>
      <w:r w:rsidRPr="00A65942">
        <w:rPr>
          <w:vertAlign w:val="superscript"/>
        </w:rPr>
        <w:t>2</w:t>
      </w:r>
      <w:r w:rsidRPr="00A65942">
        <w:t xml:space="preserve"> and physical inactivity (National </w:t>
      </w:r>
      <w:r w:rsidRPr="00A65942">
        <w:lastRenderedPageBreak/>
        <w:t>Hea</w:t>
      </w:r>
      <w:r>
        <w:t>rt Foundation 2010). H</w:t>
      </w:r>
      <w:r w:rsidRPr="00A65942">
        <w:t>ypertension can also be secondary</w:t>
      </w:r>
      <w:r>
        <w:t xml:space="preserve"> to other disease processes.</w:t>
      </w:r>
    </w:p>
    <w:p w:rsidR="0086354C" w:rsidRPr="00D463D3" w:rsidRDefault="0086354C" w:rsidP="0086354C">
      <w:pPr>
        <w:pStyle w:val="Heading3"/>
      </w:pPr>
      <w:bookmarkStart w:id="13" w:name="_Toc369595413"/>
      <w:r w:rsidRPr="00D463D3">
        <w:t>Clinical consequences of hypertension</w:t>
      </w:r>
      <w:bookmarkEnd w:id="13"/>
      <w:r w:rsidRPr="00D463D3">
        <w:t xml:space="preserve"> </w:t>
      </w:r>
    </w:p>
    <w:p w:rsidR="0086354C" w:rsidRPr="00263199" w:rsidRDefault="0086354C" w:rsidP="0086354C">
      <w:r w:rsidRPr="00263199">
        <w:t>Hypertension is a significant factor influencing the progression of cardiovascular diseases. It is a well-established risk factor for coronary heart disease, stroke, heart fai</w:t>
      </w:r>
      <w:r>
        <w:t>lure and chronic kidney disease</w:t>
      </w:r>
      <w:r w:rsidRPr="00263199">
        <w:t xml:space="preserve"> (National Heart Foundation 2010) with the risk of cardiovascular mortality rising linearly with increases above age-related targets in blood pressure - doubling for every 20</w:t>
      </w:r>
      <w:r w:rsidR="0027300E">
        <w:t xml:space="preserve"> </w:t>
      </w:r>
      <w:r w:rsidRPr="00263199">
        <w:t>mm Hg (systolic) and 10</w:t>
      </w:r>
      <w:r w:rsidR="0027300E">
        <w:t xml:space="preserve"> </w:t>
      </w:r>
      <w:r w:rsidRPr="00263199">
        <w:t>mm Hg (diastolic) increase a</w:t>
      </w:r>
      <w:r>
        <w:t>bove 115/75 mm (Lewington et al</w:t>
      </w:r>
      <w:r w:rsidRPr="00263199">
        <w:t xml:space="preserve"> 2002). Additionally, hypertension can result in structural changes to the heart such as left ventricular hypertrophy (LVH) and cardiac fibrosis (Levy et a</w:t>
      </w:r>
      <w:r>
        <w:t>l</w:t>
      </w:r>
      <w:r w:rsidRPr="00263199">
        <w:t xml:space="preserve"> 1996). These alterations lead to poor cardiac function - LVH is well-established as prognostic for poor cardiovascular outcomes (Devereux et al 2004; Pierdomenico et al 2010)</w:t>
      </w:r>
      <w:r w:rsidR="00263605">
        <w:t>.</w:t>
      </w:r>
    </w:p>
    <w:p w:rsidR="0086354C" w:rsidRPr="00263199" w:rsidRDefault="0086354C" w:rsidP="0086354C">
      <w:r w:rsidRPr="00263199">
        <w:t>Data from the Australian Institute of Health and Welfare</w:t>
      </w:r>
      <w:r>
        <w:t xml:space="preserve"> (AIHW)</w:t>
      </w:r>
      <w:r w:rsidRPr="00263199">
        <w:t xml:space="preserve"> indicate that high-blood pressure is a significant public health issue for Australians. For example:</w:t>
      </w:r>
    </w:p>
    <w:p w:rsidR="006900BA" w:rsidRDefault="006900BA" w:rsidP="0086354C">
      <w:pPr>
        <w:pStyle w:val="ListParagraph"/>
        <w:numPr>
          <w:ilvl w:val="0"/>
          <w:numId w:val="16"/>
        </w:numPr>
      </w:pPr>
      <w:r>
        <w:t>In 1999-2000, 32 per cent of men and 27 per cent of women aged 25 years and over had high blood pressure (AIHW 2004).</w:t>
      </w:r>
    </w:p>
    <w:p w:rsidR="0086354C" w:rsidRPr="00A12DA3" w:rsidRDefault="0086354C" w:rsidP="0086354C">
      <w:pPr>
        <w:pStyle w:val="ListParagraph"/>
        <w:numPr>
          <w:ilvl w:val="0"/>
          <w:numId w:val="16"/>
        </w:numPr>
      </w:pPr>
      <w:r w:rsidRPr="00A12DA3">
        <w:t xml:space="preserve">When compared to other risk factors, hypertension contributes to more years of lost </w:t>
      </w:r>
      <w:r w:rsidR="00603765">
        <w:t>‘</w:t>
      </w:r>
      <w:r w:rsidRPr="00A12DA3">
        <w:t>healthy life</w:t>
      </w:r>
      <w:r w:rsidR="00603765">
        <w:t>’</w:t>
      </w:r>
      <w:r w:rsidRPr="00A12DA3">
        <w:t xml:space="preserve"> due to disability and disease from cardiovascular disease (Begg et al 2007).</w:t>
      </w:r>
    </w:p>
    <w:p w:rsidR="0086354C" w:rsidRPr="00A12DA3" w:rsidRDefault="0086354C" w:rsidP="0086354C">
      <w:pPr>
        <w:pStyle w:val="ListParagraph"/>
        <w:numPr>
          <w:ilvl w:val="0"/>
          <w:numId w:val="16"/>
        </w:numPr>
      </w:pPr>
      <w:r w:rsidRPr="00A12DA3">
        <w:t xml:space="preserve">In 2003, high blood pressure was responsible for almost 8% of the burden of disease in </w:t>
      </w:r>
      <w:smartTag w:uri="urn:schemas-microsoft-com:office:smarttags" w:element="place">
        <w:smartTag w:uri="urn:schemas-microsoft-com:office:smarttags" w:element="country-region">
          <w:r w:rsidRPr="00A12DA3">
            <w:t>Australia</w:t>
          </w:r>
        </w:smartTag>
      </w:smartTag>
      <w:r w:rsidRPr="00A12DA3">
        <w:t xml:space="preserve"> (Begg et al 2007). </w:t>
      </w:r>
    </w:p>
    <w:p w:rsidR="0086354C" w:rsidRDefault="0086354C" w:rsidP="0086354C">
      <w:pPr>
        <w:pStyle w:val="ListParagraph"/>
        <w:numPr>
          <w:ilvl w:val="0"/>
          <w:numId w:val="16"/>
        </w:numPr>
      </w:pPr>
      <w:r>
        <w:t xml:space="preserve">In </w:t>
      </w:r>
      <w:r w:rsidRPr="00C6708E">
        <w:t xml:space="preserve">2007, </w:t>
      </w:r>
      <w:r>
        <w:t>cardiovascular disease</w:t>
      </w:r>
      <w:r w:rsidRPr="00C6708E">
        <w:t xml:space="preserve"> was recorded as the primary cause of death for 46,623 Australians (AIHW, 2010). Half of these deaths (22,727) wer</w:t>
      </w:r>
      <w:r>
        <w:t>e due to coronary heart disease</w:t>
      </w:r>
      <w:r w:rsidRPr="00C6708E">
        <w:t xml:space="preserve"> and 8,623 to stroke (AIHW, 2010)</w:t>
      </w:r>
      <w:r>
        <w:t xml:space="preserve"> </w:t>
      </w:r>
      <w:r w:rsidRPr="00C6708E">
        <w:t xml:space="preserve">– both linked to </w:t>
      </w:r>
      <w:r>
        <w:t>hypertension</w:t>
      </w:r>
      <w:r w:rsidRPr="00C6708E">
        <w:t xml:space="preserve"> as a major causative risk factor.</w:t>
      </w:r>
    </w:p>
    <w:p w:rsidR="0086354C" w:rsidRPr="00A12DA3" w:rsidRDefault="0086354C" w:rsidP="0086354C">
      <w:pPr>
        <w:pStyle w:val="ListParagraph"/>
        <w:numPr>
          <w:ilvl w:val="0"/>
          <w:numId w:val="16"/>
        </w:numPr>
      </w:pPr>
      <w:r w:rsidRPr="00A12DA3">
        <w:t>In terms of contributing causes of death, hypertensive diseases were ranked 6</w:t>
      </w:r>
      <w:r w:rsidRPr="0085103B">
        <w:rPr>
          <w:vertAlign w:val="superscript"/>
        </w:rPr>
        <w:t>th</w:t>
      </w:r>
      <w:r w:rsidRPr="00A12DA3">
        <w:t xml:space="preserve"> and 5</w:t>
      </w:r>
      <w:r w:rsidRPr="0085103B">
        <w:rPr>
          <w:vertAlign w:val="superscript"/>
        </w:rPr>
        <w:t>th</w:t>
      </w:r>
      <w:r w:rsidRPr="00A12DA3">
        <w:t xml:space="preserve"> for men and women, respectively (AIHW 2011).</w:t>
      </w:r>
    </w:p>
    <w:p w:rsidR="0086354C" w:rsidRPr="00A12DA3" w:rsidRDefault="0086354C" w:rsidP="0086354C">
      <w:pPr>
        <w:pStyle w:val="ListParagraph"/>
        <w:numPr>
          <w:ilvl w:val="0"/>
          <w:numId w:val="16"/>
        </w:numPr>
      </w:pPr>
      <w:r w:rsidRPr="00A12DA3">
        <w:t>Coronary heart disease and stroke are linked to hypertension as a major causative risk factor</w:t>
      </w:r>
      <w:r>
        <w:t>. In 2004/05 these were the most costly cardiovascular diseases accounting for $2.36 billion per year</w:t>
      </w:r>
      <w:r w:rsidRPr="00A12DA3">
        <w:t xml:space="preserve"> (AIHW 2010).</w:t>
      </w:r>
    </w:p>
    <w:p w:rsidR="0086354C" w:rsidRPr="00D463D3" w:rsidRDefault="0086354C" w:rsidP="0086354C">
      <w:pPr>
        <w:pStyle w:val="Heading3"/>
      </w:pPr>
      <w:bookmarkStart w:id="14" w:name="_Toc369595414"/>
      <w:r>
        <w:lastRenderedPageBreak/>
        <w:t>Current t</w:t>
      </w:r>
      <w:r w:rsidRPr="00D463D3">
        <w:t>reatment</w:t>
      </w:r>
      <w:r>
        <w:t>s</w:t>
      </w:r>
      <w:r w:rsidRPr="00D463D3">
        <w:t xml:space="preserve"> for </w:t>
      </w:r>
      <w:r>
        <w:t>h</w:t>
      </w:r>
      <w:r w:rsidRPr="00D463D3">
        <w:t>ypertension</w:t>
      </w:r>
      <w:bookmarkEnd w:id="14"/>
    </w:p>
    <w:p w:rsidR="0086354C" w:rsidRPr="00C83B31" w:rsidRDefault="0086354C" w:rsidP="0086354C">
      <w:r>
        <w:t xml:space="preserve">In </w:t>
      </w:r>
      <w:smartTag w:uri="urn:schemas-microsoft-com:office:smarttags" w:element="place">
        <w:smartTag w:uri="urn:schemas-microsoft-com:office:smarttags" w:element="country-region">
          <w:r>
            <w:t>Australia</w:t>
          </w:r>
        </w:smartTag>
      </w:smartTag>
      <w:r>
        <w:t xml:space="preserve">, the treatment for hypertension is advised by the Heart Foundation guidelines (National </w:t>
      </w:r>
      <w:r w:rsidRPr="00A12DA3">
        <w:t>Heart Foundation 2010</w:t>
      </w:r>
      <w:r>
        <w:t xml:space="preserve">, summarised in </w:t>
      </w:r>
      <w:r>
        <w:fldChar w:fldCharType="begin"/>
      </w:r>
      <w:r>
        <w:instrText xml:space="preserve"> REF _Ref350412642 \h  \* MERGEFORMAT </w:instrText>
      </w:r>
      <w:r>
        <w:fldChar w:fldCharType="separate"/>
      </w:r>
      <w:r w:rsidR="003115E8">
        <w:t>Figure 1</w:t>
      </w:r>
      <w:r>
        <w:fldChar w:fldCharType="end"/>
      </w:r>
      <w:r>
        <w:t xml:space="preserve">). </w:t>
      </w:r>
      <w:r w:rsidRPr="00C83B31">
        <w:t>The first treatment option is to</w:t>
      </w:r>
      <w:r>
        <w:t xml:space="preserve"> implement lifestyle changes</w:t>
      </w:r>
      <w:r w:rsidRPr="00C83B31">
        <w:t xml:space="preserve"> </w:t>
      </w:r>
      <w:r>
        <w:t>including</w:t>
      </w:r>
      <w:r w:rsidRPr="00C83B31">
        <w:t xml:space="preserve"> limiting alcohol and salt intake and promoting exercise and weight loss. Patients who do not respond to these changes, or who have grade 3 hypertension, isolated systolic hypertension, or have a high cardiovascular risk profile will commence drug therapy. The Heart Foundation guidelines recommend starting monotherapy with the lowest tolerated dose of the selected first line agent. If the initial agent is not tolerated, </w:t>
      </w:r>
      <w:r w:rsidR="00603765">
        <w:t xml:space="preserve">the patient is </w:t>
      </w:r>
      <w:r w:rsidRPr="00C83B31">
        <w:t>switch</w:t>
      </w:r>
      <w:r w:rsidR="00603765">
        <w:t>ed</w:t>
      </w:r>
      <w:r w:rsidRPr="00C83B31">
        <w:t xml:space="preserve"> to another drug class starting </w:t>
      </w:r>
      <w:r>
        <w:t>at the lowest recommended dose. Target blood pressure is usually 140/90 for uncomplicated hypertensive patients (JNC7 2003) and 130/80 for diabetic patients (American Diabetes Association 2004).</w:t>
      </w:r>
      <w:r w:rsidRPr="00C83B31">
        <w:t xml:space="preserve"> If target blood pressure levels are not reached, combination therapy</w:t>
      </w:r>
      <w:r>
        <w:t xml:space="preserve"> is initiated</w:t>
      </w:r>
      <w:r w:rsidRPr="00C83B31">
        <w:t xml:space="preserve"> using a second agent from a different drug class at a low dose. This approach minimises adverse events while maximising treatment efficacy. If blood pressure</w:t>
      </w:r>
      <w:r>
        <w:t xml:space="preserve"> still remains above the target,</w:t>
      </w:r>
      <w:r w:rsidRPr="00C83B31">
        <w:t xml:space="preserve"> the dosage of one agent</w:t>
      </w:r>
      <w:r>
        <w:t xml:space="preserve"> is increased in a</w:t>
      </w:r>
      <w:r w:rsidRPr="00C83B31">
        <w:t xml:space="preserve"> stepwise</w:t>
      </w:r>
      <w:r>
        <w:t xml:space="preserve"> manner</w:t>
      </w:r>
      <w:r w:rsidRPr="00C83B31">
        <w:t xml:space="preserve">, before increasing the dose of the other agent. If combination therapy with two drugs is not effective in reducing blood pressure levels then a combination of three or more antihypertensive drugs from different classes may be required. </w:t>
      </w:r>
    </w:p>
    <w:p w:rsidR="0086354C" w:rsidRDefault="0086354C" w:rsidP="0086354C">
      <w:r>
        <w:t>W</w:t>
      </w:r>
      <w:r w:rsidRPr="00C83B31">
        <w:t>here blood pressu</w:t>
      </w:r>
      <w:r>
        <w:t>re remains above target levels</w:t>
      </w:r>
      <w:r w:rsidRPr="00C83B31">
        <w:t xml:space="preserve"> despite maximal doses of at least two appropriate agents </w:t>
      </w:r>
      <w:r>
        <w:t>after a reasonable time period,</w:t>
      </w:r>
      <w:r w:rsidRPr="00C83B31">
        <w:t xml:space="preserve"> detailed investigation may be required to determine possible cau</w:t>
      </w:r>
      <w:r>
        <w:t>ses of suboptimal control of blood pressure. Possible causes include:</w:t>
      </w:r>
    </w:p>
    <w:p w:rsidR="0086354C" w:rsidRPr="00A12DA3" w:rsidRDefault="0086354C" w:rsidP="0086354C">
      <w:pPr>
        <w:pStyle w:val="ListParagraph"/>
        <w:numPr>
          <w:ilvl w:val="0"/>
          <w:numId w:val="17"/>
        </w:numPr>
      </w:pPr>
      <w:r w:rsidRPr="00A12DA3">
        <w:t>Pseudoresistance: non-adh</w:t>
      </w:r>
      <w:r>
        <w:t xml:space="preserve">erence to therapy; </w:t>
      </w:r>
      <w:r w:rsidRPr="00A12DA3">
        <w:t>hypertension</w:t>
      </w:r>
      <w:r>
        <w:t xml:space="preserve"> only in a clinical setting</w:t>
      </w:r>
      <w:r w:rsidR="00E97479">
        <w:t xml:space="preserve"> (“white coat hypertension”)</w:t>
      </w:r>
    </w:p>
    <w:p w:rsidR="0086354C" w:rsidRPr="00A12DA3" w:rsidRDefault="0086354C" w:rsidP="0086354C">
      <w:pPr>
        <w:pStyle w:val="ListParagraph"/>
        <w:numPr>
          <w:ilvl w:val="0"/>
          <w:numId w:val="17"/>
        </w:numPr>
      </w:pPr>
      <w:r w:rsidRPr="00A12DA3">
        <w:t>Sub-optimal drug therapy</w:t>
      </w:r>
    </w:p>
    <w:p w:rsidR="0086354C" w:rsidRDefault="0086354C" w:rsidP="0086354C">
      <w:pPr>
        <w:pStyle w:val="ListParagraph"/>
        <w:numPr>
          <w:ilvl w:val="0"/>
          <w:numId w:val="17"/>
        </w:numPr>
      </w:pPr>
      <w:r w:rsidRPr="00A12DA3">
        <w:t>Secondary hypertension resulting from an undiagnosed underlying condition</w:t>
      </w:r>
    </w:p>
    <w:p w:rsidR="0086354C" w:rsidRPr="00A12DA3" w:rsidRDefault="0086354C" w:rsidP="00263605">
      <w:pPr>
        <w:pStyle w:val="ListParagraph"/>
        <w:numPr>
          <w:ilvl w:val="0"/>
          <w:numId w:val="17"/>
        </w:numPr>
      </w:pPr>
      <w:r w:rsidRPr="00A12DA3">
        <w:t xml:space="preserve">Use of medication that can increase blood pressure; poor lifestyle; </w:t>
      </w:r>
      <w:r>
        <w:t xml:space="preserve">continued high alcohol intake; </w:t>
      </w:r>
      <w:r w:rsidRPr="00A12DA3">
        <w:t>unrecognized high salt intake</w:t>
      </w:r>
      <w:r w:rsidR="00263605">
        <w:t>; s</w:t>
      </w:r>
      <w:r w:rsidRPr="00A12DA3">
        <w:t>leep apnoea</w:t>
      </w:r>
    </w:p>
    <w:p w:rsidR="0086354C" w:rsidRDefault="0086354C" w:rsidP="0086354C">
      <w:pPr>
        <w:spacing w:after="0"/>
      </w:pPr>
      <w:r w:rsidRPr="00C83B31">
        <w:t>Where blood pressure remains elevated, with target blood pressure not reached at 3 months after initiating drug therapy – despite adjusting treatment – the Heart Foundation guidelines recommend that specialist care should be consi</w:t>
      </w:r>
      <w:r>
        <w:t xml:space="preserve">dered </w:t>
      </w:r>
    </w:p>
    <w:p w:rsidR="0086354C" w:rsidRDefault="0086354C" w:rsidP="0086354C">
      <w:pPr>
        <w:jc w:val="left"/>
        <w:sectPr w:rsidR="0086354C" w:rsidSect="002C6039">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r>
        <w:t>(National Heart Foundation 2010).</w:t>
      </w:r>
    </w:p>
    <w:p w:rsidR="0086354C" w:rsidRDefault="0086354C" w:rsidP="0086354C">
      <w:pPr>
        <w:pStyle w:val="Caption"/>
        <w:rPr>
          <w:rFonts w:cs="Tahoma"/>
          <w:noProof/>
          <w:lang w:eastAsia="en-AU"/>
        </w:rPr>
      </w:pPr>
      <w:bookmarkStart w:id="15" w:name="_Ref350412642"/>
      <w:bookmarkStart w:id="16" w:name="_Ref350412637"/>
      <w:r>
        <w:lastRenderedPageBreak/>
        <w:t xml:space="preserve">Figure </w:t>
      </w:r>
      <w:r>
        <w:fldChar w:fldCharType="begin"/>
      </w:r>
      <w:r>
        <w:instrText xml:space="preserve"> SEQ Figure \* ARABIC </w:instrText>
      </w:r>
      <w:r>
        <w:fldChar w:fldCharType="separate"/>
      </w:r>
      <w:r w:rsidR="003115E8">
        <w:rPr>
          <w:noProof/>
        </w:rPr>
        <w:t>1</w:t>
      </w:r>
      <w:r>
        <w:rPr>
          <w:noProof/>
        </w:rPr>
        <w:fldChar w:fldCharType="end"/>
      </w:r>
      <w:bookmarkEnd w:id="15"/>
      <w:r>
        <w:t>: Flowchart summarising the Heart Foundation Guidelines for managing hypertension (Heart Foundation 2010)</w:t>
      </w:r>
      <w:bookmarkEnd w:id="16"/>
    </w:p>
    <w:p w:rsidR="0086354C" w:rsidRDefault="0086354C" w:rsidP="0086354C">
      <w:pPr>
        <w:spacing w:after="0" w:line="240" w:lineRule="auto"/>
        <w:jc w:val="left"/>
        <w:sectPr w:rsidR="0086354C" w:rsidSect="002C6039">
          <w:pgSz w:w="16838" w:h="11906" w:orient="landscape"/>
          <w:pgMar w:top="1440" w:right="1440" w:bottom="1440" w:left="1440" w:header="708" w:footer="708" w:gutter="0"/>
          <w:cols w:space="708"/>
          <w:titlePg/>
          <w:docGrid w:linePitch="360"/>
        </w:sectPr>
      </w:pPr>
      <w:r>
        <w:rPr>
          <w:noProof/>
          <w:lang w:eastAsia="en-AU"/>
        </w:rPr>
        <w:drawing>
          <wp:inline distT="0" distB="0" distL="0" distR="0" wp14:anchorId="3752BEAA" wp14:editId="7C695D7D">
            <wp:extent cx="7915275" cy="5067300"/>
            <wp:effectExtent l="0" t="0" r="9525" b="0"/>
            <wp:docPr id="1" name="Picture 18" descr="outlines the current clinical management pathway develped by the national heart foundation. The first step in management of hypertnesion is to implement lifestyle changes. If the patient is successful in reducing blood pressure, the patient should be continually monitered for maintanence of target blood pressure. If blood pressure is not achieved, the next step is to initiate anti-hypertensive monotherapy. If the patient is successful in reducing blood pressure, the patient should be continually monitered for maintanence of target blood pressure. If blood pressure is not achieved, the next step is to use combination of drug therapy. Increase the combination of drugs, before increase the dose. Use up to four anti-hypertensive drugs in combition including a diuretic and spironolactone.If the patient is successful in reducing blood pressure, the patient should be continually monitered for maintanence of target blood pressure. If blood pressure is not achieved, the next step is to begin a detailed investigation to exlude pseudoresistance; ensuring drug therapy is optimised; exclude secondary causes of hypertension; check for contributing factors. If the patient is successful in reducing blood pressure, the patient should be continually monitered for maintanence of target blood pressure. If blood pressure is not achieved, the next step is to continue with optimal medical management." title="Figure 1: Flowchart summarising the Heart Foundation Guidelines for managing hypertension (Heart Foundatio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utlines the current clinical management pathway develped by the national heart foundation. The first step in management of hypertnesion is to implement lifestyle changes. If the patient is successful in reducing blood pressure, the patient should be continually monitered for maintanence of target blood pressure. If blood pressure is not achieved, the next step is to initiate anti-hypertensive monotherapy. If the patient is successful in reducing blood pressure, the patient should be continually monitered for maintanence of target blood pressure. If blood pressure is not achieved, the next step is to use combination of drug therapy. Increase the combination of drugs, before increase the dose. Use up to four anti-hypertensive drugs in combition including a diuretic and spironolactone.If the patient is successful in reducing blood pressure, the patient should be continually monitered for maintanence of target blood pressure. If blood pressure is not achieved, the next step is to begin a detailed investigation to exlude pseudoresistance; ensuring drug therapy is optimised; exclude secondary causes of hypertension; check for contributing factors. If the patient is successful in reducing blood pressure, the patient should be continually monitered for maintanence of target blood pressure. If blood pressure is not achieved, the next step is to continue with optimal medical manag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15275" cy="5067300"/>
                    </a:xfrm>
                    <a:prstGeom prst="rect">
                      <a:avLst/>
                    </a:prstGeom>
                    <a:noFill/>
                    <a:ln>
                      <a:noFill/>
                    </a:ln>
                  </pic:spPr>
                </pic:pic>
              </a:graphicData>
            </a:graphic>
          </wp:inline>
        </w:drawing>
      </w:r>
    </w:p>
    <w:p w:rsidR="0086354C" w:rsidRPr="00A12DA3" w:rsidRDefault="0086354C" w:rsidP="0086354C">
      <w:pPr>
        <w:pStyle w:val="Heading3"/>
      </w:pPr>
      <w:bookmarkStart w:id="17" w:name="_Toc369595415"/>
      <w:r w:rsidRPr="00A12DA3">
        <w:lastRenderedPageBreak/>
        <w:t>Treatment-resistant hypertension</w:t>
      </w:r>
      <w:bookmarkEnd w:id="17"/>
    </w:p>
    <w:p w:rsidR="0086354C" w:rsidRDefault="0086354C" w:rsidP="0086354C">
      <w:pPr>
        <w:rPr>
          <w:lang w:val="en-GB"/>
        </w:rPr>
      </w:pPr>
      <w:r w:rsidRPr="00C83B31">
        <w:t>Despite adherence to multiple anti-hypertensive medications, a small subset of hypertensi</w:t>
      </w:r>
      <w:r>
        <w:t>ve</w:t>
      </w:r>
      <w:r w:rsidRPr="00C83B31">
        <w:t xml:space="preserve"> patients will continue to experience blood pressure above target levels. This condition is termed treatment-resistant hypertension, and typically describes uncontrolled, elevated blood pre</w:t>
      </w:r>
      <w:r>
        <w:t xml:space="preserve">ssure, despite treatment with </w:t>
      </w:r>
      <w:r w:rsidR="001C0B51">
        <w:t xml:space="preserve">optimal doses of </w:t>
      </w:r>
      <w:r>
        <w:t>three or more</w:t>
      </w:r>
      <w:r w:rsidRPr="00C83B31">
        <w:t xml:space="preserve"> anti-hypertensive medications (including a diuretic) (Calhoun et al 2008). Treatment-resistant hypertension </w:t>
      </w:r>
      <w:r>
        <w:t>may</w:t>
      </w:r>
      <w:r w:rsidRPr="00C83B31">
        <w:t xml:space="preserve"> also</w:t>
      </w:r>
      <w:r>
        <w:t xml:space="preserve"> be</w:t>
      </w:r>
      <w:r w:rsidRPr="00C83B31">
        <w:t xml:space="preserve"> used to describe patients whose blood pressure</w:t>
      </w:r>
      <w:r>
        <w:t xml:space="preserve"> is controlled but require four or more</w:t>
      </w:r>
      <w:r w:rsidRPr="00C83B31">
        <w:t xml:space="preserve"> antihypertensive medications (Calhoun et al 2008).</w:t>
      </w:r>
      <w:r w:rsidRPr="00C83B31">
        <w:rPr>
          <w:lang w:val="en-GB"/>
        </w:rPr>
        <w:t xml:space="preserve"> </w:t>
      </w:r>
      <w:r>
        <w:rPr>
          <w:lang w:val="en-GB"/>
        </w:rPr>
        <w:t>There are</w:t>
      </w:r>
      <w:r w:rsidRPr="00C83B31">
        <w:rPr>
          <w:lang w:val="en-GB"/>
        </w:rPr>
        <w:t xml:space="preserve"> several potential causes of treatment-resistant hypertension</w:t>
      </w:r>
      <w:r>
        <w:rPr>
          <w:lang w:val="en-GB"/>
        </w:rPr>
        <w:t xml:space="preserve"> </w:t>
      </w:r>
      <w:r w:rsidRPr="00C83B31">
        <w:rPr>
          <w:lang w:val="en-GB"/>
        </w:rPr>
        <w:t>(Calhoun et al 2008). For example</w:t>
      </w:r>
      <w:r>
        <w:rPr>
          <w:lang w:val="en-GB"/>
        </w:rPr>
        <w:t>:</w:t>
      </w:r>
    </w:p>
    <w:p w:rsidR="0086354C" w:rsidRPr="0085103B" w:rsidRDefault="0086354C" w:rsidP="0086354C">
      <w:pPr>
        <w:pStyle w:val="ListParagraph"/>
        <w:numPr>
          <w:ilvl w:val="0"/>
          <w:numId w:val="18"/>
        </w:numPr>
        <w:rPr>
          <w:lang w:val="en-GB"/>
        </w:rPr>
      </w:pPr>
      <w:r w:rsidRPr="0085103B">
        <w:rPr>
          <w:lang w:val="en-GB"/>
        </w:rPr>
        <w:t>heavy alcohol intake, continued intake of drugs that raise blood pressure (e.g. liquorice, cocaine, glucocorticoids, non-steroid</w:t>
      </w:r>
      <w:r>
        <w:rPr>
          <w:lang w:val="en-GB"/>
        </w:rPr>
        <w:t>al</w:t>
      </w:r>
      <w:r w:rsidRPr="0085103B">
        <w:rPr>
          <w:lang w:val="en-GB"/>
        </w:rPr>
        <w:t xml:space="preserve"> anti-inflammatory drugs</w:t>
      </w:r>
      <w:r w:rsidR="00603765">
        <w:rPr>
          <w:lang w:val="en-GB"/>
        </w:rPr>
        <w:t>)</w:t>
      </w:r>
    </w:p>
    <w:p w:rsidR="0086354C" w:rsidRPr="0085103B" w:rsidRDefault="00E97479" w:rsidP="0086354C">
      <w:pPr>
        <w:pStyle w:val="ListParagraph"/>
        <w:numPr>
          <w:ilvl w:val="0"/>
          <w:numId w:val="18"/>
        </w:numPr>
        <w:rPr>
          <w:lang w:val="en-GB"/>
        </w:rPr>
      </w:pPr>
      <w:r>
        <w:rPr>
          <w:lang w:val="en-GB"/>
        </w:rPr>
        <w:t xml:space="preserve">untreated </w:t>
      </w:r>
      <w:r w:rsidR="0086354C" w:rsidRPr="0085103B">
        <w:rPr>
          <w:lang w:val="en-GB"/>
        </w:rPr>
        <w:t>obstructive sleep apnoea</w:t>
      </w:r>
    </w:p>
    <w:p w:rsidR="0086354C" w:rsidRPr="0085103B" w:rsidRDefault="0086354C" w:rsidP="0086354C">
      <w:pPr>
        <w:pStyle w:val="ListParagraph"/>
        <w:numPr>
          <w:ilvl w:val="0"/>
          <w:numId w:val="18"/>
        </w:numPr>
        <w:rPr>
          <w:lang w:val="en-GB"/>
        </w:rPr>
      </w:pPr>
      <w:r w:rsidRPr="0085103B">
        <w:rPr>
          <w:lang w:val="en-GB"/>
        </w:rPr>
        <w:t xml:space="preserve">irreversible or scarcely reversible </w:t>
      </w:r>
      <w:r w:rsidR="00E97479">
        <w:rPr>
          <w:lang w:val="en-GB"/>
        </w:rPr>
        <w:t>renal</w:t>
      </w:r>
      <w:r w:rsidR="00E97479" w:rsidRPr="0085103B">
        <w:rPr>
          <w:lang w:val="en-GB"/>
        </w:rPr>
        <w:t xml:space="preserve"> </w:t>
      </w:r>
      <w:r w:rsidRPr="0085103B">
        <w:rPr>
          <w:lang w:val="en-GB"/>
        </w:rPr>
        <w:t>damage</w:t>
      </w:r>
    </w:p>
    <w:p w:rsidR="0086354C" w:rsidRPr="0085103B" w:rsidRDefault="0086354C" w:rsidP="0086354C">
      <w:pPr>
        <w:pStyle w:val="ListParagraph"/>
        <w:numPr>
          <w:ilvl w:val="0"/>
          <w:numId w:val="18"/>
        </w:numPr>
        <w:rPr>
          <w:lang w:val="en-GB"/>
        </w:rPr>
      </w:pPr>
      <w:r w:rsidRPr="0085103B">
        <w:rPr>
          <w:lang w:val="en-GB"/>
        </w:rPr>
        <w:t>volume overload due to inadequate diuretic therapy, progressive renal insufficiency, high sodium intake or hyperaldosteronism</w:t>
      </w:r>
    </w:p>
    <w:p w:rsidR="0086354C" w:rsidRDefault="0086354C" w:rsidP="0086354C">
      <w:pPr>
        <w:rPr>
          <w:lang w:val="en-GB"/>
        </w:rPr>
      </w:pPr>
      <w:r w:rsidRPr="00A12DA3">
        <w:rPr>
          <w:lang w:val="en-GB"/>
        </w:rPr>
        <w:t>The kidneys contribute to the long-term regulation of arterial blood pressure through maintaining sodium and water volume, renin modulation and renal-sympathetic neuronal interaction (DiBona 2002). Renal dysfunction is beginning to be appreciated as a pre-requisite for the development of hypertension. Of particular importance, an emerging pathological contributor to hypertension is thought to result from increased sympathetic nerve activity which lies within and immediately adjacent to the walls of the renal arteries (Katholi et al 2010). Increased renal reabsorption of sodium and water within the nephron, vasoconstriction</w:t>
      </w:r>
      <w:r>
        <w:rPr>
          <w:lang w:val="en-GB"/>
        </w:rPr>
        <w:t>,</w:t>
      </w:r>
      <w:r w:rsidRPr="00A12DA3">
        <w:rPr>
          <w:lang w:val="en-GB"/>
        </w:rPr>
        <w:t xml:space="preserve"> renin and norepinephrine release and vascular resistance accompanied by a decrease of glomerular filtration rate and renal blood flow which stem from increased sympathetic activity all act to increase blood pressure (DiBona 2002). If left uncontrolled, these interactions are not only detrimental to the kidneys, but also</w:t>
      </w:r>
      <w:r>
        <w:rPr>
          <w:lang w:val="en-GB"/>
        </w:rPr>
        <w:t xml:space="preserve"> the</w:t>
      </w:r>
      <w:r w:rsidRPr="00A12DA3">
        <w:rPr>
          <w:lang w:val="en-GB"/>
        </w:rPr>
        <w:t xml:space="preserve"> positive feedback interactions may lead to the development of greater hypertension and additional injury (Navar </w:t>
      </w:r>
      <w:r>
        <w:rPr>
          <w:lang w:val="en-GB"/>
        </w:rPr>
        <w:t>&amp;</w:t>
      </w:r>
      <w:r w:rsidRPr="00A12DA3">
        <w:rPr>
          <w:lang w:val="en-GB"/>
        </w:rPr>
        <w:t xml:space="preserve"> Hamm 1999).</w:t>
      </w:r>
    </w:p>
    <w:p w:rsidR="009426B4" w:rsidRPr="00A12DA3" w:rsidRDefault="009426B4" w:rsidP="0086354C">
      <w:pPr>
        <w:rPr>
          <w:lang w:val="en-GB"/>
        </w:rPr>
      </w:pPr>
      <w:r>
        <w:rPr>
          <w:lang w:val="en-GB"/>
        </w:rPr>
        <w:t xml:space="preserve">Cohort data from the United States of America suggests that approximately 16.2 per cent of hypertension patients meet the definition of treatment resistant hypertension </w:t>
      </w:r>
      <w:r>
        <w:rPr>
          <w:lang w:val="en-GB"/>
        </w:rPr>
        <w:lastRenderedPageBreak/>
        <w:t>(blood pressure remains uncontrolled despite being on more than three medications) (Egan et al 2009). No Australia-specific data were identified.</w:t>
      </w:r>
    </w:p>
    <w:p w:rsidR="0086354C" w:rsidRPr="00A12DA3" w:rsidRDefault="0086354C" w:rsidP="0086354C">
      <w:pPr>
        <w:pStyle w:val="Heading3"/>
      </w:pPr>
      <w:bookmarkStart w:id="18" w:name="_Toc369595416"/>
      <w:r w:rsidRPr="00A12DA3">
        <w:t>Clinical consequences of treatment-resistance hypertension</w:t>
      </w:r>
      <w:bookmarkEnd w:id="18"/>
    </w:p>
    <w:p w:rsidR="0086354C" w:rsidRDefault="0086354C" w:rsidP="0086354C">
      <w:r w:rsidRPr="00C83B31">
        <w:t>Treatment-resistant hypertension is considered the most severe</w:t>
      </w:r>
      <w:r>
        <w:t xml:space="preserve"> and</w:t>
      </w:r>
      <w:r w:rsidRPr="00C83B31">
        <w:t xml:space="preserve"> high-risk group amongst all hypertension categories (Doumas et al 2010) as the uncontrolled high blood pressure increases the risk of cardiovascular and kidney morbidity. Daugherty et al (2012) reported a 50</w:t>
      </w:r>
      <w:r w:rsidR="005C74E9">
        <w:t xml:space="preserve"> per cent</w:t>
      </w:r>
      <w:r w:rsidR="005C74E9" w:rsidRPr="00C83B31">
        <w:t xml:space="preserve"> </w:t>
      </w:r>
      <w:r w:rsidRPr="00C83B31">
        <w:t>increase in cardiovascular events in patients with treatment</w:t>
      </w:r>
      <w:r w:rsidR="000D1D7E">
        <w:t>-</w:t>
      </w:r>
      <w:r w:rsidRPr="00C83B31">
        <w:t>resistant hypertension when compared to patients whose blood pr</w:t>
      </w:r>
      <w:r>
        <w:t>essure had been controlled on three</w:t>
      </w:r>
      <w:r w:rsidRPr="00C83B31">
        <w:t xml:space="preserve"> medications. </w:t>
      </w:r>
    </w:p>
    <w:p w:rsidR="0086354C" w:rsidRPr="00C83B31" w:rsidRDefault="0086354C" w:rsidP="0086354C">
      <w:r>
        <w:t>Expert clinical input has confirmed that apart from drug therapy there are no other proven therapies for treatment-resistant hypertensi</w:t>
      </w:r>
      <w:r w:rsidR="0027300E">
        <w:t>on beyond the proposed service.</w:t>
      </w:r>
    </w:p>
    <w:p w:rsidR="0086354C" w:rsidRPr="00C83B31" w:rsidRDefault="0086354C" w:rsidP="0086354C">
      <w:pPr>
        <w:pStyle w:val="Heading2"/>
        <w:rPr>
          <w:color w:val="auto"/>
        </w:rPr>
      </w:pPr>
      <w:bookmarkStart w:id="19" w:name="_Toc369595417"/>
      <w:r w:rsidRPr="00C83B31">
        <w:rPr>
          <w:color w:val="auto"/>
        </w:rPr>
        <w:t>Description and proposed delivery of proposed new intervention</w:t>
      </w:r>
      <w:bookmarkEnd w:id="19"/>
    </w:p>
    <w:p w:rsidR="0086354C" w:rsidRPr="005859C0" w:rsidRDefault="0086354C" w:rsidP="0086354C">
      <w:pPr>
        <w:pStyle w:val="Heading3"/>
      </w:pPr>
      <w:bookmarkStart w:id="20" w:name="_Toc369595418"/>
      <w:r w:rsidRPr="005859C0">
        <w:t>Catheter-based renal denervation in managing treatment-resistant hypertension</w:t>
      </w:r>
      <w:bookmarkEnd w:id="20"/>
      <w:r w:rsidRPr="005859C0">
        <w:t xml:space="preserve"> </w:t>
      </w:r>
    </w:p>
    <w:p w:rsidR="0086354C" w:rsidRDefault="0086354C" w:rsidP="0086354C">
      <w:r w:rsidRPr="00C83B31">
        <w:t>Based on the role of the sympathetic nervous system in hypertension, renal denervation utili</w:t>
      </w:r>
      <w:r>
        <w:t>s</w:t>
      </w:r>
      <w:r w:rsidRPr="00C83B31">
        <w:t xml:space="preserve">es </w:t>
      </w:r>
      <w:r>
        <w:t>ablative technology</w:t>
      </w:r>
      <w:r w:rsidRPr="00C83B31">
        <w:t xml:space="preserve"> to selectively disrupt the renal sympathetic nervous system in a locali</w:t>
      </w:r>
      <w:r>
        <w:t>s</w:t>
      </w:r>
      <w:r w:rsidRPr="00C83B31">
        <w:t>ed and minimally invasive manner at the level of the kidney</w:t>
      </w:r>
      <w:r>
        <w:t xml:space="preserve"> using an endovascular approach</w:t>
      </w:r>
      <w:r w:rsidRPr="00C83B31">
        <w:t xml:space="preserve">. </w:t>
      </w:r>
      <w:r w:rsidR="00067E53">
        <w:t>This technology is developing</w:t>
      </w:r>
      <w:r w:rsidR="00EC136F">
        <w:t xml:space="preserve"> in a rapid manner and includes radiofrequency-based systems and ultrasound-based systems</w:t>
      </w:r>
      <w:r w:rsidR="00067E53">
        <w:t>.</w:t>
      </w:r>
      <w:r w:rsidR="00EC136F">
        <w:t xml:space="preserve"> Due to the fact that this DAP is based on an application regarding a radiofrequency ablation device, the examples in this DAP </w:t>
      </w:r>
      <w:r w:rsidR="00755341">
        <w:t>relate to</w:t>
      </w:r>
      <w:r w:rsidR="00EC136F">
        <w:t xml:space="preserve"> this particular group of devices. However, the proposed MBS descriptor is </w:t>
      </w:r>
      <w:r w:rsidR="00E97479">
        <w:t xml:space="preserve">sufficiently </w:t>
      </w:r>
      <w:r w:rsidR="00EC136F">
        <w:t xml:space="preserve">broad to include consideration of any </w:t>
      </w:r>
      <w:r w:rsidR="00E97479">
        <w:t xml:space="preserve">TGA-approved </w:t>
      </w:r>
      <w:r w:rsidR="00EC136F">
        <w:t>catheter-based renal denervation system.</w:t>
      </w:r>
    </w:p>
    <w:p w:rsidR="0086354C" w:rsidRDefault="0086354C" w:rsidP="0086354C">
      <w:r>
        <w:t>Currently available radiofrequency renal denervation systems share similar components such as:</w:t>
      </w:r>
    </w:p>
    <w:p w:rsidR="0086354C" w:rsidRPr="00253E32" w:rsidRDefault="0086354C" w:rsidP="0086354C">
      <w:pPr>
        <w:pStyle w:val="ListParagraph"/>
        <w:numPr>
          <w:ilvl w:val="0"/>
          <w:numId w:val="19"/>
        </w:numPr>
      </w:pPr>
      <w:r>
        <w:t>An ablation catheter</w:t>
      </w:r>
      <w:r w:rsidRPr="00253E32">
        <w:rPr>
          <w:lang w:val="en-GB" w:eastAsia="ja-JP"/>
        </w:rPr>
        <w:t xml:space="preserve"> </w:t>
      </w:r>
    </w:p>
    <w:p w:rsidR="0086354C" w:rsidRDefault="0086354C" w:rsidP="0086354C">
      <w:pPr>
        <w:pStyle w:val="ListParagraph"/>
        <w:numPr>
          <w:ilvl w:val="0"/>
          <w:numId w:val="19"/>
        </w:numPr>
      </w:pPr>
      <w:r>
        <w:t xml:space="preserve">Radiofrequency ablation generator </w:t>
      </w:r>
    </w:p>
    <w:p w:rsidR="0086354C" w:rsidRPr="00A71769" w:rsidRDefault="0086354C" w:rsidP="0086354C">
      <w:r>
        <w:t>It is important to note that each</w:t>
      </w:r>
      <w:r w:rsidR="00EC136F">
        <w:t xml:space="preserve"> radiofrequency ablation</w:t>
      </w:r>
      <w:r>
        <w:t xml:space="preserve"> device differs. For example, the </w:t>
      </w:r>
      <w:r w:rsidR="00727591">
        <w:t xml:space="preserve">Boston Scientific </w:t>
      </w:r>
      <w:r>
        <w:t>Vessix</w:t>
      </w:r>
      <w:r w:rsidR="00727591">
        <w:t>™</w:t>
      </w:r>
      <w:r>
        <w:t xml:space="preserve"> Vascular V2 and </w:t>
      </w:r>
      <w:r w:rsidR="00727591">
        <w:t xml:space="preserve">Covidien </w:t>
      </w:r>
      <w:r>
        <w:t>OneShot™ are balloon catheters with multiple electrodes.</w:t>
      </w:r>
      <w:r w:rsidR="004845CD" w:rsidRPr="004845CD">
        <w:t xml:space="preserve"> </w:t>
      </w:r>
      <w:r w:rsidR="004845CD">
        <w:t xml:space="preserve">The </w:t>
      </w:r>
      <w:r w:rsidR="00727591">
        <w:t xml:space="preserve">St Jude Medical </w:t>
      </w:r>
      <w:r w:rsidR="004845CD">
        <w:t>EnligHTN™ catheter has an expandable electrode basket with four ablation electrodes.</w:t>
      </w:r>
      <w:r>
        <w:t xml:space="preserve"> The </w:t>
      </w:r>
      <w:r w:rsidR="00727591">
        <w:t xml:space="preserve">Medtronic </w:t>
      </w:r>
      <w:r>
        <w:t>Symplicity</w:t>
      </w:r>
      <w:r w:rsidR="007918E1">
        <w:t>®</w:t>
      </w:r>
      <w:r>
        <w:t xml:space="preserve"> catheter </w:t>
      </w:r>
      <w:r w:rsidR="004845CD">
        <w:t xml:space="preserve">has </w:t>
      </w:r>
      <w:r>
        <w:t>a single electrode at the tip.</w:t>
      </w:r>
      <w:r w:rsidR="004845CD">
        <w:t xml:space="preserve"> </w:t>
      </w:r>
    </w:p>
    <w:p w:rsidR="0086354C" w:rsidRPr="00C83B31" w:rsidRDefault="0086354C" w:rsidP="0086354C">
      <w:r>
        <w:lastRenderedPageBreak/>
        <w:t xml:space="preserve">Additional consumable items such as an introducer sheath, disposable guide catheter and dispersive electrodes are general items used for many endovascular procedures. </w:t>
      </w:r>
      <w:r w:rsidRPr="00C83B31">
        <w:t xml:space="preserve">The procedure is performed in </w:t>
      </w:r>
      <w:r>
        <w:t>a</w:t>
      </w:r>
      <w:r w:rsidRPr="00C83B31">
        <w:t xml:space="preserve"> catheterisation laboratory, using standard endovascular intervention techniques similar to those used in renal angioplasty or stenting. The </w:t>
      </w:r>
      <w:r>
        <w:t>ablation</w:t>
      </w:r>
      <w:r w:rsidRPr="00C83B31">
        <w:t xml:space="preserve"> catheter</w:t>
      </w:r>
      <w:r>
        <w:t xml:space="preserve"> is localised</w:t>
      </w:r>
      <w:r w:rsidRPr="00C83B31">
        <w:t xml:space="preserve"> via the femoral artery to the renal arteries. The efferent and afferent nerves adjacent to the artery are ablated through the arterial wall.</w:t>
      </w:r>
      <w:r>
        <w:t xml:space="preserve"> </w:t>
      </w:r>
      <w:r w:rsidRPr="00C83B31">
        <w:t>During the procedure, b</w:t>
      </w:r>
      <w:r>
        <w:t>oth renal arteries are treated. Following this service</w:t>
      </w:r>
      <w:r w:rsidRPr="00C83B31">
        <w:t>, optimal medical management must be continued.</w:t>
      </w:r>
    </w:p>
    <w:p w:rsidR="0086354C" w:rsidRDefault="0086354C" w:rsidP="0086354C">
      <w:pPr>
        <w:rPr>
          <w:lang w:val="en-GB"/>
        </w:rPr>
      </w:pPr>
      <w:r w:rsidRPr="00C83B31">
        <w:rPr>
          <w:lang w:val="en-GB"/>
        </w:rPr>
        <w:t>Renal denervation is thought to improve blood pressure levels by reducing sympathetically-mediated kidney function</w:t>
      </w:r>
      <w:r>
        <w:rPr>
          <w:lang w:val="en-GB"/>
        </w:rPr>
        <w:t xml:space="preserve"> (Katholi et al</w:t>
      </w:r>
      <w:r w:rsidRPr="00C83B31">
        <w:rPr>
          <w:lang w:val="en-GB"/>
        </w:rPr>
        <w:t xml:space="preserve"> 2010). Animal and human studies </w:t>
      </w:r>
      <w:r>
        <w:rPr>
          <w:lang w:val="en-GB"/>
        </w:rPr>
        <w:t>suggest</w:t>
      </w:r>
      <w:r w:rsidRPr="00C83B31">
        <w:rPr>
          <w:lang w:val="en-GB"/>
        </w:rPr>
        <w:t xml:space="preserve"> this occur</w:t>
      </w:r>
      <w:r>
        <w:rPr>
          <w:lang w:val="en-GB"/>
        </w:rPr>
        <w:t>s</w:t>
      </w:r>
      <w:r w:rsidRPr="00C83B31">
        <w:rPr>
          <w:lang w:val="en-GB"/>
        </w:rPr>
        <w:t xml:space="preserve"> by reducing renin release and sodium retention, improving renal blood flow </w:t>
      </w:r>
      <w:r>
        <w:rPr>
          <w:lang w:val="en-GB"/>
        </w:rPr>
        <w:t xml:space="preserve">and facilitating normal </w:t>
      </w:r>
      <w:r w:rsidRPr="00C83B31">
        <w:rPr>
          <w:lang w:val="en-GB"/>
        </w:rPr>
        <w:t>arteri</w:t>
      </w:r>
      <w:r>
        <w:rPr>
          <w:lang w:val="en-GB"/>
        </w:rPr>
        <w:t>al pressure</w:t>
      </w:r>
      <w:r w:rsidRPr="00C83B31">
        <w:rPr>
          <w:lang w:val="en-GB"/>
        </w:rPr>
        <w:t xml:space="preserve"> (Katholi et al 2010). </w:t>
      </w:r>
    </w:p>
    <w:p w:rsidR="004E0546" w:rsidRDefault="004E0546" w:rsidP="004E0546">
      <w:r>
        <w:t>Other catheter-based renal denervation technologies include ultrasound devices.</w:t>
      </w:r>
    </w:p>
    <w:p w:rsidR="004E0546" w:rsidRDefault="004E0546" w:rsidP="004E0546">
      <w:r w:rsidRPr="00343707">
        <w:t>CardioSonic</w:t>
      </w:r>
      <w:r>
        <w:t xml:space="preserve"> Ltd. </w:t>
      </w:r>
      <w:r w:rsidRPr="00343707">
        <w:t>TIVUS</w:t>
      </w:r>
      <w:r>
        <w:t>™</w:t>
      </w:r>
      <w:r w:rsidRPr="00343707">
        <w:t xml:space="preserve"> (Therapeutic IntraVascular UltraSound)</w:t>
      </w:r>
      <w:r>
        <w:t xml:space="preserve"> </w:t>
      </w:r>
      <w:r w:rsidRPr="00343707">
        <w:t>is a high-intensity, nonfocused ultrasonic (US) catheter system</w:t>
      </w:r>
      <w:r w:rsidRPr="007E2A3E">
        <w:t xml:space="preserve"> </w:t>
      </w:r>
      <w:r w:rsidRPr="00343707">
        <w:t>for renal denervation</w:t>
      </w:r>
      <w:r>
        <w:t>. The first-in-man</w:t>
      </w:r>
      <w:r w:rsidRPr="007E2A3E">
        <w:t xml:space="preserve"> TIVUS I clinical study</w:t>
      </w:r>
      <w:r>
        <w:t xml:space="preserve"> included participants at the Royal Perth Hospital (Western Australia). The TIVUS II trial (</w:t>
      </w:r>
      <w:r>
        <w:rPr>
          <w:rFonts w:ascii="Arial" w:hAnsi="Arial" w:cs="Arial"/>
          <w:lang w:val="en"/>
        </w:rPr>
        <w:t>NCT01835535) is currently underway.</w:t>
      </w:r>
    </w:p>
    <w:p w:rsidR="004E0546" w:rsidRDefault="004E0546" w:rsidP="004E0546">
      <w:r w:rsidRPr="00343707">
        <w:t>ReCor Medical, Inc. PARADISE</w:t>
      </w:r>
      <w:r>
        <w:t>™</w:t>
      </w:r>
      <w:r w:rsidRPr="00343707">
        <w:t xml:space="preserve"> (Percutaneous Renal Denervation System)</w:t>
      </w:r>
      <w:r>
        <w:t xml:space="preserve"> is a</w:t>
      </w:r>
      <w:r w:rsidRPr="00343707">
        <w:t xml:space="preserve"> nonfocused ultrasound system for performing renal denervation</w:t>
      </w:r>
      <w:r>
        <w:t>. The first-in-man study (REDUCE) was undertaken in South Africa, and the ACHIEVE study, started in February 2013, includes a number of European centres (</w:t>
      </w:r>
      <w:r w:rsidRPr="00644BC2">
        <w:t>NCT01789918</w:t>
      </w:r>
      <w:r>
        <w:t>).</w:t>
      </w:r>
    </w:p>
    <w:tbl>
      <w:tblPr>
        <w:tblStyle w:val="TableGrid"/>
        <w:tblW w:w="0" w:type="auto"/>
        <w:tblLook w:val="04A0" w:firstRow="1" w:lastRow="0" w:firstColumn="1" w:lastColumn="0" w:noHBand="0" w:noVBand="1"/>
        <w:tblCaption w:val="Note for Intervention"/>
      </w:tblPr>
      <w:tblGrid>
        <w:gridCol w:w="9242"/>
      </w:tblGrid>
      <w:tr w:rsidR="00755341" w:rsidTr="00727623">
        <w:trPr>
          <w:tblHeader/>
        </w:trPr>
        <w:tc>
          <w:tcPr>
            <w:tcW w:w="9242" w:type="dxa"/>
          </w:tcPr>
          <w:p w:rsidR="00755341" w:rsidRPr="00755341" w:rsidRDefault="00755341" w:rsidP="00755341">
            <w:pPr>
              <w:rPr>
                <w:b/>
                <w:lang w:val="en-GB"/>
              </w:rPr>
            </w:pPr>
            <w:r w:rsidRPr="00755341">
              <w:rPr>
                <w:b/>
                <w:lang w:val="en-GB"/>
              </w:rPr>
              <w:lastRenderedPageBreak/>
              <w:t>Note for Intervention:</w:t>
            </w:r>
          </w:p>
          <w:p w:rsidR="00755341" w:rsidRDefault="00755341" w:rsidP="00755341">
            <w:pPr>
              <w:rPr>
                <w:lang w:val="en-GB"/>
              </w:rPr>
            </w:pPr>
            <w:r>
              <w:rPr>
                <w:lang w:val="en-GB"/>
              </w:rPr>
              <w:t>Purpose-designed ablation systems for the renal artery should be included.</w:t>
            </w:r>
          </w:p>
          <w:p w:rsidR="00755341" w:rsidRDefault="00755341" w:rsidP="00755341">
            <w:pPr>
              <w:rPr>
                <w:lang w:val="en-GB"/>
              </w:rPr>
            </w:pPr>
            <w:r>
              <w:rPr>
                <w:lang w:val="en-GB"/>
              </w:rPr>
              <w:t>Historically, MSAC prefers to consider generic devices, rather than distinguish between different brands.</w:t>
            </w:r>
          </w:p>
          <w:p w:rsidR="00755341" w:rsidRPr="004E0546" w:rsidRDefault="00755341" w:rsidP="00755341">
            <w:pPr>
              <w:pStyle w:val="ListParagraph"/>
              <w:numPr>
                <w:ilvl w:val="0"/>
                <w:numId w:val="48"/>
              </w:numPr>
              <w:rPr>
                <w:lang w:val="en-GB"/>
              </w:rPr>
            </w:pPr>
            <w:r>
              <w:rPr>
                <w:lang w:val="en-GB"/>
              </w:rPr>
              <w:t>Where possible</w:t>
            </w:r>
            <w:r w:rsidRPr="00963AB8">
              <w:rPr>
                <w:lang w:val="en-GB"/>
              </w:rPr>
              <w:t xml:space="preserve"> the primary approach to the Intervention s</w:t>
            </w:r>
            <w:r w:rsidRPr="00541DD2">
              <w:rPr>
                <w:lang w:val="en-GB"/>
              </w:rPr>
              <w:t xml:space="preserve">hould </w:t>
            </w:r>
            <w:r w:rsidR="00792F87">
              <w:rPr>
                <w:lang w:val="en-GB"/>
              </w:rPr>
              <w:t>group s</w:t>
            </w:r>
            <w:r w:rsidRPr="00AD5422">
              <w:rPr>
                <w:lang w:val="en-GB"/>
              </w:rPr>
              <w:t xml:space="preserve">imilar </w:t>
            </w:r>
            <w:r w:rsidRPr="007E2A3E">
              <w:rPr>
                <w:lang w:val="en-GB"/>
              </w:rPr>
              <w:t>technologies</w:t>
            </w:r>
            <w:r w:rsidRPr="00644BC2">
              <w:rPr>
                <w:lang w:val="en-GB"/>
              </w:rPr>
              <w:t xml:space="preserve"> together.</w:t>
            </w:r>
            <w:r w:rsidRPr="00301FF6">
              <w:rPr>
                <w:lang w:val="en-GB"/>
              </w:rPr>
              <w:t xml:space="preserve"> For example, information regarding all RFA devices should be provided together; information regarding all ultrasound devices should be provided together etc. </w:t>
            </w:r>
          </w:p>
          <w:p w:rsidR="00755341" w:rsidRDefault="00755341" w:rsidP="00755341">
            <w:pPr>
              <w:rPr>
                <w:lang w:val="en-GB"/>
              </w:rPr>
            </w:pPr>
            <w:r>
              <w:rPr>
                <w:lang w:val="en-GB"/>
              </w:rPr>
              <w:t>However, there are instances where MSAC and Medicare have distinguished between different brands due to varying evidence and clinical profiles.</w:t>
            </w:r>
          </w:p>
          <w:p w:rsidR="00755341" w:rsidRDefault="00755341" w:rsidP="00755341">
            <w:pPr>
              <w:pStyle w:val="ListParagraph"/>
              <w:numPr>
                <w:ilvl w:val="0"/>
                <w:numId w:val="48"/>
              </w:numPr>
              <w:rPr>
                <w:lang w:val="en-GB"/>
              </w:rPr>
            </w:pPr>
            <w:r w:rsidRPr="00963AB8">
              <w:rPr>
                <w:lang w:val="en-GB"/>
              </w:rPr>
              <w:t>PA</w:t>
            </w:r>
            <w:r w:rsidRPr="00541DD2">
              <w:rPr>
                <w:lang w:val="en-GB"/>
              </w:rPr>
              <w:t>SC recognises that each branded device</w:t>
            </w:r>
            <w:r w:rsidRPr="00AD5422">
              <w:rPr>
                <w:lang w:val="en-GB"/>
              </w:rPr>
              <w:t xml:space="preserve"> for catheter-based renal</w:t>
            </w:r>
            <w:r w:rsidRPr="006D6207">
              <w:rPr>
                <w:lang w:val="en-GB"/>
              </w:rPr>
              <w:t xml:space="preserve"> denervation is quite distinct from other similar technologies </w:t>
            </w:r>
            <w:r w:rsidRPr="007E2A3E">
              <w:rPr>
                <w:lang w:val="en-GB"/>
              </w:rPr>
              <w:t>(e.g. number and size of ablation probes, use of balloon, use of cooling fluid)</w:t>
            </w:r>
            <w:r>
              <w:rPr>
                <w:lang w:val="en-GB"/>
              </w:rPr>
              <w:t xml:space="preserve"> </w:t>
            </w:r>
            <w:r w:rsidRPr="006D6207">
              <w:rPr>
                <w:lang w:val="en-GB"/>
              </w:rPr>
              <w:t>and may have a different clinical safety and effectiveness profile</w:t>
            </w:r>
            <w:r w:rsidRPr="00644BC2">
              <w:rPr>
                <w:lang w:val="en-GB"/>
              </w:rPr>
              <w:t>. Therefore, evidence regarding each individual</w:t>
            </w:r>
            <w:r w:rsidRPr="00301FF6">
              <w:rPr>
                <w:lang w:val="en-GB"/>
              </w:rPr>
              <w:t xml:space="preserve"> device should be provided separately to enable MSAC to determine whether devices are equivalent in their clinical utility. The MBS item may be modified to allow for MSAC’s final recommendation.</w:t>
            </w:r>
          </w:p>
        </w:tc>
      </w:tr>
    </w:tbl>
    <w:p w:rsidR="00755341" w:rsidRDefault="00755341" w:rsidP="004E0546">
      <w:pPr>
        <w:rPr>
          <w:lang w:val="en-GB"/>
        </w:rPr>
      </w:pPr>
    </w:p>
    <w:p w:rsidR="0086354C" w:rsidRPr="00C83B31" w:rsidRDefault="0086354C" w:rsidP="0086354C">
      <w:pPr>
        <w:pStyle w:val="Heading2"/>
        <w:spacing w:after="240"/>
        <w:rPr>
          <w:rFonts w:ascii="Arial" w:hAnsi="Arial" w:cs="Arial"/>
          <w:color w:val="auto"/>
        </w:rPr>
      </w:pPr>
      <w:bookmarkStart w:id="21" w:name="_Toc369595419"/>
      <w:r w:rsidRPr="00C83B31">
        <w:rPr>
          <w:rFonts w:ascii="Arial" w:hAnsi="Arial" w:cs="Arial"/>
          <w:color w:val="auto"/>
        </w:rPr>
        <w:t>Administration, dose, frequency of administration, duration of treatment</w:t>
      </w:r>
      <w:bookmarkEnd w:id="11"/>
      <w:bookmarkEnd w:id="21"/>
    </w:p>
    <w:p w:rsidR="0086354C" w:rsidRDefault="0086354C" w:rsidP="0086354C">
      <w:r>
        <w:t xml:space="preserve">The provision of this service may vary between </w:t>
      </w:r>
      <w:r w:rsidR="007F20A9">
        <w:t xml:space="preserve">different </w:t>
      </w:r>
      <w:r>
        <w:t>types of radiofrequency ablation, or other ablative devices</w:t>
      </w:r>
      <w:r w:rsidR="00963AB8">
        <w:t>, due to differences between brands in terms of technology and delivery of ablation</w:t>
      </w:r>
      <w:r>
        <w:t>.</w:t>
      </w:r>
    </w:p>
    <w:p w:rsidR="0086354C" w:rsidRPr="00464F4C" w:rsidRDefault="0086354C" w:rsidP="0086354C">
      <w:r w:rsidRPr="00464F4C">
        <w:t xml:space="preserve">Referral for catheter-based </w:t>
      </w:r>
      <w:r>
        <w:t>renal denervation</w:t>
      </w:r>
      <w:r w:rsidRPr="00464F4C">
        <w:t xml:space="preserve"> can come from </w:t>
      </w:r>
      <w:r>
        <w:t>hypertension</w:t>
      </w:r>
      <w:r w:rsidRPr="00464F4C">
        <w:t xml:space="preserve"> specialists or other specialists (e.g. cardiologists, renal physicians) involved in the management of patients who are not meeting target blood pressure levels, despite optimal medical management. </w:t>
      </w:r>
      <w:r w:rsidR="001341E4">
        <w:t>The threshold for referrals</w:t>
      </w:r>
      <w:r w:rsidRPr="00464F4C">
        <w:t xml:space="preserve"> can vary depending on the particular co-morbidities being managed in addition to </w:t>
      </w:r>
      <w:r>
        <w:t>hypertension</w:t>
      </w:r>
      <w:r w:rsidRPr="00464F4C">
        <w:t xml:space="preserve"> (e.g. diabetes, coron</w:t>
      </w:r>
      <w:r>
        <w:t>ary heart disease etc.).</w:t>
      </w:r>
    </w:p>
    <w:p w:rsidR="0086354C" w:rsidRDefault="0086354C" w:rsidP="0086354C">
      <w:pPr>
        <w:rPr>
          <w:lang w:eastAsia="en-US"/>
        </w:rPr>
      </w:pPr>
      <w:r>
        <w:rPr>
          <w:lang w:eastAsia="en-US"/>
        </w:rPr>
        <w:lastRenderedPageBreak/>
        <w:t>Before undertaking</w:t>
      </w:r>
      <w:r w:rsidRPr="00E11521">
        <w:rPr>
          <w:lang w:eastAsia="en-US"/>
        </w:rPr>
        <w:t xml:space="preserve"> renal denervation,</w:t>
      </w:r>
      <w:r>
        <w:rPr>
          <w:lang w:eastAsia="en-US"/>
        </w:rPr>
        <w:t xml:space="preserve"> duplex renal ultrasound</w:t>
      </w:r>
      <w:r w:rsidRPr="00E11521">
        <w:rPr>
          <w:lang w:eastAsia="en-US"/>
        </w:rPr>
        <w:t xml:space="preserve"> </w:t>
      </w:r>
      <w:r>
        <w:rPr>
          <w:lang w:eastAsia="en-US"/>
        </w:rPr>
        <w:t xml:space="preserve">is </w:t>
      </w:r>
      <w:r w:rsidRPr="00E11521">
        <w:rPr>
          <w:lang w:eastAsia="en-US"/>
        </w:rPr>
        <w:t xml:space="preserve">used to </w:t>
      </w:r>
      <w:r>
        <w:rPr>
          <w:lang w:eastAsia="en-US"/>
        </w:rPr>
        <w:t>assess renal vascular anatomy and appropriateness for the intervention</w:t>
      </w:r>
      <w:r w:rsidRPr="00E11521">
        <w:rPr>
          <w:lang w:eastAsia="en-US"/>
        </w:rPr>
        <w:t>.</w:t>
      </w:r>
      <w:r>
        <w:rPr>
          <w:lang w:eastAsia="en-US"/>
        </w:rPr>
        <w:t xml:space="preserve"> Imaging of renal artery anatomy is currently commonly undertaken in patients with treatment-resistant hypertension as part of standard patient work-up to establish reasons for uncontrolled blood pressure, although these images may not have provided the required detail to determine eligibility to renal artery denervation, or may be too old to establish the current eligibility of the patient to the service.</w:t>
      </w:r>
      <w:r w:rsidRPr="00E11521">
        <w:rPr>
          <w:lang w:eastAsia="en-US"/>
        </w:rPr>
        <w:t xml:space="preserve"> The ideal anatomical features are the presence of a single renal artery </w:t>
      </w:r>
      <w:r>
        <w:rPr>
          <w:lang w:eastAsia="en-US"/>
        </w:rPr>
        <w:t>supplying</w:t>
      </w:r>
      <w:r w:rsidRPr="00E11521">
        <w:rPr>
          <w:lang w:eastAsia="en-US"/>
        </w:rPr>
        <w:t xml:space="preserve"> each kidney (20mm in length </w:t>
      </w:r>
      <w:r>
        <w:rPr>
          <w:lang w:eastAsia="en-US"/>
        </w:rPr>
        <w:t>and</w:t>
      </w:r>
      <w:r w:rsidRPr="00E11521">
        <w:rPr>
          <w:lang w:eastAsia="en-US"/>
        </w:rPr>
        <w:t xml:space="preserve"> 4mm diameter), without stenosis, free of major lesions and has not been subjected to angioplasty or stenting and is available via percutaneous femoral access. </w:t>
      </w:r>
    </w:p>
    <w:p w:rsidR="006C795F" w:rsidRPr="00E11521" w:rsidRDefault="006C795F" w:rsidP="0086354C">
      <w:pPr>
        <w:rPr>
          <w:lang w:eastAsia="en-US"/>
        </w:rPr>
      </w:pPr>
      <w:r>
        <w:t xml:space="preserve">Renal denervation </w:t>
      </w:r>
      <w:r w:rsidR="00E97479">
        <w:t xml:space="preserve">may </w:t>
      </w:r>
      <w:r>
        <w:t>be provided by a</w:t>
      </w:r>
      <w:r w:rsidR="00963AB8">
        <w:t xml:space="preserve"> range of</w:t>
      </w:r>
      <w:r>
        <w:t xml:space="preserve"> specialist</w:t>
      </w:r>
      <w:r w:rsidR="00963AB8">
        <w:t>s</w:t>
      </w:r>
      <w:r>
        <w:t xml:space="preserve"> including interventional cardiologist</w:t>
      </w:r>
      <w:r w:rsidR="00E97479">
        <w:t>s</w:t>
      </w:r>
      <w:r>
        <w:t>, interventional radiologist</w:t>
      </w:r>
      <w:r w:rsidR="00E97479">
        <w:t>s</w:t>
      </w:r>
      <w:r>
        <w:t>, vascular surgeon</w:t>
      </w:r>
      <w:r w:rsidR="00E97479">
        <w:t>s</w:t>
      </w:r>
      <w:r w:rsidR="00963AB8">
        <w:t xml:space="preserve"> and</w:t>
      </w:r>
      <w:r>
        <w:t xml:space="preserve"> interventional nephrologist</w:t>
      </w:r>
      <w:r w:rsidR="00E97479">
        <w:t>s</w:t>
      </w:r>
      <w:r>
        <w:t>.</w:t>
      </w:r>
    </w:p>
    <w:p w:rsidR="0086354C" w:rsidRDefault="0086354C" w:rsidP="0086354C">
      <w:pPr>
        <w:rPr>
          <w:rFonts w:eastAsia="Times New Roman"/>
          <w:lang w:eastAsia="en-US"/>
        </w:rPr>
      </w:pPr>
      <w:r>
        <w:rPr>
          <w:rFonts w:eastAsia="Times New Roman"/>
          <w:lang w:eastAsia="en-US"/>
        </w:rPr>
        <w:t xml:space="preserve">Prior to the procedure, the patient should receive appropriate systemic anticoagulation and local anaesthesia. The catheter is percutaneously introduced via the femoral artery and positioned to the distal region of the renal artery (close to the renal hilum) under angiographic guidance. At this point, the generator is activated and radiofrequency energy is delivered to the artery wall. For certain devices (e.g. Symplicity®) blood flow cools the endothelium, minimising injury to adjacent tissue. For other devices, (e.g. those with balloon catheters), a cooled fluid circulation is used to minimise injury. The energy released during the ablations may cause visceral pain, justifying sedation or analgesia with opiates or narcotics. </w:t>
      </w:r>
      <w:r w:rsidR="00963AB8">
        <w:rPr>
          <w:rFonts w:eastAsia="Times New Roman"/>
          <w:lang w:eastAsia="en-US"/>
        </w:rPr>
        <w:t xml:space="preserve">For certain devices (e.g. Symplicity®) the ablation process needs to be repeated to treat the required area of the renal artery. </w:t>
      </w:r>
      <w:r w:rsidR="00541DD2">
        <w:rPr>
          <w:rFonts w:eastAsia="Times New Roman"/>
          <w:lang w:eastAsia="en-US"/>
        </w:rPr>
        <w:t>For these devices</w:t>
      </w:r>
      <w:r>
        <w:rPr>
          <w:rFonts w:eastAsia="Times New Roman"/>
          <w:lang w:eastAsia="en-US"/>
        </w:rPr>
        <w:t xml:space="preserve"> a series of </w:t>
      </w:r>
      <w:r w:rsidR="00792F87">
        <w:rPr>
          <w:rFonts w:eastAsia="Times New Roman"/>
          <w:lang w:eastAsia="en-US"/>
        </w:rPr>
        <w:t>4-6</w:t>
      </w:r>
      <w:r>
        <w:rPr>
          <w:rFonts w:eastAsia="Times New Roman"/>
          <w:lang w:eastAsia="en-US"/>
        </w:rPr>
        <w:t xml:space="preserve"> ablations per renal artery is required depending on renal artery length. </w:t>
      </w:r>
      <w:r w:rsidR="00541DD2">
        <w:rPr>
          <w:rFonts w:eastAsia="Times New Roman"/>
          <w:lang w:eastAsia="en-US"/>
        </w:rPr>
        <w:t xml:space="preserve">For other devices, multiple electrodes mean that only 1-2 ablations are required per artery. </w:t>
      </w:r>
      <w:r>
        <w:rPr>
          <w:rFonts w:eastAsia="Times New Roman"/>
          <w:lang w:eastAsia="en-US"/>
        </w:rPr>
        <w:t xml:space="preserve">The procedure is repeated in the opposite renal artery. </w:t>
      </w:r>
    </w:p>
    <w:p w:rsidR="0086354C" w:rsidRDefault="0086354C" w:rsidP="0086354C">
      <w:pPr>
        <w:rPr>
          <w:rFonts w:eastAsia="Times New Roman"/>
        </w:rPr>
      </w:pPr>
      <w:r w:rsidRPr="00CE3BA1">
        <w:rPr>
          <w:rFonts w:eastAsia="Times New Roman"/>
          <w:lang w:eastAsia="en-US"/>
        </w:rPr>
        <w:t>At the</w:t>
      </w:r>
      <w:r>
        <w:rPr>
          <w:rFonts w:eastAsia="Times New Roman"/>
          <w:lang w:eastAsia="en-US"/>
        </w:rPr>
        <w:t xml:space="preserve"> end of the</w:t>
      </w:r>
      <w:r w:rsidRPr="00CE3BA1">
        <w:rPr>
          <w:rFonts w:eastAsia="Times New Roman"/>
          <w:lang w:eastAsia="en-US"/>
        </w:rPr>
        <w:t xml:space="preserve"> procedure</w:t>
      </w:r>
      <w:r w:rsidRPr="00CE3BA1">
        <w:rPr>
          <w:rFonts w:eastAsia="Times New Roman"/>
        </w:rPr>
        <w:t xml:space="preserve">, an angiogram of the renal arteries should be used to check for the presence of renal artery dissection or infarct. It should be </w:t>
      </w:r>
      <w:r>
        <w:rPr>
          <w:rFonts w:eastAsia="Times New Roman"/>
        </w:rPr>
        <w:t xml:space="preserve">noted </w:t>
      </w:r>
      <w:r w:rsidRPr="00CE3BA1">
        <w:rPr>
          <w:rFonts w:eastAsia="Times New Roman"/>
        </w:rPr>
        <w:t>that some irregularities can be observed after renal denervation that are</w:t>
      </w:r>
      <w:r>
        <w:rPr>
          <w:rFonts w:eastAsia="Times New Roman"/>
        </w:rPr>
        <w:t xml:space="preserve"> not</w:t>
      </w:r>
      <w:r w:rsidRPr="00CE3BA1">
        <w:rPr>
          <w:rFonts w:eastAsia="Times New Roman"/>
        </w:rPr>
        <w:t xml:space="preserve"> pathological</w:t>
      </w:r>
      <w:r>
        <w:rPr>
          <w:rFonts w:eastAsia="Times New Roman"/>
        </w:rPr>
        <w:t>ly</w:t>
      </w:r>
      <w:r w:rsidRPr="00CE3BA1">
        <w:rPr>
          <w:rFonts w:eastAsia="Times New Roman"/>
        </w:rPr>
        <w:t xml:space="preserve"> significan</w:t>
      </w:r>
      <w:r>
        <w:rPr>
          <w:rFonts w:eastAsia="Times New Roman"/>
        </w:rPr>
        <w:t>t (Aziz et al</w:t>
      </w:r>
      <w:r w:rsidRPr="00CE3BA1">
        <w:rPr>
          <w:rFonts w:eastAsia="Times New Roman"/>
        </w:rPr>
        <w:t xml:space="preserve"> 2012).</w:t>
      </w:r>
    </w:p>
    <w:p w:rsidR="0086354C" w:rsidRDefault="00541DD2" w:rsidP="0086354C">
      <w:pPr>
        <w:rPr>
          <w:rFonts w:eastAsia="Times New Roman"/>
          <w:lang w:eastAsia="en-US"/>
        </w:rPr>
      </w:pPr>
      <w:r>
        <w:rPr>
          <w:rFonts w:eastAsia="Times New Roman"/>
          <w:lang w:eastAsia="en-US"/>
        </w:rPr>
        <w:lastRenderedPageBreak/>
        <w:t>A</w:t>
      </w:r>
      <w:r w:rsidR="0086354C" w:rsidRPr="004665D9">
        <w:rPr>
          <w:rFonts w:eastAsia="Times New Roman"/>
          <w:lang w:eastAsia="en-US"/>
        </w:rPr>
        <w:t xml:space="preserve">pparently healthy renal arteries may be fragile because they have been exposed to high </w:t>
      </w:r>
      <w:r w:rsidR="0086354C">
        <w:rPr>
          <w:rFonts w:eastAsia="Times New Roman"/>
          <w:lang w:eastAsia="en-US"/>
        </w:rPr>
        <w:t>blood pressure</w:t>
      </w:r>
      <w:r w:rsidR="0086354C" w:rsidRPr="004665D9">
        <w:rPr>
          <w:rFonts w:eastAsia="Times New Roman"/>
          <w:lang w:eastAsia="en-US"/>
        </w:rPr>
        <w:t xml:space="preserve"> levels for a long time before denervation. There is therefore </w:t>
      </w:r>
      <w:r w:rsidR="0086354C">
        <w:rPr>
          <w:rFonts w:eastAsia="Times New Roman"/>
          <w:lang w:eastAsia="en-US"/>
        </w:rPr>
        <w:t>a</w:t>
      </w:r>
      <w:r w:rsidR="0086354C" w:rsidRPr="004665D9">
        <w:rPr>
          <w:rFonts w:eastAsia="Times New Roman"/>
          <w:lang w:eastAsia="en-US"/>
        </w:rPr>
        <w:t xml:space="preserve"> risk of renal artery dissection</w:t>
      </w:r>
      <w:r w:rsidR="0086354C">
        <w:rPr>
          <w:rFonts w:eastAsia="Times New Roman"/>
          <w:lang w:eastAsia="en-US"/>
        </w:rPr>
        <w:t>. The centre should therefore have emergency stenting equipment.</w:t>
      </w:r>
      <w:r w:rsidR="0086354C" w:rsidRPr="004665D9">
        <w:rPr>
          <w:rFonts w:eastAsia="Times New Roman"/>
          <w:lang w:eastAsia="en-US"/>
        </w:rPr>
        <w:t xml:space="preserve"> </w:t>
      </w:r>
    </w:p>
    <w:p w:rsidR="0086354C" w:rsidRDefault="007F20A9" w:rsidP="0086354C">
      <w:r>
        <w:t>Ablation</w:t>
      </w:r>
      <w:r w:rsidR="0086354C">
        <w:t xml:space="preserve"> is estimated to take between 30-50 minutes (Aziz et al 2012). </w:t>
      </w:r>
      <w:r w:rsidR="00951485">
        <w:t>The a</w:t>
      </w:r>
      <w:r w:rsidR="0086354C">
        <w:t>verage</w:t>
      </w:r>
      <w:r>
        <w:t xml:space="preserve"> total</w:t>
      </w:r>
      <w:r w:rsidR="0086354C">
        <w:t xml:space="preserve"> procedural time </w:t>
      </w:r>
      <w:r w:rsidR="00951485">
        <w:t xml:space="preserve">is approximately </w:t>
      </w:r>
      <w:r w:rsidR="0086354C">
        <w:t>60 minutes</w:t>
      </w:r>
      <w:r w:rsidR="00951485">
        <w:t>, including time for angiography</w:t>
      </w:r>
      <w:r w:rsidR="0086354C">
        <w:t xml:space="preserve">. </w:t>
      </w:r>
      <w:r w:rsidR="00727591">
        <w:t>The ablation time may vary due to issues such as renal artery anatomy, spasms, patient discomfort.</w:t>
      </w:r>
      <w:r w:rsidR="00951485">
        <w:t xml:space="preserve"> It may also vary depending on the type of device used.</w:t>
      </w:r>
      <w:r w:rsidR="00541DD2">
        <w:t xml:space="preserve"> </w:t>
      </w:r>
    </w:p>
    <w:p w:rsidR="0086354C" w:rsidRDefault="0086354C" w:rsidP="0086354C">
      <w:pPr>
        <w:rPr>
          <w:rFonts w:eastAsia="Times New Roman"/>
          <w:lang w:eastAsia="en-US"/>
        </w:rPr>
      </w:pPr>
      <w:r>
        <w:rPr>
          <w:rFonts w:eastAsia="Times New Roman"/>
          <w:lang w:eastAsia="en-US"/>
        </w:rPr>
        <w:t>The procedure should be carried out exclusively at specialist centres with appropriate catheterisation laboratory and emergency stenting facilities. Clinicians should have sufficient experience in catheterisation and angioplasty of renal arteries and have the necessary technical resources available for the management of any immediate complications such as artery dissection. Training for the delivery of renal denervation involves proctoring by clinicians experienced in delivering this procedure.</w:t>
      </w:r>
      <w:r w:rsidR="007F20A9">
        <w:rPr>
          <w:rFonts w:eastAsia="Times New Roman"/>
          <w:lang w:eastAsia="en-US"/>
        </w:rPr>
        <w:t xml:space="preserve"> Feedback from all manufacturers has informed that training in the use of all devices would be provided with manufacturer support and proctoring from an experienced service provider.</w:t>
      </w:r>
      <w:r>
        <w:rPr>
          <w:rFonts w:eastAsia="Times New Roman"/>
          <w:lang w:eastAsia="en-US"/>
        </w:rPr>
        <w:t xml:space="preserve"> The applicant suggests a short learning curve for the technique with the applicant covering the costs of supervision.</w:t>
      </w:r>
    </w:p>
    <w:p w:rsidR="0086354C" w:rsidRDefault="0086354C" w:rsidP="0086354C">
      <w:pPr>
        <w:rPr>
          <w:lang w:eastAsia="en-US"/>
        </w:rPr>
      </w:pPr>
      <w:r>
        <w:rPr>
          <w:lang w:eastAsia="en-US"/>
        </w:rPr>
        <w:t xml:space="preserve">The applicant has indicated that there are </w:t>
      </w:r>
      <w:r w:rsidRPr="00B6247B">
        <w:rPr>
          <w:lang w:eastAsia="en-US"/>
        </w:rPr>
        <w:t>limited periprocedural risk</w:t>
      </w:r>
      <w:r>
        <w:rPr>
          <w:lang w:eastAsia="en-US"/>
        </w:rPr>
        <w:t>s</w:t>
      </w:r>
      <w:r w:rsidRPr="00B6247B">
        <w:rPr>
          <w:lang w:eastAsia="en-US"/>
        </w:rPr>
        <w:t>.</w:t>
      </w:r>
    </w:p>
    <w:p w:rsidR="0086354C" w:rsidRDefault="007F20A9" w:rsidP="0086354C">
      <w:r>
        <w:t>For morning cases, most patients would be discharged at the end of the day</w:t>
      </w:r>
      <w:r w:rsidR="005B3E53">
        <w:t>, with approximately 10 per cent of cases remaining for an overnight stay</w:t>
      </w:r>
      <w:r>
        <w:t xml:space="preserve">. For afternoon cases, most patients would </w:t>
      </w:r>
      <w:r w:rsidR="0086354C">
        <w:t>remain hospitalised overnight for post-proce</w:t>
      </w:r>
      <w:r w:rsidR="000D1D7E">
        <w:t>dure management and monitoring</w:t>
      </w:r>
      <w:r w:rsidR="00541DD2">
        <w:t>.</w:t>
      </w:r>
    </w:p>
    <w:p w:rsidR="0086354C" w:rsidRDefault="0086354C" w:rsidP="0086354C">
      <w:r>
        <w:t>Expert clinical input has suggested that t</w:t>
      </w:r>
      <w:r w:rsidRPr="001878C0">
        <w:t xml:space="preserve">here are very few circumstances where it would be helpful to repeat the therapy, although this could be undertaken. </w:t>
      </w:r>
      <w:r>
        <w:t>For example, i</w:t>
      </w:r>
      <w:r w:rsidRPr="001878C0">
        <w:t>f there was an excelle</w:t>
      </w:r>
      <w:r>
        <w:t>nt response at the initial procedure and the blood pressure</w:t>
      </w:r>
      <w:r w:rsidRPr="001878C0">
        <w:t xml:space="preserve"> rebounded some years later, it would be reasonable to consider repeating the treatment.</w:t>
      </w:r>
      <w:r>
        <w:t xml:space="preserve"> However, due to the lack of current evidence, PASC suggests this treatment should only be offered as a one-off service unless evidence to the contrary becomes available. </w:t>
      </w:r>
    </w:p>
    <w:p w:rsidR="0086354C" w:rsidRPr="00C83B31" w:rsidRDefault="0086354C" w:rsidP="0086354C">
      <w:pPr>
        <w:pStyle w:val="Heading2"/>
        <w:rPr>
          <w:color w:val="auto"/>
        </w:rPr>
      </w:pPr>
      <w:bookmarkStart w:id="22" w:name="_Toc283297635"/>
      <w:bookmarkStart w:id="23" w:name="_Toc369595420"/>
      <w:r w:rsidRPr="00C83B31">
        <w:rPr>
          <w:color w:val="auto"/>
        </w:rPr>
        <w:lastRenderedPageBreak/>
        <w:t>Co-administered interventions</w:t>
      </w:r>
      <w:bookmarkEnd w:id="22"/>
      <w:bookmarkEnd w:id="23"/>
    </w:p>
    <w:p w:rsidR="0086354C" w:rsidRDefault="0086354C" w:rsidP="0086354C">
      <w:r>
        <w:t>Duplex renal ultrasounds are used most commonly in the current Australian clinical setting to assess renal vascular anatomy and appropriateness for intervention. Appropriate prior images of the renal vasculature may be available from the standard work-up of patients with treatment-resistant hypertension.</w:t>
      </w:r>
      <w:r w:rsidR="007F20A9">
        <w:t xml:space="preserve"> In these cases, additional imaging to assess eligibility for the service would not be required.</w:t>
      </w:r>
    </w:p>
    <w:p w:rsidR="00235987" w:rsidRDefault="0086354C" w:rsidP="0086354C">
      <w:r w:rsidRPr="00C83B31">
        <w:t xml:space="preserve">The main co-administered intervention is </w:t>
      </w:r>
      <w:r>
        <w:t>a</w:t>
      </w:r>
      <w:r w:rsidRPr="00C83B31">
        <w:t>ngiographic imaging of the renal arteries to guide the renal denervation</w:t>
      </w:r>
      <w:r>
        <w:t xml:space="preserve"> procedure</w:t>
      </w:r>
      <w:r w:rsidRPr="00C83B31">
        <w:t>.</w:t>
      </w:r>
      <w:r>
        <w:t xml:space="preserve"> Expert clinical input has suggested that </w:t>
      </w:r>
      <w:r w:rsidRPr="001878C0">
        <w:t xml:space="preserve">multiple angiography runs are undertaken to document the position of the catheter, </w:t>
      </w:r>
      <w:r>
        <w:t xml:space="preserve">and that digital subtraction angiography </w:t>
      </w:r>
      <w:r w:rsidRPr="001878C0">
        <w:t>is often used to minimise contrast us</w:t>
      </w:r>
      <w:r>
        <w:t xml:space="preserve">age. It would be common to use more than </w:t>
      </w:r>
      <w:r w:rsidRPr="001878C0">
        <w:t>20 angio</w:t>
      </w:r>
      <w:r>
        <w:t>graphy</w:t>
      </w:r>
      <w:r w:rsidRPr="001878C0">
        <w:t xml:space="preserve"> runs per case.</w:t>
      </w:r>
      <w:r>
        <w:t xml:space="preserve"> </w:t>
      </w:r>
      <w:r w:rsidRPr="00DC1CE3">
        <w:t>Angiography is</w:t>
      </w:r>
      <w:r>
        <w:t xml:space="preserve"> also</w:t>
      </w:r>
      <w:r w:rsidRPr="00DC1CE3">
        <w:t xml:space="preserve"> performed at the end of each </w:t>
      </w:r>
      <w:r>
        <w:t>procedure</w:t>
      </w:r>
      <w:r w:rsidRPr="00DC1CE3">
        <w:t xml:space="preserve"> to confirm</w:t>
      </w:r>
      <w:r>
        <w:t xml:space="preserve"> the</w:t>
      </w:r>
      <w:r w:rsidRPr="00DC1CE3">
        <w:t xml:space="preserve"> absence of damage to the renal artery. </w:t>
      </w:r>
      <w:r>
        <w:t>Expert clinical input suggests that p</w:t>
      </w:r>
      <w:r w:rsidRPr="00DC1CE3">
        <w:t>revious safety studies have documented that later complications</w:t>
      </w:r>
      <w:r>
        <w:t xml:space="preserve"> following the procedure</w:t>
      </w:r>
      <w:r w:rsidRPr="00DC1CE3">
        <w:t xml:space="preserve"> are rare and</w:t>
      </w:r>
      <w:r>
        <w:t xml:space="preserve"> as a consequence</w:t>
      </w:r>
      <w:r w:rsidRPr="00DC1CE3">
        <w:t xml:space="preserve"> routine imaging after the index procedure is not necessary.</w:t>
      </w:r>
      <w:r w:rsidR="000C64A1">
        <w:t xml:space="preserve"> </w:t>
      </w:r>
      <w:r w:rsidR="002E2115">
        <w:t xml:space="preserve">Current MBS items for angiography include items 60024-60033. </w:t>
      </w:r>
      <w:r w:rsidR="00235987">
        <w:t>PASC has concluded that as angiography is an integral part of the proposed service that angiography costs should be included as part of the proposed fee.</w:t>
      </w:r>
    </w:p>
    <w:p w:rsidR="0086354C" w:rsidRDefault="0086354C" w:rsidP="0086354C">
      <w:r>
        <w:t xml:space="preserve">Although the procedure is uncomfortable, </w:t>
      </w:r>
      <w:r w:rsidR="006E6D8C">
        <w:t>the service is commonly provided</w:t>
      </w:r>
      <w:r w:rsidRPr="00DC1CE3">
        <w:t xml:space="preserve"> by the </w:t>
      </w:r>
      <w:r>
        <w:t>specialist (interventional cardiologist, interventional radiologist, vascular surgeon</w:t>
      </w:r>
      <w:r w:rsidR="007F20A9">
        <w:t>, interventional nephrologist</w:t>
      </w:r>
      <w:r>
        <w:t>)</w:t>
      </w:r>
      <w:r w:rsidRPr="00DC1CE3">
        <w:t xml:space="preserve"> performing the procedure without</w:t>
      </w:r>
      <w:r w:rsidR="00367D0D">
        <w:t xml:space="preserve"> the need for general</w:t>
      </w:r>
      <w:r w:rsidRPr="00DC1CE3">
        <w:t xml:space="preserve"> anaesthesia.</w:t>
      </w:r>
      <w:r>
        <w:t xml:space="preserve"> This is consistent with other endovascular procedures.</w:t>
      </w:r>
      <w:r w:rsidRPr="00253E32">
        <w:t xml:space="preserve"> </w:t>
      </w:r>
    </w:p>
    <w:p w:rsidR="0086354C" w:rsidRDefault="0086354C" w:rsidP="0086354C">
      <w:r>
        <w:t>I</w:t>
      </w:r>
      <w:r w:rsidR="00AD5422">
        <w:t>n some cases i</w:t>
      </w:r>
      <w:r>
        <w:t>nitial angiography prior to providing renal denervation may identify a</w:t>
      </w:r>
      <w:r w:rsidR="00AD5422">
        <w:t xml:space="preserve"> previously unknown</w:t>
      </w:r>
      <w:r>
        <w:t xml:space="preserve"> renal artery stricture that requires the application of a stent. Expert clinical advice suggests that this may be provided during the same procedure as part of the renal denervation service, and that it is common for patients who are to undergo renal artery denervation to be asked to sign consent forms for the insertion of a renal artery stent. Alternatively, the stent may be provided during the initial procedure with renal artery denervation provided at a later date. The relevant MBS item number for stent implantation is 35309.</w:t>
      </w:r>
    </w:p>
    <w:p w:rsidR="0086354C" w:rsidRDefault="0086354C" w:rsidP="0086354C">
      <w:r>
        <w:t xml:space="preserve">Patient monitoring equipment and general endovascular procedure consumables would be commonly available in a catheterisation facility. </w:t>
      </w:r>
      <w:r w:rsidRPr="00C83B31">
        <w:t xml:space="preserve">Medications commonly </w:t>
      </w:r>
      <w:r w:rsidRPr="00C83B31">
        <w:lastRenderedPageBreak/>
        <w:t>us</w:t>
      </w:r>
      <w:r>
        <w:t>ed during the procedure include</w:t>
      </w:r>
      <w:r w:rsidRPr="00C83B31">
        <w:t xml:space="preserve"> anxiolytic/amnestic medication</w:t>
      </w:r>
      <w:r>
        <w:t>,</w:t>
      </w:r>
      <w:r w:rsidRPr="00C83B31">
        <w:t xml:space="preserve"> anticoagulation</w:t>
      </w:r>
      <w:r>
        <w:t>,</w:t>
      </w:r>
      <w:r w:rsidRPr="00C83B31">
        <w:t xml:space="preserve"> pai</w:t>
      </w:r>
      <w:r>
        <w:t>n medication and vasodilation.</w:t>
      </w:r>
      <w:r w:rsidRPr="00C83B31">
        <w:t xml:space="preserve"> However, in each procedure medication is tailored to individual patient circumstances as determined by the treating clinician.</w:t>
      </w:r>
      <w:r>
        <w:t xml:space="preserve"> </w:t>
      </w:r>
    </w:p>
    <w:p w:rsidR="00783457" w:rsidRDefault="0086354C" w:rsidP="0086354C">
      <w:r>
        <w:t>O</w:t>
      </w:r>
      <w:r w:rsidRPr="00C83B31">
        <w:t>ptimal medical management</w:t>
      </w:r>
      <w:r>
        <w:t xml:space="preserve"> (including anti-hypertension medication and ongoing monitoring) will continue after the intervention.</w:t>
      </w:r>
      <w:r w:rsidR="00727623">
        <w:t xml:space="preserve"> </w:t>
      </w:r>
    </w:p>
    <w:tbl>
      <w:tblPr>
        <w:tblStyle w:val="TableGrid"/>
        <w:tblW w:w="0" w:type="auto"/>
        <w:tblLook w:val="04A0" w:firstRow="1" w:lastRow="0" w:firstColumn="1" w:lastColumn="0" w:noHBand="0" w:noVBand="1"/>
        <w:tblCaption w:val="Summary box for intervention"/>
      </w:tblPr>
      <w:tblGrid>
        <w:gridCol w:w="9242"/>
      </w:tblGrid>
      <w:tr w:rsidR="00755341" w:rsidTr="00727623">
        <w:trPr>
          <w:tblHeader/>
        </w:trPr>
        <w:tc>
          <w:tcPr>
            <w:tcW w:w="9242" w:type="dxa"/>
          </w:tcPr>
          <w:p w:rsidR="00755341" w:rsidRPr="00755341" w:rsidRDefault="00755341" w:rsidP="00783457">
            <w:pPr>
              <w:spacing w:after="0"/>
              <w:rPr>
                <w:b/>
              </w:rPr>
            </w:pPr>
            <w:r w:rsidRPr="00755341">
              <w:rPr>
                <w:b/>
              </w:rPr>
              <w:lastRenderedPageBreak/>
              <w:t>Summary box for Intervention:</w:t>
            </w:r>
          </w:p>
          <w:p w:rsidR="00755341" w:rsidRDefault="00755341" w:rsidP="00783457">
            <w:pPr>
              <w:spacing w:after="0"/>
            </w:pPr>
            <w:r>
              <w:t>Following discussions and clinical input, PASC agrees that the base case scenarios should be as follows:</w:t>
            </w:r>
          </w:p>
          <w:p w:rsidR="00755341" w:rsidRDefault="00755341" w:rsidP="00783457">
            <w:pPr>
              <w:pStyle w:val="ListParagraph"/>
              <w:numPr>
                <w:ilvl w:val="0"/>
                <w:numId w:val="47"/>
              </w:numPr>
              <w:spacing w:after="0"/>
              <w:ind w:left="714" w:hanging="357"/>
            </w:pPr>
            <w:r>
              <w:t>An assistant would usually not be required.</w:t>
            </w:r>
          </w:p>
          <w:p w:rsidR="00755341" w:rsidRDefault="00367D0D" w:rsidP="00783457">
            <w:pPr>
              <w:pStyle w:val="ListParagraph"/>
              <w:numPr>
                <w:ilvl w:val="0"/>
                <w:numId w:val="47"/>
              </w:numPr>
              <w:spacing w:after="0"/>
              <w:ind w:left="714" w:hanging="357"/>
            </w:pPr>
            <w:r>
              <w:t>T</w:t>
            </w:r>
            <w:r w:rsidR="00755341">
              <w:t>he service would normally be provided under conscious sedation. Clinical judgement is required as the procedure can be painful. The economic modelling should allow for the use of general anaesthesia in the sensitivity analysis.</w:t>
            </w:r>
          </w:p>
          <w:p w:rsidR="00367D0D" w:rsidRDefault="006E6D8C" w:rsidP="00783457">
            <w:pPr>
              <w:pStyle w:val="ListParagraph"/>
              <w:numPr>
                <w:ilvl w:val="0"/>
                <w:numId w:val="47"/>
              </w:numPr>
              <w:spacing w:after="0"/>
              <w:ind w:left="714" w:hanging="357"/>
            </w:pPr>
            <w:r>
              <w:t>A</w:t>
            </w:r>
            <w:r w:rsidR="00367D0D">
              <w:t>naesthetist</w:t>
            </w:r>
            <w:r>
              <w:t xml:space="preserve"> attendance</w:t>
            </w:r>
            <w:r w:rsidR="00367D0D">
              <w:t xml:space="preserve"> </w:t>
            </w:r>
            <w:r>
              <w:t>is</w:t>
            </w:r>
            <w:r w:rsidR="00367D0D">
              <w:t xml:space="preserve"> required for the delivery of conscious sedation in some jurisdictions. </w:t>
            </w:r>
            <w:r w:rsidR="00672CC1">
              <w:t>The assessment phase should determine anaesthetist requirement on a state-by-state basis. This information should be reflected in the economic model. The sensitivity analysis should allow for any uncertainty in anaesthetist attendance.</w:t>
            </w:r>
          </w:p>
          <w:p w:rsidR="00755341" w:rsidRDefault="00755341" w:rsidP="00783457">
            <w:pPr>
              <w:pStyle w:val="ListParagraph"/>
              <w:numPr>
                <w:ilvl w:val="0"/>
                <w:numId w:val="47"/>
              </w:numPr>
              <w:spacing w:after="0"/>
              <w:ind w:left="714" w:hanging="357"/>
            </w:pPr>
            <w:r>
              <w:t>A previous image of the renal vasculature (e.g. Doppler, MRI, CT, MRA, CTA) is commonly available as part of standard hypertension clinical management. Therefore an additional image to identify eligibility for the service would normally not be required.</w:t>
            </w:r>
            <w:r w:rsidR="000C64A1">
              <w:t xml:space="preserve"> The economic modelling should allow for the requirement of an additional duplex renal ultrasound in the sensitivity analysis.</w:t>
            </w:r>
          </w:p>
          <w:p w:rsidR="00755341" w:rsidRDefault="00755341" w:rsidP="00783457">
            <w:pPr>
              <w:pStyle w:val="ListParagraph"/>
              <w:numPr>
                <w:ilvl w:val="0"/>
                <w:numId w:val="47"/>
              </w:numPr>
              <w:spacing w:after="0"/>
              <w:ind w:left="714" w:hanging="357"/>
            </w:pPr>
            <w:r>
              <w:t>Previous imaging studies taken as part of standard clinical management and available to determine patient eligibility should accurately identify appropriate renal artery anatomy. However, the sensitivity analyses should allow for rare cases where intra-procedural angiography identifies inappropriate anatomy and an inability to provide the ablation therapy.</w:t>
            </w:r>
          </w:p>
          <w:p w:rsidR="00755341" w:rsidRDefault="00755341" w:rsidP="00783457">
            <w:pPr>
              <w:pStyle w:val="ListParagraph"/>
              <w:numPr>
                <w:ilvl w:val="0"/>
                <w:numId w:val="47"/>
              </w:numPr>
              <w:spacing w:after="0"/>
              <w:ind w:left="714" w:hanging="357"/>
            </w:pPr>
            <w:r>
              <w:t>As above, previous imaging studies to determine patient eligibility should accurately identify appropriate renal artery anatomy. However, the sensitivity analyses should allow for rare cases where intra-procedural angiography identifies the need for a renal artery stent.</w:t>
            </w:r>
          </w:p>
          <w:p w:rsidR="00755341" w:rsidRDefault="00755341" w:rsidP="00783457">
            <w:pPr>
              <w:pStyle w:val="ListParagraph"/>
              <w:numPr>
                <w:ilvl w:val="0"/>
                <w:numId w:val="47"/>
              </w:numPr>
              <w:spacing w:after="0"/>
              <w:ind w:left="714" w:hanging="357"/>
            </w:pPr>
            <w:r>
              <w:t>Detailed imaging after the service has been completed would not be required.</w:t>
            </w:r>
          </w:p>
          <w:p w:rsidR="00755341" w:rsidRDefault="00755341" w:rsidP="00783457">
            <w:pPr>
              <w:pStyle w:val="ListParagraph"/>
              <w:numPr>
                <w:ilvl w:val="0"/>
                <w:numId w:val="47"/>
              </w:numPr>
              <w:spacing w:after="0"/>
              <w:ind w:left="714" w:hanging="357"/>
            </w:pPr>
            <w:r>
              <w:t>Expert clinical opinion advises that catheter-based renal denervation can be provided as a day procedure. However, an overnight stay is required when a service is provided in the afternoon.</w:t>
            </w:r>
          </w:p>
          <w:p w:rsidR="00755341" w:rsidRDefault="00755341" w:rsidP="00783457">
            <w:pPr>
              <w:pStyle w:val="ListParagraph"/>
              <w:numPr>
                <w:ilvl w:val="0"/>
                <w:numId w:val="47"/>
              </w:numPr>
              <w:spacing w:after="0"/>
              <w:ind w:left="714" w:hanging="357"/>
            </w:pPr>
            <w:r>
              <w:t>Any evidence regarding variability between devices in terms of technical issues (for example number of ablations, ablation time, procedure time, use of anaesthesia and so on) should be provided.</w:t>
            </w:r>
          </w:p>
        </w:tc>
      </w:tr>
    </w:tbl>
    <w:p w:rsidR="0086354C" w:rsidRPr="00016364" w:rsidRDefault="0086354C" w:rsidP="0086354C">
      <w:pPr>
        <w:pStyle w:val="Heading1"/>
      </w:pPr>
      <w:bookmarkStart w:id="24" w:name="_Toc283297636"/>
      <w:bookmarkStart w:id="25" w:name="_Toc369595421"/>
      <w:r w:rsidRPr="00016364">
        <w:lastRenderedPageBreak/>
        <w:t>Background</w:t>
      </w:r>
      <w:bookmarkEnd w:id="24"/>
      <w:bookmarkEnd w:id="25"/>
    </w:p>
    <w:p w:rsidR="0086354C" w:rsidRPr="00B97377" w:rsidRDefault="0086354C" w:rsidP="0086354C">
      <w:pPr>
        <w:pStyle w:val="Heading2"/>
      </w:pPr>
      <w:bookmarkStart w:id="26" w:name="_Toc283297637"/>
      <w:bookmarkStart w:id="27" w:name="_Toc369595422"/>
      <w:r w:rsidRPr="00B97377">
        <w:t>Current arrangements for public reimbursement</w:t>
      </w:r>
      <w:bookmarkEnd w:id="26"/>
      <w:bookmarkEnd w:id="27"/>
    </w:p>
    <w:p w:rsidR="0086354C" w:rsidRPr="00C83B31" w:rsidRDefault="0086354C" w:rsidP="0086354C">
      <w:r w:rsidRPr="00C83B31">
        <w:rPr>
          <w:lang w:val="en-GB" w:eastAsia="ja-JP"/>
        </w:rPr>
        <w:t>There is currently no MBS item for catheter-based renal denervation.</w:t>
      </w:r>
      <w:r w:rsidRPr="00B97377">
        <w:rPr>
          <w:lang w:val="en-GB" w:eastAsia="ja-JP"/>
        </w:rPr>
        <w:t xml:space="preserve"> Hypertension is most commonly </w:t>
      </w:r>
      <w:r>
        <w:rPr>
          <w:lang w:val="en-GB" w:eastAsia="ja-JP"/>
        </w:rPr>
        <w:t>managed</w:t>
      </w:r>
      <w:r w:rsidRPr="00B97377">
        <w:rPr>
          <w:lang w:val="en-GB" w:eastAsia="ja-JP"/>
        </w:rPr>
        <w:t xml:space="preserve"> with pharmaceutical intervention, and there are many medications approved for this use on the Pharmaceutical Benefits Schedule.</w:t>
      </w:r>
      <w:r>
        <w:rPr>
          <w:lang w:val="en-GB" w:eastAsia="ja-JP"/>
        </w:rPr>
        <w:t xml:space="preserve"> There are no other effective management options for treatment-resistant hypertension.</w:t>
      </w:r>
    </w:p>
    <w:p w:rsidR="0086354C" w:rsidRPr="008D6F73" w:rsidRDefault="0086354C" w:rsidP="0086354C">
      <w:pPr>
        <w:pStyle w:val="Heading2"/>
      </w:pPr>
      <w:bookmarkStart w:id="28" w:name="_Ref283049171"/>
      <w:bookmarkStart w:id="29" w:name="_Toc369595423"/>
      <w:r>
        <w:t>Current use of catheter-based renal denervation in Australia</w:t>
      </w:r>
      <w:bookmarkEnd w:id="29"/>
    </w:p>
    <w:p w:rsidR="0086354C" w:rsidRPr="00C83B31" w:rsidRDefault="0086354C" w:rsidP="0086354C">
      <w:r w:rsidRPr="00C83B31">
        <w:t>Ca</w:t>
      </w:r>
      <w:r>
        <w:t xml:space="preserve">theter-based renal denervation </w:t>
      </w:r>
      <w:r w:rsidR="00346E27">
        <w:t>has previously received</w:t>
      </w:r>
      <w:r w:rsidRPr="00C83B31">
        <w:t xml:space="preserve"> funding for treatment-resistant </w:t>
      </w:r>
      <w:r>
        <w:t>hypertension</w:t>
      </w:r>
      <w:r w:rsidRPr="00C83B31">
        <w:t xml:space="preserve"> patients through the Victorian Department of Health</w:t>
      </w:r>
      <w:r>
        <w:t xml:space="preserve"> as a result of a</w:t>
      </w:r>
      <w:r w:rsidRPr="008D6F73">
        <w:t xml:space="preserve"> </w:t>
      </w:r>
      <w:r w:rsidRPr="00C83B31">
        <w:t xml:space="preserve">Victorian Policy Advisory Committee on Technology (VPACT) </w:t>
      </w:r>
      <w:r>
        <w:t>assessment</w:t>
      </w:r>
      <w:r w:rsidR="00346E27">
        <w:t xml:space="preserve"> from 2011-2013.</w:t>
      </w:r>
      <w:r w:rsidRPr="00C83B31">
        <w:t xml:space="preserve"> Queensland Department of Health</w:t>
      </w:r>
      <w:r w:rsidR="00346E27">
        <w:t xml:space="preserve"> has also provided funding for the service</w:t>
      </w:r>
      <w:r>
        <w:t xml:space="preserve"> as a result of a </w:t>
      </w:r>
      <w:r w:rsidRPr="00C83B31">
        <w:t>Queensland Policy and Advisory Committee on New Technology (QPACT)</w:t>
      </w:r>
      <w:r>
        <w:t xml:space="preserve"> assessment</w:t>
      </w:r>
      <w:r w:rsidR="00346E27">
        <w:t xml:space="preserve"> although the current status of this support is not known</w:t>
      </w:r>
      <w:r w:rsidRPr="00C83B31">
        <w:t>.</w:t>
      </w:r>
    </w:p>
    <w:p w:rsidR="0086354C" w:rsidRPr="00C83B31" w:rsidRDefault="0086354C" w:rsidP="0086354C">
      <w:pPr>
        <w:rPr>
          <w:sz w:val="22"/>
          <w:szCs w:val="22"/>
        </w:rPr>
      </w:pPr>
      <w:r w:rsidRPr="00C83B31">
        <w:t xml:space="preserve">The Baker IDI Heart and Diabetes Institute, Melbourne receives research funding from the National Health and Medical Research Council (NHMRC) for Catheter-based </w:t>
      </w:r>
      <w:r>
        <w:t>renal denervation</w:t>
      </w:r>
      <w:r w:rsidRPr="00C83B31">
        <w:t xml:space="preserve"> for uncontrolled </w:t>
      </w:r>
      <w:r>
        <w:t>hypertension</w:t>
      </w:r>
      <w:r w:rsidRPr="00C83B31">
        <w:t xml:space="preserve"> (NHMRC reference 1034397). The NHMRC have also provided research funding for Catheter-based </w:t>
      </w:r>
      <w:r>
        <w:t>renal denervation</w:t>
      </w:r>
      <w:r w:rsidRPr="00C83B31">
        <w:t xml:space="preserve"> for chronic kidney disease and end-stage renal disease (NHMRC references 104</w:t>
      </w:r>
      <w:r>
        <w:t>6594 and 1052470, respectively)</w:t>
      </w:r>
      <w:r w:rsidRPr="00C83B31">
        <w:t>.</w:t>
      </w:r>
    </w:p>
    <w:p w:rsidR="0086354C" w:rsidRDefault="0086354C" w:rsidP="0086354C">
      <w:r w:rsidRPr="00C83B31">
        <w:t>Australian Hospitals are taking part in the Global Symplicity</w:t>
      </w:r>
      <w:r w:rsidRPr="00C83B31">
        <w:rPr>
          <w:vertAlign w:val="superscript"/>
        </w:rPr>
        <w:t>®</w:t>
      </w:r>
      <w:r w:rsidRPr="00C83B31">
        <w:t xml:space="preserve"> Registry (Clinicaltrials.gov Identifier: NCT01534299) (The Alfred Hospital St. Vincent’s Hospital in Melbourne;</w:t>
      </w:r>
      <w:r>
        <w:t xml:space="preserve"> Geelong;</w:t>
      </w:r>
      <w:r w:rsidRPr="00C83B31">
        <w:t xml:space="preserve"> John Hunter Hospital in Newcastle</w:t>
      </w:r>
      <w:r>
        <w:t>; the St George and Royal Prince Alfred Hospitals in Sydney; Princess Alexandra Hospital in Brisbane; and the Royal Perth</w:t>
      </w:r>
      <w:r w:rsidRPr="00ED0C90">
        <w:t xml:space="preserve"> </w:t>
      </w:r>
      <w:r>
        <w:t>Hospital and Sir Charles Gairdner Hospital in Perth</w:t>
      </w:r>
      <w:r w:rsidRPr="00C83B31">
        <w:t xml:space="preserve">). </w:t>
      </w:r>
    </w:p>
    <w:p w:rsidR="000D657F" w:rsidRDefault="000D657F" w:rsidP="0086354C">
      <w:r>
        <w:t>Boston Scientific’s Vessix™ renal denervation system has been trialled at multiple international sites including in Australia (REDUCE HTN, NCT01541865</w:t>
      </w:r>
      <w:r w:rsidR="00D41B20">
        <w:t xml:space="preserve">) at St. Vincent’s Hospital </w:t>
      </w:r>
      <w:r w:rsidR="006D6207">
        <w:t>(</w:t>
      </w:r>
      <w:r w:rsidR="00AD5422">
        <w:t>New South Wales</w:t>
      </w:r>
      <w:r w:rsidR="006D6207">
        <w:t>)</w:t>
      </w:r>
      <w:r w:rsidR="00D41B20">
        <w:t xml:space="preserve">, The Prince Charles Hospital </w:t>
      </w:r>
      <w:r w:rsidR="006D6207">
        <w:t>(</w:t>
      </w:r>
      <w:r w:rsidR="00AD5422">
        <w:t>Queensland</w:t>
      </w:r>
      <w:r w:rsidR="006D6207">
        <w:t>)</w:t>
      </w:r>
      <w:r w:rsidR="00D41B20">
        <w:t>, Royal Adelaide Hospi</w:t>
      </w:r>
      <w:r w:rsidR="006D6207">
        <w:t>tal and Flinders Medical Centre</w:t>
      </w:r>
      <w:r w:rsidR="00D41B20">
        <w:t xml:space="preserve"> </w:t>
      </w:r>
      <w:r w:rsidR="006D6207">
        <w:t>(</w:t>
      </w:r>
      <w:r w:rsidR="00AD5422">
        <w:t>South Australia</w:t>
      </w:r>
      <w:r w:rsidR="006D6207">
        <w:t>)</w:t>
      </w:r>
      <w:r w:rsidR="00D41B20">
        <w:t xml:space="preserve"> and Monash Cardiovascular Research</w:t>
      </w:r>
      <w:r w:rsidR="006D6207">
        <w:t xml:space="preserve"> Centre</w:t>
      </w:r>
      <w:r w:rsidR="00D41B20">
        <w:t xml:space="preserve"> </w:t>
      </w:r>
      <w:r w:rsidR="006D6207">
        <w:t>(</w:t>
      </w:r>
      <w:r w:rsidR="00AD5422">
        <w:t>Victoria</w:t>
      </w:r>
      <w:r w:rsidR="006D6207">
        <w:t>)</w:t>
      </w:r>
      <w:r w:rsidR="00D41B20">
        <w:t>.</w:t>
      </w:r>
    </w:p>
    <w:p w:rsidR="00D41B20" w:rsidRDefault="00386FCC" w:rsidP="0086354C">
      <w:r>
        <w:lastRenderedPageBreak/>
        <w:t xml:space="preserve">Australian centres have participated in all of </w:t>
      </w:r>
      <w:r w:rsidR="00D41B20">
        <w:t>St Jude Medical’s EnligHTN™ system</w:t>
      </w:r>
      <w:r>
        <w:t xml:space="preserve">’s clinical trials (EnligHTN 1 NCT01438229, EnligHTN II NCT01705080, EnligHTN III NCT018362146). These are the Royal Adelaide Hospital, Flinders Medical Centre, St Andrew’s Hospital (South Australia), Monash Heart, Monash University, St. Vincent’s Hospital (Victoria). </w:t>
      </w:r>
    </w:p>
    <w:p w:rsidR="0086354C" w:rsidRPr="00016364" w:rsidRDefault="0086354C" w:rsidP="0086354C">
      <w:pPr>
        <w:pStyle w:val="Heading2"/>
      </w:pPr>
      <w:bookmarkStart w:id="30" w:name="_Toc283297638"/>
      <w:bookmarkStart w:id="31" w:name="_Toc283297639"/>
      <w:bookmarkStart w:id="32" w:name="_Toc369595424"/>
      <w:bookmarkEnd w:id="28"/>
      <w:r w:rsidRPr="00016364">
        <w:t>Regulatory status</w:t>
      </w:r>
      <w:bookmarkEnd w:id="30"/>
      <w:bookmarkEnd w:id="32"/>
    </w:p>
    <w:p w:rsidR="0086354C" w:rsidRDefault="0086354C" w:rsidP="0086354C">
      <w:r>
        <w:t xml:space="preserve">A number of </w:t>
      </w:r>
      <w:r w:rsidRPr="00C83B31">
        <w:t>radiofrequency ablation devices</w:t>
      </w:r>
      <w:r>
        <w:t xml:space="preserve"> are listed</w:t>
      </w:r>
      <w:r w:rsidRPr="00C83B31">
        <w:t xml:space="preserve"> on the ARTG</w:t>
      </w:r>
      <w:r>
        <w:t xml:space="preserve"> (</w:t>
      </w:r>
      <w:r>
        <w:fldChar w:fldCharType="begin"/>
      </w:r>
      <w:r>
        <w:instrText xml:space="preserve"> REF _Ref350345262 \h  \* MERGEFORMAT </w:instrText>
      </w:r>
      <w:r>
        <w:fldChar w:fldCharType="separate"/>
      </w:r>
      <w:r w:rsidR="003115E8">
        <w:t>Table 2</w:t>
      </w:r>
      <w:r>
        <w:fldChar w:fldCharType="end"/>
      </w:r>
      <w:r>
        <w:t>)</w:t>
      </w:r>
      <w:r w:rsidRPr="00C83B31">
        <w:t xml:space="preserve">. Of </w:t>
      </w:r>
      <w:r>
        <w:t>these the devices by</w:t>
      </w:r>
      <w:r w:rsidRPr="00C83B31">
        <w:t xml:space="preserve"> St. Jude, Pacific Clinical Research Group, Covidien and Medtronic are specifically listed to denervate the human kidney. Pacific Clinical Research Group’s Vessix Vascular V2 is the only ARTG listed device </w:t>
      </w:r>
      <w:r>
        <w:t>listed explicitly</w:t>
      </w:r>
      <w:r w:rsidRPr="00C83B31">
        <w:t xml:space="preserve"> for treatment-resistant hypertension.</w:t>
      </w:r>
      <w:r>
        <w:t xml:space="preserve"> </w:t>
      </w:r>
      <w:r w:rsidR="006D6207">
        <w:t xml:space="preserve">Devices from Medtronic, </w:t>
      </w:r>
      <w:r>
        <w:t>Covidien, St. Jude and Pacific Clinical Research Group (Boston Scientific) have all commenced clinical trials.</w:t>
      </w:r>
    </w:p>
    <w:p w:rsidR="00EA7C9E" w:rsidRDefault="0086354C" w:rsidP="0086354C">
      <w:r>
        <w:t>The Vessix Vascular V2 system is classified under ‘catheter, angioplasty, radiofrequency, thermal. All other devices are classified under ‘generator, lesion, radiofrequency’.</w:t>
      </w:r>
    </w:p>
    <w:p w:rsidR="00343707" w:rsidRDefault="00717658" w:rsidP="0086354C">
      <w:r>
        <w:t>Currently no ultrasound-based renal denervation device is listed on the ARTG.</w:t>
      </w:r>
    </w:p>
    <w:p w:rsidR="0086354C" w:rsidRDefault="0086354C" w:rsidP="0086354C">
      <w:pPr>
        <w:pStyle w:val="Caption"/>
        <w:rPr>
          <w:rFonts w:cs="Tahoma"/>
          <w:color w:val="221E1F"/>
          <w:sz w:val="18"/>
          <w:szCs w:val="18"/>
        </w:rPr>
      </w:pPr>
      <w:bookmarkStart w:id="33" w:name="_Ref350345262"/>
      <w:r>
        <w:t xml:space="preserve">Table </w:t>
      </w:r>
      <w:r>
        <w:fldChar w:fldCharType="begin"/>
      </w:r>
      <w:r>
        <w:instrText xml:space="preserve"> SEQ Table \* ARABIC </w:instrText>
      </w:r>
      <w:r>
        <w:fldChar w:fldCharType="separate"/>
      </w:r>
      <w:r w:rsidR="003115E8">
        <w:rPr>
          <w:noProof/>
        </w:rPr>
        <w:t>2</w:t>
      </w:r>
      <w:r>
        <w:rPr>
          <w:noProof/>
        </w:rPr>
        <w:fldChar w:fldCharType="end"/>
      </w:r>
      <w:bookmarkEnd w:id="33"/>
      <w:r>
        <w:t xml:space="preserve"> Australian regulatory status of catheter-based ablative devices for use in the renal arteries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Australian regulatory status of catheter-based ablative devices for use in the renal arteries"/>
        <w:tblDescription w:val="Table 2 Australian regulatory status of catheter-based ablative devices for use in the renal arteries"/>
      </w:tblPr>
      <w:tblGrid>
        <w:gridCol w:w="886"/>
        <w:gridCol w:w="2046"/>
        <w:gridCol w:w="4264"/>
        <w:gridCol w:w="1984"/>
      </w:tblGrid>
      <w:tr w:rsidR="0086354C" w:rsidRPr="00016364" w:rsidTr="002C6039">
        <w:trPr>
          <w:trHeight w:val="20"/>
          <w:tblHeader/>
        </w:trPr>
        <w:tc>
          <w:tcPr>
            <w:tcW w:w="886" w:type="dxa"/>
            <w:noWrap/>
          </w:tcPr>
          <w:p w:rsidR="0086354C" w:rsidRPr="0058153C" w:rsidRDefault="0086354C" w:rsidP="002C6039">
            <w:pPr>
              <w:tabs>
                <w:tab w:val="left" w:pos="2835"/>
              </w:tabs>
              <w:spacing w:before="40" w:after="0" w:line="240" w:lineRule="auto"/>
              <w:jc w:val="left"/>
              <w:rPr>
                <w:rFonts w:ascii="Arial Narrow" w:hAnsi="Arial Narrow" w:cs="Arial Narrow"/>
                <w:b/>
                <w:bCs/>
                <w:color w:val="000000"/>
                <w:lang w:eastAsia="en-AU"/>
              </w:rPr>
            </w:pPr>
            <w:r w:rsidRPr="0058153C">
              <w:rPr>
                <w:rFonts w:ascii="Arial Narrow" w:hAnsi="Arial Narrow" w:cs="Arial Narrow"/>
                <w:b/>
                <w:bCs/>
                <w:color w:val="000000"/>
                <w:sz w:val="22"/>
                <w:szCs w:val="22"/>
                <w:lang w:eastAsia="en-AU"/>
              </w:rPr>
              <w:t>ARTG no.</w:t>
            </w:r>
          </w:p>
        </w:tc>
        <w:tc>
          <w:tcPr>
            <w:tcW w:w="2046" w:type="dxa"/>
            <w:noWrap/>
          </w:tcPr>
          <w:p w:rsidR="0086354C" w:rsidRPr="0058153C" w:rsidRDefault="0086354C" w:rsidP="002C6039">
            <w:pPr>
              <w:tabs>
                <w:tab w:val="left" w:pos="2835"/>
              </w:tabs>
              <w:spacing w:before="40" w:after="0" w:line="240" w:lineRule="auto"/>
              <w:jc w:val="left"/>
              <w:rPr>
                <w:rFonts w:ascii="Arial Narrow" w:hAnsi="Arial Narrow" w:cs="Arial Narrow"/>
                <w:b/>
                <w:bCs/>
                <w:color w:val="000000"/>
                <w:lang w:eastAsia="en-AU"/>
              </w:rPr>
            </w:pPr>
            <w:r w:rsidRPr="0058153C">
              <w:rPr>
                <w:rFonts w:ascii="Arial Narrow" w:hAnsi="Arial Narrow" w:cs="Arial Narrow"/>
                <w:b/>
                <w:bCs/>
                <w:color w:val="000000"/>
                <w:sz w:val="22"/>
                <w:szCs w:val="22"/>
                <w:lang w:eastAsia="en-AU"/>
              </w:rPr>
              <w:t>Sponsor</w:t>
            </w:r>
          </w:p>
        </w:tc>
        <w:tc>
          <w:tcPr>
            <w:tcW w:w="4264" w:type="dxa"/>
            <w:noWrap/>
          </w:tcPr>
          <w:p w:rsidR="0086354C" w:rsidRPr="0058153C" w:rsidRDefault="0086354C" w:rsidP="002C6039">
            <w:pPr>
              <w:tabs>
                <w:tab w:val="left" w:pos="2835"/>
              </w:tabs>
              <w:spacing w:before="40" w:after="0" w:line="240" w:lineRule="auto"/>
              <w:jc w:val="left"/>
              <w:rPr>
                <w:rFonts w:ascii="Arial Narrow" w:hAnsi="Arial Narrow" w:cs="Arial Narrow"/>
                <w:b/>
                <w:bCs/>
                <w:color w:val="000000"/>
                <w:lang w:eastAsia="en-AU"/>
              </w:rPr>
            </w:pPr>
            <w:r w:rsidRPr="0058153C">
              <w:rPr>
                <w:rFonts w:ascii="Arial Narrow" w:hAnsi="Arial Narrow" w:cs="Arial Narrow"/>
                <w:b/>
                <w:bCs/>
                <w:color w:val="000000"/>
                <w:sz w:val="22"/>
                <w:szCs w:val="22"/>
                <w:lang w:eastAsia="en-AU"/>
              </w:rPr>
              <w:t>Item Description</w:t>
            </w:r>
          </w:p>
        </w:tc>
        <w:tc>
          <w:tcPr>
            <w:tcW w:w="1984" w:type="dxa"/>
            <w:noWrap/>
          </w:tcPr>
          <w:p w:rsidR="0086354C" w:rsidRPr="0058153C" w:rsidRDefault="0086354C" w:rsidP="002C6039">
            <w:pPr>
              <w:tabs>
                <w:tab w:val="left" w:pos="2835"/>
              </w:tabs>
              <w:spacing w:before="40" w:after="0" w:line="240" w:lineRule="auto"/>
              <w:jc w:val="left"/>
              <w:rPr>
                <w:rFonts w:ascii="Arial Narrow" w:hAnsi="Arial Narrow" w:cs="Arial Narrow"/>
                <w:b/>
                <w:bCs/>
                <w:color w:val="000000"/>
                <w:lang w:eastAsia="en-AU"/>
              </w:rPr>
            </w:pPr>
            <w:r w:rsidRPr="0058153C">
              <w:rPr>
                <w:rFonts w:ascii="Arial Narrow" w:hAnsi="Arial Narrow" w:cs="Arial Narrow"/>
                <w:b/>
                <w:bCs/>
                <w:color w:val="000000"/>
                <w:sz w:val="22"/>
                <w:szCs w:val="22"/>
                <w:lang w:eastAsia="en-AU"/>
              </w:rPr>
              <w:t>Product Category</w:t>
            </w:r>
          </w:p>
        </w:tc>
      </w:tr>
      <w:tr w:rsidR="0086354C" w:rsidRPr="00016364" w:rsidTr="002C6039">
        <w:trPr>
          <w:trHeight w:val="20"/>
        </w:trPr>
        <w:tc>
          <w:tcPr>
            <w:tcW w:w="886" w:type="dxa"/>
            <w:noWrap/>
          </w:tcPr>
          <w:p w:rsidR="0086354C" w:rsidRPr="0058153C" w:rsidRDefault="0086354C" w:rsidP="002C6039">
            <w:pPr>
              <w:tabs>
                <w:tab w:val="left" w:pos="2835"/>
              </w:tabs>
              <w:spacing w:before="40" w:after="0" w:line="240" w:lineRule="auto"/>
              <w:jc w:val="right"/>
              <w:rPr>
                <w:rFonts w:ascii="Arial Narrow" w:hAnsi="Arial Narrow" w:cs="Arial Narrow"/>
                <w:color w:val="000000"/>
                <w:lang w:eastAsia="en-AU"/>
              </w:rPr>
            </w:pPr>
            <w:r w:rsidRPr="0058153C">
              <w:rPr>
                <w:rFonts w:ascii="Arial Narrow" w:hAnsi="Arial Narrow" w:cs="Arial Narrow"/>
                <w:color w:val="000000"/>
                <w:sz w:val="22"/>
                <w:szCs w:val="22"/>
                <w:lang w:eastAsia="en-AU"/>
              </w:rPr>
              <w:t>186730</w:t>
            </w:r>
          </w:p>
        </w:tc>
        <w:tc>
          <w:tcPr>
            <w:tcW w:w="2046"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Medtronic Australasia Pty Ltd</w:t>
            </w:r>
          </w:p>
        </w:tc>
        <w:tc>
          <w:tcPr>
            <w:tcW w:w="4264" w:type="dxa"/>
          </w:tcPr>
          <w:p w:rsidR="0086354C" w:rsidRPr="0058153C" w:rsidRDefault="0086354C" w:rsidP="006D54F5">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 xml:space="preserve">Ardian Symplicity® Catheter System is intended to deliver low-level radiofrequency energy </w:t>
            </w:r>
            <w:r w:rsidRPr="0058153C">
              <w:rPr>
                <w:rFonts w:ascii="Arial Narrow" w:hAnsi="Arial Narrow" w:cs="Arial Narrow"/>
                <w:b/>
                <w:bCs/>
                <w:color w:val="000000"/>
                <w:sz w:val="22"/>
                <w:szCs w:val="22"/>
                <w:lang w:eastAsia="en-AU"/>
              </w:rPr>
              <w:t>through the wall of the renal artery to denervate the human kidney</w:t>
            </w:r>
            <w:r w:rsidRPr="0058153C">
              <w:rPr>
                <w:rFonts w:ascii="Arial Narrow" w:hAnsi="Arial Narrow" w:cs="Arial Narrow"/>
                <w:color w:val="000000"/>
                <w:sz w:val="22"/>
                <w:szCs w:val="22"/>
                <w:lang w:eastAsia="en-AU"/>
              </w:rPr>
              <w:t>. The System may consist of a generator (to deliver the controlled radiofrequency energy at specific power, temperature and time settings) with its power cord, a foot pedal and an extension cable.</w:t>
            </w:r>
          </w:p>
        </w:tc>
        <w:tc>
          <w:tcPr>
            <w:tcW w:w="1984"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Medical Device Class IIb</w:t>
            </w:r>
          </w:p>
        </w:tc>
      </w:tr>
      <w:tr w:rsidR="0086354C" w:rsidRPr="00016364" w:rsidTr="002C6039">
        <w:trPr>
          <w:trHeight w:val="20"/>
        </w:trPr>
        <w:tc>
          <w:tcPr>
            <w:tcW w:w="886" w:type="dxa"/>
            <w:noWrap/>
          </w:tcPr>
          <w:p w:rsidR="0086354C" w:rsidRPr="0058153C" w:rsidRDefault="0086354C" w:rsidP="002C6039">
            <w:pPr>
              <w:tabs>
                <w:tab w:val="left" w:pos="2835"/>
              </w:tabs>
              <w:spacing w:before="40" w:after="0" w:line="240" w:lineRule="auto"/>
              <w:jc w:val="right"/>
              <w:rPr>
                <w:rFonts w:ascii="Arial Narrow" w:hAnsi="Arial Narrow" w:cs="Arial Narrow"/>
                <w:color w:val="000000"/>
                <w:lang w:eastAsia="en-AU"/>
              </w:rPr>
            </w:pPr>
            <w:r w:rsidRPr="0058153C">
              <w:rPr>
                <w:rFonts w:ascii="Arial Narrow" w:hAnsi="Arial Narrow" w:cs="Arial Narrow"/>
                <w:color w:val="000000"/>
                <w:sz w:val="22"/>
                <w:szCs w:val="22"/>
                <w:lang w:eastAsia="en-AU"/>
              </w:rPr>
              <w:t>198986</w:t>
            </w:r>
          </w:p>
        </w:tc>
        <w:tc>
          <w:tcPr>
            <w:tcW w:w="2046"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Medtronic Australasia Pty Ltd</w:t>
            </w:r>
          </w:p>
        </w:tc>
        <w:tc>
          <w:tcPr>
            <w:tcW w:w="4264" w:type="dxa"/>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 xml:space="preserve">Symplicity® Catheter System is intended to deliver low-level radiofrequency energy </w:t>
            </w:r>
            <w:r w:rsidRPr="0058153C">
              <w:rPr>
                <w:rFonts w:ascii="Arial Narrow" w:hAnsi="Arial Narrow" w:cs="Arial Narrow"/>
                <w:b/>
                <w:bCs/>
                <w:color w:val="000000"/>
                <w:sz w:val="22"/>
                <w:szCs w:val="22"/>
                <w:lang w:eastAsia="en-AU"/>
              </w:rPr>
              <w:t>through the wall of the renal artery to denervate the human kidney</w:t>
            </w:r>
            <w:r w:rsidRPr="0058153C">
              <w:rPr>
                <w:rFonts w:ascii="Arial Narrow" w:hAnsi="Arial Narrow" w:cs="Arial Narrow"/>
                <w:color w:val="000000"/>
                <w:sz w:val="22"/>
                <w:szCs w:val="22"/>
                <w:lang w:eastAsia="en-AU"/>
              </w:rPr>
              <w:t>. The System may consist of a generator (to deliver the controlled radiofrequency energy at specific power, temperature and time settings) with its power cord, a foot pedal and an extension cable.</w:t>
            </w:r>
          </w:p>
        </w:tc>
        <w:tc>
          <w:tcPr>
            <w:tcW w:w="1984"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Medical Device Class IIb</w:t>
            </w:r>
          </w:p>
        </w:tc>
      </w:tr>
      <w:tr w:rsidR="0086354C" w:rsidRPr="00016364" w:rsidTr="002C6039">
        <w:trPr>
          <w:trHeight w:val="20"/>
        </w:trPr>
        <w:tc>
          <w:tcPr>
            <w:tcW w:w="886" w:type="dxa"/>
            <w:noWrap/>
          </w:tcPr>
          <w:p w:rsidR="0086354C" w:rsidRPr="0058153C" w:rsidRDefault="0086354C" w:rsidP="002C6039">
            <w:pPr>
              <w:tabs>
                <w:tab w:val="left" w:pos="2835"/>
              </w:tabs>
              <w:spacing w:before="40" w:after="0" w:line="240" w:lineRule="auto"/>
              <w:jc w:val="right"/>
              <w:rPr>
                <w:rFonts w:ascii="Arial Narrow" w:hAnsi="Arial Narrow" w:cs="Arial Narrow"/>
                <w:color w:val="000000"/>
                <w:lang w:eastAsia="en-AU"/>
              </w:rPr>
            </w:pPr>
            <w:r w:rsidRPr="0058153C">
              <w:rPr>
                <w:rFonts w:ascii="Arial Narrow" w:hAnsi="Arial Narrow" w:cs="Arial Narrow"/>
                <w:color w:val="000000"/>
                <w:sz w:val="22"/>
                <w:szCs w:val="22"/>
                <w:lang w:eastAsia="en-AU"/>
              </w:rPr>
              <w:t>198985</w:t>
            </w:r>
          </w:p>
        </w:tc>
        <w:tc>
          <w:tcPr>
            <w:tcW w:w="2046"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Medtronic Australasia Pty Ltd</w:t>
            </w:r>
          </w:p>
        </w:tc>
        <w:tc>
          <w:tcPr>
            <w:tcW w:w="4264" w:type="dxa"/>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 xml:space="preserve">Symplicity® Catheter System is intended to deliver low-level radiofrequency energy </w:t>
            </w:r>
            <w:r w:rsidRPr="0058153C">
              <w:rPr>
                <w:rFonts w:ascii="Arial Narrow" w:hAnsi="Arial Narrow" w:cs="Arial Narrow"/>
                <w:b/>
                <w:bCs/>
                <w:color w:val="000000"/>
                <w:sz w:val="22"/>
                <w:szCs w:val="22"/>
                <w:lang w:eastAsia="en-AU"/>
              </w:rPr>
              <w:t xml:space="preserve">through the wall of the renal artery to denervate the human </w:t>
            </w:r>
            <w:r w:rsidRPr="0058153C">
              <w:rPr>
                <w:rFonts w:ascii="Arial Narrow" w:hAnsi="Arial Narrow" w:cs="Arial Narrow"/>
                <w:b/>
                <w:bCs/>
                <w:color w:val="000000"/>
                <w:sz w:val="22"/>
                <w:szCs w:val="22"/>
                <w:lang w:eastAsia="en-AU"/>
              </w:rPr>
              <w:lastRenderedPageBreak/>
              <w:t>kidney</w:t>
            </w:r>
            <w:r w:rsidRPr="0058153C">
              <w:rPr>
                <w:rFonts w:ascii="Arial Narrow" w:hAnsi="Arial Narrow" w:cs="Arial Narrow"/>
                <w:color w:val="000000"/>
                <w:sz w:val="22"/>
                <w:szCs w:val="22"/>
                <w:lang w:eastAsia="en-AU"/>
              </w:rPr>
              <w:t>.</w:t>
            </w:r>
          </w:p>
        </w:tc>
        <w:tc>
          <w:tcPr>
            <w:tcW w:w="1984"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lastRenderedPageBreak/>
              <w:t>Medical Device Class IIb</w:t>
            </w:r>
          </w:p>
        </w:tc>
      </w:tr>
      <w:tr w:rsidR="0086354C" w:rsidRPr="00016364" w:rsidTr="002C6039">
        <w:trPr>
          <w:trHeight w:val="20"/>
        </w:trPr>
        <w:tc>
          <w:tcPr>
            <w:tcW w:w="886" w:type="dxa"/>
            <w:noWrap/>
          </w:tcPr>
          <w:p w:rsidR="0086354C" w:rsidRPr="0058153C" w:rsidRDefault="0086354C" w:rsidP="002C6039">
            <w:pPr>
              <w:tabs>
                <w:tab w:val="left" w:pos="2835"/>
              </w:tabs>
              <w:spacing w:before="40" w:after="0" w:line="240" w:lineRule="auto"/>
              <w:jc w:val="right"/>
              <w:rPr>
                <w:rFonts w:ascii="Arial Narrow" w:hAnsi="Arial Narrow" w:cs="Arial Narrow"/>
                <w:color w:val="000000"/>
                <w:lang w:eastAsia="en-AU"/>
              </w:rPr>
            </w:pPr>
            <w:r w:rsidRPr="0058153C">
              <w:rPr>
                <w:rFonts w:ascii="Arial Narrow" w:hAnsi="Arial Narrow" w:cs="Arial Narrow"/>
                <w:color w:val="000000"/>
                <w:sz w:val="22"/>
                <w:szCs w:val="22"/>
                <w:lang w:eastAsia="en-AU"/>
              </w:rPr>
              <w:lastRenderedPageBreak/>
              <w:t>170236</w:t>
            </w:r>
          </w:p>
        </w:tc>
        <w:tc>
          <w:tcPr>
            <w:tcW w:w="2046"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Medtronic Australasia Pty Ltd</w:t>
            </w:r>
          </w:p>
        </w:tc>
        <w:tc>
          <w:tcPr>
            <w:tcW w:w="4264" w:type="dxa"/>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 xml:space="preserve">The Symplicity® System is intended to deliver low-level radiofrequency energy </w:t>
            </w:r>
            <w:r w:rsidRPr="0058153C">
              <w:rPr>
                <w:rFonts w:ascii="Arial Narrow" w:hAnsi="Arial Narrow" w:cs="Arial Narrow"/>
                <w:b/>
                <w:bCs/>
                <w:color w:val="000000"/>
                <w:sz w:val="22"/>
                <w:szCs w:val="22"/>
                <w:lang w:eastAsia="en-AU"/>
              </w:rPr>
              <w:t>through the wall of the renal artery to denervate the human kidney</w:t>
            </w:r>
            <w:r w:rsidRPr="0058153C">
              <w:rPr>
                <w:rFonts w:ascii="Arial Narrow" w:hAnsi="Arial Narrow" w:cs="Arial Narrow"/>
                <w:color w:val="000000"/>
                <w:sz w:val="22"/>
                <w:szCs w:val="22"/>
                <w:lang w:eastAsia="en-AU"/>
              </w:rPr>
              <w:t>.</w:t>
            </w:r>
          </w:p>
        </w:tc>
        <w:tc>
          <w:tcPr>
            <w:tcW w:w="1984"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Medical Device Class IIb</w:t>
            </w:r>
          </w:p>
        </w:tc>
      </w:tr>
      <w:tr w:rsidR="0086354C" w:rsidRPr="00016364" w:rsidTr="002C6039">
        <w:trPr>
          <w:trHeight w:val="20"/>
        </w:trPr>
        <w:tc>
          <w:tcPr>
            <w:tcW w:w="886" w:type="dxa"/>
            <w:noWrap/>
          </w:tcPr>
          <w:p w:rsidR="0086354C" w:rsidRPr="0058153C" w:rsidRDefault="0086354C" w:rsidP="002C6039">
            <w:pPr>
              <w:tabs>
                <w:tab w:val="left" w:pos="2835"/>
              </w:tabs>
              <w:spacing w:before="40" w:after="0" w:line="240" w:lineRule="auto"/>
              <w:jc w:val="right"/>
              <w:rPr>
                <w:rFonts w:ascii="Arial Narrow" w:hAnsi="Arial Narrow" w:cs="Arial Narrow"/>
                <w:color w:val="000000"/>
                <w:lang w:eastAsia="en-AU"/>
              </w:rPr>
            </w:pPr>
            <w:r w:rsidRPr="0058153C">
              <w:rPr>
                <w:rFonts w:ascii="Arial Narrow" w:hAnsi="Arial Narrow" w:cs="Arial Narrow"/>
                <w:color w:val="000000"/>
                <w:sz w:val="22"/>
                <w:szCs w:val="22"/>
                <w:lang w:eastAsia="en-AU"/>
              </w:rPr>
              <w:t>200781</w:t>
            </w:r>
          </w:p>
        </w:tc>
        <w:tc>
          <w:tcPr>
            <w:tcW w:w="2046"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Covidien Pty Ltd</w:t>
            </w:r>
          </w:p>
        </w:tc>
        <w:tc>
          <w:tcPr>
            <w:tcW w:w="4264" w:type="dxa"/>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 xml:space="preserve">The generator delivers low-level radiofrequency energy </w:t>
            </w:r>
            <w:r w:rsidRPr="0058153C">
              <w:rPr>
                <w:rFonts w:ascii="Arial Narrow" w:hAnsi="Arial Narrow" w:cs="Arial Narrow"/>
                <w:b/>
                <w:bCs/>
                <w:color w:val="000000"/>
                <w:sz w:val="22"/>
                <w:szCs w:val="22"/>
                <w:lang w:eastAsia="en-AU"/>
              </w:rPr>
              <w:t>through the wall of the renal artery to denervate the human kidney</w:t>
            </w:r>
            <w:r w:rsidRPr="0058153C">
              <w:rPr>
                <w:rFonts w:ascii="Arial Narrow" w:hAnsi="Arial Narrow" w:cs="Arial Narrow"/>
                <w:color w:val="000000"/>
                <w:sz w:val="22"/>
                <w:szCs w:val="22"/>
                <w:lang w:eastAsia="en-AU"/>
              </w:rPr>
              <w:t>. The System may consist of a generator (to deliver the controlled radiofrequency energy) with its AC power cord.</w:t>
            </w:r>
          </w:p>
        </w:tc>
        <w:tc>
          <w:tcPr>
            <w:tcW w:w="1984"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Medical Devices Class I</w:t>
            </w:r>
          </w:p>
        </w:tc>
      </w:tr>
      <w:tr w:rsidR="0086354C" w:rsidRPr="00016364" w:rsidTr="002C6039">
        <w:trPr>
          <w:trHeight w:val="20"/>
        </w:trPr>
        <w:tc>
          <w:tcPr>
            <w:tcW w:w="886" w:type="dxa"/>
            <w:noWrap/>
          </w:tcPr>
          <w:p w:rsidR="0086354C" w:rsidRPr="0058153C" w:rsidRDefault="0086354C" w:rsidP="002C6039">
            <w:pPr>
              <w:tabs>
                <w:tab w:val="left" w:pos="2835"/>
              </w:tabs>
              <w:spacing w:before="40" w:after="0" w:line="240" w:lineRule="auto"/>
              <w:jc w:val="right"/>
              <w:rPr>
                <w:rFonts w:ascii="Arial Narrow" w:hAnsi="Arial Narrow" w:cs="Arial Narrow"/>
                <w:color w:val="000000"/>
                <w:lang w:eastAsia="en-AU"/>
              </w:rPr>
            </w:pPr>
            <w:r w:rsidRPr="0058153C">
              <w:rPr>
                <w:rFonts w:ascii="Arial Narrow" w:hAnsi="Arial Narrow" w:cs="Arial Narrow"/>
                <w:color w:val="000000"/>
                <w:sz w:val="22"/>
                <w:szCs w:val="22"/>
                <w:lang w:eastAsia="en-AU"/>
              </w:rPr>
              <w:t>201773</w:t>
            </w:r>
          </w:p>
        </w:tc>
        <w:tc>
          <w:tcPr>
            <w:tcW w:w="2046"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Covidien Pty Ltd</w:t>
            </w:r>
          </w:p>
        </w:tc>
        <w:tc>
          <w:tcPr>
            <w:tcW w:w="4264" w:type="dxa"/>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 xml:space="preserve">The generator delivers low-level radiofrequency energy </w:t>
            </w:r>
            <w:r w:rsidRPr="0058153C">
              <w:rPr>
                <w:rFonts w:ascii="Arial Narrow" w:hAnsi="Arial Narrow" w:cs="Arial Narrow"/>
                <w:b/>
                <w:bCs/>
                <w:color w:val="000000"/>
                <w:sz w:val="22"/>
                <w:szCs w:val="22"/>
                <w:lang w:eastAsia="en-AU"/>
              </w:rPr>
              <w:t>through the wall of the renal artery to denervate the human kidney</w:t>
            </w:r>
            <w:r w:rsidRPr="0058153C">
              <w:rPr>
                <w:rFonts w:ascii="Arial Narrow" w:hAnsi="Arial Narrow" w:cs="Arial Narrow"/>
                <w:color w:val="000000"/>
                <w:sz w:val="22"/>
                <w:szCs w:val="22"/>
                <w:lang w:eastAsia="en-AU"/>
              </w:rPr>
              <w:t>. The System may consist of a generator (to deliver the controlled radiofrequency energy) with its AC power cord.</w:t>
            </w:r>
          </w:p>
        </w:tc>
        <w:tc>
          <w:tcPr>
            <w:tcW w:w="1984"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Medical Devices Class IIb</w:t>
            </w:r>
          </w:p>
        </w:tc>
      </w:tr>
      <w:tr w:rsidR="0086354C" w:rsidRPr="00016364" w:rsidTr="002C6039">
        <w:trPr>
          <w:trHeight w:val="20"/>
        </w:trPr>
        <w:tc>
          <w:tcPr>
            <w:tcW w:w="886" w:type="dxa"/>
            <w:noWrap/>
          </w:tcPr>
          <w:p w:rsidR="0086354C" w:rsidRPr="0058153C" w:rsidRDefault="0086354C" w:rsidP="002C6039">
            <w:pPr>
              <w:tabs>
                <w:tab w:val="left" w:pos="2835"/>
              </w:tabs>
              <w:spacing w:before="40" w:after="0" w:line="240" w:lineRule="auto"/>
              <w:jc w:val="right"/>
              <w:rPr>
                <w:rFonts w:ascii="Arial Narrow" w:hAnsi="Arial Narrow" w:cs="Arial Narrow"/>
                <w:color w:val="000000"/>
                <w:lang w:eastAsia="en-AU"/>
              </w:rPr>
            </w:pPr>
            <w:r w:rsidRPr="0058153C">
              <w:rPr>
                <w:rFonts w:ascii="Arial Narrow" w:hAnsi="Arial Narrow" w:cs="Arial Narrow"/>
                <w:color w:val="000000"/>
                <w:sz w:val="22"/>
                <w:szCs w:val="22"/>
                <w:lang w:eastAsia="en-AU"/>
              </w:rPr>
              <w:t>198878</w:t>
            </w:r>
          </w:p>
        </w:tc>
        <w:tc>
          <w:tcPr>
            <w:tcW w:w="2046"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St Jude Medical Australia Pty Ltd</w:t>
            </w:r>
          </w:p>
        </w:tc>
        <w:tc>
          <w:tcPr>
            <w:tcW w:w="4264"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 xml:space="preserve">The RF Ablation Generator is intended to deliver RF energy to the </w:t>
            </w:r>
            <w:r w:rsidRPr="0058153C">
              <w:rPr>
                <w:rFonts w:ascii="Arial Narrow" w:hAnsi="Arial Narrow" w:cs="Arial Narrow"/>
                <w:b/>
                <w:bCs/>
                <w:color w:val="000000"/>
                <w:sz w:val="22"/>
                <w:szCs w:val="22"/>
                <w:lang w:eastAsia="en-AU"/>
              </w:rPr>
              <w:t>Renal Artery Ablation Catheter</w:t>
            </w:r>
          </w:p>
        </w:tc>
        <w:tc>
          <w:tcPr>
            <w:tcW w:w="1984"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Medical Device Class IIb</w:t>
            </w:r>
          </w:p>
        </w:tc>
      </w:tr>
      <w:tr w:rsidR="0086354C" w:rsidRPr="00016364" w:rsidTr="002C6039">
        <w:trPr>
          <w:trHeight w:val="20"/>
        </w:trPr>
        <w:tc>
          <w:tcPr>
            <w:tcW w:w="886" w:type="dxa"/>
            <w:noWrap/>
          </w:tcPr>
          <w:p w:rsidR="0086354C" w:rsidRPr="0058153C" w:rsidRDefault="0086354C" w:rsidP="002C6039">
            <w:pPr>
              <w:tabs>
                <w:tab w:val="left" w:pos="2835"/>
              </w:tabs>
              <w:spacing w:before="40" w:after="0" w:line="240" w:lineRule="auto"/>
              <w:jc w:val="right"/>
              <w:rPr>
                <w:rFonts w:ascii="Arial Narrow" w:hAnsi="Arial Narrow" w:cs="Arial Narrow"/>
                <w:color w:val="000000"/>
                <w:lang w:eastAsia="en-AU"/>
              </w:rPr>
            </w:pPr>
            <w:r w:rsidRPr="0058153C">
              <w:rPr>
                <w:rFonts w:ascii="Arial Narrow" w:hAnsi="Arial Narrow" w:cs="Arial Narrow"/>
                <w:color w:val="000000"/>
                <w:sz w:val="22"/>
                <w:szCs w:val="22"/>
                <w:lang w:eastAsia="en-AU"/>
              </w:rPr>
              <w:t>197340</w:t>
            </w:r>
          </w:p>
        </w:tc>
        <w:tc>
          <w:tcPr>
            <w:tcW w:w="2046"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St Jude Medical Australia Pty Ltd</w:t>
            </w:r>
          </w:p>
        </w:tc>
        <w:tc>
          <w:tcPr>
            <w:tcW w:w="4264" w:type="dxa"/>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 xml:space="preserve">The ablation catheter is indicated </w:t>
            </w:r>
            <w:r w:rsidRPr="0058153C">
              <w:rPr>
                <w:rFonts w:ascii="Arial Narrow" w:hAnsi="Arial Narrow" w:cs="Arial Narrow"/>
                <w:b/>
                <w:bCs/>
                <w:color w:val="000000"/>
                <w:sz w:val="22"/>
                <w:szCs w:val="22"/>
                <w:lang w:eastAsia="en-AU"/>
              </w:rPr>
              <w:t>for use in renal denervation procedures for the treatment of hypertension</w:t>
            </w:r>
            <w:r w:rsidRPr="0058153C">
              <w:rPr>
                <w:rFonts w:ascii="Arial Narrow" w:hAnsi="Arial Narrow" w:cs="Arial Narrow"/>
                <w:color w:val="000000"/>
                <w:sz w:val="22"/>
                <w:szCs w:val="22"/>
                <w:lang w:eastAsia="en-AU"/>
              </w:rPr>
              <w:t>.</w:t>
            </w:r>
          </w:p>
        </w:tc>
        <w:tc>
          <w:tcPr>
            <w:tcW w:w="1984"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Medical Device Class IIb</w:t>
            </w:r>
          </w:p>
        </w:tc>
      </w:tr>
      <w:tr w:rsidR="0086354C" w:rsidRPr="00016364" w:rsidTr="002C6039">
        <w:trPr>
          <w:trHeight w:val="20"/>
        </w:trPr>
        <w:tc>
          <w:tcPr>
            <w:tcW w:w="886" w:type="dxa"/>
            <w:noWrap/>
          </w:tcPr>
          <w:p w:rsidR="0086354C" w:rsidRPr="0058153C" w:rsidRDefault="0086354C" w:rsidP="002C6039">
            <w:pPr>
              <w:tabs>
                <w:tab w:val="left" w:pos="2835"/>
              </w:tabs>
              <w:spacing w:before="40" w:after="0" w:line="240" w:lineRule="auto"/>
              <w:jc w:val="right"/>
              <w:rPr>
                <w:rFonts w:ascii="Arial Narrow" w:hAnsi="Arial Narrow" w:cs="Arial Narrow"/>
                <w:color w:val="000000"/>
                <w:lang w:eastAsia="en-AU"/>
              </w:rPr>
            </w:pPr>
            <w:r w:rsidRPr="0058153C">
              <w:rPr>
                <w:rFonts w:ascii="Arial Narrow" w:hAnsi="Arial Narrow" w:cs="Arial Narrow"/>
                <w:color w:val="000000"/>
                <w:sz w:val="22"/>
                <w:szCs w:val="22"/>
                <w:lang w:eastAsia="en-AU"/>
              </w:rPr>
              <w:t>200215</w:t>
            </w:r>
          </w:p>
        </w:tc>
        <w:tc>
          <w:tcPr>
            <w:tcW w:w="2046"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Pacific Clinical Research Group Pty Ltd</w:t>
            </w:r>
          </w:p>
        </w:tc>
        <w:tc>
          <w:tcPr>
            <w:tcW w:w="4264" w:type="dxa"/>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 xml:space="preserve">The Vessix Vascular V2 Renal Denervation System is intended to be used to treat patients with medication-resistant hypertension. The Vessix Vascular V2 Catheter is </w:t>
            </w:r>
            <w:r w:rsidRPr="0058153C">
              <w:rPr>
                <w:rFonts w:ascii="Arial Narrow" w:hAnsi="Arial Narrow" w:cs="Arial Narrow"/>
                <w:b/>
                <w:bCs/>
                <w:color w:val="000000"/>
                <w:sz w:val="22"/>
                <w:szCs w:val="22"/>
                <w:lang w:eastAsia="en-AU"/>
              </w:rPr>
              <w:t xml:space="preserve">NOT intended for use in any artery other than the renal artery </w:t>
            </w:r>
            <w:r w:rsidRPr="0058153C">
              <w:rPr>
                <w:rFonts w:ascii="Arial Narrow" w:hAnsi="Arial Narrow" w:cs="Arial Narrow"/>
                <w:color w:val="000000"/>
                <w:sz w:val="22"/>
                <w:szCs w:val="22"/>
                <w:lang w:eastAsia="en-AU"/>
              </w:rPr>
              <w:t>and is designed and intended to be used ONLY with the Vessix Vascular V2 Generator.</w:t>
            </w:r>
          </w:p>
        </w:tc>
        <w:tc>
          <w:tcPr>
            <w:tcW w:w="1984" w:type="dxa"/>
            <w:noWrap/>
          </w:tcPr>
          <w:p w:rsidR="0086354C" w:rsidRPr="0058153C" w:rsidRDefault="0086354C" w:rsidP="002C6039">
            <w:pPr>
              <w:tabs>
                <w:tab w:val="left" w:pos="2835"/>
              </w:tabs>
              <w:spacing w:before="40" w:after="0" w:line="240" w:lineRule="auto"/>
              <w:jc w:val="left"/>
              <w:rPr>
                <w:rFonts w:ascii="Arial Narrow" w:hAnsi="Arial Narrow" w:cs="Arial Narrow"/>
                <w:color w:val="000000"/>
                <w:lang w:eastAsia="en-AU"/>
              </w:rPr>
            </w:pPr>
            <w:r w:rsidRPr="0058153C">
              <w:rPr>
                <w:rFonts w:ascii="Arial Narrow" w:hAnsi="Arial Narrow" w:cs="Arial Narrow"/>
                <w:color w:val="000000"/>
                <w:sz w:val="22"/>
                <w:szCs w:val="22"/>
                <w:lang w:eastAsia="en-AU"/>
              </w:rPr>
              <w:t>Medical Device Class IIb</w:t>
            </w:r>
          </w:p>
        </w:tc>
      </w:tr>
    </w:tbl>
    <w:p w:rsidR="0086354C" w:rsidRPr="00016364" w:rsidRDefault="0086354C" w:rsidP="0086354C">
      <w:pPr>
        <w:pStyle w:val="Heading1"/>
      </w:pPr>
      <w:bookmarkStart w:id="34" w:name="_Toc369595425"/>
      <w:r w:rsidRPr="00016364">
        <w:t>Patient population</w:t>
      </w:r>
      <w:bookmarkEnd w:id="31"/>
      <w:bookmarkEnd w:id="34"/>
    </w:p>
    <w:p w:rsidR="00F409DB" w:rsidRDefault="00845DED" w:rsidP="0086354C">
      <w:r>
        <w:t>C</w:t>
      </w:r>
      <w:r w:rsidR="0086354C" w:rsidRPr="00C83B31">
        <w:t xml:space="preserve">atheter-based renal denervation </w:t>
      </w:r>
      <w:r>
        <w:t>is proposed</w:t>
      </w:r>
      <w:r w:rsidR="0086354C" w:rsidRPr="00C83B31">
        <w:t xml:space="preserve"> for patients with elevated, uncontrolled systolic blood pressure (above target levels), despite compliance with three or more antihypertensive drugs</w:t>
      </w:r>
      <w:r w:rsidR="0086354C">
        <w:t>, including a diuretic</w:t>
      </w:r>
      <w:r w:rsidR="00F409DB">
        <w:t>.</w:t>
      </w:r>
    </w:p>
    <w:p w:rsidR="0086354C" w:rsidRDefault="0086354C" w:rsidP="0086354C">
      <w:r>
        <w:t>C</w:t>
      </w:r>
      <w:r w:rsidRPr="00C83B31">
        <w:t>ompliance with prescribed antihypertensive drug regime will be confirmed and secondary causes of hypertension and possible contributing factors will be excluded before the patient is classified as treatment-resistant hypertension and considered potentially eligible for renal denervation</w:t>
      </w:r>
      <w:r>
        <w:t>, where treatment is c</w:t>
      </w:r>
      <w:r w:rsidRPr="00C83B31">
        <w:t xml:space="preserve">onsistent with Heart Foundation Guidelines (2010). </w:t>
      </w:r>
      <w:r w:rsidR="00217AEA">
        <w:t>PASC acknowledges that it may be impossible to rule out non-compliance to specific aspects of previous treatment (such as weight loss or adherence to lifestyle changes). However, by the time that a patient is considered to be ‘treatment resistant’</w:t>
      </w:r>
      <w:r w:rsidR="00997797">
        <w:t xml:space="preserve"> in line with current guidelines</w:t>
      </w:r>
      <w:r w:rsidR="00217AEA">
        <w:t xml:space="preserve"> they will have realistic</w:t>
      </w:r>
      <w:r w:rsidR="00F409DB">
        <w:t>ally failed all current therapy, and a</w:t>
      </w:r>
      <w:r w:rsidR="006D54F5">
        <w:t xml:space="preserve">ll possible causes of uncontrolled blood pressure </w:t>
      </w:r>
      <w:r w:rsidR="006D54F5">
        <w:lastRenderedPageBreak/>
        <w:t xml:space="preserve">should be addressed as part of the current hypertension management guidelines. </w:t>
      </w:r>
      <w:r w:rsidR="00717658">
        <w:t>In addition, PASC recognises that patients who are unable to adhere to medication due to intolerance or cognitive difficulties could also benefit from the proposed service.</w:t>
      </w:r>
    </w:p>
    <w:p w:rsidR="0086354C" w:rsidRDefault="0086354C" w:rsidP="0086354C">
      <w:r>
        <w:t xml:space="preserve">In terms of further tests to more accurately define the eligible population, other tests (such as the MSNA and spill-over tests) are not simple to perform and are restricted to a few research centres. Therefore the patients who would respond best to the procedure are those simply with high blood pressure readings in whom other causes of hypertension have been excluded and who are unresponsive to treatment. </w:t>
      </w:r>
    </w:p>
    <w:p w:rsidR="0086354C" w:rsidRDefault="00860C7F" w:rsidP="00F31E2B">
      <w:pPr>
        <w:jc w:val="left"/>
      </w:pPr>
      <w:r>
        <w:t>The following population</w:t>
      </w:r>
      <w:r w:rsidR="0086354C">
        <w:t xml:space="preserve"> ha</w:t>
      </w:r>
      <w:r>
        <w:t>s</w:t>
      </w:r>
      <w:r w:rsidR="0086354C">
        <w:t xml:space="preserve"> currently been excluded from consideration for the proposed service in this DAP:</w:t>
      </w:r>
    </w:p>
    <w:p w:rsidR="0086354C" w:rsidRDefault="0086354C" w:rsidP="00F409DB">
      <w:pPr>
        <w:pStyle w:val="ListParagraph"/>
        <w:numPr>
          <w:ilvl w:val="0"/>
          <w:numId w:val="14"/>
        </w:numPr>
        <w:ind w:left="714" w:hanging="357"/>
        <w:jc w:val="left"/>
      </w:pPr>
      <w:r>
        <w:t>Patients whose blood pressure is controlled but requires at least four antihypertensive medications.</w:t>
      </w:r>
    </w:p>
    <w:p w:rsidR="0086354C" w:rsidRPr="00CE0022" w:rsidRDefault="00217AEA" w:rsidP="0086354C">
      <w:r>
        <w:t>PASC acknowledges that patients with renal impairment (eGFR &lt; 45ml/min/1.73m</w:t>
      </w:r>
      <w:r w:rsidRPr="00217AEA">
        <w:rPr>
          <w:vertAlign w:val="superscript"/>
        </w:rPr>
        <w:t>2</w:t>
      </w:r>
      <w:r>
        <w:t>) were excluded in the published trials. However, when applied with clinical discretion</w:t>
      </w:r>
      <w:r w:rsidR="006D6207">
        <w:t xml:space="preserve"> catheter-based renal denervation</w:t>
      </w:r>
      <w:r>
        <w:t xml:space="preserve"> may be able to provide an option in this population. Any evidence regarding the use of renal nerve denervation in this populatio</w:t>
      </w:r>
      <w:r w:rsidR="00F409DB">
        <w:t>n should be provided separately.</w:t>
      </w:r>
    </w:p>
    <w:p w:rsidR="0086354C" w:rsidRPr="00B30167" w:rsidRDefault="0086354C" w:rsidP="0086354C">
      <w:pPr>
        <w:pStyle w:val="Heading2"/>
      </w:pPr>
      <w:bookmarkStart w:id="35" w:name="_Toc283297640"/>
      <w:bookmarkStart w:id="36" w:name="_Toc369595426"/>
      <w:r w:rsidRPr="00B30167">
        <w:t>Proposed MBS listing</w:t>
      </w:r>
      <w:bookmarkEnd w:id="35"/>
      <w:bookmarkEnd w:id="36"/>
    </w:p>
    <w:p w:rsidR="0086354C" w:rsidRPr="00C83B31" w:rsidRDefault="0086354C" w:rsidP="0086354C">
      <w:pPr>
        <w:pStyle w:val="Caption"/>
        <w:rPr>
          <w:rFonts w:cs="Tahoma"/>
        </w:rPr>
      </w:pPr>
      <w:bookmarkStart w:id="37" w:name="_Ref283284346"/>
      <w:r w:rsidRPr="00C83B31">
        <w:t xml:space="preserve">Table </w:t>
      </w:r>
      <w:r>
        <w:fldChar w:fldCharType="begin"/>
      </w:r>
      <w:r>
        <w:instrText xml:space="preserve"> SEQ Table \* ARABIC </w:instrText>
      </w:r>
      <w:r>
        <w:fldChar w:fldCharType="separate"/>
      </w:r>
      <w:r w:rsidR="003115E8">
        <w:rPr>
          <w:noProof/>
        </w:rPr>
        <w:t>3</w:t>
      </w:r>
      <w:r>
        <w:rPr>
          <w:noProof/>
        </w:rPr>
        <w:fldChar w:fldCharType="end"/>
      </w:r>
      <w:bookmarkEnd w:id="37"/>
      <w:r w:rsidRPr="00C83B31">
        <w:t>:</w:t>
      </w:r>
      <w:r>
        <w:t xml:space="preserve"> </w:t>
      </w:r>
      <w:r w:rsidRPr="00C83B31">
        <w:t xml:space="preserve">Proposed MBS item descriptor for </w:t>
      </w:r>
      <w:r w:rsidRPr="00CE0022">
        <w:t>catheter-based renal denervation for treatment-resistant hypertension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3: Proposed MBS item descriptor for catheter-based renal denervation for treatment-resistant hypertension"/>
        <w:tblDescription w:val="Table 3: Proposed MBS item descriptor for catheter-based renal denervation for treatment-resistant hypertension"/>
      </w:tblPr>
      <w:tblGrid>
        <w:gridCol w:w="9134"/>
      </w:tblGrid>
      <w:tr w:rsidR="0086354C" w:rsidRPr="00C83B31" w:rsidTr="002C6039">
        <w:tc>
          <w:tcPr>
            <w:tcW w:w="9134" w:type="dxa"/>
          </w:tcPr>
          <w:p w:rsidR="0086354C" w:rsidRPr="00C83B31" w:rsidRDefault="0086354C" w:rsidP="002C6039">
            <w:pPr>
              <w:spacing w:after="120" w:line="240" w:lineRule="auto"/>
              <w:jc w:val="right"/>
              <w:rPr>
                <w:rFonts w:ascii="Arial Narrow" w:hAnsi="Arial Narrow" w:cs="Arial Narrow"/>
                <w:lang w:eastAsia="ja-JP"/>
              </w:rPr>
            </w:pPr>
            <w:r w:rsidRPr="00CE0022">
              <w:rPr>
                <w:rFonts w:ascii="Arial Narrow" w:hAnsi="Arial Narrow" w:cs="Arial Narrow"/>
                <w:lang w:eastAsia="ja-JP"/>
              </w:rPr>
              <w:t>Category 3 – Therapeutic Procedures</w:t>
            </w:r>
          </w:p>
        </w:tc>
      </w:tr>
      <w:tr w:rsidR="0086354C" w:rsidRPr="00C83B31" w:rsidTr="002C6039">
        <w:tc>
          <w:tcPr>
            <w:tcW w:w="9134" w:type="dxa"/>
          </w:tcPr>
          <w:p w:rsidR="0086354C" w:rsidRPr="00C83B31" w:rsidRDefault="0086354C" w:rsidP="002C6039">
            <w:pPr>
              <w:spacing w:after="120" w:line="240" w:lineRule="auto"/>
              <w:rPr>
                <w:rFonts w:ascii="Arial Narrow" w:hAnsi="Arial Narrow" w:cs="Arial Narrow"/>
                <w:lang w:val="en-US" w:eastAsia="ja-JP"/>
              </w:rPr>
            </w:pPr>
            <w:r w:rsidRPr="00C83B31">
              <w:rPr>
                <w:rFonts w:ascii="Arial Narrow" w:hAnsi="Arial Narrow" w:cs="Arial Narrow"/>
                <w:lang w:val="en-US" w:eastAsia="ja-JP"/>
              </w:rPr>
              <w:t>MBS XXXXX</w:t>
            </w:r>
          </w:p>
          <w:p w:rsidR="0086354C" w:rsidRDefault="0086354C" w:rsidP="002C6039">
            <w:pPr>
              <w:spacing w:after="120" w:line="240" w:lineRule="auto"/>
              <w:rPr>
                <w:rFonts w:ascii="Arial" w:hAnsi="Arial" w:cs="Arial"/>
              </w:rPr>
            </w:pPr>
            <w:r>
              <w:rPr>
                <w:rFonts w:ascii="Arial" w:hAnsi="Arial" w:cs="Arial"/>
              </w:rPr>
              <w:t>E</w:t>
            </w:r>
            <w:r w:rsidRPr="00C83B31">
              <w:rPr>
                <w:rFonts w:ascii="Arial" w:hAnsi="Arial" w:cs="Arial"/>
              </w:rPr>
              <w:t>ndovascular ablation of renal sympathetic nerves</w:t>
            </w:r>
            <w:r>
              <w:rPr>
                <w:rFonts w:ascii="Arial" w:hAnsi="Arial" w:cs="Arial"/>
              </w:rPr>
              <w:t xml:space="preserve"> under image guidance (angiography)</w:t>
            </w:r>
            <w:r w:rsidRPr="00C83B31">
              <w:rPr>
                <w:rFonts w:ascii="Arial" w:hAnsi="Arial" w:cs="Arial"/>
              </w:rPr>
              <w:t xml:space="preserve"> in patients with treatment-resistant hypertension who have been investigated and treated according to hypertension management guidelines.</w:t>
            </w:r>
            <w:r>
              <w:rPr>
                <w:rFonts w:ascii="Arial" w:hAnsi="Arial" w:cs="Arial"/>
              </w:rPr>
              <w:t xml:space="preserve"> Includes angiography. One service only.</w:t>
            </w:r>
          </w:p>
          <w:p w:rsidR="0086354C" w:rsidRPr="00C83B31" w:rsidRDefault="0086354C" w:rsidP="002C6039">
            <w:pPr>
              <w:spacing w:after="120" w:line="240" w:lineRule="auto"/>
              <w:rPr>
                <w:rFonts w:ascii="Arial" w:hAnsi="Arial" w:cs="Arial"/>
              </w:rPr>
            </w:pPr>
            <w:r>
              <w:rPr>
                <w:rFonts w:ascii="Arial" w:hAnsi="Arial" w:cs="Arial"/>
              </w:rPr>
              <w:t>(Anaes.)</w:t>
            </w:r>
          </w:p>
          <w:p w:rsidR="0086354C" w:rsidRPr="00C83B31" w:rsidRDefault="0086354C" w:rsidP="002C6039">
            <w:pPr>
              <w:spacing w:after="120" w:line="240" w:lineRule="auto"/>
              <w:rPr>
                <w:rFonts w:ascii="Arial Narrow" w:hAnsi="Arial Narrow" w:cs="Arial Narrow"/>
                <w:lang w:val="en-US" w:eastAsia="ja-JP"/>
              </w:rPr>
            </w:pPr>
            <w:r w:rsidRPr="00CE0022">
              <w:rPr>
                <w:rFonts w:ascii="Arial Narrow" w:hAnsi="Arial Narrow" w:cs="Arial Narrow"/>
                <w:lang w:val="en-US" w:eastAsia="ja-JP"/>
              </w:rPr>
              <w:t>Fee: $</w:t>
            </w:r>
            <w:r>
              <w:rPr>
                <w:rFonts w:ascii="Arial Narrow" w:hAnsi="Arial Narrow" w:cs="Arial Narrow"/>
                <w:lang w:val="en-US" w:eastAsia="ja-JP"/>
              </w:rPr>
              <w:t>2098.45</w:t>
            </w:r>
          </w:p>
        </w:tc>
      </w:tr>
    </w:tbl>
    <w:p w:rsidR="0086354C" w:rsidRDefault="0086354C" w:rsidP="0086354C">
      <w:pPr>
        <w:rPr>
          <w:rFonts w:ascii="Arial" w:hAnsi="Arial" w:cs="Arial"/>
        </w:rPr>
      </w:pPr>
    </w:p>
    <w:p w:rsidR="00F409DB" w:rsidRDefault="00F409DB" w:rsidP="0086354C">
      <w:pPr>
        <w:rPr>
          <w:rFonts w:ascii="Arial" w:hAnsi="Arial" w:cs="Arial"/>
        </w:rPr>
      </w:pPr>
    </w:p>
    <w:p w:rsidR="00F409DB" w:rsidRPr="00C83B31" w:rsidRDefault="00F409DB" w:rsidP="0086354C">
      <w:pPr>
        <w:rPr>
          <w:rFonts w:ascii="Arial" w:hAnsi="Arial" w:cs="Arial"/>
        </w:rPr>
      </w:pPr>
    </w:p>
    <w:tbl>
      <w:tblPr>
        <w:tblStyle w:val="TableGrid"/>
        <w:tblW w:w="0" w:type="auto"/>
        <w:tblLook w:val="04A0" w:firstRow="1" w:lastRow="0" w:firstColumn="1" w:lastColumn="0" w:noHBand="0" w:noVBand="1"/>
        <w:tblCaption w:val="Notes regarding the MBS listing:"/>
      </w:tblPr>
      <w:tblGrid>
        <w:gridCol w:w="9242"/>
      </w:tblGrid>
      <w:tr w:rsidR="00860C7F" w:rsidTr="00727623">
        <w:trPr>
          <w:tblHeader/>
        </w:trPr>
        <w:tc>
          <w:tcPr>
            <w:tcW w:w="9242" w:type="dxa"/>
          </w:tcPr>
          <w:p w:rsidR="00860C7F" w:rsidRPr="00860C7F" w:rsidRDefault="00860C7F" w:rsidP="00860C7F">
            <w:pPr>
              <w:rPr>
                <w:rFonts w:ascii="Arial" w:hAnsi="Arial" w:cs="Arial"/>
                <w:b/>
              </w:rPr>
            </w:pPr>
            <w:r w:rsidRPr="00860C7F">
              <w:rPr>
                <w:rFonts w:ascii="Arial" w:hAnsi="Arial" w:cs="Arial"/>
                <w:b/>
              </w:rPr>
              <w:lastRenderedPageBreak/>
              <w:t>Notes regarding the MBS listing:</w:t>
            </w:r>
          </w:p>
          <w:p w:rsidR="00860C7F" w:rsidRPr="00B30167" w:rsidRDefault="00860C7F" w:rsidP="00860C7F">
            <w:pPr>
              <w:pStyle w:val="ListParagraph"/>
              <w:numPr>
                <w:ilvl w:val="0"/>
                <w:numId w:val="30"/>
              </w:numPr>
              <w:rPr>
                <w:rFonts w:ascii="Arial" w:hAnsi="Arial" w:cs="Arial"/>
              </w:rPr>
            </w:pPr>
            <w:r w:rsidRPr="00B30167">
              <w:rPr>
                <w:rFonts w:ascii="Arial" w:hAnsi="Arial" w:cs="Arial"/>
              </w:rPr>
              <w:t xml:space="preserve">The proposed listing is broad and includes any </w:t>
            </w:r>
            <w:r w:rsidR="001C0B51">
              <w:rPr>
                <w:rFonts w:ascii="Arial" w:hAnsi="Arial" w:cs="Arial"/>
              </w:rPr>
              <w:t xml:space="preserve">approved </w:t>
            </w:r>
            <w:r w:rsidRPr="00B30167">
              <w:rPr>
                <w:rFonts w:ascii="Arial" w:hAnsi="Arial" w:cs="Arial"/>
              </w:rPr>
              <w:t>endovascular ablative device.</w:t>
            </w:r>
          </w:p>
          <w:p w:rsidR="00860C7F" w:rsidRPr="00B30167" w:rsidRDefault="00860C7F" w:rsidP="00860C7F">
            <w:pPr>
              <w:pStyle w:val="ListParagraph"/>
              <w:numPr>
                <w:ilvl w:val="0"/>
                <w:numId w:val="30"/>
              </w:numPr>
              <w:rPr>
                <w:rFonts w:ascii="Arial" w:hAnsi="Arial" w:cs="Arial"/>
              </w:rPr>
            </w:pPr>
            <w:r w:rsidRPr="00B30167">
              <w:rPr>
                <w:rFonts w:ascii="Arial" w:hAnsi="Arial" w:cs="Arial"/>
              </w:rPr>
              <w:t>This treatment is to be offered as a once-in-a-lifetime service, unless evidence to the contrary becomes available. It has been established that assistant services are not required, and anaesthetist services may be required.</w:t>
            </w:r>
          </w:p>
          <w:p w:rsidR="00860C7F" w:rsidRDefault="00860C7F" w:rsidP="00860C7F">
            <w:pPr>
              <w:pStyle w:val="ListParagraph"/>
              <w:numPr>
                <w:ilvl w:val="0"/>
                <w:numId w:val="30"/>
              </w:numPr>
              <w:rPr>
                <w:rFonts w:ascii="Arial" w:hAnsi="Arial" w:cs="Arial"/>
              </w:rPr>
            </w:pPr>
            <w:r w:rsidRPr="00F15651">
              <w:rPr>
                <w:rFonts w:ascii="Arial" w:hAnsi="Arial" w:cs="Arial"/>
              </w:rPr>
              <w:t xml:space="preserve">The applicant has suggested a total time for the proposed service as approximately 2-2:15 hours, including 45 minutes pre-service, 60 minutes for the procedure, and </w:t>
            </w:r>
            <w:r>
              <w:rPr>
                <w:rFonts w:ascii="Arial" w:hAnsi="Arial" w:cs="Arial"/>
              </w:rPr>
              <w:t>15</w:t>
            </w:r>
            <w:r w:rsidRPr="00F15651">
              <w:rPr>
                <w:rFonts w:ascii="Arial" w:hAnsi="Arial" w:cs="Arial"/>
              </w:rPr>
              <w:t>-30 minutes post-service.</w:t>
            </w:r>
            <w:r>
              <w:rPr>
                <w:rFonts w:ascii="Arial" w:hAnsi="Arial" w:cs="Arial"/>
              </w:rPr>
              <w:t xml:space="preserve"> The assessment phase should provide evidence regarding </w:t>
            </w:r>
            <w:r w:rsidR="002954BC">
              <w:rPr>
                <w:rFonts w:ascii="Arial" w:hAnsi="Arial" w:cs="Arial"/>
              </w:rPr>
              <w:t xml:space="preserve">the mean times for the ablation, for the </w:t>
            </w:r>
            <w:r>
              <w:rPr>
                <w:rFonts w:ascii="Arial" w:hAnsi="Arial" w:cs="Arial"/>
              </w:rPr>
              <w:t>procedure</w:t>
            </w:r>
            <w:r w:rsidR="002954BC">
              <w:rPr>
                <w:rFonts w:ascii="Arial" w:hAnsi="Arial" w:cs="Arial"/>
              </w:rPr>
              <w:t xml:space="preserve"> and for the service</w:t>
            </w:r>
            <w:r>
              <w:rPr>
                <w:rFonts w:ascii="Arial" w:hAnsi="Arial" w:cs="Arial"/>
              </w:rPr>
              <w:t>.</w:t>
            </w:r>
          </w:p>
          <w:p w:rsidR="00860C7F" w:rsidRPr="00F15651" w:rsidRDefault="00860C7F" w:rsidP="00860C7F">
            <w:pPr>
              <w:pStyle w:val="ListParagraph"/>
              <w:numPr>
                <w:ilvl w:val="0"/>
                <w:numId w:val="30"/>
              </w:numPr>
              <w:rPr>
                <w:rFonts w:ascii="Arial" w:hAnsi="Arial" w:cs="Arial"/>
              </w:rPr>
            </w:pPr>
            <w:r w:rsidRPr="00C83B31">
              <w:rPr>
                <w:rFonts w:ascii="Arial" w:hAnsi="Arial" w:cs="Arial"/>
              </w:rPr>
              <w:t>The applicant has suggest</w:t>
            </w:r>
            <w:r>
              <w:rPr>
                <w:rFonts w:ascii="Arial" w:hAnsi="Arial" w:cs="Arial"/>
              </w:rPr>
              <w:t>ed</w:t>
            </w:r>
            <w:r w:rsidRPr="00C83B31">
              <w:rPr>
                <w:rFonts w:ascii="Arial" w:hAnsi="Arial" w:cs="Arial"/>
              </w:rPr>
              <w:t xml:space="preserve"> MBS item 38287 (ablation of arrhythmia circuit or focus or isolation procedure involving one atrial chamber) as an existing item which closely resembles the proposed service in terms of complexity and time. Item 38287 </w:t>
            </w:r>
            <w:r>
              <w:rPr>
                <w:rFonts w:ascii="Arial" w:hAnsi="Arial" w:cs="Arial"/>
              </w:rPr>
              <w:t xml:space="preserve">was the basis for </w:t>
            </w:r>
            <w:r w:rsidRPr="00C83B31">
              <w:rPr>
                <w:rFonts w:ascii="Arial" w:hAnsi="Arial" w:cs="Arial"/>
              </w:rPr>
              <w:t>the fee for the proposed item.</w:t>
            </w:r>
            <w:r>
              <w:rPr>
                <w:rFonts w:ascii="Arial" w:hAnsi="Arial" w:cs="Arial"/>
              </w:rPr>
              <w:t xml:space="preserve"> PASC agrees that this is an appropriate item from which to consider the proposed service.</w:t>
            </w:r>
          </w:p>
          <w:p w:rsidR="00860C7F" w:rsidRPr="00B30167" w:rsidRDefault="00860C7F" w:rsidP="00860C7F">
            <w:pPr>
              <w:pStyle w:val="ListParagraph"/>
              <w:numPr>
                <w:ilvl w:val="0"/>
                <w:numId w:val="30"/>
              </w:numPr>
              <w:rPr>
                <w:rFonts w:ascii="Arial" w:hAnsi="Arial" w:cs="Arial"/>
              </w:rPr>
            </w:pPr>
            <w:r w:rsidRPr="00B30167">
              <w:rPr>
                <w:rFonts w:ascii="Arial" w:hAnsi="Arial" w:cs="Arial"/>
              </w:rPr>
              <w:t>As the procedure of renal denervation requires the use of angiography as part of the service delivery, this item and the associated fee should include the angiography component.</w:t>
            </w:r>
          </w:p>
          <w:p w:rsidR="00860C7F" w:rsidRDefault="00860C7F" w:rsidP="00664A00">
            <w:pPr>
              <w:pStyle w:val="ListParagraph"/>
              <w:numPr>
                <w:ilvl w:val="0"/>
                <w:numId w:val="30"/>
              </w:numPr>
              <w:rPr>
                <w:rFonts w:ascii="Arial" w:hAnsi="Arial" w:cs="Arial"/>
              </w:rPr>
            </w:pPr>
            <w:r>
              <w:rPr>
                <w:rFonts w:ascii="Arial" w:hAnsi="Arial" w:cs="Arial"/>
              </w:rPr>
              <w:t>A</w:t>
            </w:r>
            <w:r w:rsidRPr="00F15651">
              <w:rPr>
                <w:rFonts w:ascii="Arial" w:hAnsi="Arial" w:cs="Arial"/>
              </w:rPr>
              <w:t xml:space="preserve"> fit-for-purpose input-based assessment of this fee should be undertaken.</w:t>
            </w:r>
            <w:r>
              <w:rPr>
                <w:rFonts w:ascii="Arial" w:hAnsi="Arial" w:cs="Arial"/>
              </w:rPr>
              <w:t xml:space="preserve"> This should include both the provision of catheter-based renal denervation and angiography. As a result the fee may vary from that shown above.</w:t>
            </w:r>
          </w:p>
          <w:p w:rsidR="006B17D1" w:rsidRPr="00860C7F" w:rsidRDefault="006B17D1" w:rsidP="006E6D8C">
            <w:pPr>
              <w:pStyle w:val="ListParagraph"/>
              <w:numPr>
                <w:ilvl w:val="0"/>
                <w:numId w:val="30"/>
              </w:numPr>
              <w:rPr>
                <w:rFonts w:ascii="Arial" w:hAnsi="Arial" w:cs="Arial"/>
              </w:rPr>
            </w:pPr>
            <w:r>
              <w:rPr>
                <w:rFonts w:ascii="Arial" w:hAnsi="Arial" w:cs="Arial"/>
              </w:rPr>
              <w:t>A</w:t>
            </w:r>
            <w:r w:rsidRPr="006B17D1">
              <w:rPr>
                <w:rFonts w:ascii="Arial" w:hAnsi="Arial" w:cs="Arial"/>
              </w:rPr>
              <w:t>n Explanatory Note may need to be provided to elaborate on the MBS item descriptor</w:t>
            </w:r>
            <w:r w:rsidR="006E6D8C">
              <w:rPr>
                <w:rFonts w:ascii="Arial" w:hAnsi="Arial" w:cs="Arial"/>
              </w:rPr>
              <w:t>, for example to provide a clear definition of treatment-resistant hypertension</w:t>
            </w:r>
            <w:r>
              <w:rPr>
                <w:rFonts w:ascii="Arial" w:hAnsi="Arial" w:cs="Arial"/>
              </w:rPr>
              <w:t>.</w:t>
            </w:r>
          </w:p>
        </w:tc>
      </w:tr>
    </w:tbl>
    <w:p w:rsidR="00860C7F" w:rsidRDefault="00860C7F" w:rsidP="00664A00">
      <w:pPr>
        <w:rPr>
          <w:rFonts w:ascii="Arial" w:hAnsi="Arial" w:cs="Arial"/>
        </w:rPr>
      </w:pPr>
    </w:p>
    <w:p w:rsidR="0086354C" w:rsidRPr="00B30167" w:rsidRDefault="0086354C" w:rsidP="0086354C">
      <w:pPr>
        <w:pStyle w:val="Heading2"/>
      </w:pPr>
      <w:bookmarkStart w:id="38" w:name="_Toc283297641"/>
      <w:bookmarkStart w:id="39" w:name="_Toc369595427"/>
      <w:r w:rsidRPr="00B30167">
        <w:t>Clinical place for proposed intervention</w:t>
      </w:r>
      <w:bookmarkEnd w:id="38"/>
      <w:bookmarkEnd w:id="39"/>
    </w:p>
    <w:p w:rsidR="0086354C" w:rsidRPr="00C83B31" w:rsidRDefault="0086354C" w:rsidP="0086354C">
      <w:r w:rsidRPr="00C83B31">
        <w:t xml:space="preserve">Hypertension can lead to significant health problems. Hypertension plays a major role in the </w:t>
      </w:r>
      <w:r>
        <w:t>aetiology</w:t>
      </w:r>
      <w:r w:rsidRPr="00C83B31">
        <w:t xml:space="preserve"> of many cardiovascular diseases such as stroke, ischemic heart disease, chronic kidney disease and heart fa</w:t>
      </w:r>
      <w:r>
        <w:t>ilure (National Heart Foundation 2010, Dubow &amp; Fink</w:t>
      </w:r>
      <w:r w:rsidRPr="00C83B31">
        <w:t xml:space="preserve"> 2011). </w:t>
      </w:r>
    </w:p>
    <w:p w:rsidR="0086354C" w:rsidRPr="00C83B31" w:rsidRDefault="0086354C" w:rsidP="0086354C">
      <w:pPr>
        <w:rPr>
          <w:lang w:val="en-GB"/>
        </w:rPr>
      </w:pPr>
      <w:r w:rsidRPr="00C83B31">
        <w:rPr>
          <w:lang w:val="en-GB"/>
        </w:rPr>
        <w:lastRenderedPageBreak/>
        <w:t xml:space="preserve">The 1999–2000 Australian Diabetes, Obesity and Lifestyle Study estimated that around 3.7 million Australian over the age of 25 had high </w:t>
      </w:r>
      <w:r>
        <w:rPr>
          <w:lang w:val="en-GB"/>
        </w:rPr>
        <w:t>blood pressure</w:t>
      </w:r>
      <w:r w:rsidRPr="00C83B31">
        <w:rPr>
          <w:lang w:val="en-GB"/>
        </w:rPr>
        <w:t xml:space="preserve"> or were on medication for the condition (AIHW 2010). Self-reports from the Australian Bureau of Statistics </w:t>
      </w:r>
      <w:r w:rsidR="00BC2463">
        <w:rPr>
          <w:lang w:val="en-GB"/>
        </w:rPr>
        <w:t>N</w:t>
      </w:r>
      <w:r w:rsidRPr="00C83B31">
        <w:rPr>
          <w:lang w:val="en-GB"/>
        </w:rPr>
        <w:t xml:space="preserve">ation </w:t>
      </w:r>
      <w:r w:rsidR="00BC2463">
        <w:rPr>
          <w:lang w:val="en-GB"/>
        </w:rPr>
        <w:t>H</w:t>
      </w:r>
      <w:r w:rsidRPr="00C83B31">
        <w:rPr>
          <w:lang w:val="en-GB"/>
        </w:rPr>
        <w:t xml:space="preserve">ealth </w:t>
      </w:r>
      <w:r w:rsidR="00BC2463">
        <w:rPr>
          <w:lang w:val="en-GB"/>
        </w:rPr>
        <w:t>S</w:t>
      </w:r>
      <w:r w:rsidRPr="00C83B31">
        <w:rPr>
          <w:lang w:val="en-GB"/>
        </w:rPr>
        <w:t>urvey (NHS) of 2004–05 estimated this number to be 2.1 million, corresponding to 11</w:t>
      </w:r>
      <w:r w:rsidR="00BC2463">
        <w:rPr>
          <w:lang w:val="en-GB"/>
        </w:rPr>
        <w:t xml:space="preserve"> per cent</w:t>
      </w:r>
      <w:r w:rsidRPr="00C83B31">
        <w:rPr>
          <w:lang w:val="en-GB"/>
        </w:rPr>
        <w:t xml:space="preserve"> of the population (ABS 2006).</w:t>
      </w:r>
      <w:r w:rsidR="006D54F5">
        <w:rPr>
          <w:lang w:val="en-GB"/>
        </w:rPr>
        <w:t xml:space="preserve"> It should be noted that self-reported data typically underestimates disease prevalence (Knox 2008).</w:t>
      </w:r>
      <w:r w:rsidRPr="00C83B31">
        <w:rPr>
          <w:lang w:val="en-GB"/>
        </w:rPr>
        <w:t xml:space="preserve"> Most recent, the results from a National Blood Pressure Screening Day determined the prevalence of hypertension was approximately 34% (Carrington et al. 2010). Among </w:t>
      </w:r>
      <w:r w:rsidR="00845DED">
        <w:rPr>
          <w:lang w:val="en-GB"/>
        </w:rPr>
        <w:t>i</w:t>
      </w:r>
      <w:r w:rsidR="00845DED" w:rsidRPr="00C83B31">
        <w:rPr>
          <w:lang w:val="en-GB"/>
        </w:rPr>
        <w:t xml:space="preserve">ndigenous </w:t>
      </w:r>
      <w:r w:rsidRPr="00C83B31">
        <w:rPr>
          <w:lang w:val="en-GB"/>
        </w:rPr>
        <w:t xml:space="preserve">Australians aged ≥35 years the rate of hypertension was found to be 22% (ABS 2006) and a study of general practice activity in Australia showed that high </w:t>
      </w:r>
      <w:r>
        <w:rPr>
          <w:lang w:val="en-GB"/>
        </w:rPr>
        <w:t>blood pressure</w:t>
      </w:r>
      <w:r w:rsidRPr="00C83B31">
        <w:rPr>
          <w:lang w:val="en-GB"/>
        </w:rPr>
        <w:t xml:space="preserve"> is the most common problem managed by a general practitioner (6%) (AIHW 2010). </w:t>
      </w:r>
    </w:p>
    <w:p w:rsidR="0086354C" w:rsidRPr="00C83B31" w:rsidRDefault="0086354C" w:rsidP="0086354C">
      <w:pPr>
        <w:rPr>
          <w:lang w:val="en-GB"/>
        </w:rPr>
      </w:pPr>
      <w:r w:rsidRPr="00C83B31">
        <w:rPr>
          <w:lang w:val="en-GB"/>
        </w:rPr>
        <w:t xml:space="preserve">The 2004–05 NHS found that the prevalence rates for hypertensive disease increased with age, with 14% of those aged 45–54 years reporting the disease compared to 41% for those aged 75 years and over (ABS 2006). Every year 3% of the adult population develops hypertensive disease with the risk increasing from 1% for those aged between 25 and 34 years to 8% for those aged between 65 and 74 years (ABS 2006).  </w:t>
      </w:r>
    </w:p>
    <w:p w:rsidR="0086354C" w:rsidRPr="00C83B31" w:rsidRDefault="0086354C" w:rsidP="0086354C">
      <w:pPr>
        <w:rPr>
          <w:lang w:val="en-GB"/>
        </w:rPr>
      </w:pPr>
      <w:r w:rsidRPr="00C83B31">
        <w:rPr>
          <w:lang w:val="en-GB"/>
        </w:rPr>
        <w:t xml:space="preserve">The prevalence of resistant hypertension overall is </w:t>
      </w:r>
      <w:r w:rsidR="00664A00">
        <w:rPr>
          <w:lang w:val="en-GB"/>
        </w:rPr>
        <w:t>not well understood</w:t>
      </w:r>
      <w:r w:rsidRPr="00C83B31">
        <w:rPr>
          <w:lang w:val="en-GB"/>
        </w:rPr>
        <w:t>. Estimates range from as little as 5% in general practice to 50% in nephrology clinics (Kaplan 2005). At present it is believed 15 – 30% of all</w:t>
      </w:r>
      <w:r w:rsidR="006D54F5">
        <w:rPr>
          <w:lang w:val="en-GB"/>
        </w:rPr>
        <w:t xml:space="preserve"> treated</w:t>
      </w:r>
      <w:r w:rsidRPr="00C83B31">
        <w:rPr>
          <w:lang w:val="en-GB"/>
        </w:rPr>
        <w:t xml:space="preserve"> hypertensive patients may be treatment-resistant</w:t>
      </w:r>
      <w:r>
        <w:rPr>
          <w:lang w:val="en-GB"/>
        </w:rPr>
        <w:t xml:space="preserve"> (Pimenta &amp; Calhoun</w:t>
      </w:r>
      <w:r w:rsidRPr="00C83B31">
        <w:rPr>
          <w:lang w:val="en-GB"/>
        </w:rPr>
        <w:t xml:space="preserve"> 2012). </w:t>
      </w:r>
      <w:r w:rsidR="00664A00">
        <w:rPr>
          <w:lang w:val="en-GB"/>
        </w:rPr>
        <w:t>Cohort data from the United States of America suggests that approximately 16.2 per cent of hypertension patients meet the definition of treatment resistant hypertension (blood pressure remains uncontrolled despite being on more than three medications) (Egan et al 2009).</w:t>
      </w:r>
    </w:p>
    <w:p w:rsidR="0086354C" w:rsidRPr="00C83B31" w:rsidRDefault="0086354C" w:rsidP="0086354C">
      <w:r w:rsidRPr="00C83B31">
        <w:t xml:space="preserve">At present, it is difficult to determine the proportion of Australians with treatment-resistant hypertension eligible for renal denervation. </w:t>
      </w:r>
      <w:r w:rsidR="00664A00">
        <w:t xml:space="preserve">In the Symplicity HTN-2 trial </w:t>
      </w:r>
      <w:r w:rsidRPr="00C83B31">
        <w:t>44</w:t>
      </w:r>
      <w:r w:rsidR="00860C7F">
        <w:t xml:space="preserve"> per cent</w:t>
      </w:r>
      <w:r w:rsidRPr="00C83B31">
        <w:t xml:space="preserve"> of treatment-resistant hypertension patients</w:t>
      </w:r>
      <w:r w:rsidR="00664A00">
        <w:t xml:space="preserve"> were excluded</w:t>
      </w:r>
      <w:r w:rsidR="00561888">
        <w:t xml:space="preserve"> for reasons including non-compliance, unsuitable anatomy, patient preference, and other reasons</w:t>
      </w:r>
      <w:r w:rsidRPr="00C83B31">
        <w:t xml:space="preserve"> (Symplicity HTN-2 Investigators 2010). Similarly, Savard et al (2012) determined from a patient cohort admitted to hospital for hypertension only 7.4% met the criteria for treatment-resistant hypertension with only 1.2% deemed eligible renal denervation.</w:t>
      </w:r>
    </w:p>
    <w:p w:rsidR="0086354C" w:rsidRDefault="0086354C" w:rsidP="0086354C">
      <w:r>
        <w:lastRenderedPageBreak/>
        <w:t xml:space="preserve">Two clinical decision pathways are provided. </w:t>
      </w:r>
      <w:r>
        <w:fldChar w:fldCharType="begin"/>
      </w:r>
      <w:r>
        <w:instrText xml:space="preserve"> REF _Ref350420622 \h </w:instrText>
      </w:r>
      <w:r>
        <w:fldChar w:fldCharType="separate"/>
      </w:r>
      <w:r w:rsidR="003115E8">
        <w:t xml:space="preserve">Figure </w:t>
      </w:r>
      <w:r w:rsidR="003115E8">
        <w:rPr>
          <w:noProof/>
        </w:rPr>
        <w:t>2</w:t>
      </w:r>
      <w:r>
        <w:fldChar w:fldCharType="end"/>
      </w:r>
      <w:r>
        <w:t xml:space="preserve"> shows the current clinical management algorithm. </w:t>
      </w:r>
      <w:r>
        <w:fldChar w:fldCharType="begin"/>
      </w:r>
      <w:r>
        <w:instrText xml:space="preserve"> REF _Ref350420626 \h </w:instrText>
      </w:r>
      <w:r>
        <w:fldChar w:fldCharType="separate"/>
      </w:r>
      <w:r w:rsidR="003115E8">
        <w:t xml:space="preserve">Figure </w:t>
      </w:r>
      <w:r w:rsidR="003115E8">
        <w:rPr>
          <w:noProof/>
        </w:rPr>
        <w:t>3</w:t>
      </w:r>
      <w:r>
        <w:fldChar w:fldCharType="end"/>
      </w:r>
      <w:r>
        <w:t xml:space="preserve"> shows the proposed clinical management algorithm. </w:t>
      </w:r>
      <w:r w:rsidR="00F31E2B">
        <w:t>Issues that have informed the algorithms include:</w:t>
      </w:r>
      <w:r w:rsidR="00F634A4">
        <w:t xml:space="preserve"> </w:t>
      </w:r>
    </w:p>
    <w:p w:rsidR="00F31E2B" w:rsidRDefault="00F31E2B" w:rsidP="00860C7F">
      <w:pPr>
        <w:pStyle w:val="ListParagraph"/>
        <w:numPr>
          <w:ilvl w:val="0"/>
          <w:numId w:val="45"/>
        </w:numPr>
      </w:pPr>
      <w:r>
        <w:t>Doppler ultrasound is the most common imaging to determine renal artery anatomy and eligibility for the service.</w:t>
      </w:r>
    </w:p>
    <w:p w:rsidR="00F31E2B" w:rsidRDefault="00F31E2B" w:rsidP="00860C7F">
      <w:pPr>
        <w:pStyle w:val="ListParagraph"/>
        <w:numPr>
          <w:ilvl w:val="0"/>
          <w:numId w:val="45"/>
        </w:numPr>
      </w:pPr>
      <w:r>
        <w:t>Other recent images may commonly be available (e.g. as part of standard patient assessment for hypertension).</w:t>
      </w:r>
      <w:r w:rsidR="006C795F">
        <w:t xml:space="preserve"> This may include Doppler ultrasound, MRI, CT,</w:t>
      </w:r>
      <w:r w:rsidR="009426B4">
        <w:t xml:space="preserve"> MRA</w:t>
      </w:r>
      <w:r w:rsidR="006C795F">
        <w:t xml:space="preserve"> or CTA.</w:t>
      </w:r>
      <w:r>
        <w:t xml:space="preserve"> In these cases additional imaging for eligibility for the service is not required.</w:t>
      </w:r>
    </w:p>
    <w:p w:rsidR="00F31E2B" w:rsidRDefault="00F31E2B" w:rsidP="00860C7F">
      <w:pPr>
        <w:pStyle w:val="ListParagraph"/>
        <w:numPr>
          <w:ilvl w:val="0"/>
          <w:numId w:val="45"/>
        </w:numPr>
      </w:pPr>
      <w:r>
        <w:t xml:space="preserve">The algorithm allows for rare cases where initial angiography during service delivery shows that renal artery anatomy is not appropriate for renal nerve denervation. </w:t>
      </w:r>
      <w:r w:rsidR="006C795F">
        <w:t xml:space="preserve">In this case the MBS item for </w:t>
      </w:r>
      <w:r w:rsidR="005F3212">
        <w:t>abandoned surgery</w:t>
      </w:r>
      <w:r w:rsidR="006C795F">
        <w:t xml:space="preserve"> could be claimed</w:t>
      </w:r>
      <w:r w:rsidR="005F3212">
        <w:t xml:space="preserve"> (item 30001)</w:t>
      </w:r>
      <w:r w:rsidR="006C795F">
        <w:t>.</w:t>
      </w:r>
    </w:p>
    <w:p w:rsidR="00F31E2B" w:rsidRDefault="00F31E2B" w:rsidP="00860C7F">
      <w:pPr>
        <w:pStyle w:val="ListParagraph"/>
        <w:numPr>
          <w:ilvl w:val="0"/>
          <w:numId w:val="45"/>
        </w:numPr>
      </w:pPr>
      <w:r>
        <w:t xml:space="preserve">The algorithm allows for </w:t>
      </w:r>
      <w:r w:rsidR="00845DED">
        <w:t xml:space="preserve">rare </w:t>
      </w:r>
      <w:r>
        <w:t>cases where due to previously unrecognised renal artery stenosis</w:t>
      </w:r>
      <w:r w:rsidR="00660BD5">
        <w:t xml:space="preserve"> a renal artery stent may be applied as part of the renal denervation service. This is also considered to be a rare event</w:t>
      </w:r>
      <w:r w:rsidR="00E74EF1">
        <w:t xml:space="preserve"> as appropriate renal artery anatomy would have</w:t>
      </w:r>
      <w:r w:rsidR="00845DED">
        <w:t xml:space="preserve"> usually</w:t>
      </w:r>
      <w:r w:rsidR="00E74EF1">
        <w:t xml:space="preserve"> been clearly established through previous imaging studies</w:t>
      </w:r>
      <w:r w:rsidR="00660BD5">
        <w:t>.</w:t>
      </w:r>
      <w:r w:rsidR="00D00E5B">
        <w:t xml:space="preserve"> </w:t>
      </w:r>
    </w:p>
    <w:p w:rsidR="00F634A4" w:rsidRDefault="00F634A4" w:rsidP="00860C7F">
      <w:pPr>
        <w:pStyle w:val="ListParagraph"/>
        <w:numPr>
          <w:ilvl w:val="0"/>
          <w:numId w:val="45"/>
        </w:numPr>
      </w:pPr>
      <w:r>
        <w:t>Ongoing medical management would include standard care for hypertension.</w:t>
      </w:r>
    </w:p>
    <w:p w:rsidR="00F634A4" w:rsidRDefault="00F634A4" w:rsidP="00860C7F">
      <w:pPr>
        <w:pStyle w:val="ListParagraph"/>
        <w:numPr>
          <w:ilvl w:val="0"/>
          <w:numId w:val="45"/>
        </w:numPr>
      </w:pPr>
      <w:r>
        <w:t xml:space="preserve">Clinical management for adverse outcomes would include </w:t>
      </w:r>
      <w:r w:rsidR="00741CD0">
        <w:t>hospitalisation for stroke, heart failure, other emergency procedures and recovery.</w:t>
      </w:r>
    </w:p>
    <w:p w:rsidR="0086354C" w:rsidRDefault="0086354C" w:rsidP="0086354C">
      <w:pPr>
        <w:spacing w:line="360" w:lineRule="auto"/>
        <w:rPr>
          <w:rFonts w:ascii="Arial" w:hAnsi="Arial" w:cs="Arial"/>
        </w:rPr>
      </w:pPr>
    </w:p>
    <w:p w:rsidR="0086354C" w:rsidRDefault="0086354C" w:rsidP="0086354C">
      <w:pPr>
        <w:spacing w:line="360" w:lineRule="auto"/>
        <w:rPr>
          <w:rFonts w:ascii="Arial" w:hAnsi="Arial" w:cs="Arial"/>
        </w:rPr>
        <w:sectPr w:rsidR="0086354C" w:rsidSect="002C6039">
          <w:type w:val="continuous"/>
          <w:pgSz w:w="11906" w:h="16838"/>
          <w:pgMar w:top="1440" w:right="1440" w:bottom="1440" w:left="1440" w:header="708" w:footer="708" w:gutter="0"/>
          <w:cols w:space="708"/>
          <w:titlePg/>
          <w:docGrid w:linePitch="360"/>
        </w:sectPr>
      </w:pPr>
    </w:p>
    <w:p w:rsidR="0086354C" w:rsidRDefault="0086354C" w:rsidP="0086354C">
      <w:pPr>
        <w:spacing w:after="0" w:line="240" w:lineRule="auto"/>
        <w:jc w:val="left"/>
        <w:rPr>
          <w:rFonts w:ascii="Arial" w:hAnsi="Arial" w:cs="Arial"/>
        </w:rPr>
      </w:pPr>
    </w:p>
    <w:p w:rsidR="0086354C" w:rsidRDefault="0086354C" w:rsidP="0086354C">
      <w:pPr>
        <w:pStyle w:val="Caption"/>
      </w:pPr>
      <w:bookmarkStart w:id="40" w:name="_Ref350420622"/>
      <w:r>
        <w:t xml:space="preserve">Figure </w:t>
      </w:r>
      <w:r>
        <w:fldChar w:fldCharType="begin"/>
      </w:r>
      <w:r>
        <w:instrText xml:space="preserve"> SEQ Figure \* ARABIC </w:instrText>
      </w:r>
      <w:r>
        <w:fldChar w:fldCharType="separate"/>
      </w:r>
      <w:r w:rsidR="003115E8">
        <w:rPr>
          <w:noProof/>
        </w:rPr>
        <w:t>2</w:t>
      </w:r>
      <w:r>
        <w:rPr>
          <w:noProof/>
        </w:rPr>
        <w:fldChar w:fldCharType="end"/>
      </w:r>
      <w:bookmarkEnd w:id="40"/>
      <w:r>
        <w:t>: Current clinical management algorithm for treatment-resistant hypertension</w:t>
      </w:r>
    </w:p>
    <w:p w:rsidR="0086354C" w:rsidRPr="00B30167" w:rsidRDefault="007E1DD6" w:rsidP="0086354C">
      <w:pPr>
        <w:rPr>
          <w:lang w:val="en-GB" w:eastAsia="ja-JP"/>
        </w:rPr>
      </w:pPr>
      <w:r>
        <w:rPr>
          <w:noProof/>
          <w:lang w:eastAsia="en-AU"/>
        </w:rPr>
        <w:drawing>
          <wp:inline distT="0" distB="0" distL="0" distR="0">
            <wp:extent cx="8863330" cy="4488751"/>
            <wp:effectExtent l="0" t="0" r="0" b="7620"/>
            <wp:docPr id="5" name="Picture 5" descr="Outlines the current clinical management of treatment-resistant hypertension. Once the patient has been treated according to the heart foundation guidelines, the next step is to determine whether the patient meets the criteria for treatment-resistant hypertension. If the patients meet the criteria, the only available therapeutic option is to continue with ongoing optimised medical management. Of which there are two potential outcomes. 1. the patients suffers no adverse outcomes. 2. the patient suffers adverse cardiovascular or renal morbidity or mortality which warrents further clinical managment." title="Figure 2, current clinical management algorithm for treatment-resistant hyper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3330" cy="4488751"/>
                    </a:xfrm>
                    <a:prstGeom prst="rect">
                      <a:avLst/>
                    </a:prstGeom>
                    <a:noFill/>
                    <a:ln>
                      <a:noFill/>
                    </a:ln>
                  </pic:spPr>
                </pic:pic>
              </a:graphicData>
            </a:graphic>
          </wp:inline>
        </w:drawing>
      </w:r>
    </w:p>
    <w:p w:rsidR="0086354C" w:rsidRDefault="0086354C" w:rsidP="0086354C">
      <w:pPr>
        <w:spacing w:after="0" w:line="240" w:lineRule="auto"/>
        <w:jc w:val="left"/>
        <w:rPr>
          <w:rFonts w:ascii="Arial" w:hAnsi="Arial" w:cs="Arial"/>
        </w:rPr>
      </w:pPr>
    </w:p>
    <w:p w:rsidR="0086354C" w:rsidRDefault="0086354C" w:rsidP="00721B85">
      <w:pPr>
        <w:pStyle w:val="Caption"/>
      </w:pPr>
      <w:bookmarkStart w:id="41" w:name="_Ref350420626"/>
      <w:r>
        <w:lastRenderedPageBreak/>
        <w:t xml:space="preserve">Figure </w:t>
      </w:r>
      <w:r>
        <w:fldChar w:fldCharType="begin"/>
      </w:r>
      <w:r>
        <w:instrText xml:space="preserve"> SEQ Figure \* ARABIC </w:instrText>
      </w:r>
      <w:r>
        <w:fldChar w:fldCharType="separate"/>
      </w:r>
      <w:r w:rsidR="003115E8">
        <w:rPr>
          <w:noProof/>
        </w:rPr>
        <w:t>3</w:t>
      </w:r>
      <w:r>
        <w:rPr>
          <w:noProof/>
        </w:rPr>
        <w:fldChar w:fldCharType="end"/>
      </w:r>
      <w:bookmarkEnd w:id="41"/>
      <w:r>
        <w:t>: Proposed clinical management algorithm for treatment-resistant hypertension</w:t>
      </w:r>
      <w:r w:rsidR="00721B85">
        <w:rPr>
          <w:noProof/>
          <w:lang w:val="en-AU" w:eastAsia="en-AU"/>
        </w:rPr>
        <w:drawing>
          <wp:inline distT="0" distB="0" distL="0" distR="0" wp14:anchorId="3E9F4C23" wp14:editId="0038B23C">
            <wp:extent cx="8376248" cy="5095810"/>
            <wp:effectExtent l="0" t="0" r="6350" b="0"/>
            <wp:docPr id="3" name="Picture 3" descr="This figure outlines the new proposed clinical pathway for management of treatment-resistant hypertension. After meeting the criteria for treatment-resistant hypertension, the patient could potentially be assessed for catheter-based renal denervatino using computer tomography, magnetic resonance angiography or doppler ultrasound. Patients are deemed either ineligible to participate in renal denervation -  at which point ongoing optimal medical management resumes; or the patient is eligible and undergoes denervation. After which the ongoing medical management is resumed." title="Figure 3, proposed clinical management algorithm for treatment-resistant hyper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2752" t="32548" r="19814" b="11544"/>
                    <a:stretch/>
                  </pic:blipFill>
                  <pic:spPr bwMode="auto">
                    <a:xfrm>
                      <a:off x="0" y="0"/>
                      <a:ext cx="8380032" cy="5098112"/>
                    </a:xfrm>
                    <a:prstGeom prst="rect">
                      <a:avLst/>
                    </a:prstGeom>
                    <a:ln>
                      <a:noFill/>
                    </a:ln>
                    <a:extLst>
                      <a:ext uri="{53640926-AAD7-44D8-BBD7-CCE9431645EC}">
                        <a14:shadowObscured xmlns:a14="http://schemas.microsoft.com/office/drawing/2010/main"/>
                      </a:ext>
                    </a:extLst>
                  </pic:spPr>
                </pic:pic>
              </a:graphicData>
            </a:graphic>
          </wp:inline>
        </w:drawing>
      </w:r>
    </w:p>
    <w:p w:rsidR="0086354C" w:rsidRPr="00F87D87" w:rsidRDefault="0086354C" w:rsidP="0086354C">
      <w:pPr>
        <w:rPr>
          <w:lang w:val="en-GB" w:eastAsia="ja-JP"/>
        </w:rPr>
        <w:sectPr w:rsidR="0086354C" w:rsidRPr="00F87D87" w:rsidSect="002C6039">
          <w:pgSz w:w="16838" w:h="11906" w:orient="landscape"/>
          <w:pgMar w:top="1440" w:right="1440" w:bottom="1440" w:left="1440" w:header="708" w:footer="708" w:gutter="0"/>
          <w:cols w:space="708"/>
          <w:titlePg/>
          <w:docGrid w:linePitch="360"/>
        </w:sectPr>
      </w:pPr>
    </w:p>
    <w:p w:rsidR="0086354C" w:rsidRPr="00250F9F" w:rsidRDefault="0086354C" w:rsidP="0086354C">
      <w:pPr>
        <w:pStyle w:val="Heading2"/>
      </w:pPr>
      <w:bookmarkStart w:id="42" w:name="_Toc283297642"/>
      <w:bookmarkStart w:id="43" w:name="_Toc369595428"/>
      <w:r w:rsidRPr="00250F9F">
        <w:lastRenderedPageBreak/>
        <w:t>Comparator</w:t>
      </w:r>
      <w:bookmarkEnd w:id="42"/>
      <w:bookmarkEnd w:id="43"/>
    </w:p>
    <w:p w:rsidR="0086354C" w:rsidRDefault="0086354C" w:rsidP="0086354C">
      <w:r>
        <w:t>Optimal medical management, including:</w:t>
      </w:r>
    </w:p>
    <w:p w:rsidR="0086354C" w:rsidRPr="00D16834" w:rsidRDefault="0086354C" w:rsidP="0086354C">
      <w:pPr>
        <w:pStyle w:val="ListParagraph"/>
        <w:numPr>
          <w:ilvl w:val="0"/>
          <w:numId w:val="15"/>
        </w:numPr>
      </w:pPr>
      <w:r w:rsidRPr="00D16834">
        <w:t>Pharmaceutical management with different classes of anti-hypertensive medication.</w:t>
      </w:r>
    </w:p>
    <w:p w:rsidR="0086354C" w:rsidRPr="00D16834" w:rsidRDefault="0086354C" w:rsidP="0086354C">
      <w:pPr>
        <w:pStyle w:val="ListParagraph"/>
        <w:numPr>
          <w:ilvl w:val="0"/>
          <w:numId w:val="15"/>
        </w:numPr>
      </w:pPr>
      <w:r w:rsidRPr="00D16834">
        <w:t>Ongoing monitoring.</w:t>
      </w:r>
    </w:p>
    <w:p w:rsidR="0086354C" w:rsidRPr="00C83B31" w:rsidRDefault="0086354C" w:rsidP="0086354C">
      <w:pPr>
        <w:pStyle w:val="CommentText"/>
      </w:pPr>
      <w:r>
        <w:t>The Heart Foundation guidelines recommend ACE inhibitors (ACEI) or angiotensin II receptor blockers (ARB), dihydropyridine calcium channel blockers, and low dose thiazide diuretics. The most effective combination is ACE inhibitor with calcium channel blocker (National Heart Foundation 2010). Expert clinical input has confirmed that the most common medications used by patients with treatment-resistant hypertension are ACEI, ARB, calcium channel blockers, beta blockers and diuretics.</w:t>
      </w:r>
    </w:p>
    <w:p w:rsidR="0086354C" w:rsidRPr="00250F9F" w:rsidRDefault="0086354C" w:rsidP="0086354C">
      <w:pPr>
        <w:pStyle w:val="Heading1"/>
      </w:pPr>
      <w:bookmarkStart w:id="44" w:name="_Toc283297643"/>
      <w:bookmarkStart w:id="45" w:name="_Toc369595429"/>
      <w:r w:rsidRPr="00250F9F">
        <w:t>Clinical claim</w:t>
      </w:r>
      <w:bookmarkEnd w:id="44"/>
      <w:bookmarkEnd w:id="45"/>
    </w:p>
    <w:p w:rsidR="0086354C" w:rsidRDefault="0086354C" w:rsidP="0086354C">
      <w:r>
        <w:t>D</w:t>
      </w:r>
      <w:r w:rsidRPr="00C83B31">
        <w:t xml:space="preserve">enervation combined with optimal medical management is superior to optimal medical management alone in reducing elevated blood pressure. Improving blood pressure to target levels will improve patient’s quality of life by avoiding morbidity related to stroke, coronary heart disease, heart failure and chronic kidney disease. </w:t>
      </w:r>
    </w:p>
    <w:p w:rsidR="0086354C" w:rsidRPr="00C83B31" w:rsidRDefault="00B53AE3" w:rsidP="0086354C">
      <w:r>
        <w:t>A table summarising the economic evaluation to be presented is shown below (</w:t>
      </w:r>
      <w:r>
        <w:fldChar w:fldCharType="begin"/>
      </w:r>
      <w:r>
        <w:instrText xml:space="preserve"> REF _Ref283288109 \h </w:instrText>
      </w:r>
      <w:r>
        <w:fldChar w:fldCharType="separate"/>
      </w:r>
      <w:r w:rsidR="003115E8" w:rsidRPr="00C83B31">
        <w:t xml:space="preserve">Table </w:t>
      </w:r>
      <w:r w:rsidR="003115E8">
        <w:rPr>
          <w:noProof/>
        </w:rPr>
        <w:t>4</w:t>
      </w:r>
      <w:r>
        <w:fldChar w:fldCharType="end"/>
      </w:r>
      <w:r>
        <w:t>).</w:t>
      </w:r>
    </w:p>
    <w:p w:rsidR="0086354C" w:rsidRPr="00C83B31" w:rsidRDefault="0086354C" w:rsidP="0086354C">
      <w:pPr>
        <w:pStyle w:val="Caption"/>
      </w:pPr>
      <w:bookmarkStart w:id="46" w:name="_Ref283288109"/>
      <w:r w:rsidRPr="00C83B31">
        <w:t xml:space="preserve">Table </w:t>
      </w:r>
      <w:r>
        <w:fldChar w:fldCharType="begin"/>
      </w:r>
      <w:r>
        <w:instrText xml:space="preserve"> SEQ Table \* ARABIC </w:instrText>
      </w:r>
      <w:r>
        <w:fldChar w:fldCharType="separate"/>
      </w:r>
      <w:r w:rsidR="003115E8">
        <w:rPr>
          <w:noProof/>
        </w:rPr>
        <w:t>4</w:t>
      </w:r>
      <w:r>
        <w:rPr>
          <w:noProof/>
        </w:rPr>
        <w:fldChar w:fldCharType="end"/>
      </w:r>
      <w:bookmarkEnd w:id="46"/>
      <w:r w:rsidRPr="00C83B31">
        <w:t>:</w:t>
      </w:r>
      <w:r w:rsidRPr="00C83B31">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Caption w:val="Table 4: Classification of an intervention for determination of economic evaluation to be presented"/>
        <w:tblDescription w:val="Table 4: Classification of an intervention for determination of economic evaluation to be presented"/>
      </w:tblPr>
      <w:tblGrid>
        <w:gridCol w:w="651"/>
        <w:gridCol w:w="1069"/>
        <w:gridCol w:w="1523"/>
        <w:gridCol w:w="1066"/>
        <w:gridCol w:w="2275"/>
        <w:gridCol w:w="1490"/>
        <w:gridCol w:w="1066"/>
      </w:tblGrid>
      <w:tr w:rsidR="0086354C" w:rsidRPr="00C83B31" w:rsidTr="002C6039">
        <w:tc>
          <w:tcPr>
            <w:tcW w:w="1756" w:type="dxa"/>
            <w:gridSpan w:val="2"/>
            <w:vMerge w:val="restart"/>
          </w:tcPr>
          <w:p w:rsidR="0086354C" w:rsidRPr="00C83B31" w:rsidRDefault="0086354C" w:rsidP="002C6039">
            <w:pPr>
              <w:keepNext/>
              <w:tabs>
                <w:tab w:val="left" w:pos="2835"/>
              </w:tabs>
              <w:spacing w:after="0" w:line="240" w:lineRule="auto"/>
              <w:rPr>
                <w:rFonts w:ascii="Arial Narrow" w:hAnsi="Arial Narrow" w:cs="Arial Narrow"/>
                <w:lang w:val="en-GB" w:eastAsia="ja-JP"/>
              </w:rPr>
            </w:pPr>
          </w:p>
        </w:tc>
        <w:tc>
          <w:tcPr>
            <w:tcW w:w="7384" w:type="dxa"/>
            <w:gridSpan w:val="5"/>
          </w:tcPr>
          <w:p w:rsidR="0086354C" w:rsidRPr="00C83B31" w:rsidRDefault="0086354C" w:rsidP="002C6039">
            <w:pPr>
              <w:keepNext/>
              <w:tabs>
                <w:tab w:val="left" w:pos="2835"/>
              </w:tabs>
              <w:spacing w:after="0" w:line="240" w:lineRule="auto"/>
              <w:jc w:val="center"/>
              <w:rPr>
                <w:rFonts w:ascii="Arial Narrow" w:hAnsi="Arial Narrow" w:cs="Arial Narrow"/>
                <w:b/>
                <w:bCs/>
                <w:lang w:val="en-GB" w:eastAsia="ja-JP"/>
              </w:rPr>
            </w:pPr>
            <w:r w:rsidRPr="00C83B31">
              <w:rPr>
                <w:rFonts w:ascii="Arial Narrow" w:hAnsi="Arial Narrow" w:cs="Arial Narrow"/>
                <w:b/>
                <w:bCs/>
                <w:lang w:val="en-GB" w:eastAsia="ja-JP"/>
              </w:rPr>
              <w:t>Comparative effectiveness versus comparator</w:t>
            </w:r>
          </w:p>
        </w:tc>
      </w:tr>
      <w:tr w:rsidR="0086354C" w:rsidRPr="00C83B31" w:rsidTr="002C6039">
        <w:tc>
          <w:tcPr>
            <w:tcW w:w="1756" w:type="dxa"/>
            <w:gridSpan w:val="2"/>
            <w:vMerge/>
          </w:tcPr>
          <w:p w:rsidR="0086354C" w:rsidRPr="00C83B31" w:rsidRDefault="0086354C" w:rsidP="002C6039">
            <w:pPr>
              <w:keepNext/>
              <w:tabs>
                <w:tab w:val="left" w:pos="2835"/>
              </w:tabs>
              <w:spacing w:after="0" w:line="240" w:lineRule="auto"/>
              <w:rPr>
                <w:rFonts w:ascii="Arial Narrow" w:hAnsi="Arial Narrow" w:cs="Arial Narrow"/>
                <w:lang w:val="en-GB" w:eastAsia="ja-JP"/>
              </w:rPr>
            </w:pPr>
          </w:p>
        </w:tc>
        <w:tc>
          <w:tcPr>
            <w:tcW w:w="2560" w:type="dxa"/>
            <w:gridSpan w:val="2"/>
            <w:vAlign w:val="center"/>
          </w:tcPr>
          <w:p w:rsidR="0086354C" w:rsidRPr="00C83B31" w:rsidRDefault="0086354C" w:rsidP="002C6039">
            <w:pPr>
              <w:keepNext/>
              <w:tabs>
                <w:tab w:val="left" w:pos="2835"/>
              </w:tabs>
              <w:spacing w:after="0" w:line="240" w:lineRule="auto"/>
              <w:jc w:val="center"/>
              <w:rPr>
                <w:rFonts w:ascii="Arial Narrow" w:hAnsi="Arial Narrow" w:cs="Arial Narrow"/>
                <w:u w:val="single"/>
                <w:lang w:val="en-GB" w:eastAsia="ja-JP"/>
              </w:rPr>
            </w:pPr>
            <w:r w:rsidRPr="00C83B31">
              <w:rPr>
                <w:rFonts w:ascii="Arial Narrow" w:hAnsi="Arial Narrow" w:cs="Arial Narrow"/>
                <w:u w:val="single"/>
                <w:lang w:val="en-GB" w:eastAsia="ja-JP"/>
              </w:rPr>
              <w:t>Superior</w:t>
            </w:r>
          </w:p>
        </w:tc>
        <w:tc>
          <w:tcPr>
            <w:tcW w:w="2369" w:type="dxa"/>
            <w:vAlign w:val="center"/>
          </w:tcPr>
          <w:p w:rsidR="0086354C" w:rsidRPr="00C83B31" w:rsidRDefault="0086354C" w:rsidP="002C6039">
            <w:pPr>
              <w:keepNext/>
              <w:tabs>
                <w:tab w:val="left" w:pos="2835"/>
              </w:tabs>
              <w:spacing w:after="0" w:line="240" w:lineRule="auto"/>
              <w:jc w:val="center"/>
              <w:rPr>
                <w:rFonts w:ascii="Arial Narrow" w:hAnsi="Arial Narrow" w:cs="Arial Narrow"/>
                <w:u w:val="single"/>
                <w:lang w:val="en-GB" w:eastAsia="ja-JP"/>
              </w:rPr>
            </w:pPr>
            <w:r w:rsidRPr="00C83B31">
              <w:rPr>
                <w:rFonts w:ascii="Arial Narrow" w:hAnsi="Arial Narrow" w:cs="Arial Narrow"/>
                <w:u w:val="single"/>
                <w:lang w:val="en-GB" w:eastAsia="ja-JP"/>
              </w:rPr>
              <w:t>Non-inferior</w:t>
            </w:r>
          </w:p>
        </w:tc>
        <w:tc>
          <w:tcPr>
            <w:tcW w:w="2455" w:type="dxa"/>
            <w:gridSpan w:val="2"/>
            <w:vAlign w:val="center"/>
          </w:tcPr>
          <w:p w:rsidR="0086354C" w:rsidRPr="00C83B31" w:rsidRDefault="0086354C" w:rsidP="002C6039">
            <w:pPr>
              <w:keepNext/>
              <w:tabs>
                <w:tab w:val="left" w:pos="2835"/>
              </w:tabs>
              <w:spacing w:after="0" w:line="240" w:lineRule="auto"/>
              <w:jc w:val="center"/>
              <w:rPr>
                <w:rFonts w:ascii="Arial Narrow" w:hAnsi="Arial Narrow" w:cs="Arial Narrow"/>
                <w:u w:val="single"/>
                <w:lang w:val="en-GB" w:eastAsia="ja-JP"/>
              </w:rPr>
            </w:pPr>
            <w:r w:rsidRPr="00C83B31">
              <w:rPr>
                <w:rFonts w:ascii="Arial Narrow" w:hAnsi="Arial Narrow" w:cs="Arial Narrow"/>
                <w:u w:val="single"/>
                <w:lang w:val="en-GB" w:eastAsia="ja-JP"/>
              </w:rPr>
              <w:t>Inferior</w:t>
            </w:r>
          </w:p>
        </w:tc>
      </w:tr>
      <w:tr w:rsidR="0086354C" w:rsidRPr="00C83B31" w:rsidTr="002C6039">
        <w:trPr>
          <w:cantSplit/>
          <w:trHeight w:val="20"/>
        </w:trPr>
        <w:tc>
          <w:tcPr>
            <w:tcW w:w="671" w:type="dxa"/>
            <w:vMerge w:val="restart"/>
            <w:textDirection w:val="btLr"/>
            <w:vAlign w:val="center"/>
          </w:tcPr>
          <w:p w:rsidR="0086354C" w:rsidRPr="00C83B31" w:rsidRDefault="0086354C" w:rsidP="002C6039">
            <w:pPr>
              <w:keepNext/>
              <w:tabs>
                <w:tab w:val="left" w:pos="2835"/>
              </w:tabs>
              <w:spacing w:after="0" w:line="240" w:lineRule="auto"/>
              <w:ind w:left="113" w:right="113"/>
              <w:jc w:val="center"/>
              <w:rPr>
                <w:rFonts w:ascii="Arial Narrow" w:hAnsi="Arial Narrow" w:cs="Arial Narrow"/>
                <w:b/>
                <w:bCs/>
                <w:lang w:val="en-GB" w:eastAsia="ja-JP"/>
              </w:rPr>
            </w:pPr>
            <w:r w:rsidRPr="00C83B31">
              <w:rPr>
                <w:rFonts w:ascii="Arial Narrow" w:hAnsi="Arial Narrow" w:cs="Arial Narrow"/>
                <w:b/>
                <w:bCs/>
                <w:lang w:val="en-GB" w:eastAsia="ja-JP"/>
              </w:rPr>
              <w:t>Comparative safety versus comparator</w:t>
            </w:r>
          </w:p>
        </w:tc>
        <w:tc>
          <w:tcPr>
            <w:tcW w:w="1085" w:type="dxa"/>
            <w:vMerge w:val="restart"/>
            <w:vAlign w:val="center"/>
          </w:tcPr>
          <w:p w:rsidR="0086354C" w:rsidRPr="00C83B31" w:rsidRDefault="0086354C" w:rsidP="002C6039">
            <w:pPr>
              <w:keepNext/>
              <w:tabs>
                <w:tab w:val="left" w:pos="2835"/>
              </w:tabs>
              <w:spacing w:after="0" w:line="240" w:lineRule="auto"/>
              <w:jc w:val="left"/>
              <w:rPr>
                <w:rFonts w:ascii="Arial Narrow" w:hAnsi="Arial Narrow" w:cs="Arial Narrow"/>
                <w:u w:val="single"/>
                <w:lang w:val="en-GB" w:eastAsia="ja-JP"/>
              </w:rPr>
            </w:pPr>
            <w:r w:rsidRPr="00C83B31">
              <w:rPr>
                <w:rFonts w:ascii="Arial Narrow" w:hAnsi="Arial Narrow" w:cs="Arial Narrow"/>
                <w:u w:val="single"/>
                <w:lang w:val="en-GB" w:eastAsia="ja-JP"/>
              </w:rPr>
              <w:t>Superior</w:t>
            </w:r>
          </w:p>
        </w:tc>
        <w:tc>
          <w:tcPr>
            <w:tcW w:w="2560" w:type="dxa"/>
            <w:gridSpan w:val="2"/>
            <w:vMerge w:val="restart"/>
            <w:vAlign w:val="center"/>
          </w:tcPr>
          <w:p w:rsidR="0086354C" w:rsidRPr="00C83B31" w:rsidRDefault="0086354C" w:rsidP="002C6039">
            <w:pPr>
              <w:keepNext/>
              <w:tabs>
                <w:tab w:val="left" w:pos="2835"/>
              </w:tabs>
              <w:spacing w:after="0" w:line="240" w:lineRule="auto"/>
              <w:jc w:val="center"/>
              <w:rPr>
                <w:rFonts w:ascii="Arial Narrow" w:hAnsi="Arial Narrow" w:cs="Arial Narrow"/>
                <w:lang w:val="en-GB" w:eastAsia="ja-JP"/>
              </w:rPr>
            </w:pPr>
            <w:r w:rsidRPr="00C83B31">
              <w:rPr>
                <w:rFonts w:ascii="Arial Narrow" w:hAnsi="Arial Narrow" w:cs="Arial Narrow"/>
                <w:lang w:val="en-GB" w:eastAsia="ja-JP"/>
              </w:rPr>
              <w:t>CEA/CUA</w:t>
            </w:r>
          </w:p>
        </w:tc>
        <w:tc>
          <w:tcPr>
            <w:tcW w:w="2369" w:type="dxa"/>
            <w:vMerge w:val="restart"/>
            <w:vAlign w:val="center"/>
          </w:tcPr>
          <w:p w:rsidR="0086354C" w:rsidRPr="00C83B31" w:rsidRDefault="0086354C" w:rsidP="002C6039">
            <w:pPr>
              <w:keepNext/>
              <w:tabs>
                <w:tab w:val="left" w:pos="2835"/>
              </w:tabs>
              <w:spacing w:after="0" w:line="240" w:lineRule="auto"/>
              <w:jc w:val="center"/>
              <w:rPr>
                <w:rFonts w:ascii="Arial Narrow" w:hAnsi="Arial Narrow" w:cs="Arial Narrow"/>
                <w:lang w:val="en-GB" w:eastAsia="ja-JP"/>
              </w:rPr>
            </w:pPr>
            <w:r w:rsidRPr="00C83B31">
              <w:rPr>
                <w:rFonts w:ascii="Arial Narrow" w:hAnsi="Arial Narrow" w:cs="Arial Narrow"/>
                <w:lang w:val="en-GB" w:eastAsia="ja-JP"/>
              </w:rPr>
              <w:t>CEA/CUA</w:t>
            </w:r>
          </w:p>
        </w:tc>
        <w:tc>
          <w:tcPr>
            <w:tcW w:w="1548" w:type="dxa"/>
          </w:tcPr>
          <w:p w:rsidR="0086354C" w:rsidRPr="00C83B31" w:rsidRDefault="0086354C" w:rsidP="002C6039">
            <w:pPr>
              <w:keepNext/>
              <w:tabs>
                <w:tab w:val="left" w:pos="2835"/>
              </w:tabs>
              <w:spacing w:after="0" w:line="240" w:lineRule="auto"/>
              <w:rPr>
                <w:rFonts w:ascii="Arial Narrow" w:hAnsi="Arial Narrow" w:cs="Arial Narrow"/>
                <w:u w:val="single"/>
                <w:lang w:val="en-GB" w:eastAsia="ja-JP"/>
              </w:rPr>
            </w:pPr>
            <w:r w:rsidRPr="00C83B31">
              <w:rPr>
                <w:rFonts w:ascii="Arial Narrow" w:hAnsi="Arial Narrow" w:cs="Arial Narrow"/>
                <w:u w:val="single"/>
                <w:lang w:val="en-GB" w:eastAsia="ja-JP"/>
              </w:rPr>
              <w:t>Net clinical benefit</w:t>
            </w:r>
          </w:p>
        </w:tc>
        <w:tc>
          <w:tcPr>
            <w:tcW w:w="907" w:type="dxa"/>
            <w:vAlign w:val="center"/>
          </w:tcPr>
          <w:p w:rsidR="0086354C" w:rsidRPr="00C83B31" w:rsidRDefault="0086354C" w:rsidP="002C6039">
            <w:pPr>
              <w:keepNext/>
              <w:tabs>
                <w:tab w:val="left" w:pos="2835"/>
              </w:tabs>
              <w:spacing w:after="0" w:line="240" w:lineRule="auto"/>
              <w:jc w:val="center"/>
              <w:rPr>
                <w:rFonts w:ascii="Arial Narrow" w:hAnsi="Arial Narrow" w:cs="Arial Narrow"/>
                <w:lang w:val="en-GB" w:eastAsia="ja-JP"/>
              </w:rPr>
            </w:pPr>
            <w:r w:rsidRPr="00C83B31">
              <w:rPr>
                <w:rFonts w:ascii="Arial Narrow" w:hAnsi="Arial Narrow" w:cs="Arial Narrow"/>
                <w:lang w:val="en-GB" w:eastAsia="ja-JP"/>
              </w:rPr>
              <w:t>CEA/CUA</w:t>
            </w:r>
          </w:p>
        </w:tc>
      </w:tr>
      <w:tr w:rsidR="0086354C" w:rsidRPr="00C83B31" w:rsidTr="002C6039">
        <w:trPr>
          <w:cantSplit/>
          <w:trHeight w:val="20"/>
        </w:trPr>
        <w:tc>
          <w:tcPr>
            <w:tcW w:w="671" w:type="dxa"/>
            <w:vMerge/>
          </w:tcPr>
          <w:p w:rsidR="0086354C" w:rsidRPr="00C83B31" w:rsidRDefault="0086354C" w:rsidP="002C6039">
            <w:pPr>
              <w:tabs>
                <w:tab w:val="left" w:pos="2835"/>
              </w:tabs>
              <w:spacing w:after="0" w:line="240" w:lineRule="auto"/>
              <w:rPr>
                <w:rFonts w:ascii="Arial Narrow" w:hAnsi="Arial Narrow" w:cs="Arial Narrow"/>
                <w:lang w:val="en-GB" w:eastAsia="ja-JP"/>
              </w:rPr>
            </w:pPr>
          </w:p>
        </w:tc>
        <w:tc>
          <w:tcPr>
            <w:tcW w:w="1085" w:type="dxa"/>
            <w:vMerge/>
            <w:vAlign w:val="center"/>
          </w:tcPr>
          <w:p w:rsidR="0086354C" w:rsidRPr="00C83B31" w:rsidRDefault="0086354C" w:rsidP="002C6039">
            <w:pPr>
              <w:tabs>
                <w:tab w:val="left" w:pos="2835"/>
              </w:tabs>
              <w:spacing w:after="0" w:line="240" w:lineRule="auto"/>
              <w:jc w:val="left"/>
              <w:rPr>
                <w:rFonts w:ascii="Arial Narrow" w:hAnsi="Arial Narrow" w:cs="Arial Narrow"/>
                <w:u w:val="single"/>
                <w:lang w:val="en-GB" w:eastAsia="ja-JP"/>
              </w:rPr>
            </w:pPr>
          </w:p>
        </w:tc>
        <w:tc>
          <w:tcPr>
            <w:tcW w:w="2560" w:type="dxa"/>
            <w:gridSpan w:val="2"/>
            <w:vMerge/>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p>
        </w:tc>
        <w:tc>
          <w:tcPr>
            <w:tcW w:w="2369" w:type="dxa"/>
            <w:vMerge/>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p>
        </w:tc>
        <w:tc>
          <w:tcPr>
            <w:tcW w:w="1548" w:type="dxa"/>
          </w:tcPr>
          <w:p w:rsidR="0086354C" w:rsidRPr="00C83B31" w:rsidRDefault="0086354C" w:rsidP="002C6039">
            <w:pPr>
              <w:tabs>
                <w:tab w:val="left" w:pos="2835"/>
              </w:tabs>
              <w:spacing w:after="0" w:line="240" w:lineRule="auto"/>
              <w:rPr>
                <w:rFonts w:ascii="Arial Narrow" w:hAnsi="Arial Narrow" w:cs="Arial Narrow"/>
                <w:u w:val="single"/>
                <w:lang w:val="en-GB" w:eastAsia="ja-JP"/>
              </w:rPr>
            </w:pPr>
            <w:r w:rsidRPr="00C83B31">
              <w:rPr>
                <w:rFonts w:ascii="Arial Narrow" w:hAnsi="Arial Narrow" w:cs="Arial Narrow"/>
                <w:u w:val="single"/>
                <w:lang w:val="en-GB" w:eastAsia="ja-JP"/>
              </w:rPr>
              <w:t>Neutral benefit</w:t>
            </w:r>
          </w:p>
        </w:tc>
        <w:tc>
          <w:tcPr>
            <w:tcW w:w="907" w:type="dxa"/>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r w:rsidRPr="00C83B31">
              <w:rPr>
                <w:rFonts w:ascii="Arial Narrow" w:hAnsi="Arial Narrow" w:cs="Arial Narrow"/>
                <w:lang w:val="en-GB" w:eastAsia="ja-JP"/>
              </w:rPr>
              <w:t>CEA/CUA*</w:t>
            </w:r>
          </w:p>
        </w:tc>
      </w:tr>
      <w:tr w:rsidR="0086354C" w:rsidRPr="00C83B31" w:rsidTr="002C6039">
        <w:trPr>
          <w:cantSplit/>
          <w:trHeight w:val="20"/>
        </w:trPr>
        <w:tc>
          <w:tcPr>
            <w:tcW w:w="671" w:type="dxa"/>
            <w:vMerge/>
          </w:tcPr>
          <w:p w:rsidR="0086354C" w:rsidRPr="00C83B31" w:rsidRDefault="0086354C" w:rsidP="002C6039">
            <w:pPr>
              <w:tabs>
                <w:tab w:val="left" w:pos="2835"/>
              </w:tabs>
              <w:spacing w:after="0" w:line="240" w:lineRule="auto"/>
              <w:rPr>
                <w:rFonts w:ascii="Arial Narrow" w:hAnsi="Arial Narrow" w:cs="Arial Narrow"/>
                <w:lang w:val="en-GB" w:eastAsia="ja-JP"/>
              </w:rPr>
            </w:pPr>
          </w:p>
        </w:tc>
        <w:tc>
          <w:tcPr>
            <w:tcW w:w="1085" w:type="dxa"/>
            <w:vMerge/>
            <w:vAlign w:val="center"/>
          </w:tcPr>
          <w:p w:rsidR="0086354C" w:rsidRPr="00C83B31" w:rsidRDefault="0086354C" w:rsidP="002C6039">
            <w:pPr>
              <w:tabs>
                <w:tab w:val="left" w:pos="2835"/>
              </w:tabs>
              <w:spacing w:after="0" w:line="240" w:lineRule="auto"/>
              <w:jc w:val="left"/>
              <w:rPr>
                <w:rFonts w:ascii="Arial Narrow" w:hAnsi="Arial Narrow" w:cs="Arial Narrow"/>
                <w:u w:val="single"/>
                <w:lang w:val="en-GB" w:eastAsia="ja-JP"/>
              </w:rPr>
            </w:pPr>
          </w:p>
        </w:tc>
        <w:tc>
          <w:tcPr>
            <w:tcW w:w="2560" w:type="dxa"/>
            <w:gridSpan w:val="2"/>
            <w:vMerge/>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p>
        </w:tc>
        <w:tc>
          <w:tcPr>
            <w:tcW w:w="2369" w:type="dxa"/>
            <w:vMerge/>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p>
        </w:tc>
        <w:tc>
          <w:tcPr>
            <w:tcW w:w="1548" w:type="dxa"/>
          </w:tcPr>
          <w:p w:rsidR="0086354C" w:rsidRPr="00C83B31" w:rsidRDefault="0086354C" w:rsidP="002C6039">
            <w:pPr>
              <w:tabs>
                <w:tab w:val="left" w:pos="2835"/>
              </w:tabs>
              <w:spacing w:after="0" w:line="240" w:lineRule="auto"/>
              <w:rPr>
                <w:rFonts w:ascii="Arial Narrow" w:hAnsi="Arial Narrow" w:cs="Arial Narrow"/>
                <w:u w:val="single"/>
                <w:lang w:val="en-GB" w:eastAsia="ja-JP"/>
              </w:rPr>
            </w:pPr>
            <w:r w:rsidRPr="00C83B31">
              <w:rPr>
                <w:rFonts w:ascii="Arial Narrow" w:hAnsi="Arial Narrow" w:cs="Arial Narrow"/>
                <w:u w:val="single"/>
                <w:lang w:val="en-GB" w:eastAsia="ja-JP"/>
              </w:rPr>
              <w:t>Net harms</w:t>
            </w:r>
          </w:p>
        </w:tc>
        <w:tc>
          <w:tcPr>
            <w:tcW w:w="907" w:type="dxa"/>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r w:rsidRPr="00C83B31">
              <w:rPr>
                <w:rFonts w:ascii="Arial Narrow" w:hAnsi="Arial Narrow" w:cs="Arial Narrow"/>
                <w:lang w:val="en-GB" w:eastAsia="ja-JP"/>
              </w:rPr>
              <w:t>None^</w:t>
            </w:r>
          </w:p>
        </w:tc>
      </w:tr>
      <w:tr w:rsidR="0086354C" w:rsidRPr="00C83B31" w:rsidTr="002C6039">
        <w:trPr>
          <w:cantSplit/>
          <w:trHeight w:val="750"/>
        </w:trPr>
        <w:tc>
          <w:tcPr>
            <w:tcW w:w="671" w:type="dxa"/>
            <w:vMerge/>
          </w:tcPr>
          <w:p w:rsidR="0086354C" w:rsidRPr="00C83B31" w:rsidRDefault="0086354C" w:rsidP="002C6039">
            <w:pPr>
              <w:tabs>
                <w:tab w:val="left" w:pos="2835"/>
              </w:tabs>
              <w:spacing w:after="0" w:line="240" w:lineRule="auto"/>
              <w:rPr>
                <w:rFonts w:ascii="Arial Narrow" w:hAnsi="Arial Narrow" w:cs="Arial Narrow"/>
                <w:lang w:val="en-GB" w:eastAsia="ja-JP"/>
              </w:rPr>
            </w:pPr>
          </w:p>
        </w:tc>
        <w:tc>
          <w:tcPr>
            <w:tcW w:w="1085" w:type="dxa"/>
            <w:vAlign w:val="center"/>
          </w:tcPr>
          <w:p w:rsidR="0086354C" w:rsidRPr="00C83B31" w:rsidRDefault="0086354C" w:rsidP="002C6039">
            <w:pPr>
              <w:tabs>
                <w:tab w:val="left" w:pos="2835"/>
              </w:tabs>
              <w:spacing w:after="0" w:line="240" w:lineRule="auto"/>
              <w:jc w:val="left"/>
              <w:rPr>
                <w:rFonts w:ascii="Arial Narrow" w:hAnsi="Arial Narrow" w:cs="Arial Narrow"/>
                <w:u w:val="single"/>
                <w:lang w:val="en-GB" w:eastAsia="ja-JP"/>
              </w:rPr>
            </w:pPr>
            <w:r w:rsidRPr="00C83B31">
              <w:rPr>
                <w:rFonts w:ascii="Arial Narrow" w:hAnsi="Arial Narrow" w:cs="Arial Narrow"/>
                <w:u w:val="single"/>
                <w:lang w:val="en-GB" w:eastAsia="ja-JP"/>
              </w:rPr>
              <w:t>Non-inferior</w:t>
            </w:r>
          </w:p>
        </w:tc>
        <w:tc>
          <w:tcPr>
            <w:tcW w:w="2560" w:type="dxa"/>
            <w:gridSpan w:val="2"/>
            <w:vAlign w:val="center"/>
          </w:tcPr>
          <w:p w:rsidR="0086354C" w:rsidRPr="00B53AE3" w:rsidRDefault="0086354C" w:rsidP="002C6039">
            <w:pPr>
              <w:tabs>
                <w:tab w:val="left" w:pos="2835"/>
              </w:tabs>
              <w:spacing w:after="0" w:line="240" w:lineRule="auto"/>
              <w:jc w:val="center"/>
              <w:rPr>
                <w:rFonts w:ascii="Arial Narrow" w:hAnsi="Arial Narrow" w:cs="Arial Narrow"/>
                <w:b/>
                <w:bCs/>
                <w:sz w:val="32"/>
                <w:szCs w:val="32"/>
                <w:lang w:val="en-GB" w:eastAsia="ja-JP"/>
              </w:rPr>
            </w:pPr>
            <w:r w:rsidRPr="00B53AE3">
              <w:rPr>
                <w:rFonts w:ascii="Arial Narrow" w:hAnsi="Arial Narrow" w:cs="Arial Narrow"/>
                <w:b/>
                <w:bCs/>
                <w:sz w:val="32"/>
                <w:szCs w:val="32"/>
                <w:lang w:val="en-GB" w:eastAsia="ja-JP"/>
              </w:rPr>
              <w:t>CEA/CUA</w:t>
            </w:r>
          </w:p>
        </w:tc>
        <w:tc>
          <w:tcPr>
            <w:tcW w:w="2369" w:type="dxa"/>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r w:rsidRPr="00C83B31">
              <w:rPr>
                <w:rFonts w:ascii="Arial Narrow" w:hAnsi="Arial Narrow" w:cs="Arial Narrow"/>
                <w:lang w:val="en-GB" w:eastAsia="ja-JP"/>
              </w:rPr>
              <w:t>CEA/CUA*</w:t>
            </w:r>
          </w:p>
        </w:tc>
        <w:tc>
          <w:tcPr>
            <w:tcW w:w="2455" w:type="dxa"/>
            <w:gridSpan w:val="2"/>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r w:rsidRPr="00C83B31">
              <w:rPr>
                <w:rFonts w:ascii="Arial Narrow" w:hAnsi="Arial Narrow" w:cs="Arial Narrow"/>
                <w:lang w:val="en-GB" w:eastAsia="ja-JP"/>
              </w:rPr>
              <w:t>None^</w:t>
            </w:r>
          </w:p>
        </w:tc>
      </w:tr>
      <w:tr w:rsidR="0086354C" w:rsidRPr="00C83B31" w:rsidTr="002C6039">
        <w:trPr>
          <w:cantSplit/>
          <w:trHeight w:val="20"/>
        </w:trPr>
        <w:tc>
          <w:tcPr>
            <w:tcW w:w="671" w:type="dxa"/>
            <w:vMerge/>
          </w:tcPr>
          <w:p w:rsidR="0086354C" w:rsidRPr="00C83B31" w:rsidRDefault="0086354C" w:rsidP="002C6039">
            <w:pPr>
              <w:tabs>
                <w:tab w:val="left" w:pos="2835"/>
              </w:tabs>
              <w:spacing w:after="0" w:line="240" w:lineRule="auto"/>
              <w:rPr>
                <w:rFonts w:ascii="Arial Narrow" w:hAnsi="Arial Narrow" w:cs="Arial Narrow"/>
                <w:lang w:val="en-GB" w:eastAsia="ja-JP"/>
              </w:rPr>
            </w:pPr>
          </w:p>
        </w:tc>
        <w:tc>
          <w:tcPr>
            <w:tcW w:w="1085" w:type="dxa"/>
            <w:vMerge w:val="restart"/>
            <w:vAlign w:val="center"/>
          </w:tcPr>
          <w:p w:rsidR="0086354C" w:rsidRPr="00C83B31" w:rsidRDefault="0086354C" w:rsidP="002C6039">
            <w:pPr>
              <w:tabs>
                <w:tab w:val="left" w:pos="2835"/>
              </w:tabs>
              <w:spacing w:after="0" w:line="240" w:lineRule="auto"/>
              <w:jc w:val="left"/>
              <w:rPr>
                <w:rFonts w:ascii="Arial Narrow" w:hAnsi="Arial Narrow" w:cs="Arial Narrow"/>
                <w:u w:val="single"/>
                <w:lang w:val="en-GB" w:eastAsia="ja-JP"/>
              </w:rPr>
            </w:pPr>
            <w:r w:rsidRPr="00C83B31">
              <w:rPr>
                <w:rFonts w:ascii="Arial Narrow" w:hAnsi="Arial Narrow" w:cs="Arial Narrow"/>
                <w:u w:val="single"/>
                <w:lang w:val="en-GB" w:eastAsia="ja-JP"/>
              </w:rPr>
              <w:t>Inferior</w:t>
            </w:r>
          </w:p>
        </w:tc>
        <w:tc>
          <w:tcPr>
            <w:tcW w:w="1583" w:type="dxa"/>
            <w:vAlign w:val="center"/>
          </w:tcPr>
          <w:p w:rsidR="0086354C" w:rsidRPr="00C83B31" w:rsidRDefault="0086354C" w:rsidP="002C6039">
            <w:pPr>
              <w:tabs>
                <w:tab w:val="left" w:pos="2835"/>
              </w:tabs>
              <w:spacing w:after="0" w:line="240" w:lineRule="auto"/>
              <w:jc w:val="left"/>
              <w:rPr>
                <w:rFonts w:ascii="Arial Narrow" w:hAnsi="Arial Narrow" w:cs="Arial Narrow"/>
                <w:u w:val="single"/>
                <w:lang w:val="en-GB" w:eastAsia="ja-JP"/>
              </w:rPr>
            </w:pPr>
            <w:r w:rsidRPr="00C83B31">
              <w:rPr>
                <w:rFonts w:ascii="Arial Narrow" w:hAnsi="Arial Narrow" w:cs="Arial Narrow"/>
                <w:u w:val="single"/>
                <w:lang w:val="en-GB" w:eastAsia="ja-JP"/>
              </w:rPr>
              <w:t>Net clinical benefit</w:t>
            </w:r>
          </w:p>
        </w:tc>
        <w:tc>
          <w:tcPr>
            <w:tcW w:w="977" w:type="dxa"/>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r w:rsidRPr="00C83B31">
              <w:rPr>
                <w:rFonts w:ascii="Arial Narrow" w:hAnsi="Arial Narrow" w:cs="Arial Narrow"/>
                <w:lang w:val="en-GB" w:eastAsia="ja-JP"/>
              </w:rPr>
              <w:t>CEA/CUA</w:t>
            </w:r>
          </w:p>
        </w:tc>
        <w:tc>
          <w:tcPr>
            <w:tcW w:w="2369" w:type="dxa"/>
            <w:vMerge w:val="restart"/>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r w:rsidRPr="00C83B31">
              <w:rPr>
                <w:rFonts w:ascii="Arial Narrow" w:hAnsi="Arial Narrow" w:cs="Arial Narrow"/>
                <w:lang w:val="en-GB" w:eastAsia="ja-JP"/>
              </w:rPr>
              <w:t>None^</w:t>
            </w:r>
          </w:p>
        </w:tc>
        <w:tc>
          <w:tcPr>
            <w:tcW w:w="2455" w:type="dxa"/>
            <w:gridSpan w:val="2"/>
            <w:vMerge w:val="restart"/>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r w:rsidRPr="00C83B31">
              <w:rPr>
                <w:rFonts w:ascii="Arial Narrow" w:hAnsi="Arial Narrow" w:cs="Arial Narrow"/>
                <w:lang w:val="en-GB" w:eastAsia="ja-JP"/>
              </w:rPr>
              <w:t>None^</w:t>
            </w:r>
          </w:p>
        </w:tc>
      </w:tr>
      <w:tr w:rsidR="0086354C" w:rsidRPr="00C83B31" w:rsidTr="002C6039">
        <w:trPr>
          <w:trHeight w:val="20"/>
        </w:trPr>
        <w:tc>
          <w:tcPr>
            <w:tcW w:w="671" w:type="dxa"/>
            <w:vMerge/>
          </w:tcPr>
          <w:p w:rsidR="0086354C" w:rsidRPr="00C83B31" w:rsidRDefault="0086354C" w:rsidP="002C6039">
            <w:pPr>
              <w:tabs>
                <w:tab w:val="left" w:pos="2835"/>
              </w:tabs>
              <w:spacing w:after="0" w:line="240" w:lineRule="auto"/>
              <w:rPr>
                <w:rFonts w:ascii="Arial Narrow" w:hAnsi="Arial Narrow" w:cs="Arial Narrow"/>
                <w:lang w:val="en-GB" w:eastAsia="ja-JP"/>
              </w:rPr>
            </w:pPr>
          </w:p>
        </w:tc>
        <w:tc>
          <w:tcPr>
            <w:tcW w:w="1085" w:type="dxa"/>
            <w:vMerge/>
          </w:tcPr>
          <w:p w:rsidR="0086354C" w:rsidRPr="00C83B31" w:rsidRDefault="0086354C" w:rsidP="002C6039">
            <w:pPr>
              <w:tabs>
                <w:tab w:val="left" w:pos="2835"/>
              </w:tabs>
              <w:spacing w:after="0" w:line="240" w:lineRule="auto"/>
              <w:rPr>
                <w:rFonts w:ascii="Arial Narrow" w:hAnsi="Arial Narrow" w:cs="Arial Narrow"/>
                <w:lang w:val="en-GB" w:eastAsia="ja-JP"/>
              </w:rPr>
            </w:pPr>
          </w:p>
        </w:tc>
        <w:tc>
          <w:tcPr>
            <w:tcW w:w="1583" w:type="dxa"/>
            <w:vAlign w:val="center"/>
          </w:tcPr>
          <w:p w:rsidR="0086354C" w:rsidRPr="00C83B31" w:rsidRDefault="0086354C" w:rsidP="002C6039">
            <w:pPr>
              <w:tabs>
                <w:tab w:val="left" w:pos="2835"/>
              </w:tabs>
              <w:spacing w:after="0" w:line="240" w:lineRule="auto"/>
              <w:jc w:val="left"/>
              <w:rPr>
                <w:rFonts w:ascii="Arial Narrow" w:hAnsi="Arial Narrow" w:cs="Arial Narrow"/>
                <w:u w:val="single"/>
                <w:lang w:val="en-GB" w:eastAsia="ja-JP"/>
              </w:rPr>
            </w:pPr>
            <w:r w:rsidRPr="00C83B31">
              <w:rPr>
                <w:rFonts w:ascii="Arial Narrow" w:hAnsi="Arial Narrow" w:cs="Arial Narrow"/>
                <w:u w:val="single"/>
                <w:lang w:val="en-GB" w:eastAsia="ja-JP"/>
              </w:rPr>
              <w:t>Neutral benefit</w:t>
            </w:r>
          </w:p>
        </w:tc>
        <w:tc>
          <w:tcPr>
            <w:tcW w:w="977" w:type="dxa"/>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r w:rsidRPr="00C83B31">
              <w:rPr>
                <w:rFonts w:ascii="Arial Narrow" w:hAnsi="Arial Narrow" w:cs="Arial Narrow"/>
                <w:lang w:val="en-GB" w:eastAsia="ja-JP"/>
              </w:rPr>
              <w:t>CEA/CUA*</w:t>
            </w:r>
          </w:p>
        </w:tc>
        <w:tc>
          <w:tcPr>
            <w:tcW w:w="2369" w:type="dxa"/>
            <w:vMerge/>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p>
        </w:tc>
        <w:tc>
          <w:tcPr>
            <w:tcW w:w="2455" w:type="dxa"/>
            <w:gridSpan w:val="2"/>
            <w:vMerge/>
          </w:tcPr>
          <w:p w:rsidR="0086354C" w:rsidRPr="00C83B31" w:rsidRDefault="0086354C" w:rsidP="002C6039">
            <w:pPr>
              <w:tabs>
                <w:tab w:val="left" w:pos="2835"/>
              </w:tabs>
              <w:spacing w:after="0" w:line="240" w:lineRule="auto"/>
              <w:rPr>
                <w:rFonts w:ascii="Arial Narrow" w:hAnsi="Arial Narrow" w:cs="Arial Narrow"/>
                <w:lang w:val="en-GB" w:eastAsia="ja-JP"/>
              </w:rPr>
            </w:pPr>
          </w:p>
        </w:tc>
      </w:tr>
      <w:tr w:rsidR="0086354C" w:rsidRPr="00C83B31" w:rsidTr="002C6039">
        <w:trPr>
          <w:trHeight w:val="20"/>
        </w:trPr>
        <w:tc>
          <w:tcPr>
            <w:tcW w:w="671" w:type="dxa"/>
            <w:vMerge/>
          </w:tcPr>
          <w:p w:rsidR="0086354C" w:rsidRPr="00C83B31" w:rsidRDefault="0086354C" w:rsidP="002C6039">
            <w:pPr>
              <w:tabs>
                <w:tab w:val="left" w:pos="2835"/>
              </w:tabs>
              <w:spacing w:after="0" w:line="240" w:lineRule="auto"/>
              <w:rPr>
                <w:rFonts w:ascii="Arial Narrow" w:hAnsi="Arial Narrow" w:cs="Arial Narrow"/>
                <w:lang w:val="en-GB" w:eastAsia="ja-JP"/>
              </w:rPr>
            </w:pPr>
          </w:p>
        </w:tc>
        <w:tc>
          <w:tcPr>
            <w:tcW w:w="1085" w:type="dxa"/>
            <w:vMerge/>
          </w:tcPr>
          <w:p w:rsidR="0086354C" w:rsidRPr="00C83B31" w:rsidRDefault="0086354C" w:rsidP="002C6039">
            <w:pPr>
              <w:tabs>
                <w:tab w:val="left" w:pos="2835"/>
              </w:tabs>
              <w:spacing w:after="0" w:line="240" w:lineRule="auto"/>
              <w:rPr>
                <w:rFonts w:ascii="Arial Narrow" w:hAnsi="Arial Narrow" w:cs="Arial Narrow"/>
                <w:lang w:val="en-GB" w:eastAsia="ja-JP"/>
              </w:rPr>
            </w:pPr>
          </w:p>
        </w:tc>
        <w:tc>
          <w:tcPr>
            <w:tcW w:w="1583" w:type="dxa"/>
            <w:vAlign w:val="center"/>
          </w:tcPr>
          <w:p w:rsidR="0086354C" w:rsidRPr="00C83B31" w:rsidRDefault="0086354C" w:rsidP="002C6039">
            <w:pPr>
              <w:tabs>
                <w:tab w:val="left" w:pos="2835"/>
              </w:tabs>
              <w:spacing w:after="0" w:line="240" w:lineRule="auto"/>
              <w:jc w:val="left"/>
              <w:rPr>
                <w:rFonts w:ascii="Arial Narrow" w:hAnsi="Arial Narrow" w:cs="Arial Narrow"/>
                <w:u w:val="single"/>
                <w:lang w:val="en-GB" w:eastAsia="ja-JP"/>
              </w:rPr>
            </w:pPr>
            <w:r w:rsidRPr="00C83B31">
              <w:rPr>
                <w:rFonts w:ascii="Arial Narrow" w:hAnsi="Arial Narrow" w:cs="Arial Narrow"/>
                <w:u w:val="single"/>
                <w:lang w:val="en-GB" w:eastAsia="ja-JP"/>
              </w:rPr>
              <w:t>Net harms</w:t>
            </w:r>
          </w:p>
        </w:tc>
        <w:tc>
          <w:tcPr>
            <w:tcW w:w="977" w:type="dxa"/>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r w:rsidRPr="00C83B31">
              <w:rPr>
                <w:rFonts w:ascii="Arial Narrow" w:hAnsi="Arial Narrow" w:cs="Arial Narrow"/>
                <w:lang w:val="en-GB" w:eastAsia="ja-JP"/>
              </w:rPr>
              <w:t>None^</w:t>
            </w:r>
          </w:p>
        </w:tc>
        <w:tc>
          <w:tcPr>
            <w:tcW w:w="2369" w:type="dxa"/>
            <w:vMerge/>
            <w:vAlign w:val="center"/>
          </w:tcPr>
          <w:p w:rsidR="0086354C" w:rsidRPr="00C83B31" w:rsidRDefault="0086354C" w:rsidP="002C6039">
            <w:pPr>
              <w:tabs>
                <w:tab w:val="left" w:pos="2835"/>
              </w:tabs>
              <w:spacing w:after="0" w:line="240" w:lineRule="auto"/>
              <w:jc w:val="center"/>
              <w:rPr>
                <w:rFonts w:ascii="Arial Narrow" w:hAnsi="Arial Narrow" w:cs="Arial Narrow"/>
                <w:lang w:val="en-GB" w:eastAsia="ja-JP"/>
              </w:rPr>
            </w:pPr>
          </w:p>
        </w:tc>
        <w:tc>
          <w:tcPr>
            <w:tcW w:w="2455" w:type="dxa"/>
            <w:gridSpan w:val="2"/>
            <w:vMerge/>
          </w:tcPr>
          <w:p w:rsidR="0086354C" w:rsidRPr="00C83B31" w:rsidRDefault="0086354C" w:rsidP="002C6039">
            <w:pPr>
              <w:tabs>
                <w:tab w:val="left" w:pos="2835"/>
              </w:tabs>
              <w:spacing w:after="0" w:line="240" w:lineRule="auto"/>
              <w:rPr>
                <w:rFonts w:ascii="Arial Narrow" w:hAnsi="Arial Narrow" w:cs="Arial Narrow"/>
                <w:lang w:val="en-GB" w:eastAsia="ja-JP"/>
              </w:rPr>
            </w:pPr>
          </w:p>
        </w:tc>
      </w:tr>
    </w:tbl>
    <w:p w:rsidR="0086354C" w:rsidRPr="00C83B31" w:rsidRDefault="0086354C" w:rsidP="0086354C">
      <w:pPr>
        <w:tabs>
          <w:tab w:val="left" w:pos="284"/>
        </w:tabs>
        <w:spacing w:after="0" w:line="240" w:lineRule="auto"/>
        <w:ind w:left="284" w:hanging="284"/>
        <w:rPr>
          <w:rFonts w:ascii="Arial Narrow" w:hAnsi="Arial Narrow" w:cs="Arial Narrow"/>
          <w:lang w:val="en-GB" w:eastAsia="ja-JP"/>
        </w:rPr>
      </w:pPr>
      <w:r w:rsidRPr="00C83B31">
        <w:rPr>
          <w:rFonts w:ascii="Arial Narrow" w:hAnsi="Arial Narrow" w:cs="Arial Narrow"/>
          <w:lang w:val="en-GB" w:eastAsia="ja-JP"/>
        </w:rPr>
        <w:t>Abbreviations:  CEA = cost-effectiveness analysis; CUA = cost-utility analysis</w:t>
      </w:r>
    </w:p>
    <w:p w:rsidR="0086354C" w:rsidRPr="00C83B31" w:rsidRDefault="0086354C" w:rsidP="0086354C">
      <w:pPr>
        <w:tabs>
          <w:tab w:val="left" w:pos="284"/>
        </w:tabs>
        <w:spacing w:after="0" w:line="240" w:lineRule="auto"/>
        <w:ind w:left="284" w:hanging="284"/>
        <w:rPr>
          <w:rFonts w:ascii="Arial Narrow" w:hAnsi="Arial Narrow" w:cs="Arial Narrow"/>
          <w:lang w:val="en-GB" w:eastAsia="ja-JP"/>
        </w:rPr>
      </w:pPr>
      <w:r w:rsidRPr="00C83B31">
        <w:rPr>
          <w:rFonts w:ascii="Arial Narrow" w:hAnsi="Arial Narrow" w:cs="Arial Narrow"/>
          <w:lang w:val="en-GB" w:eastAsia="ja-JP"/>
        </w:rPr>
        <w:lastRenderedPageBreak/>
        <w:t>*</w:t>
      </w:r>
      <w:r w:rsidRPr="00C83B31">
        <w:rPr>
          <w:rFonts w:ascii="Arial Narrow" w:hAnsi="Arial Narrow" w:cs="Arial Narrow"/>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86354C" w:rsidRPr="00C83B31" w:rsidRDefault="0086354C" w:rsidP="0086354C">
      <w:pPr>
        <w:tabs>
          <w:tab w:val="left" w:pos="284"/>
        </w:tabs>
        <w:spacing w:line="240" w:lineRule="auto"/>
        <w:rPr>
          <w:rFonts w:ascii="Arial Narrow" w:hAnsi="Arial Narrow" w:cs="Arial Narrow"/>
          <w:lang w:val="en-GB" w:eastAsia="ja-JP"/>
        </w:rPr>
      </w:pPr>
      <w:r w:rsidRPr="00C83B31">
        <w:rPr>
          <w:rFonts w:ascii="Arial Narrow" w:hAnsi="Arial Narrow" w:cs="Arial Narrow"/>
          <w:lang w:val="en-GB" w:eastAsia="ja-JP"/>
        </w:rPr>
        <w:t>^</w:t>
      </w:r>
      <w:r w:rsidRPr="00C83B31">
        <w:rPr>
          <w:rFonts w:ascii="Arial Narrow" w:hAnsi="Arial Narrow" w:cs="Arial Narrow"/>
          <w:lang w:val="en-GB" w:eastAsia="ja-JP"/>
        </w:rPr>
        <w:tab/>
        <w:t>No economic evaluation needs to be presented; MSAC is unlikely to recommend government subsidy of this intervention</w:t>
      </w:r>
    </w:p>
    <w:p w:rsidR="0086354C" w:rsidRDefault="0086354C" w:rsidP="0086354C">
      <w:bookmarkStart w:id="47" w:name="_Toc283297644"/>
      <w:r>
        <w:t xml:space="preserve">The </w:t>
      </w:r>
      <w:r w:rsidR="00860C7F">
        <w:t>modelling should account for base case and sensitivity analyses as shown in the DAP.</w:t>
      </w:r>
    </w:p>
    <w:p w:rsidR="00B53AE3" w:rsidRPr="008B461B" w:rsidRDefault="00B53AE3" w:rsidP="00860C7F">
      <w:pPr>
        <w:pStyle w:val="Heading2"/>
      </w:pPr>
      <w:bookmarkStart w:id="48" w:name="_Toc369595430"/>
      <w:r w:rsidRPr="008B461B">
        <w:t>Other relevant literature</w:t>
      </w:r>
      <w:bookmarkEnd w:id="48"/>
    </w:p>
    <w:p w:rsidR="00B53AE3" w:rsidRDefault="00B53AE3" w:rsidP="00B53AE3">
      <w:r>
        <w:t>The following section provides a summary of some relevant literature that was available during the initial drafting of this DAP. Please note that a comprehensive review, including a critique of studies and relevance to the Australian context, will be undertaken as part of the assessment phase.</w:t>
      </w:r>
    </w:p>
    <w:p w:rsidR="00B53AE3" w:rsidRDefault="00B53AE3" w:rsidP="00B53AE3">
      <w:r w:rsidRPr="003B61E9">
        <w:t>A horizon scanning prioritising summar</w:t>
      </w:r>
      <w:r>
        <w:t>y in 2010 by HealthPACT concluded that ‘</w:t>
      </w:r>
      <w:r w:rsidRPr="003B61E9">
        <w:t>renal denervation may be a viable option for the trea</w:t>
      </w:r>
      <w:r>
        <w:t>tment of resistant hypertension’</w:t>
      </w:r>
      <w:r w:rsidRPr="003B61E9">
        <w:t xml:space="preserve">. However, a recommendation was made for the device to be </w:t>
      </w:r>
      <w:r>
        <w:t>reviewed</w:t>
      </w:r>
      <w:r w:rsidRPr="003B61E9">
        <w:t xml:space="preserve"> in 24 months’ time due to the lack of randomised control trials</w:t>
      </w:r>
      <w:r>
        <w:t xml:space="preserve"> (Department of Health and Aging 2010)</w:t>
      </w:r>
      <w:r w:rsidRPr="003B61E9">
        <w:t>.</w:t>
      </w:r>
    </w:p>
    <w:p w:rsidR="00B53AE3" w:rsidRPr="00C83B31" w:rsidRDefault="00B53AE3" w:rsidP="00B53AE3">
      <w:r>
        <w:t>T</w:t>
      </w:r>
      <w:r w:rsidRPr="00C83B31">
        <w:t>he National Institute of Health and Clinical Excellence</w:t>
      </w:r>
      <w:r>
        <w:t xml:space="preserve"> in the United Kingdom</w:t>
      </w:r>
      <w:r w:rsidRPr="00C83B31">
        <w:t xml:space="preserve"> recently published recommendations with regards to the catheter-based renal denervation. They recommend patient selection should be carried out by a multidisciplinary team including a physician with expertise in hypertension and a specialist in endovascular interventions, giving considerations to the number of antihypertensive drugs that have failed to control the patient’s blood pressure and the anatomical suitability of their renal arteries. The procedure should only be done by specialists who are experienced in endovascular interventions and with facilities for emergency stenting in case this is required. They also suggest that there is inadequate evidence on efficacy in the long term; this is particularly important for a procedure aimed at treating resistant hypertension. The limited evidence suggests a low incidence of serious periprocedural complications, but there is inadequate evidence on long-term safety. Therefore this procedure should only be used with </w:t>
      </w:r>
      <w:r w:rsidRPr="00C83B31">
        <w:lastRenderedPageBreak/>
        <w:t>special arrangements for clinical governance,</w:t>
      </w:r>
      <w:r>
        <w:t xml:space="preserve"> consent, and audit or research</w:t>
      </w:r>
      <w:r w:rsidRPr="00C83B31">
        <w:t xml:space="preserve"> (NICE 2012)</w:t>
      </w:r>
      <w:r>
        <w:t>.</w:t>
      </w:r>
    </w:p>
    <w:p w:rsidR="00B53AE3" w:rsidRPr="003B61E9" w:rsidRDefault="00B53AE3" w:rsidP="00B53AE3">
      <w:r w:rsidRPr="00C83B31">
        <w:t>The French Scientific Society (Cardiology, Radiology and Hypertension) proposed to limit renal denervation to patients with uncontrolled hypertension who are receiving four or more anti-hypertensives with at least one diuretic or spironolactone. Additionally, patient’s office and ambulatory blood pressure measurement must be greater than 160/100</w:t>
      </w:r>
      <w:r w:rsidR="00D00E5B">
        <w:t xml:space="preserve"> </w:t>
      </w:r>
      <w:r w:rsidRPr="00C83B31">
        <w:t>mm</w:t>
      </w:r>
      <w:r w:rsidR="00D00E5B">
        <w:t xml:space="preserve"> </w:t>
      </w:r>
      <w:r w:rsidRPr="00C83B31">
        <w:t>Hg and 135/85</w:t>
      </w:r>
      <w:r w:rsidR="00D00E5B">
        <w:t xml:space="preserve"> </w:t>
      </w:r>
      <w:r w:rsidRPr="00C83B31">
        <w:t>mm</w:t>
      </w:r>
      <w:r w:rsidR="00D00E5B">
        <w:t xml:space="preserve"> </w:t>
      </w:r>
      <w:r w:rsidRPr="00C83B31">
        <w:t>Hg with correct renal artery function and anatomy. Optimal medical management must not be interrupted during recovery from renal denervation because its effects can be delayed up to 3</w:t>
      </w:r>
      <w:r>
        <w:t xml:space="preserve"> </w:t>
      </w:r>
      <w:r w:rsidRPr="00C83B31">
        <w:t>month</w:t>
      </w:r>
      <w:r>
        <w:t>s</w:t>
      </w:r>
      <w:r w:rsidRPr="00C83B31">
        <w:t xml:space="preserve">. Patients’ blood pressure, renal function and anatomy should be monitored for 12-36 months after the procedure. The society cautioned that in the absence of long term safety data the efficacy of the procedure remains to be determined. The society also noted that 10% of patients who underwent the Symplicity HTN-2 trials showed no benefit from renal denervation and for the majority of participants, </w:t>
      </w:r>
      <w:r w:rsidRPr="003B61E9">
        <w:t xml:space="preserve">their anti-hypertensive medications had not decreased </w:t>
      </w:r>
      <w:r>
        <w:t>(Pathak et al</w:t>
      </w:r>
      <w:r w:rsidRPr="003B61E9">
        <w:t xml:space="preserve"> 2012). </w:t>
      </w:r>
    </w:p>
    <w:p w:rsidR="0086354C" w:rsidRPr="00F65C7B" w:rsidRDefault="0086354C" w:rsidP="0086354C">
      <w:pPr>
        <w:pStyle w:val="Heading1"/>
      </w:pPr>
      <w:bookmarkStart w:id="49" w:name="_Toc369595431"/>
      <w:r w:rsidRPr="00F65C7B">
        <w:t>Outcomes and health care resources affected by introduction of proposed intervention</w:t>
      </w:r>
      <w:bookmarkEnd w:id="47"/>
      <w:bookmarkEnd w:id="49"/>
    </w:p>
    <w:p w:rsidR="0086354C" w:rsidRPr="00737EBA" w:rsidRDefault="0086354C" w:rsidP="0086354C">
      <w:pPr>
        <w:pStyle w:val="Heading2"/>
      </w:pPr>
      <w:bookmarkStart w:id="50" w:name="_Toc283297645"/>
      <w:bookmarkStart w:id="51" w:name="_Toc369595432"/>
      <w:r w:rsidRPr="00F0487A">
        <w:t>Outcomes</w:t>
      </w:r>
      <w:bookmarkEnd w:id="50"/>
      <w:bookmarkEnd w:id="51"/>
    </w:p>
    <w:p w:rsidR="0086354C" w:rsidRPr="00C83B31" w:rsidRDefault="0086354C" w:rsidP="0086354C">
      <w:pPr>
        <w:pStyle w:val="Heading3"/>
        <w:rPr>
          <w:lang w:val="en-GB" w:eastAsia="ja-JP"/>
        </w:rPr>
      </w:pPr>
      <w:bookmarkStart w:id="52" w:name="_Toc369595433"/>
      <w:r w:rsidRPr="00C83B31">
        <w:rPr>
          <w:lang w:val="en-GB" w:eastAsia="ja-JP"/>
        </w:rPr>
        <w:t xml:space="preserve">Primary </w:t>
      </w:r>
      <w:r>
        <w:rPr>
          <w:lang w:val="en-GB" w:eastAsia="ja-JP"/>
        </w:rPr>
        <w:t>o</w:t>
      </w:r>
      <w:r w:rsidRPr="00C83B31">
        <w:rPr>
          <w:lang w:val="en-GB" w:eastAsia="ja-JP"/>
        </w:rPr>
        <w:t>utcomes include:</w:t>
      </w:r>
      <w:bookmarkEnd w:id="52"/>
    </w:p>
    <w:p w:rsidR="0086354C" w:rsidRPr="003B61E9" w:rsidRDefault="0086354C" w:rsidP="0086354C">
      <w:pPr>
        <w:pStyle w:val="ListParagraph"/>
        <w:numPr>
          <w:ilvl w:val="0"/>
          <w:numId w:val="21"/>
        </w:numPr>
        <w:rPr>
          <w:lang w:val="en-GB" w:eastAsia="ja-JP"/>
        </w:rPr>
      </w:pPr>
      <w:r w:rsidRPr="003B61E9">
        <w:rPr>
          <w:lang w:val="en-GB" w:eastAsia="ja-JP"/>
        </w:rPr>
        <w:t>Clinical outcomes of cardiovascular or renal disease (</w:t>
      </w:r>
      <w:r>
        <w:rPr>
          <w:lang w:val="en-GB" w:eastAsia="ja-JP"/>
        </w:rPr>
        <w:t xml:space="preserve">e.g. </w:t>
      </w:r>
      <w:r w:rsidRPr="003B61E9">
        <w:rPr>
          <w:lang w:val="en-GB" w:eastAsia="ja-JP"/>
        </w:rPr>
        <w:t>stroke; heart failure)</w:t>
      </w:r>
    </w:p>
    <w:p w:rsidR="0086354C" w:rsidRPr="003B61E9" w:rsidRDefault="0086354C" w:rsidP="0086354C">
      <w:pPr>
        <w:pStyle w:val="ListParagraph"/>
        <w:numPr>
          <w:ilvl w:val="0"/>
          <w:numId w:val="21"/>
        </w:numPr>
        <w:rPr>
          <w:lang w:val="en-GB" w:eastAsia="ja-JP"/>
        </w:rPr>
      </w:pPr>
      <w:r w:rsidRPr="003B61E9">
        <w:rPr>
          <w:lang w:val="en-GB" w:eastAsia="ja-JP"/>
        </w:rPr>
        <w:t>Systolic and diastolic blood pressure</w:t>
      </w:r>
      <w:r>
        <w:rPr>
          <w:lang w:val="en-GB" w:eastAsia="ja-JP"/>
        </w:rPr>
        <w:t xml:space="preserve"> (including initial and final blood pressure, and change in blood pressure)</w:t>
      </w:r>
      <w:r w:rsidR="001341E4">
        <w:rPr>
          <w:lang w:val="en-GB" w:eastAsia="ja-JP"/>
        </w:rPr>
        <w:t xml:space="preserve">. </w:t>
      </w:r>
      <w:r w:rsidR="001341E4">
        <w:t>The means by which blood pressure is measured needs to be reported: e.g. whether this is ambulatory blood pressure monitoring or office blood pressure monitoring</w:t>
      </w:r>
    </w:p>
    <w:p w:rsidR="0086354C" w:rsidRPr="003B61E9" w:rsidRDefault="0086354C" w:rsidP="0086354C">
      <w:pPr>
        <w:pStyle w:val="ListParagraph"/>
        <w:numPr>
          <w:ilvl w:val="0"/>
          <w:numId w:val="21"/>
        </w:numPr>
        <w:rPr>
          <w:lang w:val="en-GB" w:eastAsia="ja-JP"/>
        </w:rPr>
      </w:pPr>
      <w:r w:rsidRPr="003B61E9">
        <w:rPr>
          <w:lang w:val="en-GB" w:eastAsia="ja-JP"/>
        </w:rPr>
        <w:t>Quality of life</w:t>
      </w:r>
    </w:p>
    <w:p w:rsidR="0086354C" w:rsidRPr="003B61E9" w:rsidRDefault="0086354C" w:rsidP="0086354C">
      <w:pPr>
        <w:pStyle w:val="ListParagraph"/>
        <w:numPr>
          <w:ilvl w:val="0"/>
          <w:numId w:val="21"/>
        </w:numPr>
        <w:rPr>
          <w:lang w:val="en-GB" w:eastAsia="ja-JP"/>
        </w:rPr>
      </w:pPr>
      <w:r w:rsidRPr="003B61E9">
        <w:rPr>
          <w:lang w:val="en-GB" w:eastAsia="ja-JP"/>
        </w:rPr>
        <w:t>Mortality</w:t>
      </w:r>
    </w:p>
    <w:p w:rsidR="0086354C" w:rsidRPr="00C83B31" w:rsidRDefault="0086354C" w:rsidP="0086354C">
      <w:pPr>
        <w:pStyle w:val="Heading3"/>
        <w:rPr>
          <w:lang w:val="en-GB" w:eastAsia="ja-JP"/>
        </w:rPr>
      </w:pPr>
      <w:bookmarkStart w:id="53" w:name="_Toc369595434"/>
      <w:r w:rsidRPr="00C83B31">
        <w:rPr>
          <w:lang w:val="en-GB" w:eastAsia="ja-JP"/>
        </w:rPr>
        <w:t xml:space="preserve">Secondary </w:t>
      </w:r>
      <w:r>
        <w:rPr>
          <w:lang w:val="en-GB" w:eastAsia="ja-JP"/>
        </w:rPr>
        <w:t>o</w:t>
      </w:r>
      <w:r w:rsidRPr="00C83B31">
        <w:rPr>
          <w:lang w:val="en-GB" w:eastAsia="ja-JP"/>
        </w:rPr>
        <w:t>utcomes include:</w:t>
      </w:r>
      <w:bookmarkEnd w:id="53"/>
    </w:p>
    <w:p w:rsidR="0086354C" w:rsidRDefault="0086354C" w:rsidP="0086354C">
      <w:pPr>
        <w:pStyle w:val="ListParagraph"/>
        <w:numPr>
          <w:ilvl w:val="0"/>
          <w:numId w:val="22"/>
        </w:numPr>
      </w:pPr>
      <w:r>
        <w:t>F</w:t>
      </w:r>
      <w:r w:rsidRPr="00C83B31">
        <w:t>ailure rate</w:t>
      </w:r>
    </w:p>
    <w:p w:rsidR="0086354C" w:rsidRPr="00C83B31" w:rsidRDefault="0086354C" w:rsidP="0086354C">
      <w:pPr>
        <w:pStyle w:val="ListParagraph"/>
        <w:numPr>
          <w:ilvl w:val="0"/>
          <w:numId w:val="22"/>
        </w:numPr>
      </w:pPr>
      <w:r>
        <w:t>Repeat</w:t>
      </w:r>
      <w:r w:rsidR="00361EC1">
        <w:t xml:space="preserve"> or additional</w:t>
      </w:r>
      <w:r>
        <w:t xml:space="preserve"> procedures</w:t>
      </w:r>
    </w:p>
    <w:p w:rsidR="0086354C" w:rsidRPr="003B61E9" w:rsidRDefault="0086354C" w:rsidP="0086354C">
      <w:pPr>
        <w:pStyle w:val="ListParagraph"/>
        <w:numPr>
          <w:ilvl w:val="0"/>
          <w:numId w:val="22"/>
        </w:numPr>
        <w:rPr>
          <w:lang w:val="en-GB" w:eastAsia="ja-JP"/>
        </w:rPr>
      </w:pPr>
      <w:r w:rsidRPr="003B61E9">
        <w:rPr>
          <w:lang w:val="en-GB" w:eastAsia="ja-JP"/>
        </w:rPr>
        <w:t>Cardiac function (e.g. central hemodynamics, left ventricular hypertrophy)</w:t>
      </w:r>
    </w:p>
    <w:p w:rsidR="0086354C" w:rsidRPr="003B61E9" w:rsidRDefault="0086354C" w:rsidP="0086354C">
      <w:pPr>
        <w:pStyle w:val="ListParagraph"/>
        <w:numPr>
          <w:ilvl w:val="0"/>
          <w:numId w:val="22"/>
        </w:numPr>
        <w:rPr>
          <w:lang w:val="en-GB" w:eastAsia="ja-JP"/>
        </w:rPr>
      </w:pPr>
      <w:r w:rsidRPr="003B61E9">
        <w:rPr>
          <w:lang w:val="en-GB" w:eastAsia="ja-JP"/>
        </w:rPr>
        <w:t xml:space="preserve">Change in medication </w:t>
      </w:r>
    </w:p>
    <w:p w:rsidR="0086354C" w:rsidRDefault="0086354C" w:rsidP="0086354C">
      <w:pPr>
        <w:pStyle w:val="ListParagraph"/>
        <w:numPr>
          <w:ilvl w:val="0"/>
          <w:numId w:val="22"/>
        </w:numPr>
        <w:rPr>
          <w:lang w:val="en-GB" w:eastAsia="ja-JP"/>
        </w:rPr>
      </w:pPr>
      <w:r w:rsidRPr="003B61E9">
        <w:rPr>
          <w:lang w:val="en-GB" w:eastAsia="ja-JP"/>
        </w:rPr>
        <w:lastRenderedPageBreak/>
        <w:t>Change in health care resources (e.g. visits to specialists for ongoing monitoring or for co-morbidities)</w:t>
      </w:r>
    </w:p>
    <w:p w:rsidR="0086354C" w:rsidRPr="003B61E9" w:rsidRDefault="0086354C" w:rsidP="0086354C">
      <w:pPr>
        <w:pStyle w:val="ListParagraph"/>
        <w:numPr>
          <w:ilvl w:val="0"/>
          <w:numId w:val="22"/>
        </w:numPr>
        <w:rPr>
          <w:lang w:val="en-GB" w:eastAsia="ja-JP"/>
        </w:rPr>
      </w:pPr>
      <w:r w:rsidRPr="003B61E9">
        <w:rPr>
          <w:lang w:val="en-GB" w:eastAsia="ja-JP"/>
        </w:rPr>
        <w:t xml:space="preserve">Renal function (such as estimated glomerular filtration rate (eGFR), serum creatinine, urinary protein excretion) </w:t>
      </w:r>
    </w:p>
    <w:p w:rsidR="0086354C" w:rsidRDefault="0086354C" w:rsidP="0086354C">
      <w:pPr>
        <w:pStyle w:val="ListParagraph"/>
        <w:numPr>
          <w:ilvl w:val="0"/>
          <w:numId w:val="22"/>
        </w:numPr>
        <w:rPr>
          <w:lang w:val="en-GB" w:eastAsia="ja-JP"/>
        </w:rPr>
      </w:pPr>
      <w:r>
        <w:rPr>
          <w:lang w:val="en-GB" w:eastAsia="ja-JP"/>
        </w:rPr>
        <w:t>Hospitalisations</w:t>
      </w:r>
    </w:p>
    <w:p w:rsidR="00792F87" w:rsidRPr="003B61E9" w:rsidRDefault="001341E4" w:rsidP="0086354C">
      <w:pPr>
        <w:pStyle w:val="ListParagraph"/>
        <w:numPr>
          <w:ilvl w:val="0"/>
          <w:numId w:val="22"/>
        </w:numPr>
        <w:rPr>
          <w:lang w:val="en-GB" w:eastAsia="ja-JP"/>
        </w:rPr>
      </w:pPr>
      <w:r>
        <w:rPr>
          <w:lang w:val="en-GB" w:eastAsia="ja-JP"/>
        </w:rPr>
        <w:t>S</w:t>
      </w:r>
      <w:r w:rsidR="00792F87">
        <w:rPr>
          <w:lang w:val="en-GB" w:eastAsia="ja-JP"/>
        </w:rPr>
        <w:t>tent insertion</w:t>
      </w:r>
    </w:p>
    <w:p w:rsidR="0086354C" w:rsidRPr="00C83B31" w:rsidRDefault="0086354C" w:rsidP="0086354C">
      <w:pPr>
        <w:pStyle w:val="Heading3"/>
      </w:pPr>
      <w:bookmarkStart w:id="54" w:name="_Toc369595435"/>
      <w:r w:rsidRPr="00C83B31">
        <w:t>Adverse events</w:t>
      </w:r>
      <w:bookmarkEnd w:id="54"/>
    </w:p>
    <w:p w:rsidR="0086354C" w:rsidRDefault="0086354C" w:rsidP="0086354C">
      <w:pPr>
        <w:pStyle w:val="ListParagraph"/>
        <w:numPr>
          <w:ilvl w:val="0"/>
          <w:numId w:val="23"/>
        </w:numPr>
      </w:pPr>
      <w:r>
        <w:t>Including but not limited to:</w:t>
      </w:r>
    </w:p>
    <w:p w:rsidR="0086354C" w:rsidRPr="00C83B31" w:rsidRDefault="0086354C" w:rsidP="0086354C">
      <w:pPr>
        <w:pStyle w:val="ListParagraph"/>
        <w:numPr>
          <w:ilvl w:val="0"/>
          <w:numId w:val="23"/>
        </w:numPr>
      </w:pPr>
      <w:r>
        <w:t>Pseudoaneurysm</w:t>
      </w:r>
    </w:p>
    <w:p w:rsidR="0086354C" w:rsidRPr="00C83B31" w:rsidRDefault="0086354C" w:rsidP="0086354C">
      <w:pPr>
        <w:pStyle w:val="ListParagraph"/>
        <w:numPr>
          <w:ilvl w:val="0"/>
          <w:numId w:val="23"/>
        </w:numPr>
      </w:pPr>
      <w:r w:rsidRPr="00C83B31">
        <w:t>Backpain</w:t>
      </w:r>
    </w:p>
    <w:p w:rsidR="0086354C" w:rsidRPr="00C83B31" w:rsidRDefault="0086354C" w:rsidP="0086354C">
      <w:pPr>
        <w:pStyle w:val="ListParagraph"/>
        <w:numPr>
          <w:ilvl w:val="0"/>
          <w:numId w:val="23"/>
        </w:numPr>
      </w:pPr>
      <w:r w:rsidRPr="00C83B31">
        <w:t>Renal artery dissection</w:t>
      </w:r>
    </w:p>
    <w:p w:rsidR="0086354C" w:rsidRPr="00C83B31" w:rsidRDefault="0086354C" w:rsidP="0086354C">
      <w:pPr>
        <w:pStyle w:val="ListParagraph"/>
        <w:numPr>
          <w:ilvl w:val="0"/>
          <w:numId w:val="23"/>
        </w:numPr>
      </w:pPr>
      <w:r w:rsidRPr="00C83B31">
        <w:t>Hypotension</w:t>
      </w:r>
    </w:p>
    <w:p w:rsidR="0086354C" w:rsidRDefault="0086354C" w:rsidP="0086354C">
      <w:pPr>
        <w:pStyle w:val="ListParagraph"/>
        <w:numPr>
          <w:ilvl w:val="0"/>
          <w:numId w:val="23"/>
        </w:numPr>
      </w:pPr>
      <w:r w:rsidRPr="00C83B31">
        <w:t>Mortality</w:t>
      </w:r>
    </w:p>
    <w:p w:rsidR="0086354C" w:rsidRDefault="0086354C" w:rsidP="0086354C">
      <w:r>
        <w:t>The main outcome for modelling purposes should be any change in cardiovascular disease. The change in blood pressure is an appropriate surrogate for this main clinical outcome. The modelling should allow for uncertainty regarding this outcome.</w:t>
      </w:r>
    </w:p>
    <w:p w:rsidR="0086354C" w:rsidRDefault="0086354C" w:rsidP="0086354C">
      <w:r>
        <w:t>The assessment will need to record the following information relevant to resource use:</w:t>
      </w:r>
    </w:p>
    <w:p w:rsidR="0086354C" w:rsidRDefault="0086354C" w:rsidP="0086354C">
      <w:pPr>
        <w:pStyle w:val="ListParagraph"/>
        <w:numPr>
          <w:ilvl w:val="0"/>
          <w:numId w:val="33"/>
        </w:numPr>
      </w:pPr>
      <w:r>
        <w:t>Number of runs of digital subtraction angiography used per procedure.</w:t>
      </w:r>
    </w:p>
    <w:p w:rsidR="0086354C" w:rsidRDefault="0086354C" w:rsidP="0086354C">
      <w:pPr>
        <w:pStyle w:val="ListParagraph"/>
        <w:numPr>
          <w:ilvl w:val="0"/>
          <w:numId w:val="33"/>
        </w:numPr>
      </w:pPr>
      <w:r>
        <w:t>The type of imaging (e.g. digital subtraction angiography) used immediately following the procedure</w:t>
      </w:r>
      <w:r w:rsidR="00741CD0">
        <w:t xml:space="preserve"> and during service provision</w:t>
      </w:r>
      <w:r>
        <w:t xml:space="preserve"> to confirm the absence of damage to the renal artery.</w:t>
      </w:r>
    </w:p>
    <w:p w:rsidR="00D32C81" w:rsidRPr="00C83B31" w:rsidRDefault="00D32C81" w:rsidP="00D32C81">
      <w:pPr>
        <w:pStyle w:val="ListParagraph"/>
        <w:numPr>
          <w:ilvl w:val="0"/>
          <w:numId w:val="33"/>
        </w:numPr>
      </w:pPr>
      <w:r>
        <w:t>Any requirement of an assistant</w:t>
      </w:r>
      <w:r w:rsidR="00860C7F">
        <w:t>.</w:t>
      </w:r>
    </w:p>
    <w:p w:rsidR="00D32C81" w:rsidRPr="00C83B31" w:rsidRDefault="00D32C81" w:rsidP="00D32C81">
      <w:pPr>
        <w:pStyle w:val="ListParagraph"/>
        <w:numPr>
          <w:ilvl w:val="0"/>
          <w:numId w:val="33"/>
        </w:numPr>
      </w:pPr>
      <w:r>
        <w:t xml:space="preserve">The presence or absence of a radiographer </w:t>
      </w:r>
      <w:r w:rsidRPr="00C83B31">
        <w:t>to determine patient suitability and to assist guiding the catheter</w:t>
      </w:r>
      <w:r w:rsidR="00860C7F">
        <w:t>.</w:t>
      </w:r>
    </w:p>
    <w:p w:rsidR="0086354C" w:rsidRDefault="0086354C" w:rsidP="0086354C">
      <w:pPr>
        <w:pStyle w:val="ListParagraph"/>
        <w:numPr>
          <w:ilvl w:val="0"/>
          <w:numId w:val="33"/>
        </w:numPr>
      </w:pPr>
      <w:r>
        <w:t>Use of an anaesthetist; use and type of anaesthesia.</w:t>
      </w:r>
    </w:p>
    <w:p w:rsidR="00F31E2B" w:rsidRDefault="00F31E2B" w:rsidP="0086354C">
      <w:pPr>
        <w:pStyle w:val="ListParagraph"/>
        <w:numPr>
          <w:ilvl w:val="0"/>
          <w:numId w:val="33"/>
        </w:numPr>
      </w:pPr>
      <w:r>
        <w:t>Time of the ablation.</w:t>
      </w:r>
    </w:p>
    <w:p w:rsidR="0086354C" w:rsidRDefault="0086354C" w:rsidP="0086354C">
      <w:pPr>
        <w:pStyle w:val="ListParagraph"/>
        <w:numPr>
          <w:ilvl w:val="0"/>
          <w:numId w:val="33"/>
        </w:numPr>
      </w:pPr>
      <w:r>
        <w:t>Time of the</w:t>
      </w:r>
      <w:r w:rsidR="00F31E2B">
        <w:t xml:space="preserve"> entire</w:t>
      </w:r>
      <w:r>
        <w:t xml:space="preserve"> procedure.</w:t>
      </w:r>
    </w:p>
    <w:p w:rsidR="004845CD" w:rsidRPr="00C83B31" w:rsidRDefault="004845CD" w:rsidP="0086354C">
      <w:pPr>
        <w:pStyle w:val="ListParagraph"/>
        <w:numPr>
          <w:ilvl w:val="0"/>
          <w:numId w:val="33"/>
        </w:numPr>
      </w:pPr>
      <w:r>
        <w:t>The proportion of patients who receive the service as a day procedure compared to patients who remain in hospital overnight.</w:t>
      </w:r>
    </w:p>
    <w:p w:rsidR="0086354C" w:rsidRPr="00F65C7B" w:rsidRDefault="0086354C" w:rsidP="0086354C">
      <w:pPr>
        <w:pStyle w:val="Heading2"/>
      </w:pPr>
      <w:bookmarkStart w:id="55" w:name="_Toc283297646"/>
      <w:bookmarkStart w:id="56" w:name="_Toc369595436"/>
      <w:r w:rsidRPr="00F65C7B">
        <w:lastRenderedPageBreak/>
        <w:t>Health care resources</w:t>
      </w:r>
      <w:bookmarkEnd w:id="55"/>
      <w:bookmarkEnd w:id="56"/>
    </w:p>
    <w:p w:rsidR="0086354C" w:rsidRPr="00C83B31" w:rsidRDefault="0086354C" w:rsidP="0086354C">
      <w:r w:rsidRPr="00C83B31">
        <w:t xml:space="preserve">The health care resources </w:t>
      </w:r>
      <w:r>
        <w:t>required to provide the service include:</w:t>
      </w:r>
    </w:p>
    <w:p w:rsidR="0086354C" w:rsidRPr="00C83B31" w:rsidRDefault="0086354C" w:rsidP="0086354C">
      <w:pPr>
        <w:pStyle w:val="ListParagraph"/>
        <w:numPr>
          <w:ilvl w:val="0"/>
          <w:numId w:val="27"/>
        </w:numPr>
      </w:pPr>
      <w:r w:rsidRPr="00C83B31">
        <w:t xml:space="preserve">The diagnostic tests confirming resistant hypertension </w:t>
      </w:r>
      <w:r>
        <w:t>(</w:t>
      </w:r>
      <w:r w:rsidR="0027300E">
        <w:t xml:space="preserve">base case is that these resources </w:t>
      </w:r>
      <w:r>
        <w:t>remain</w:t>
      </w:r>
      <w:r w:rsidRPr="00C83B31">
        <w:t xml:space="preserve"> unchanged</w:t>
      </w:r>
      <w:r w:rsidR="00B53AE3">
        <w:t xml:space="preserve"> compared to current care</w:t>
      </w:r>
      <w:r>
        <w:t>)</w:t>
      </w:r>
    </w:p>
    <w:p w:rsidR="00D32C81" w:rsidRDefault="0086354C" w:rsidP="00D32C81">
      <w:pPr>
        <w:pStyle w:val="ListParagraph"/>
        <w:numPr>
          <w:ilvl w:val="0"/>
          <w:numId w:val="27"/>
        </w:numPr>
      </w:pPr>
      <w:r w:rsidRPr="00C83B31">
        <w:t>Specialist to provide the intervention</w:t>
      </w:r>
    </w:p>
    <w:p w:rsidR="00D32C81" w:rsidRDefault="00D32C81" w:rsidP="00D32C81">
      <w:pPr>
        <w:pStyle w:val="ListParagraph"/>
        <w:numPr>
          <w:ilvl w:val="0"/>
          <w:numId w:val="27"/>
        </w:numPr>
      </w:pPr>
      <w:r>
        <w:t>Possible use of an assistant (noting that the base case is that an assistant is not required)</w:t>
      </w:r>
    </w:p>
    <w:p w:rsidR="002669A5" w:rsidRDefault="002669A5" w:rsidP="00D32C81">
      <w:pPr>
        <w:pStyle w:val="ListParagraph"/>
        <w:numPr>
          <w:ilvl w:val="0"/>
          <w:numId w:val="27"/>
        </w:numPr>
      </w:pPr>
      <w:r>
        <w:t>Possible requirement of general anaesthesia (noting that the base case is for the use of conscious sedation)</w:t>
      </w:r>
    </w:p>
    <w:p w:rsidR="00D32C81" w:rsidRPr="00C83B31" w:rsidRDefault="00D32C81" w:rsidP="00D32C81">
      <w:pPr>
        <w:pStyle w:val="ListParagraph"/>
        <w:numPr>
          <w:ilvl w:val="0"/>
          <w:numId w:val="27"/>
        </w:numPr>
      </w:pPr>
      <w:r>
        <w:t xml:space="preserve">Possible use of an anaesthetist (noting that </w:t>
      </w:r>
      <w:r w:rsidR="002669A5">
        <w:t>some jurisdictions require the attendance of an anaesthetist for conscious sedation</w:t>
      </w:r>
      <w:r>
        <w:t>)</w:t>
      </w:r>
    </w:p>
    <w:p w:rsidR="0086354C" w:rsidRPr="00C83B31" w:rsidRDefault="0086354C" w:rsidP="0086354C">
      <w:pPr>
        <w:pStyle w:val="ListParagraph"/>
        <w:numPr>
          <w:ilvl w:val="0"/>
          <w:numId w:val="27"/>
        </w:numPr>
      </w:pPr>
      <w:r>
        <w:t xml:space="preserve">Nursing staff </w:t>
      </w:r>
      <w:r w:rsidRPr="00C83B31">
        <w:t>to assist before, during and after the procedure</w:t>
      </w:r>
    </w:p>
    <w:p w:rsidR="0086354C" w:rsidRPr="00C83B31" w:rsidRDefault="0086354C" w:rsidP="0086354C">
      <w:pPr>
        <w:pStyle w:val="ListParagraph"/>
        <w:numPr>
          <w:ilvl w:val="0"/>
          <w:numId w:val="27"/>
        </w:numPr>
      </w:pPr>
      <w:r w:rsidRPr="00C83B31">
        <w:t>Hype</w:t>
      </w:r>
      <w:r>
        <w:t xml:space="preserve">rtension specialist/clinician to </w:t>
      </w:r>
      <w:r w:rsidRPr="00C83B31">
        <w:t>provide ongoing optimal medical management</w:t>
      </w:r>
      <w:r>
        <w:t xml:space="preserve"> (remain unchanged</w:t>
      </w:r>
      <w:r w:rsidR="00361EC1">
        <w:t xml:space="preserve"> compared to current care</w:t>
      </w:r>
      <w:r>
        <w:t>)</w:t>
      </w:r>
    </w:p>
    <w:p w:rsidR="0086354C" w:rsidRPr="00C83B31" w:rsidRDefault="0086354C" w:rsidP="0086354C">
      <w:pPr>
        <w:pStyle w:val="ListParagraph"/>
        <w:numPr>
          <w:ilvl w:val="0"/>
          <w:numId w:val="27"/>
        </w:numPr>
      </w:pPr>
      <w:r>
        <w:t>Diagnostic tests (r</w:t>
      </w:r>
      <w:r w:rsidRPr="00C83B31">
        <w:t>enal function, blood pressure, central hemodynamics, left ventricular hypertrophy</w:t>
      </w:r>
      <w:r>
        <w:t>) (remain unchanged</w:t>
      </w:r>
      <w:r w:rsidR="00361EC1" w:rsidRPr="00361EC1">
        <w:t xml:space="preserve"> </w:t>
      </w:r>
      <w:r w:rsidR="00361EC1">
        <w:t>compared to current care</w:t>
      </w:r>
      <w:r>
        <w:t>)</w:t>
      </w:r>
    </w:p>
    <w:p w:rsidR="0086354C" w:rsidRPr="00C83B31" w:rsidRDefault="0086354C" w:rsidP="0086354C">
      <w:pPr>
        <w:pStyle w:val="ListParagraph"/>
        <w:numPr>
          <w:ilvl w:val="0"/>
          <w:numId w:val="27"/>
        </w:numPr>
      </w:pPr>
      <w:r w:rsidRPr="00C83B31">
        <w:t xml:space="preserve">Standard </w:t>
      </w:r>
      <w:r>
        <w:t>angiography laboratory</w:t>
      </w:r>
      <w:r w:rsidRPr="00C83B31">
        <w:t xml:space="preserve"> equipment</w:t>
      </w:r>
      <w:r w:rsidR="00860C7F">
        <w:t>.</w:t>
      </w:r>
    </w:p>
    <w:p w:rsidR="0086354C" w:rsidRDefault="0086354C" w:rsidP="0086354C">
      <w:r w:rsidRPr="00C83B31">
        <w:t xml:space="preserve">The procedure has been reported to cost between $8,000 and $10,000 per patient according to an interview with Professor Robert Whitbourn of St Vincent's Public Hospital, Melbourne (Australian Broadcasting </w:t>
      </w:r>
      <w:r>
        <w:t>Corporation</w:t>
      </w:r>
      <w:r w:rsidRPr="00C83B31">
        <w:t xml:space="preserve"> 2011). </w:t>
      </w:r>
    </w:p>
    <w:p w:rsidR="00D32C81" w:rsidRPr="00C83B31" w:rsidRDefault="00D32C81" w:rsidP="0086354C">
      <w:r>
        <w:t xml:space="preserve">A list of resources associated with the intervention and comparator is shown in </w:t>
      </w:r>
      <w:r>
        <w:fldChar w:fldCharType="begin"/>
      </w:r>
      <w:r>
        <w:instrText xml:space="preserve"> REF _Ref283143211 \h </w:instrText>
      </w:r>
      <w:r>
        <w:fldChar w:fldCharType="separate"/>
      </w:r>
      <w:r w:rsidR="003115E8" w:rsidRPr="00A34E9C">
        <w:t xml:space="preserve">Table </w:t>
      </w:r>
      <w:r w:rsidR="003115E8">
        <w:rPr>
          <w:noProof/>
        </w:rPr>
        <w:t>5</w:t>
      </w:r>
      <w:r>
        <w:fldChar w:fldCharType="end"/>
      </w:r>
      <w:r>
        <w:t xml:space="preserve">. Note that this list may not be comprehensive. PASC acknowledges that </w:t>
      </w:r>
      <w:r w:rsidRPr="00D32C81">
        <w:t>hospital-based diagnostic and pathology services</w:t>
      </w:r>
      <w:r>
        <w:t xml:space="preserve"> would not</w:t>
      </w:r>
      <w:r w:rsidRPr="00D32C81">
        <w:t xml:space="preserve"> be required as an additional resource following </w:t>
      </w:r>
      <w:r>
        <w:t>the proposed intervention. These tests would be part of standard care</w:t>
      </w:r>
      <w:r w:rsidRPr="00D32C81">
        <w:t xml:space="preserve"> to</w:t>
      </w:r>
      <w:r>
        <w:t xml:space="preserve"> all</w:t>
      </w:r>
      <w:r w:rsidRPr="00D32C81">
        <w:t xml:space="preserve"> patients with treatment-resistant hypertension</w:t>
      </w:r>
      <w:r>
        <w:t>.</w:t>
      </w:r>
    </w:p>
    <w:p w:rsidR="0086354C" w:rsidRPr="00A34E9C" w:rsidRDefault="0086354C" w:rsidP="0086354C">
      <w:pPr>
        <w:pStyle w:val="Caption"/>
      </w:pPr>
      <w:bookmarkStart w:id="57" w:name="_Ref283143211"/>
      <w:bookmarkStart w:id="58" w:name="_Ref283143206"/>
      <w:r w:rsidRPr="00A34E9C">
        <w:t xml:space="preserve">Table </w:t>
      </w:r>
      <w:r>
        <w:fldChar w:fldCharType="begin"/>
      </w:r>
      <w:r>
        <w:instrText xml:space="preserve"> SEQ Table \* ARABIC </w:instrText>
      </w:r>
      <w:r>
        <w:fldChar w:fldCharType="separate"/>
      </w:r>
      <w:r w:rsidR="003115E8">
        <w:rPr>
          <w:noProof/>
        </w:rPr>
        <w:t>5</w:t>
      </w:r>
      <w:r>
        <w:rPr>
          <w:noProof/>
        </w:rPr>
        <w:fldChar w:fldCharType="end"/>
      </w:r>
      <w:bookmarkEnd w:id="57"/>
      <w:r w:rsidRPr="00A34E9C">
        <w:t>:</w:t>
      </w:r>
      <w:r w:rsidRPr="00A34E9C">
        <w:tab/>
      </w:r>
      <w:r>
        <w:t>List</w:t>
      </w:r>
      <w:r w:rsidRPr="00A34E9C">
        <w:t xml:space="preserve"> of resources to be considered in the economic analysis</w:t>
      </w:r>
      <w:bookmarkEnd w:id="58"/>
    </w:p>
    <w:tbl>
      <w:tblPr>
        <w:tblW w:w="10146"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09"/>
        <w:gridCol w:w="1197"/>
        <w:gridCol w:w="1710"/>
        <w:gridCol w:w="3249"/>
        <w:gridCol w:w="1881"/>
      </w:tblGrid>
      <w:tr w:rsidR="0086354C" w:rsidRPr="00F65C7B" w:rsidTr="002C6039">
        <w:trPr>
          <w:tblHeader/>
        </w:trPr>
        <w:tc>
          <w:tcPr>
            <w:tcW w:w="2109" w:type="dxa"/>
          </w:tcPr>
          <w:p w:rsidR="0086354C" w:rsidRPr="00F65C7B" w:rsidRDefault="0086354C" w:rsidP="002C6039">
            <w:pPr>
              <w:keepNext/>
              <w:rPr>
                <w:rFonts w:ascii="Arial Narrow" w:hAnsi="Arial Narrow" w:cs="Arial Narrow"/>
                <w:sz w:val="18"/>
                <w:szCs w:val="18"/>
              </w:rPr>
            </w:pPr>
          </w:p>
        </w:tc>
        <w:tc>
          <w:tcPr>
            <w:tcW w:w="1197" w:type="dxa"/>
            <w:shd w:val="clear" w:color="auto" w:fill="E5B8B7"/>
            <w:vAlign w:val="center"/>
          </w:tcPr>
          <w:p w:rsidR="0086354C" w:rsidRPr="00F65C7B" w:rsidRDefault="0086354C" w:rsidP="002C6039">
            <w:pPr>
              <w:keepNext/>
              <w:jc w:val="center"/>
              <w:rPr>
                <w:rFonts w:ascii="Arial Narrow" w:hAnsi="Arial Narrow" w:cs="Arial Narrow"/>
                <w:b/>
                <w:bCs/>
                <w:sz w:val="18"/>
                <w:szCs w:val="18"/>
              </w:rPr>
            </w:pPr>
            <w:r w:rsidRPr="00F65C7B">
              <w:rPr>
                <w:rFonts w:ascii="Arial Narrow" w:hAnsi="Arial Narrow" w:cs="Arial Narrow"/>
                <w:b/>
                <w:bCs/>
                <w:sz w:val="18"/>
                <w:szCs w:val="18"/>
              </w:rPr>
              <w:t>Provider of resource</w:t>
            </w:r>
          </w:p>
        </w:tc>
        <w:tc>
          <w:tcPr>
            <w:tcW w:w="1710" w:type="dxa"/>
            <w:shd w:val="clear" w:color="auto" w:fill="E5B8B7"/>
            <w:vAlign w:val="center"/>
          </w:tcPr>
          <w:p w:rsidR="0086354C" w:rsidRPr="00F65C7B" w:rsidRDefault="0086354C" w:rsidP="002C6039">
            <w:pPr>
              <w:keepNext/>
              <w:jc w:val="center"/>
              <w:rPr>
                <w:rFonts w:ascii="Arial Narrow" w:hAnsi="Arial Narrow" w:cs="Arial Narrow"/>
                <w:b/>
                <w:bCs/>
                <w:sz w:val="18"/>
                <w:szCs w:val="18"/>
              </w:rPr>
            </w:pPr>
            <w:r w:rsidRPr="00F65C7B">
              <w:rPr>
                <w:rFonts w:ascii="Arial Narrow" w:hAnsi="Arial Narrow" w:cs="Arial Narrow"/>
                <w:b/>
                <w:bCs/>
                <w:sz w:val="18"/>
                <w:szCs w:val="18"/>
              </w:rPr>
              <w:t>Setting in which resource is provided</w:t>
            </w:r>
          </w:p>
        </w:tc>
        <w:tc>
          <w:tcPr>
            <w:tcW w:w="3249" w:type="dxa"/>
            <w:shd w:val="clear" w:color="auto" w:fill="D6E3BC"/>
            <w:vAlign w:val="center"/>
          </w:tcPr>
          <w:p w:rsidR="0086354C" w:rsidRPr="00F65C7B" w:rsidRDefault="0086354C" w:rsidP="002C6039">
            <w:pPr>
              <w:keepNext/>
              <w:jc w:val="center"/>
              <w:rPr>
                <w:rFonts w:ascii="Arial Narrow" w:hAnsi="Arial Narrow" w:cs="Arial Narrow"/>
                <w:b/>
                <w:bCs/>
                <w:sz w:val="18"/>
                <w:szCs w:val="18"/>
              </w:rPr>
            </w:pPr>
            <w:r w:rsidRPr="00F65C7B">
              <w:rPr>
                <w:rFonts w:ascii="Arial Narrow" w:hAnsi="Arial Narrow" w:cs="Arial Narrow"/>
                <w:b/>
                <w:bCs/>
                <w:sz w:val="18"/>
                <w:szCs w:val="18"/>
              </w:rPr>
              <w:t>Number of units of resource per relevant time horizon per patient receiving resource</w:t>
            </w:r>
          </w:p>
        </w:tc>
        <w:tc>
          <w:tcPr>
            <w:tcW w:w="1881" w:type="dxa"/>
            <w:shd w:val="clear" w:color="auto" w:fill="D6E3BC"/>
            <w:vAlign w:val="center"/>
          </w:tcPr>
          <w:p w:rsidR="0086354C" w:rsidRPr="00F65C7B" w:rsidRDefault="0086354C" w:rsidP="002C6039">
            <w:pPr>
              <w:keepNext/>
              <w:jc w:val="center"/>
              <w:rPr>
                <w:rFonts w:ascii="Arial Narrow" w:hAnsi="Arial Narrow" w:cs="Arial Narrow"/>
                <w:b/>
                <w:bCs/>
                <w:sz w:val="18"/>
                <w:szCs w:val="18"/>
              </w:rPr>
            </w:pPr>
            <w:r w:rsidRPr="00F65C7B">
              <w:rPr>
                <w:rFonts w:ascii="Arial Narrow" w:hAnsi="Arial Narrow" w:cs="Arial Narrow"/>
                <w:b/>
                <w:bCs/>
                <w:sz w:val="18"/>
                <w:szCs w:val="18"/>
              </w:rPr>
              <w:t>Source of information of number of units*</w:t>
            </w:r>
          </w:p>
        </w:tc>
      </w:tr>
      <w:tr w:rsidR="0086354C" w:rsidRPr="00F65C7B" w:rsidTr="002C6039">
        <w:tc>
          <w:tcPr>
            <w:tcW w:w="10146" w:type="dxa"/>
            <w:gridSpan w:val="5"/>
            <w:vAlign w:val="center"/>
          </w:tcPr>
          <w:p w:rsidR="0086354C" w:rsidRPr="00F65C7B" w:rsidRDefault="0086354C" w:rsidP="002C6039">
            <w:pPr>
              <w:rPr>
                <w:rFonts w:ascii="Arial Narrow" w:hAnsi="Arial Narrow" w:cs="Arial Narrow"/>
                <w:b/>
                <w:bCs/>
                <w:sz w:val="18"/>
                <w:szCs w:val="18"/>
                <w:u w:val="single"/>
              </w:rPr>
            </w:pPr>
            <w:r w:rsidRPr="00F65C7B">
              <w:rPr>
                <w:rFonts w:ascii="Arial Narrow" w:hAnsi="Arial Narrow" w:cs="Arial Narrow"/>
                <w:b/>
                <w:bCs/>
                <w:sz w:val="18"/>
                <w:szCs w:val="18"/>
                <w:u w:val="single"/>
              </w:rPr>
              <w:t>Resources provided to identify the eligible population that would vary from current clinical practice (from Step 2, e.g., diagnostic and other investigative medical services, prior therapeutic interventions).</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No additional resources required (see Heart Foundation Guidelines)</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n/a</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n/a</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n/a</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n/a</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lastRenderedPageBreak/>
              <w:t xml:space="preserve">Imaging to assess renal vascular anatomy (duplex ultrasound). This may or may not be an additional resource (previous appropriate images may be available) </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MBS</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1 service</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r>
      <w:tr w:rsidR="0086354C" w:rsidRPr="00F65C7B" w:rsidTr="002C6039">
        <w:tc>
          <w:tcPr>
            <w:tcW w:w="10146" w:type="dxa"/>
            <w:gridSpan w:val="5"/>
            <w:vAlign w:val="center"/>
          </w:tcPr>
          <w:p w:rsidR="0086354C" w:rsidRPr="00F65C7B" w:rsidRDefault="0086354C" w:rsidP="002C6039">
            <w:pPr>
              <w:rPr>
                <w:rFonts w:ascii="Arial Narrow" w:hAnsi="Arial Narrow" w:cs="Arial Narrow"/>
                <w:b/>
                <w:bCs/>
                <w:sz w:val="18"/>
                <w:szCs w:val="18"/>
                <w:u w:val="single"/>
              </w:rPr>
            </w:pPr>
          </w:p>
        </w:tc>
      </w:tr>
      <w:tr w:rsidR="0086354C" w:rsidRPr="00F65C7B" w:rsidTr="002C6039">
        <w:tc>
          <w:tcPr>
            <w:tcW w:w="10146" w:type="dxa"/>
            <w:gridSpan w:val="5"/>
            <w:vAlign w:val="center"/>
          </w:tcPr>
          <w:p w:rsidR="0086354C" w:rsidRPr="00F65C7B" w:rsidRDefault="0086354C" w:rsidP="002C6039">
            <w:pPr>
              <w:rPr>
                <w:rFonts w:ascii="Arial Narrow" w:hAnsi="Arial Narrow" w:cs="Arial Narrow"/>
                <w:b/>
                <w:bCs/>
                <w:sz w:val="18"/>
                <w:szCs w:val="18"/>
                <w:u w:val="single"/>
              </w:rPr>
            </w:pPr>
            <w:r w:rsidRPr="00F65C7B">
              <w:rPr>
                <w:rFonts w:ascii="Arial Narrow" w:hAnsi="Arial Narrow" w:cs="Arial Narrow"/>
                <w:b/>
                <w:bCs/>
                <w:sz w:val="18"/>
                <w:szCs w:val="18"/>
                <w:u w:val="single"/>
              </w:rPr>
              <w:t xml:space="preserve">Resources provided in association with the proposed medical service to deliver the proposed intervention (from Step 1, e.g., pre-treatments, co-administered interventions). </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 xml:space="preserve">Patient monitoring </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Private or Public Hospital</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Catheterization laboratory</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Equipment for monitoring blood pressure, heart rate &amp; oxygenation</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highlight w:val="yellow"/>
              </w:rPr>
            </w:pPr>
            <w:r w:rsidRPr="00F65C7B">
              <w:rPr>
                <w:rFonts w:ascii="Arial Narrow" w:hAnsi="Arial Narrow" w:cs="Arial Narrow"/>
                <w:b/>
                <w:bCs/>
                <w:color w:val="0070C0"/>
                <w:sz w:val="18"/>
                <w:szCs w:val="18"/>
                <w:highlight w:val="yellow"/>
              </w:rPr>
              <w:t>-</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 xml:space="preserve">Nursing and technician support </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Private or Public Hospital</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Catheterization laboratory</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 xml:space="preserve">Nursing and technician support for duration of renal denervation procedure </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highlight w:val="yellow"/>
              </w:rPr>
            </w:pPr>
            <w:r w:rsidRPr="00F65C7B">
              <w:rPr>
                <w:rFonts w:ascii="Arial Narrow" w:hAnsi="Arial Narrow" w:cs="Arial Narrow"/>
                <w:b/>
                <w:bCs/>
                <w:color w:val="0070C0"/>
                <w:sz w:val="18"/>
                <w:szCs w:val="18"/>
                <w:highlight w:val="yellow"/>
              </w:rPr>
              <w:t>-</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 xml:space="preserve">Medication </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Private or Public Hospital</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Catheterization laboratory</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Medication and dosage during the procedure is tailored to individual patient circumstances,</w:t>
            </w:r>
            <w:r w:rsidRPr="00F65C7B">
              <w:rPr>
                <w:rFonts w:ascii="Arial Narrow" w:hAnsi="Arial Narrow" w:cs="Arial Narrow"/>
                <w:sz w:val="18"/>
                <w:szCs w:val="18"/>
              </w:rPr>
              <w:t xml:space="preserve"> </w:t>
            </w:r>
            <w:r w:rsidRPr="00F65C7B">
              <w:rPr>
                <w:rFonts w:ascii="Arial Narrow" w:hAnsi="Arial Narrow" w:cs="Arial Narrow"/>
                <w:b/>
                <w:bCs/>
                <w:color w:val="0070C0"/>
                <w:sz w:val="18"/>
                <w:szCs w:val="18"/>
              </w:rPr>
              <w:t xml:space="preserve">but likely to include anxiolytic and amnestic medication; anticoagulants; pain medication and vasodilators </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highlight w:val="yellow"/>
              </w:rPr>
            </w:pPr>
            <w:r w:rsidRPr="00F65C7B">
              <w:rPr>
                <w:rFonts w:ascii="Arial Narrow" w:hAnsi="Arial Narrow" w:cs="Arial Narrow"/>
                <w:b/>
                <w:bCs/>
                <w:color w:val="0070C0"/>
                <w:sz w:val="18"/>
                <w:szCs w:val="18"/>
                <w:highlight w:val="yellow"/>
              </w:rPr>
              <w:t>-</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Consumables</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Private or Public Hospital</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Catheterization laboratory</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 xml:space="preserve">1 set of consumables, including renal denervation catheter and other disposables required for </w:t>
            </w:r>
            <w:r>
              <w:rPr>
                <w:rFonts w:ascii="Arial Narrow" w:hAnsi="Arial Narrow" w:cs="Arial Narrow"/>
                <w:b/>
                <w:bCs/>
                <w:color w:val="0070C0"/>
                <w:sz w:val="18"/>
                <w:szCs w:val="18"/>
              </w:rPr>
              <w:t>endovascular procedures</w:t>
            </w:r>
            <w:r w:rsidRPr="00F65C7B">
              <w:rPr>
                <w:rFonts w:ascii="Arial Narrow" w:hAnsi="Arial Narrow" w:cs="Arial Narrow"/>
                <w:b/>
                <w:bCs/>
                <w:color w:val="0070C0"/>
                <w:sz w:val="18"/>
                <w:szCs w:val="18"/>
              </w:rPr>
              <w:t>.</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highlight w:val="yellow"/>
              </w:rPr>
            </w:pPr>
            <w:r w:rsidRPr="00F65C7B">
              <w:rPr>
                <w:rFonts w:ascii="Arial Narrow" w:hAnsi="Arial Narrow" w:cs="Arial Narrow"/>
                <w:b/>
                <w:bCs/>
                <w:color w:val="0070C0"/>
                <w:sz w:val="18"/>
                <w:szCs w:val="18"/>
                <w:highlight w:val="yellow"/>
              </w:rPr>
              <w:t>-</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Radio</w:t>
            </w:r>
            <w:r>
              <w:rPr>
                <w:rFonts w:ascii="Arial Narrow" w:hAnsi="Arial Narrow" w:cs="Arial Narrow"/>
                <w:b/>
                <w:bCs/>
                <w:color w:val="0070C0"/>
                <w:sz w:val="18"/>
                <w:szCs w:val="18"/>
              </w:rPr>
              <w:t>logy (angiography)</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MBS</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Catheterization laboratory</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 xml:space="preserve">1 service </w:t>
            </w:r>
            <w:r w:rsidR="00D77005">
              <w:rPr>
                <w:rFonts w:ascii="Arial Narrow" w:hAnsi="Arial Narrow" w:cs="Arial Narrow"/>
                <w:b/>
                <w:bCs/>
                <w:color w:val="0070C0"/>
                <w:sz w:val="18"/>
                <w:szCs w:val="18"/>
              </w:rPr>
              <w:t>which should be included as part of the fee for the proposed service</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r>
      <w:tr w:rsidR="002669A5" w:rsidRPr="00F65C7B" w:rsidTr="002C6039">
        <w:tc>
          <w:tcPr>
            <w:tcW w:w="2109" w:type="dxa"/>
          </w:tcPr>
          <w:p w:rsidR="002669A5" w:rsidRPr="00F65C7B" w:rsidRDefault="002669A5"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Pr>
                <w:rFonts w:ascii="Arial Narrow" w:hAnsi="Arial Narrow" w:cs="Arial Narrow"/>
                <w:b/>
                <w:bCs/>
                <w:color w:val="0070C0"/>
                <w:sz w:val="18"/>
                <w:szCs w:val="18"/>
              </w:rPr>
              <w:t>Anaesthetist</w:t>
            </w:r>
          </w:p>
        </w:tc>
        <w:tc>
          <w:tcPr>
            <w:tcW w:w="1197" w:type="dxa"/>
            <w:shd w:val="clear" w:color="auto" w:fill="E5B8B7"/>
          </w:tcPr>
          <w:p w:rsidR="002669A5" w:rsidRPr="00F65C7B" w:rsidRDefault="002669A5" w:rsidP="002C6039">
            <w:pPr>
              <w:jc w:val="center"/>
              <w:rPr>
                <w:rFonts w:ascii="Arial Narrow" w:hAnsi="Arial Narrow" w:cs="Arial Narrow"/>
                <w:b/>
                <w:bCs/>
                <w:color w:val="0070C0"/>
                <w:sz w:val="18"/>
                <w:szCs w:val="18"/>
              </w:rPr>
            </w:pPr>
            <w:r>
              <w:rPr>
                <w:rFonts w:ascii="Arial Narrow" w:hAnsi="Arial Narrow" w:cs="Arial Narrow"/>
                <w:b/>
                <w:bCs/>
                <w:color w:val="0070C0"/>
                <w:sz w:val="18"/>
                <w:szCs w:val="18"/>
              </w:rPr>
              <w:t>MBS</w:t>
            </w:r>
          </w:p>
        </w:tc>
        <w:tc>
          <w:tcPr>
            <w:tcW w:w="1710" w:type="dxa"/>
            <w:shd w:val="clear" w:color="auto" w:fill="E5B8B7"/>
          </w:tcPr>
          <w:p w:rsidR="002669A5" w:rsidRPr="00F65C7B" w:rsidRDefault="002669A5"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Catheterization laboratory</w:t>
            </w:r>
          </w:p>
        </w:tc>
        <w:tc>
          <w:tcPr>
            <w:tcW w:w="3249" w:type="dxa"/>
            <w:shd w:val="clear" w:color="auto" w:fill="D6E3BC"/>
          </w:tcPr>
          <w:p w:rsidR="002669A5" w:rsidRPr="00F65C7B" w:rsidRDefault="002669A5" w:rsidP="002C6039">
            <w:pPr>
              <w:jc w:val="center"/>
              <w:rPr>
                <w:rFonts w:ascii="Arial Narrow" w:hAnsi="Arial Narrow" w:cs="Arial Narrow"/>
                <w:b/>
                <w:bCs/>
                <w:color w:val="0070C0"/>
                <w:sz w:val="18"/>
                <w:szCs w:val="18"/>
              </w:rPr>
            </w:pPr>
            <w:r>
              <w:rPr>
                <w:rFonts w:ascii="Arial Narrow" w:hAnsi="Arial Narrow" w:cs="Arial Narrow"/>
                <w:b/>
                <w:bCs/>
                <w:color w:val="0070C0"/>
                <w:sz w:val="18"/>
                <w:szCs w:val="18"/>
              </w:rPr>
              <w:t>Attendance varies according to jurisdictional guidelines and requirement of general anaesthetic</w:t>
            </w:r>
          </w:p>
        </w:tc>
        <w:tc>
          <w:tcPr>
            <w:tcW w:w="1881" w:type="dxa"/>
            <w:shd w:val="clear" w:color="auto" w:fill="D6E3BC"/>
          </w:tcPr>
          <w:p w:rsidR="002669A5" w:rsidRPr="00F65C7B" w:rsidRDefault="002669A5" w:rsidP="002C6039">
            <w:pPr>
              <w:jc w:val="center"/>
              <w:rPr>
                <w:rFonts w:ascii="Arial Narrow" w:hAnsi="Arial Narrow" w:cs="Arial Narrow"/>
                <w:b/>
                <w:bCs/>
                <w:color w:val="0070C0"/>
                <w:sz w:val="18"/>
                <w:szCs w:val="18"/>
              </w:rPr>
            </w:pP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Renal artery stent</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Private or Public Hospital</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Catheterization laboratory</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Possible 1 service; MBS 35309</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Hospitalisation for procedure, including pre-procedure admission and post-procedure overnight stay</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Private or Public Hospital</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 xml:space="preserve">Private or Public Hospital </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1 inpatient episode (overnight stay)</w:t>
            </w:r>
            <w:r w:rsidR="00D77005">
              <w:rPr>
                <w:rFonts w:ascii="Arial Narrow" w:hAnsi="Arial Narrow" w:cs="Arial Narrow"/>
                <w:b/>
                <w:bCs/>
                <w:color w:val="0070C0"/>
                <w:sz w:val="18"/>
                <w:szCs w:val="18"/>
              </w:rPr>
              <w:t xml:space="preserve"> or day case</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highlight w:val="yellow"/>
              </w:rPr>
            </w:pPr>
            <w:r w:rsidRPr="00F65C7B">
              <w:rPr>
                <w:rFonts w:ascii="Arial Narrow" w:hAnsi="Arial Narrow" w:cs="Arial Narrow"/>
                <w:b/>
                <w:bCs/>
                <w:color w:val="0070C0"/>
                <w:sz w:val="18"/>
                <w:szCs w:val="18"/>
                <w:highlight w:val="yellow"/>
              </w:rPr>
              <w:t>-</w:t>
            </w:r>
          </w:p>
        </w:tc>
      </w:tr>
      <w:tr w:rsidR="0086354C" w:rsidRPr="00F65C7B" w:rsidDel="006636EE"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Diagnostic and pathology services (including tests for urea (66500), electrolytes, full blood exam)</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MBS</w:t>
            </w:r>
          </w:p>
          <w:p w:rsidR="0086354C" w:rsidRPr="00F65C7B" w:rsidRDefault="0086354C" w:rsidP="002C6039">
            <w:pPr>
              <w:jc w:val="center"/>
              <w:rPr>
                <w:rFonts w:ascii="Arial Narrow" w:hAnsi="Arial Narrow" w:cs="Arial Narrow"/>
                <w:b/>
                <w:bCs/>
                <w:color w:val="0070C0"/>
                <w:sz w:val="18"/>
                <w:szCs w:val="18"/>
              </w:rPr>
            </w:pP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 xml:space="preserve">Private or Public Hospital </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 xml:space="preserve">1 service for each required test </w:t>
            </w:r>
          </w:p>
        </w:tc>
        <w:tc>
          <w:tcPr>
            <w:tcW w:w="1881" w:type="dxa"/>
            <w:shd w:val="clear" w:color="auto" w:fill="D6E3BC"/>
          </w:tcPr>
          <w:p w:rsidR="0086354C" w:rsidRPr="00F65C7B" w:rsidDel="006636EE"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r>
      <w:tr w:rsidR="0086354C" w:rsidRPr="00F65C7B" w:rsidDel="006636EE"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lastRenderedPageBreak/>
              <w:t>Emergency procedures in adverse events</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881" w:type="dxa"/>
            <w:shd w:val="clear" w:color="auto" w:fill="D6E3BC"/>
          </w:tcPr>
          <w:p w:rsidR="0086354C" w:rsidRPr="00F65C7B" w:rsidDel="006636EE"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r>
      <w:tr w:rsidR="0086354C" w:rsidRPr="00F65C7B" w:rsidTr="002C6039">
        <w:tc>
          <w:tcPr>
            <w:tcW w:w="10146" w:type="dxa"/>
            <w:gridSpan w:val="5"/>
            <w:vAlign w:val="center"/>
          </w:tcPr>
          <w:p w:rsidR="0086354C" w:rsidRPr="00F65C7B" w:rsidRDefault="0086354C" w:rsidP="002C6039">
            <w:pPr>
              <w:rPr>
                <w:rFonts w:ascii="Arial Narrow" w:hAnsi="Arial Narrow" w:cs="Arial Narrow"/>
                <w:b/>
                <w:bCs/>
                <w:sz w:val="18"/>
                <w:szCs w:val="18"/>
                <w:u w:val="single"/>
              </w:rPr>
            </w:pPr>
            <w:r w:rsidRPr="00F65C7B">
              <w:rPr>
                <w:rFonts w:ascii="Arial Narrow" w:hAnsi="Arial Narrow" w:cs="Arial Narrow"/>
                <w:b/>
                <w:bCs/>
                <w:sz w:val="18"/>
                <w:szCs w:val="18"/>
                <w:u w:val="single"/>
              </w:rPr>
              <w:t xml:space="preserve">Resources provided to deliver the comparator to deliver the current intervention (from Step 4, e.g., pre-treatments, co-administered interventions). </w:t>
            </w:r>
          </w:p>
        </w:tc>
      </w:tr>
      <w:tr w:rsidR="0086354C" w:rsidRPr="00F65C7B" w:rsidTr="002C6039">
        <w:tc>
          <w:tcPr>
            <w:tcW w:w="2109" w:type="dxa"/>
          </w:tcPr>
          <w:p w:rsidR="0086354C" w:rsidRPr="00F65C7B" w:rsidRDefault="0086354C" w:rsidP="002C6039">
            <w:pPr>
              <w:pStyle w:val="ListParagraph"/>
              <w:spacing w:after="0" w:line="240" w:lineRule="auto"/>
              <w:ind w:left="360"/>
              <w:rPr>
                <w:rFonts w:ascii="Arial Narrow" w:hAnsi="Arial Narrow" w:cs="Arial Narrow"/>
                <w:b/>
                <w:bCs/>
                <w:color w:val="0070C0"/>
                <w:sz w:val="18"/>
                <w:szCs w:val="18"/>
              </w:rPr>
            </w:pPr>
            <w:r w:rsidRPr="00F65C7B">
              <w:rPr>
                <w:rFonts w:ascii="Arial Narrow" w:hAnsi="Arial Narrow" w:cs="Arial Narrow"/>
                <w:b/>
                <w:bCs/>
                <w:color w:val="0070C0"/>
                <w:sz w:val="18"/>
                <w:szCs w:val="18"/>
              </w:rPr>
              <w:t>Clinician consultation</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MBS</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Private or Public Hospital; General Practice; out-patient clinic (setting will vary depending on patient co-morbidities and required clinical management)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highlight w:val="yellow"/>
              </w:rPr>
            </w:pPr>
            <w:r w:rsidRPr="00F65C7B">
              <w:rPr>
                <w:rFonts w:ascii="Arial Narrow" w:hAnsi="Arial Narrow" w:cs="Arial Narrow"/>
                <w:b/>
                <w:bCs/>
                <w:color w:val="0070C0"/>
                <w:sz w:val="18"/>
                <w:szCs w:val="18"/>
                <w:highlight w:val="yellow"/>
              </w:rPr>
              <w:t>-</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highlight w:val="yellow"/>
              </w:rPr>
            </w:pPr>
            <w:r w:rsidRPr="00F65C7B">
              <w:rPr>
                <w:rFonts w:ascii="Arial Narrow" w:hAnsi="Arial Narrow" w:cs="Arial Narrow"/>
                <w:b/>
                <w:bCs/>
                <w:color w:val="0070C0"/>
                <w:sz w:val="18"/>
                <w:szCs w:val="18"/>
                <w:highlight w:val="yellow"/>
              </w:rPr>
              <w:t>-</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Anti-HTN drug therapy</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PBS</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Out-patient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Drug regimen, including dosage and number of therapies, determined by clinician</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PBS</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Diagnostic and pathology services</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MBS, Medicare</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Private or Public Hospital; out-patient clinic</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highlight w:val="yellow"/>
              </w:rPr>
            </w:pPr>
            <w:r w:rsidRPr="00F65C7B">
              <w:rPr>
                <w:rFonts w:ascii="Arial Narrow" w:hAnsi="Arial Narrow" w:cs="Arial Narrow"/>
                <w:b/>
                <w:bCs/>
                <w:color w:val="0070C0"/>
                <w:sz w:val="18"/>
                <w:szCs w:val="18"/>
                <w:highlight w:val="yellow"/>
              </w:rPr>
              <w:t>-</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highlight w:val="yellow"/>
              </w:rPr>
            </w:pPr>
            <w:r w:rsidRPr="00F65C7B">
              <w:rPr>
                <w:rFonts w:ascii="Arial Narrow" w:hAnsi="Arial Narrow" w:cs="Arial Narrow"/>
                <w:b/>
                <w:bCs/>
                <w:color w:val="0070C0"/>
                <w:sz w:val="18"/>
                <w:szCs w:val="18"/>
                <w:highlight w:val="yellow"/>
              </w:rPr>
              <w:t>-</w:t>
            </w:r>
          </w:p>
        </w:tc>
      </w:tr>
      <w:tr w:rsidR="0086354C" w:rsidRPr="00F65C7B" w:rsidTr="002C6039">
        <w:tc>
          <w:tcPr>
            <w:tcW w:w="10146" w:type="dxa"/>
            <w:gridSpan w:val="5"/>
            <w:vAlign w:val="center"/>
          </w:tcPr>
          <w:p w:rsidR="0086354C" w:rsidRPr="00F65C7B" w:rsidRDefault="0086354C" w:rsidP="002C6039">
            <w:pPr>
              <w:rPr>
                <w:rFonts w:ascii="Arial Narrow" w:hAnsi="Arial Narrow" w:cs="Arial Narrow"/>
                <w:b/>
                <w:bCs/>
                <w:sz w:val="18"/>
                <w:szCs w:val="18"/>
                <w:u w:val="single"/>
              </w:rPr>
            </w:pPr>
            <w:r w:rsidRPr="00F65C7B">
              <w:rPr>
                <w:rFonts w:ascii="Arial Narrow" w:hAnsi="Arial Narrow" w:cs="Arial Narrow"/>
                <w:b/>
                <w:bCs/>
                <w:sz w:val="18"/>
                <w:szCs w:val="18"/>
                <w:u w:val="single"/>
              </w:rPr>
              <w:t xml:space="preserve">Resources provided following the proposed intervention with the proposed medical service (from Step 8, e.g., resources used to monitor or in follow-up, resources used in management of adverse events, resources used for treatment of down-stream conditions conditioned on the results of the proposed intervention). </w:t>
            </w:r>
          </w:p>
        </w:tc>
      </w:tr>
      <w:tr w:rsidR="0086354C" w:rsidRPr="00F65C7B" w:rsidTr="002C6039">
        <w:tc>
          <w:tcPr>
            <w:tcW w:w="10146" w:type="dxa"/>
            <w:gridSpan w:val="5"/>
          </w:tcPr>
          <w:p w:rsidR="0086354C" w:rsidRPr="00F65C7B" w:rsidRDefault="0086354C" w:rsidP="002C6039">
            <w:pPr>
              <w:jc w:val="center"/>
              <w:rPr>
                <w:rFonts w:ascii="Arial Narrow" w:hAnsi="Arial Narrow" w:cs="Arial Narrow"/>
                <w:color w:val="0070C0"/>
                <w:sz w:val="18"/>
                <w:szCs w:val="18"/>
              </w:rPr>
            </w:pPr>
            <w:r w:rsidRPr="00F65C7B">
              <w:rPr>
                <w:rFonts w:ascii="Arial Narrow" w:hAnsi="Arial Narrow" w:cs="Arial Narrow"/>
                <w:color w:val="0070C0"/>
                <w:sz w:val="18"/>
                <w:szCs w:val="18"/>
              </w:rPr>
              <w:t xml:space="preserve">Healthcare resources listed below </w:t>
            </w:r>
            <w:r w:rsidRPr="00F65C7B">
              <w:rPr>
                <w:rFonts w:ascii="Arial Narrow" w:hAnsi="Arial Narrow" w:cs="Arial Narrow"/>
                <w:b/>
                <w:bCs/>
                <w:color w:val="0070C0"/>
                <w:sz w:val="18"/>
                <w:szCs w:val="18"/>
              </w:rPr>
              <w:t>apply to the ongoing management of hypertension</w:t>
            </w:r>
          </w:p>
        </w:tc>
      </w:tr>
      <w:tr w:rsidR="0086354C" w:rsidRPr="00F65C7B" w:rsidTr="002C6039">
        <w:tc>
          <w:tcPr>
            <w:tcW w:w="2109" w:type="dxa"/>
          </w:tcPr>
          <w:p w:rsidR="0086354C" w:rsidRPr="00F65C7B" w:rsidRDefault="0086354C" w:rsidP="002C6039">
            <w:pPr>
              <w:pStyle w:val="ListParagraph"/>
              <w:spacing w:after="0" w:line="240" w:lineRule="auto"/>
              <w:ind w:left="360"/>
              <w:rPr>
                <w:rFonts w:ascii="Arial Narrow" w:hAnsi="Arial Narrow" w:cs="Arial Narrow"/>
                <w:b/>
                <w:bCs/>
                <w:color w:val="0070C0"/>
                <w:sz w:val="18"/>
                <w:szCs w:val="18"/>
              </w:rPr>
            </w:pPr>
            <w:r w:rsidRPr="00F65C7B">
              <w:rPr>
                <w:rFonts w:ascii="Arial Narrow" w:hAnsi="Arial Narrow" w:cs="Arial Narrow"/>
                <w:b/>
                <w:bCs/>
                <w:color w:val="0070C0"/>
                <w:sz w:val="18"/>
                <w:szCs w:val="18"/>
              </w:rPr>
              <w:t>Clinician consultation (for blood pressure monitoring)</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MBS</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Private or Public Hospital; General Practice; out-patient clinic (setting will vary depending on patient co-morbidities and required clinical management)</w:t>
            </w:r>
          </w:p>
        </w:tc>
        <w:tc>
          <w:tcPr>
            <w:tcW w:w="3249" w:type="dxa"/>
            <w:shd w:val="clear" w:color="auto" w:fill="D6E3BC"/>
          </w:tcPr>
          <w:p w:rsidR="0086354C" w:rsidRPr="00F65C7B" w:rsidRDefault="0086354C" w:rsidP="002C6039">
            <w:pPr>
              <w:jc w:val="center"/>
              <w:rPr>
                <w:rFonts w:ascii="Arial Narrow" w:hAnsi="Arial Narrow" w:cs="Arial Narrow"/>
                <w:color w:val="0070C0"/>
                <w:sz w:val="18"/>
                <w:szCs w:val="18"/>
                <w:highlight w:val="yellow"/>
              </w:rPr>
            </w:pPr>
            <w:r w:rsidRPr="00F65C7B">
              <w:rPr>
                <w:rFonts w:ascii="Arial Narrow" w:hAnsi="Arial Narrow" w:cs="Arial Narrow"/>
                <w:b/>
                <w:bCs/>
                <w:color w:val="0070C0"/>
                <w:sz w:val="18"/>
                <w:szCs w:val="18"/>
              </w:rPr>
              <w:t>Frequency of consultations likely to depend on co-morbidity type and symptom severity</w:t>
            </w:r>
          </w:p>
        </w:tc>
        <w:tc>
          <w:tcPr>
            <w:tcW w:w="1881" w:type="dxa"/>
            <w:shd w:val="clear" w:color="auto" w:fill="D6E3BC"/>
          </w:tcPr>
          <w:p w:rsidR="0086354C" w:rsidRPr="00F65C7B" w:rsidRDefault="0086354C" w:rsidP="002C6039">
            <w:pPr>
              <w:jc w:val="center"/>
              <w:rPr>
                <w:rFonts w:ascii="Arial Narrow" w:hAnsi="Arial Narrow" w:cs="Arial Narrow"/>
                <w:color w:val="0070C0"/>
                <w:sz w:val="18"/>
                <w:szCs w:val="18"/>
                <w:highlight w:val="yellow"/>
              </w:rPr>
            </w:pP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Anti-HTN drug therapy</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PBS</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Out-patient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Drug regimen, including dosage and number of therapies, determined by clinician</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PBS</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Diagnostic and pathology services</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MBS, Medicare</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Private or Public Hospital; out-patient clinic</w:t>
            </w:r>
          </w:p>
        </w:tc>
        <w:tc>
          <w:tcPr>
            <w:tcW w:w="3249" w:type="dxa"/>
            <w:shd w:val="clear" w:color="auto" w:fill="D6E3BC"/>
          </w:tcPr>
          <w:p w:rsidR="0086354C" w:rsidRPr="00F65C7B" w:rsidRDefault="0086354C" w:rsidP="002C6039">
            <w:pPr>
              <w:jc w:val="center"/>
              <w:rPr>
                <w:rFonts w:ascii="Arial Narrow" w:hAnsi="Arial Narrow" w:cs="Arial Narrow"/>
                <w:color w:val="0070C0"/>
                <w:sz w:val="18"/>
                <w:szCs w:val="18"/>
              </w:rPr>
            </w:pPr>
            <w:r w:rsidRPr="00F65C7B">
              <w:rPr>
                <w:rFonts w:ascii="Arial Narrow" w:hAnsi="Arial Narrow" w:cs="Arial Narrow"/>
                <w:color w:val="0070C0"/>
                <w:sz w:val="18"/>
                <w:szCs w:val="18"/>
              </w:rPr>
              <w:t>-</w:t>
            </w:r>
          </w:p>
        </w:tc>
        <w:tc>
          <w:tcPr>
            <w:tcW w:w="1881" w:type="dxa"/>
            <w:shd w:val="clear" w:color="auto" w:fill="D6E3BC"/>
          </w:tcPr>
          <w:p w:rsidR="0086354C" w:rsidRPr="00F65C7B" w:rsidRDefault="0086354C" w:rsidP="002C6039">
            <w:pPr>
              <w:jc w:val="center"/>
              <w:rPr>
                <w:rFonts w:ascii="Arial Narrow" w:hAnsi="Arial Narrow" w:cs="Arial Narrow"/>
                <w:color w:val="0070C0"/>
                <w:sz w:val="18"/>
                <w:szCs w:val="18"/>
              </w:rPr>
            </w:pPr>
            <w:r w:rsidRPr="00F65C7B">
              <w:rPr>
                <w:rFonts w:ascii="Arial Narrow" w:hAnsi="Arial Narrow" w:cs="Arial Narrow"/>
                <w:color w:val="0070C0"/>
                <w:sz w:val="18"/>
                <w:szCs w:val="18"/>
              </w:rPr>
              <w:t>-</w:t>
            </w:r>
          </w:p>
        </w:tc>
      </w:tr>
      <w:tr w:rsidR="0086354C" w:rsidRPr="00F65C7B" w:rsidTr="002C6039">
        <w:tc>
          <w:tcPr>
            <w:tcW w:w="10146" w:type="dxa"/>
            <w:gridSpan w:val="5"/>
          </w:tcPr>
          <w:p w:rsidR="0086354C" w:rsidRPr="00F65C7B" w:rsidRDefault="0086354C" w:rsidP="002C6039">
            <w:pPr>
              <w:jc w:val="center"/>
              <w:rPr>
                <w:rFonts w:ascii="Arial Narrow" w:hAnsi="Arial Narrow" w:cs="Arial Narrow"/>
                <w:color w:val="0070C0"/>
                <w:sz w:val="18"/>
                <w:szCs w:val="18"/>
              </w:rPr>
            </w:pPr>
            <w:r w:rsidRPr="00F65C7B">
              <w:rPr>
                <w:rFonts w:ascii="Arial Narrow" w:hAnsi="Arial Narrow" w:cs="Arial Narrow"/>
                <w:color w:val="0070C0"/>
                <w:sz w:val="18"/>
                <w:szCs w:val="18"/>
              </w:rPr>
              <w:t xml:space="preserve">Healthcare resources listed below </w:t>
            </w:r>
            <w:r w:rsidRPr="00F65C7B">
              <w:rPr>
                <w:rFonts w:ascii="Arial Narrow" w:hAnsi="Arial Narrow" w:cs="Arial Narrow"/>
                <w:b/>
                <w:bCs/>
                <w:color w:val="0070C0"/>
                <w:sz w:val="18"/>
                <w:szCs w:val="18"/>
              </w:rPr>
              <w:t>apply to the management of cardiovascular and renal morbidity</w:t>
            </w:r>
          </w:p>
        </w:tc>
      </w:tr>
      <w:tr w:rsidR="0086354C" w:rsidRPr="00F65C7B" w:rsidDel="00F374F2"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lang w:val="en-US"/>
              </w:rPr>
              <w:t xml:space="preserve">Hospital or community-based treatment, which may include: surgical </w:t>
            </w:r>
            <w:r w:rsidRPr="00F65C7B">
              <w:rPr>
                <w:rFonts w:ascii="Arial Narrow" w:hAnsi="Arial Narrow" w:cs="Arial Narrow"/>
                <w:b/>
                <w:bCs/>
                <w:color w:val="0070C0"/>
                <w:sz w:val="18"/>
                <w:szCs w:val="18"/>
                <w:lang w:val="en-US"/>
              </w:rPr>
              <w:lastRenderedPageBreak/>
              <w:t>therapy +/- prostheses (e.g. coronary stents); drug therapies; physiotherapy; kidney dialysis (hospital; home or dialysis – satellite – clinic)</w:t>
            </w:r>
          </w:p>
        </w:tc>
        <w:tc>
          <w:tcPr>
            <w:tcW w:w="1197" w:type="dxa"/>
            <w:shd w:val="clear" w:color="auto" w:fill="E5B8B7"/>
          </w:tcPr>
          <w:p w:rsidR="0086354C" w:rsidRPr="00F65C7B" w:rsidDel="00F374F2"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lastRenderedPageBreak/>
              <w:t>-</w:t>
            </w:r>
          </w:p>
        </w:tc>
        <w:tc>
          <w:tcPr>
            <w:tcW w:w="1710" w:type="dxa"/>
            <w:shd w:val="clear" w:color="auto" w:fill="E5B8B7"/>
          </w:tcPr>
          <w:p w:rsidR="0086354C" w:rsidRPr="00F65C7B" w:rsidDel="00F374F2"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881" w:type="dxa"/>
            <w:shd w:val="clear" w:color="auto" w:fill="D6E3BC"/>
          </w:tcPr>
          <w:p w:rsidR="0086354C" w:rsidRPr="00F65C7B" w:rsidDel="00F374F2" w:rsidRDefault="0086354C" w:rsidP="002C6039">
            <w:pPr>
              <w:jc w:val="center"/>
              <w:rPr>
                <w:rFonts w:ascii="Arial Narrow" w:hAnsi="Arial Narrow" w:cs="Arial Narrow"/>
                <w:b/>
                <w:bCs/>
                <w:color w:val="0070C0"/>
                <w:sz w:val="18"/>
                <w:szCs w:val="18"/>
                <w:u w:val="single"/>
              </w:rPr>
            </w:pPr>
            <w:r w:rsidRPr="00F65C7B">
              <w:rPr>
                <w:rFonts w:ascii="Arial Narrow" w:hAnsi="Arial Narrow" w:cs="Arial Narrow"/>
                <w:b/>
                <w:bCs/>
                <w:color w:val="0070C0"/>
                <w:sz w:val="18"/>
                <w:szCs w:val="18"/>
                <w:u w:val="single"/>
              </w:rPr>
              <w:t>-</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lastRenderedPageBreak/>
              <w:t>Diagnostic and pathology services</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r>
      <w:tr w:rsidR="0086354C" w:rsidRPr="00F65C7B" w:rsidTr="002C6039">
        <w:tc>
          <w:tcPr>
            <w:tcW w:w="2109" w:type="dxa"/>
          </w:tcPr>
          <w:p w:rsidR="0086354C" w:rsidRPr="00F65C7B" w:rsidRDefault="0086354C" w:rsidP="002C6039">
            <w:pPr>
              <w:pStyle w:val="ListParagraph"/>
              <w:spacing w:after="0" w:line="240" w:lineRule="auto"/>
              <w:ind w:left="360"/>
              <w:rPr>
                <w:rFonts w:ascii="Arial Narrow" w:hAnsi="Arial Narrow" w:cs="Arial Narrow"/>
                <w:b/>
                <w:bCs/>
                <w:color w:val="0070C0"/>
                <w:sz w:val="18"/>
                <w:szCs w:val="18"/>
              </w:rPr>
            </w:pPr>
            <w:r w:rsidRPr="00F65C7B">
              <w:rPr>
                <w:rFonts w:ascii="Arial Narrow" w:hAnsi="Arial Narrow" w:cs="Arial Narrow"/>
                <w:b/>
                <w:bCs/>
                <w:color w:val="0070C0"/>
                <w:sz w:val="18"/>
                <w:szCs w:val="18"/>
              </w:rPr>
              <w:t>Clinician consultation</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Rehabilitation services</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Community based services (residential care; allied health; home nursing; carers; ambulance etc.)</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r>
      <w:tr w:rsidR="0086354C" w:rsidRPr="00F65C7B" w:rsidTr="002C6039">
        <w:tc>
          <w:tcPr>
            <w:tcW w:w="10146" w:type="dxa"/>
            <w:gridSpan w:val="5"/>
            <w:vAlign w:val="center"/>
          </w:tcPr>
          <w:p w:rsidR="0086354C" w:rsidRPr="00F65C7B" w:rsidRDefault="0086354C" w:rsidP="002C6039">
            <w:pPr>
              <w:rPr>
                <w:rFonts w:ascii="Arial Narrow" w:hAnsi="Arial Narrow" w:cs="Arial Narrow"/>
                <w:b/>
                <w:bCs/>
                <w:sz w:val="18"/>
                <w:szCs w:val="18"/>
                <w:u w:val="single"/>
              </w:rPr>
            </w:pPr>
            <w:r w:rsidRPr="00F65C7B">
              <w:rPr>
                <w:rFonts w:ascii="Arial Narrow" w:hAnsi="Arial Narrow" w:cs="Arial Narrow"/>
                <w:b/>
                <w:bCs/>
                <w:sz w:val="18"/>
                <w:szCs w:val="18"/>
                <w:u w:val="single"/>
              </w:rPr>
              <w:t xml:space="preserve">Resources provided following the comparator to deliver the current intervention (from Step 7, e.g., resources used to monitor or in follow-up, resources used in management of adverse events, resources used for treatment of down-stream conditions conditioned on the results of the proposed intervention). </w:t>
            </w:r>
          </w:p>
        </w:tc>
      </w:tr>
      <w:tr w:rsidR="0086354C" w:rsidRPr="00F65C7B" w:rsidTr="002C6039">
        <w:tc>
          <w:tcPr>
            <w:tcW w:w="10146" w:type="dxa"/>
            <w:gridSpan w:val="5"/>
          </w:tcPr>
          <w:p w:rsidR="0086354C" w:rsidRPr="00F65C7B" w:rsidRDefault="0086354C" w:rsidP="002C6039">
            <w:pPr>
              <w:jc w:val="center"/>
              <w:rPr>
                <w:rFonts w:ascii="Arial Narrow" w:hAnsi="Arial Narrow" w:cs="Arial Narrow"/>
                <w:color w:val="0070C0"/>
                <w:sz w:val="18"/>
                <w:szCs w:val="18"/>
              </w:rPr>
            </w:pPr>
            <w:r w:rsidRPr="00F65C7B">
              <w:rPr>
                <w:rFonts w:ascii="Arial Narrow" w:hAnsi="Arial Narrow" w:cs="Arial Narrow"/>
                <w:color w:val="0070C0"/>
                <w:sz w:val="18"/>
                <w:szCs w:val="18"/>
              </w:rPr>
              <w:t xml:space="preserve">Healthcare resources listed below apply to the </w:t>
            </w:r>
            <w:r w:rsidRPr="00F65C7B">
              <w:rPr>
                <w:rFonts w:ascii="Arial Narrow" w:hAnsi="Arial Narrow" w:cs="Arial Narrow"/>
                <w:b/>
                <w:bCs/>
                <w:color w:val="0070C0"/>
                <w:sz w:val="18"/>
                <w:szCs w:val="18"/>
              </w:rPr>
              <w:t>ongoing management of hypertension</w:t>
            </w:r>
            <w:r w:rsidRPr="00F65C7B">
              <w:rPr>
                <w:rFonts w:ascii="Arial Narrow" w:hAnsi="Arial Narrow" w:cs="Arial Narrow"/>
                <w:color w:val="0070C0"/>
                <w:sz w:val="18"/>
                <w:szCs w:val="18"/>
              </w:rPr>
              <w:t>,</w:t>
            </w:r>
          </w:p>
        </w:tc>
      </w:tr>
      <w:tr w:rsidR="0086354C" w:rsidRPr="00F65C7B" w:rsidTr="002C6039">
        <w:tc>
          <w:tcPr>
            <w:tcW w:w="2109" w:type="dxa"/>
          </w:tcPr>
          <w:p w:rsidR="0086354C" w:rsidRPr="00F65C7B" w:rsidRDefault="0086354C" w:rsidP="002C6039">
            <w:pPr>
              <w:pStyle w:val="ListParagraph"/>
              <w:spacing w:after="0" w:line="240" w:lineRule="auto"/>
              <w:ind w:left="360"/>
              <w:rPr>
                <w:rFonts w:ascii="Arial Narrow" w:hAnsi="Arial Narrow" w:cs="Arial Narrow"/>
                <w:b/>
                <w:bCs/>
                <w:color w:val="0070C0"/>
                <w:sz w:val="18"/>
                <w:szCs w:val="18"/>
              </w:rPr>
            </w:pPr>
            <w:r w:rsidRPr="00F65C7B">
              <w:rPr>
                <w:rFonts w:ascii="Arial Narrow" w:hAnsi="Arial Narrow" w:cs="Arial Narrow"/>
                <w:b/>
                <w:bCs/>
                <w:color w:val="0070C0"/>
                <w:sz w:val="18"/>
                <w:szCs w:val="18"/>
              </w:rPr>
              <w:t>Clinician consultation</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MBS</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Private or Public Hospital; General Practice; out-patient clinic (setting will vary depending on patient co-morbidities and required clinical management)</w:t>
            </w:r>
          </w:p>
        </w:tc>
        <w:tc>
          <w:tcPr>
            <w:tcW w:w="3249" w:type="dxa"/>
            <w:shd w:val="clear" w:color="auto" w:fill="D6E3BC"/>
          </w:tcPr>
          <w:p w:rsidR="0086354C" w:rsidRPr="00F65C7B" w:rsidRDefault="0086354C" w:rsidP="002C6039">
            <w:pPr>
              <w:jc w:val="center"/>
              <w:rPr>
                <w:rFonts w:ascii="Arial Narrow" w:hAnsi="Arial Narrow" w:cs="Arial Narrow"/>
                <w:color w:val="0070C0"/>
                <w:sz w:val="18"/>
                <w:szCs w:val="18"/>
              </w:rPr>
            </w:pPr>
            <w:r w:rsidRPr="00F65C7B">
              <w:rPr>
                <w:rFonts w:ascii="Arial Narrow" w:hAnsi="Arial Narrow" w:cs="Arial Narrow"/>
                <w:b/>
                <w:bCs/>
                <w:color w:val="0070C0"/>
                <w:sz w:val="18"/>
                <w:szCs w:val="18"/>
              </w:rPr>
              <w:t>Frequency of consultations likely to depend on co-morbidity type and symptom severity</w:t>
            </w:r>
          </w:p>
        </w:tc>
        <w:tc>
          <w:tcPr>
            <w:tcW w:w="1881" w:type="dxa"/>
            <w:shd w:val="clear" w:color="auto" w:fill="D6E3BC"/>
          </w:tcPr>
          <w:p w:rsidR="0086354C" w:rsidRPr="00F65C7B" w:rsidRDefault="0086354C" w:rsidP="002C6039">
            <w:pPr>
              <w:jc w:val="center"/>
              <w:rPr>
                <w:rFonts w:ascii="Arial Narrow" w:hAnsi="Arial Narrow" w:cs="Arial Narrow"/>
                <w:color w:val="0070C0"/>
                <w:sz w:val="18"/>
                <w:szCs w:val="18"/>
              </w:rPr>
            </w:pPr>
            <w:r w:rsidRPr="00F65C7B">
              <w:rPr>
                <w:rFonts w:ascii="Arial Narrow" w:hAnsi="Arial Narrow" w:cs="Arial Narrow"/>
                <w:color w:val="0070C0"/>
                <w:sz w:val="18"/>
                <w:szCs w:val="18"/>
              </w:rPr>
              <w:t>-</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Anti-HTN drug therapy</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PBS</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Out-patient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Drug regimen, including dosage and number of therapies, determined by clinician</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PBS</w:t>
            </w:r>
          </w:p>
        </w:tc>
      </w:tr>
      <w:tr w:rsidR="0086354C" w:rsidRPr="00F65C7B" w:rsidTr="002C6039">
        <w:tc>
          <w:tcPr>
            <w:tcW w:w="2109" w:type="dxa"/>
          </w:tcPr>
          <w:p w:rsidR="0086354C" w:rsidRPr="00F65C7B" w:rsidRDefault="0086354C" w:rsidP="002C6039">
            <w:pPr>
              <w:pStyle w:val="ListParagraph"/>
              <w:numPr>
                <w:ilvl w:val="2"/>
                <w:numId w:val="5"/>
              </w:numPr>
              <w:spacing w:after="0" w:line="240" w:lineRule="auto"/>
              <w:ind w:left="360" w:hanging="218"/>
              <w:jc w:val="left"/>
              <w:rPr>
                <w:rFonts w:ascii="Arial Narrow" w:hAnsi="Arial Narrow" w:cs="Arial Narrow"/>
                <w:b/>
                <w:bCs/>
                <w:color w:val="0070C0"/>
                <w:sz w:val="18"/>
                <w:szCs w:val="18"/>
              </w:rPr>
            </w:pPr>
            <w:r w:rsidRPr="00F65C7B">
              <w:rPr>
                <w:rFonts w:ascii="Arial Narrow" w:hAnsi="Arial Narrow" w:cs="Arial Narrow"/>
                <w:b/>
                <w:bCs/>
                <w:color w:val="0070C0"/>
                <w:sz w:val="18"/>
                <w:szCs w:val="18"/>
              </w:rPr>
              <w:t>Diagnostic and pathology services</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MBS, Medicare</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Private or Public Hospital; out-patient clinic</w:t>
            </w:r>
          </w:p>
        </w:tc>
        <w:tc>
          <w:tcPr>
            <w:tcW w:w="3249" w:type="dxa"/>
            <w:shd w:val="clear" w:color="auto" w:fill="D6E3BC"/>
          </w:tcPr>
          <w:p w:rsidR="0086354C" w:rsidRPr="00F65C7B" w:rsidRDefault="0086354C" w:rsidP="002C6039">
            <w:pPr>
              <w:jc w:val="center"/>
              <w:rPr>
                <w:rFonts w:ascii="Arial Narrow" w:hAnsi="Arial Narrow" w:cs="Arial Narrow"/>
                <w:color w:val="0070C0"/>
                <w:sz w:val="18"/>
                <w:szCs w:val="18"/>
              </w:rPr>
            </w:pPr>
            <w:r w:rsidRPr="00F65C7B">
              <w:rPr>
                <w:rFonts w:ascii="Arial Narrow" w:hAnsi="Arial Narrow" w:cs="Arial Narrow"/>
                <w:color w:val="0070C0"/>
                <w:sz w:val="18"/>
                <w:szCs w:val="18"/>
              </w:rPr>
              <w:t>-</w:t>
            </w:r>
          </w:p>
        </w:tc>
        <w:tc>
          <w:tcPr>
            <w:tcW w:w="1881" w:type="dxa"/>
            <w:shd w:val="clear" w:color="auto" w:fill="D6E3BC"/>
          </w:tcPr>
          <w:p w:rsidR="0086354C" w:rsidRPr="00F65C7B" w:rsidRDefault="0086354C" w:rsidP="002C6039">
            <w:pPr>
              <w:jc w:val="center"/>
              <w:rPr>
                <w:rFonts w:ascii="Arial Narrow" w:hAnsi="Arial Narrow" w:cs="Arial Narrow"/>
                <w:color w:val="0070C0"/>
                <w:sz w:val="18"/>
                <w:szCs w:val="18"/>
              </w:rPr>
            </w:pPr>
            <w:r w:rsidRPr="00F65C7B">
              <w:rPr>
                <w:rFonts w:ascii="Arial Narrow" w:hAnsi="Arial Narrow" w:cs="Arial Narrow"/>
                <w:color w:val="0070C0"/>
                <w:sz w:val="18"/>
                <w:szCs w:val="18"/>
              </w:rPr>
              <w:t>-</w:t>
            </w:r>
          </w:p>
        </w:tc>
      </w:tr>
      <w:tr w:rsidR="0086354C" w:rsidRPr="00F65C7B" w:rsidTr="002C6039">
        <w:tc>
          <w:tcPr>
            <w:tcW w:w="10146" w:type="dxa"/>
            <w:gridSpan w:val="5"/>
          </w:tcPr>
          <w:p w:rsidR="0086354C" w:rsidRPr="00F65C7B" w:rsidRDefault="0086354C" w:rsidP="002C6039">
            <w:pPr>
              <w:jc w:val="center"/>
              <w:rPr>
                <w:rFonts w:ascii="Arial Narrow" w:hAnsi="Arial Narrow" w:cs="Arial Narrow"/>
                <w:color w:val="0070C0"/>
                <w:sz w:val="18"/>
                <w:szCs w:val="18"/>
              </w:rPr>
            </w:pPr>
            <w:r w:rsidRPr="00F65C7B">
              <w:rPr>
                <w:rFonts w:ascii="Arial Narrow" w:hAnsi="Arial Narrow" w:cs="Arial Narrow"/>
                <w:color w:val="0070C0"/>
                <w:sz w:val="18"/>
                <w:szCs w:val="18"/>
              </w:rPr>
              <w:t xml:space="preserve">Healthcare resources listed below apply to the </w:t>
            </w:r>
            <w:r w:rsidRPr="00F65C7B">
              <w:rPr>
                <w:rFonts w:ascii="Arial Narrow" w:hAnsi="Arial Narrow" w:cs="Arial Narrow"/>
                <w:b/>
                <w:bCs/>
                <w:color w:val="0070C0"/>
                <w:sz w:val="18"/>
                <w:szCs w:val="18"/>
              </w:rPr>
              <w:t>management of cardiovascular  and renal morbidity</w:t>
            </w:r>
            <w:r w:rsidRPr="00F65C7B">
              <w:rPr>
                <w:rFonts w:ascii="Arial Narrow" w:hAnsi="Arial Narrow" w:cs="Arial Narrow"/>
                <w:color w:val="0070C0"/>
                <w:sz w:val="18"/>
                <w:szCs w:val="18"/>
              </w:rPr>
              <w:t>:</w:t>
            </w:r>
          </w:p>
        </w:tc>
      </w:tr>
      <w:tr w:rsidR="0086354C" w:rsidRPr="00F65C7B" w:rsidDel="00F374F2" w:rsidTr="002C6039">
        <w:tc>
          <w:tcPr>
            <w:tcW w:w="2109" w:type="dxa"/>
          </w:tcPr>
          <w:p w:rsidR="0086354C" w:rsidRPr="00F65C7B" w:rsidRDefault="0086354C" w:rsidP="002C6039">
            <w:pPr>
              <w:rPr>
                <w:rFonts w:ascii="Arial Narrow" w:hAnsi="Arial Narrow" w:cs="Arial Narrow"/>
                <w:b/>
                <w:bCs/>
                <w:color w:val="0070C0"/>
                <w:sz w:val="18"/>
                <w:szCs w:val="18"/>
              </w:rPr>
            </w:pPr>
            <w:r w:rsidRPr="00F65C7B">
              <w:rPr>
                <w:rFonts w:ascii="Arial Narrow" w:hAnsi="Arial Narrow" w:cs="Arial Narrow"/>
                <w:b/>
                <w:bCs/>
                <w:color w:val="0070C0"/>
                <w:sz w:val="18"/>
                <w:szCs w:val="18"/>
              </w:rPr>
              <w:t xml:space="preserve">Hospital or community-based treatment, which may include: surgical therapy +/- prostheses (e.g. coronary stents); drug therapies; physiotherapy; kidney dialysis (hospital; home or </w:t>
            </w:r>
            <w:r w:rsidRPr="00F65C7B">
              <w:rPr>
                <w:rFonts w:ascii="Arial Narrow" w:hAnsi="Arial Narrow" w:cs="Arial Narrow"/>
                <w:b/>
                <w:bCs/>
                <w:color w:val="0070C0"/>
                <w:sz w:val="18"/>
                <w:szCs w:val="18"/>
              </w:rPr>
              <w:lastRenderedPageBreak/>
              <w:t>dialysis – satellite – clinic)</w:t>
            </w:r>
          </w:p>
        </w:tc>
        <w:tc>
          <w:tcPr>
            <w:tcW w:w="1197" w:type="dxa"/>
            <w:shd w:val="clear" w:color="auto" w:fill="E5B8B7"/>
          </w:tcPr>
          <w:p w:rsidR="0086354C" w:rsidRPr="00F65C7B" w:rsidDel="00F374F2"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lastRenderedPageBreak/>
              <w:t>-</w:t>
            </w:r>
          </w:p>
        </w:tc>
        <w:tc>
          <w:tcPr>
            <w:tcW w:w="1710" w:type="dxa"/>
            <w:shd w:val="clear" w:color="auto" w:fill="E5B8B7"/>
          </w:tcPr>
          <w:p w:rsidR="0086354C" w:rsidRPr="00F65C7B" w:rsidDel="00F374F2"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881" w:type="dxa"/>
            <w:shd w:val="clear" w:color="auto" w:fill="D6E3BC"/>
          </w:tcPr>
          <w:p w:rsidR="0086354C" w:rsidRPr="00F65C7B" w:rsidDel="00F374F2" w:rsidRDefault="0086354C" w:rsidP="002C6039">
            <w:pPr>
              <w:jc w:val="center"/>
              <w:rPr>
                <w:rFonts w:ascii="Arial Narrow" w:hAnsi="Arial Narrow" w:cs="Arial Narrow"/>
                <w:b/>
                <w:bCs/>
                <w:color w:val="0070C0"/>
                <w:sz w:val="18"/>
                <w:szCs w:val="18"/>
                <w:u w:val="single"/>
              </w:rPr>
            </w:pPr>
            <w:r w:rsidRPr="00F65C7B">
              <w:rPr>
                <w:rFonts w:ascii="Arial Narrow" w:hAnsi="Arial Narrow" w:cs="Arial Narrow"/>
                <w:b/>
                <w:bCs/>
                <w:color w:val="0070C0"/>
                <w:sz w:val="18"/>
                <w:szCs w:val="18"/>
                <w:u w:val="single"/>
              </w:rPr>
              <w:t>-</w:t>
            </w:r>
          </w:p>
        </w:tc>
      </w:tr>
      <w:tr w:rsidR="0086354C" w:rsidRPr="00F65C7B" w:rsidTr="002C6039">
        <w:tc>
          <w:tcPr>
            <w:tcW w:w="2109" w:type="dxa"/>
          </w:tcPr>
          <w:p w:rsidR="0086354C" w:rsidRPr="00F65C7B" w:rsidRDefault="0086354C" w:rsidP="002C6039">
            <w:pPr>
              <w:rPr>
                <w:rFonts w:ascii="Arial Narrow" w:hAnsi="Arial Narrow" w:cs="Arial Narrow"/>
                <w:b/>
                <w:bCs/>
                <w:color w:val="0070C0"/>
                <w:sz w:val="18"/>
                <w:szCs w:val="18"/>
              </w:rPr>
            </w:pPr>
            <w:r w:rsidRPr="00F65C7B">
              <w:rPr>
                <w:rFonts w:ascii="Arial Narrow" w:hAnsi="Arial Narrow" w:cs="Arial Narrow"/>
                <w:b/>
                <w:bCs/>
                <w:color w:val="0070C0"/>
                <w:sz w:val="18"/>
                <w:szCs w:val="18"/>
              </w:rPr>
              <w:lastRenderedPageBreak/>
              <w:t>Diagnostic and pathology services</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r>
      <w:tr w:rsidR="0086354C" w:rsidRPr="00F65C7B" w:rsidTr="002C6039">
        <w:tc>
          <w:tcPr>
            <w:tcW w:w="2109" w:type="dxa"/>
          </w:tcPr>
          <w:p w:rsidR="0086354C" w:rsidRPr="00F65C7B" w:rsidRDefault="0086354C" w:rsidP="002C6039">
            <w:pPr>
              <w:pStyle w:val="ListParagraph"/>
              <w:spacing w:after="0" w:line="240" w:lineRule="auto"/>
              <w:ind w:left="360"/>
              <w:rPr>
                <w:rFonts w:ascii="Arial Narrow" w:hAnsi="Arial Narrow" w:cs="Arial Narrow"/>
                <w:b/>
                <w:bCs/>
                <w:color w:val="0070C0"/>
                <w:sz w:val="18"/>
                <w:szCs w:val="18"/>
              </w:rPr>
            </w:pPr>
            <w:r w:rsidRPr="00F65C7B">
              <w:rPr>
                <w:rFonts w:ascii="Arial Narrow" w:hAnsi="Arial Narrow" w:cs="Arial Narrow"/>
                <w:b/>
                <w:bCs/>
                <w:color w:val="0070C0"/>
                <w:sz w:val="18"/>
                <w:szCs w:val="18"/>
              </w:rPr>
              <w:t>Clinician consultation</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r>
      <w:tr w:rsidR="0086354C" w:rsidRPr="00F65C7B" w:rsidTr="002C6039">
        <w:tc>
          <w:tcPr>
            <w:tcW w:w="2109" w:type="dxa"/>
          </w:tcPr>
          <w:p w:rsidR="0086354C" w:rsidRPr="00F65C7B" w:rsidRDefault="0086354C" w:rsidP="002C6039">
            <w:pPr>
              <w:rPr>
                <w:rFonts w:ascii="Arial Narrow" w:hAnsi="Arial Narrow" w:cs="Arial Narrow"/>
                <w:b/>
                <w:bCs/>
                <w:color w:val="0070C0"/>
                <w:sz w:val="18"/>
                <w:szCs w:val="18"/>
              </w:rPr>
            </w:pPr>
            <w:r w:rsidRPr="00F65C7B">
              <w:rPr>
                <w:rFonts w:ascii="Arial Narrow" w:hAnsi="Arial Narrow" w:cs="Arial Narrow"/>
                <w:b/>
                <w:bCs/>
                <w:color w:val="0070C0"/>
                <w:sz w:val="18"/>
                <w:szCs w:val="18"/>
              </w:rPr>
              <w:t>Rehabilitation services</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r>
      <w:tr w:rsidR="0086354C" w:rsidRPr="00F65C7B" w:rsidTr="002C6039">
        <w:trPr>
          <w:trHeight w:val="401"/>
        </w:trPr>
        <w:tc>
          <w:tcPr>
            <w:tcW w:w="2109" w:type="dxa"/>
          </w:tcPr>
          <w:p w:rsidR="0086354C" w:rsidRPr="00F65C7B" w:rsidRDefault="0086354C" w:rsidP="002C6039">
            <w:pPr>
              <w:rPr>
                <w:rFonts w:ascii="Arial Narrow" w:hAnsi="Arial Narrow" w:cs="Arial Narrow"/>
                <w:b/>
                <w:bCs/>
                <w:color w:val="0070C0"/>
                <w:sz w:val="18"/>
                <w:szCs w:val="18"/>
              </w:rPr>
            </w:pPr>
            <w:r w:rsidRPr="00F65C7B">
              <w:rPr>
                <w:rFonts w:ascii="Arial Narrow" w:hAnsi="Arial Narrow" w:cs="Arial Narrow"/>
                <w:b/>
                <w:bCs/>
                <w:color w:val="0070C0"/>
                <w:sz w:val="18"/>
                <w:szCs w:val="18"/>
              </w:rPr>
              <w:t>Community based services (residential care; allied health; home nursing; carers; ambulance etc.)</w:t>
            </w:r>
          </w:p>
        </w:tc>
        <w:tc>
          <w:tcPr>
            <w:tcW w:w="1197"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710" w:type="dxa"/>
            <w:shd w:val="clear" w:color="auto" w:fill="E5B8B7"/>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3249"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c>
          <w:tcPr>
            <w:tcW w:w="1881" w:type="dxa"/>
            <w:shd w:val="clear" w:color="auto" w:fill="D6E3BC"/>
          </w:tcPr>
          <w:p w:rsidR="0086354C" w:rsidRPr="00F65C7B" w:rsidRDefault="0086354C" w:rsidP="002C6039">
            <w:pPr>
              <w:jc w:val="center"/>
              <w:rPr>
                <w:rFonts w:ascii="Arial Narrow" w:hAnsi="Arial Narrow" w:cs="Arial Narrow"/>
                <w:b/>
                <w:bCs/>
                <w:color w:val="0070C0"/>
                <w:sz w:val="18"/>
                <w:szCs w:val="18"/>
              </w:rPr>
            </w:pPr>
            <w:r w:rsidRPr="00F65C7B">
              <w:rPr>
                <w:rFonts w:ascii="Arial Narrow" w:hAnsi="Arial Narrow" w:cs="Arial Narrow"/>
                <w:b/>
                <w:bCs/>
                <w:color w:val="0070C0"/>
                <w:sz w:val="18"/>
                <w:szCs w:val="18"/>
              </w:rPr>
              <w:t>-</w:t>
            </w:r>
          </w:p>
        </w:tc>
      </w:tr>
    </w:tbl>
    <w:p w:rsidR="0086354C" w:rsidRDefault="0086354C" w:rsidP="0086354C"/>
    <w:p w:rsidR="0086354C" w:rsidRDefault="0086354C" w:rsidP="0086354C">
      <w:r>
        <w:t>Issues associated with resources:</w:t>
      </w:r>
    </w:p>
    <w:p w:rsidR="00561888" w:rsidRDefault="00561888" w:rsidP="0086354C">
      <w:pPr>
        <w:pStyle w:val="ListParagraph"/>
        <w:numPr>
          <w:ilvl w:val="0"/>
          <w:numId w:val="28"/>
        </w:numPr>
      </w:pPr>
      <w:r>
        <w:t>From the Pharmaceutical Benefits Schedule</w:t>
      </w:r>
      <w:r w:rsidRPr="00C83B31">
        <w:t xml:space="preserve"> anti-hypertension medication range</w:t>
      </w:r>
      <w:r>
        <w:t xml:space="preserve"> in cost</w:t>
      </w:r>
      <w:r w:rsidRPr="00C83B31">
        <w:t xml:space="preserve"> from $49.11</w:t>
      </w:r>
      <w:r>
        <w:t xml:space="preserve"> to </w:t>
      </w:r>
      <w:r w:rsidRPr="00C83B31">
        <w:t xml:space="preserve">$106.82 for </w:t>
      </w:r>
      <w:r>
        <w:t xml:space="preserve">three anti-hypertensive medications, one </w:t>
      </w:r>
      <w:r w:rsidRPr="00C83B31">
        <w:t>of which</w:t>
      </w:r>
      <w:r>
        <w:t xml:space="preserve"> is </w:t>
      </w:r>
      <w:r w:rsidRPr="00C83B31">
        <w:t>a diuretic.</w:t>
      </w:r>
      <w:r>
        <w:t xml:space="preserve"> These costs will be dependent on whether the medications are needed daily, weekly or monthly.</w:t>
      </w:r>
    </w:p>
    <w:p w:rsidR="0086354C" w:rsidRDefault="0086354C" w:rsidP="0086354C">
      <w:pPr>
        <w:pStyle w:val="ListParagraph"/>
        <w:numPr>
          <w:ilvl w:val="0"/>
          <w:numId w:val="28"/>
        </w:numPr>
      </w:pPr>
      <w:r>
        <w:t>The majority of cases could be performed without the requirement of general anaesthesia</w:t>
      </w:r>
      <w:r w:rsidR="00922E95">
        <w:t>.</w:t>
      </w:r>
    </w:p>
    <w:p w:rsidR="00922E95" w:rsidRDefault="00922E95" w:rsidP="0086354C">
      <w:pPr>
        <w:pStyle w:val="ListParagraph"/>
        <w:numPr>
          <w:ilvl w:val="0"/>
          <w:numId w:val="28"/>
        </w:numPr>
      </w:pPr>
      <w:r>
        <w:t>Some jurisdictions require the attendance of an anaesthetist for conscious sedation. This requirement should be confirmed during the assessment.</w:t>
      </w:r>
    </w:p>
    <w:p w:rsidR="0086354C" w:rsidRDefault="0086354C" w:rsidP="0086354C">
      <w:pPr>
        <w:pStyle w:val="ListParagraph"/>
        <w:numPr>
          <w:ilvl w:val="0"/>
          <w:numId w:val="28"/>
        </w:numPr>
      </w:pPr>
      <w:r>
        <w:t>Expert clinical input has confirmed that only one specialist clinician would normally be involved with providing the ablation service.</w:t>
      </w:r>
    </w:p>
    <w:p w:rsidR="0086354C" w:rsidRDefault="0086354C" w:rsidP="0086354C">
      <w:pPr>
        <w:pStyle w:val="ListParagraph"/>
        <w:numPr>
          <w:ilvl w:val="0"/>
          <w:numId w:val="28"/>
        </w:numPr>
      </w:pPr>
      <w:r>
        <w:t>Expert clinical input has suggested that renal complications as a result of the procedure are rare</w:t>
      </w:r>
      <w:r w:rsidR="00361EC1">
        <w:t xml:space="preserve"> and of low severity</w:t>
      </w:r>
      <w:r>
        <w:t>. Stenting may be required in the event of a dissection.</w:t>
      </w:r>
    </w:p>
    <w:p w:rsidR="00D32C81" w:rsidRDefault="00D32C81" w:rsidP="0086354C">
      <w:pPr>
        <w:pStyle w:val="ListParagraph"/>
        <w:numPr>
          <w:ilvl w:val="0"/>
          <w:numId w:val="28"/>
        </w:numPr>
      </w:pPr>
      <w:r>
        <w:t>For morning cases, most patients would be discharged at the end of the day. For afternoon cases, most patients would remain hospitalised overnight for post-procedure management and monitoring. The evidence regarding hospital stay should be provided.</w:t>
      </w:r>
    </w:p>
    <w:p w:rsidR="0086354C" w:rsidRDefault="0086354C" w:rsidP="0086354C">
      <w:pPr>
        <w:pStyle w:val="ListParagraph"/>
        <w:numPr>
          <w:ilvl w:val="0"/>
          <w:numId w:val="28"/>
        </w:numPr>
      </w:pPr>
      <w:r>
        <w:t>On-going management</w:t>
      </w:r>
      <w:r w:rsidR="00D32C81">
        <w:t xml:space="preserve"> and standard care</w:t>
      </w:r>
      <w:r>
        <w:t xml:space="preserve"> with various specialists would continue for both intervention and comparator arms.</w:t>
      </w:r>
    </w:p>
    <w:p w:rsidR="0086354C" w:rsidRPr="002957D7" w:rsidRDefault="0086354C" w:rsidP="0086354C">
      <w:pPr>
        <w:pStyle w:val="ListParagraph"/>
        <w:numPr>
          <w:ilvl w:val="0"/>
          <w:numId w:val="28"/>
        </w:numPr>
      </w:pPr>
      <w:r w:rsidRPr="002957D7">
        <w:lastRenderedPageBreak/>
        <w:t>Healthcare resources associated with the clinical management of: stroke; coronary heart disease; heart failure; chronic kidney disease and end-stage renal disease would include:</w:t>
      </w:r>
    </w:p>
    <w:p w:rsidR="0086354C" w:rsidRPr="002957D7" w:rsidRDefault="0086354C" w:rsidP="0086354C">
      <w:pPr>
        <w:pStyle w:val="ListParagraph"/>
        <w:numPr>
          <w:ilvl w:val="1"/>
          <w:numId w:val="28"/>
        </w:numPr>
      </w:pPr>
      <w:r w:rsidRPr="002957D7">
        <w:t>Hospital or community-based treatment, which may include: surgical therapy +/- prostheses (e.g. coronary stents); drug therapies; physiotherapy; kidney dialysis (hospital; home or dialysis – satellite – clinic)</w:t>
      </w:r>
    </w:p>
    <w:p w:rsidR="0086354C" w:rsidRPr="002957D7" w:rsidRDefault="0086354C" w:rsidP="0086354C">
      <w:pPr>
        <w:pStyle w:val="ListParagraph"/>
        <w:numPr>
          <w:ilvl w:val="1"/>
          <w:numId w:val="28"/>
        </w:numPr>
      </w:pPr>
      <w:r w:rsidRPr="002957D7">
        <w:t xml:space="preserve">Hospital or community based rehabilitation </w:t>
      </w:r>
    </w:p>
    <w:p w:rsidR="0086354C" w:rsidRPr="002957D7" w:rsidRDefault="0086354C" w:rsidP="0086354C">
      <w:pPr>
        <w:pStyle w:val="ListParagraph"/>
        <w:numPr>
          <w:ilvl w:val="1"/>
          <w:numId w:val="28"/>
        </w:numPr>
      </w:pPr>
      <w:r w:rsidRPr="002957D7">
        <w:t xml:space="preserve">Hospital or community based diagnostic and pathology services </w:t>
      </w:r>
    </w:p>
    <w:p w:rsidR="0086354C" w:rsidRPr="002957D7" w:rsidRDefault="0086354C" w:rsidP="0086354C">
      <w:pPr>
        <w:pStyle w:val="ListParagraph"/>
        <w:numPr>
          <w:ilvl w:val="1"/>
          <w:numId w:val="28"/>
        </w:numPr>
      </w:pPr>
      <w:r w:rsidRPr="002957D7">
        <w:t>Hospital or community based clinical consultations</w:t>
      </w:r>
    </w:p>
    <w:p w:rsidR="0086354C" w:rsidRDefault="0086354C" w:rsidP="0086354C">
      <w:pPr>
        <w:pStyle w:val="ListParagraph"/>
        <w:numPr>
          <w:ilvl w:val="1"/>
          <w:numId w:val="28"/>
        </w:numPr>
      </w:pPr>
      <w:r w:rsidRPr="002957D7">
        <w:t xml:space="preserve">Community-based services (residential care, allied health, home nursing, carer support; ambulance etc.) </w:t>
      </w:r>
    </w:p>
    <w:p w:rsidR="0086354C" w:rsidRPr="00F0487A" w:rsidRDefault="0086354C" w:rsidP="0086354C">
      <w:pPr>
        <w:pStyle w:val="Heading1"/>
      </w:pPr>
      <w:bookmarkStart w:id="59" w:name="_Toc283297647"/>
      <w:bookmarkStart w:id="60" w:name="_Toc369595437"/>
      <w:r w:rsidRPr="00F0487A">
        <w:t>Proposed structure of economic evaluation (decision-analytic)</w:t>
      </w:r>
      <w:bookmarkEnd w:id="59"/>
      <w:bookmarkEnd w:id="60"/>
    </w:p>
    <w:p w:rsidR="0086354C" w:rsidRPr="007B0EED" w:rsidRDefault="0027300E" w:rsidP="0086354C">
      <w:r>
        <w:fldChar w:fldCharType="begin"/>
      </w:r>
      <w:r>
        <w:instrText xml:space="preserve"> REF _Ref283297696 \h </w:instrText>
      </w:r>
      <w:r>
        <w:fldChar w:fldCharType="separate"/>
      </w:r>
      <w:r w:rsidR="003115E8">
        <w:t xml:space="preserve">Table </w:t>
      </w:r>
      <w:r w:rsidR="003115E8">
        <w:rPr>
          <w:noProof/>
        </w:rPr>
        <w:t>6</w:t>
      </w:r>
      <w:r>
        <w:fldChar w:fldCharType="end"/>
      </w:r>
      <w:r>
        <w:t xml:space="preserve"> </w:t>
      </w:r>
      <w:r w:rsidR="0086354C" w:rsidRPr="007B0EED">
        <w:t>summarises the population, intervention, comparator and outcomes of catheter-based renal denervation for treatment-resistant hyperte</w:t>
      </w:r>
      <w:r w:rsidR="0086354C">
        <w:t>nsion.</w:t>
      </w:r>
    </w:p>
    <w:p w:rsidR="0086354C" w:rsidRDefault="0086354C" w:rsidP="0086354C">
      <w:pPr>
        <w:pStyle w:val="Caption"/>
      </w:pPr>
      <w:bookmarkStart w:id="61" w:name="_Ref283297696"/>
      <w:r>
        <w:lastRenderedPageBreak/>
        <w:t xml:space="preserve">Table </w:t>
      </w:r>
      <w:r>
        <w:fldChar w:fldCharType="begin"/>
      </w:r>
      <w:r>
        <w:instrText xml:space="preserve"> SEQ Table \* ARABIC </w:instrText>
      </w:r>
      <w:r>
        <w:fldChar w:fldCharType="separate"/>
      </w:r>
      <w:r w:rsidR="003115E8">
        <w:rPr>
          <w:noProof/>
        </w:rPr>
        <w:t>6</w:t>
      </w:r>
      <w:r>
        <w:rPr>
          <w:noProof/>
        </w:rPr>
        <w:fldChar w:fldCharType="end"/>
      </w:r>
      <w:bookmarkEnd w:id="61"/>
      <w:r>
        <w:t>:  Summary of extended PICO to define research question that assessment will investigate</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6:  Summary of extended PICO to define research question that assessment will investigate"/>
        <w:tblDescription w:val="Table 6:  Summary of extended PICO to define research question that assessment will investigate"/>
      </w:tblPr>
      <w:tblGrid>
        <w:gridCol w:w="1997"/>
        <w:gridCol w:w="2469"/>
        <w:gridCol w:w="2469"/>
        <w:gridCol w:w="2311"/>
      </w:tblGrid>
      <w:tr w:rsidR="0086354C" w:rsidRPr="00F65C7B" w:rsidTr="002C6039">
        <w:trPr>
          <w:cantSplit/>
          <w:trHeight w:val="424"/>
        </w:trPr>
        <w:tc>
          <w:tcPr>
            <w:tcW w:w="1997" w:type="dxa"/>
          </w:tcPr>
          <w:p w:rsidR="0086354C" w:rsidRPr="00F65C7B" w:rsidRDefault="0086354C" w:rsidP="002C6039">
            <w:pPr>
              <w:pStyle w:val="TableText"/>
              <w:tabs>
                <w:tab w:val="left" w:pos="0"/>
                <w:tab w:val="left" w:pos="1792"/>
              </w:tabs>
              <w:spacing w:before="100" w:after="100"/>
              <w:ind w:right="62"/>
              <w:rPr>
                <w:rFonts w:ascii="Arial" w:hAnsi="Arial" w:cs="Arial"/>
                <w:b/>
                <w:bCs/>
                <w:sz w:val="20"/>
                <w:szCs w:val="20"/>
              </w:rPr>
            </w:pPr>
            <w:r w:rsidRPr="00F65C7B">
              <w:rPr>
                <w:rFonts w:ascii="Arial" w:hAnsi="Arial" w:cs="Arial"/>
                <w:b/>
                <w:bCs/>
                <w:sz w:val="20"/>
                <w:szCs w:val="20"/>
              </w:rPr>
              <w:t>Population</w:t>
            </w:r>
          </w:p>
        </w:tc>
        <w:tc>
          <w:tcPr>
            <w:tcW w:w="2469" w:type="dxa"/>
          </w:tcPr>
          <w:p w:rsidR="0086354C" w:rsidRPr="00F65C7B" w:rsidRDefault="0086354C" w:rsidP="002C6039">
            <w:pPr>
              <w:pStyle w:val="TableText"/>
              <w:tabs>
                <w:tab w:val="left" w:pos="0"/>
              </w:tabs>
              <w:spacing w:before="100" w:after="100"/>
              <w:ind w:right="62"/>
              <w:rPr>
                <w:rFonts w:ascii="Arial" w:hAnsi="Arial" w:cs="Arial"/>
                <w:b/>
                <w:bCs/>
                <w:sz w:val="20"/>
                <w:szCs w:val="20"/>
              </w:rPr>
            </w:pPr>
            <w:r w:rsidRPr="00F65C7B">
              <w:rPr>
                <w:rFonts w:ascii="Arial" w:hAnsi="Arial" w:cs="Arial"/>
                <w:b/>
                <w:bCs/>
                <w:sz w:val="20"/>
                <w:szCs w:val="20"/>
              </w:rPr>
              <w:t>Intervention</w:t>
            </w:r>
          </w:p>
        </w:tc>
        <w:tc>
          <w:tcPr>
            <w:tcW w:w="2469" w:type="dxa"/>
          </w:tcPr>
          <w:p w:rsidR="0086354C" w:rsidRPr="00F65C7B" w:rsidRDefault="0086354C" w:rsidP="002C6039">
            <w:pPr>
              <w:pStyle w:val="TableText"/>
              <w:tabs>
                <w:tab w:val="left" w:pos="0"/>
              </w:tabs>
              <w:spacing w:before="100" w:after="100"/>
              <w:ind w:right="62"/>
              <w:rPr>
                <w:rFonts w:ascii="Arial" w:hAnsi="Arial" w:cs="Arial"/>
                <w:b/>
                <w:bCs/>
                <w:sz w:val="20"/>
                <w:szCs w:val="20"/>
              </w:rPr>
            </w:pPr>
            <w:r w:rsidRPr="00F65C7B">
              <w:rPr>
                <w:rFonts w:ascii="Arial" w:hAnsi="Arial" w:cs="Arial"/>
                <w:b/>
                <w:bCs/>
                <w:sz w:val="20"/>
                <w:szCs w:val="20"/>
              </w:rPr>
              <w:t>Comparator</w:t>
            </w:r>
          </w:p>
        </w:tc>
        <w:tc>
          <w:tcPr>
            <w:tcW w:w="2311" w:type="dxa"/>
          </w:tcPr>
          <w:p w:rsidR="0086354C" w:rsidRPr="00F65C7B" w:rsidRDefault="0086354C" w:rsidP="002C6039">
            <w:pPr>
              <w:pStyle w:val="TableText"/>
              <w:tabs>
                <w:tab w:val="left" w:pos="0"/>
              </w:tabs>
              <w:spacing w:before="100" w:after="100"/>
              <w:ind w:right="62"/>
              <w:rPr>
                <w:rFonts w:ascii="Arial" w:hAnsi="Arial" w:cs="Arial"/>
                <w:b/>
                <w:bCs/>
                <w:sz w:val="20"/>
                <w:szCs w:val="20"/>
              </w:rPr>
            </w:pPr>
            <w:r>
              <w:rPr>
                <w:rFonts w:ascii="Arial" w:hAnsi="Arial" w:cs="Arial"/>
                <w:b/>
                <w:bCs/>
                <w:sz w:val="20"/>
                <w:szCs w:val="20"/>
              </w:rPr>
              <w:t>Outcomes</w:t>
            </w:r>
          </w:p>
        </w:tc>
      </w:tr>
      <w:tr w:rsidR="0086354C" w:rsidRPr="00F65C7B" w:rsidTr="002C6039">
        <w:trPr>
          <w:cantSplit/>
          <w:trHeight w:val="3728"/>
        </w:trPr>
        <w:tc>
          <w:tcPr>
            <w:tcW w:w="1997" w:type="dxa"/>
          </w:tcPr>
          <w:p w:rsidR="00457080" w:rsidRDefault="0086354C" w:rsidP="002C6039">
            <w:pPr>
              <w:pStyle w:val="TableText"/>
              <w:tabs>
                <w:tab w:val="left" w:pos="0"/>
              </w:tabs>
              <w:spacing w:before="100" w:after="100"/>
              <w:ind w:right="62"/>
              <w:rPr>
                <w:rFonts w:ascii="Arial" w:hAnsi="Arial" w:cs="Arial"/>
                <w:sz w:val="20"/>
                <w:szCs w:val="20"/>
              </w:rPr>
            </w:pPr>
            <w:r w:rsidRPr="00F65C7B">
              <w:rPr>
                <w:rFonts w:ascii="Arial" w:hAnsi="Arial" w:cs="Arial"/>
                <w:sz w:val="20"/>
                <w:szCs w:val="20"/>
              </w:rPr>
              <w:t>Patients with confirmed treatment-resistant hypertension (uncontrolled, elevated blood pressure, despite treatment with 3 or more anti-hypertensive medications (including a diuretic)</w:t>
            </w:r>
            <w:r>
              <w:rPr>
                <w:rFonts w:ascii="Arial" w:hAnsi="Arial" w:cs="Arial"/>
                <w:sz w:val="20"/>
                <w:szCs w:val="20"/>
              </w:rPr>
              <w:t xml:space="preserve"> in whom other causes of hypertension have been excluded</w:t>
            </w:r>
            <w:r w:rsidRPr="00F65C7B">
              <w:rPr>
                <w:rFonts w:ascii="Arial" w:hAnsi="Arial" w:cs="Arial"/>
                <w:sz w:val="20"/>
                <w:szCs w:val="20"/>
              </w:rPr>
              <w:t>)</w:t>
            </w:r>
            <w:r w:rsidR="00457080">
              <w:rPr>
                <w:rFonts w:ascii="Arial" w:hAnsi="Arial" w:cs="Arial"/>
                <w:sz w:val="20"/>
                <w:szCs w:val="20"/>
              </w:rPr>
              <w:t>.</w:t>
            </w:r>
          </w:p>
          <w:p w:rsidR="002954BC" w:rsidRDefault="002954BC" w:rsidP="002C6039">
            <w:pPr>
              <w:pStyle w:val="TableText"/>
              <w:tabs>
                <w:tab w:val="left" w:pos="0"/>
              </w:tabs>
              <w:spacing w:before="100" w:after="100"/>
              <w:ind w:right="62"/>
              <w:rPr>
                <w:rFonts w:ascii="Arial" w:hAnsi="Arial" w:cs="Arial"/>
                <w:sz w:val="20"/>
                <w:szCs w:val="20"/>
              </w:rPr>
            </w:pPr>
            <w:r>
              <w:rPr>
                <w:rFonts w:ascii="Arial" w:hAnsi="Arial" w:cs="Arial"/>
                <w:sz w:val="20"/>
                <w:szCs w:val="20"/>
              </w:rPr>
              <w:t>Sub-population:</w:t>
            </w:r>
          </w:p>
          <w:p w:rsidR="0086354C" w:rsidRPr="00F65C7B" w:rsidRDefault="00457080" w:rsidP="002954BC">
            <w:pPr>
              <w:pStyle w:val="TableText"/>
              <w:numPr>
                <w:ilvl w:val="0"/>
                <w:numId w:val="49"/>
              </w:numPr>
              <w:tabs>
                <w:tab w:val="left" w:pos="0"/>
              </w:tabs>
              <w:spacing w:before="100" w:after="100"/>
              <w:ind w:left="170" w:right="57" w:hanging="57"/>
              <w:rPr>
                <w:rFonts w:ascii="Arial" w:hAnsi="Arial" w:cs="Arial"/>
                <w:sz w:val="20"/>
                <w:szCs w:val="20"/>
              </w:rPr>
            </w:pPr>
            <w:r>
              <w:rPr>
                <w:rFonts w:ascii="Arial" w:hAnsi="Arial" w:cs="Arial"/>
                <w:sz w:val="20"/>
                <w:szCs w:val="20"/>
              </w:rPr>
              <w:t xml:space="preserve">Any evidence regarding the use of renal denervation in patients with eGFR </w:t>
            </w:r>
            <w:r w:rsidRPr="00457080">
              <w:rPr>
                <w:rFonts w:ascii="Arial" w:hAnsi="Arial" w:cs="Arial"/>
                <w:sz w:val="20"/>
                <w:szCs w:val="20"/>
              </w:rPr>
              <w:t>&lt; 45ml/min/1.73m</w:t>
            </w:r>
            <w:r w:rsidRPr="00457080">
              <w:rPr>
                <w:rFonts w:ascii="Arial" w:hAnsi="Arial" w:cs="Arial"/>
                <w:sz w:val="20"/>
                <w:szCs w:val="20"/>
                <w:vertAlign w:val="superscript"/>
              </w:rPr>
              <w:t>2</w:t>
            </w:r>
            <w:r>
              <w:rPr>
                <w:rFonts w:ascii="Arial" w:hAnsi="Arial" w:cs="Arial"/>
                <w:sz w:val="20"/>
                <w:szCs w:val="20"/>
              </w:rPr>
              <w:t xml:space="preserve"> should be provided separately.</w:t>
            </w:r>
            <w:r w:rsidR="0086354C" w:rsidRPr="00F65C7B">
              <w:rPr>
                <w:rFonts w:ascii="Arial" w:hAnsi="Arial" w:cs="Arial"/>
                <w:sz w:val="20"/>
                <w:szCs w:val="20"/>
              </w:rPr>
              <w:t xml:space="preserve"> </w:t>
            </w:r>
          </w:p>
          <w:p w:rsidR="0086354C" w:rsidRPr="00F65C7B" w:rsidRDefault="0086354C" w:rsidP="002C6039">
            <w:pPr>
              <w:pStyle w:val="TableText"/>
              <w:tabs>
                <w:tab w:val="left" w:pos="0"/>
              </w:tabs>
              <w:spacing w:before="100" w:after="100"/>
              <w:ind w:right="62"/>
              <w:rPr>
                <w:rFonts w:ascii="Arial" w:hAnsi="Arial" w:cs="Arial"/>
                <w:sz w:val="20"/>
                <w:szCs w:val="20"/>
              </w:rPr>
            </w:pPr>
            <w:r w:rsidRPr="00F65C7B">
              <w:rPr>
                <w:rFonts w:ascii="Arial" w:hAnsi="Arial" w:cs="Arial"/>
                <w:sz w:val="20"/>
                <w:szCs w:val="20"/>
              </w:rPr>
              <w:t>Excluded:</w:t>
            </w:r>
          </w:p>
          <w:p w:rsidR="0086354C" w:rsidRPr="002F0E52" w:rsidRDefault="0086354C" w:rsidP="002F0E52">
            <w:pPr>
              <w:pStyle w:val="TableText"/>
              <w:numPr>
                <w:ilvl w:val="0"/>
                <w:numId w:val="39"/>
              </w:numPr>
              <w:tabs>
                <w:tab w:val="left" w:pos="0"/>
              </w:tabs>
              <w:spacing w:before="100" w:after="100"/>
              <w:ind w:left="170" w:right="57" w:hanging="57"/>
              <w:rPr>
                <w:rFonts w:ascii="Arial" w:hAnsi="Arial" w:cs="Arial"/>
                <w:sz w:val="20"/>
                <w:szCs w:val="20"/>
              </w:rPr>
            </w:pPr>
            <w:r w:rsidRPr="00F65C7B">
              <w:rPr>
                <w:rFonts w:ascii="Arial" w:hAnsi="Arial" w:cs="Arial"/>
                <w:sz w:val="20"/>
                <w:szCs w:val="20"/>
              </w:rPr>
              <w:t>Patients whose blood pressure is controlled but requires at least four antihypertensive medications.</w:t>
            </w:r>
          </w:p>
        </w:tc>
        <w:tc>
          <w:tcPr>
            <w:tcW w:w="2469" w:type="dxa"/>
          </w:tcPr>
          <w:p w:rsidR="0086354C" w:rsidRPr="00F65C7B" w:rsidRDefault="0086354C" w:rsidP="002C6039">
            <w:pPr>
              <w:pStyle w:val="TableText"/>
              <w:tabs>
                <w:tab w:val="left" w:pos="0"/>
              </w:tabs>
              <w:spacing w:before="100" w:after="100"/>
              <w:ind w:right="62"/>
              <w:rPr>
                <w:rFonts w:ascii="Arial" w:hAnsi="Arial" w:cs="Arial"/>
                <w:sz w:val="20"/>
                <w:szCs w:val="20"/>
              </w:rPr>
            </w:pPr>
            <w:r w:rsidRPr="00F65C7B">
              <w:rPr>
                <w:rFonts w:ascii="Arial" w:hAnsi="Arial" w:cs="Arial"/>
                <w:sz w:val="20"/>
                <w:szCs w:val="20"/>
              </w:rPr>
              <w:t>Catheter-based renal denervation in addition to optimal medical management</w:t>
            </w:r>
          </w:p>
          <w:p w:rsidR="0086354C" w:rsidRDefault="0086354C" w:rsidP="002C6039">
            <w:pPr>
              <w:pStyle w:val="TableText"/>
              <w:tabs>
                <w:tab w:val="left" w:pos="0"/>
              </w:tabs>
              <w:spacing w:before="100" w:after="100"/>
              <w:ind w:right="62"/>
              <w:rPr>
                <w:rFonts w:ascii="Arial" w:hAnsi="Arial" w:cs="Arial"/>
                <w:sz w:val="20"/>
                <w:szCs w:val="20"/>
              </w:rPr>
            </w:pPr>
            <w:r>
              <w:rPr>
                <w:rFonts w:ascii="Arial" w:hAnsi="Arial" w:cs="Arial"/>
                <w:sz w:val="20"/>
                <w:szCs w:val="20"/>
              </w:rPr>
              <w:t>Included:</w:t>
            </w:r>
          </w:p>
          <w:p w:rsidR="0086354C" w:rsidRPr="00F65C7B" w:rsidRDefault="0086354C" w:rsidP="002C6039">
            <w:pPr>
              <w:pStyle w:val="TableText"/>
              <w:numPr>
                <w:ilvl w:val="0"/>
                <w:numId w:val="40"/>
              </w:numPr>
              <w:tabs>
                <w:tab w:val="left" w:pos="0"/>
              </w:tabs>
              <w:spacing w:before="100" w:after="100"/>
              <w:ind w:left="57" w:right="57" w:firstLine="0"/>
              <w:rPr>
                <w:rFonts w:ascii="Arial" w:hAnsi="Arial" w:cs="Arial"/>
                <w:sz w:val="20"/>
                <w:szCs w:val="20"/>
              </w:rPr>
            </w:pPr>
            <w:r w:rsidRPr="00F65C7B">
              <w:rPr>
                <w:rFonts w:ascii="Arial" w:hAnsi="Arial" w:cs="Arial"/>
                <w:sz w:val="20"/>
                <w:szCs w:val="20"/>
              </w:rPr>
              <w:t>Any ablative device designed for use in the renal arteries.</w:t>
            </w:r>
          </w:p>
          <w:p w:rsidR="00457080" w:rsidRDefault="002F0E52" w:rsidP="002C6039">
            <w:pPr>
              <w:pStyle w:val="TableText"/>
              <w:tabs>
                <w:tab w:val="left" w:pos="0"/>
              </w:tabs>
              <w:spacing w:before="100" w:after="100"/>
              <w:ind w:right="62"/>
              <w:rPr>
                <w:rFonts w:ascii="Arial" w:hAnsi="Arial" w:cs="Arial"/>
                <w:sz w:val="20"/>
                <w:szCs w:val="20"/>
              </w:rPr>
            </w:pPr>
            <w:r>
              <w:rPr>
                <w:rFonts w:ascii="Arial" w:hAnsi="Arial" w:cs="Arial"/>
                <w:sz w:val="20"/>
                <w:szCs w:val="20"/>
              </w:rPr>
              <w:t>E</w:t>
            </w:r>
            <w:r w:rsidR="00457080">
              <w:rPr>
                <w:rFonts w:ascii="Arial" w:hAnsi="Arial" w:cs="Arial"/>
                <w:sz w:val="20"/>
                <w:szCs w:val="20"/>
              </w:rPr>
              <w:t>vidence regarding different types of devices (e.g. RFA-based, ultrasound-based) should be provided in a generic manner</w:t>
            </w:r>
            <w:r>
              <w:rPr>
                <w:rFonts w:ascii="Arial" w:hAnsi="Arial" w:cs="Arial"/>
                <w:sz w:val="20"/>
                <w:szCs w:val="20"/>
              </w:rPr>
              <w:t xml:space="preserve"> where possible</w:t>
            </w:r>
            <w:r w:rsidR="00457080">
              <w:rPr>
                <w:rFonts w:ascii="Arial" w:hAnsi="Arial" w:cs="Arial"/>
                <w:sz w:val="20"/>
                <w:szCs w:val="20"/>
              </w:rPr>
              <w:t>.</w:t>
            </w:r>
          </w:p>
          <w:p w:rsidR="00457080" w:rsidRDefault="00457080" w:rsidP="002C6039">
            <w:pPr>
              <w:pStyle w:val="TableText"/>
              <w:tabs>
                <w:tab w:val="left" w:pos="0"/>
              </w:tabs>
              <w:spacing w:before="100" w:after="100"/>
              <w:ind w:right="62"/>
              <w:rPr>
                <w:rFonts w:ascii="Arial" w:hAnsi="Arial" w:cs="Arial"/>
                <w:sz w:val="20"/>
                <w:szCs w:val="20"/>
              </w:rPr>
            </w:pPr>
            <w:r>
              <w:rPr>
                <w:rFonts w:ascii="Arial" w:hAnsi="Arial" w:cs="Arial"/>
                <w:sz w:val="20"/>
                <w:szCs w:val="20"/>
              </w:rPr>
              <w:t xml:space="preserve">However, PASC recognises that each device is quite distinct from other similar technologies and may have a different clinical safety and effectiveness profile. </w:t>
            </w:r>
          </w:p>
          <w:p w:rsidR="0086354C" w:rsidRPr="00F65C7B" w:rsidRDefault="0086354C" w:rsidP="002C6039">
            <w:pPr>
              <w:pStyle w:val="TableText"/>
              <w:tabs>
                <w:tab w:val="left" w:pos="0"/>
              </w:tabs>
              <w:spacing w:before="100" w:after="100"/>
              <w:ind w:right="62"/>
              <w:rPr>
                <w:rFonts w:ascii="Arial" w:hAnsi="Arial" w:cs="Arial"/>
                <w:sz w:val="20"/>
                <w:szCs w:val="20"/>
              </w:rPr>
            </w:pPr>
            <w:r w:rsidRPr="00F65C7B">
              <w:rPr>
                <w:rFonts w:ascii="Arial" w:hAnsi="Arial" w:cs="Arial"/>
                <w:sz w:val="20"/>
                <w:szCs w:val="20"/>
              </w:rPr>
              <w:t>Due to the differences between devices and brands, the assessment must provide evidence regarding the safety and effectiveness of each catheter separately</w:t>
            </w:r>
            <w:r w:rsidR="00290FA3">
              <w:rPr>
                <w:rFonts w:ascii="Arial" w:hAnsi="Arial" w:cs="Arial"/>
                <w:sz w:val="20"/>
                <w:szCs w:val="20"/>
              </w:rPr>
              <w:t xml:space="preserve"> to enable MSAC to determine whether devices are equivalent in their clinical utility</w:t>
            </w:r>
            <w:r w:rsidRPr="00F65C7B">
              <w:rPr>
                <w:rFonts w:ascii="Arial" w:hAnsi="Arial" w:cs="Arial"/>
                <w:sz w:val="20"/>
                <w:szCs w:val="20"/>
              </w:rPr>
              <w:t>. Any evidence regarding the equivalence of safety and effectiveness of one catheter to another s</w:t>
            </w:r>
            <w:r w:rsidR="002F0E52">
              <w:rPr>
                <w:rFonts w:ascii="Arial" w:hAnsi="Arial" w:cs="Arial"/>
                <w:sz w:val="20"/>
                <w:szCs w:val="20"/>
              </w:rPr>
              <w:t>hould be presented.</w:t>
            </w:r>
          </w:p>
        </w:tc>
        <w:tc>
          <w:tcPr>
            <w:tcW w:w="2469" w:type="dxa"/>
          </w:tcPr>
          <w:p w:rsidR="0086354C" w:rsidRPr="00F65C7B" w:rsidRDefault="0086354C" w:rsidP="002C6039">
            <w:pPr>
              <w:pStyle w:val="TableText"/>
              <w:tabs>
                <w:tab w:val="left" w:pos="0"/>
              </w:tabs>
              <w:spacing w:before="100" w:after="100"/>
              <w:ind w:right="62"/>
              <w:rPr>
                <w:rFonts w:ascii="Arial" w:hAnsi="Arial" w:cs="Arial"/>
                <w:sz w:val="20"/>
                <w:szCs w:val="20"/>
              </w:rPr>
            </w:pPr>
            <w:r w:rsidRPr="00F65C7B">
              <w:rPr>
                <w:rFonts w:ascii="Arial" w:hAnsi="Arial" w:cs="Arial"/>
                <w:sz w:val="20"/>
                <w:szCs w:val="20"/>
              </w:rPr>
              <w:t>Optimal medical management</w:t>
            </w:r>
          </w:p>
        </w:tc>
        <w:tc>
          <w:tcPr>
            <w:tcW w:w="2311" w:type="dxa"/>
          </w:tcPr>
          <w:p w:rsidR="0086354C" w:rsidRPr="00F65C7B" w:rsidRDefault="0086354C" w:rsidP="002C6039">
            <w:pPr>
              <w:pStyle w:val="TableText"/>
              <w:tabs>
                <w:tab w:val="left" w:pos="0"/>
              </w:tabs>
              <w:spacing w:before="100" w:after="100"/>
              <w:ind w:right="62"/>
              <w:rPr>
                <w:rFonts w:ascii="Arial" w:hAnsi="Arial" w:cs="Arial"/>
                <w:sz w:val="20"/>
                <w:szCs w:val="20"/>
              </w:rPr>
            </w:pPr>
            <w:r w:rsidRPr="00F65C7B">
              <w:rPr>
                <w:rFonts w:ascii="Arial" w:hAnsi="Arial" w:cs="Arial"/>
                <w:sz w:val="20"/>
                <w:szCs w:val="20"/>
              </w:rPr>
              <w:t>Clinical outcomes of cardiovascular or renal disease</w:t>
            </w:r>
          </w:p>
          <w:p w:rsidR="0086354C" w:rsidRPr="00F65C7B" w:rsidRDefault="0086354C" w:rsidP="002C6039">
            <w:pPr>
              <w:pStyle w:val="TableText"/>
              <w:tabs>
                <w:tab w:val="left" w:pos="0"/>
              </w:tabs>
              <w:spacing w:before="100" w:after="100"/>
              <w:ind w:right="62"/>
              <w:rPr>
                <w:rFonts w:ascii="Arial" w:hAnsi="Arial" w:cs="Arial"/>
                <w:sz w:val="20"/>
                <w:szCs w:val="20"/>
              </w:rPr>
            </w:pPr>
            <w:r w:rsidRPr="00F65C7B">
              <w:rPr>
                <w:rFonts w:ascii="Arial" w:hAnsi="Arial" w:cs="Arial"/>
                <w:sz w:val="20"/>
                <w:szCs w:val="20"/>
              </w:rPr>
              <w:t>Systolic and diastolic blood pressure</w:t>
            </w:r>
          </w:p>
          <w:p w:rsidR="0086354C" w:rsidRPr="00F65C7B" w:rsidRDefault="0086354C" w:rsidP="002C6039">
            <w:pPr>
              <w:pStyle w:val="TableText"/>
              <w:tabs>
                <w:tab w:val="left" w:pos="0"/>
              </w:tabs>
              <w:spacing w:before="100" w:after="100"/>
              <w:ind w:right="62"/>
              <w:rPr>
                <w:rFonts w:ascii="Arial" w:hAnsi="Arial" w:cs="Arial"/>
                <w:sz w:val="20"/>
                <w:szCs w:val="20"/>
              </w:rPr>
            </w:pPr>
            <w:r w:rsidRPr="00F65C7B">
              <w:rPr>
                <w:rFonts w:ascii="Arial" w:hAnsi="Arial" w:cs="Arial"/>
                <w:sz w:val="20"/>
                <w:szCs w:val="20"/>
              </w:rPr>
              <w:t>Quality of life</w:t>
            </w:r>
          </w:p>
          <w:p w:rsidR="0086354C" w:rsidRPr="00F65C7B" w:rsidRDefault="0086354C" w:rsidP="002C6039">
            <w:pPr>
              <w:pStyle w:val="TableText"/>
              <w:tabs>
                <w:tab w:val="left" w:pos="0"/>
              </w:tabs>
              <w:spacing w:before="100" w:after="100"/>
              <w:ind w:right="62"/>
              <w:rPr>
                <w:rFonts w:ascii="Arial" w:hAnsi="Arial" w:cs="Arial"/>
                <w:sz w:val="20"/>
                <w:szCs w:val="20"/>
              </w:rPr>
            </w:pPr>
            <w:r w:rsidRPr="00F65C7B">
              <w:rPr>
                <w:rFonts w:ascii="Arial" w:hAnsi="Arial" w:cs="Arial"/>
                <w:sz w:val="20"/>
                <w:szCs w:val="20"/>
              </w:rPr>
              <w:t>Mortality</w:t>
            </w:r>
          </w:p>
          <w:p w:rsidR="0086354C" w:rsidRPr="00F65C7B" w:rsidRDefault="0086354C" w:rsidP="002C6039">
            <w:pPr>
              <w:pStyle w:val="TableText"/>
              <w:tabs>
                <w:tab w:val="left" w:pos="0"/>
              </w:tabs>
              <w:spacing w:before="100" w:after="100"/>
              <w:ind w:right="62"/>
              <w:rPr>
                <w:rFonts w:ascii="Arial" w:hAnsi="Arial" w:cs="Arial"/>
                <w:sz w:val="20"/>
                <w:szCs w:val="20"/>
              </w:rPr>
            </w:pPr>
            <w:r w:rsidRPr="00F65C7B">
              <w:rPr>
                <w:rFonts w:ascii="Arial" w:hAnsi="Arial" w:cs="Arial"/>
                <w:sz w:val="20"/>
                <w:szCs w:val="20"/>
              </w:rPr>
              <w:t>Also secondary and safety outcomes as listed in ‘Outcomes’ section above</w:t>
            </w:r>
          </w:p>
        </w:tc>
      </w:tr>
    </w:tbl>
    <w:p w:rsidR="0086354C" w:rsidRDefault="0086354C" w:rsidP="0086354C">
      <w:pPr>
        <w:rPr>
          <w:highlight w:val="yellow"/>
        </w:rPr>
      </w:pPr>
    </w:p>
    <w:p w:rsidR="0086354C" w:rsidRDefault="0086354C" w:rsidP="0086354C">
      <w:pPr>
        <w:rPr>
          <w:highlight w:val="yellow"/>
        </w:rPr>
      </w:pPr>
    </w:p>
    <w:p w:rsidR="0086354C" w:rsidRPr="00F0487A" w:rsidRDefault="0086354C" w:rsidP="0086354C">
      <w:pPr>
        <w:pStyle w:val="Heading2"/>
      </w:pPr>
      <w:bookmarkStart w:id="62" w:name="_Toc369595438"/>
      <w:r w:rsidRPr="00F0487A">
        <w:lastRenderedPageBreak/>
        <w:t>Primary questions for public funding</w:t>
      </w:r>
      <w:bookmarkEnd w:id="62"/>
    </w:p>
    <w:p w:rsidR="0086354C" w:rsidRPr="00CE0022" w:rsidRDefault="0086354C" w:rsidP="0086354C">
      <w:pPr>
        <w:pStyle w:val="ListParagraph"/>
        <w:numPr>
          <w:ilvl w:val="0"/>
          <w:numId w:val="24"/>
        </w:numPr>
      </w:pPr>
      <w:r w:rsidRPr="00CE0022">
        <w:t>From local data, what proportion of people in Australia fit the definition of treatment-resistant hypertension, and of this population how many would be eligible for the proposed service?</w:t>
      </w:r>
    </w:p>
    <w:p w:rsidR="0086354C" w:rsidRDefault="0086354C" w:rsidP="0086354C">
      <w:pPr>
        <w:pStyle w:val="ListParagraph"/>
        <w:numPr>
          <w:ilvl w:val="0"/>
          <w:numId w:val="24"/>
        </w:numPr>
      </w:pPr>
      <w:r w:rsidRPr="00CE0022">
        <w:t>What is the safety of catheter-based renal denervation in addition to optimal medical management in patients with treatment-resistant hypertension compared to optimal medical management alone?</w:t>
      </w:r>
      <w:r w:rsidR="00E74EF1">
        <w:t xml:space="preserve"> This information should be provided for each group of devices (e.g. RFA</w:t>
      </w:r>
      <w:r w:rsidR="00290FA3">
        <w:t xml:space="preserve"> devices</w:t>
      </w:r>
      <w:r w:rsidR="00E74EF1">
        <w:t>, ultrasound</w:t>
      </w:r>
      <w:r w:rsidR="00290FA3">
        <w:t xml:space="preserve"> devices</w:t>
      </w:r>
      <w:r w:rsidR="00E74EF1">
        <w:t>, any other ablative device designed specifically for use in the renal arteries).</w:t>
      </w:r>
    </w:p>
    <w:p w:rsidR="00E74EF1" w:rsidRPr="00CE0022" w:rsidRDefault="00E74EF1" w:rsidP="002F0E52">
      <w:pPr>
        <w:pStyle w:val="ListParagraph"/>
        <w:numPr>
          <w:ilvl w:val="1"/>
          <w:numId w:val="24"/>
        </w:numPr>
      </w:pPr>
      <w:r>
        <w:t>Secondar</w:t>
      </w:r>
      <w:r w:rsidR="00290FA3">
        <w:t>y question</w:t>
      </w:r>
      <w:r>
        <w:t xml:space="preserve"> for safety of </w:t>
      </w:r>
      <w:r w:rsidRPr="00CE0022">
        <w:t>catheter-based renal denervation</w:t>
      </w:r>
      <w:r>
        <w:t>:</w:t>
      </w:r>
      <w:r w:rsidR="000D657F">
        <w:t xml:space="preserve"> PASC recognises that each manufactured device (e.g. for RFA) is unique and may have a different clinical and technical profile to other devices</w:t>
      </w:r>
      <w:r w:rsidR="00290FA3">
        <w:t xml:space="preserve"> and brands</w:t>
      </w:r>
      <w:r w:rsidR="000D657F">
        <w:t xml:space="preserve"> in the same group.</w:t>
      </w:r>
      <w:r>
        <w:t xml:space="preserve"> What is the evidence-base for each device, and are all devices</w:t>
      </w:r>
      <w:r w:rsidR="000D657F">
        <w:t xml:space="preserve"> equivalent in terms of safety?</w:t>
      </w:r>
    </w:p>
    <w:p w:rsidR="0086354C" w:rsidRDefault="0086354C" w:rsidP="0086354C">
      <w:pPr>
        <w:pStyle w:val="ListParagraph"/>
        <w:numPr>
          <w:ilvl w:val="0"/>
          <w:numId w:val="24"/>
        </w:numPr>
      </w:pPr>
      <w:r w:rsidRPr="00CE0022">
        <w:t>What is the effectiveness of catheter-based renal denervation in addition to optimal medical management in patients with treatment-resistant hypertension compared to optimal medical management alone?</w:t>
      </w:r>
      <w:r w:rsidR="00E74EF1">
        <w:t xml:space="preserve"> This information should be provided for each group of devices (e.g. RFA</w:t>
      </w:r>
      <w:r w:rsidR="00290FA3">
        <w:t xml:space="preserve"> devices</w:t>
      </w:r>
      <w:r w:rsidR="00E74EF1">
        <w:t>, ultrasound</w:t>
      </w:r>
      <w:r w:rsidR="00290FA3">
        <w:t xml:space="preserve"> devices</w:t>
      </w:r>
      <w:r w:rsidR="00E74EF1">
        <w:t>, any other ablative device designed specifically for use in the renal arteries).</w:t>
      </w:r>
    </w:p>
    <w:p w:rsidR="000D657F" w:rsidRPr="00CE0022" w:rsidRDefault="00290FA3" w:rsidP="002F0E52">
      <w:pPr>
        <w:pStyle w:val="ListParagraph"/>
        <w:numPr>
          <w:ilvl w:val="1"/>
          <w:numId w:val="24"/>
        </w:numPr>
      </w:pPr>
      <w:r>
        <w:t>Secondary question</w:t>
      </w:r>
      <w:r w:rsidR="000D657F">
        <w:t xml:space="preserve"> for effectiveness of </w:t>
      </w:r>
      <w:r w:rsidR="000D657F" w:rsidRPr="00CE0022">
        <w:t>catheter-based renal denervation</w:t>
      </w:r>
      <w:r w:rsidR="000D657F">
        <w:t>: PASC recognises that each manufactured device (e.g. for RFA) is unique and may have a different clinical and technical profile to other devices</w:t>
      </w:r>
      <w:r>
        <w:t xml:space="preserve"> and brands</w:t>
      </w:r>
      <w:r w:rsidR="000D657F">
        <w:t xml:space="preserve"> in the same group. What is the evidence-base for each device, and are all devices equivalent in terms of effectiveness?</w:t>
      </w:r>
    </w:p>
    <w:p w:rsidR="007918E1" w:rsidRDefault="0086354C" w:rsidP="0086354C">
      <w:pPr>
        <w:pStyle w:val="ListParagraph"/>
        <w:numPr>
          <w:ilvl w:val="0"/>
          <w:numId w:val="24"/>
        </w:numPr>
      </w:pPr>
      <w:r>
        <w:t>For which devices are evidence available regarding safety and effectiveness?</w:t>
      </w:r>
    </w:p>
    <w:p w:rsidR="0086354C" w:rsidRDefault="0086354C" w:rsidP="0086354C">
      <w:pPr>
        <w:pStyle w:val="ListParagraph"/>
        <w:numPr>
          <w:ilvl w:val="0"/>
          <w:numId w:val="24"/>
        </w:numPr>
      </w:pPr>
      <w:r w:rsidRPr="00CE0022">
        <w:t>What is the cost-effectiveness of catheter-based renal denervation in addition to optimal medical management in patients with treatment-resistant hypertension compared to optimal medical management alone?</w:t>
      </w:r>
      <w:r w:rsidR="00290FA3" w:rsidRPr="00290FA3">
        <w:t xml:space="preserve"> </w:t>
      </w:r>
      <w:r w:rsidR="00290FA3">
        <w:t>This information should be provided for each group of devices (e.g. RFA devices, ultrasound devices, any other ablative device designed specifically for use in the renal arteries).</w:t>
      </w:r>
    </w:p>
    <w:p w:rsidR="00290FA3" w:rsidRDefault="00290FA3" w:rsidP="002F0E52">
      <w:pPr>
        <w:pStyle w:val="ListParagraph"/>
        <w:numPr>
          <w:ilvl w:val="1"/>
          <w:numId w:val="24"/>
        </w:numPr>
      </w:pPr>
      <w:r>
        <w:lastRenderedPageBreak/>
        <w:t>Sensitivity analyses should account for any</w:t>
      </w:r>
      <w:r w:rsidR="00C43D5D">
        <w:t xml:space="preserve"> identified clinically relevant</w:t>
      </w:r>
      <w:r>
        <w:t xml:space="preserve"> differences between devices or brands (e.g. number of angiography runs, procedural time etc.).</w:t>
      </w:r>
    </w:p>
    <w:p w:rsidR="0086354C" w:rsidRDefault="0086354C" w:rsidP="0086354C"/>
    <w:p w:rsidR="0086354C" w:rsidRDefault="0086354C" w:rsidP="0086354C">
      <w:pPr>
        <w:sectPr w:rsidR="0086354C" w:rsidSect="002C6039">
          <w:pgSz w:w="11906" w:h="16838"/>
          <w:pgMar w:top="1440" w:right="1440" w:bottom="1440" w:left="1440" w:header="708" w:footer="708" w:gutter="0"/>
          <w:cols w:space="708"/>
          <w:titlePg/>
          <w:docGrid w:linePitch="360"/>
        </w:sectPr>
      </w:pPr>
    </w:p>
    <w:p w:rsidR="0086354C" w:rsidRPr="00F0487A" w:rsidRDefault="0086354C" w:rsidP="0086354C">
      <w:pPr>
        <w:pStyle w:val="Heading2"/>
      </w:pPr>
      <w:bookmarkStart w:id="63" w:name="_Toc369595439"/>
      <w:r w:rsidRPr="00F0487A">
        <w:lastRenderedPageBreak/>
        <w:t>Decision analytic</w:t>
      </w:r>
      <w:bookmarkEnd w:id="63"/>
    </w:p>
    <w:p w:rsidR="0086354C" w:rsidRDefault="0086354C" w:rsidP="0086354C">
      <w:pPr>
        <w:spacing w:after="0" w:line="240" w:lineRule="auto"/>
        <w:jc w:val="center"/>
        <w:rPr>
          <w:rFonts w:ascii="Arial Narrow" w:hAnsi="Arial Narrow" w:cs="Arial Narrow"/>
          <w:sz w:val="18"/>
          <w:szCs w:val="18"/>
        </w:rPr>
      </w:pPr>
      <w:bookmarkStart w:id="64" w:name="_GoBack"/>
      <w:r>
        <w:rPr>
          <w:rFonts w:ascii="Arial Narrow" w:hAnsi="Arial Narrow" w:cs="Arial Narrow"/>
          <w:noProof/>
          <w:sz w:val="18"/>
          <w:szCs w:val="18"/>
          <w:lang w:eastAsia="en-AU"/>
        </w:rPr>
        <w:drawing>
          <wp:inline distT="0" distB="0" distL="0" distR="0" wp14:anchorId="68B6D42D" wp14:editId="48F6C16D">
            <wp:extent cx="8096250" cy="4381500"/>
            <wp:effectExtent l="0" t="0" r="0" b="0"/>
            <wp:docPr id="4" name="Picture 2242" descr="This figure illustrates the clinical outcomes after recieving treatment for treatment-resistant hypertension. Following diagnosis of treatment-resistant hypertension, the patient can either undergo catheter-based renal denervation or optimal medical management. If patients undergo catheter-based renal denervation two outcomes can occur. 1. their blood pressure decreases or 2, there blood pressure remains uncontrolled. Both outcomes can result in either an adverse cardiovascular or renal event or the patient can remain event free." title="Decision analy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descr="This figure illustrates the clinical outcomes after recieving treatment for treatment-resistant hypertension. Following diagnosis of treatment-resistant hypertension, the patient can either undergo catheter-based renal denervation or optimal medical management. If patients undergo catheter-based renal denervation two outcomes can occur. 1. their blood pressure decreases or 2, there blood pressure remains uncontrolled. Both outcomes can result in either an adverse cardiovascular or renal event or the patient can remain event free."/>
                    <pic:cNvPicPr>
                      <a:picLocks noChangeAspect="1" noChangeArrowheads="1"/>
                    </pic:cNvPicPr>
                  </pic:nvPicPr>
                  <pic:blipFill>
                    <a:blip r:embed="rId17">
                      <a:extLst>
                        <a:ext uri="{28A0092B-C50C-407E-A947-70E740481C1C}">
                          <a14:useLocalDpi xmlns:a14="http://schemas.microsoft.com/office/drawing/2010/main" val="0"/>
                        </a:ext>
                      </a:extLst>
                    </a:blip>
                    <a:srcRect l="10034" t="11151" b="53500"/>
                    <a:stretch>
                      <a:fillRect/>
                    </a:stretch>
                  </pic:blipFill>
                  <pic:spPr bwMode="auto">
                    <a:xfrm>
                      <a:off x="0" y="0"/>
                      <a:ext cx="8096250" cy="4381500"/>
                    </a:xfrm>
                    <a:prstGeom prst="rect">
                      <a:avLst/>
                    </a:prstGeom>
                    <a:noFill/>
                    <a:ln>
                      <a:noFill/>
                    </a:ln>
                  </pic:spPr>
                </pic:pic>
              </a:graphicData>
            </a:graphic>
          </wp:inline>
        </w:drawing>
      </w:r>
      <w:bookmarkEnd w:id="64"/>
    </w:p>
    <w:p w:rsidR="0086354C" w:rsidRPr="00C873D8" w:rsidRDefault="0086354C" w:rsidP="0086354C">
      <w:pPr>
        <w:spacing w:after="0" w:line="240" w:lineRule="auto"/>
        <w:jc w:val="center"/>
        <w:rPr>
          <w:rFonts w:ascii="Arial Narrow" w:hAnsi="Arial Narrow" w:cs="Arial Narrow"/>
          <w:sz w:val="18"/>
          <w:szCs w:val="18"/>
        </w:rPr>
      </w:pPr>
    </w:p>
    <w:p w:rsidR="0086354C" w:rsidRDefault="0086354C" w:rsidP="0086354C">
      <w:pPr>
        <w:spacing w:after="0" w:line="240" w:lineRule="auto"/>
        <w:jc w:val="left"/>
        <w:rPr>
          <w:i/>
          <w:iCs/>
        </w:rPr>
      </w:pPr>
      <w:r>
        <w:rPr>
          <w:i/>
          <w:iCs/>
        </w:rPr>
        <w:br w:type="page"/>
      </w:r>
    </w:p>
    <w:p w:rsidR="0086354C" w:rsidRDefault="0086354C" w:rsidP="0086354C">
      <w:pPr>
        <w:pStyle w:val="Heading2"/>
        <w:sectPr w:rsidR="0086354C" w:rsidSect="002C6039">
          <w:pgSz w:w="16838" w:h="11906" w:orient="landscape"/>
          <w:pgMar w:top="1440" w:right="1440" w:bottom="1440" w:left="1440" w:header="708" w:footer="708" w:gutter="0"/>
          <w:cols w:space="708"/>
          <w:titlePg/>
          <w:docGrid w:linePitch="360"/>
        </w:sectPr>
      </w:pPr>
    </w:p>
    <w:p w:rsidR="0086354C" w:rsidRPr="00737EBA" w:rsidRDefault="0086354C" w:rsidP="0086354C">
      <w:pPr>
        <w:pStyle w:val="Heading2"/>
      </w:pPr>
      <w:bookmarkStart w:id="65" w:name="_Toc369595440"/>
      <w:r w:rsidRPr="00737EBA">
        <w:lastRenderedPageBreak/>
        <w:t>References</w:t>
      </w:r>
      <w:bookmarkEnd w:id="65"/>
    </w:p>
    <w:p w:rsidR="0086354C" w:rsidRDefault="0086354C" w:rsidP="0086354C">
      <w:pPr>
        <w:jc w:val="left"/>
        <w:rPr>
          <w:lang w:val="en-GB" w:eastAsia="ja-JP"/>
        </w:rPr>
      </w:pPr>
      <w:r w:rsidRPr="00C71505">
        <w:rPr>
          <w:lang w:val="en-GB" w:eastAsia="ja-JP"/>
        </w:rPr>
        <w:t>American Diabetes Association</w:t>
      </w:r>
      <w:r>
        <w:rPr>
          <w:lang w:val="en-GB" w:eastAsia="ja-JP"/>
        </w:rPr>
        <w:t xml:space="preserve"> (2004)</w:t>
      </w:r>
      <w:r w:rsidRPr="00C71505">
        <w:rPr>
          <w:lang w:val="en-GB" w:eastAsia="ja-JP"/>
        </w:rPr>
        <w:t xml:space="preserve">. </w:t>
      </w:r>
      <w:r>
        <w:rPr>
          <w:lang w:val="en-GB" w:eastAsia="ja-JP"/>
        </w:rPr>
        <w:t>“</w:t>
      </w:r>
      <w:r w:rsidRPr="00C71505">
        <w:rPr>
          <w:lang w:val="en-GB" w:eastAsia="ja-JP"/>
        </w:rPr>
        <w:t>Hypertension management in adults with diabetes</w:t>
      </w:r>
      <w:r>
        <w:rPr>
          <w:lang w:val="en-GB" w:eastAsia="ja-JP"/>
        </w:rPr>
        <w:t xml:space="preserve">”. Diabetes Care </w:t>
      </w:r>
      <w:r w:rsidRPr="00C71505">
        <w:rPr>
          <w:lang w:val="en-GB" w:eastAsia="ja-JP"/>
        </w:rPr>
        <w:t>27(1)(suppl 1):S65-S67.</w:t>
      </w:r>
    </w:p>
    <w:p w:rsidR="0086354C" w:rsidRPr="002F192B" w:rsidRDefault="0086354C" w:rsidP="0086354C">
      <w:pPr>
        <w:jc w:val="left"/>
        <w:rPr>
          <w:lang w:val="en-GB" w:eastAsia="ja-JP"/>
        </w:rPr>
      </w:pPr>
      <w:r w:rsidRPr="002F192B">
        <w:rPr>
          <w:lang w:val="en-GB" w:eastAsia="ja-JP"/>
        </w:rPr>
        <w:t xml:space="preserve">Australian Broadcasting </w:t>
      </w:r>
      <w:r>
        <w:rPr>
          <w:lang w:val="en-GB" w:eastAsia="ja-JP"/>
        </w:rPr>
        <w:t>Corporation</w:t>
      </w:r>
      <w:r w:rsidRPr="002F192B">
        <w:rPr>
          <w:lang w:val="en-GB" w:eastAsia="ja-JP"/>
        </w:rPr>
        <w:t xml:space="preserve"> (Last update 2011) http://www.abc.net.au/7.30/content/2011/s3258048.htm [accessed February 2013]</w:t>
      </w:r>
    </w:p>
    <w:p w:rsidR="0086354C" w:rsidRDefault="0086354C" w:rsidP="0086354C">
      <w:pPr>
        <w:spacing w:after="100" w:afterAutospacing="1" w:line="20" w:lineRule="atLeast"/>
        <w:rPr>
          <w:rFonts w:ascii="Arial" w:hAnsi="Arial" w:cs="Arial"/>
        </w:rPr>
      </w:pPr>
      <w:r w:rsidRPr="00955EEF">
        <w:rPr>
          <w:rFonts w:ascii="Arial" w:hAnsi="Arial" w:cs="Arial"/>
        </w:rPr>
        <w:t>Australian Bureau of Statistics 2006. Cardiovascular Disease in Australia: A Snapshot, 2004-05 [Internet]. Available from: http://www.abss.gov.au/ausstats/abs@.nsf/mf/4821.0.55.001 [Accessed Feb 28 2013].</w:t>
      </w:r>
    </w:p>
    <w:p w:rsidR="006900BA" w:rsidRPr="00955EEF" w:rsidRDefault="006900BA" w:rsidP="006900BA">
      <w:pPr>
        <w:spacing w:after="100" w:afterAutospacing="1" w:line="20" w:lineRule="atLeast"/>
        <w:rPr>
          <w:rFonts w:ascii="Arial" w:hAnsi="Arial" w:cs="Arial"/>
        </w:rPr>
      </w:pPr>
      <w:r w:rsidRPr="0027300E">
        <w:rPr>
          <w:rFonts w:ascii="Arial" w:hAnsi="Arial" w:cs="Arial"/>
        </w:rPr>
        <w:t>Australian Institu</w:t>
      </w:r>
      <w:r>
        <w:rPr>
          <w:rFonts w:ascii="Arial" w:hAnsi="Arial" w:cs="Arial"/>
        </w:rPr>
        <w:t xml:space="preserve">te of Health and Welfare </w:t>
      </w:r>
      <w:r w:rsidRPr="0027300E">
        <w:rPr>
          <w:rFonts w:ascii="Arial" w:hAnsi="Arial" w:cs="Arial"/>
        </w:rPr>
        <w:t>2004. Heart, stroke and vascular diseases—Australian facts 2004. AIHW Cat. No. CVD 27. Canberra:</w:t>
      </w:r>
      <w:r>
        <w:rPr>
          <w:rFonts w:ascii="Arial" w:hAnsi="Arial" w:cs="Arial"/>
        </w:rPr>
        <w:t xml:space="preserve"> </w:t>
      </w:r>
      <w:r w:rsidRPr="0027300E">
        <w:rPr>
          <w:rFonts w:ascii="Arial" w:hAnsi="Arial" w:cs="Arial"/>
        </w:rPr>
        <w:t>AIHW and National Heart Foundation of Australia (Cardiovascular Disease Series No. 22).</w:t>
      </w:r>
    </w:p>
    <w:p w:rsidR="0086354C" w:rsidRPr="00955EEF" w:rsidRDefault="0086354C" w:rsidP="0086354C">
      <w:pPr>
        <w:spacing w:after="100" w:afterAutospacing="1" w:line="20" w:lineRule="atLeast"/>
        <w:rPr>
          <w:rFonts w:ascii="Arial" w:hAnsi="Arial" w:cs="Arial"/>
        </w:rPr>
      </w:pPr>
      <w:r w:rsidRPr="00955EEF">
        <w:rPr>
          <w:rFonts w:ascii="Arial" w:hAnsi="Arial" w:cs="Arial"/>
        </w:rPr>
        <w:t xml:space="preserve">Australian Institute of Health and Welfare 2010. Australia's health 2010. Australia’s health series no. 12. Cat. no. AUS 122. Canberra: AIHW. </w:t>
      </w:r>
    </w:p>
    <w:p w:rsidR="0086354C" w:rsidRPr="00955EEF" w:rsidRDefault="0086354C" w:rsidP="0086354C">
      <w:pPr>
        <w:spacing w:after="100" w:afterAutospacing="1" w:line="20" w:lineRule="atLeast"/>
        <w:rPr>
          <w:rFonts w:ascii="Arial" w:hAnsi="Arial" w:cs="Arial"/>
        </w:rPr>
      </w:pPr>
      <w:r w:rsidRPr="00955EEF">
        <w:rPr>
          <w:rFonts w:ascii="Arial" w:hAnsi="Arial" w:cs="Arial"/>
        </w:rPr>
        <w:t>Australian Institute of Health and Welfare 2011. Key indicators of progress for chronic disease and associated determinants: data report. Cat. no. PHE 142. Canberra: AIHW.</w:t>
      </w:r>
    </w:p>
    <w:p w:rsidR="0086354C" w:rsidRPr="00955EEF" w:rsidRDefault="0086354C" w:rsidP="0086354C">
      <w:pPr>
        <w:spacing w:after="100" w:afterAutospacing="1" w:line="20" w:lineRule="atLeast"/>
        <w:rPr>
          <w:rFonts w:ascii="Arial" w:hAnsi="Arial" w:cs="Arial"/>
        </w:rPr>
      </w:pPr>
      <w:r w:rsidRPr="00955EEF">
        <w:rPr>
          <w:rFonts w:ascii="Arial" w:hAnsi="Arial" w:cs="Arial"/>
        </w:rPr>
        <w:t>Azizi, M., Steichen, O. et al. (2012). “Catheter-based radiofrequency renal-nerve ablation in patients with resistant hypertension”, Eur J Vasc Endovasc Surg, 43(3), 293-9.</w:t>
      </w:r>
    </w:p>
    <w:p w:rsidR="0086354C" w:rsidRPr="00955EEF" w:rsidRDefault="0086354C" w:rsidP="0086354C">
      <w:pPr>
        <w:spacing w:after="100" w:afterAutospacing="1" w:line="20" w:lineRule="atLeast"/>
        <w:rPr>
          <w:rFonts w:ascii="Arial" w:hAnsi="Arial" w:cs="Arial"/>
        </w:rPr>
      </w:pPr>
      <w:r w:rsidRPr="00955EEF">
        <w:rPr>
          <w:rFonts w:ascii="Arial" w:hAnsi="Arial" w:cs="Arial"/>
        </w:rPr>
        <w:t>Begg, S., Vos, T. et al (2007). Burden of disease and injury in Australia, 2003. Cat. no. PHE 82. Canberra: AIHW.</w:t>
      </w:r>
    </w:p>
    <w:p w:rsidR="0086354C" w:rsidRDefault="0086354C" w:rsidP="0086354C">
      <w:pPr>
        <w:spacing w:after="100" w:afterAutospacing="1" w:line="20" w:lineRule="atLeast"/>
        <w:rPr>
          <w:rFonts w:ascii="Arial" w:hAnsi="Arial" w:cs="Arial"/>
        </w:rPr>
      </w:pPr>
      <w:r w:rsidRPr="00955EEF">
        <w:rPr>
          <w:rFonts w:ascii="Arial" w:hAnsi="Arial" w:cs="Arial"/>
        </w:rPr>
        <w:t>Bhatt, D. L. (2013). “Pushing the boundaries of renal denervation for resistant hypertension”, Catheter Cardiovasc Interv, 81(2), 340-1.</w:t>
      </w:r>
    </w:p>
    <w:p w:rsidR="0086354C" w:rsidRPr="00955EEF" w:rsidRDefault="0086354C" w:rsidP="0086354C">
      <w:pPr>
        <w:spacing w:after="100" w:afterAutospacing="1" w:line="20" w:lineRule="atLeast"/>
        <w:rPr>
          <w:rFonts w:ascii="Arial" w:hAnsi="Arial" w:cs="Arial"/>
        </w:rPr>
      </w:pPr>
      <w:r w:rsidRPr="002F192B">
        <w:rPr>
          <w:rFonts w:ascii="Arial" w:hAnsi="Arial" w:cs="Arial"/>
        </w:rPr>
        <w:t>Brandt M.C., Mahfoud F. et al (2012). “Renal sympathetic denervation reduces left ventricular hypertrophy and improves cardiac function in patients with resistant hypertension”. J Am Coll Cardiol, 59(10), 901-909</w:t>
      </w:r>
    </w:p>
    <w:p w:rsidR="0086354C" w:rsidRPr="00955EEF" w:rsidRDefault="0086354C" w:rsidP="0086354C">
      <w:pPr>
        <w:spacing w:after="100" w:afterAutospacing="1" w:line="20" w:lineRule="atLeast"/>
        <w:rPr>
          <w:rFonts w:ascii="Arial" w:hAnsi="Arial" w:cs="Arial"/>
        </w:rPr>
      </w:pPr>
      <w:r w:rsidRPr="00955EEF">
        <w:rPr>
          <w:rFonts w:ascii="Arial" w:hAnsi="Arial" w:cs="Arial"/>
        </w:rPr>
        <w:t>Calhoun, D. A., Jones, D. et al (2008). “Resistant hypertension: diagnosis, evaluation, and treatment. A scientific statement from the American Heart Association Professional Education Committee of the Council for High Blood Pressure Research”, Hypertension, 51(6), 1403-19.</w:t>
      </w:r>
    </w:p>
    <w:p w:rsidR="0086354C" w:rsidRPr="00955EEF" w:rsidRDefault="0086354C" w:rsidP="0086354C">
      <w:pPr>
        <w:spacing w:after="100" w:afterAutospacing="1" w:line="20" w:lineRule="atLeast"/>
        <w:rPr>
          <w:rFonts w:ascii="Arial" w:hAnsi="Arial" w:cs="Arial"/>
        </w:rPr>
      </w:pPr>
      <w:r w:rsidRPr="00955EEF">
        <w:rPr>
          <w:rFonts w:ascii="Arial" w:hAnsi="Arial" w:cs="Arial"/>
        </w:rPr>
        <w:t>Carrington, M., Jennings, G. &amp; Stewart, S. (2010 ). “Pattern of blood pressure in Australian adults: results from a national blood pressure screening day of 13,825 adults”, Int J Cardiol,145(3), 461-7.</w:t>
      </w:r>
    </w:p>
    <w:p w:rsidR="0086354C" w:rsidRDefault="0086354C" w:rsidP="0086354C">
      <w:pPr>
        <w:spacing w:after="100" w:afterAutospacing="1" w:line="20" w:lineRule="atLeast"/>
        <w:rPr>
          <w:rFonts w:ascii="Arial" w:hAnsi="Arial" w:cs="Arial"/>
        </w:rPr>
      </w:pPr>
      <w:r w:rsidRPr="00955EEF">
        <w:rPr>
          <w:rFonts w:ascii="Arial" w:hAnsi="Arial" w:cs="Arial"/>
        </w:rPr>
        <w:lastRenderedPageBreak/>
        <w:t>Daugherty, S. L., Powers, J. D. et al (2012). “Incidence and prognosis of resistant hypertension in hypertensive patients”, Circulation, 125(13), 1635-42.</w:t>
      </w:r>
    </w:p>
    <w:p w:rsidR="0086354C" w:rsidRDefault="0086354C" w:rsidP="0086354C">
      <w:pPr>
        <w:spacing w:after="100" w:afterAutospacing="1" w:line="20" w:lineRule="atLeast"/>
        <w:rPr>
          <w:rFonts w:ascii="Arial" w:hAnsi="Arial" w:cs="Arial"/>
        </w:rPr>
      </w:pPr>
      <w:r>
        <w:rPr>
          <w:rFonts w:ascii="Arial" w:hAnsi="Arial" w:cs="Arial"/>
        </w:rPr>
        <w:t>Davis, M. I., Filion, K. B. et al (2013). “Effectiveness of Renal Denervation Therapy for Resistant Hypertension: A Systematic Review and Meta-Analysis”. J Am Coll Cardiol,</w:t>
      </w:r>
      <w:r w:rsidRPr="00046D61">
        <w:t xml:space="preserve"> </w:t>
      </w:r>
      <w:r>
        <w:t>oi: 10.1016/j.jacc.2013.04.010</w:t>
      </w:r>
      <w:r>
        <w:rPr>
          <w:rFonts w:ascii="Arial" w:hAnsi="Arial" w:cs="Arial"/>
        </w:rPr>
        <w:t xml:space="preserve"> [Epub ahead of print].</w:t>
      </w:r>
    </w:p>
    <w:p w:rsidR="0086354C" w:rsidRDefault="0086354C" w:rsidP="0086354C">
      <w:r>
        <w:t>Department of Health and Aging 2010. Renal sympathetic denervation for the treatment of resistant hypertension. Horizon scanning technology prioritising summary (March 2010).</w:t>
      </w:r>
    </w:p>
    <w:p w:rsidR="0086354C" w:rsidRPr="00955EEF" w:rsidRDefault="0086354C" w:rsidP="0086354C">
      <w:pPr>
        <w:spacing w:after="100" w:afterAutospacing="1" w:line="20" w:lineRule="atLeast"/>
        <w:rPr>
          <w:rFonts w:ascii="Arial" w:hAnsi="Arial" w:cs="Arial"/>
        </w:rPr>
      </w:pPr>
      <w:r w:rsidRPr="00955EEF">
        <w:rPr>
          <w:rFonts w:ascii="Arial" w:hAnsi="Arial" w:cs="Arial"/>
        </w:rPr>
        <w:t>Devereux, R. B., Wachtell, K. et al (2004). “Prognostic significance of left ventricular mass change during treatment of hypertension”, JAMA,292(19), 2350-6.</w:t>
      </w:r>
    </w:p>
    <w:p w:rsidR="0086354C" w:rsidRPr="00955EEF" w:rsidRDefault="0086354C" w:rsidP="0086354C">
      <w:pPr>
        <w:spacing w:after="100" w:afterAutospacing="1" w:line="20" w:lineRule="atLeast"/>
        <w:rPr>
          <w:rFonts w:ascii="Arial" w:hAnsi="Arial" w:cs="Arial"/>
        </w:rPr>
      </w:pPr>
      <w:r w:rsidRPr="00955EEF">
        <w:rPr>
          <w:rFonts w:ascii="Arial" w:hAnsi="Arial" w:cs="Arial"/>
        </w:rPr>
        <w:t>DiBona, G. F. (2002). “Sympathetic nervous system and the kidney in hypertension”, Curr Opin Nephrol Hypertens, 11(2), 197-200.</w:t>
      </w:r>
    </w:p>
    <w:p w:rsidR="0086354C" w:rsidRPr="00955EEF" w:rsidRDefault="0086354C" w:rsidP="0086354C">
      <w:pPr>
        <w:spacing w:after="100" w:afterAutospacing="1" w:line="20" w:lineRule="atLeast"/>
        <w:rPr>
          <w:rFonts w:ascii="Arial" w:hAnsi="Arial" w:cs="Arial"/>
        </w:rPr>
      </w:pPr>
      <w:r w:rsidRPr="00955EEF">
        <w:rPr>
          <w:rFonts w:ascii="Arial" w:hAnsi="Arial" w:cs="Arial"/>
        </w:rPr>
        <w:t>Dorenkamp, M., Bonaventura, K. et al (2013). “Potential lifetime cost-effectiveness of catheter-based renal sympathetic denervation in patients with resistant hypertension”, Eur Heart J, 34(6), 451-61.</w:t>
      </w:r>
    </w:p>
    <w:p w:rsidR="0086354C" w:rsidRPr="00955EEF" w:rsidRDefault="0086354C" w:rsidP="0086354C">
      <w:pPr>
        <w:spacing w:after="100" w:afterAutospacing="1" w:line="20" w:lineRule="atLeast"/>
        <w:rPr>
          <w:rFonts w:ascii="Arial" w:hAnsi="Arial" w:cs="Arial"/>
        </w:rPr>
      </w:pPr>
      <w:r w:rsidRPr="00955EEF">
        <w:rPr>
          <w:rFonts w:ascii="Arial" w:hAnsi="Arial" w:cs="Arial"/>
        </w:rPr>
        <w:t>Doumas, M. &amp; Douma, S. (2009). “Interventional management of resistant hypertension”, Lancet, 373(9671), 1228-30.</w:t>
      </w:r>
    </w:p>
    <w:p w:rsidR="0086354C" w:rsidRDefault="0086354C" w:rsidP="0086354C">
      <w:pPr>
        <w:spacing w:after="100" w:afterAutospacing="1" w:line="20" w:lineRule="atLeast"/>
        <w:rPr>
          <w:rFonts w:ascii="Arial" w:hAnsi="Arial" w:cs="Arial"/>
        </w:rPr>
      </w:pPr>
      <w:r w:rsidRPr="00955EEF">
        <w:rPr>
          <w:rFonts w:ascii="Arial" w:hAnsi="Arial" w:cs="Arial"/>
        </w:rPr>
        <w:t>Dubow, J. &amp; Fink, M. E. (2011). “Impact of hypertension on stroke”, Curr Atheroscler Rep, 13(4), 298-305.</w:t>
      </w:r>
    </w:p>
    <w:p w:rsidR="009426B4" w:rsidRDefault="009426B4" w:rsidP="0086354C">
      <w:pPr>
        <w:spacing w:after="100" w:afterAutospacing="1" w:line="20" w:lineRule="atLeast"/>
        <w:rPr>
          <w:rFonts w:ascii="Arial" w:hAnsi="Arial" w:cs="Arial"/>
        </w:rPr>
      </w:pPr>
      <w:r>
        <w:rPr>
          <w:rFonts w:ascii="Arial" w:hAnsi="Arial" w:cs="Arial"/>
        </w:rPr>
        <w:t>Egan, B. M., Zhao, Y. et al (2009). “Treatment resistant hypertension in a community-based practice network”, J Clin Hypertens 11 (s1):OR-12, A6.</w:t>
      </w:r>
    </w:p>
    <w:p w:rsidR="0086354C" w:rsidRPr="00955EEF" w:rsidRDefault="0086354C" w:rsidP="0086354C">
      <w:pPr>
        <w:spacing w:after="100" w:afterAutospacing="1" w:line="20" w:lineRule="atLeast"/>
        <w:rPr>
          <w:rFonts w:ascii="Arial" w:hAnsi="Arial" w:cs="Arial"/>
        </w:rPr>
      </w:pPr>
      <w:r w:rsidRPr="00955EEF">
        <w:rPr>
          <w:rFonts w:ascii="Arial" w:hAnsi="Arial" w:cs="Arial"/>
        </w:rPr>
        <w:t>Esler, M. D</w:t>
      </w:r>
      <w:r>
        <w:rPr>
          <w:rFonts w:ascii="Arial" w:hAnsi="Arial" w:cs="Arial"/>
        </w:rPr>
        <w:t>., Krum H.</w:t>
      </w:r>
      <w:r w:rsidRPr="00955EEF">
        <w:rPr>
          <w:rFonts w:ascii="Arial" w:hAnsi="Arial" w:cs="Arial"/>
        </w:rPr>
        <w:t xml:space="preserve"> et al (2010). “Renal sympathetic denervation in patients with treatment-resistant hypertension (The Symplicity HTN-2 Trial): a randomised controlled tri</w:t>
      </w:r>
      <w:r>
        <w:rPr>
          <w:rFonts w:ascii="Arial" w:hAnsi="Arial" w:cs="Arial"/>
        </w:rPr>
        <w:t>al”, Lancet, 376(9756), 1903-9.</w:t>
      </w:r>
    </w:p>
    <w:p w:rsidR="0086354C" w:rsidRPr="00955EEF" w:rsidRDefault="0086354C" w:rsidP="0086354C">
      <w:pPr>
        <w:spacing w:after="100" w:afterAutospacing="1" w:line="20" w:lineRule="atLeast"/>
        <w:rPr>
          <w:rFonts w:ascii="Arial" w:hAnsi="Arial" w:cs="Arial"/>
        </w:rPr>
      </w:pPr>
      <w:r w:rsidRPr="00955EEF">
        <w:rPr>
          <w:rFonts w:ascii="Arial" w:hAnsi="Arial" w:cs="Arial"/>
        </w:rPr>
        <w:t>Esler, M. D., Krum, H. et al (2012). “Renal sympathetic denervation for treatment of drug-resistant hypertension: one-year results from the Symplicity HTN-2 randomized, controlled trial”, Circulation, 126(25), 2976-82.</w:t>
      </w:r>
    </w:p>
    <w:p w:rsidR="0086354C" w:rsidRPr="00955EEF" w:rsidRDefault="0086354C" w:rsidP="0086354C">
      <w:pPr>
        <w:spacing w:after="100" w:afterAutospacing="1" w:line="20" w:lineRule="atLeast"/>
        <w:rPr>
          <w:rFonts w:ascii="Arial" w:hAnsi="Arial" w:cs="Arial"/>
        </w:rPr>
      </w:pPr>
      <w:r w:rsidRPr="00955EEF">
        <w:rPr>
          <w:rFonts w:ascii="Arial" w:hAnsi="Arial" w:cs="Arial"/>
        </w:rPr>
        <w:t>Geisler, B. P., Egan, B. M. et al (2012). “Cost-effectiveness and clinical effectiveness of catheter-based renal denervation for resistant hypertension”, J Am Coll Cardiol, 60(14), 1271-7.</w:t>
      </w:r>
    </w:p>
    <w:p w:rsidR="0086354C" w:rsidRDefault="0086354C" w:rsidP="0086354C">
      <w:pPr>
        <w:spacing w:after="100" w:afterAutospacing="1" w:line="20" w:lineRule="atLeast"/>
        <w:rPr>
          <w:rFonts w:ascii="Arial" w:hAnsi="Arial" w:cs="Arial"/>
        </w:rPr>
      </w:pPr>
      <w:r w:rsidRPr="00955EEF">
        <w:rPr>
          <w:rFonts w:ascii="Arial" w:hAnsi="Arial" w:cs="Arial"/>
        </w:rPr>
        <w:t>Gosain, P., Garimella, P. S. et al (2013). “Renal sympathetic denervation for treatment of resistant hypertension: a systematic review”, J Clin Hypertens (Greenwich), 15(1), 75-84.</w:t>
      </w:r>
    </w:p>
    <w:p w:rsidR="0086354C" w:rsidRPr="00955EEF" w:rsidRDefault="0086354C" w:rsidP="0086354C">
      <w:pPr>
        <w:spacing w:after="100" w:afterAutospacing="1" w:line="20" w:lineRule="atLeast"/>
        <w:rPr>
          <w:rFonts w:ascii="Arial" w:hAnsi="Arial" w:cs="Arial"/>
        </w:rPr>
      </w:pPr>
      <w:r>
        <w:rPr>
          <w:rFonts w:ascii="Arial" w:hAnsi="Arial" w:cs="Arial"/>
        </w:rPr>
        <w:lastRenderedPageBreak/>
        <w:t>JNC7 (2003) “</w:t>
      </w:r>
      <w:r w:rsidRPr="00C71505">
        <w:rPr>
          <w:rFonts w:ascii="Arial" w:hAnsi="Arial" w:cs="Arial"/>
        </w:rPr>
        <w:t>The Seventh Report of the Joint National Committee on Prevention, Detection, Evaluation, and Treatment of High Blood Pressure: the JNC 7 report</w:t>
      </w:r>
      <w:r>
        <w:rPr>
          <w:rFonts w:ascii="Arial" w:hAnsi="Arial" w:cs="Arial"/>
        </w:rPr>
        <w:t xml:space="preserve">”. JAMA </w:t>
      </w:r>
      <w:r w:rsidRPr="00C71505">
        <w:rPr>
          <w:rFonts w:ascii="Arial" w:hAnsi="Arial" w:cs="Arial"/>
        </w:rPr>
        <w:t>289:2560–2572.</w:t>
      </w:r>
    </w:p>
    <w:p w:rsidR="0086354C" w:rsidRPr="00955EEF" w:rsidRDefault="0086354C" w:rsidP="0086354C">
      <w:pPr>
        <w:spacing w:after="100" w:afterAutospacing="1" w:line="20" w:lineRule="atLeast"/>
        <w:rPr>
          <w:rFonts w:ascii="Arial" w:hAnsi="Arial" w:cs="Arial"/>
        </w:rPr>
      </w:pPr>
      <w:r w:rsidRPr="00955EEF">
        <w:rPr>
          <w:rFonts w:ascii="Arial" w:hAnsi="Arial" w:cs="Arial"/>
        </w:rPr>
        <w:t>Kamran-Riaz, K., Semenovskay, Z. et al (2011). Hypertension [Internet]. Available from: http://emedicine.medscape.com/article/241381-overview [Accessed Feb 28 2013].</w:t>
      </w:r>
    </w:p>
    <w:p w:rsidR="0086354C" w:rsidRPr="00955EEF" w:rsidRDefault="0086354C" w:rsidP="0086354C">
      <w:pPr>
        <w:spacing w:after="100" w:afterAutospacing="1" w:line="20" w:lineRule="atLeast"/>
        <w:rPr>
          <w:rFonts w:ascii="Arial" w:hAnsi="Arial" w:cs="Arial"/>
        </w:rPr>
      </w:pPr>
      <w:r w:rsidRPr="00955EEF">
        <w:rPr>
          <w:rFonts w:ascii="Arial" w:hAnsi="Arial" w:cs="Arial"/>
        </w:rPr>
        <w:t>Kaplan, N. M. (2005). “Resistant hypertension”, J Hypertens, 23(8), 1441-4.</w:t>
      </w:r>
    </w:p>
    <w:p w:rsidR="0086354C" w:rsidRDefault="0086354C" w:rsidP="0086354C">
      <w:pPr>
        <w:spacing w:after="100" w:afterAutospacing="1" w:line="20" w:lineRule="atLeast"/>
        <w:rPr>
          <w:rFonts w:ascii="Arial" w:hAnsi="Arial" w:cs="Arial"/>
        </w:rPr>
      </w:pPr>
      <w:r w:rsidRPr="00955EEF">
        <w:rPr>
          <w:rFonts w:ascii="Arial" w:hAnsi="Arial" w:cs="Arial"/>
        </w:rPr>
        <w:t>Katholi, R. E., Rocha-Singh, K. J. et al (2010). “Renal nerves in the maintenance of hypertension: a potential therapeutic target”, Curr Hypertens Rep, 12(3), 196-204.</w:t>
      </w:r>
    </w:p>
    <w:p w:rsidR="00F16C6B" w:rsidRDefault="00F16C6B" w:rsidP="0086354C">
      <w:pPr>
        <w:spacing w:after="100" w:afterAutospacing="1" w:line="20" w:lineRule="atLeast"/>
        <w:rPr>
          <w:rFonts w:ascii="Arial" w:hAnsi="Arial" w:cs="Arial"/>
        </w:rPr>
      </w:pPr>
      <w:r>
        <w:rPr>
          <w:rFonts w:ascii="Arial" w:hAnsi="Arial" w:cs="Arial"/>
        </w:rPr>
        <w:t xml:space="preserve">Knox, S.A., Harrison, C.M. et al (2008). “Estimating prevalence of common chronic morbidities in Australia”. MJA 189:66-70. </w:t>
      </w:r>
    </w:p>
    <w:p w:rsidR="0086354C" w:rsidRDefault="0086354C" w:rsidP="0086354C">
      <w:pPr>
        <w:spacing w:after="100" w:afterAutospacing="1" w:line="20" w:lineRule="atLeast"/>
        <w:rPr>
          <w:rFonts w:ascii="Arial" w:hAnsi="Arial" w:cs="Arial"/>
        </w:rPr>
      </w:pPr>
      <w:r>
        <w:rPr>
          <w:rFonts w:ascii="Arial" w:hAnsi="Arial" w:cs="Arial"/>
        </w:rPr>
        <w:t>Krum</w:t>
      </w:r>
      <w:r w:rsidRPr="002F192B">
        <w:rPr>
          <w:rFonts w:ascii="Arial" w:hAnsi="Arial" w:cs="Arial"/>
        </w:rPr>
        <w:t xml:space="preserve"> H., Schlaich M. et al (2012). "TCT-12 Long-term Follow-up of Catheter-based Renal Denervation For Resistant Hypertension Confirms Durable Blood Pressure Reduction". Journal of the American College of Cardiology, 60 (17_S).</w:t>
      </w:r>
    </w:p>
    <w:p w:rsidR="0086354C" w:rsidRPr="00955EEF" w:rsidRDefault="0086354C" w:rsidP="0086354C">
      <w:pPr>
        <w:spacing w:after="100" w:afterAutospacing="1" w:line="20" w:lineRule="atLeast"/>
        <w:rPr>
          <w:rFonts w:ascii="Arial" w:hAnsi="Arial" w:cs="Arial"/>
        </w:rPr>
      </w:pPr>
      <w:r w:rsidRPr="002F192B">
        <w:rPr>
          <w:rFonts w:ascii="Arial" w:hAnsi="Arial" w:cs="Arial"/>
        </w:rPr>
        <w:t>Lambert</w:t>
      </w:r>
      <w:r>
        <w:rPr>
          <w:rFonts w:ascii="Arial" w:hAnsi="Arial" w:cs="Arial"/>
        </w:rPr>
        <w:t>,</w:t>
      </w:r>
      <w:r w:rsidRPr="002F192B">
        <w:rPr>
          <w:rFonts w:ascii="Arial" w:hAnsi="Arial" w:cs="Arial"/>
        </w:rPr>
        <w:t xml:space="preserve"> G</w:t>
      </w:r>
      <w:r>
        <w:rPr>
          <w:rFonts w:ascii="Arial" w:hAnsi="Arial" w:cs="Arial"/>
        </w:rPr>
        <w:t>.</w:t>
      </w:r>
      <w:r w:rsidRPr="002F192B">
        <w:rPr>
          <w:rFonts w:ascii="Arial" w:hAnsi="Arial" w:cs="Arial"/>
        </w:rPr>
        <w:t>W</w:t>
      </w:r>
      <w:r>
        <w:rPr>
          <w:rFonts w:ascii="Arial" w:hAnsi="Arial" w:cs="Arial"/>
        </w:rPr>
        <w:t>.,</w:t>
      </w:r>
      <w:r w:rsidRPr="002F192B">
        <w:rPr>
          <w:rFonts w:ascii="Arial" w:hAnsi="Arial" w:cs="Arial"/>
        </w:rPr>
        <w:t xml:space="preserve"> Hering D</w:t>
      </w:r>
      <w:r>
        <w:rPr>
          <w:rFonts w:ascii="Arial" w:hAnsi="Arial" w:cs="Arial"/>
        </w:rPr>
        <w:t>.</w:t>
      </w:r>
      <w:r w:rsidRPr="002F192B">
        <w:rPr>
          <w:rFonts w:ascii="Arial" w:hAnsi="Arial" w:cs="Arial"/>
        </w:rPr>
        <w:t xml:space="preserve">, et </w:t>
      </w:r>
      <w:r>
        <w:rPr>
          <w:rFonts w:ascii="Arial" w:hAnsi="Arial" w:cs="Arial"/>
        </w:rPr>
        <w:t>al (2012).</w:t>
      </w:r>
      <w:r w:rsidRPr="002F192B">
        <w:rPr>
          <w:rFonts w:ascii="Arial" w:hAnsi="Arial" w:cs="Arial"/>
        </w:rPr>
        <w:t xml:space="preserve"> </w:t>
      </w:r>
      <w:r>
        <w:rPr>
          <w:rFonts w:ascii="Arial" w:hAnsi="Arial" w:cs="Arial"/>
        </w:rPr>
        <w:t>“</w:t>
      </w:r>
      <w:r w:rsidRPr="002F192B">
        <w:rPr>
          <w:rFonts w:ascii="Arial" w:hAnsi="Arial" w:cs="Arial"/>
        </w:rPr>
        <w:t>Health-related quality of life after renal denervation in patients with treatment-resistant hypertension</w:t>
      </w:r>
      <w:r>
        <w:rPr>
          <w:rFonts w:ascii="Arial" w:hAnsi="Arial" w:cs="Arial"/>
        </w:rPr>
        <w:t>”</w:t>
      </w:r>
      <w:r w:rsidRPr="002F192B">
        <w:rPr>
          <w:rFonts w:ascii="Arial" w:hAnsi="Arial" w:cs="Arial"/>
        </w:rPr>
        <w:t>. Hypertension</w:t>
      </w:r>
      <w:r>
        <w:rPr>
          <w:rFonts w:ascii="Arial" w:hAnsi="Arial" w:cs="Arial"/>
        </w:rPr>
        <w:t xml:space="preserve">, </w:t>
      </w:r>
      <w:r w:rsidRPr="002F192B">
        <w:rPr>
          <w:rFonts w:ascii="Arial" w:hAnsi="Arial" w:cs="Arial"/>
        </w:rPr>
        <w:t>60(6)</w:t>
      </w:r>
      <w:r>
        <w:rPr>
          <w:rFonts w:ascii="Arial" w:hAnsi="Arial" w:cs="Arial"/>
        </w:rPr>
        <w:t xml:space="preserve">, </w:t>
      </w:r>
      <w:r w:rsidRPr="002F192B">
        <w:rPr>
          <w:rFonts w:ascii="Arial" w:hAnsi="Arial" w:cs="Arial"/>
        </w:rPr>
        <w:t>1479-1484</w:t>
      </w:r>
      <w:r>
        <w:rPr>
          <w:rFonts w:ascii="Arial" w:hAnsi="Arial" w:cs="Arial"/>
        </w:rPr>
        <w:t>.</w:t>
      </w:r>
    </w:p>
    <w:p w:rsidR="0086354C" w:rsidRPr="00955EEF" w:rsidRDefault="0086354C" w:rsidP="0086354C">
      <w:pPr>
        <w:spacing w:after="100" w:afterAutospacing="1" w:line="20" w:lineRule="atLeast"/>
        <w:rPr>
          <w:rFonts w:ascii="Arial" w:hAnsi="Arial" w:cs="Arial"/>
        </w:rPr>
      </w:pPr>
      <w:r w:rsidRPr="00955EEF">
        <w:rPr>
          <w:rFonts w:ascii="Arial" w:hAnsi="Arial" w:cs="Arial"/>
        </w:rPr>
        <w:t>Levy, D., Larson, M. G. et al (1996). “The progression from hypertension to congestive heart failure”, JAMA, 275(20), 1557-62.</w:t>
      </w:r>
    </w:p>
    <w:p w:rsidR="0086354C" w:rsidRPr="00955EEF" w:rsidRDefault="0086354C" w:rsidP="0086354C">
      <w:pPr>
        <w:spacing w:after="100" w:afterAutospacing="1" w:line="20" w:lineRule="atLeast"/>
        <w:rPr>
          <w:rFonts w:ascii="Arial" w:hAnsi="Arial" w:cs="Arial"/>
        </w:rPr>
      </w:pPr>
      <w:r w:rsidRPr="00955EEF">
        <w:rPr>
          <w:rFonts w:ascii="Arial" w:hAnsi="Arial" w:cs="Arial"/>
        </w:rPr>
        <w:t>Lewington, S., Clarke, R. et al (2002). “Age-specific relevance of usual blood pressure to vascular mortality: a meta-analysis of individual data for one million adults in 61 prospective studies”, Lancet, 360(9349), 1903-13.</w:t>
      </w:r>
    </w:p>
    <w:p w:rsidR="0086354C" w:rsidRPr="00955EEF" w:rsidRDefault="0086354C" w:rsidP="0086354C">
      <w:pPr>
        <w:spacing w:after="100" w:afterAutospacing="1" w:line="20" w:lineRule="atLeast"/>
        <w:rPr>
          <w:rFonts w:ascii="Arial" w:hAnsi="Arial" w:cs="Arial"/>
        </w:rPr>
      </w:pPr>
      <w:r w:rsidRPr="00955EEF">
        <w:rPr>
          <w:rFonts w:ascii="Arial" w:hAnsi="Arial" w:cs="Arial"/>
        </w:rPr>
        <w:t>Mahfoud, F., Himmel, F. et al (2011). “Treatment strategies for resistant arterial hypertension”, Dtsch Arztebl Int, 108(43), 725-31.</w:t>
      </w:r>
    </w:p>
    <w:p w:rsidR="0086354C" w:rsidRPr="00955EEF" w:rsidRDefault="0086354C" w:rsidP="0086354C">
      <w:pPr>
        <w:autoSpaceDE w:val="0"/>
        <w:autoSpaceDN w:val="0"/>
        <w:adjustRightInd w:val="0"/>
        <w:spacing w:after="100" w:afterAutospacing="1" w:line="20" w:lineRule="atLeast"/>
        <w:rPr>
          <w:rFonts w:ascii="Arial" w:hAnsi="Arial" w:cs="Arial"/>
        </w:rPr>
      </w:pPr>
      <w:r w:rsidRPr="00955EEF">
        <w:rPr>
          <w:rFonts w:ascii="Arial" w:hAnsi="Arial" w:cs="Arial"/>
        </w:rPr>
        <w:t>National Institute of Health and Clinical Evidence 2012. Percutaneous transluminal radiofrequency sympathetic denervation of the renal artery for resistant hypertension</w:t>
      </w:r>
      <w:r w:rsidRPr="00955EEF">
        <w:rPr>
          <w:rFonts w:ascii="Arial" w:hAnsi="Arial" w:cs="Arial"/>
          <w:i/>
          <w:iCs/>
        </w:rPr>
        <w:t xml:space="preserve">. </w:t>
      </w:r>
      <w:r w:rsidRPr="00955EEF">
        <w:rPr>
          <w:rFonts w:ascii="Arial" w:hAnsi="Arial" w:cs="Arial"/>
        </w:rPr>
        <w:t>NICE interventional procedure guide 418. Manchester: NHS.</w:t>
      </w:r>
    </w:p>
    <w:p w:rsidR="0086354C" w:rsidRPr="00955EEF" w:rsidRDefault="0086354C" w:rsidP="0086354C">
      <w:pPr>
        <w:spacing w:after="100" w:afterAutospacing="1" w:line="20" w:lineRule="atLeast"/>
        <w:rPr>
          <w:rFonts w:ascii="Arial" w:hAnsi="Arial" w:cs="Arial"/>
        </w:rPr>
      </w:pPr>
      <w:r w:rsidRPr="00955EEF">
        <w:rPr>
          <w:rFonts w:ascii="Arial" w:hAnsi="Arial" w:cs="Arial"/>
        </w:rPr>
        <w:t>National Heart Foundation of Australia (National Blood Pressure and Vascular Disease Advisory Committee) 2010. Guide to management of hypertension 2008. Updated December 2010.</w:t>
      </w:r>
    </w:p>
    <w:p w:rsidR="0086354C" w:rsidRPr="00955EEF" w:rsidRDefault="0086354C" w:rsidP="0086354C">
      <w:pPr>
        <w:spacing w:after="100" w:afterAutospacing="1" w:line="20" w:lineRule="atLeast"/>
        <w:rPr>
          <w:rFonts w:ascii="Arial" w:hAnsi="Arial" w:cs="Arial"/>
        </w:rPr>
      </w:pPr>
      <w:r w:rsidRPr="00955EEF">
        <w:rPr>
          <w:rFonts w:ascii="Arial" w:hAnsi="Arial" w:cs="Arial"/>
        </w:rPr>
        <w:t>Navar, L. &amp; Hamm, L. (1999). The kidney in blood pressure regulation, In: Wilcox CS, ed. Atlas of Diseases of the Kidney. Hypertension and the Kidney. Philadelphia, Pa: Current Medicine, Inc; 1999:1.1–1.22.</w:t>
      </w:r>
    </w:p>
    <w:p w:rsidR="0086354C" w:rsidRPr="00955EEF" w:rsidRDefault="0086354C" w:rsidP="0086354C">
      <w:pPr>
        <w:spacing w:after="100" w:afterAutospacing="1" w:line="20" w:lineRule="atLeast"/>
        <w:rPr>
          <w:rFonts w:ascii="Arial" w:hAnsi="Arial" w:cs="Arial"/>
        </w:rPr>
      </w:pPr>
      <w:r w:rsidRPr="00955EEF">
        <w:rPr>
          <w:rFonts w:ascii="Arial" w:hAnsi="Arial" w:cs="Arial"/>
        </w:rPr>
        <w:t>Pathak, A., Girerd, X. et al (2012). “Expert consensus: renal denervation for the treatment of arterial hypertension”, Arch Cardiovasc Dis, 105(6-7), 386-93.</w:t>
      </w:r>
    </w:p>
    <w:p w:rsidR="0086354C" w:rsidRPr="00955EEF" w:rsidRDefault="0086354C" w:rsidP="0086354C">
      <w:pPr>
        <w:spacing w:after="100" w:afterAutospacing="1" w:line="20" w:lineRule="atLeast"/>
        <w:rPr>
          <w:rFonts w:ascii="Arial" w:hAnsi="Arial" w:cs="Arial"/>
        </w:rPr>
      </w:pPr>
      <w:r w:rsidRPr="00955EEF">
        <w:rPr>
          <w:rFonts w:ascii="Arial" w:hAnsi="Arial" w:cs="Arial"/>
        </w:rPr>
        <w:lastRenderedPageBreak/>
        <w:t>Pierdomenico, S. D. &amp; Cuccurullo, F. (2010). “Risk reduction after regression of echocardiographic left ventricular hypertrophy in hypertension: a meta-analysis”, Am J Hypertens, 23(8), 876-81.</w:t>
      </w:r>
    </w:p>
    <w:p w:rsidR="0086354C" w:rsidRPr="00955EEF" w:rsidRDefault="0086354C" w:rsidP="0086354C">
      <w:pPr>
        <w:spacing w:after="100" w:afterAutospacing="1" w:line="20" w:lineRule="atLeast"/>
        <w:rPr>
          <w:rFonts w:ascii="Arial" w:hAnsi="Arial" w:cs="Arial"/>
        </w:rPr>
      </w:pPr>
      <w:r w:rsidRPr="00955EEF">
        <w:rPr>
          <w:rFonts w:ascii="Arial" w:hAnsi="Arial" w:cs="Arial"/>
        </w:rPr>
        <w:t>Pimenta, E. &amp; Calhoun, D. A. (2012). “Resistant hypertension: incidence, prevalence, and prognosis”, Circulation, 125(13), 1594-6.</w:t>
      </w:r>
    </w:p>
    <w:p w:rsidR="0086354C" w:rsidRDefault="0086354C" w:rsidP="0086354C">
      <w:pPr>
        <w:spacing w:after="100" w:afterAutospacing="1" w:line="20" w:lineRule="atLeast"/>
        <w:rPr>
          <w:rFonts w:ascii="Arial" w:hAnsi="Arial" w:cs="Arial"/>
        </w:rPr>
      </w:pPr>
      <w:r w:rsidRPr="00955EEF">
        <w:rPr>
          <w:rFonts w:ascii="Arial" w:hAnsi="Arial" w:cs="Arial"/>
        </w:rPr>
        <w:t>Savard, S., Frank, M. et al (2012). “Eligibility for renal denervation in patients with resistant hypertension: when enthusiasm meets reality in real-life patients”, J Am Coll Cardiol, 60(23), 2422-4.</w:t>
      </w:r>
    </w:p>
    <w:p w:rsidR="00FF5AE2" w:rsidRDefault="00FF5AE2"/>
    <w:sectPr w:rsidR="00FF5AE2" w:rsidSect="002C603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770" w:rsidRDefault="00346770">
      <w:pPr>
        <w:spacing w:after="0" w:line="240" w:lineRule="auto"/>
      </w:pPr>
      <w:r>
        <w:separator/>
      </w:r>
    </w:p>
  </w:endnote>
  <w:endnote w:type="continuationSeparator" w:id="0">
    <w:p w:rsidR="00346770" w:rsidRDefault="0034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5E8" w:rsidRDefault="003115E8">
    <w:pPr>
      <w:pStyle w:val="Footer"/>
      <w:jc w:val="right"/>
    </w:pPr>
    <w:r>
      <w:fldChar w:fldCharType="begin"/>
    </w:r>
    <w:r>
      <w:instrText xml:space="preserve"> PAGE   \* MERGEFORMAT </w:instrText>
    </w:r>
    <w:r>
      <w:fldChar w:fldCharType="separate"/>
    </w:r>
    <w:r w:rsidR="00727623">
      <w:rPr>
        <w:noProof/>
      </w:rPr>
      <w:t>44</w:t>
    </w:r>
    <w:r>
      <w:rPr>
        <w:noProof/>
      </w:rPr>
      <w:fldChar w:fldCharType="end"/>
    </w:r>
  </w:p>
  <w:p w:rsidR="003115E8" w:rsidRDefault="00311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5E8" w:rsidRDefault="003115E8">
    <w:pPr>
      <w:pStyle w:val="Footer"/>
      <w:jc w:val="right"/>
    </w:pPr>
    <w:r>
      <w:fldChar w:fldCharType="begin"/>
    </w:r>
    <w:r>
      <w:instrText xml:space="preserve"> PAGE   \* MERGEFORMAT </w:instrText>
    </w:r>
    <w:r>
      <w:fldChar w:fldCharType="separate"/>
    </w:r>
    <w:r w:rsidR="00727623">
      <w:rPr>
        <w:noProof/>
      </w:rPr>
      <w:t>41</w:t>
    </w:r>
    <w:r>
      <w:rPr>
        <w:noProof/>
      </w:rPr>
      <w:fldChar w:fldCharType="end"/>
    </w:r>
  </w:p>
  <w:p w:rsidR="003115E8" w:rsidRDefault="00311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770" w:rsidRDefault="00346770">
      <w:pPr>
        <w:spacing w:after="0" w:line="240" w:lineRule="auto"/>
      </w:pPr>
      <w:r>
        <w:separator/>
      </w:r>
    </w:p>
  </w:footnote>
  <w:footnote w:type="continuationSeparator" w:id="0">
    <w:p w:rsidR="00346770" w:rsidRDefault="00346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5E8" w:rsidRDefault="007276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47360" o:spid="_x0000_s2051"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5E8" w:rsidRDefault="007276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47361" o:spid="_x0000_s2052"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5E8" w:rsidRDefault="007276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47359" o:spid="_x0000_s2050"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625"/>
    <w:multiLevelType w:val="hybridMultilevel"/>
    <w:tmpl w:val="2108A4F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nsid w:val="02A11A68"/>
    <w:multiLevelType w:val="hybridMultilevel"/>
    <w:tmpl w:val="74F69F6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nsid w:val="04166DA7"/>
    <w:multiLevelType w:val="hybridMultilevel"/>
    <w:tmpl w:val="F1B2D38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nsid w:val="0B601C19"/>
    <w:multiLevelType w:val="hybridMultilevel"/>
    <w:tmpl w:val="2DCEC75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nsid w:val="0B697BDD"/>
    <w:multiLevelType w:val="hybridMultilevel"/>
    <w:tmpl w:val="537E5D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EF43EE"/>
    <w:multiLevelType w:val="hybridMultilevel"/>
    <w:tmpl w:val="AD38E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8800C1"/>
    <w:multiLevelType w:val="hybridMultilevel"/>
    <w:tmpl w:val="3076722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nsid w:val="188728A8"/>
    <w:multiLevelType w:val="hybridMultilevel"/>
    <w:tmpl w:val="16A8762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nsid w:val="1AB017F9"/>
    <w:multiLevelType w:val="hybridMultilevel"/>
    <w:tmpl w:val="D35AB42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nsid w:val="1B8570F9"/>
    <w:multiLevelType w:val="hybridMultilevel"/>
    <w:tmpl w:val="58E0F7B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nsid w:val="1BF074AD"/>
    <w:multiLevelType w:val="hybridMultilevel"/>
    <w:tmpl w:val="4CEC7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0226B8"/>
    <w:multiLevelType w:val="hybridMultilevel"/>
    <w:tmpl w:val="48B257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nsid w:val="1C214347"/>
    <w:multiLevelType w:val="hybridMultilevel"/>
    <w:tmpl w:val="869CA36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nsid w:val="1E8A580D"/>
    <w:multiLevelType w:val="hybridMultilevel"/>
    <w:tmpl w:val="46B6272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nsid w:val="1F76300B"/>
    <w:multiLevelType w:val="hybridMultilevel"/>
    <w:tmpl w:val="C6C4E8D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nsid w:val="201F7ED3"/>
    <w:multiLevelType w:val="hybridMultilevel"/>
    <w:tmpl w:val="7F92722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nsid w:val="21CF45AE"/>
    <w:multiLevelType w:val="hybridMultilevel"/>
    <w:tmpl w:val="CCC2A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tentative="1">
      <w:start w:val="1"/>
      <w:numFmt w:val="bullet"/>
      <w:lvlText w:val=""/>
      <w:lvlJc w:val="left"/>
      <w:pPr>
        <w:tabs>
          <w:tab w:val="num" w:pos="2478"/>
        </w:tabs>
        <w:ind w:left="2478" w:hanging="360"/>
      </w:pPr>
      <w:rPr>
        <w:rFonts w:ascii="Wingdings" w:hAnsi="Wingdings" w:cs="Wingdings" w:hint="default"/>
      </w:rPr>
    </w:lvl>
    <w:lvl w:ilvl="3" w:tplc="FFFFFFFF" w:tentative="1">
      <w:start w:val="1"/>
      <w:numFmt w:val="bullet"/>
      <w:lvlText w:val=""/>
      <w:lvlJc w:val="left"/>
      <w:pPr>
        <w:tabs>
          <w:tab w:val="num" w:pos="3198"/>
        </w:tabs>
        <w:ind w:left="3198" w:hanging="360"/>
      </w:pPr>
      <w:rPr>
        <w:rFonts w:ascii="Symbol" w:hAnsi="Symbol" w:cs="Symbol" w:hint="default"/>
      </w:rPr>
    </w:lvl>
    <w:lvl w:ilvl="4" w:tplc="FFFFFFFF" w:tentative="1">
      <w:start w:val="1"/>
      <w:numFmt w:val="bullet"/>
      <w:lvlText w:val="o"/>
      <w:lvlJc w:val="left"/>
      <w:pPr>
        <w:tabs>
          <w:tab w:val="num" w:pos="3918"/>
        </w:tabs>
        <w:ind w:left="3918" w:hanging="360"/>
      </w:pPr>
      <w:rPr>
        <w:rFonts w:ascii="Courier New" w:hAnsi="Courier New" w:cs="Courier New" w:hint="default"/>
      </w:rPr>
    </w:lvl>
    <w:lvl w:ilvl="5" w:tplc="FFFFFFFF" w:tentative="1">
      <w:start w:val="1"/>
      <w:numFmt w:val="bullet"/>
      <w:lvlText w:val=""/>
      <w:lvlJc w:val="left"/>
      <w:pPr>
        <w:tabs>
          <w:tab w:val="num" w:pos="4638"/>
        </w:tabs>
        <w:ind w:left="4638" w:hanging="360"/>
      </w:pPr>
      <w:rPr>
        <w:rFonts w:ascii="Wingdings" w:hAnsi="Wingdings" w:cs="Wingdings" w:hint="default"/>
      </w:rPr>
    </w:lvl>
    <w:lvl w:ilvl="6" w:tplc="FFFFFFFF" w:tentative="1">
      <w:start w:val="1"/>
      <w:numFmt w:val="bullet"/>
      <w:lvlText w:val=""/>
      <w:lvlJc w:val="left"/>
      <w:pPr>
        <w:tabs>
          <w:tab w:val="num" w:pos="5358"/>
        </w:tabs>
        <w:ind w:left="5358" w:hanging="360"/>
      </w:pPr>
      <w:rPr>
        <w:rFonts w:ascii="Symbol" w:hAnsi="Symbol" w:cs="Symbol" w:hint="default"/>
      </w:rPr>
    </w:lvl>
    <w:lvl w:ilvl="7" w:tplc="FFFFFFFF" w:tentative="1">
      <w:start w:val="1"/>
      <w:numFmt w:val="bullet"/>
      <w:lvlText w:val="o"/>
      <w:lvlJc w:val="left"/>
      <w:pPr>
        <w:tabs>
          <w:tab w:val="num" w:pos="6078"/>
        </w:tabs>
        <w:ind w:left="6078" w:hanging="360"/>
      </w:pPr>
      <w:rPr>
        <w:rFonts w:ascii="Courier New" w:hAnsi="Courier New" w:cs="Courier New" w:hint="default"/>
      </w:rPr>
    </w:lvl>
    <w:lvl w:ilvl="8" w:tplc="FFFFFFFF" w:tentative="1">
      <w:start w:val="1"/>
      <w:numFmt w:val="bullet"/>
      <w:lvlText w:val=""/>
      <w:lvlJc w:val="left"/>
      <w:pPr>
        <w:tabs>
          <w:tab w:val="num" w:pos="6798"/>
        </w:tabs>
        <w:ind w:left="6798" w:hanging="360"/>
      </w:pPr>
      <w:rPr>
        <w:rFonts w:ascii="Wingdings" w:hAnsi="Wingdings" w:cs="Wingdings" w:hint="default"/>
      </w:rPr>
    </w:lvl>
  </w:abstractNum>
  <w:abstractNum w:abstractNumId="18">
    <w:nsid w:val="24340B56"/>
    <w:multiLevelType w:val="hybridMultilevel"/>
    <w:tmpl w:val="093C7CD2"/>
    <w:lvl w:ilvl="0" w:tplc="0C090001">
      <w:start w:val="1"/>
      <w:numFmt w:val="bullet"/>
      <w:lvlText w:val=""/>
      <w:lvlJc w:val="left"/>
      <w:pPr>
        <w:ind w:left="644" w:hanging="360"/>
      </w:pPr>
      <w:rPr>
        <w:rFonts w:ascii="Symbol" w:hAnsi="Symbol" w:cs="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cs="Wingdings" w:hint="default"/>
      </w:rPr>
    </w:lvl>
    <w:lvl w:ilvl="3" w:tplc="0C090001" w:tentative="1">
      <w:start w:val="1"/>
      <w:numFmt w:val="bullet"/>
      <w:lvlText w:val=""/>
      <w:lvlJc w:val="left"/>
      <w:pPr>
        <w:ind w:left="2804" w:hanging="360"/>
      </w:pPr>
      <w:rPr>
        <w:rFonts w:ascii="Symbol" w:hAnsi="Symbol" w:cs="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cs="Wingdings" w:hint="default"/>
      </w:rPr>
    </w:lvl>
    <w:lvl w:ilvl="6" w:tplc="0C090001" w:tentative="1">
      <w:start w:val="1"/>
      <w:numFmt w:val="bullet"/>
      <w:lvlText w:val=""/>
      <w:lvlJc w:val="left"/>
      <w:pPr>
        <w:ind w:left="4964" w:hanging="360"/>
      </w:pPr>
      <w:rPr>
        <w:rFonts w:ascii="Symbol" w:hAnsi="Symbol" w:cs="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cs="Wingdings" w:hint="default"/>
      </w:rPr>
    </w:lvl>
  </w:abstractNum>
  <w:abstractNum w:abstractNumId="19">
    <w:nsid w:val="248E14ED"/>
    <w:multiLevelType w:val="hybridMultilevel"/>
    <w:tmpl w:val="E408AC5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nsid w:val="31415983"/>
    <w:multiLevelType w:val="hybridMultilevel"/>
    <w:tmpl w:val="7DA0D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1C93186"/>
    <w:multiLevelType w:val="hybridMultilevel"/>
    <w:tmpl w:val="3182C9E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nsid w:val="34B65FF9"/>
    <w:multiLevelType w:val="hybridMultilevel"/>
    <w:tmpl w:val="2D1E36BC"/>
    <w:lvl w:ilvl="0" w:tplc="5BCE47C4">
      <w:start w:val="1"/>
      <w:numFmt w:val="bullet"/>
      <w:lvlText w:val=""/>
      <w:lvlJc w:val="left"/>
      <w:pPr>
        <w:tabs>
          <w:tab w:val="num" w:pos="720"/>
        </w:tabs>
        <w:ind w:left="720" w:hanging="360"/>
      </w:pPr>
      <w:rPr>
        <w:rFonts w:ascii="Symbol" w:hAnsi="Symbol" w:cs="Symbol" w:hint="default"/>
      </w:rPr>
    </w:lvl>
    <w:lvl w:ilvl="1" w:tplc="8978584C" w:tentative="1">
      <w:start w:val="1"/>
      <w:numFmt w:val="bullet"/>
      <w:lvlText w:val=""/>
      <w:lvlJc w:val="left"/>
      <w:pPr>
        <w:tabs>
          <w:tab w:val="num" w:pos="1440"/>
        </w:tabs>
        <w:ind w:left="1440" w:hanging="360"/>
      </w:pPr>
      <w:rPr>
        <w:rFonts w:ascii="Symbol" w:hAnsi="Symbol" w:cs="Symbol" w:hint="default"/>
      </w:rPr>
    </w:lvl>
    <w:lvl w:ilvl="2" w:tplc="CD0008D4" w:tentative="1">
      <w:start w:val="1"/>
      <w:numFmt w:val="bullet"/>
      <w:lvlText w:val=""/>
      <w:lvlJc w:val="left"/>
      <w:pPr>
        <w:tabs>
          <w:tab w:val="num" w:pos="2160"/>
        </w:tabs>
        <w:ind w:left="2160" w:hanging="360"/>
      </w:pPr>
      <w:rPr>
        <w:rFonts w:ascii="Symbol" w:hAnsi="Symbol" w:cs="Symbol" w:hint="default"/>
      </w:rPr>
    </w:lvl>
    <w:lvl w:ilvl="3" w:tplc="011CE292" w:tentative="1">
      <w:start w:val="1"/>
      <w:numFmt w:val="bullet"/>
      <w:lvlText w:val=""/>
      <w:lvlJc w:val="left"/>
      <w:pPr>
        <w:tabs>
          <w:tab w:val="num" w:pos="2880"/>
        </w:tabs>
        <w:ind w:left="2880" w:hanging="360"/>
      </w:pPr>
      <w:rPr>
        <w:rFonts w:ascii="Symbol" w:hAnsi="Symbol" w:cs="Symbol" w:hint="default"/>
      </w:rPr>
    </w:lvl>
    <w:lvl w:ilvl="4" w:tplc="7C88D802" w:tentative="1">
      <w:start w:val="1"/>
      <w:numFmt w:val="bullet"/>
      <w:lvlText w:val=""/>
      <w:lvlJc w:val="left"/>
      <w:pPr>
        <w:tabs>
          <w:tab w:val="num" w:pos="3600"/>
        </w:tabs>
        <w:ind w:left="3600" w:hanging="360"/>
      </w:pPr>
      <w:rPr>
        <w:rFonts w:ascii="Symbol" w:hAnsi="Symbol" w:cs="Symbol" w:hint="default"/>
      </w:rPr>
    </w:lvl>
    <w:lvl w:ilvl="5" w:tplc="6DACE944" w:tentative="1">
      <w:start w:val="1"/>
      <w:numFmt w:val="bullet"/>
      <w:lvlText w:val=""/>
      <w:lvlJc w:val="left"/>
      <w:pPr>
        <w:tabs>
          <w:tab w:val="num" w:pos="4320"/>
        </w:tabs>
        <w:ind w:left="4320" w:hanging="360"/>
      </w:pPr>
      <w:rPr>
        <w:rFonts w:ascii="Symbol" w:hAnsi="Symbol" w:cs="Symbol" w:hint="default"/>
      </w:rPr>
    </w:lvl>
    <w:lvl w:ilvl="6" w:tplc="568A85A4" w:tentative="1">
      <w:start w:val="1"/>
      <w:numFmt w:val="bullet"/>
      <w:lvlText w:val=""/>
      <w:lvlJc w:val="left"/>
      <w:pPr>
        <w:tabs>
          <w:tab w:val="num" w:pos="5040"/>
        </w:tabs>
        <w:ind w:left="5040" w:hanging="360"/>
      </w:pPr>
      <w:rPr>
        <w:rFonts w:ascii="Symbol" w:hAnsi="Symbol" w:cs="Symbol" w:hint="default"/>
      </w:rPr>
    </w:lvl>
    <w:lvl w:ilvl="7" w:tplc="4B0A519A" w:tentative="1">
      <w:start w:val="1"/>
      <w:numFmt w:val="bullet"/>
      <w:lvlText w:val=""/>
      <w:lvlJc w:val="left"/>
      <w:pPr>
        <w:tabs>
          <w:tab w:val="num" w:pos="5760"/>
        </w:tabs>
        <w:ind w:left="5760" w:hanging="360"/>
      </w:pPr>
      <w:rPr>
        <w:rFonts w:ascii="Symbol" w:hAnsi="Symbol" w:cs="Symbol" w:hint="default"/>
      </w:rPr>
    </w:lvl>
    <w:lvl w:ilvl="8" w:tplc="DC761350" w:tentative="1">
      <w:start w:val="1"/>
      <w:numFmt w:val="bullet"/>
      <w:lvlText w:val=""/>
      <w:lvlJc w:val="left"/>
      <w:pPr>
        <w:tabs>
          <w:tab w:val="num" w:pos="6480"/>
        </w:tabs>
        <w:ind w:left="6480" w:hanging="360"/>
      </w:pPr>
      <w:rPr>
        <w:rFonts w:ascii="Symbol" w:hAnsi="Symbol" w:cs="Symbol" w:hint="default"/>
      </w:rPr>
    </w:lvl>
  </w:abstractNum>
  <w:abstractNum w:abstractNumId="23">
    <w:nsid w:val="3AB15BB1"/>
    <w:multiLevelType w:val="hybridMultilevel"/>
    <w:tmpl w:val="B2D0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C90F9F"/>
    <w:multiLevelType w:val="hybridMultilevel"/>
    <w:tmpl w:val="15A6EDF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nsid w:val="40111D89"/>
    <w:multiLevelType w:val="hybridMultilevel"/>
    <w:tmpl w:val="7FF8B85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nsid w:val="47C63129"/>
    <w:multiLevelType w:val="hybridMultilevel"/>
    <w:tmpl w:val="438E2D5E"/>
    <w:lvl w:ilvl="0" w:tplc="0C090001">
      <w:start w:val="1"/>
      <w:numFmt w:val="bullet"/>
      <w:lvlText w:val=""/>
      <w:lvlJc w:val="left"/>
      <w:pPr>
        <w:ind w:left="862" w:hanging="360"/>
      </w:pPr>
      <w:rPr>
        <w:rFonts w:ascii="Symbol" w:hAnsi="Symbol" w:cs="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cs="Wingdings" w:hint="default"/>
      </w:rPr>
    </w:lvl>
    <w:lvl w:ilvl="3" w:tplc="0C090001" w:tentative="1">
      <w:start w:val="1"/>
      <w:numFmt w:val="bullet"/>
      <w:lvlText w:val=""/>
      <w:lvlJc w:val="left"/>
      <w:pPr>
        <w:ind w:left="3022" w:hanging="360"/>
      </w:pPr>
      <w:rPr>
        <w:rFonts w:ascii="Symbol" w:hAnsi="Symbol" w:cs="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cs="Wingdings" w:hint="default"/>
      </w:rPr>
    </w:lvl>
    <w:lvl w:ilvl="6" w:tplc="0C090001" w:tentative="1">
      <w:start w:val="1"/>
      <w:numFmt w:val="bullet"/>
      <w:lvlText w:val=""/>
      <w:lvlJc w:val="left"/>
      <w:pPr>
        <w:ind w:left="5182" w:hanging="360"/>
      </w:pPr>
      <w:rPr>
        <w:rFonts w:ascii="Symbol" w:hAnsi="Symbol" w:cs="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cs="Wingdings" w:hint="default"/>
      </w:rPr>
    </w:lvl>
  </w:abstractNum>
  <w:abstractNum w:abstractNumId="27">
    <w:nsid w:val="4B024754"/>
    <w:multiLevelType w:val="hybridMultilevel"/>
    <w:tmpl w:val="2084D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CC26C6F"/>
    <w:multiLevelType w:val="hybridMultilevel"/>
    <w:tmpl w:val="5E045BA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nsid w:val="4CC8511C"/>
    <w:multiLevelType w:val="hybridMultilevel"/>
    <w:tmpl w:val="CC84685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nsid w:val="4DB616F0"/>
    <w:multiLevelType w:val="hybridMultilevel"/>
    <w:tmpl w:val="1DC68D78"/>
    <w:lvl w:ilvl="0" w:tplc="18527044">
      <w:start w:val="1"/>
      <w:numFmt w:val="bullet"/>
      <w:lvlText w:val="•"/>
      <w:lvlJc w:val="left"/>
      <w:pPr>
        <w:tabs>
          <w:tab w:val="num" w:pos="720"/>
        </w:tabs>
        <w:ind w:left="720" w:hanging="360"/>
      </w:pPr>
      <w:rPr>
        <w:rFonts w:ascii="Arial" w:hAnsi="Arial" w:cs="Arial" w:hint="default"/>
      </w:rPr>
    </w:lvl>
    <w:lvl w:ilvl="1" w:tplc="F5288FB6" w:tentative="1">
      <w:start w:val="1"/>
      <w:numFmt w:val="bullet"/>
      <w:lvlText w:val=""/>
      <w:lvlJc w:val="left"/>
      <w:pPr>
        <w:tabs>
          <w:tab w:val="num" w:pos="1440"/>
        </w:tabs>
        <w:ind w:left="1440" w:hanging="360"/>
      </w:pPr>
      <w:rPr>
        <w:rFonts w:ascii="Wingdings" w:hAnsi="Wingdings" w:cs="Wingdings" w:hint="default"/>
      </w:rPr>
    </w:lvl>
    <w:lvl w:ilvl="2" w:tplc="A3F459DC" w:tentative="1">
      <w:start w:val="1"/>
      <w:numFmt w:val="bullet"/>
      <w:lvlText w:val=""/>
      <w:lvlJc w:val="left"/>
      <w:pPr>
        <w:tabs>
          <w:tab w:val="num" w:pos="2160"/>
        </w:tabs>
        <w:ind w:left="2160" w:hanging="360"/>
      </w:pPr>
      <w:rPr>
        <w:rFonts w:ascii="Wingdings" w:hAnsi="Wingdings" w:cs="Wingdings" w:hint="default"/>
      </w:rPr>
    </w:lvl>
    <w:lvl w:ilvl="3" w:tplc="D5466ECE" w:tentative="1">
      <w:start w:val="1"/>
      <w:numFmt w:val="bullet"/>
      <w:lvlText w:val=""/>
      <w:lvlJc w:val="left"/>
      <w:pPr>
        <w:tabs>
          <w:tab w:val="num" w:pos="2880"/>
        </w:tabs>
        <w:ind w:left="2880" w:hanging="360"/>
      </w:pPr>
      <w:rPr>
        <w:rFonts w:ascii="Wingdings" w:hAnsi="Wingdings" w:cs="Wingdings" w:hint="default"/>
      </w:rPr>
    </w:lvl>
    <w:lvl w:ilvl="4" w:tplc="5BBE2168" w:tentative="1">
      <w:start w:val="1"/>
      <w:numFmt w:val="bullet"/>
      <w:lvlText w:val=""/>
      <w:lvlJc w:val="left"/>
      <w:pPr>
        <w:tabs>
          <w:tab w:val="num" w:pos="3600"/>
        </w:tabs>
        <w:ind w:left="3600" w:hanging="360"/>
      </w:pPr>
      <w:rPr>
        <w:rFonts w:ascii="Wingdings" w:hAnsi="Wingdings" w:cs="Wingdings" w:hint="default"/>
      </w:rPr>
    </w:lvl>
    <w:lvl w:ilvl="5" w:tplc="0EB0BCD6" w:tentative="1">
      <w:start w:val="1"/>
      <w:numFmt w:val="bullet"/>
      <w:lvlText w:val=""/>
      <w:lvlJc w:val="left"/>
      <w:pPr>
        <w:tabs>
          <w:tab w:val="num" w:pos="4320"/>
        </w:tabs>
        <w:ind w:left="4320" w:hanging="360"/>
      </w:pPr>
      <w:rPr>
        <w:rFonts w:ascii="Wingdings" w:hAnsi="Wingdings" w:cs="Wingdings" w:hint="default"/>
      </w:rPr>
    </w:lvl>
    <w:lvl w:ilvl="6" w:tplc="178CBCAE" w:tentative="1">
      <w:start w:val="1"/>
      <w:numFmt w:val="bullet"/>
      <w:lvlText w:val=""/>
      <w:lvlJc w:val="left"/>
      <w:pPr>
        <w:tabs>
          <w:tab w:val="num" w:pos="5040"/>
        </w:tabs>
        <w:ind w:left="5040" w:hanging="360"/>
      </w:pPr>
      <w:rPr>
        <w:rFonts w:ascii="Wingdings" w:hAnsi="Wingdings" w:cs="Wingdings" w:hint="default"/>
      </w:rPr>
    </w:lvl>
    <w:lvl w:ilvl="7" w:tplc="16CAC79A" w:tentative="1">
      <w:start w:val="1"/>
      <w:numFmt w:val="bullet"/>
      <w:lvlText w:val=""/>
      <w:lvlJc w:val="left"/>
      <w:pPr>
        <w:tabs>
          <w:tab w:val="num" w:pos="5760"/>
        </w:tabs>
        <w:ind w:left="5760" w:hanging="360"/>
      </w:pPr>
      <w:rPr>
        <w:rFonts w:ascii="Wingdings" w:hAnsi="Wingdings" w:cs="Wingdings" w:hint="default"/>
      </w:rPr>
    </w:lvl>
    <w:lvl w:ilvl="8" w:tplc="1652BF4A"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nsid w:val="56E00ADE"/>
    <w:multiLevelType w:val="hybridMultilevel"/>
    <w:tmpl w:val="5566AD0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hint="default"/>
      </w:rPr>
    </w:lvl>
    <w:lvl w:ilvl="1" w:tplc="04090003">
      <w:start w:val="1"/>
      <w:numFmt w:val="bullet"/>
      <w:lvlText w:val=""/>
      <w:lvlJc w:val="left"/>
      <w:pPr>
        <w:tabs>
          <w:tab w:val="num" w:pos="1092"/>
        </w:tabs>
        <w:ind w:left="1092" w:hanging="360"/>
      </w:pPr>
      <w:rPr>
        <w:rFonts w:ascii="Symbol" w:hAnsi="Symbol" w:cs="Symbol" w:hint="default"/>
        <w:color w:val="auto"/>
      </w:rPr>
    </w:lvl>
    <w:lvl w:ilvl="2" w:tplc="04090005" w:tentative="1">
      <w:start w:val="1"/>
      <w:numFmt w:val="lowerRoman"/>
      <w:lvlText w:val="%3."/>
      <w:lvlJc w:val="right"/>
      <w:pPr>
        <w:tabs>
          <w:tab w:val="num" w:pos="1812"/>
        </w:tabs>
        <w:ind w:left="1812" w:hanging="180"/>
      </w:pPr>
    </w:lvl>
    <w:lvl w:ilvl="3" w:tplc="04090001" w:tentative="1">
      <w:start w:val="1"/>
      <w:numFmt w:val="decimal"/>
      <w:lvlText w:val="%4."/>
      <w:lvlJc w:val="left"/>
      <w:pPr>
        <w:tabs>
          <w:tab w:val="num" w:pos="2532"/>
        </w:tabs>
        <w:ind w:left="2532" w:hanging="360"/>
      </w:pPr>
    </w:lvl>
    <w:lvl w:ilvl="4" w:tplc="04090003" w:tentative="1">
      <w:start w:val="1"/>
      <w:numFmt w:val="lowerLetter"/>
      <w:lvlText w:val="%5."/>
      <w:lvlJc w:val="left"/>
      <w:pPr>
        <w:tabs>
          <w:tab w:val="num" w:pos="3252"/>
        </w:tabs>
        <w:ind w:left="3252" w:hanging="360"/>
      </w:pPr>
    </w:lvl>
    <w:lvl w:ilvl="5" w:tplc="04090005" w:tentative="1">
      <w:start w:val="1"/>
      <w:numFmt w:val="lowerRoman"/>
      <w:lvlText w:val="%6."/>
      <w:lvlJc w:val="right"/>
      <w:pPr>
        <w:tabs>
          <w:tab w:val="num" w:pos="3972"/>
        </w:tabs>
        <w:ind w:left="3972" w:hanging="180"/>
      </w:pPr>
    </w:lvl>
    <w:lvl w:ilvl="6" w:tplc="04090001" w:tentative="1">
      <w:start w:val="1"/>
      <w:numFmt w:val="decimal"/>
      <w:lvlText w:val="%7."/>
      <w:lvlJc w:val="left"/>
      <w:pPr>
        <w:tabs>
          <w:tab w:val="num" w:pos="4692"/>
        </w:tabs>
        <w:ind w:left="4692" w:hanging="360"/>
      </w:pPr>
    </w:lvl>
    <w:lvl w:ilvl="7" w:tplc="04090003" w:tentative="1">
      <w:start w:val="1"/>
      <w:numFmt w:val="lowerLetter"/>
      <w:lvlText w:val="%8."/>
      <w:lvlJc w:val="left"/>
      <w:pPr>
        <w:tabs>
          <w:tab w:val="num" w:pos="5412"/>
        </w:tabs>
        <w:ind w:left="5412" w:hanging="360"/>
      </w:pPr>
    </w:lvl>
    <w:lvl w:ilvl="8" w:tplc="04090005" w:tentative="1">
      <w:start w:val="1"/>
      <w:numFmt w:val="lowerRoman"/>
      <w:lvlText w:val="%9."/>
      <w:lvlJc w:val="right"/>
      <w:pPr>
        <w:tabs>
          <w:tab w:val="num" w:pos="6132"/>
        </w:tabs>
        <w:ind w:left="6132" w:hanging="180"/>
      </w:pPr>
    </w:lvl>
  </w:abstractNum>
  <w:abstractNum w:abstractNumId="34">
    <w:nsid w:val="5CA03871"/>
    <w:multiLevelType w:val="hybridMultilevel"/>
    <w:tmpl w:val="13EC99B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5">
    <w:nsid w:val="5F2E2330"/>
    <w:multiLevelType w:val="hybridMultilevel"/>
    <w:tmpl w:val="31B67C2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6">
    <w:nsid w:val="5F614A38"/>
    <w:multiLevelType w:val="hybridMultilevel"/>
    <w:tmpl w:val="2AB48884"/>
    <w:lvl w:ilvl="0" w:tplc="967A2D8C">
      <w:start w:val="1"/>
      <w:numFmt w:val="bullet"/>
      <w:lvlText w:val=""/>
      <w:lvlJc w:val="left"/>
      <w:pPr>
        <w:tabs>
          <w:tab w:val="num" w:pos="720"/>
        </w:tabs>
        <w:ind w:left="720" w:hanging="360"/>
      </w:pPr>
      <w:rPr>
        <w:rFonts w:ascii="Symbol" w:hAnsi="Symbol" w:cs="Symbol" w:hint="default"/>
      </w:rPr>
    </w:lvl>
    <w:lvl w:ilvl="1" w:tplc="B34AA0AA" w:tentative="1">
      <w:start w:val="1"/>
      <w:numFmt w:val="bullet"/>
      <w:lvlText w:val=""/>
      <w:lvlJc w:val="left"/>
      <w:pPr>
        <w:tabs>
          <w:tab w:val="num" w:pos="1440"/>
        </w:tabs>
        <w:ind w:left="1440" w:hanging="360"/>
      </w:pPr>
      <w:rPr>
        <w:rFonts w:ascii="Symbol" w:hAnsi="Symbol" w:cs="Symbol" w:hint="default"/>
      </w:rPr>
    </w:lvl>
    <w:lvl w:ilvl="2" w:tplc="12CECC06" w:tentative="1">
      <w:start w:val="1"/>
      <w:numFmt w:val="bullet"/>
      <w:lvlText w:val=""/>
      <w:lvlJc w:val="left"/>
      <w:pPr>
        <w:tabs>
          <w:tab w:val="num" w:pos="2160"/>
        </w:tabs>
        <w:ind w:left="2160" w:hanging="360"/>
      </w:pPr>
      <w:rPr>
        <w:rFonts w:ascii="Symbol" w:hAnsi="Symbol" w:cs="Symbol" w:hint="default"/>
      </w:rPr>
    </w:lvl>
    <w:lvl w:ilvl="3" w:tplc="C1F463FE" w:tentative="1">
      <w:start w:val="1"/>
      <w:numFmt w:val="bullet"/>
      <w:lvlText w:val=""/>
      <w:lvlJc w:val="left"/>
      <w:pPr>
        <w:tabs>
          <w:tab w:val="num" w:pos="2880"/>
        </w:tabs>
        <w:ind w:left="2880" w:hanging="360"/>
      </w:pPr>
      <w:rPr>
        <w:rFonts w:ascii="Symbol" w:hAnsi="Symbol" w:cs="Symbol" w:hint="default"/>
      </w:rPr>
    </w:lvl>
    <w:lvl w:ilvl="4" w:tplc="9C5E5160" w:tentative="1">
      <w:start w:val="1"/>
      <w:numFmt w:val="bullet"/>
      <w:lvlText w:val=""/>
      <w:lvlJc w:val="left"/>
      <w:pPr>
        <w:tabs>
          <w:tab w:val="num" w:pos="3600"/>
        </w:tabs>
        <w:ind w:left="3600" w:hanging="360"/>
      </w:pPr>
      <w:rPr>
        <w:rFonts w:ascii="Symbol" w:hAnsi="Symbol" w:cs="Symbol" w:hint="default"/>
      </w:rPr>
    </w:lvl>
    <w:lvl w:ilvl="5" w:tplc="51385EF2" w:tentative="1">
      <w:start w:val="1"/>
      <w:numFmt w:val="bullet"/>
      <w:lvlText w:val=""/>
      <w:lvlJc w:val="left"/>
      <w:pPr>
        <w:tabs>
          <w:tab w:val="num" w:pos="4320"/>
        </w:tabs>
        <w:ind w:left="4320" w:hanging="360"/>
      </w:pPr>
      <w:rPr>
        <w:rFonts w:ascii="Symbol" w:hAnsi="Symbol" w:cs="Symbol" w:hint="default"/>
      </w:rPr>
    </w:lvl>
    <w:lvl w:ilvl="6" w:tplc="F3221970" w:tentative="1">
      <w:start w:val="1"/>
      <w:numFmt w:val="bullet"/>
      <w:lvlText w:val=""/>
      <w:lvlJc w:val="left"/>
      <w:pPr>
        <w:tabs>
          <w:tab w:val="num" w:pos="5040"/>
        </w:tabs>
        <w:ind w:left="5040" w:hanging="360"/>
      </w:pPr>
      <w:rPr>
        <w:rFonts w:ascii="Symbol" w:hAnsi="Symbol" w:cs="Symbol" w:hint="default"/>
      </w:rPr>
    </w:lvl>
    <w:lvl w:ilvl="7" w:tplc="62C6B544" w:tentative="1">
      <w:start w:val="1"/>
      <w:numFmt w:val="bullet"/>
      <w:lvlText w:val=""/>
      <w:lvlJc w:val="left"/>
      <w:pPr>
        <w:tabs>
          <w:tab w:val="num" w:pos="5760"/>
        </w:tabs>
        <w:ind w:left="5760" w:hanging="360"/>
      </w:pPr>
      <w:rPr>
        <w:rFonts w:ascii="Symbol" w:hAnsi="Symbol" w:cs="Symbol" w:hint="default"/>
      </w:rPr>
    </w:lvl>
    <w:lvl w:ilvl="8" w:tplc="9BD82F32" w:tentative="1">
      <w:start w:val="1"/>
      <w:numFmt w:val="bullet"/>
      <w:lvlText w:val=""/>
      <w:lvlJc w:val="left"/>
      <w:pPr>
        <w:tabs>
          <w:tab w:val="num" w:pos="6480"/>
        </w:tabs>
        <w:ind w:left="6480" w:hanging="360"/>
      </w:pPr>
      <w:rPr>
        <w:rFonts w:ascii="Symbol" w:hAnsi="Symbol" w:cs="Symbol" w:hint="default"/>
      </w:rPr>
    </w:lvl>
  </w:abstractNum>
  <w:abstractNum w:abstractNumId="37">
    <w:nsid w:val="62907AA2"/>
    <w:multiLevelType w:val="hybridMultilevel"/>
    <w:tmpl w:val="CEE82BA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8">
    <w:nsid w:val="63645043"/>
    <w:multiLevelType w:val="hybridMultilevel"/>
    <w:tmpl w:val="E7E286C2"/>
    <w:lvl w:ilvl="0" w:tplc="18527044">
      <w:start w:val="1"/>
      <w:numFmt w:val="bullet"/>
      <w:lvlText w:val="•"/>
      <w:lvlJc w:val="left"/>
      <w:pPr>
        <w:tabs>
          <w:tab w:val="num" w:pos="720"/>
        </w:tabs>
        <w:ind w:left="720" w:hanging="360"/>
      </w:pPr>
      <w:rPr>
        <w:rFonts w:ascii="Arial" w:hAnsi="Arial" w:cs="Arial" w:hint="default"/>
      </w:rPr>
    </w:lvl>
    <w:lvl w:ilvl="1" w:tplc="F6B2BF5A" w:tentative="1">
      <w:start w:val="1"/>
      <w:numFmt w:val="bullet"/>
      <w:lvlText w:val=""/>
      <w:lvlJc w:val="left"/>
      <w:pPr>
        <w:tabs>
          <w:tab w:val="num" w:pos="1440"/>
        </w:tabs>
        <w:ind w:left="1440" w:hanging="360"/>
      </w:pPr>
      <w:rPr>
        <w:rFonts w:ascii="Wingdings" w:hAnsi="Wingdings" w:cs="Wingdings" w:hint="default"/>
      </w:rPr>
    </w:lvl>
    <w:lvl w:ilvl="2" w:tplc="7DDCEB00" w:tentative="1">
      <w:start w:val="1"/>
      <w:numFmt w:val="bullet"/>
      <w:lvlText w:val=""/>
      <w:lvlJc w:val="left"/>
      <w:pPr>
        <w:tabs>
          <w:tab w:val="num" w:pos="2160"/>
        </w:tabs>
        <w:ind w:left="2160" w:hanging="360"/>
      </w:pPr>
      <w:rPr>
        <w:rFonts w:ascii="Wingdings" w:hAnsi="Wingdings" w:cs="Wingdings" w:hint="default"/>
      </w:rPr>
    </w:lvl>
    <w:lvl w:ilvl="3" w:tplc="18C0F16C" w:tentative="1">
      <w:start w:val="1"/>
      <w:numFmt w:val="bullet"/>
      <w:lvlText w:val=""/>
      <w:lvlJc w:val="left"/>
      <w:pPr>
        <w:tabs>
          <w:tab w:val="num" w:pos="2880"/>
        </w:tabs>
        <w:ind w:left="2880" w:hanging="360"/>
      </w:pPr>
      <w:rPr>
        <w:rFonts w:ascii="Wingdings" w:hAnsi="Wingdings" w:cs="Wingdings" w:hint="default"/>
      </w:rPr>
    </w:lvl>
    <w:lvl w:ilvl="4" w:tplc="63F2BCCE" w:tentative="1">
      <w:start w:val="1"/>
      <w:numFmt w:val="bullet"/>
      <w:lvlText w:val=""/>
      <w:lvlJc w:val="left"/>
      <w:pPr>
        <w:tabs>
          <w:tab w:val="num" w:pos="3600"/>
        </w:tabs>
        <w:ind w:left="3600" w:hanging="360"/>
      </w:pPr>
      <w:rPr>
        <w:rFonts w:ascii="Wingdings" w:hAnsi="Wingdings" w:cs="Wingdings" w:hint="default"/>
      </w:rPr>
    </w:lvl>
    <w:lvl w:ilvl="5" w:tplc="DC5E94BC" w:tentative="1">
      <w:start w:val="1"/>
      <w:numFmt w:val="bullet"/>
      <w:lvlText w:val=""/>
      <w:lvlJc w:val="left"/>
      <w:pPr>
        <w:tabs>
          <w:tab w:val="num" w:pos="4320"/>
        </w:tabs>
        <w:ind w:left="4320" w:hanging="360"/>
      </w:pPr>
      <w:rPr>
        <w:rFonts w:ascii="Wingdings" w:hAnsi="Wingdings" w:cs="Wingdings" w:hint="default"/>
      </w:rPr>
    </w:lvl>
    <w:lvl w:ilvl="6" w:tplc="925C4AE0" w:tentative="1">
      <w:start w:val="1"/>
      <w:numFmt w:val="bullet"/>
      <w:lvlText w:val=""/>
      <w:lvlJc w:val="left"/>
      <w:pPr>
        <w:tabs>
          <w:tab w:val="num" w:pos="5040"/>
        </w:tabs>
        <w:ind w:left="5040" w:hanging="360"/>
      </w:pPr>
      <w:rPr>
        <w:rFonts w:ascii="Wingdings" w:hAnsi="Wingdings" w:cs="Wingdings" w:hint="default"/>
      </w:rPr>
    </w:lvl>
    <w:lvl w:ilvl="7" w:tplc="FEE2E954" w:tentative="1">
      <w:start w:val="1"/>
      <w:numFmt w:val="bullet"/>
      <w:lvlText w:val=""/>
      <w:lvlJc w:val="left"/>
      <w:pPr>
        <w:tabs>
          <w:tab w:val="num" w:pos="5760"/>
        </w:tabs>
        <w:ind w:left="5760" w:hanging="360"/>
      </w:pPr>
      <w:rPr>
        <w:rFonts w:ascii="Wingdings" w:hAnsi="Wingdings" w:cs="Wingdings" w:hint="default"/>
      </w:rPr>
    </w:lvl>
    <w:lvl w:ilvl="8" w:tplc="C31CAC3C" w:tentative="1">
      <w:start w:val="1"/>
      <w:numFmt w:val="bullet"/>
      <w:lvlText w:val=""/>
      <w:lvlJc w:val="left"/>
      <w:pPr>
        <w:tabs>
          <w:tab w:val="num" w:pos="6480"/>
        </w:tabs>
        <w:ind w:left="6480" w:hanging="360"/>
      </w:pPr>
      <w:rPr>
        <w:rFonts w:ascii="Wingdings" w:hAnsi="Wingdings" w:cs="Wingdings" w:hint="default"/>
      </w:rPr>
    </w:lvl>
  </w:abstractNum>
  <w:abstractNum w:abstractNumId="39">
    <w:nsid w:val="63841196"/>
    <w:multiLevelType w:val="hybridMultilevel"/>
    <w:tmpl w:val="9CA4D72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0">
    <w:nsid w:val="66407484"/>
    <w:multiLevelType w:val="hybridMultilevel"/>
    <w:tmpl w:val="2C66B4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90711D1"/>
    <w:multiLevelType w:val="hybridMultilevel"/>
    <w:tmpl w:val="5A2CC69C"/>
    <w:lvl w:ilvl="0" w:tplc="2200DBC8">
      <w:start w:val="1"/>
      <w:numFmt w:val="bullet"/>
      <w:lvlText w:val="–"/>
      <w:lvlJc w:val="left"/>
      <w:pPr>
        <w:tabs>
          <w:tab w:val="num" w:pos="720"/>
        </w:tabs>
        <w:ind w:left="720" w:hanging="360"/>
      </w:pPr>
      <w:rPr>
        <w:rFonts w:ascii="Arial" w:hAnsi="Arial" w:cs="Arial" w:hint="default"/>
      </w:rPr>
    </w:lvl>
    <w:lvl w:ilvl="1" w:tplc="11868246">
      <w:start w:val="1"/>
      <w:numFmt w:val="bullet"/>
      <w:lvlText w:val="–"/>
      <w:lvlJc w:val="left"/>
      <w:pPr>
        <w:tabs>
          <w:tab w:val="num" w:pos="1440"/>
        </w:tabs>
        <w:ind w:left="1440" w:hanging="360"/>
      </w:pPr>
      <w:rPr>
        <w:rFonts w:ascii="Arial" w:hAnsi="Arial" w:cs="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cs="Arial" w:hint="default"/>
      </w:rPr>
    </w:lvl>
    <w:lvl w:ilvl="4" w:tplc="F9607A72" w:tentative="1">
      <w:start w:val="1"/>
      <w:numFmt w:val="bullet"/>
      <w:lvlText w:val="–"/>
      <w:lvlJc w:val="left"/>
      <w:pPr>
        <w:tabs>
          <w:tab w:val="num" w:pos="3600"/>
        </w:tabs>
        <w:ind w:left="3600" w:hanging="360"/>
      </w:pPr>
      <w:rPr>
        <w:rFonts w:ascii="Arial" w:hAnsi="Arial" w:cs="Arial" w:hint="default"/>
      </w:rPr>
    </w:lvl>
    <w:lvl w:ilvl="5" w:tplc="EF260C0E" w:tentative="1">
      <w:start w:val="1"/>
      <w:numFmt w:val="bullet"/>
      <w:lvlText w:val="–"/>
      <w:lvlJc w:val="left"/>
      <w:pPr>
        <w:tabs>
          <w:tab w:val="num" w:pos="4320"/>
        </w:tabs>
        <w:ind w:left="4320" w:hanging="360"/>
      </w:pPr>
      <w:rPr>
        <w:rFonts w:ascii="Arial" w:hAnsi="Arial" w:cs="Arial" w:hint="default"/>
      </w:rPr>
    </w:lvl>
    <w:lvl w:ilvl="6" w:tplc="C6FAF6F8" w:tentative="1">
      <w:start w:val="1"/>
      <w:numFmt w:val="bullet"/>
      <w:lvlText w:val="–"/>
      <w:lvlJc w:val="left"/>
      <w:pPr>
        <w:tabs>
          <w:tab w:val="num" w:pos="5040"/>
        </w:tabs>
        <w:ind w:left="5040" w:hanging="360"/>
      </w:pPr>
      <w:rPr>
        <w:rFonts w:ascii="Arial" w:hAnsi="Arial" w:cs="Arial" w:hint="default"/>
      </w:rPr>
    </w:lvl>
    <w:lvl w:ilvl="7" w:tplc="187A5F16" w:tentative="1">
      <w:start w:val="1"/>
      <w:numFmt w:val="bullet"/>
      <w:lvlText w:val="–"/>
      <w:lvlJc w:val="left"/>
      <w:pPr>
        <w:tabs>
          <w:tab w:val="num" w:pos="5760"/>
        </w:tabs>
        <w:ind w:left="5760" w:hanging="360"/>
      </w:pPr>
      <w:rPr>
        <w:rFonts w:ascii="Arial" w:hAnsi="Arial" w:cs="Arial" w:hint="default"/>
      </w:rPr>
    </w:lvl>
    <w:lvl w:ilvl="8" w:tplc="460804C2" w:tentative="1">
      <w:start w:val="1"/>
      <w:numFmt w:val="bullet"/>
      <w:lvlText w:val="–"/>
      <w:lvlJc w:val="left"/>
      <w:pPr>
        <w:tabs>
          <w:tab w:val="num" w:pos="6480"/>
        </w:tabs>
        <w:ind w:left="6480" w:hanging="360"/>
      </w:pPr>
      <w:rPr>
        <w:rFonts w:ascii="Arial" w:hAnsi="Arial" w:cs="Arial" w:hint="default"/>
      </w:rPr>
    </w:lvl>
  </w:abstractNum>
  <w:abstractNum w:abstractNumId="42">
    <w:nsid w:val="6FE90B09"/>
    <w:multiLevelType w:val="hybridMultilevel"/>
    <w:tmpl w:val="FF6697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4D974B4"/>
    <w:multiLevelType w:val="hybridMultilevel"/>
    <w:tmpl w:val="FCA85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57A119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9807395"/>
    <w:multiLevelType w:val="hybridMultilevel"/>
    <w:tmpl w:val="B3FECB2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6">
    <w:nsid w:val="7ACD4D8A"/>
    <w:multiLevelType w:val="multilevel"/>
    <w:tmpl w:val="0C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6"/>
  </w:num>
  <w:num w:numId="2">
    <w:abstractNumId w:val="17"/>
  </w:num>
  <w:num w:numId="3">
    <w:abstractNumId w:val="31"/>
  </w:num>
  <w:num w:numId="4">
    <w:abstractNumId w:val="33"/>
  </w:num>
  <w:num w:numId="5">
    <w:abstractNumId w:val="41"/>
  </w:num>
  <w:num w:numId="6">
    <w:abstractNumId w:val="38"/>
  </w:num>
  <w:num w:numId="7">
    <w:abstractNumId w:val="30"/>
  </w:num>
  <w:num w:numId="8">
    <w:abstractNumId w:val="1"/>
  </w:num>
  <w:num w:numId="9">
    <w:abstractNumId w:val="13"/>
  </w:num>
  <w:num w:numId="10">
    <w:abstractNumId w:val="18"/>
  </w:num>
  <w:num w:numId="11">
    <w:abstractNumId w:val="26"/>
  </w:num>
  <w:num w:numId="12">
    <w:abstractNumId w:val="22"/>
  </w:num>
  <w:num w:numId="13">
    <w:abstractNumId w:val="36"/>
  </w:num>
  <w:num w:numId="14">
    <w:abstractNumId w:val="11"/>
  </w:num>
  <w:num w:numId="15">
    <w:abstractNumId w:val="29"/>
  </w:num>
  <w:num w:numId="16">
    <w:abstractNumId w:val="6"/>
  </w:num>
  <w:num w:numId="17">
    <w:abstractNumId w:val="32"/>
  </w:num>
  <w:num w:numId="18">
    <w:abstractNumId w:val="37"/>
  </w:num>
  <w:num w:numId="19">
    <w:abstractNumId w:val="24"/>
  </w:num>
  <w:num w:numId="20">
    <w:abstractNumId w:val="7"/>
  </w:num>
  <w:num w:numId="21">
    <w:abstractNumId w:val="15"/>
  </w:num>
  <w:num w:numId="22">
    <w:abstractNumId w:val="34"/>
  </w:num>
  <w:num w:numId="23">
    <w:abstractNumId w:val="12"/>
  </w:num>
  <w:num w:numId="24">
    <w:abstractNumId w:val="19"/>
  </w:num>
  <w:num w:numId="25">
    <w:abstractNumId w:val="8"/>
  </w:num>
  <w:num w:numId="26">
    <w:abstractNumId w:val="2"/>
  </w:num>
  <w:num w:numId="27">
    <w:abstractNumId w:val="45"/>
  </w:num>
  <w:num w:numId="28">
    <w:abstractNumId w:val="3"/>
  </w:num>
  <w:num w:numId="29">
    <w:abstractNumId w:val="10"/>
  </w:num>
  <w:num w:numId="30">
    <w:abstractNumId w:val="9"/>
  </w:num>
  <w:num w:numId="31">
    <w:abstractNumId w:val="39"/>
  </w:num>
  <w:num w:numId="32">
    <w:abstractNumId w:val="14"/>
  </w:num>
  <w:num w:numId="33">
    <w:abstractNumId w:val="25"/>
  </w:num>
  <w:num w:numId="34">
    <w:abstractNumId w:val="21"/>
  </w:num>
  <w:num w:numId="35">
    <w:abstractNumId w:val="35"/>
  </w:num>
  <w:num w:numId="36">
    <w:abstractNumId w:val="40"/>
  </w:num>
  <w:num w:numId="37">
    <w:abstractNumId w:val="4"/>
  </w:num>
  <w:num w:numId="38">
    <w:abstractNumId w:val="43"/>
  </w:num>
  <w:num w:numId="39">
    <w:abstractNumId w:val="28"/>
  </w:num>
  <w:num w:numId="40">
    <w:abstractNumId w:val="0"/>
  </w:num>
  <w:num w:numId="41">
    <w:abstractNumId w:val="44"/>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42">
    <w:abstractNumId w:val="44"/>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43">
    <w:abstractNumId w:val="44"/>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44">
    <w:abstractNumId w:val="42"/>
  </w:num>
  <w:num w:numId="45">
    <w:abstractNumId w:val="5"/>
  </w:num>
  <w:num w:numId="46">
    <w:abstractNumId w:val="23"/>
  </w:num>
  <w:num w:numId="47">
    <w:abstractNumId w:val="16"/>
  </w:num>
  <w:num w:numId="48">
    <w:abstractNumId w:val="27"/>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4C"/>
    <w:rsid w:val="00055187"/>
    <w:rsid w:val="00067E53"/>
    <w:rsid w:val="00084A0F"/>
    <w:rsid w:val="000C64A1"/>
    <w:rsid w:val="000D1D7E"/>
    <w:rsid w:val="000D657F"/>
    <w:rsid w:val="0010279E"/>
    <w:rsid w:val="001341E4"/>
    <w:rsid w:val="001C0B51"/>
    <w:rsid w:val="00217AEA"/>
    <w:rsid w:val="00235987"/>
    <w:rsid w:val="00263605"/>
    <w:rsid w:val="002669A5"/>
    <w:rsid w:val="0027300E"/>
    <w:rsid w:val="00290FA3"/>
    <w:rsid w:val="002954BC"/>
    <w:rsid w:val="0029607F"/>
    <w:rsid w:val="002C6039"/>
    <w:rsid w:val="002E2115"/>
    <w:rsid w:val="002F0E52"/>
    <w:rsid w:val="00301FF6"/>
    <w:rsid w:val="003115E8"/>
    <w:rsid w:val="00343707"/>
    <w:rsid w:val="00346770"/>
    <w:rsid w:val="00346E27"/>
    <w:rsid w:val="003537C0"/>
    <w:rsid w:val="00361EC1"/>
    <w:rsid w:val="00367D0D"/>
    <w:rsid w:val="00386FCC"/>
    <w:rsid w:val="00457080"/>
    <w:rsid w:val="004845CD"/>
    <w:rsid w:val="004E0546"/>
    <w:rsid w:val="005267A6"/>
    <w:rsid w:val="00541DD2"/>
    <w:rsid w:val="00561888"/>
    <w:rsid w:val="005B3E53"/>
    <w:rsid w:val="005C74E9"/>
    <w:rsid w:val="005F3212"/>
    <w:rsid w:val="00603765"/>
    <w:rsid w:val="00644BC2"/>
    <w:rsid w:val="00660BD5"/>
    <w:rsid w:val="00664A00"/>
    <w:rsid w:val="00672CC1"/>
    <w:rsid w:val="006900BA"/>
    <w:rsid w:val="006B17D1"/>
    <w:rsid w:val="006C795F"/>
    <w:rsid w:val="006D54F5"/>
    <w:rsid w:val="006D6207"/>
    <w:rsid w:val="006E64E7"/>
    <w:rsid w:val="006E6D8C"/>
    <w:rsid w:val="006F7A53"/>
    <w:rsid w:val="00717658"/>
    <w:rsid w:val="00721B85"/>
    <w:rsid w:val="00727591"/>
    <w:rsid w:val="00727623"/>
    <w:rsid w:val="00741CD0"/>
    <w:rsid w:val="00755341"/>
    <w:rsid w:val="00783457"/>
    <w:rsid w:val="007918E1"/>
    <w:rsid w:val="00792F87"/>
    <w:rsid w:val="007E1DD6"/>
    <w:rsid w:val="007E2A3E"/>
    <w:rsid w:val="007F20A9"/>
    <w:rsid w:val="0081662D"/>
    <w:rsid w:val="00845DED"/>
    <w:rsid w:val="00860C7F"/>
    <w:rsid w:val="0086354C"/>
    <w:rsid w:val="00922E95"/>
    <w:rsid w:val="009426B4"/>
    <w:rsid w:val="00951485"/>
    <w:rsid w:val="00963AB8"/>
    <w:rsid w:val="009846BF"/>
    <w:rsid w:val="00997797"/>
    <w:rsid w:val="009D5A11"/>
    <w:rsid w:val="00A876EF"/>
    <w:rsid w:val="00AD1199"/>
    <w:rsid w:val="00AD5422"/>
    <w:rsid w:val="00B05A88"/>
    <w:rsid w:val="00B53AE3"/>
    <w:rsid w:val="00BC2463"/>
    <w:rsid w:val="00C43D5D"/>
    <w:rsid w:val="00D00E5B"/>
    <w:rsid w:val="00D25819"/>
    <w:rsid w:val="00D32C81"/>
    <w:rsid w:val="00D41B20"/>
    <w:rsid w:val="00D77005"/>
    <w:rsid w:val="00D82BC0"/>
    <w:rsid w:val="00DA5991"/>
    <w:rsid w:val="00DF18AF"/>
    <w:rsid w:val="00E36C94"/>
    <w:rsid w:val="00E73F30"/>
    <w:rsid w:val="00E74EF1"/>
    <w:rsid w:val="00E97479"/>
    <w:rsid w:val="00EA7C9E"/>
    <w:rsid w:val="00EC136F"/>
    <w:rsid w:val="00F16C6B"/>
    <w:rsid w:val="00F31E2B"/>
    <w:rsid w:val="00F409DB"/>
    <w:rsid w:val="00F634A4"/>
    <w:rsid w:val="00FF5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54C"/>
    <w:pPr>
      <w:spacing w:after="240" w:line="312" w:lineRule="auto"/>
      <w:jc w:val="both"/>
    </w:pPr>
    <w:rPr>
      <w:rFonts w:ascii="Tahoma" w:eastAsia="SimSun" w:hAnsi="Tahoma" w:cs="Tahoma"/>
      <w:sz w:val="24"/>
      <w:szCs w:val="24"/>
      <w:lang w:eastAsia="zh-CN"/>
    </w:rPr>
  </w:style>
  <w:style w:type="paragraph" w:styleId="Heading1">
    <w:name w:val="heading 1"/>
    <w:basedOn w:val="Normal"/>
    <w:next w:val="Normal"/>
    <w:link w:val="Heading1Char"/>
    <w:uiPriority w:val="99"/>
    <w:qFormat/>
    <w:rsid w:val="0086354C"/>
    <w:pPr>
      <w:keepNext/>
      <w:spacing w:before="360" w:after="160"/>
      <w:outlineLvl w:val="0"/>
    </w:pPr>
    <w:rPr>
      <w:b/>
      <w:bCs/>
      <w:color w:val="215868"/>
    </w:rPr>
  </w:style>
  <w:style w:type="paragraph" w:styleId="Heading2">
    <w:name w:val="heading 2"/>
    <w:basedOn w:val="Normal"/>
    <w:next w:val="Normal"/>
    <w:link w:val="Heading2Char"/>
    <w:uiPriority w:val="99"/>
    <w:qFormat/>
    <w:rsid w:val="0086354C"/>
    <w:pPr>
      <w:keepNext/>
      <w:spacing w:before="240" w:after="160"/>
      <w:outlineLvl w:val="1"/>
    </w:pPr>
    <w:rPr>
      <w:b/>
      <w:bCs/>
      <w:color w:val="215868"/>
      <w:lang w:val="en-GB" w:eastAsia="ja-JP"/>
    </w:rPr>
  </w:style>
  <w:style w:type="paragraph" w:styleId="Heading3">
    <w:name w:val="heading 3"/>
    <w:basedOn w:val="Normal"/>
    <w:next w:val="Normal"/>
    <w:link w:val="Heading3Char"/>
    <w:uiPriority w:val="99"/>
    <w:qFormat/>
    <w:rsid w:val="0086354C"/>
    <w:pPr>
      <w:keepNext/>
      <w:spacing w:after="120"/>
      <w:outlineLvl w:val="2"/>
    </w:pPr>
    <w:rPr>
      <w:color w:val="41A7BF"/>
    </w:rPr>
  </w:style>
  <w:style w:type="paragraph" w:styleId="Heading4">
    <w:name w:val="heading 4"/>
    <w:basedOn w:val="Normal"/>
    <w:next w:val="Normal"/>
    <w:link w:val="Heading4Char"/>
    <w:uiPriority w:val="99"/>
    <w:qFormat/>
    <w:rsid w:val="0086354C"/>
    <w:pPr>
      <w:keepNext/>
      <w:numPr>
        <w:ilvl w:val="3"/>
        <w:numId w:val="1"/>
      </w:numPr>
      <w:outlineLvl w:val="3"/>
    </w:pPr>
    <w:rPr>
      <w:u w:val="single"/>
    </w:rPr>
  </w:style>
  <w:style w:type="paragraph" w:styleId="Heading5">
    <w:name w:val="heading 5"/>
    <w:basedOn w:val="Normal"/>
    <w:next w:val="Normal"/>
    <w:link w:val="Heading5Char"/>
    <w:uiPriority w:val="99"/>
    <w:qFormat/>
    <w:rsid w:val="0086354C"/>
    <w:pPr>
      <w:keepNext/>
      <w:numPr>
        <w:ilvl w:val="4"/>
        <w:numId w:val="1"/>
      </w:numPr>
      <w:tabs>
        <w:tab w:val="left" w:pos="709"/>
      </w:tabs>
      <w:outlineLvl w:val="4"/>
    </w:pPr>
    <w:rPr>
      <w:b/>
      <w:bCs/>
      <w:i/>
      <w:iCs/>
    </w:rPr>
  </w:style>
  <w:style w:type="paragraph" w:styleId="Heading6">
    <w:name w:val="heading 6"/>
    <w:basedOn w:val="Normal"/>
    <w:next w:val="Normal"/>
    <w:link w:val="Heading6Char"/>
    <w:uiPriority w:val="99"/>
    <w:qFormat/>
    <w:rsid w:val="0086354C"/>
    <w:pPr>
      <w:keepNext/>
      <w:numPr>
        <w:ilvl w:val="5"/>
        <w:numId w:val="1"/>
      </w:numPr>
      <w:jc w:val="center"/>
      <w:outlineLvl w:val="5"/>
    </w:pPr>
    <w:rPr>
      <w:b/>
      <w:bCs/>
      <w:sz w:val="28"/>
      <w:szCs w:val="28"/>
    </w:rPr>
  </w:style>
  <w:style w:type="paragraph" w:styleId="Heading7">
    <w:name w:val="heading 7"/>
    <w:basedOn w:val="Normal"/>
    <w:next w:val="Normal"/>
    <w:link w:val="Heading7Char"/>
    <w:uiPriority w:val="99"/>
    <w:qFormat/>
    <w:rsid w:val="0086354C"/>
    <w:pPr>
      <w:keepNext/>
      <w:outlineLvl w:val="6"/>
    </w:pPr>
    <w:rPr>
      <w:i/>
      <w:iCs/>
    </w:rPr>
  </w:style>
  <w:style w:type="paragraph" w:styleId="Heading8">
    <w:name w:val="heading 8"/>
    <w:basedOn w:val="Normal"/>
    <w:next w:val="Normal"/>
    <w:link w:val="Heading8Char"/>
    <w:uiPriority w:val="99"/>
    <w:qFormat/>
    <w:rsid w:val="0086354C"/>
    <w:pPr>
      <w:keepNext/>
      <w:numPr>
        <w:ilvl w:val="7"/>
        <w:numId w:val="1"/>
      </w:numPr>
      <w:spacing w:line="288" w:lineRule="auto"/>
      <w:jc w:val="center"/>
      <w:outlineLvl w:val="7"/>
    </w:pPr>
    <w:rPr>
      <w:sz w:val="48"/>
      <w:szCs w:val="48"/>
    </w:rPr>
  </w:style>
  <w:style w:type="paragraph" w:styleId="Heading9">
    <w:name w:val="heading 9"/>
    <w:basedOn w:val="Normal"/>
    <w:next w:val="Normal"/>
    <w:link w:val="Heading9Char"/>
    <w:uiPriority w:val="99"/>
    <w:qFormat/>
    <w:rsid w:val="0086354C"/>
    <w:pPr>
      <w:keepNext/>
      <w:numPr>
        <w:ilvl w:val="8"/>
        <w:numId w:val="1"/>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354C"/>
    <w:rPr>
      <w:rFonts w:ascii="Tahoma" w:eastAsia="SimSun" w:hAnsi="Tahoma" w:cs="Tahoma"/>
      <w:b/>
      <w:bCs/>
      <w:color w:val="215868"/>
      <w:sz w:val="24"/>
      <w:szCs w:val="24"/>
      <w:lang w:eastAsia="zh-CN"/>
    </w:rPr>
  </w:style>
  <w:style w:type="character" w:customStyle="1" w:styleId="Heading2Char">
    <w:name w:val="Heading 2 Char"/>
    <w:basedOn w:val="DefaultParagraphFont"/>
    <w:link w:val="Heading2"/>
    <w:uiPriority w:val="99"/>
    <w:rsid w:val="0086354C"/>
    <w:rPr>
      <w:rFonts w:ascii="Tahoma" w:eastAsia="SimSun" w:hAnsi="Tahoma" w:cs="Tahoma"/>
      <w:b/>
      <w:bCs/>
      <w:color w:val="215868"/>
      <w:sz w:val="24"/>
      <w:szCs w:val="24"/>
      <w:lang w:val="en-GB" w:eastAsia="ja-JP"/>
    </w:rPr>
  </w:style>
  <w:style w:type="character" w:customStyle="1" w:styleId="Heading3Char">
    <w:name w:val="Heading 3 Char"/>
    <w:basedOn w:val="DefaultParagraphFont"/>
    <w:link w:val="Heading3"/>
    <w:uiPriority w:val="99"/>
    <w:rsid w:val="0086354C"/>
    <w:rPr>
      <w:rFonts w:ascii="Tahoma" w:eastAsia="SimSun" w:hAnsi="Tahoma" w:cs="Tahoma"/>
      <w:color w:val="41A7BF"/>
      <w:sz w:val="24"/>
      <w:szCs w:val="24"/>
      <w:lang w:eastAsia="zh-CN"/>
    </w:rPr>
  </w:style>
  <w:style w:type="character" w:customStyle="1" w:styleId="Heading4Char">
    <w:name w:val="Heading 4 Char"/>
    <w:basedOn w:val="DefaultParagraphFont"/>
    <w:link w:val="Heading4"/>
    <w:uiPriority w:val="99"/>
    <w:rsid w:val="0086354C"/>
    <w:rPr>
      <w:rFonts w:ascii="Tahoma" w:eastAsia="SimSun" w:hAnsi="Tahoma" w:cs="Tahoma"/>
      <w:sz w:val="24"/>
      <w:szCs w:val="24"/>
      <w:u w:val="single"/>
      <w:lang w:eastAsia="zh-CN"/>
    </w:rPr>
  </w:style>
  <w:style w:type="character" w:customStyle="1" w:styleId="Heading5Char">
    <w:name w:val="Heading 5 Char"/>
    <w:basedOn w:val="DefaultParagraphFont"/>
    <w:link w:val="Heading5"/>
    <w:uiPriority w:val="99"/>
    <w:rsid w:val="0086354C"/>
    <w:rPr>
      <w:rFonts w:ascii="Tahoma" w:eastAsia="SimSun" w:hAnsi="Tahoma" w:cs="Tahoma"/>
      <w:b/>
      <w:bCs/>
      <w:i/>
      <w:iCs/>
      <w:sz w:val="24"/>
      <w:szCs w:val="24"/>
      <w:lang w:eastAsia="zh-CN"/>
    </w:rPr>
  </w:style>
  <w:style w:type="character" w:customStyle="1" w:styleId="Heading6Char">
    <w:name w:val="Heading 6 Char"/>
    <w:basedOn w:val="DefaultParagraphFont"/>
    <w:link w:val="Heading6"/>
    <w:uiPriority w:val="99"/>
    <w:rsid w:val="0086354C"/>
    <w:rPr>
      <w:rFonts w:ascii="Tahoma" w:eastAsia="SimSun" w:hAnsi="Tahoma" w:cs="Tahoma"/>
      <w:b/>
      <w:bCs/>
      <w:sz w:val="28"/>
      <w:szCs w:val="28"/>
      <w:lang w:eastAsia="zh-CN"/>
    </w:rPr>
  </w:style>
  <w:style w:type="character" w:customStyle="1" w:styleId="Heading7Char">
    <w:name w:val="Heading 7 Char"/>
    <w:basedOn w:val="DefaultParagraphFont"/>
    <w:link w:val="Heading7"/>
    <w:uiPriority w:val="99"/>
    <w:rsid w:val="0086354C"/>
    <w:rPr>
      <w:rFonts w:ascii="Tahoma" w:eastAsia="SimSun" w:hAnsi="Tahoma" w:cs="Tahoma"/>
      <w:i/>
      <w:iCs/>
      <w:sz w:val="24"/>
      <w:szCs w:val="24"/>
      <w:lang w:eastAsia="zh-CN"/>
    </w:rPr>
  </w:style>
  <w:style w:type="character" w:customStyle="1" w:styleId="Heading8Char">
    <w:name w:val="Heading 8 Char"/>
    <w:basedOn w:val="DefaultParagraphFont"/>
    <w:link w:val="Heading8"/>
    <w:uiPriority w:val="99"/>
    <w:rsid w:val="0086354C"/>
    <w:rPr>
      <w:rFonts w:ascii="Tahoma" w:eastAsia="SimSun" w:hAnsi="Tahoma" w:cs="Tahoma"/>
      <w:sz w:val="48"/>
      <w:szCs w:val="48"/>
      <w:lang w:eastAsia="zh-CN"/>
    </w:rPr>
  </w:style>
  <w:style w:type="character" w:customStyle="1" w:styleId="Heading9Char">
    <w:name w:val="Heading 9 Char"/>
    <w:basedOn w:val="DefaultParagraphFont"/>
    <w:link w:val="Heading9"/>
    <w:uiPriority w:val="99"/>
    <w:rsid w:val="0086354C"/>
    <w:rPr>
      <w:rFonts w:ascii="Tahoma" w:eastAsia="SimSun" w:hAnsi="Tahoma" w:cs="Tahoma"/>
      <w:i/>
      <w:iCs/>
      <w:sz w:val="24"/>
      <w:szCs w:val="24"/>
      <w:lang w:eastAsia="zh-CN"/>
    </w:rPr>
  </w:style>
  <w:style w:type="paragraph" w:customStyle="1" w:styleId="Attachmentheading">
    <w:name w:val="Attachment heading"/>
    <w:basedOn w:val="Normal"/>
    <w:next w:val="Normal"/>
    <w:uiPriority w:val="99"/>
    <w:rsid w:val="0086354C"/>
    <w:pPr>
      <w:tabs>
        <w:tab w:val="left" w:pos="2552"/>
      </w:tabs>
      <w:spacing w:line="264" w:lineRule="auto"/>
      <w:ind w:left="2552" w:hanging="2552"/>
    </w:pPr>
    <w:rPr>
      <w:b/>
      <w:bCs/>
    </w:rPr>
  </w:style>
  <w:style w:type="paragraph" w:styleId="BalloonText">
    <w:name w:val="Balloon Text"/>
    <w:basedOn w:val="Normal"/>
    <w:link w:val="BalloonTextChar"/>
    <w:uiPriority w:val="99"/>
    <w:semiHidden/>
    <w:rsid w:val="0086354C"/>
    <w:pPr>
      <w:spacing w:line="240" w:lineRule="auto"/>
    </w:pPr>
    <w:rPr>
      <w:sz w:val="16"/>
      <w:szCs w:val="16"/>
    </w:rPr>
  </w:style>
  <w:style w:type="character" w:customStyle="1" w:styleId="BalloonTextChar">
    <w:name w:val="Balloon Text Char"/>
    <w:basedOn w:val="DefaultParagraphFont"/>
    <w:link w:val="BalloonText"/>
    <w:uiPriority w:val="99"/>
    <w:semiHidden/>
    <w:rsid w:val="0086354C"/>
    <w:rPr>
      <w:rFonts w:ascii="Tahoma" w:eastAsia="SimSun" w:hAnsi="Tahoma" w:cs="Tahoma"/>
      <w:sz w:val="16"/>
      <w:szCs w:val="16"/>
      <w:lang w:eastAsia="zh-CN"/>
    </w:rPr>
  </w:style>
  <w:style w:type="paragraph" w:customStyle="1" w:styleId="Bulletedtext">
    <w:name w:val="Bulleted text"/>
    <w:basedOn w:val="Normal"/>
    <w:uiPriority w:val="99"/>
    <w:rsid w:val="0086354C"/>
    <w:pPr>
      <w:tabs>
        <w:tab w:val="left" w:pos="2835"/>
      </w:tabs>
    </w:pPr>
  </w:style>
  <w:style w:type="paragraph" w:customStyle="1" w:styleId="Bulletedtext2ndlevel">
    <w:name w:val="Bulleted text 2nd level"/>
    <w:basedOn w:val="Normal"/>
    <w:uiPriority w:val="99"/>
    <w:rsid w:val="0086354C"/>
    <w:pPr>
      <w:tabs>
        <w:tab w:val="num" w:pos="720"/>
      </w:tabs>
      <w:ind w:left="720" w:hanging="360"/>
      <w:jc w:val="left"/>
    </w:pPr>
  </w:style>
  <w:style w:type="paragraph" w:customStyle="1" w:styleId="Captioncontinued">
    <w:name w:val="Caption (continued)"/>
    <w:basedOn w:val="Normal"/>
    <w:next w:val="Normal"/>
    <w:uiPriority w:val="99"/>
    <w:rsid w:val="0086354C"/>
    <w:pPr>
      <w:tabs>
        <w:tab w:val="left" w:pos="2880"/>
      </w:tabs>
      <w:spacing w:after="120" w:line="240" w:lineRule="auto"/>
      <w:ind w:left="2880" w:hanging="2880"/>
      <w:jc w:val="left"/>
    </w:pPr>
    <w:rPr>
      <w:i/>
      <w:iCs/>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86354C"/>
    <w:rPr>
      <w:i/>
      <w:iCs/>
      <w:sz w:val="24"/>
      <w:szCs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6354C"/>
    <w:pPr>
      <w:keepNext/>
      <w:spacing w:after="40" w:line="240" w:lineRule="auto"/>
      <w:ind w:left="709" w:hanging="709"/>
      <w:jc w:val="left"/>
    </w:pPr>
    <w:rPr>
      <w:rFonts w:ascii="Arial Narrow" w:eastAsia="Times New Roman" w:hAnsi="Arial Narrow" w:cs="Arial Narrow"/>
      <w:b/>
      <w:bCs/>
      <w:lang w:val="en-GB" w:eastAsia="ja-JP"/>
    </w:rPr>
  </w:style>
  <w:style w:type="character" w:styleId="CommentReference">
    <w:name w:val="annotation reference"/>
    <w:basedOn w:val="DefaultParagraphFont"/>
    <w:uiPriority w:val="99"/>
    <w:semiHidden/>
    <w:rsid w:val="0086354C"/>
    <w:rPr>
      <w:sz w:val="16"/>
      <w:szCs w:val="16"/>
    </w:rPr>
  </w:style>
  <w:style w:type="paragraph" w:styleId="CommentText">
    <w:name w:val="annotation text"/>
    <w:basedOn w:val="Normal"/>
    <w:link w:val="CommentTextChar"/>
    <w:uiPriority w:val="99"/>
    <w:semiHidden/>
    <w:rsid w:val="0086354C"/>
  </w:style>
  <w:style w:type="character" w:customStyle="1" w:styleId="CommentTextChar">
    <w:name w:val="Comment Text Char"/>
    <w:basedOn w:val="DefaultParagraphFont"/>
    <w:link w:val="CommentText"/>
    <w:uiPriority w:val="99"/>
    <w:semiHidden/>
    <w:rsid w:val="0086354C"/>
    <w:rPr>
      <w:rFonts w:ascii="Tahoma" w:eastAsia="SimSun" w:hAnsi="Tahoma" w:cs="Tahoma"/>
      <w:sz w:val="24"/>
      <w:szCs w:val="24"/>
      <w:lang w:eastAsia="zh-CN"/>
    </w:rPr>
  </w:style>
  <w:style w:type="paragraph" w:styleId="CommentSubject">
    <w:name w:val="annotation subject"/>
    <w:basedOn w:val="CommentText"/>
    <w:next w:val="CommentText"/>
    <w:link w:val="CommentSubjectChar"/>
    <w:uiPriority w:val="99"/>
    <w:semiHidden/>
    <w:rsid w:val="0086354C"/>
    <w:rPr>
      <w:b/>
      <w:bCs/>
    </w:rPr>
  </w:style>
  <w:style w:type="character" w:customStyle="1" w:styleId="CommentSubjectChar">
    <w:name w:val="Comment Subject Char"/>
    <w:basedOn w:val="CommentTextChar"/>
    <w:link w:val="CommentSubject"/>
    <w:uiPriority w:val="99"/>
    <w:semiHidden/>
    <w:rsid w:val="0086354C"/>
    <w:rPr>
      <w:rFonts w:ascii="Tahoma" w:eastAsia="SimSun" w:hAnsi="Tahoma" w:cs="Tahoma"/>
      <w:b/>
      <w:bCs/>
      <w:sz w:val="24"/>
      <w:szCs w:val="24"/>
      <w:lang w:eastAsia="zh-CN"/>
    </w:rPr>
  </w:style>
  <w:style w:type="paragraph" w:customStyle="1" w:styleId="Execsummary">
    <w:name w:val="Exec summary"/>
    <w:basedOn w:val="Normal"/>
    <w:uiPriority w:val="99"/>
    <w:semiHidden/>
    <w:rsid w:val="0086354C"/>
    <w:pPr>
      <w:spacing w:line="288" w:lineRule="auto"/>
    </w:pPr>
    <w:rPr>
      <w:sz w:val="22"/>
      <w:szCs w:val="22"/>
    </w:rPr>
  </w:style>
  <w:style w:type="paragraph" w:styleId="Footer">
    <w:name w:val="footer"/>
    <w:basedOn w:val="Normal"/>
    <w:link w:val="FooterChar"/>
    <w:uiPriority w:val="99"/>
    <w:rsid w:val="0086354C"/>
    <w:pPr>
      <w:tabs>
        <w:tab w:val="center" w:pos="4320"/>
        <w:tab w:val="right" w:pos="8640"/>
      </w:tabs>
    </w:pPr>
  </w:style>
  <w:style w:type="character" w:customStyle="1" w:styleId="FooterChar">
    <w:name w:val="Footer Char"/>
    <w:basedOn w:val="DefaultParagraphFont"/>
    <w:link w:val="Footer"/>
    <w:uiPriority w:val="99"/>
    <w:rsid w:val="0086354C"/>
    <w:rPr>
      <w:rFonts w:ascii="Tahoma" w:eastAsia="SimSun" w:hAnsi="Tahoma" w:cs="Tahoma"/>
      <w:sz w:val="24"/>
      <w:szCs w:val="24"/>
      <w:lang w:eastAsia="zh-CN"/>
    </w:rPr>
  </w:style>
  <w:style w:type="character" w:styleId="FootnoteReference">
    <w:name w:val="footnote reference"/>
    <w:basedOn w:val="DefaultParagraphFont"/>
    <w:uiPriority w:val="99"/>
    <w:semiHidden/>
    <w:rsid w:val="0086354C"/>
    <w:rPr>
      <w:vertAlign w:val="superscript"/>
    </w:rPr>
  </w:style>
  <w:style w:type="paragraph" w:styleId="FootnoteText">
    <w:name w:val="footnote text"/>
    <w:basedOn w:val="Normal"/>
    <w:link w:val="FootnoteTextChar"/>
    <w:uiPriority w:val="99"/>
    <w:semiHidden/>
    <w:rsid w:val="0086354C"/>
    <w:pPr>
      <w:spacing w:line="240" w:lineRule="auto"/>
      <w:jc w:val="left"/>
    </w:pPr>
    <w:rPr>
      <w:rFonts w:ascii="Calibri" w:eastAsia="Calibri" w:hAnsi="Calibri" w:cs="Calibri"/>
      <w:lang w:eastAsia="en-US"/>
    </w:rPr>
  </w:style>
  <w:style w:type="character" w:customStyle="1" w:styleId="FootnoteTextChar">
    <w:name w:val="Footnote Text Char"/>
    <w:basedOn w:val="DefaultParagraphFont"/>
    <w:link w:val="FootnoteText"/>
    <w:uiPriority w:val="99"/>
    <w:semiHidden/>
    <w:rsid w:val="0086354C"/>
    <w:rPr>
      <w:rFonts w:ascii="Calibri" w:eastAsia="Calibri" w:hAnsi="Calibri" w:cs="Calibri"/>
      <w:sz w:val="24"/>
      <w:szCs w:val="24"/>
    </w:rPr>
  </w:style>
  <w:style w:type="paragraph" w:customStyle="1" w:styleId="GMHEADING1">
    <w:name w:val="GMHEADING1"/>
    <w:basedOn w:val="Normal"/>
    <w:next w:val="Normal"/>
    <w:uiPriority w:val="99"/>
    <w:rsid w:val="0086354C"/>
    <w:pPr>
      <w:tabs>
        <w:tab w:val="left" w:pos="1276"/>
      </w:tabs>
      <w:spacing w:after="120" w:line="264" w:lineRule="auto"/>
      <w:ind w:left="1276" w:hanging="1276"/>
      <w:jc w:val="left"/>
    </w:pPr>
    <w:rPr>
      <w:b/>
      <w:bCs/>
      <w:sz w:val="27"/>
      <w:szCs w:val="27"/>
    </w:rPr>
  </w:style>
  <w:style w:type="paragraph" w:customStyle="1" w:styleId="GMHeading2">
    <w:name w:val="GMHeading2"/>
    <w:basedOn w:val="Normal"/>
    <w:next w:val="Normal"/>
    <w:uiPriority w:val="99"/>
    <w:rsid w:val="0086354C"/>
    <w:pPr>
      <w:tabs>
        <w:tab w:val="left" w:pos="1276"/>
      </w:tabs>
      <w:spacing w:before="120" w:after="120" w:line="240" w:lineRule="auto"/>
      <w:ind w:left="1276" w:hanging="1276"/>
      <w:jc w:val="left"/>
    </w:pPr>
    <w:rPr>
      <w:b/>
      <w:bCs/>
      <w:sz w:val="28"/>
      <w:szCs w:val="28"/>
    </w:rPr>
  </w:style>
  <w:style w:type="paragraph" w:customStyle="1" w:styleId="GMHeading3">
    <w:name w:val="GMHeading3"/>
    <w:basedOn w:val="Normal"/>
    <w:next w:val="Normal"/>
    <w:uiPriority w:val="99"/>
    <w:rsid w:val="0086354C"/>
    <w:pPr>
      <w:keepNext/>
      <w:tabs>
        <w:tab w:val="left" w:pos="1276"/>
      </w:tabs>
      <w:suppressAutoHyphens/>
      <w:spacing w:before="120" w:after="120" w:line="240" w:lineRule="auto"/>
      <w:ind w:left="1276" w:hanging="1276"/>
      <w:jc w:val="left"/>
    </w:pPr>
    <w:rPr>
      <w:b/>
      <w:bCs/>
      <w:sz w:val="25"/>
      <w:szCs w:val="25"/>
    </w:rPr>
  </w:style>
  <w:style w:type="paragraph" w:customStyle="1" w:styleId="GMHeading4">
    <w:name w:val="GMHeading4"/>
    <w:basedOn w:val="Heading1"/>
    <w:next w:val="Normal"/>
    <w:uiPriority w:val="99"/>
    <w:rsid w:val="0086354C"/>
    <w:pPr>
      <w:tabs>
        <w:tab w:val="left" w:pos="1276"/>
      </w:tabs>
      <w:spacing w:before="120" w:after="80"/>
      <w:ind w:left="1276" w:hanging="1276"/>
      <w:jc w:val="left"/>
    </w:pPr>
    <w:rPr>
      <w:b w:val="0"/>
      <w:bCs w:val="0"/>
      <w:sz w:val="25"/>
      <w:szCs w:val="25"/>
    </w:rPr>
  </w:style>
  <w:style w:type="paragraph" w:styleId="Header">
    <w:name w:val="header"/>
    <w:basedOn w:val="Normal"/>
    <w:link w:val="HeaderChar"/>
    <w:uiPriority w:val="99"/>
    <w:rsid w:val="0086354C"/>
    <w:pPr>
      <w:tabs>
        <w:tab w:val="right" w:pos="9240"/>
      </w:tabs>
      <w:spacing w:line="240" w:lineRule="auto"/>
      <w:ind w:right="28"/>
      <w:jc w:val="left"/>
    </w:pPr>
    <w:rPr>
      <w:sz w:val="18"/>
      <w:szCs w:val="18"/>
      <w:u w:val="single"/>
    </w:rPr>
  </w:style>
  <w:style w:type="character" w:customStyle="1" w:styleId="HeaderChar">
    <w:name w:val="Header Char"/>
    <w:basedOn w:val="DefaultParagraphFont"/>
    <w:link w:val="Header"/>
    <w:uiPriority w:val="99"/>
    <w:rsid w:val="0086354C"/>
    <w:rPr>
      <w:rFonts w:ascii="Tahoma" w:eastAsia="SimSun" w:hAnsi="Tahoma" w:cs="Tahoma"/>
      <w:sz w:val="18"/>
      <w:szCs w:val="18"/>
      <w:u w:val="single"/>
      <w:lang w:eastAsia="zh-CN"/>
    </w:rPr>
  </w:style>
  <w:style w:type="character" w:styleId="Hyperlink">
    <w:name w:val="Hyperlink"/>
    <w:basedOn w:val="DefaultParagraphFont"/>
    <w:uiPriority w:val="99"/>
    <w:rsid w:val="0086354C"/>
    <w:rPr>
      <w:color w:val="0000FF"/>
      <w:u w:val="single"/>
    </w:rPr>
  </w:style>
  <w:style w:type="paragraph" w:customStyle="1" w:styleId="Numberedtext">
    <w:name w:val="Numbered text"/>
    <w:basedOn w:val="Normal"/>
    <w:uiPriority w:val="99"/>
    <w:semiHidden/>
    <w:rsid w:val="0086354C"/>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86354C"/>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86354C"/>
  </w:style>
  <w:style w:type="paragraph" w:customStyle="1" w:styleId="Source">
    <w:name w:val="Source"/>
    <w:basedOn w:val="Normal"/>
    <w:uiPriority w:val="99"/>
    <w:rsid w:val="0086354C"/>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86354C"/>
    <w:pPr>
      <w:tabs>
        <w:tab w:val="left" w:pos="1134"/>
      </w:tabs>
      <w:spacing w:line="240" w:lineRule="auto"/>
      <w:ind w:left="1134" w:hanging="1134"/>
      <w:jc w:val="left"/>
    </w:pPr>
    <w:rPr>
      <w:rFonts w:eastAsia="Times New Roman"/>
      <w:sz w:val="18"/>
      <w:szCs w:val="18"/>
      <w:lang w:eastAsia="ja-JP"/>
    </w:rPr>
  </w:style>
  <w:style w:type="character" w:customStyle="1" w:styleId="SourceChar1">
    <w:name w:val="Source Char1"/>
    <w:basedOn w:val="DefaultParagraphFont"/>
    <w:uiPriority w:val="99"/>
    <w:rsid w:val="0086354C"/>
    <w:rPr>
      <w:rFonts w:eastAsia="SimSun"/>
      <w:sz w:val="18"/>
      <w:szCs w:val="18"/>
      <w:lang w:val="en-AU" w:eastAsia="en-US"/>
    </w:rPr>
  </w:style>
  <w:style w:type="paragraph" w:customStyle="1" w:styleId="Spaceundertable">
    <w:name w:val="Space under table"/>
    <w:basedOn w:val="Normal"/>
    <w:uiPriority w:val="99"/>
    <w:rsid w:val="0086354C"/>
    <w:pPr>
      <w:numPr>
        <w:numId w:val="4"/>
      </w:numPr>
      <w:spacing w:line="240" w:lineRule="auto"/>
      <w:jc w:val="left"/>
    </w:pPr>
    <w:rPr>
      <w:sz w:val="8"/>
      <w:szCs w:val="8"/>
    </w:rPr>
  </w:style>
  <w:style w:type="paragraph" w:customStyle="1" w:styleId="Style1">
    <w:name w:val="Style1"/>
    <w:basedOn w:val="GMHeading2"/>
    <w:uiPriority w:val="99"/>
    <w:rsid w:val="0086354C"/>
  </w:style>
  <w:style w:type="paragraph" w:customStyle="1" w:styleId="Style2">
    <w:name w:val="Style2"/>
    <w:basedOn w:val="GMHeading3"/>
    <w:uiPriority w:val="99"/>
    <w:rsid w:val="0086354C"/>
  </w:style>
  <w:style w:type="table" w:styleId="TableGrid">
    <w:name w:val="Table Grid"/>
    <w:basedOn w:val="TableNormal"/>
    <w:uiPriority w:val="99"/>
    <w:rsid w:val="0086354C"/>
    <w:pPr>
      <w:tabs>
        <w:tab w:val="left" w:pos="2835"/>
      </w:tabs>
      <w:spacing w:before="40" w:after="40" w:line="240" w:lineRule="auto"/>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semiHidden/>
    <w:rsid w:val="0086354C"/>
    <w:pPr>
      <w:tabs>
        <w:tab w:val="right" w:leader="dot" w:pos="9240"/>
      </w:tabs>
      <w:spacing w:after="80" w:line="240" w:lineRule="auto"/>
      <w:ind w:left="1644" w:right="720" w:hanging="1644"/>
      <w:jc w:val="left"/>
    </w:pPr>
    <w:rPr>
      <w:rFonts w:eastAsia="Times New Roman"/>
      <w:noProof/>
      <w:sz w:val="22"/>
      <w:szCs w:val="22"/>
      <w:lang w:eastAsia="ja-JP"/>
    </w:rPr>
  </w:style>
  <w:style w:type="paragraph" w:customStyle="1" w:styleId="Tabletextleft">
    <w:name w:val="Table text (left)"/>
    <w:basedOn w:val="Normal"/>
    <w:uiPriority w:val="99"/>
    <w:rsid w:val="0086354C"/>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86354C"/>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86354C"/>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86354C"/>
    <w:pPr>
      <w:numPr>
        <w:numId w:val="2"/>
      </w:numPr>
      <w:spacing w:before="40" w:after="40" w:line="240" w:lineRule="auto"/>
      <w:jc w:val="left"/>
    </w:pPr>
  </w:style>
  <w:style w:type="paragraph" w:customStyle="1" w:styleId="Tabletextbullettedv2">
    <w:name w:val="Table text bulletted v2"/>
    <w:basedOn w:val="Tabletextbulleted"/>
    <w:uiPriority w:val="99"/>
    <w:rsid w:val="0086354C"/>
    <w:pPr>
      <w:numPr>
        <w:numId w:val="0"/>
      </w:numPr>
      <w:spacing w:before="20" w:after="20"/>
    </w:pPr>
    <w:rPr>
      <w:lang w:val="en-US"/>
    </w:rPr>
  </w:style>
  <w:style w:type="paragraph" w:customStyle="1" w:styleId="Tabletextindentleft">
    <w:name w:val="Table text indent left"/>
    <w:basedOn w:val="TableText1left"/>
    <w:uiPriority w:val="99"/>
    <w:semiHidden/>
    <w:rsid w:val="0086354C"/>
    <w:pPr>
      <w:ind w:left="252"/>
    </w:pPr>
    <w:rPr>
      <w:lang w:val="en-AU"/>
    </w:rPr>
  </w:style>
  <w:style w:type="paragraph" w:customStyle="1" w:styleId="TabletextindentedlistA">
    <w:name w:val="Table text indented list A"/>
    <w:aliases w:val="B,C"/>
    <w:basedOn w:val="Tabletextbulleted"/>
    <w:uiPriority w:val="99"/>
    <w:rsid w:val="0086354C"/>
    <w:pPr>
      <w:numPr>
        <w:numId w:val="0"/>
      </w:numPr>
      <w:tabs>
        <w:tab w:val="left" w:pos="284"/>
        <w:tab w:val="left" w:pos="2835"/>
      </w:tabs>
    </w:pPr>
  </w:style>
  <w:style w:type="paragraph" w:customStyle="1" w:styleId="TabletextRelativeRisksRR">
    <w:name w:val="Table text Relative Risks (RR)"/>
    <w:basedOn w:val="Normal"/>
    <w:uiPriority w:val="99"/>
    <w:semiHidden/>
    <w:rsid w:val="0086354C"/>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86354C"/>
    <w:pPr>
      <w:spacing w:after="170" w:line="280" w:lineRule="atLeast"/>
    </w:pPr>
    <w:rPr>
      <w:lang w:val="en-US"/>
    </w:rPr>
  </w:style>
  <w:style w:type="paragraph" w:styleId="Title">
    <w:name w:val="Title"/>
    <w:basedOn w:val="Normal"/>
    <w:link w:val="TitleChar"/>
    <w:uiPriority w:val="99"/>
    <w:qFormat/>
    <w:rsid w:val="0086354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86354C"/>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86354C"/>
    <w:pPr>
      <w:tabs>
        <w:tab w:val="right" w:leader="dot" w:pos="9240"/>
      </w:tabs>
      <w:spacing w:after="120" w:line="264" w:lineRule="auto"/>
      <w:jc w:val="center"/>
    </w:pPr>
    <w:rPr>
      <w:b/>
      <w:bCs/>
      <w:sz w:val="32"/>
      <w:szCs w:val="32"/>
      <w:lang w:eastAsia="en-US"/>
    </w:rPr>
  </w:style>
  <w:style w:type="paragraph" w:styleId="TOC1">
    <w:name w:val="toc 1"/>
    <w:basedOn w:val="Normal"/>
    <w:next w:val="Normal"/>
    <w:uiPriority w:val="39"/>
    <w:rsid w:val="0086354C"/>
    <w:pPr>
      <w:tabs>
        <w:tab w:val="left" w:pos="840"/>
        <w:tab w:val="right" w:leader="dot" w:pos="9240"/>
      </w:tabs>
      <w:spacing w:before="240" w:after="120" w:line="264" w:lineRule="auto"/>
      <w:ind w:left="840" w:right="602" w:hanging="840"/>
      <w:jc w:val="left"/>
    </w:pPr>
    <w:rPr>
      <w:b/>
      <w:bCs/>
      <w:noProof/>
    </w:rPr>
  </w:style>
  <w:style w:type="paragraph" w:styleId="TOC2">
    <w:name w:val="toc 2"/>
    <w:basedOn w:val="Normal"/>
    <w:next w:val="Normal"/>
    <w:autoRedefine/>
    <w:uiPriority w:val="39"/>
    <w:rsid w:val="0086354C"/>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86354C"/>
    <w:pPr>
      <w:tabs>
        <w:tab w:val="left" w:pos="1800"/>
        <w:tab w:val="right" w:leader="dot" w:pos="9240"/>
      </w:tabs>
      <w:spacing w:after="60" w:line="240" w:lineRule="auto"/>
      <w:ind w:left="1800" w:right="602" w:hanging="960"/>
      <w:jc w:val="left"/>
    </w:pPr>
    <w:rPr>
      <w:noProof/>
      <w:sz w:val="22"/>
      <w:szCs w:val="22"/>
      <w:lang w:val="fr-FR" w:eastAsia="en-US"/>
    </w:rPr>
  </w:style>
  <w:style w:type="paragraph" w:styleId="TOC4">
    <w:name w:val="toc 4"/>
    <w:basedOn w:val="Normal"/>
    <w:next w:val="Normal"/>
    <w:uiPriority w:val="99"/>
    <w:semiHidden/>
    <w:rsid w:val="0086354C"/>
    <w:pPr>
      <w:tabs>
        <w:tab w:val="left" w:pos="3000"/>
        <w:tab w:val="right" w:leader="dot" w:pos="9240"/>
      </w:tabs>
      <w:spacing w:after="60" w:line="240" w:lineRule="auto"/>
      <w:ind w:left="3000" w:right="602" w:hanging="1200"/>
      <w:jc w:val="left"/>
    </w:pPr>
    <w:rPr>
      <w:i/>
      <w:iCs/>
      <w:noProof/>
      <w:sz w:val="22"/>
      <w:szCs w:val="22"/>
      <w:lang w:eastAsia="en-US"/>
    </w:rPr>
  </w:style>
  <w:style w:type="paragraph" w:styleId="TOC5">
    <w:name w:val="toc 5"/>
    <w:basedOn w:val="Normal"/>
    <w:next w:val="Normal"/>
    <w:uiPriority w:val="99"/>
    <w:semiHidden/>
    <w:rsid w:val="0086354C"/>
    <w:pPr>
      <w:tabs>
        <w:tab w:val="right" w:leader="dot" w:pos="9469"/>
      </w:tabs>
      <w:ind w:left="960"/>
    </w:pPr>
  </w:style>
  <w:style w:type="paragraph" w:styleId="TOC6">
    <w:name w:val="toc 6"/>
    <w:basedOn w:val="Normal"/>
    <w:next w:val="Normal"/>
    <w:uiPriority w:val="99"/>
    <w:semiHidden/>
    <w:rsid w:val="0086354C"/>
    <w:pPr>
      <w:tabs>
        <w:tab w:val="right" w:leader="dot" w:pos="9469"/>
      </w:tabs>
      <w:ind w:left="1200"/>
    </w:pPr>
  </w:style>
  <w:style w:type="paragraph" w:styleId="TOCHeading0">
    <w:name w:val="TOC Heading"/>
    <w:basedOn w:val="Heading1"/>
    <w:next w:val="Normal"/>
    <w:uiPriority w:val="39"/>
    <w:qFormat/>
    <w:rsid w:val="0086354C"/>
    <w:pPr>
      <w:keepLines/>
      <w:spacing w:before="480" w:line="276" w:lineRule="auto"/>
      <w:jc w:val="left"/>
      <w:outlineLvl w:val="9"/>
    </w:pPr>
    <w:rPr>
      <w:rFonts w:eastAsia="Times New Roman"/>
      <w:lang w:val="en-US" w:eastAsia="en-US"/>
    </w:rPr>
  </w:style>
  <w:style w:type="paragraph" w:styleId="ListParagraph">
    <w:name w:val="List Paragraph"/>
    <w:basedOn w:val="Normal"/>
    <w:uiPriority w:val="99"/>
    <w:qFormat/>
    <w:rsid w:val="0086354C"/>
    <w:pPr>
      <w:ind w:left="720"/>
      <w:contextualSpacing/>
    </w:pPr>
  </w:style>
  <w:style w:type="paragraph" w:styleId="NoSpacing">
    <w:name w:val="No Spacing"/>
    <w:link w:val="NoSpacingChar"/>
    <w:uiPriority w:val="99"/>
    <w:qFormat/>
    <w:rsid w:val="0086354C"/>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99"/>
    <w:rsid w:val="0086354C"/>
    <w:rPr>
      <w:rFonts w:ascii="Calibri" w:eastAsia="Times New Roman" w:hAnsi="Calibri" w:cs="Calibri"/>
      <w:lang w:val="en-US"/>
    </w:rPr>
  </w:style>
  <w:style w:type="character" w:styleId="FollowedHyperlink">
    <w:name w:val="FollowedHyperlink"/>
    <w:basedOn w:val="DefaultParagraphFont"/>
    <w:uiPriority w:val="99"/>
    <w:semiHidden/>
    <w:rsid w:val="0086354C"/>
    <w:rPr>
      <w:color w:val="800080"/>
      <w:u w:val="single"/>
    </w:rPr>
  </w:style>
  <w:style w:type="paragraph" w:customStyle="1" w:styleId="CharChar1CharCharCharChar">
    <w:name w:val="Char Char1 Char Char Char Char"/>
    <w:basedOn w:val="Normal"/>
    <w:uiPriority w:val="99"/>
    <w:rsid w:val="0086354C"/>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86354C"/>
    <w:pPr>
      <w:keepNext/>
      <w:spacing w:after="0" w:line="240" w:lineRule="auto"/>
      <w:jc w:val="left"/>
    </w:pPr>
    <w:rPr>
      <w:rFonts w:ascii="Trebuchet MS" w:eastAsia="Times New Roman" w:hAnsi="Trebuchet MS" w:cs="Trebuchet MS"/>
      <w:sz w:val="18"/>
      <w:szCs w:val="18"/>
      <w:lang w:eastAsia="en-US"/>
    </w:rPr>
  </w:style>
  <w:style w:type="character" w:customStyle="1" w:styleId="highlight">
    <w:name w:val="highlight"/>
    <w:basedOn w:val="DefaultParagraphFont"/>
    <w:rsid w:val="0086354C"/>
  </w:style>
  <w:style w:type="paragraph" w:styleId="NormalWeb">
    <w:name w:val="Normal (Web)"/>
    <w:basedOn w:val="Normal"/>
    <w:uiPriority w:val="99"/>
    <w:rsid w:val="0086354C"/>
    <w:pPr>
      <w:spacing w:before="100" w:beforeAutospacing="1" w:after="100" w:afterAutospacing="1" w:line="240" w:lineRule="auto"/>
      <w:jc w:val="left"/>
    </w:pPr>
    <w:rPr>
      <w:rFonts w:ascii="Times New Roman" w:eastAsia="Times New Roman" w:hAnsi="Times New Roman" w:cs="Times New Roman"/>
      <w:color w:val="000000"/>
      <w:lang w:eastAsia="en-AU"/>
    </w:rPr>
  </w:style>
  <w:style w:type="paragraph" w:customStyle="1" w:styleId="Default">
    <w:name w:val="Default"/>
    <w:uiPriority w:val="99"/>
    <w:rsid w:val="0086354C"/>
    <w:pPr>
      <w:autoSpaceDE w:val="0"/>
      <w:autoSpaceDN w:val="0"/>
      <w:adjustRightInd w:val="0"/>
      <w:spacing w:after="0" w:line="240" w:lineRule="auto"/>
    </w:pPr>
    <w:rPr>
      <w:rFonts w:ascii="Arial" w:eastAsia="Calibri" w:hAnsi="Arial" w:cs="Arial"/>
      <w:color w:val="000000"/>
      <w:sz w:val="24"/>
      <w:szCs w:val="24"/>
    </w:rPr>
  </w:style>
  <w:style w:type="table" w:styleId="LightList-Accent2">
    <w:name w:val="Light List Accent 2"/>
    <w:basedOn w:val="TableNormal"/>
    <w:uiPriority w:val="99"/>
    <w:rsid w:val="0086354C"/>
    <w:pPr>
      <w:spacing w:after="0" w:line="240" w:lineRule="auto"/>
    </w:pPr>
    <w:rPr>
      <w:rFonts w:ascii="Calibri" w:eastAsia="Calibri" w:hAnsi="Calibri" w:cs="Calibri"/>
      <w:sz w:val="20"/>
      <w:szCs w:val="20"/>
      <w:lang w:eastAsia="en-A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1">
    <w:name w:val="Light Shading Accent 1"/>
    <w:basedOn w:val="TableNormal"/>
    <w:uiPriority w:val="99"/>
    <w:rsid w:val="0086354C"/>
    <w:pPr>
      <w:spacing w:after="0" w:line="240" w:lineRule="auto"/>
    </w:pPr>
    <w:rPr>
      <w:rFonts w:ascii="Calibri" w:eastAsia="Calibri" w:hAnsi="Calibri" w:cs="Calibri"/>
      <w:color w:val="365F91"/>
      <w:sz w:val="20"/>
      <w:szCs w:val="20"/>
      <w:lang w:eastAsia="en-A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54C"/>
    <w:pPr>
      <w:spacing w:after="240" w:line="312" w:lineRule="auto"/>
      <w:jc w:val="both"/>
    </w:pPr>
    <w:rPr>
      <w:rFonts w:ascii="Tahoma" w:eastAsia="SimSun" w:hAnsi="Tahoma" w:cs="Tahoma"/>
      <w:sz w:val="24"/>
      <w:szCs w:val="24"/>
      <w:lang w:eastAsia="zh-CN"/>
    </w:rPr>
  </w:style>
  <w:style w:type="paragraph" w:styleId="Heading1">
    <w:name w:val="heading 1"/>
    <w:basedOn w:val="Normal"/>
    <w:next w:val="Normal"/>
    <w:link w:val="Heading1Char"/>
    <w:uiPriority w:val="99"/>
    <w:qFormat/>
    <w:rsid w:val="0086354C"/>
    <w:pPr>
      <w:keepNext/>
      <w:spacing w:before="360" w:after="160"/>
      <w:outlineLvl w:val="0"/>
    </w:pPr>
    <w:rPr>
      <w:b/>
      <w:bCs/>
      <w:color w:val="215868"/>
    </w:rPr>
  </w:style>
  <w:style w:type="paragraph" w:styleId="Heading2">
    <w:name w:val="heading 2"/>
    <w:basedOn w:val="Normal"/>
    <w:next w:val="Normal"/>
    <w:link w:val="Heading2Char"/>
    <w:uiPriority w:val="99"/>
    <w:qFormat/>
    <w:rsid w:val="0086354C"/>
    <w:pPr>
      <w:keepNext/>
      <w:spacing w:before="240" w:after="160"/>
      <w:outlineLvl w:val="1"/>
    </w:pPr>
    <w:rPr>
      <w:b/>
      <w:bCs/>
      <w:color w:val="215868"/>
      <w:lang w:val="en-GB" w:eastAsia="ja-JP"/>
    </w:rPr>
  </w:style>
  <w:style w:type="paragraph" w:styleId="Heading3">
    <w:name w:val="heading 3"/>
    <w:basedOn w:val="Normal"/>
    <w:next w:val="Normal"/>
    <w:link w:val="Heading3Char"/>
    <w:uiPriority w:val="99"/>
    <w:qFormat/>
    <w:rsid w:val="0086354C"/>
    <w:pPr>
      <w:keepNext/>
      <w:spacing w:after="120"/>
      <w:outlineLvl w:val="2"/>
    </w:pPr>
    <w:rPr>
      <w:color w:val="41A7BF"/>
    </w:rPr>
  </w:style>
  <w:style w:type="paragraph" w:styleId="Heading4">
    <w:name w:val="heading 4"/>
    <w:basedOn w:val="Normal"/>
    <w:next w:val="Normal"/>
    <w:link w:val="Heading4Char"/>
    <w:uiPriority w:val="99"/>
    <w:qFormat/>
    <w:rsid w:val="0086354C"/>
    <w:pPr>
      <w:keepNext/>
      <w:numPr>
        <w:ilvl w:val="3"/>
        <w:numId w:val="1"/>
      </w:numPr>
      <w:outlineLvl w:val="3"/>
    </w:pPr>
    <w:rPr>
      <w:u w:val="single"/>
    </w:rPr>
  </w:style>
  <w:style w:type="paragraph" w:styleId="Heading5">
    <w:name w:val="heading 5"/>
    <w:basedOn w:val="Normal"/>
    <w:next w:val="Normal"/>
    <w:link w:val="Heading5Char"/>
    <w:uiPriority w:val="99"/>
    <w:qFormat/>
    <w:rsid w:val="0086354C"/>
    <w:pPr>
      <w:keepNext/>
      <w:numPr>
        <w:ilvl w:val="4"/>
        <w:numId w:val="1"/>
      </w:numPr>
      <w:tabs>
        <w:tab w:val="left" w:pos="709"/>
      </w:tabs>
      <w:outlineLvl w:val="4"/>
    </w:pPr>
    <w:rPr>
      <w:b/>
      <w:bCs/>
      <w:i/>
      <w:iCs/>
    </w:rPr>
  </w:style>
  <w:style w:type="paragraph" w:styleId="Heading6">
    <w:name w:val="heading 6"/>
    <w:basedOn w:val="Normal"/>
    <w:next w:val="Normal"/>
    <w:link w:val="Heading6Char"/>
    <w:uiPriority w:val="99"/>
    <w:qFormat/>
    <w:rsid w:val="0086354C"/>
    <w:pPr>
      <w:keepNext/>
      <w:numPr>
        <w:ilvl w:val="5"/>
        <w:numId w:val="1"/>
      </w:numPr>
      <w:jc w:val="center"/>
      <w:outlineLvl w:val="5"/>
    </w:pPr>
    <w:rPr>
      <w:b/>
      <w:bCs/>
      <w:sz w:val="28"/>
      <w:szCs w:val="28"/>
    </w:rPr>
  </w:style>
  <w:style w:type="paragraph" w:styleId="Heading7">
    <w:name w:val="heading 7"/>
    <w:basedOn w:val="Normal"/>
    <w:next w:val="Normal"/>
    <w:link w:val="Heading7Char"/>
    <w:uiPriority w:val="99"/>
    <w:qFormat/>
    <w:rsid w:val="0086354C"/>
    <w:pPr>
      <w:keepNext/>
      <w:outlineLvl w:val="6"/>
    </w:pPr>
    <w:rPr>
      <w:i/>
      <w:iCs/>
    </w:rPr>
  </w:style>
  <w:style w:type="paragraph" w:styleId="Heading8">
    <w:name w:val="heading 8"/>
    <w:basedOn w:val="Normal"/>
    <w:next w:val="Normal"/>
    <w:link w:val="Heading8Char"/>
    <w:uiPriority w:val="99"/>
    <w:qFormat/>
    <w:rsid w:val="0086354C"/>
    <w:pPr>
      <w:keepNext/>
      <w:numPr>
        <w:ilvl w:val="7"/>
        <w:numId w:val="1"/>
      </w:numPr>
      <w:spacing w:line="288" w:lineRule="auto"/>
      <w:jc w:val="center"/>
      <w:outlineLvl w:val="7"/>
    </w:pPr>
    <w:rPr>
      <w:sz w:val="48"/>
      <w:szCs w:val="48"/>
    </w:rPr>
  </w:style>
  <w:style w:type="paragraph" w:styleId="Heading9">
    <w:name w:val="heading 9"/>
    <w:basedOn w:val="Normal"/>
    <w:next w:val="Normal"/>
    <w:link w:val="Heading9Char"/>
    <w:uiPriority w:val="99"/>
    <w:qFormat/>
    <w:rsid w:val="0086354C"/>
    <w:pPr>
      <w:keepNext/>
      <w:numPr>
        <w:ilvl w:val="8"/>
        <w:numId w:val="1"/>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354C"/>
    <w:rPr>
      <w:rFonts w:ascii="Tahoma" w:eastAsia="SimSun" w:hAnsi="Tahoma" w:cs="Tahoma"/>
      <w:b/>
      <w:bCs/>
      <w:color w:val="215868"/>
      <w:sz w:val="24"/>
      <w:szCs w:val="24"/>
      <w:lang w:eastAsia="zh-CN"/>
    </w:rPr>
  </w:style>
  <w:style w:type="character" w:customStyle="1" w:styleId="Heading2Char">
    <w:name w:val="Heading 2 Char"/>
    <w:basedOn w:val="DefaultParagraphFont"/>
    <w:link w:val="Heading2"/>
    <w:uiPriority w:val="99"/>
    <w:rsid w:val="0086354C"/>
    <w:rPr>
      <w:rFonts w:ascii="Tahoma" w:eastAsia="SimSun" w:hAnsi="Tahoma" w:cs="Tahoma"/>
      <w:b/>
      <w:bCs/>
      <w:color w:val="215868"/>
      <w:sz w:val="24"/>
      <w:szCs w:val="24"/>
      <w:lang w:val="en-GB" w:eastAsia="ja-JP"/>
    </w:rPr>
  </w:style>
  <w:style w:type="character" w:customStyle="1" w:styleId="Heading3Char">
    <w:name w:val="Heading 3 Char"/>
    <w:basedOn w:val="DefaultParagraphFont"/>
    <w:link w:val="Heading3"/>
    <w:uiPriority w:val="99"/>
    <w:rsid w:val="0086354C"/>
    <w:rPr>
      <w:rFonts w:ascii="Tahoma" w:eastAsia="SimSun" w:hAnsi="Tahoma" w:cs="Tahoma"/>
      <w:color w:val="41A7BF"/>
      <w:sz w:val="24"/>
      <w:szCs w:val="24"/>
      <w:lang w:eastAsia="zh-CN"/>
    </w:rPr>
  </w:style>
  <w:style w:type="character" w:customStyle="1" w:styleId="Heading4Char">
    <w:name w:val="Heading 4 Char"/>
    <w:basedOn w:val="DefaultParagraphFont"/>
    <w:link w:val="Heading4"/>
    <w:uiPriority w:val="99"/>
    <w:rsid w:val="0086354C"/>
    <w:rPr>
      <w:rFonts w:ascii="Tahoma" w:eastAsia="SimSun" w:hAnsi="Tahoma" w:cs="Tahoma"/>
      <w:sz w:val="24"/>
      <w:szCs w:val="24"/>
      <w:u w:val="single"/>
      <w:lang w:eastAsia="zh-CN"/>
    </w:rPr>
  </w:style>
  <w:style w:type="character" w:customStyle="1" w:styleId="Heading5Char">
    <w:name w:val="Heading 5 Char"/>
    <w:basedOn w:val="DefaultParagraphFont"/>
    <w:link w:val="Heading5"/>
    <w:uiPriority w:val="99"/>
    <w:rsid w:val="0086354C"/>
    <w:rPr>
      <w:rFonts w:ascii="Tahoma" w:eastAsia="SimSun" w:hAnsi="Tahoma" w:cs="Tahoma"/>
      <w:b/>
      <w:bCs/>
      <w:i/>
      <w:iCs/>
      <w:sz w:val="24"/>
      <w:szCs w:val="24"/>
      <w:lang w:eastAsia="zh-CN"/>
    </w:rPr>
  </w:style>
  <w:style w:type="character" w:customStyle="1" w:styleId="Heading6Char">
    <w:name w:val="Heading 6 Char"/>
    <w:basedOn w:val="DefaultParagraphFont"/>
    <w:link w:val="Heading6"/>
    <w:uiPriority w:val="99"/>
    <w:rsid w:val="0086354C"/>
    <w:rPr>
      <w:rFonts w:ascii="Tahoma" w:eastAsia="SimSun" w:hAnsi="Tahoma" w:cs="Tahoma"/>
      <w:b/>
      <w:bCs/>
      <w:sz w:val="28"/>
      <w:szCs w:val="28"/>
      <w:lang w:eastAsia="zh-CN"/>
    </w:rPr>
  </w:style>
  <w:style w:type="character" w:customStyle="1" w:styleId="Heading7Char">
    <w:name w:val="Heading 7 Char"/>
    <w:basedOn w:val="DefaultParagraphFont"/>
    <w:link w:val="Heading7"/>
    <w:uiPriority w:val="99"/>
    <w:rsid w:val="0086354C"/>
    <w:rPr>
      <w:rFonts w:ascii="Tahoma" w:eastAsia="SimSun" w:hAnsi="Tahoma" w:cs="Tahoma"/>
      <w:i/>
      <w:iCs/>
      <w:sz w:val="24"/>
      <w:szCs w:val="24"/>
      <w:lang w:eastAsia="zh-CN"/>
    </w:rPr>
  </w:style>
  <w:style w:type="character" w:customStyle="1" w:styleId="Heading8Char">
    <w:name w:val="Heading 8 Char"/>
    <w:basedOn w:val="DefaultParagraphFont"/>
    <w:link w:val="Heading8"/>
    <w:uiPriority w:val="99"/>
    <w:rsid w:val="0086354C"/>
    <w:rPr>
      <w:rFonts w:ascii="Tahoma" w:eastAsia="SimSun" w:hAnsi="Tahoma" w:cs="Tahoma"/>
      <w:sz w:val="48"/>
      <w:szCs w:val="48"/>
      <w:lang w:eastAsia="zh-CN"/>
    </w:rPr>
  </w:style>
  <w:style w:type="character" w:customStyle="1" w:styleId="Heading9Char">
    <w:name w:val="Heading 9 Char"/>
    <w:basedOn w:val="DefaultParagraphFont"/>
    <w:link w:val="Heading9"/>
    <w:uiPriority w:val="99"/>
    <w:rsid w:val="0086354C"/>
    <w:rPr>
      <w:rFonts w:ascii="Tahoma" w:eastAsia="SimSun" w:hAnsi="Tahoma" w:cs="Tahoma"/>
      <w:i/>
      <w:iCs/>
      <w:sz w:val="24"/>
      <w:szCs w:val="24"/>
      <w:lang w:eastAsia="zh-CN"/>
    </w:rPr>
  </w:style>
  <w:style w:type="paragraph" w:customStyle="1" w:styleId="Attachmentheading">
    <w:name w:val="Attachment heading"/>
    <w:basedOn w:val="Normal"/>
    <w:next w:val="Normal"/>
    <w:uiPriority w:val="99"/>
    <w:rsid w:val="0086354C"/>
    <w:pPr>
      <w:tabs>
        <w:tab w:val="left" w:pos="2552"/>
      </w:tabs>
      <w:spacing w:line="264" w:lineRule="auto"/>
      <w:ind w:left="2552" w:hanging="2552"/>
    </w:pPr>
    <w:rPr>
      <w:b/>
      <w:bCs/>
    </w:rPr>
  </w:style>
  <w:style w:type="paragraph" w:styleId="BalloonText">
    <w:name w:val="Balloon Text"/>
    <w:basedOn w:val="Normal"/>
    <w:link w:val="BalloonTextChar"/>
    <w:uiPriority w:val="99"/>
    <w:semiHidden/>
    <w:rsid w:val="0086354C"/>
    <w:pPr>
      <w:spacing w:line="240" w:lineRule="auto"/>
    </w:pPr>
    <w:rPr>
      <w:sz w:val="16"/>
      <w:szCs w:val="16"/>
    </w:rPr>
  </w:style>
  <w:style w:type="character" w:customStyle="1" w:styleId="BalloonTextChar">
    <w:name w:val="Balloon Text Char"/>
    <w:basedOn w:val="DefaultParagraphFont"/>
    <w:link w:val="BalloonText"/>
    <w:uiPriority w:val="99"/>
    <w:semiHidden/>
    <w:rsid w:val="0086354C"/>
    <w:rPr>
      <w:rFonts w:ascii="Tahoma" w:eastAsia="SimSun" w:hAnsi="Tahoma" w:cs="Tahoma"/>
      <w:sz w:val="16"/>
      <w:szCs w:val="16"/>
      <w:lang w:eastAsia="zh-CN"/>
    </w:rPr>
  </w:style>
  <w:style w:type="paragraph" w:customStyle="1" w:styleId="Bulletedtext">
    <w:name w:val="Bulleted text"/>
    <w:basedOn w:val="Normal"/>
    <w:uiPriority w:val="99"/>
    <w:rsid w:val="0086354C"/>
    <w:pPr>
      <w:tabs>
        <w:tab w:val="left" w:pos="2835"/>
      </w:tabs>
    </w:pPr>
  </w:style>
  <w:style w:type="paragraph" w:customStyle="1" w:styleId="Bulletedtext2ndlevel">
    <w:name w:val="Bulleted text 2nd level"/>
    <w:basedOn w:val="Normal"/>
    <w:uiPriority w:val="99"/>
    <w:rsid w:val="0086354C"/>
    <w:pPr>
      <w:tabs>
        <w:tab w:val="num" w:pos="720"/>
      </w:tabs>
      <w:ind w:left="720" w:hanging="360"/>
      <w:jc w:val="left"/>
    </w:pPr>
  </w:style>
  <w:style w:type="paragraph" w:customStyle="1" w:styleId="Captioncontinued">
    <w:name w:val="Caption (continued)"/>
    <w:basedOn w:val="Normal"/>
    <w:next w:val="Normal"/>
    <w:uiPriority w:val="99"/>
    <w:rsid w:val="0086354C"/>
    <w:pPr>
      <w:tabs>
        <w:tab w:val="left" w:pos="2880"/>
      </w:tabs>
      <w:spacing w:after="120" w:line="240" w:lineRule="auto"/>
      <w:ind w:left="2880" w:hanging="2880"/>
      <w:jc w:val="left"/>
    </w:pPr>
    <w:rPr>
      <w:i/>
      <w:iCs/>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86354C"/>
    <w:rPr>
      <w:i/>
      <w:iCs/>
      <w:sz w:val="24"/>
      <w:szCs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6354C"/>
    <w:pPr>
      <w:keepNext/>
      <w:spacing w:after="40" w:line="240" w:lineRule="auto"/>
      <w:ind w:left="709" w:hanging="709"/>
      <w:jc w:val="left"/>
    </w:pPr>
    <w:rPr>
      <w:rFonts w:ascii="Arial Narrow" w:eastAsia="Times New Roman" w:hAnsi="Arial Narrow" w:cs="Arial Narrow"/>
      <w:b/>
      <w:bCs/>
      <w:lang w:val="en-GB" w:eastAsia="ja-JP"/>
    </w:rPr>
  </w:style>
  <w:style w:type="character" w:styleId="CommentReference">
    <w:name w:val="annotation reference"/>
    <w:basedOn w:val="DefaultParagraphFont"/>
    <w:uiPriority w:val="99"/>
    <w:semiHidden/>
    <w:rsid w:val="0086354C"/>
    <w:rPr>
      <w:sz w:val="16"/>
      <w:szCs w:val="16"/>
    </w:rPr>
  </w:style>
  <w:style w:type="paragraph" w:styleId="CommentText">
    <w:name w:val="annotation text"/>
    <w:basedOn w:val="Normal"/>
    <w:link w:val="CommentTextChar"/>
    <w:uiPriority w:val="99"/>
    <w:semiHidden/>
    <w:rsid w:val="0086354C"/>
  </w:style>
  <w:style w:type="character" w:customStyle="1" w:styleId="CommentTextChar">
    <w:name w:val="Comment Text Char"/>
    <w:basedOn w:val="DefaultParagraphFont"/>
    <w:link w:val="CommentText"/>
    <w:uiPriority w:val="99"/>
    <w:semiHidden/>
    <w:rsid w:val="0086354C"/>
    <w:rPr>
      <w:rFonts w:ascii="Tahoma" w:eastAsia="SimSun" w:hAnsi="Tahoma" w:cs="Tahoma"/>
      <w:sz w:val="24"/>
      <w:szCs w:val="24"/>
      <w:lang w:eastAsia="zh-CN"/>
    </w:rPr>
  </w:style>
  <w:style w:type="paragraph" w:styleId="CommentSubject">
    <w:name w:val="annotation subject"/>
    <w:basedOn w:val="CommentText"/>
    <w:next w:val="CommentText"/>
    <w:link w:val="CommentSubjectChar"/>
    <w:uiPriority w:val="99"/>
    <w:semiHidden/>
    <w:rsid w:val="0086354C"/>
    <w:rPr>
      <w:b/>
      <w:bCs/>
    </w:rPr>
  </w:style>
  <w:style w:type="character" w:customStyle="1" w:styleId="CommentSubjectChar">
    <w:name w:val="Comment Subject Char"/>
    <w:basedOn w:val="CommentTextChar"/>
    <w:link w:val="CommentSubject"/>
    <w:uiPriority w:val="99"/>
    <w:semiHidden/>
    <w:rsid w:val="0086354C"/>
    <w:rPr>
      <w:rFonts w:ascii="Tahoma" w:eastAsia="SimSun" w:hAnsi="Tahoma" w:cs="Tahoma"/>
      <w:b/>
      <w:bCs/>
      <w:sz w:val="24"/>
      <w:szCs w:val="24"/>
      <w:lang w:eastAsia="zh-CN"/>
    </w:rPr>
  </w:style>
  <w:style w:type="paragraph" w:customStyle="1" w:styleId="Execsummary">
    <w:name w:val="Exec summary"/>
    <w:basedOn w:val="Normal"/>
    <w:uiPriority w:val="99"/>
    <w:semiHidden/>
    <w:rsid w:val="0086354C"/>
    <w:pPr>
      <w:spacing w:line="288" w:lineRule="auto"/>
    </w:pPr>
    <w:rPr>
      <w:sz w:val="22"/>
      <w:szCs w:val="22"/>
    </w:rPr>
  </w:style>
  <w:style w:type="paragraph" w:styleId="Footer">
    <w:name w:val="footer"/>
    <w:basedOn w:val="Normal"/>
    <w:link w:val="FooterChar"/>
    <w:uiPriority w:val="99"/>
    <w:rsid w:val="0086354C"/>
    <w:pPr>
      <w:tabs>
        <w:tab w:val="center" w:pos="4320"/>
        <w:tab w:val="right" w:pos="8640"/>
      </w:tabs>
    </w:pPr>
  </w:style>
  <w:style w:type="character" w:customStyle="1" w:styleId="FooterChar">
    <w:name w:val="Footer Char"/>
    <w:basedOn w:val="DefaultParagraphFont"/>
    <w:link w:val="Footer"/>
    <w:uiPriority w:val="99"/>
    <w:rsid w:val="0086354C"/>
    <w:rPr>
      <w:rFonts w:ascii="Tahoma" w:eastAsia="SimSun" w:hAnsi="Tahoma" w:cs="Tahoma"/>
      <w:sz w:val="24"/>
      <w:szCs w:val="24"/>
      <w:lang w:eastAsia="zh-CN"/>
    </w:rPr>
  </w:style>
  <w:style w:type="character" w:styleId="FootnoteReference">
    <w:name w:val="footnote reference"/>
    <w:basedOn w:val="DefaultParagraphFont"/>
    <w:uiPriority w:val="99"/>
    <w:semiHidden/>
    <w:rsid w:val="0086354C"/>
    <w:rPr>
      <w:vertAlign w:val="superscript"/>
    </w:rPr>
  </w:style>
  <w:style w:type="paragraph" w:styleId="FootnoteText">
    <w:name w:val="footnote text"/>
    <w:basedOn w:val="Normal"/>
    <w:link w:val="FootnoteTextChar"/>
    <w:uiPriority w:val="99"/>
    <w:semiHidden/>
    <w:rsid w:val="0086354C"/>
    <w:pPr>
      <w:spacing w:line="240" w:lineRule="auto"/>
      <w:jc w:val="left"/>
    </w:pPr>
    <w:rPr>
      <w:rFonts w:ascii="Calibri" w:eastAsia="Calibri" w:hAnsi="Calibri" w:cs="Calibri"/>
      <w:lang w:eastAsia="en-US"/>
    </w:rPr>
  </w:style>
  <w:style w:type="character" w:customStyle="1" w:styleId="FootnoteTextChar">
    <w:name w:val="Footnote Text Char"/>
    <w:basedOn w:val="DefaultParagraphFont"/>
    <w:link w:val="FootnoteText"/>
    <w:uiPriority w:val="99"/>
    <w:semiHidden/>
    <w:rsid w:val="0086354C"/>
    <w:rPr>
      <w:rFonts w:ascii="Calibri" w:eastAsia="Calibri" w:hAnsi="Calibri" w:cs="Calibri"/>
      <w:sz w:val="24"/>
      <w:szCs w:val="24"/>
    </w:rPr>
  </w:style>
  <w:style w:type="paragraph" w:customStyle="1" w:styleId="GMHEADING1">
    <w:name w:val="GMHEADING1"/>
    <w:basedOn w:val="Normal"/>
    <w:next w:val="Normal"/>
    <w:uiPriority w:val="99"/>
    <w:rsid w:val="0086354C"/>
    <w:pPr>
      <w:tabs>
        <w:tab w:val="left" w:pos="1276"/>
      </w:tabs>
      <w:spacing w:after="120" w:line="264" w:lineRule="auto"/>
      <w:ind w:left="1276" w:hanging="1276"/>
      <w:jc w:val="left"/>
    </w:pPr>
    <w:rPr>
      <w:b/>
      <w:bCs/>
      <w:sz w:val="27"/>
      <w:szCs w:val="27"/>
    </w:rPr>
  </w:style>
  <w:style w:type="paragraph" w:customStyle="1" w:styleId="GMHeading2">
    <w:name w:val="GMHeading2"/>
    <w:basedOn w:val="Normal"/>
    <w:next w:val="Normal"/>
    <w:uiPriority w:val="99"/>
    <w:rsid w:val="0086354C"/>
    <w:pPr>
      <w:tabs>
        <w:tab w:val="left" w:pos="1276"/>
      </w:tabs>
      <w:spacing w:before="120" w:after="120" w:line="240" w:lineRule="auto"/>
      <w:ind w:left="1276" w:hanging="1276"/>
      <w:jc w:val="left"/>
    </w:pPr>
    <w:rPr>
      <w:b/>
      <w:bCs/>
      <w:sz w:val="28"/>
      <w:szCs w:val="28"/>
    </w:rPr>
  </w:style>
  <w:style w:type="paragraph" w:customStyle="1" w:styleId="GMHeading3">
    <w:name w:val="GMHeading3"/>
    <w:basedOn w:val="Normal"/>
    <w:next w:val="Normal"/>
    <w:uiPriority w:val="99"/>
    <w:rsid w:val="0086354C"/>
    <w:pPr>
      <w:keepNext/>
      <w:tabs>
        <w:tab w:val="left" w:pos="1276"/>
      </w:tabs>
      <w:suppressAutoHyphens/>
      <w:spacing w:before="120" w:after="120" w:line="240" w:lineRule="auto"/>
      <w:ind w:left="1276" w:hanging="1276"/>
      <w:jc w:val="left"/>
    </w:pPr>
    <w:rPr>
      <w:b/>
      <w:bCs/>
      <w:sz w:val="25"/>
      <w:szCs w:val="25"/>
    </w:rPr>
  </w:style>
  <w:style w:type="paragraph" w:customStyle="1" w:styleId="GMHeading4">
    <w:name w:val="GMHeading4"/>
    <w:basedOn w:val="Heading1"/>
    <w:next w:val="Normal"/>
    <w:uiPriority w:val="99"/>
    <w:rsid w:val="0086354C"/>
    <w:pPr>
      <w:tabs>
        <w:tab w:val="left" w:pos="1276"/>
      </w:tabs>
      <w:spacing w:before="120" w:after="80"/>
      <w:ind w:left="1276" w:hanging="1276"/>
      <w:jc w:val="left"/>
    </w:pPr>
    <w:rPr>
      <w:b w:val="0"/>
      <w:bCs w:val="0"/>
      <w:sz w:val="25"/>
      <w:szCs w:val="25"/>
    </w:rPr>
  </w:style>
  <w:style w:type="paragraph" w:styleId="Header">
    <w:name w:val="header"/>
    <w:basedOn w:val="Normal"/>
    <w:link w:val="HeaderChar"/>
    <w:uiPriority w:val="99"/>
    <w:rsid w:val="0086354C"/>
    <w:pPr>
      <w:tabs>
        <w:tab w:val="right" w:pos="9240"/>
      </w:tabs>
      <w:spacing w:line="240" w:lineRule="auto"/>
      <w:ind w:right="28"/>
      <w:jc w:val="left"/>
    </w:pPr>
    <w:rPr>
      <w:sz w:val="18"/>
      <w:szCs w:val="18"/>
      <w:u w:val="single"/>
    </w:rPr>
  </w:style>
  <w:style w:type="character" w:customStyle="1" w:styleId="HeaderChar">
    <w:name w:val="Header Char"/>
    <w:basedOn w:val="DefaultParagraphFont"/>
    <w:link w:val="Header"/>
    <w:uiPriority w:val="99"/>
    <w:rsid w:val="0086354C"/>
    <w:rPr>
      <w:rFonts w:ascii="Tahoma" w:eastAsia="SimSun" w:hAnsi="Tahoma" w:cs="Tahoma"/>
      <w:sz w:val="18"/>
      <w:szCs w:val="18"/>
      <w:u w:val="single"/>
      <w:lang w:eastAsia="zh-CN"/>
    </w:rPr>
  </w:style>
  <w:style w:type="character" w:styleId="Hyperlink">
    <w:name w:val="Hyperlink"/>
    <w:basedOn w:val="DefaultParagraphFont"/>
    <w:uiPriority w:val="99"/>
    <w:rsid w:val="0086354C"/>
    <w:rPr>
      <w:color w:val="0000FF"/>
      <w:u w:val="single"/>
    </w:rPr>
  </w:style>
  <w:style w:type="paragraph" w:customStyle="1" w:styleId="Numberedtext">
    <w:name w:val="Numbered text"/>
    <w:basedOn w:val="Normal"/>
    <w:uiPriority w:val="99"/>
    <w:semiHidden/>
    <w:rsid w:val="0086354C"/>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86354C"/>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86354C"/>
  </w:style>
  <w:style w:type="paragraph" w:customStyle="1" w:styleId="Source">
    <w:name w:val="Source"/>
    <w:basedOn w:val="Normal"/>
    <w:uiPriority w:val="99"/>
    <w:rsid w:val="0086354C"/>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86354C"/>
    <w:pPr>
      <w:tabs>
        <w:tab w:val="left" w:pos="1134"/>
      </w:tabs>
      <w:spacing w:line="240" w:lineRule="auto"/>
      <w:ind w:left="1134" w:hanging="1134"/>
      <w:jc w:val="left"/>
    </w:pPr>
    <w:rPr>
      <w:rFonts w:eastAsia="Times New Roman"/>
      <w:sz w:val="18"/>
      <w:szCs w:val="18"/>
      <w:lang w:eastAsia="ja-JP"/>
    </w:rPr>
  </w:style>
  <w:style w:type="character" w:customStyle="1" w:styleId="SourceChar1">
    <w:name w:val="Source Char1"/>
    <w:basedOn w:val="DefaultParagraphFont"/>
    <w:uiPriority w:val="99"/>
    <w:rsid w:val="0086354C"/>
    <w:rPr>
      <w:rFonts w:eastAsia="SimSun"/>
      <w:sz w:val="18"/>
      <w:szCs w:val="18"/>
      <w:lang w:val="en-AU" w:eastAsia="en-US"/>
    </w:rPr>
  </w:style>
  <w:style w:type="paragraph" w:customStyle="1" w:styleId="Spaceundertable">
    <w:name w:val="Space under table"/>
    <w:basedOn w:val="Normal"/>
    <w:uiPriority w:val="99"/>
    <w:rsid w:val="0086354C"/>
    <w:pPr>
      <w:numPr>
        <w:numId w:val="4"/>
      </w:numPr>
      <w:spacing w:line="240" w:lineRule="auto"/>
      <w:jc w:val="left"/>
    </w:pPr>
    <w:rPr>
      <w:sz w:val="8"/>
      <w:szCs w:val="8"/>
    </w:rPr>
  </w:style>
  <w:style w:type="paragraph" w:customStyle="1" w:styleId="Style1">
    <w:name w:val="Style1"/>
    <w:basedOn w:val="GMHeading2"/>
    <w:uiPriority w:val="99"/>
    <w:rsid w:val="0086354C"/>
  </w:style>
  <w:style w:type="paragraph" w:customStyle="1" w:styleId="Style2">
    <w:name w:val="Style2"/>
    <w:basedOn w:val="GMHeading3"/>
    <w:uiPriority w:val="99"/>
    <w:rsid w:val="0086354C"/>
  </w:style>
  <w:style w:type="table" w:styleId="TableGrid">
    <w:name w:val="Table Grid"/>
    <w:basedOn w:val="TableNormal"/>
    <w:uiPriority w:val="99"/>
    <w:rsid w:val="0086354C"/>
    <w:pPr>
      <w:tabs>
        <w:tab w:val="left" w:pos="2835"/>
      </w:tabs>
      <w:spacing w:before="40" w:after="40" w:line="240" w:lineRule="auto"/>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semiHidden/>
    <w:rsid w:val="0086354C"/>
    <w:pPr>
      <w:tabs>
        <w:tab w:val="right" w:leader="dot" w:pos="9240"/>
      </w:tabs>
      <w:spacing w:after="80" w:line="240" w:lineRule="auto"/>
      <w:ind w:left="1644" w:right="720" w:hanging="1644"/>
      <w:jc w:val="left"/>
    </w:pPr>
    <w:rPr>
      <w:rFonts w:eastAsia="Times New Roman"/>
      <w:noProof/>
      <w:sz w:val="22"/>
      <w:szCs w:val="22"/>
      <w:lang w:eastAsia="ja-JP"/>
    </w:rPr>
  </w:style>
  <w:style w:type="paragraph" w:customStyle="1" w:styleId="Tabletextleft">
    <w:name w:val="Table text (left)"/>
    <w:basedOn w:val="Normal"/>
    <w:uiPriority w:val="99"/>
    <w:rsid w:val="0086354C"/>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86354C"/>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86354C"/>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86354C"/>
    <w:pPr>
      <w:numPr>
        <w:numId w:val="2"/>
      </w:numPr>
      <w:spacing w:before="40" w:after="40" w:line="240" w:lineRule="auto"/>
      <w:jc w:val="left"/>
    </w:pPr>
  </w:style>
  <w:style w:type="paragraph" w:customStyle="1" w:styleId="Tabletextbullettedv2">
    <w:name w:val="Table text bulletted v2"/>
    <w:basedOn w:val="Tabletextbulleted"/>
    <w:uiPriority w:val="99"/>
    <w:rsid w:val="0086354C"/>
    <w:pPr>
      <w:numPr>
        <w:numId w:val="0"/>
      </w:numPr>
      <w:spacing w:before="20" w:after="20"/>
    </w:pPr>
    <w:rPr>
      <w:lang w:val="en-US"/>
    </w:rPr>
  </w:style>
  <w:style w:type="paragraph" w:customStyle="1" w:styleId="Tabletextindentleft">
    <w:name w:val="Table text indent left"/>
    <w:basedOn w:val="TableText1left"/>
    <w:uiPriority w:val="99"/>
    <w:semiHidden/>
    <w:rsid w:val="0086354C"/>
    <w:pPr>
      <w:ind w:left="252"/>
    </w:pPr>
    <w:rPr>
      <w:lang w:val="en-AU"/>
    </w:rPr>
  </w:style>
  <w:style w:type="paragraph" w:customStyle="1" w:styleId="TabletextindentedlistA">
    <w:name w:val="Table text indented list A"/>
    <w:aliases w:val="B,C"/>
    <w:basedOn w:val="Tabletextbulleted"/>
    <w:uiPriority w:val="99"/>
    <w:rsid w:val="0086354C"/>
    <w:pPr>
      <w:numPr>
        <w:numId w:val="0"/>
      </w:numPr>
      <w:tabs>
        <w:tab w:val="left" w:pos="284"/>
        <w:tab w:val="left" w:pos="2835"/>
      </w:tabs>
    </w:pPr>
  </w:style>
  <w:style w:type="paragraph" w:customStyle="1" w:styleId="TabletextRelativeRisksRR">
    <w:name w:val="Table text Relative Risks (RR)"/>
    <w:basedOn w:val="Normal"/>
    <w:uiPriority w:val="99"/>
    <w:semiHidden/>
    <w:rsid w:val="0086354C"/>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86354C"/>
    <w:pPr>
      <w:spacing w:after="170" w:line="280" w:lineRule="atLeast"/>
    </w:pPr>
    <w:rPr>
      <w:lang w:val="en-US"/>
    </w:rPr>
  </w:style>
  <w:style w:type="paragraph" w:styleId="Title">
    <w:name w:val="Title"/>
    <w:basedOn w:val="Normal"/>
    <w:link w:val="TitleChar"/>
    <w:uiPriority w:val="99"/>
    <w:qFormat/>
    <w:rsid w:val="0086354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86354C"/>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86354C"/>
    <w:pPr>
      <w:tabs>
        <w:tab w:val="right" w:leader="dot" w:pos="9240"/>
      </w:tabs>
      <w:spacing w:after="120" w:line="264" w:lineRule="auto"/>
      <w:jc w:val="center"/>
    </w:pPr>
    <w:rPr>
      <w:b/>
      <w:bCs/>
      <w:sz w:val="32"/>
      <w:szCs w:val="32"/>
      <w:lang w:eastAsia="en-US"/>
    </w:rPr>
  </w:style>
  <w:style w:type="paragraph" w:styleId="TOC1">
    <w:name w:val="toc 1"/>
    <w:basedOn w:val="Normal"/>
    <w:next w:val="Normal"/>
    <w:uiPriority w:val="39"/>
    <w:rsid w:val="0086354C"/>
    <w:pPr>
      <w:tabs>
        <w:tab w:val="left" w:pos="840"/>
        <w:tab w:val="right" w:leader="dot" w:pos="9240"/>
      </w:tabs>
      <w:spacing w:before="240" w:after="120" w:line="264" w:lineRule="auto"/>
      <w:ind w:left="840" w:right="602" w:hanging="840"/>
      <w:jc w:val="left"/>
    </w:pPr>
    <w:rPr>
      <w:b/>
      <w:bCs/>
      <w:noProof/>
    </w:rPr>
  </w:style>
  <w:style w:type="paragraph" w:styleId="TOC2">
    <w:name w:val="toc 2"/>
    <w:basedOn w:val="Normal"/>
    <w:next w:val="Normal"/>
    <w:autoRedefine/>
    <w:uiPriority w:val="39"/>
    <w:rsid w:val="0086354C"/>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86354C"/>
    <w:pPr>
      <w:tabs>
        <w:tab w:val="left" w:pos="1800"/>
        <w:tab w:val="right" w:leader="dot" w:pos="9240"/>
      </w:tabs>
      <w:spacing w:after="60" w:line="240" w:lineRule="auto"/>
      <w:ind w:left="1800" w:right="602" w:hanging="960"/>
      <w:jc w:val="left"/>
    </w:pPr>
    <w:rPr>
      <w:noProof/>
      <w:sz w:val="22"/>
      <w:szCs w:val="22"/>
      <w:lang w:val="fr-FR" w:eastAsia="en-US"/>
    </w:rPr>
  </w:style>
  <w:style w:type="paragraph" w:styleId="TOC4">
    <w:name w:val="toc 4"/>
    <w:basedOn w:val="Normal"/>
    <w:next w:val="Normal"/>
    <w:uiPriority w:val="99"/>
    <w:semiHidden/>
    <w:rsid w:val="0086354C"/>
    <w:pPr>
      <w:tabs>
        <w:tab w:val="left" w:pos="3000"/>
        <w:tab w:val="right" w:leader="dot" w:pos="9240"/>
      </w:tabs>
      <w:spacing w:after="60" w:line="240" w:lineRule="auto"/>
      <w:ind w:left="3000" w:right="602" w:hanging="1200"/>
      <w:jc w:val="left"/>
    </w:pPr>
    <w:rPr>
      <w:i/>
      <w:iCs/>
      <w:noProof/>
      <w:sz w:val="22"/>
      <w:szCs w:val="22"/>
      <w:lang w:eastAsia="en-US"/>
    </w:rPr>
  </w:style>
  <w:style w:type="paragraph" w:styleId="TOC5">
    <w:name w:val="toc 5"/>
    <w:basedOn w:val="Normal"/>
    <w:next w:val="Normal"/>
    <w:uiPriority w:val="99"/>
    <w:semiHidden/>
    <w:rsid w:val="0086354C"/>
    <w:pPr>
      <w:tabs>
        <w:tab w:val="right" w:leader="dot" w:pos="9469"/>
      </w:tabs>
      <w:ind w:left="960"/>
    </w:pPr>
  </w:style>
  <w:style w:type="paragraph" w:styleId="TOC6">
    <w:name w:val="toc 6"/>
    <w:basedOn w:val="Normal"/>
    <w:next w:val="Normal"/>
    <w:uiPriority w:val="99"/>
    <w:semiHidden/>
    <w:rsid w:val="0086354C"/>
    <w:pPr>
      <w:tabs>
        <w:tab w:val="right" w:leader="dot" w:pos="9469"/>
      </w:tabs>
      <w:ind w:left="1200"/>
    </w:pPr>
  </w:style>
  <w:style w:type="paragraph" w:styleId="TOCHeading0">
    <w:name w:val="TOC Heading"/>
    <w:basedOn w:val="Heading1"/>
    <w:next w:val="Normal"/>
    <w:uiPriority w:val="39"/>
    <w:qFormat/>
    <w:rsid w:val="0086354C"/>
    <w:pPr>
      <w:keepLines/>
      <w:spacing w:before="480" w:line="276" w:lineRule="auto"/>
      <w:jc w:val="left"/>
      <w:outlineLvl w:val="9"/>
    </w:pPr>
    <w:rPr>
      <w:rFonts w:eastAsia="Times New Roman"/>
      <w:lang w:val="en-US" w:eastAsia="en-US"/>
    </w:rPr>
  </w:style>
  <w:style w:type="paragraph" w:styleId="ListParagraph">
    <w:name w:val="List Paragraph"/>
    <w:basedOn w:val="Normal"/>
    <w:uiPriority w:val="99"/>
    <w:qFormat/>
    <w:rsid w:val="0086354C"/>
    <w:pPr>
      <w:ind w:left="720"/>
      <w:contextualSpacing/>
    </w:pPr>
  </w:style>
  <w:style w:type="paragraph" w:styleId="NoSpacing">
    <w:name w:val="No Spacing"/>
    <w:link w:val="NoSpacingChar"/>
    <w:uiPriority w:val="99"/>
    <w:qFormat/>
    <w:rsid w:val="0086354C"/>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99"/>
    <w:rsid w:val="0086354C"/>
    <w:rPr>
      <w:rFonts w:ascii="Calibri" w:eastAsia="Times New Roman" w:hAnsi="Calibri" w:cs="Calibri"/>
      <w:lang w:val="en-US"/>
    </w:rPr>
  </w:style>
  <w:style w:type="character" w:styleId="FollowedHyperlink">
    <w:name w:val="FollowedHyperlink"/>
    <w:basedOn w:val="DefaultParagraphFont"/>
    <w:uiPriority w:val="99"/>
    <w:semiHidden/>
    <w:rsid w:val="0086354C"/>
    <w:rPr>
      <w:color w:val="800080"/>
      <w:u w:val="single"/>
    </w:rPr>
  </w:style>
  <w:style w:type="paragraph" w:customStyle="1" w:styleId="CharChar1CharCharCharChar">
    <w:name w:val="Char Char1 Char Char Char Char"/>
    <w:basedOn w:val="Normal"/>
    <w:uiPriority w:val="99"/>
    <w:rsid w:val="0086354C"/>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86354C"/>
    <w:pPr>
      <w:keepNext/>
      <w:spacing w:after="0" w:line="240" w:lineRule="auto"/>
      <w:jc w:val="left"/>
    </w:pPr>
    <w:rPr>
      <w:rFonts w:ascii="Trebuchet MS" w:eastAsia="Times New Roman" w:hAnsi="Trebuchet MS" w:cs="Trebuchet MS"/>
      <w:sz w:val="18"/>
      <w:szCs w:val="18"/>
      <w:lang w:eastAsia="en-US"/>
    </w:rPr>
  </w:style>
  <w:style w:type="character" w:customStyle="1" w:styleId="highlight">
    <w:name w:val="highlight"/>
    <w:basedOn w:val="DefaultParagraphFont"/>
    <w:rsid w:val="0086354C"/>
  </w:style>
  <w:style w:type="paragraph" w:styleId="NormalWeb">
    <w:name w:val="Normal (Web)"/>
    <w:basedOn w:val="Normal"/>
    <w:uiPriority w:val="99"/>
    <w:rsid w:val="0086354C"/>
    <w:pPr>
      <w:spacing w:before="100" w:beforeAutospacing="1" w:after="100" w:afterAutospacing="1" w:line="240" w:lineRule="auto"/>
      <w:jc w:val="left"/>
    </w:pPr>
    <w:rPr>
      <w:rFonts w:ascii="Times New Roman" w:eastAsia="Times New Roman" w:hAnsi="Times New Roman" w:cs="Times New Roman"/>
      <w:color w:val="000000"/>
      <w:lang w:eastAsia="en-AU"/>
    </w:rPr>
  </w:style>
  <w:style w:type="paragraph" w:customStyle="1" w:styleId="Default">
    <w:name w:val="Default"/>
    <w:uiPriority w:val="99"/>
    <w:rsid w:val="0086354C"/>
    <w:pPr>
      <w:autoSpaceDE w:val="0"/>
      <w:autoSpaceDN w:val="0"/>
      <w:adjustRightInd w:val="0"/>
      <w:spacing w:after="0" w:line="240" w:lineRule="auto"/>
    </w:pPr>
    <w:rPr>
      <w:rFonts w:ascii="Arial" w:eastAsia="Calibri" w:hAnsi="Arial" w:cs="Arial"/>
      <w:color w:val="000000"/>
      <w:sz w:val="24"/>
      <w:szCs w:val="24"/>
    </w:rPr>
  </w:style>
  <w:style w:type="table" w:styleId="LightList-Accent2">
    <w:name w:val="Light List Accent 2"/>
    <w:basedOn w:val="TableNormal"/>
    <w:uiPriority w:val="99"/>
    <w:rsid w:val="0086354C"/>
    <w:pPr>
      <w:spacing w:after="0" w:line="240" w:lineRule="auto"/>
    </w:pPr>
    <w:rPr>
      <w:rFonts w:ascii="Calibri" w:eastAsia="Calibri" w:hAnsi="Calibri" w:cs="Calibri"/>
      <w:sz w:val="20"/>
      <w:szCs w:val="20"/>
      <w:lang w:eastAsia="en-A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1">
    <w:name w:val="Light Shading Accent 1"/>
    <w:basedOn w:val="TableNormal"/>
    <w:uiPriority w:val="99"/>
    <w:rsid w:val="0086354C"/>
    <w:pPr>
      <w:spacing w:after="0" w:line="240" w:lineRule="auto"/>
    </w:pPr>
    <w:rPr>
      <w:rFonts w:ascii="Calibri" w:eastAsia="Calibri" w:hAnsi="Calibri" w:cs="Calibri"/>
      <w:color w:val="365F91"/>
      <w:sz w:val="20"/>
      <w:szCs w:val="20"/>
      <w:lang w:eastAsia="en-A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3E9D5-8CB3-43CB-AB37-CB092A0C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10899</Words>
  <Characters>62130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Surgeons</Company>
  <LinksUpToDate>false</LinksUpToDate>
  <CharactersWithSpaces>72884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JonHenry Jacobsen</dc:creator>
  <cp:lastModifiedBy>Orr Audrey</cp:lastModifiedBy>
  <cp:revision>2</cp:revision>
  <cp:lastPrinted>2013-09-26T06:07:00Z</cp:lastPrinted>
  <dcterms:created xsi:type="dcterms:W3CDTF">2013-10-14T23:18:00Z</dcterms:created>
  <dcterms:modified xsi:type="dcterms:W3CDTF">2013-10-14T23:18:00Z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