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F715D1" w:rsidRDefault="00F715D1" w:rsidP="00F715D1">
      <w:pPr>
        <w:pStyle w:val="Title"/>
        <w:tabs>
          <w:tab w:val="left" w:pos="1926"/>
          <w:tab w:val="center" w:pos="4513"/>
        </w:tabs>
        <w:jc w:val="left"/>
      </w:pPr>
      <w:r>
        <w:tab/>
      </w:r>
      <w:r>
        <w:tab/>
      </w:r>
      <w:r w:rsidR="00BF479B" w:rsidRPr="00F715D1">
        <w:t>Public Summary Document</w:t>
      </w:r>
    </w:p>
    <w:p w:rsidR="00BC1364" w:rsidRPr="00F715D1" w:rsidRDefault="00BC1364" w:rsidP="00F715D1">
      <w:pPr>
        <w:pStyle w:val="Subtitle"/>
      </w:pPr>
      <w:r w:rsidRPr="00F715D1">
        <w:t xml:space="preserve">Application No. </w:t>
      </w:r>
      <w:r w:rsidR="0087677F">
        <w:t>1342.4</w:t>
      </w:r>
      <w:r w:rsidRPr="00F715D1">
        <w:t xml:space="preserve"> – </w:t>
      </w:r>
      <w:r w:rsidR="0087677F" w:rsidRPr="0087677F">
        <w:t>Gene expression profiling of 21 genes in breast cancer to quantify the risk of disease recurrence and predict adjuvant chemotherapy benefit</w:t>
      </w:r>
    </w:p>
    <w:p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87677F">
        <w:rPr>
          <w:rFonts w:ascii="Arial" w:hAnsi="Arial" w:cs="Arial"/>
          <w:b/>
          <w:szCs w:val="24"/>
        </w:rPr>
        <w:t>Specialised Therapeutics Australia Pty Ltd</w:t>
      </w:r>
    </w:p>
    <w:p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87677F">
        <w:rPr>
          <w:rFonts w:ascii="Arial" w:hAnsi="Arial" w:cs="Arial"/>
          <w:b/>
          <w:szCs w:val="24"/>
        </w:rPr>
        <w:t>70</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87677F">
        <w:rPr>
          <w:rFonts w:ascii="Arial" w:hAnsi="Arial" w:cs="Arial"/>
          <w:b/>
          <w:szCs w:val="24"/>
        </w:rPr>
        <w:t>27 July</w:t>
      </w:r>
      <w:r w:rsidR="001023DC">
        <w:rPr>
          <w:rFonts w:ascii="Arial" w:hAnsi="Arial" w:cs="Arial"/>
          <w:b/>
          <w:szCs w:val="24"/>
        </w:rPr>
        <w:t xml:space="preserve"> 2017</w:t>
      </w:r>
    </w:p>
    <w:p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rsidR="003D7F29" w:rsidRDefault="003D7F29" w:rsidP="00F715D1">
      <w:pPr>
        <w:pStyle w:val="Heading1"/>
      </w:pPr>
      <w:r w:rsidRPr="00F715D1">
        <w:t>Purpose of application</w:t>
      </w:r>
      <w:r w:rsidR="00822C7E" w:rsidRPr="00F715D1">
        <w:t xml:space="preserve"> </w:t>
      </w:r>
    </w:p>
    <w:p w:rsidR="0097252B" w:rsidRDefault="0087677F" w:rsidP="00227FFC">
      <w:pPr>
        <w:spacing w:after="240"/>
      </w:pPr>
      <w:r>
        <w:t xml:space="preserve">A resubmission requesting a new Medicare Benefit Schedule (MBS) listing of Oncotype DX (ODX) testing for patients with early invasive breast cancer (stages I-II) meeting the pre-defined </w:t>
      </w:r>
      <w:r w:rsidR="0097252B">
        <w:t xml:space="preserve">criteria was received </w:t>
      </w:r>
      <w:r w:rsidR="00984F93">
        <w:t xml:space="preserve">by the Department of Health </w:t>
      </w:r>
      <w:r w:rsidR="0097252B">
        <w:t>from Specialised Therapeutics Australia.</w:t>
      </w:r>
    </w:p>
    <w:p w:rsidR="0097252B" w:rsidRPr="0087677F" w:rsidRDefault="0097252B" w:rsidP="0087677F">
      <w:r>
        <w:t>This public summary document (PSD) should be reviewed in conjunction with the PSDs for Applications 1342, 1342.1, 1342.2 and 1342.3.</w:t>
      </w:r>
    </w:p>
    <w:p w:rsidR="00E977EE" w:rsidRPr="00F715D1" w:rsidRDefault="00E977EE" w:rsidP="00F715D1">
      <w:pPr>
        <w:pStyle w:val="Heading1"/>
      </w:pPr>
      <w:r w:rsidRPr="00F715D1">
        <w:t>MSAC’s advice to the Minister</w:t>
      </w:r>
    </w:p>
    <w:p w:rsidR="009B0CB8" w:rsidRPr="009B0CB8" w:rsidRDefault="009B0CB8" w:rsidP="009B0CB8">
      <w:pPr>
        <w:pStyle w:val="Default"/>
        <w:spacing w:after="240"/>
        <w:rPr>
          <w:color w:val="auto"/>
        </w:rPr>
      </w:pPr>
      <w:r w:rsidRPr="000F7545">
        <w:t>After considering the available evidence presented in relation to the comparative safety, clinical effectiveness and cost effectiveness of gene expression profiling of 21 genes in breast cancer to quantify the risk of disease recurrence and predic</w:t>
      </w:r>
      <w:r>
        <w:t>t adjuvant chemotherapy benefit</w:t>
      </w:r>
      <w:r w:rsidRPr="009B0CB8">
        <w:rPr>
          <w:color w:val="auto"/>
        </w:rPr>
        <w:t xml:space="preserve">, MSAC did not support public funding of the Oncotype DX breast cancer assay to quantify the risk of disease recurrence and predict adjuvant chemotherapy benefit. MSAC considered that the incremental benefit of the Oncotype DX breast cancer assay over optimal care remains uncertain. </w:t>
      </w:r>
    </w:p>
    <w:p w:rsidR="00CF7307" w:rsidRPr="009B0CB8" w:rsidRDefault="009B0CB8" w:rsidP="009B0CB8">
      <w:pPr>
        <w:pStyle w:val="Default"/>
        <w:spacing w:after="240"/>
        <w:rPr>
          <w:b/>
          <w:color w:val="auto"/>
        </w:rPr>
      </w:pPr>
      <w:r w:rsidRPr="009B0CB8">
        <w:rPr>
          <w:color w:val="auto"/>
        </w:rPr>
        <w:t>MSAC noted that there are other trials currently in progress (e.g. T</w:t>
      </w:r>
      <w:r w:rsidR="00BC2ADD">
        <w:rPr>
          <w:color w:val="auto"/>
        </w:rPr>
        <w:t>AILORx</w:t>
      </w:r>
      <w:r w:rsidRPr="009B0CB8">
        <w:rPr>
          <w:color w:val="auto"/>
        </w:rPr>
        <w:t>), the results of which may be informative. Any resubmission would need to be considered via ESC.</w:t>
      </w:r>
    </w:p>
    <w:p w:rsidR="00550354" w:rsidRPr="00F715D1" w:rsidRDefault="00550354" w:rsidP="00F715D1">
      <w:pPr>
        <w:pStyle w:val="Heading1"/>
      </w:pPr>
      <w:r w:rsidRPr="00F715D1">
        <w:t xml:space="preserve">Summary of consideration and rationale for MSAC’s advice </w:t>
      </w:r>
    </w:p>
    <w:p w:rsidR="004024E2" w:rsidRPr="004024E2" w:rsidRDefault="004024E2" w:rsidP="004024E2">
      <w:pPr>
        <w:pStyle w:val="BodyText"/>
        <w:spacing w:line="240" w:lineRule="auto"/>
        <w:rPr>
          <w:rFonts w:ascii="Times New Roman" w:hAnsi="Times New Roman"/>
          <w:sz w:val="24"/>
        </w:rPr>
      </w:pPr>
      <w:r w:rsidRPr="004024E2">
        <w:rPr>
          <w:rFonts w:ascii="Times New Roman" w:hAnsi="Times New Roman"/>
          <w:sz w:val="24"/>
        </w:rPr>
        <w:t xml:space="preserve">MSAC noted that this was the fourth resubmission for Oncotype DX (ODX) breast cancer assay to quantify the risk of disease recurrence and predict adjuvant chemotherapy benefit. MSAC noted that the complex implementation issues associated with the test being conducted in an overseas laboratory have been previously discussed as documented in public summary documents (PSDs) for Applications </w:t>
      </w:r>
      <w:hyperlink r:id="rId10" w:history="1">
        <w:r w:rsidRPr="004024E2">
          <w:rPr>
            <w:rStyle w:val="Hyperlink"/>
            <w:rFonts w:ascii="Times New Roman" w:hAnsi="Times New Roman"/>
            <w:sz w:val="24"/>
          </w:rPr>
          <w:t>1342</w:t>
        </w:r>
      </w:hyperlink>
      <w:r w:rsidRPr="004024E2">
        <w:rPr>
          <w:rFonts w:ascii="Times New Roman" w:hAnsi="Times New Roman"/>
          <w:sz w:val="24"/>
        </w:rPr>
        <w:t xml:space="preserve">, </w:t>
      </w:r>
      <w:hyperlink r:id="rId11" w:history="1">
        <w:r w:rsidRPr="004024E2">
          <w:rPr>
            <w:rStyle w:val="Hyperlink"/>
            <w:rFonts w:ascii="Times New Roman" w:hAnsi="Times New Roman"/>
            <w:sz w:val="24"/>
          </w:rPr>
          <w:t>1342.1</w:t>
        </w:r>
      </w:hyperlink>
      <w:r w:rsidRPr="004024E2">
        <w:rPr>
          <w:rFonts w:ascii="Times New Roman" w:hAnsi="Times New Roman"/>
          <w:sz w:val="24"/>
        </w:rPr>
        <w:t xml:space="preserve">, </w:t>
      </w:r>
      <w:hyperlink r:id="rId12" w:history="1">
        <w:r w:rsidRPr="004024E2">
          <w:rPr>
            <w:rStyle w:val="Hyperlink"/>
            <w:rFonts w:ascii="Times New Roman" w:hAnsi="Times New Roman"/>
            <w:sz w:val="24"/>
          </w:rPr>
          <w:t>1342.2</w:t>
        </w:r>
      </w:hyperlink>
      <w:r w:rsidRPr="004024E2">
        <w:rPr>
          <w:rFonts w:ascii="Times New Roman" w:hAnsi="Times New Roman"/>
          <w:sz w:val="24"/>
        </w:rPr>
        <w:t xml:space="preserve"> and </w:t>
      </w:r>
      <w:hyperlink r:id="rId13" w:history="1">
        <w:r w:rsidRPr="004024E2">
          <w:rPr>
            <w:rStyle w:val="Hyperlink"/>
            <w:rFonts w:ascii="Times New Roman" w:hAnsi="Times New Roman"/>
            <w:sz w:val="24"/>
          </w:rPr>
          <w:t>1342.3</w:t>
        </w:r>
      </w:hyperlink>
      <w:r w:rsidRPr="004024E2">
        <w:rPr>
          <w:rFonts w:ascii="Times New Roman" w:hAnsi="Times New Roman"/>
          <w:sz w:val="24"/>
        </w:rPr>
        <w:t>.</w:t>
      </w:r>
    </w:p>
    <w:p w:rsidR="004024E2" w:rsidRPr="004024E2" w:rsidRDefault="004024E2" w:rsidP="004024E2">
      <w:pPr>
        <w:pStyle w:val="BodyText"/>
        <w:spacing w:line="240" w:lineRule="auto"/>
        <w:rPr>
          <w:rFonts w:ascii="Times New Roman" w:hAnsi="Times New Roman"/>
          <w:sz w:val="24"/>
        </w:rPr>
      </w:pPr>
      <w:r w:rsidRPr="004024E2">
        <w:rPr>
          <w:rFonts w:ascii="Times New Roman" w:hAnsi="Times New Roman"/>
          <w:sz w:val="24"/>
        </w:rPr>
        <w:lastRenderedPageBreak/>
        <w:t xml:space="preserve">MSAC noted that there was no change in the proposed population as defined in the item descriptor, which was previously accepted by MSAC as appropriate. </w:t>
      </w:r>
    </w:p>
    <w:p w:rsidR="004024E2" w:rsidRPr="004024E2" w:rsidRDefault="004024E2" w:rsidP="004024E2">
      <w:pPr>
        <w:pStyle w:val="BodyText"/>
        <w:spacing w:line="240" w:lineRule="auto"/>
        <w:rPr>
          <w:rFonts w:ascii="Times New Roman" w:hAnsi="Times New Roman"/>
          <w:sz w:val="24"/>
        </w:rPr>
      </w:pPr>
      <w:r w:rsidRPr="004024E2">
        <w:rPr>
          <w:rFonts w:ascii="Times New Roman" w:hAnsi="Times New Roman"/>
          <w:sz w:val="24"/>
        </w:rPr>
        <w:t xml:space="preserve">In the PSD for </w:t>
      </w:r>
      <w:hyperlink r:id="rId14" w:history="1">
        <w:r w:rsidRPr="004024E2">
          <w:rPr>
            <w:rStyle w:val="Hyperlink"/>
            <w:rFonts w:ascii="Times New Roman" w:hAnsi="Times New Roman"/>
            <w:sz w:val="24"/>
          </w:rPr>
          <w:t>MSAC application 1342.3</w:t>
        </w:r>
      </w:hyperlink>
      <w:r w:rsidRPr="004024E2">
        <w:rPr>
          <w:rStyle w:val="Hyperlink"/>
          <w:rFonts w:ascii="Times New Roman" w:hAnsi="Times New Roman"/>
          <w:sz w:val="24"/>
        </w:rPr>
        <w:t>,</w:t>
      </w:r>
      <w:r w:rsidRPr="004024E2">
        <w:rPr>
          <w:rFonts w:ascii="Times New Roman" w:hAnsi="Times New Roman"/>
          <w:sz w:val="24"/>
        </w:rPr>
        <w:t xml:space="preserve"> MSAC requested that the applicant demonstrate “the incremental gain of ODX testing over ‘usual care’, where ‘usual care’ incorporates currently available prognostic approaches and algorithms for the purpose of deciding whether to use adjuvant chemotherapy”. MSAC agreed that the definition of the comparator is the key residual issue in considering the value of ODX over and above alternative tools and algorithms. MSAC confirmed that the most appropriate comparator for ODX testing is usual care and clarified that usual care </w:t>
      </w:r>
      <w:r w:rsidR="001F46E9">
        <w:rPr>
          <w:rFonts w:ascii="Times New Roman" w:hAnsi="Times New Roman"/>
          <w:sz w:val="24"/>
        </w:rPr>
        <w:t>is best defined</w:t>
      </w:r>
      <w:r w:rsidRPr="004024E2">
        <w:rPr>
          <w:rFonts w:ascii="Times New Roman" w:hAnsi="Times New Roman"/>
          <w:sz w:val="24"/>
        </w:rPr>
        <w:t xml:space="preserve"> as optimal care — where all available sources of information are considered for informing treatment decisions. MSAC acknowledged that the use of online prognostic tools may not be valuable for all breast cancer patients. However, MSAC noted that in the specific population of interest for this </w:t>
      </w:r>
      <w:r w:rsidR="005C14A4">
        <w:rPr>
          <w:rFonts w:ascii="Times New Roman" w:hAnsi="Times New Roman"/>
          <w:sz w:val="24"/>
        </w:rPr>
        <w:t>resubmission</w:t>
      </w:r>
      <w:r w:rsidRPr="004024E2">
        <w:rPr>
          <w:rFonts w:ascii="Times New Roman" w:hAnsi="Times New Roman"/>
          <w:sz w:val="24"/>
        </w:rPr>
        <w:t xml:space="preserve"> (patients with apparently equivocal risk) the use of these online prognostic tools, along with multidisciplinary team discussions and consideration of tumour and patient factors, is considered good practice. MSAC considered that the use of online prognostic tools would almost certainly add value in this population. As such, MSAC reiterated the need to determine the magnitude of the incremental prognostic utility and </w:t>
      </w:r>
      <w:r w:rsidR="00BB59AC">
        <w:rPr>
          <w:rFonts w:ascii="Times New Roman" w:hAnsi="Times New Roman"/>
          <w:sz w:val="24"/>
        </w:rPr>
        <w:t xml:space="preserve">incremental </w:t>
      </w:r>
      <w:r w:rsidRPr="004024E2">
        <w:rPr>
          <w:rFonts w:ascii="Times New Roman" w:hAnsi="Times New Roman"/>
          <w:sz w:val="24"/>
        </w:rPr>
        <w:t>clinical utility of ODX testing over and above the currently available prognostic approaches and algorithms. MSAC noted that the resubmission did not provide any additional data to address this question.</w:t>
      </w:r>
    </w:p>
    <w:p w:rsidR="004024E2" w:rsidRPr="004024E2" w:rsidRDefault="004024E2" w:rsidP="004024E2">
      <w:pPr>
        <w:pStyle w:val="BodyText"/>
        <w:spacing w:line="240" w:lineRule="auto"/>
        <w:rPr>
          <w:rFonts w:ascii="Times New Roman" w:hAnsi="Times New Roman"/>
          <w:sz w:val="24"/>
        </w:rPr>
      </w:pPr>
      <w:r w:rsidRPr="004024E2">
        <w:rPr>
          <w:rFonts w:ascii="Times New Roman" w:hAnsi="Times New Roman"/>
          <w:sz w:val="24"/>
        </w:rPr>
        <w:t>MSAC considered the results of the clinician survey provided in the resubmission, noting the shortcomings of the survey design. MSAC noted that it was unclear from the survey what proportion of oncologists who use prognostic tools in intermediate risk patients would use ODX instead of or in addition to these tools. MSAC agreed that the survey did not describe current practice accurately or effectively and therefore could not address the issue of the incremental gain of ODX as previously requested by MSAC. MSAC also noted that the extent of use of online prognostic tools in the Australian Decision Impact Study (ADIS) is unknown and unlikely to be representative of current practice and therefore data from ADIS cannot address the question of incremental gain of ODX over and above currently available prognostic approaches and algorithms.</w:t>
      </w:r>
    </w:p>
    <w:p w:rsidR="004024E2" w:rsidRPr="004024E2" w:rsidRDefault="004024E2" w:rsidP="004024E2">
      <w:pPr>
        <w:pStyle w:val="BodyText"/>
        <w:spacing w:line="240" w:lineRule="auto"/>
        <w:rPr>
          <w:rFonts w:ascii="Times New Roman" w:hAnsi="Times New Roman"/>
          <w:sz w:val="24"/>
        </w:rPr>
      </w:pPr>
      <w:r w:rsidRPr="004024E2">
        <w:rPr>
          <w:rFonts w:ascii="Times New Roman" w:hAnsi="Times New Roman"/>
          <w:sz w:val="24"/>
        </w:rPr>
        <w:t xml:space="preserve">MSAC noted that no additional cost effectiveness analysis was presented in the resubmission and the uncertainty regarding the cost-effectiveness of ODX remains unresolved. </w:t>
      </w:r>
    </w:p>
    <w:p w:rsidR="004024E2" w:rsidRPr="004024E2" w:rsidRDefault="004024E2" w:rsidP="004024E2">
      <w:pPr>
        <w:pStyle w:val="BodyText"/>
        <w:spacing w:line="240" w:lineRule="auto"/>
        <w:rPr>
          <w:rFonts w:ascii="Times New Roman" w:hAnsi="Times New Roman"/>
          <w:sz w:val="24"/>
        </w:rPr>
      </w:pPr>
      <w:r w:rsidRPr="004024E2">
        <w:rPr>
          <w:rFonts w:ascii="Times New Roman" w:hAnsi="Times New Roman"/>
          <w:sz w:val="24"/>
        </w:rPr>
        <w:t>MSAC noted that additional trial data may help to address the remaining uncertainty regarding the clinical effectiveness and cost-effectiveness of ODX. MSAC noted that the ongoing TAILORx trial may provide additional data, though further consideration would need to be given to whether the trial population and comparator are appropriate and relevant to address this uncertainty.</w:t>
      </w:r>
    </w:p>
    <w:p w:rsidR="004024E2" w:rsidRPr="004024E2" w:rsidRDefault="004024E2" w:rsidP="004024E2">
      <w:pPr>
        <w:pStyle w:val="BodyText"/>
        <w:spacing w:line="240" w:lineRule="auto"/>
        <w:rPr>
          <w:rFonts w:ascii="Times New Roman" w:hAnsi="Times New Roman"/>
          <w:sz w:val="24"/>
        </w:rPr>
      </w:pPr>
      <w:r w:rsidRPr="004024E2">
        <w:rPr>
          <w:rFonts w:ascii="Times New Roman" w:hAnsi="Times New Roman"/>
          <w:sz w:val="24"/>
        </w:rPr>
        <w:t xml:space="preserve">MSAC acknowledged the applicant’s comments that ODX is has been recommended by the National Institute for Health and Care Excellence (NICE) and is used in other countries. MSAC noted that the NICE assessment of ODX identified the same gaps in the evidence base as have been raised by MSAC. MSAC commented that the manufacturer provides ODX to UK National Health Service (NHS) organisations according to the confidential arrangement agreed with NICE, which makes it difficult for MSAC to ascertain the cost-effectiveness of ODX in this context. </w:t>
      </w:r>
    </w:p>
    <w:p w:rsidR="004024E2" w:rsidRPr="004024E2" w:rsidRDefault="004024E2" w:rsidP="004024E2">
      <w:pPr>
        <w:pStyle w:val="BodyText"/>
        <w:spacing w:line="240" w:lineRule="auto"/>
        <w:rPr>
          <w:rFonts w:ascii="Times New Roman" w:hAnsi="Times New Roman"/>
          <w:sz w:val="24"/>
        </w:rPr>
      </w:pPr>
      <w:r w:rsidRPr="004024E2">
        <w:rPr>
          <w:rFonts w:ascii="Times New Roman" w:hAnsi="Times New Roman"/>
          <w:sz w:val="24"/>
        </w:rPr>
        <w:t xml:space="preserve">MSAC noted the availability of other gene expression profiling and expanded immunohistochemistry tests for guiding adjuvant chemotherapy decisions in breast cancer patients (Mammaprint, Endopredict, etc.) which have not </w:t>
      </w:r>
      <w:r w:rsidR="000E6F57">
        <w:rPr>
          <w:rFonts w:ascii="Times New Roman" w:hAnsi="Times New Roman"/>
          <w:sz w:val="24"/>
        </w:rPr>
        <w:t xml:space="preserve">been considered as part of any of the </w:t>
      </w:r>
      <w:r w:rsidRPr="004024E2">
        <w:rPr>
          <w:rFonts w:ascii="Times New Roman" w:hAnsi="Times New Roman"/>
          <w:sz w:val="24"/>
        </w:rPr>
        <w:t>resubmissions.</w:t>
      </w:r>
    </w:p>
    <w:p w:rsidR="004024E2" w:rsidRPr="004024E2" w:rsidRDefault="004024E2" w:rsidP="004024E2">
      <w:pPr>
        <w:pStyle w:val="BodyText"/>
        <w:spacing w:line="240" w:lineRule="auto"/>
        <w:rPr>
          <w:rFonts w:ascii="Times New Roman" w:hAnsi="Times New Roman"/>
          <w:sz w:val="24"/>
          <w:lang w:eastAsia="en-US"/>
        </w:rPr>
      </w:pPr>
      <w:r w:rsidRPr="004024E2">
        <w:rPr>
          <w:rFonts w:ascii="Times New Roman" w:hAnsi="Times New Roman"/>
          <w:sz w:val="24"/>
          <w:lang w:eastAsia="en-US"/>
        </w:rPr>
        <w:lastRenderedPageBreak/>
        <w:t>After considering the evidence presented in relation to the safety, clinical effectiveness and cost-effectiveness MSAC did not support public funding of the ODX breast cancer assay to quantify the risk of disease recurrence and predict adjuvant chemotherapy benefit. MSAC considered that the incremental clinical utility of the proposed service remain uncertain. MSAC noted that data from ongoing trials, if suitable, may be useful in addressing this uncertainty once it is available.</w:t>
      </w:r>
    </w:p>
    <w:p w:rsidR="00BC1364" w:rsidRPr="00F715D1" w:rsidRDefault="00BC1364" w:rsidP="00F715D1">
      <w:pPr>
        <w:pStyle w:val="Heading1"/>
      </w:pPr>
      <w:r w:rsidRPr="00F715D1">
        <w:t>Background</w:t>
      </w:r>
    </w:p>
    <w:p w:rsidR="00BC1364" w:rsidRPr="001D7A85" w:rsidRDefault="001D7A85" w:rsidP="00F715D1">
      <w:pPr>
        <w:spacing w:after="240"/>
        <w:rPr>
          <w:szCs w:val="24"/>
        </w:rPr>
      </w:pPr>
      <w:r>
        <w:rPr>
          <w:szCs w:val="24"/>
        </w:rPr>
        <w:t>This is the fifth iteration of this application.  The original application was considered by MSAC at its July 2013 meeting, subsequent resubmissions were then considered in April 2014, November 2015 and July 2016.  The PSDs for these applications can be viewed on the MSAC website.</w:t>
      </w:r>
    </w:p>
    <w:p w:rsidR="00BC1364" w:rsidRPr="00F715D1" w:rsidRDefault="00BC1364" w:rsidP="00F715D1">
      <w:pPr>
        <w:pStyle w:val="Heading1"/>
      </w:pPr>
      <w:r w:rsidRPr="00F715D1">
        <w:t>Prerequisites to implementation of any funding advice</w:t>
      </w:r>
    </w:p>
    <w:p w:rsidR="004024E2" w:rsidRDefault="004024E2" w:rsidP="004024E2">
      <w:pPr>
        <w:spacing w:after="240"/>
        <w:rPr>
          <w:szCs w:val="24"/>
        </w:rPr>
      </w:pPr>
      <w:r w:rsidRPr="009B54CD">
        <w:rPr>
          <w:szCs w:val="24"/>
        </w:rPr>
        <w:t>The ODX Breast Cancer Assay test is performed in a single laboratory</w:t>
      </w:r>
      <w:r>
        <w:rPr>
          <w:szCs w:val="24"/>
        </w:rPr>
        <w:t xml:space="preserve"> </w:t>
      </w:r>
      <w:r w:rsidRPr="009B54CD">
        <w:rPr>
          <w:szCs w:val="24"/>
        </w:rPr>
        <w:t>in the United States by Genomic Health Inc.  The</w:t>
      </w:r>
      <w:r>
        <w:rPr>
          <w:szCs w:val="24"/>
        </w:rPr>
        <w:t>refore the</w:t>
      </w:r>
      <w:r w:rsidRPr="009B54CD">
        <w:rPr>
          <w:szCs w:val="24"/>
        </w:rPr>
        <w:t xml:space="preserve"> test would not be subject to approval or regulation by the TGA. </w:t>
      </w:r>
      <w:r>
        <w:rPr>
          <w:szCs w:val="24"/>
        </w:rPr>
        <w:t>A</w:t>
      </w:r>
      <w:r w:rsidRPr="009B54CD">
        <w:rPr>
          <w:szCs w:val="24"/>
        </w:rPr>
        <w:t xml:space="preserve"> November 2015 report by the US FDA </w:t>
      </w:r>
      <w:r>
        <w:rPr>
          <w:szCs w:val="24"/>
        </w:rPr>
        <w:t>raised</w:t>
      </w:r>
      <w:r w:rsidRPr="009B54CD">
        <w:rPr>
          <w:szCs w:val="24"/>
        </w:rPr>
        <w:t xml:space="preserve"> concerns about the current lack of regulation within the US for assays that are ‘Laboratory Developed Tests’ (LDTs)</w:t>
      </w:r>
      <w:r>
        <w:rPr>
          <w:szCs w:val="24"/>
        </w:rPr>
        <w:t>, such as ODX</w:t>
      </w:r>
      <w:r w:rsidRPr="009B54CD">
        <w:rPr>
          <w:szCs w:val="24"/>
        </w:rPr>
        <w:t xml:space="preserve">. </w:t>
      </w:r>
    </w:p>
    <w:p w:rsidR="004024E2" w:rsidRPr="009B54CD" w:rsidRDefault="00E82C7E" w:rsidP="004024E2">
      <w:pPr>
        <w:spacing w:after="240"/>
        <w:rPr>
          <w:szCs w:val="24"/>
        </w:rPr>
      </w:pPr>
      <w:r w:rsidRPr="00D537CF">
        <w:t>MSAC previously raised concerns</w:t>
      </w:r>
      <w:r w:rsidRPr="00D537CF">
        <w:rPr>
          <w:i/>
          <w:iCs/>
        </w:rPr>
        <w:t xml:space="preserve"> </w:t>
      </w:r>
      <w:r w:rsidRPr="00D537CF">
        <w:rPr>
          <w:iCs/>
        </w:rPr>
        <w:t>about the reliance on a single laboratory performing the test located in the US outside Australian standards maintained through the TGA or NATA</w:t>
      </w:r>
      <w:r w:rsidRPr="00D537CF">
        <w:t xml:space="preserve">. </w:t>
      </w:r>
      <w:r>
        <w:t>MSAC also previously noted that a</w:t>
      </w:r>
      <w:r w:rsidR="004024E2" w:rsidRPr="009B54CD">
        <w:rPr>
          <w:szCs w:val="24"/>
        </w:rPr>
        <w:t xml:space="preserve"> number of complex implementation issues would need to be considered by Government</w:t>
      </w:r>
      <w:r w:rsidR="004024E2">
        <w:rPr>
          <w:szCs w:val="24"/>
        </w:rPr>
        <w:t xml:space="preserve"> if this test was supported for listing in Australia</w:t>
      </w:r>
      <w:r w:rsidR="004024E2" w:rsidRPr="009B54CD">
        <w:rPr>
          <w:szCs w:val="24"/>
        </w:rPr>
        <w:t xml:space="preserve"> </w:t>
      </w:r>
    </w:p>
    <w:p w:rsidR="00BC1364" w:rsidRPr="00F715D1" w:rsidRDefault="00BC1364" w:rsidP="00F715D1">
      <w:pPr>
        <w:pStyle w:val="Heading1"/>
      </w:pPr>
      <w:r w:rsidRPr="00F715D1">
        <w:t>Proposal for public funding</w:t>
      </w:r>
    </w:p>
    <w:p w:rsidR="00BC1364" w:rsidRPr="0041184F" w:rsidRDefault="004024E2" w:rsidP="00F715D1">
      <w:pPr>
        <w:tabs>
          <w:tab w:val="left" w:pos="720"/>
          <w:tab w:val="left" w:pos="1140"/>
        </w:tabs>
        <w:spacing w:after="240"/>
        <w:rPr>
          <w:i/>
          <w:szCs w:val="24"/>
        </w:rPr>
      </w:pPr>
      <w:r w:rsidRPr="00F858EC">
        <w:t xml:space="preserve">The proposed population and item descriptor </w:t>
      </w:r>
      <w:r>
        <w:t>have</w:t>
      </w:r>
      <w:r w:rsidRPr="00F858EC">
        <w:t xml:space="preserve"> </w:t>
      </w:r>
      <w:r>
        <w:t>not changed since the previous A</w:t>
      </w:r>
      <w:r w:rsidRPr="00F858EC">
        <w:t>pplication 1342.3</w:t>
      </w:r>
      <w:r>
        <w:t>.</w:t>
      </w:r>
    </w:p>
    <w:p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rsidR="004024E2" w:rsidRPr="00F858EC" w:rsidRDefault="004024E2" w:rsidP="004024E2">
      <w:pPr>
        <w:spacing w:after="240"/>
        <w:rPr>
          <w:szCs w:val="24"/>
        </w:rPr>
      </w:pPr>
      <w:r w:rsidRPr="00F858EC">
        <w:rPr>
          <w:szCs w:val="24"/>
        </w:rPr>
        <w:t>See Application 1342.3 PSD on the MSAC website.</w:t>
      </w:r>
    </w:p>
    <w:p w:rsidR="00BC1364" w:rsidRPr="00F715D1" w:rsidRDefault="00BC1364" w:rsidP="00F715D1">
      <w:pPr>
        <w:pStyle w:val="Heading1"/>
      </w:pPr>
      <w:r w:rsidRPr="00F715D1">
        <w:t>Proposed intervention’s place in clinical management</w:t>
      </w:r>
    </w:p>
    <w:p w:rsidR="004024E2" w:rsidRPr="00F858EC" w:rsidRDefault="004024E2" w:rsidP="004024E2">
      <w:pPr>
        <w:tabs>
          <w:tab w:val="left" w:pos="720"/>
          <w:tab w:val="left" w:pos="1140"/>
        </w:tabs>
        <w:rPr>
          <w:szCs w:val="24"/>
        </w:rPr>
      </w:pPr>
      <w:r w:rsidRPr="00F858EC">
        <w:rPr>
          <w:szCs w:val="24"/>
        </w:rPr>
        <w:t>No change was made to the proposed intervention. See Application 1342.3 PSD on the MSAC website for the proposed clinical algorithm.</w:t>
      </w:r>
    </w:p>
    <w:p w:rsidR="00BC1364" w:rsidRPr="00F715D1" w:rsidRDefault="00BC1364" w:rsidP="00F715D1">
      <w:pPr>
        <w:pStyle w:val="Heading1"/>
      </w:pPr>
      <w:r w:rsidRPr="00F715D1">
        <w:t xml:space="preserve">Comparator </w:t>
      </w:r>
    </w:p>
    <w:p w:rsidR="001B661C" w:rsidRPr="00F858EC" w:rsidRDefault="001B661C" w:rsidP="001B661C">
      <w:r w:rsidRPr="00F858EC">
        <w:t xml:space="preserve">The comparator has not changed from the previous submission. MSAC has accepted the comparator: usual care, defined as subjective assessment of various clinical and pathological factors to estimate the risk of recurrence; which </w:t>
      </w:r>
      <w:r w:rsidR="00BC2ADD">
        <w:t xml:space="preserve">are likely </w:t>
      </w:r>
      <w:r w:rsidRPr="00F858EC">
        <w:t>combined using formal algorithms.</w:t>
      </w:r>
    </w:p>
    <w:p w:rsidR="001B661C" w:rsidRPr="00F858EC" w:rsidRDefault="001B661C" w:rsidP="001B661C"/>
    <w:p w:rsidR="001B661C" w:rsidRPr="005B2A94" w:rsidRDefault="001B661C" w:rsidP="001B661C">
      <w:r w:rsidRPr="005B2A94">
        <w:t xml:space="preserve">The </w:t>
      </w:r>
      <w:r w:rsidR="005B2A94" w:rsidRPr="005B2A94">
        <w:t>resubmission</w:t>
      </w:r>
      <w:r w:rsidR="005B2A94">
        <w:t xml:space="preserve"> presented</w:t>
      </w:r>
      <w:r w:rsidRPr="005B2A94">
        <w:t xml:space="preserve"> a surv</w:t>
      </w:r>
      <w:r w:rsidR="005B2A94" w:rsidRPr="005B2A94">
        <w:t xml:space="preserve">ey to better define usual care and </w:t>
      </w:r>
      <w:r w:rsidRPr="005B2A94">
        <w:t>clarify the influence of online prognostic tools on treatment decisions, particularly chemotherapy recommendations.</w:t>
      </w:r>
    </w:p>
    <w:p w:rsidR="00BC1364" w:rsidRPr="00F715D1" w:rsidRDefault="00BC1364" w:rsidP="005B2A94">
      <w:pPr>
        <w:pStyle w:val="Heading1"/>
      </w:pPr>
      <w:r w:rsidRPr="00F715D1">
        <w:t>Comparative safety</w:t>
      </w:r>
    </w:p>
    <w:p w:rsidR="00E82C7E" w:rsidRPr="00F858EC" w:rsidRDefault="003601F2" w:rsidP="00E82C7E">
      <w:pPr>
        <w:spacing w:after="240"/>
        <w:rPr>
          <w:szCs w:val="24"/>
        </w:rPr>
      </w:pPr>
      <w:r>
        <w:t>The impact of d</w:t>
      </w:r>
      <w:r w:rsidRPr="00B22E29">
        <w:t xml:space="preserve">iscordant results between Adjuvant! Online </w:t>
      </w:r>
      <w:r w:rsidR="001F46E9">
        <w:t xml:space="preserve">(AO) </w:t>
      </w:r>
      <w:r w:rsidRPr="00B22E29">
        <w:t xml:space="preserve">or other online tools and </w:t>
      </w:r>
      <w:r>
        <w:t>ODX regarding treatment decisions</w:t>
      </w:r>
      <w:r w:rsidRPr="00B22E29">
        <w:t xml:space="preserve"> </w:t>
      </w:r>
      <w:r>
        <w:t>remains un</w:t>
      </w:r>
      <w:r w:rsidRPr="00B22E29">
        <w:t>resolved.</w:t>
      </w:r>
    </w:p>
    <w:p w:rsidR="00BC1364" w:rsidRPr="00F715D1" w:rsidRDefault="00BC1364" w:rsidP="00F715D1">
      <w:pPr>
        <w:pStyle w:val="Heading1"/>
      </w:pPr>
      <w:r w:rsidRPr="00F715D1">
        <w:lastRenderedPageBreak/>
        <w:t>Comparative effectiveness</w:t>
      </w:r>
    </w:p>
    <w:p w:rsidR="003F1FD1" w:rsidRDefault="00637AC6" w:rsidP="00227FFC">
      <w:pPr>
        <w:tabs>
          <w:tab w:val="num" w:pos="567"/>
        </w:tabs>
        <w:spacing w:after="240"/>
        <w:rPr>
          <w:szCs w:val="24"/>
        </w:rPr>
      </w:pPr>
      <w:r w:rsidRPr="004C7896">
        <w:rPr>
          <w:szCs w:val="24"/>
        </w:rPr>
        <w:t xml:space="preserve">No new data on clinical effectiveness </w:t>
      </w:r>
      <w:r>
        <w:rPr>
          <w:szCs w:val="24"/>
        </w:rPr>
        <w:t>were</w:t>
      </w:r>
      <w:r w:rsidRPr="004C7896">
        <w:rPr>
          <w:szCs w:val="24"/>
        </w:rPr>
        <w:t xml:space="preserve"> presented in this resubmission.</w:t>
      </w:r>
      <w:r>
        <w:rPr>
          <w:szCs w:val="24"/>
        </w:rPr>
        <w:t xml:space="preserve"> </w:t>
      </w:r>
    </w:p>
    <w:p w:rsidR="007861A9" w:rsidRDefault="003F1FD1" w:rsidP="00227FFC">
      <w:pPr>
        <w:spacing w:after="240"/>
      </w:pPr>
      <w:r>
        <w:rPr>
          <w:szCs w:val="24"/>
        </w:rPr>
        <w:t>To address both of MSAC’s outstanding concerns regarding the incremental gain of ODX over usual care incorporating available prognostic tools t</w:t>
      </w:r>
      <w:r w:rsidRPr="00F858EC">
        <w:t>he applicant undertook a survey of Australian medical oncologists and breast surgeons to provide information on the current use of online prognostic tools in the management of these patients.</w:t>
      </w:r>
    </w:p>
    <w:p w:rsidR="003F1FD1" w:rsidRDefault="003F1FD1" w:rsidP="00227FFC">
      <w:pPr>
        <w:autoSpaceDE w:val="0"/>
        <w:autoSpaceDN w:val="0"/>
        <w:adjustRightInd w:val="0"/>
        <w:spacing w:after="240"/>
        <w:rPr>
          <w:rFonts w:eastAsia="ArialMT"/>
          <w:szCs w:val="24"/>
        </w:rPr>
      </w:pPr>
      <w:r w:rsidRPr="005B2A94">
        <w:rPr>
          <w:rFonts w:eastAsia="ArialMT"/>
          <w:szCs w:val="24"/>
        </w:rPr>
        <w:t xml:space="preserve">Overall, the survey </w:t>
      </w:r>
      <w:r>
        <w:rPr>
          <w:rFonts w:eastAsia="ArialMT"/>
          <w:szCs w:val="24"/>
        </w:rPr>
        <w:t>showed that o</w:t>
      </w:r>
      <w:r w:rsidRPr="005B2A94">
        <w:rPr>
          <w:rFonts w:eastAsia="ArialMT"/>
          <w:szCs w:val="24"/>
        </w:rPr>
        <w:t>nline prognostic tools are frequently used, however these tools</w:t>
      </w:r>
      <w:r>
        <w:rPr>
          <w:rFonts w:eastAsia="ArialMT"/>
          <w:szCs w:val="24"/>
        </w:rPr>
        <w:t xml:space="preserve"> do not influence treatment </w:t>
      </w:r>
      <w:r w:rsidRPr="005B2A94">
        <w:rPr>
          <w:rFonts w:eastAsia="ArialMT"/>
          <w:szCs w:val="24"/>
        </w:rPr>
        <w:t>decisions as much as discussions within a multidisciplinary t</w:t>
      </w:r>
      <w:r>
        <w:rPr>
          <w:rFonts w:eastAsia="ArialMT"/>
          <w:szCs w:val="24"/>
        </w:rPr>
        <w:t xml:space="preserve">eam meeting or consideration of tumour and patient factors. </w:t>
      </w:r>
      <w:r w:rsidRPr="005B2A94">
        <w:rPr>
          <w:rFonts w:eastAsia="ArialMT"/>
          <w:szCs w:val="24"/>
        </w:rPr>
        <w:t>The consideration of tumour and patient factors is almost a</w:t>
      </w:r>
      <w:r>
        <w:rPr>
          <w:rFonts w:eastAsia="ArialMT"/>
          <w:szCs w:val="24"/>
        </w:rPr>
        <w:t xml:space="preserve">lways used in the management of </w:t>
      </w:r>
      <w:r w:rsidRPr="005B2A94">
        <w:rPr>
          <w:rFonts w:eastAsia="ArialMT"/>
          <w:szCs w:val="24"/>
        </w:rPr>
        <w:t>these breast cancer patients, particularly when determin</w:t>
      </w:r>
      <w:r>
        <w:rPr>
          <w:rFonts w:eastAsia="ArialMT"/>
          <w:szCs w:val="24"/>
        </w:rPr>
        <w:t xml:space="preserve">ing whether or not to recommend </w:t>
      </w:r>
      <w:r w:rsidRPr="005B2A94">
        <w:rPr>
          <w:rFonts w:eastAsia="ArialMT"/>
          <w:szCs w:val="24"/>
        </w:rPr>
        <w:t>chemotherapy. Online prognostic tools such as AO and Predi</w:t>
      </w:r>
      <w:r>
        <w:rPr>
          <w:rFonts w:eastAsia="ArialMT"/>
          <w:szCs w:val="24"/>
        </w:rPr>
        <w:t xml:space="preserve">ct take into consideration only </w:t>
      </w:r>
      <w:r w:rsidRPr="005B2A94">
        <w:rPr>
          <w:rFonts w:eastAsia="ArialMT"/>
          <w:szCs w:val="24"/>
        </w:rPr>
        <w:t>some of th</w:t>
      </w:r>
      <w:r>
        <w:rPr>
          <w:rFonts w:eastAsia="ArialMT"/>
          <w:szCs w:val="24"/>
        </w:rPr>
        <w:t xml:space="preserve">ese tumour and patient factors. </w:t>
      </w:r>
      <w:r w:rsidRPr="005B2A94">
        <w:rPr>
          <w:rFonts w:eastAsia="ArialMT"/>
          <w:szCs w:val="24"/>
        </w:rPr>
        <w:t>Multidisciplinary team meetings are not always available to cli</w:t>
      </w:r>
      <w:r>
        <w:rPr>
          <w:rFonts w:eastAsia="ArialMT"/>
          <w:szCs w:val="24"/>
        </w:rPr>
        <w:t xml:space="preserve">nicians and mostly exist within </w:t>
      </w:r>
      <w:r w:rsidRPr="005B2A94">
        <w:rPr>
          <w:rFonts w:eastAsia="ArialMT"/>
          <w:szCs w:val="24"/>
        </w:rPr>
        <w:t xml:space="preserve">public hospitals and larger private hospitals. However, the </w:t>
      </w:r>
      <w:r>
        <w:rPr>
          <w:rFonts w:eastAsia="ArialMT"/>
          <w:szCs w:val="24"/>
        </w:rPr>
        <w:t xml:space="preserve">same patient factors and tumour </w:t>
      </w:r>
      <w:r w:rsidRPr="005B2A94">
        <w:rPr>
          <w:rFonts w:eastAsia="ArialMT"/>
          <w:szCs w:val="24"/>
        </w:rPr>
        <w:t>factors are discussed a</w:t>
      </w:r>
      <w:r>
        <w:rPr>
          <w:rFonts w:eastAsia="ArialMT"/>
          <w:szCs w:val="24"/>
        </w:rPr>
        <w:t xml:space="preserve">nd considered at such meetings. </w:t>
      </w:r>
      <w:r w:rsidRPr="005B2A94">
        <w:rPr>
          <w:rFonts w:eastAsia="ArialMT"/>
          <w:szCs w:val="24"/>
        </w:rPr>
        <w:t>The principles and individual components of the prognostic tools a</w:t>
      </w:r>
      <w:r>
        <w:rPr>
          <w:rFonts w:eastAsia="ArialMT"/>
          <w:szCs w:val="24"/>
        </w:rPr>
        <w:t xml:space="preserve">re incorporated into the </w:t>
      </w:r>
      <w:r w:rsidRPr="005B2A94">
        <w:rPr>
          <w:rFonts w:eastAsia="ArialMT"/>
          <w:szCs w:val="24"/>
        </w:rPr>
        <w:t>consideration of patient and tumour factors as well as the multidisciplinary team decision</w:t>
      </w:r>
      <w:r>
        <w:rPr>
          <w:rFonts w:eastAsia="ArialMT"/>
          <w:szCs w:val="24"/>
        </w:rPr>
        <w:t xml:space="preserve"> process.</w:t>
      </w:r>
    </w:p>
    <w:p w:rsidR="003F1FD1" w:rsidRPr="003F1FD1" w:rsidRDefault="003F1FD1" w:rsidP="003F1FD1">
      <w:pPr>
        <w:autoSpaceDE w:val="0"/>
        <w:autoSpaceDN w:val="0"/>
        <w:adjustRightInd w:val="0"/>
        <w:rPr>
          <w:rFonts w:eastAsia="ArialMT"/>
          <w:szCs w:val="24"/>
        </w:rPr>
      </w:pPr>
      <w:r>
        <w:rPr>
          <w:szCs w:val="24"/>
        </w:rPr>
        <w:t>The critique identified serious issues of bias with the survey, and considered that the survey sample may not be representative.</w:t>
      </w:r>
    </w:p>
    <w:p w:rsidR="00BC1364" w:rsidRPr="00F715D1" w:rsidRDefault="00BC1364" w:rsidP="00F715D1">
      <w:pPr>
        <w:pStyle w:val="Heading1"/>
      </w:pPr>
      <w:r w:rsidRPr="00F715D1">
        <w:t>Economic evaluation</w:t>
      </w:r>
    </w:p>
    <w:p w:rsidR="000533F2" w:rsidRDefault="000533F2" w:rsidP="000533F2">
      <w:pPr>
        <w:spacing w:after="240"/>
      </w:pPr>
      <w:r w:rsidRPr="00B22E29">
        <w:t xml:space="preserve">The economic evaluation is unchanged from submission 1342.3. </w:t>
      </w:r>
    </w:p>
    <w:p w:rsidR="005C14A4" w:rsidRDefault="000533F2" w:rsidP="005C14A4">
      <w:pPr>
        <w:spacing w:after="240"/>
      </w:pPr>
      <w:r w:rsidRPr="00B22E29">
        <w:t xml:space="preserve">The </w:t>
      </w:r>
      <w:r>
        <w:t xml:space="preserve">SBA cost-effectiveness </w:t>
      </w:r>
      <w:r w:rsidRPr="00B22E29">
        <w:t xml:space="preserve">results </w:t>
      </w:r>
      <w:r>
        <w:t>for the populations accepted in the previous resubmission, 1342.3, based on the ADIS-1 decision impact study, are presented in Table 1</w:t>
      </w:r>
      <w:r w:rsidRPr="00B22E29">
        <w:t>.</w:t>
      </w:r>
      <w:r w:rsidR="005C14A4">
        <w:t xml:space="preserve"> These results are unchanged from the previous resubmission.</w:t>
      </w:r>
    </w:p>
    <w:p w:rsidR="003E2005" w:rsidRDefault="003E2005" w:rsidP="00227FFC">
      <w:pPr>
        <w:spacing w:before="240"/>
      </w:pPr>
      <w:r>
        <w:rPr>
          <w:noProof/>
        </w:rPr>
        <w:drawing>
          <wp:inline distT="0" distB="0" distL="0" distR="0" wp14:anchorId="551319D3" wp14:editId="21C15E7B">
            <wp:extent cx="5731510" cy="2483961"/>
            <wp:effectExtent l="0" t="0" r="2540" b="0"/>
            <wp:docPr id="1" name="Picture 1" descr="Table of the decision and economic impact of Oncotype DX by node status and number of negative factors, based on data from the ADIS1 study. The ICER results for node negative and 0 or 3 negative factors was dominated, for 1 negative factor it was $8,598 and for 2 negative factors was $1,585. The ICER results for node positive and 1-2 negative factors was dominant, and for 3-4 negative factors was dom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2483961"/>
                    </a:xfrm>
                    <a:prstGeom prst="rect">
                      <a:avLst/>
                    </a:prstGeom>
                  </pic:spPr>
                </pic:pic>
              </a:graphicData>
            </a:graphic>
          </wp:inline>
        </w:drawing>
      </w:r>
    </w:p>
    <w:p w:rsidR="005C14A4" w:rsidRPr="005C14A4" w:rsidRDefault="005C14A4" w:rsidP="00227FFC">
      <w:pPr>
        <w:spacing w:before="240"/>
      </w:pPr>
      <w:r w:rsidRPr="00D30557">
        <w:t xml:space="preserve">The previous critique noted several elements of uncertainty with the modelled evaluation. As no </w:t>
      </w:r>
      <w:r>
        <w:t xml:space="preserve">new </w:t>
      </w:r>
      <w:r w:rsidRPr="00D30557">
        <w:t xml:space="preserve">economic model was provided with this </w:t>
      </w:r>
      <w:r>
        <w:t>resubmission</w:t>
      </w:r>
      <w:r w:rsidRPr="00D30557">
        <w:t xml:space="preserve"> the results could not be verified and it is assumed the same elements of uncertainty remain. </w:t>
      </w:r>
    </w:p>
    <w:p w:rsidR="00BC1364" w:rsidRPr="00F715D1" w:rsidRDefault="00BC1364" w:rsidP="00F715D1">
      <w:pPr>
        <w:pStyle w:val="Heading1"/>
      </w:pPr>
      <w:r w:rsidRPr="00F715D1">
        <w:lastRenderedPageBreak/>
        <w:t>Financial/budgetary impacts</w:t>
      </w:r>
    </w:p>
    <w:p w:rsidR="00BC1364" w:rsidRPr="005C14A4" w:rsidRDefault="005C14A4" w:rsidP="005C14A4">
      <w:pPr>
        <w:jc w:val="both"/>
      </w:pPr>
      <w:r w:rsidRPr="00B22E29">
        <w:t xml:space="preserve">The financial implications to the MBS resulting from the proposed listing of </w:t>
      </w:r>
      <w:r>
        <w:t>ODX</w:t>
      </w:r>
      <w:r w:rsidRPr="00B22E29">
        <w:t xml:space="preserve"> were not submitted in this </w:t>
      </w:r>
      <w:r w:rsidR="000E6F57">
        <w:t>resubmission</w:t>
      </w:r>
      <w:r w:rsidRPr="00B22E29">
        <w:t>.</w:t>
      </w:r>
    </w:p>
    <w:p w:rsidR="006A0D97" w:rsidRPr="00F715D1" w:rsidRDefault="006A0D97" w:rsidP="00F715D1">
      <w:pPr>
        <w:pStyle w:val="Heading1"/>
      </w:pPr>
      <w:r w:rsidRPr="00F715D1">
        <w:t>Key issues from ESC for MSAC</w:t>
      </w:r>
    </w:p>
    <w:p w:rsidR="00194942" w:rsidRDefault="00194942" w:rsidP="00194942">
      <w:pPr>
        <w:rPr>
          <w:szCs w:val="24"/>
        </w:rPr>
      </w:pPr>
      <w:r w:rsidRPr="001F49C1">
        <w:rPr>
          <w:szCs w:val="24"/>
        </w:rPr>
        <w:t xml:space="preserve">ESC considered the fourth resubmission requesting MBS listing of Oncotype DX (ODX) testing for patients with early invasive breast cancer (stages I-II) meeting predefined criteria. </w:t>
      </w:r>
    </w:p>
    <w:p w:rsidR="00194942" w:rsidRDefault="00194942" w:rsidP="00227FFC">
      <w:pPr>
        <w:spacing w:after="240"/>
        <w:rPr>
          <w:szCs w:val="24"/>
        </w:rPr>
      </w:pPr>
      <w:r w:rsidRPr="001F49C1">
        <w:rPr>
          <w:szCs w:val="24"/>
        </w:rPr>
        <w:t xml:space="preserve">ESC noted that there are several outstanding implementation issues associated with ODX testing that have been raised previously: the absence of TGA registration or NATA accreditation, delivery of the service outside Australia and the proposed hidden pricing arrangement. </w:t>
      </w:r>
      <w:r>
        <w:rPr>
          <w:szCs w:val="24"/>
        </w:rPr>
        <w:t>T</w:t>
      </w:r>
      <w:r w:rsidRPr="001F49C1">
        <w:rPr>
          <w:szCs w:val="24"/>
        </w:rPr>
        <w:t>hese remain matters for Government to consider.</w:t>
      </w:r>
    </w:p>
    <w:p w:rsidR="00194942" w:rsidRPr="001F49C1" w:rsidRDefault="00194942" w:rsidP="00227FFC">
      <w:pPr>
        <w:spacing w:after="240"/>
        <w:rPr>
          <w:szCs w:val="24"/>
        </w:rPr>
      </w:pPr>
      <w:r w:rsidRPr="001F49C1">
        <w:rPr>
          <w:szCs w:val="24"/>
        </w:rPr>
        <w:t>ESC noted the item descriptor now encompasses the changes proposed at the June 2016 ESC meeting</w:t>
      </w:r>
      <w:r>
        <w:rPr>
          <w:szCs w:val="24"/>
        </w:rPr>
        <w:t xml:space="preserve"> and </w:t>
      </w:r>
      <w:r w:rsidRPr="001F49C1">
        <w:rPr>
          <w:szCs w:val="24"/>
        </w:rPr>
        <w:t xml:space="preserve">commented that the descriptor now adequately defines the patient population and targets ODX testing to the patient population with </w:t>
      </w:r>
      <w:r>
        <w:rPr>
          <w:szCs w:val="24"/>
        </w:rPr>
        <w:t xml:space="preserve">apparently </w:t>
      </w:r>
      <w:r w:rsidRPr="001F49C1">
        <w:rPr>
          <w:szCs w:val="24"/>
        </w:rPr>
        <w:t xml:space="preserve">equivocal risk, where testing </w:t>
      </w:r>
      <w:r>
        <w:rPr>
          <w:szCs w:val="24"/>
        </w:rPr>
        <w:t xml:space="preserve">may </w:t>
      </w:r>
      <w:r w:rsidRPr="001F49C1">
        <w:rPr>
          <w:szCs w:val="24"/>
        </w:rPr>
        <w:t>have the greatest clinical utility.</w:t>
      </w:r>
    </w:p>
    <w:p w:rsidR="00194942" w:rsidRDefault="00194942" w:rsidP="00227FFC">
      <w:pPr>
        <w:spacing w:after="240"/>
        <w:rPr>
          <w:szCs w:val="24"/>
        </w:rPr>
      </w:pPr>
      <w:r w:rsidRPr="001F49C1">
        <w:rPr>
          <w:szCs w:val="24"/>
        </w:rPr>
        <w:t xml:space="preserve">In the Public Summary Document (PSD) for </w:t>
      </w:r>
      <w:hyperlink r:id="rId16" w:history="1">
        <w:r w:rsidRPr="001F49C1">
          <w:rPr>
            <w:rStyle w:val="Hyperlink"/>
            <w:szCs w:val="24"/>
          </w:rPr>
          <w:t>MSAC application 1342.3</w:t>
        </w:r>
      </w:hyperlink>
      <w:r w:rsidRPr="001F49C1">
        <w:rPr>
          <w:rStyle w:val="Hyperlink"/>
          <w:szCs w:val="24"/>
        </w:rPr>
        <w:t>,</w:t>
      </w:r>
      <w:r w:rsidRPr="001F49C1">
        <w:rPr>
          <w:szCs w:val="24"/>
        </w:rPr>
        <w:t xml:space="preserve"> MSAC requested that the applicant demonstrat</w:t>
      </w:r>
      <w:r>
        <w:rPr>
          <w:szCs w:val="24"/>
        </w:rPr>
        <w:t>e</w:t>
      </w:r>
      <w:r w:rsidRPr="001F49C1">
        <w:rPr>
          <w:szCs w:val="24"/>
        </w:rPr>
        <w:t xml:space="preserve"> the incremental gain of ODX testing over ‘usual care’</w:t>
      </w:r>
      <w:r>
        <w:rPr>
          <w:szCs w:val="24"/>
        </w:rPr>
        <w:t xml:space="preserve">, where usual care’ </w:t>
      </w:r>
      <w:r w:rsidRPr="001F49C1">
        <w:rPr>
          <w:szCs w:val="24"/>
        </w:rPr>
        <w:t>incorporat</w:t>
      </w:r>
      <w:r>
        <w:rPr>
          <w:szCs w:val="24"/>
        </w:rPr>
        <w:t>es</w:t>
      </w:r>
      <w:r w:rsidRPr="001F49C1">
        <w:rPr>
          <w:szCs w:val="24"/>
        </w:rPr>
        <w:t xml:space="preserve"> currently available prognostic approaches and algorithms for the purpose of deciding whether to use adjuvant chemotherapy, in terms of more accurately estimating the risk of recurrence</w:t>
      </w:r>
      <w:r>
        <w:rPr>
          <w:szCs w:val="24"/>
        </w:rPr>
        <w:t xml:space="preserve"> –</w:t>
      </w:r>
      <w:r w:rsidRPr="001F49C1">
        <w:rPr>
          <w:szCs w:val="24"/>
        </w:rPr>
        <w:t xml:space="preserve"> i.e.</w:t>
      </w:r>
      <w:r>
        <w:rPr>
          <w:szCs w:val="24"/>
        </w:rPr>
        <w:t>,</w:t>
      </w:r>
      <w:r w:rsidRPr="001F49C1">
        <w:rPr>
          <w:szCs w:val="24"/>
        </w:rPr>
        <w:t xml:space="preserve"> prognostic effect.</w:t>
      </w:r>
    </w:p>
    <w:p w:rsidR="00194942" w:rsidRPr="001F49C1" w:rsidRDefault="00194942" w:rsidP="00227FFC">
      <w:pPr>
        <w:spacing w:after="240"/>
        <w:rPr>
          <w:szCs w:val="24"/>
        </w:rPr>
      </w:pPr>
      <w:r w:rsidRPr="001F49C1">
        <w:rPr>
          <w:szCs w:val="24"/>
        </w:rPr>
        <w:t xml:space="preserve">ESC noted that the definition of the comparator is the key residual issue in considering the value of ODX testing over and above </w:t>
      </w:r>
      <w:r>
        <w:rPr>
          <w:szCs w:val="24"/>
        </w:rPr>
        <w:t>alternative</w:t>
      </w:r>
      <w:r w:rsidRPr="001F49C1">
        <w:rPr>
          <w:szCs w:val="24"/>
        </w:rPr>
        <w:t xml:space="preserve"> tools and algorithms </w:t>
      </w:r>
      <w:r>
        <w:rPr>
          <w:szCs w:val="24"/>
        </w:rPr>
        <w:t xml:space="preserve">(many of which are </w:t>
      </w:r>
      <w:r w:rsidRPr="001F49C1">
        <w:rPr>
          <w:szCs w:val="24"/>
        </w:rPr>
        <w:t>freely available online</w:t>
      </w:r>
      <w:r>
        <w:rPr>
          <w:szCs w:val="24"/>
        </w:rPr>
        <w:t>)</w:t>
      </w:r>
      <w:r w:rsidRPr="001F49C1">
        <w:rPr>
          <w:szCs w:val="24"/>
        </w:rPr>
        <w:t xml:space="preserve">. ESC noted that this issue was first raised by ESC during consideration of the initial MSAC application 1342 in 2013. </w:t>
      </w:r>
    </w:p>
    <w:p w:rsidR="00194942" w:rsidRPr="001F49C1" w:rsidRDefault="00194942" w:rsidP="00227FFC">
      <w:pPr>
        <w:spacing w:after="240"/>
        <w:rPr>
          <w:szCs w:val="24"/>
        </w:rPr>
      </w:pPr>
      <w:r w:rsidRPr="001F49C1">
        <w:rPr>
          <w:szCs w:val="24"/>
        </w:rPr>
        <w:t>ESC noted that in this resubmission the applicant sought to define ‘usual care’ as including the use of the online prognostic tools. To support this claim</w:t>
      </w:r>
      <w:r>
        <w:rPr>
          <w:szCs w:val="24"/>
        </w:rPr>
        <w:t>,</w:t>
      </w:r>
      <w:r w:rsidRPr="001F49C1">
        <w:rPr>
          <w:szCs w:val="24"/>
        </w:rPr>
        <w:t xml:space="preserve"> the applicant provided a survey of medical oncologists and breast surgeons on the use of prognostic tools in practice</w:t>
      </w:r>
      <w:r>
        <w:rPr>
          <w:szCs w:val="24"/>
        </w:rPr>
        <w:t>,</w:t>
      </w:r>
      <w:r w:rsidRPr="001F49C1">
        <w:rPr>
          <w:szCs w:val="24"/>
        </w:rPr>
        <w:t xml:space="preserve"> and a statement from the Australian Decision Impact Study (ADIS) investigators confirming that online prognostic tools were </w:t>
      </w:r>
      <w:r w:rsidRPr="005322CD">
        <w:rPr>
          <w:szCs w:val="24"/>
        </w:rPr>
        <w:t xml:space="preserve">employed </w:t>
      </w:r>
      <w:r w:rsidRPr="00FD0314">
        <w:rPr>
          <w:szCs w:val="24"/>
        </w:rPr>
        <w:t>by each participating physician</w:t>
      </w:r>
      <w:r>
        <w:rPr>
          <w:szCs w:val="24"/>
        </w:rPr>
        <w:t xml:space="preserve"> </w:t>
      </w:r>
      <w:r w:rsidRPr="005322CD">
        <w:rPr>
          <w:szCs w:val="24"/>
        </w:rPr>
        <w:t>to the extent that they are employed in practice outside of the study</w:t>
      </w:r>
      <w:r w:rsidRPr="001F49C1">
        <w:rPr>
          <w:szCs w:val="24"/>
        </w:rPr>
        <w:t xml:space="preserve">. </w:t>
      </w:r>
      <w:r>
        <w:rPr>
          <w:szCs w:val="24"/>
        </w:rPr>
        <w:t>N</w:t>
      </w:r>
      <w:r w:rsidRPr="001F49C1">
        <w:rPr>
          <w:szCs w:val="24"/>
        </w:rPr>
        <w:t>o information was available regarding how often prognostic tools were used in ADIS or which ones were most common.</w:t>
      </w:r>
    </w:p>
    <w:p w:rsidR="00194942" w:rsidRDefault="00194942" w:rsidP="00227FFC">
      <w:pPr>
        <w:spacing w:after="240"/>
        <w:rPr>
          <w:szCs w:val="24"/>
        </w:rPr>
      </w:pPr>
      <w:r w:rsidRPr="001F49C1">
        <w:rPr>
          <w:szCs w:val="24"/>
        </w:rPr>
        <w:t xml:space="preserve">ESC agreed with the critique’s assessment of the survey as having been poorly conducted and reported, with a </w:t>
      </w:r>
      <w:r>
        <w:rPr>
          <w:szCs w:val="24"/>
        </w:rPr>
        <w:t xml:space="preserve">small proportion of respondents (11%) and a </w:t>
      </w:r>
      <w:r w:rsidRPr="001F49C1">
        <w:rPr>
          <w:szCs w:val="24"/>
        </w:rPr>
        <w:t xml:space="preserve">high risk of bias. ESC noted that the survey did not provide useful detail about the use of online tools in clinical practice and was not sufficiently focused on the specific population in question. </w:t>
      </w:r>
      <w:r>
        <w:rPr>
          <w:szCs w:val="24"/>
        </w:rPr>
        <w:t xml:space="preserve">The committee also noted </w:t>
      </w:r>
      <w:r w:rsidRPr="001F49C1">
        <w:rPr>
          <w:szCs w:val="24"/>
        </w:rPr>
        <w:t>that although breast surgeons were included in the survey</w:t>
      </w:r>
      <w:r>
        <w:rPr>
          <w:szCs w:val="24"/>
        </w:rPr>
        <w:t>,</w:t>
      </w:r>
      <w:r w:rsidRPr="001F49C1">
        <w:rPr>
          <w:szCs w:val="24"/>
        </w:rPr>
        <w:t xml:space="preserve"> they would be unlikely to use prognostic tools. </w:t>
      </w:r>
    </w:p>
    <w:p w:rsidR="00194942" w:rsidRDefault="00194942" w:rsidP="00227FFC">
      <w:pPr>
        <w:spacing w:after="240"/>
        <w:rPr>
          <w:szCs w:val="24"/>
        </w:rPr>
      </w:pPr>
      <w:r w:rsidRPr="001F49C1">
        <w:rPr>
          <w:szCs w:val="24"/>
        </w:rPr>
        <w:t>ESC also noted</w:t>
      </w:r>
      <w:r>
        <w:rPr>
          <w:szCs w:val="24"/>
        </w:rPr>
        <w:t xml:space="preserve"> </w:t>
      </w:r>
      <w:r w:rsidRPr="001F49C1">
        <w:rPr>
          <w:szCs w:val="24"/>
        </w:rPr>
        <w:t xml:space="preserve">temporal differences between the description of practice in the survey (2016–2017) and ADIS (conducted in 2010–2011), noting that it is very likely that uptake of online tools has increased over the last five years. </w:t>
      </w:r>
    </w:p>
    <w:p w:rsidR="00194942" w:rsidRDefault="00194942" w:rsidP="00194942">
      <w:pPr>
        <w:rPr>
          <w:szCs w:val="24"/>
        </w:rPr>
      </w:pPr>
      <w:r>
        <w:rPr>
          <w:szCs w:val="24"/>
        </w:rPr>
        <w:t>ESC noted that the resubmission referred to advice from the Department to support its approach, and advised that, irrespective of whether or not such advice were given, it could not prejudice MSAC’s deliberations. ESC therefore focussed on the request of MSAC as made explicit in the PSD.</w:t>
      </w:r>
    </w:p>
    <w:p w:rsidR="00194942" w:rsidRPr="001F49C1" w:rsidRDefault="00194942" w:rsidP="00194942">
      <w:pPr>
        <w:rPr>
          <w:szCs w:val="24"/>
        </w:rPr>
      </w:pPr>
      <w:r w:rsidRPr="001F49C1">
        <w:rPr>
          <w:szCs w:val="24"/>
        </w:rPr>
        <w:lastRenderedPageBreak/>
        <w:t>ESC noted that the comparison requested by MSAC was ‘usual care’</w:t>
      </w:r>
      <w:r>
        <w:rPr>
          <w:szCs w:val="24"/>
        </w:rPr>
        <w:t xml:space="preserve"> </w:t>
      </w:r>
      <w:r w:rsidRPr="00161469">
        <w:rPr>
          <w:i/>
          <w:szCs w:val="24"/>
        </w:rPr>
        <w:t>and</w:t>
      </w:r>
      <w:r w:rsidRPr="001F49C1">
        <w:rPr>
          <w:szCs w:val="24"/>
        </w:rPr>
        <w:t xml:space="preserve"> online tools </w:t>
      </w:r>
      <w:r w:rsidRPr="007358BF">
        <w:rPr>
          <w:i/>
          <w:szCs w:val="24"/>
        </w:rPr>
        <w:t>and</w:t>
      </w:r>
      <w:r w:rsidRPr="001F49C1">
        <w:rPr>
          <w:szCs w:val="24"/>
        </w:rPr>
        <w:t xml:space="preserve"> ODX testing compared with ‘usual care’ </w:t>
      </w:r>
      <w:r w:rsidRPr="00161469">
        <w:rPr>
          <w:i/>
          <w:szCs w:val="24"/>
        </w:rPr>
        <w:t>and</w:t>
      </w:r>
      <w:r w:rsidRPr="001F49C1">
        <w:rPr>
          <w:szCs w:val="24"/>
        </w:rPr>
        <w:t xml:space="preserve"> online tools alone. This comparison was requested with a view to quantifying the clinical utility gain for ODX. </w:t>
      </w:r>
      <w:r>
        <w:rPr>
          <w:szCs w:val="24"/>
        </w:rPr>
        <w:t>In contrast,</w:t>
      </w:r>
      <w:r w:rsidRPr="001F49C1">
        <w:rPr>
          <w:szCs w:val="24"/>
        </w:rPr>
        <w:t xml:space="preserve"> the comparison actually provided in the </w:t>
      </w:r>
      <w:r>
        <w:rPr>
          <w:szCs w:val="24"/>
        </w:rPr>
        <w:t>re</w:t>
      </w:r>
      <w:r w:rsidRPr="001F49C1">
        <w:rPr>
          <w:szCs w:val="24"/>
        </w:rPr>
        <w:t xml:space="preserve">submission (based on data from ADIS) was ‘usual care’ </w:t>
      </w:r>
      <w:r w:rsidRPr="00161469">
        <w:rPr>
          <w:i/>
          <w:szCs w:val="24"/>
        </w:rPr>
        <w:t>with or without</w:t>
      </w:r>
      <w:r w:rsidRPr="001F49C1">
        <w:rPr>
          <w:szCs w:val="24"/>
        </w:rPr>
        <w:t xml:space="preserve"> online tools </w:t>
      </w:r>
      <w:r w:rsidRPr="007358BF">
        <w:rPr>
          <w:i/>
          <w:szCs w:val="24"/>
        </w:rPr>
        <w:t>and</w:t>
      </w:r>
      <w:r w:rsidRPr="001F49C1">
        <w:rPr>
          <w:szCs w:val="24"/>
        </w:rPr>
        <w:t xml:space="preserve"> ODX testing compared with ‘usual care’ </w:t>
      </w:r>
      <w:r w:rsidRPr="00161469">
        <w:rPr>
          <w:i/>
          <w:szCs w:val="24"/>
        </w:rPr>
        <w:t>with or without</w:t>
      </w:r>
      <w:r w:rsidRPr="001F49C1">
        <w:rPr>
          <w:szCs w:val="24"/>
        </w:rPr>
        <w:t xml:space="preserve"> online tools.</w:t>
      </w:r>
      <w:r>
        <w:rPr>
          <w:szCs w:val="24"/>
        </w:rPr>
        <w:t xml:space="preserve"> ESC advised that this was important because, if the online tools have any incremental prognostic value over ‘usual care’ alone, then the incremental gain claimed for ODX may be overstated. ESC noted that although the extent of use of online tools in ADS </w:t>
      </w:r>
      <w:r w:rsidR="00427D8B">
        <w:rPr>
          <w:szCs w:val="24"/>
        </w:rPr>
        <w:t>is</w:t>
      </w:r>
      <w:r>
        <w:rPr>
          <w:szCs w:val="24"/>
        </w:rPr>
        <w:t xml:space="preserve"> not known, it is likely to have been the same across the arms because ADIS was a before and after study. Thus, although it is possible that the clinical utility gain observed in ADIS may be partially attributed to ODX, there is residual uncertainty over the full magnitude of this gain being attributable to ODX. Because it was conducted some years later, the survey does not help in identifying the extent of use of online tools in ADIS. Indeed, ESC noted that the survey highlights the currently high use of prognostic tools other than ODX.</w:t>
      </w:r>
    </w:p>
    <w:p w:rsidR="00194942" w:rsidRDefault="00194942" w:rsidP="00227FFC">
      <w:pPr>
        <w:spacing w:after="240"/>
        <w:rPr>
          <w:szCs w:val="24"/>
        </w:rPr>
      </w:pPr>
      <w:r w:rsidRPr="001F49C1">
        <w:rPr>
          <w:szCs w:val="24"/>
        </w:rPr>
        <w:t xml:space="preserve">ESC </w:t>
      </w:r>
      <w:r>
        <w:rPr>
          <w:szCs w:val="24"/>
        </w:rPr>
        <w:t xml:space="preserve">considered </w:t>
      </w:r>
      <w:r w:rsidRPr="001F49C1">
        <w:rPr>
          <w:szCs w:val="24"/>
        </w:rPr>
        <w:t>that</w:t>
      </w:r>
      <w:r>
        <w:rPr>
          <w:szCs w:val="24"/>
        </w:rPr>
        <w:t xml:space="preserve"> </w:t>
      </w:r>
      <w:r w:rsidRPr="001F49C1">
        <w:rPr>
          <w:szCs w:val="24"/>
        </w:rPr>
        <w:t>there is still significant uncertainty regarding the magnitude of clinical utility gain for ODX</w:t>
      </w:r>
      <w:r>
        <w:rPr>
          <w:szCs w:val="24"/>
        </w:rPr>
        <w:t xml:space="preserve"> over and </w:t>
      </w:r>
      <w:r w:rsidRPr="001F49C1">
        <w:rPr>
          <w:szCs w:val="24"/>
        </w:rPr>
        <w:t>above other prognostic tools; particularly given that what is available is linked evidence, rather than direct</w:t>
      </w:r>
      <w:r>
        <w:rPr>
          <w:szCs w:val="24"/>
        </w:rPr>
        <w:t xml:space="preserve"> evidence of clinical outcomes.</w:t>
      </w:r>
    </w:p>
    <w:p w:rsidR="00194942" w:rsidRDefault="00194942" w:rsidP="00227FFC">
      <w:pPr>
        <w:spacing w:after="240"/>
        <w:rPr>
          <w:szCs w:val="24"/>
        </w:rPr>
      </w:pPr>
      <w:r w:rsidRPr="001F49C1">
        <w:rPr>
          <w:szCs w:val="24"/>
        </w:rPr>
        <w:t>ESC noted that head to head comparisons of ODX versus other prognostic approaches may be better pla</w:t>
      </w:r>
      <w:r>
        <w:rPr>
          <w:szCs w:val="24"/>
        </w:rPr>
        <w:t xml:space="preserve">ced to address this uncertainty and </w:t>
      </w:r>
      <w:r w:rsidRPr="001F49C1">
        <w:rPr>
          <w:szCs w:val="24"/>
        </w:rPr>
        <w:t>that MSAC may wish to investigate additional details of head</w:t>
      </w:r>
      <w:r>
        <w:rPr>
          <w:szCs w:val="24"/>
        </w:rPr>
        <w:t>-</w:t>
      </w:r>
      <w:r w:rsidRPr="001F49C1">
        <w:rPr>
          <w:szCs w:val="24"/>
        </w:rPr>
        <w:t>to</w:t>
      </w:r>
      <w:r>
        <w:rPr>
          <w:szCs w:val="24"/>
        </w:rPr>
        <w:t>-</w:t>
      </w:r>
      <w:r w:rsidRPr="001F49C1">
        <w:rPr>
          <w:szCs w:val="24"/>
        </w:rPr>
        <w:t>head studies mentioned in previous PSDs and when the results of these studies might become available.</w:t>
      </w:r>
    </w:p>
    <w:p w:rsidR="00194942" w:rsidRDefault="00194942" w:rsidP="00194942">
      <w:pPr>
        <w:rPr>
          <w:szCs w:val="24"/>
        </w:rPr>
      </w:pPr>
      <w:r w:rsidRPr="001F49C1">
        <w:rPr>
          <w:szCs w:val="24"/>
        </w:rPr>
        <w:t>ESC noted that</w:t>
      </w:r>
      <w:r>
        <w:rPr>
          <w:szCs w:val="24"/>
        </w:rPr>
        <w:t>:</w:t>
      </w:r>
    </w:p>
    <w:p w:rsidR="00194942" w:rsidRPr="00D9603F" w:rsidRDefault="00194942" w:rsidP="00194942">
      <w:pPr>
        <w:pStyle w:val="ListParagraph"/>
        <w:numPr>
          <w:ilvl w:val="0"/>
          <w:numId w:val="26"/>
        </w:numPr>
        <w:rPr>
          <w:szCs w:val="24"/>
        </w:rPr>
      </w:pPr>
      <w:r w:rsidRPr="00D9603F">
        <w:rPr>
          <w:szCs w:val="24"/>
        </w:rPr>
        <w:t xml:space="preserve">the applicant argued that the comparator is unchanged from the previous </w:t>
      </w:r>
      <w:r w:rsidR="000E6F57">
        <w:rPr>
          <w:szCs w:val="24"/>
        </w:rPr>
        <w:t>resubmission</w:t>
      </w:r>
      <w:r w:rsidRPr="00D9603F">
        <w:rPr>
          <w:szCs w:val="24"/>
        </w:rPr>
        <w:t xml:space="preserve"> and therefore revised cost-effectiveness estimates are not provided. </w:t>
      </w:r>
    </w:p>
    <w:p w:rsidR="00194942" w:rsidRPr="00227FFC" w:rsidRDefault="00194942" w:rsidP="00227FFC">
      <w:pPr>
        <w:pStyle w:val="ListParagraph"/>
        <w:numPr>
          <w:ilvl w:val="0"/>
          <w:numId w:val="26"/>
        </w:numPr>
        <w:spacing w:after="240"/>
        <w:rPr>
          <w:szCs w:val="24"/>
        </w:rPr>
      </w:pPr>
      <w:r w:rsidRPr="00D9603F">
        <w:rPr>
          <w:szCs w:val="24"/>
        </w:rPr>
        <w:t xml:space="preserve">the remaining uncertainty regarding the magnitude of the incremental gain </w:t>
      </w:r>
      <w:r>
        <w:rPr>
          <w:szCs w:val="24"/>
        </w:rPr>
        <w:t xml:space="preserve">in more accurately estimating the risk of recurrence </w:t>
      </w:r>
      <w:r w:rsidRPr="00D9603F">
        <w:rPr>
          <w:szCs w:val="24"/>
        </w:rPr>
        <w:t xml:space="preserve">with ODX testing means that this </w:t>
      </w:r>
      <w:r>
        <w:rPr>
          <w:szCs w:val="24"/>
        </w:rPr>
        <w:t>omission</w:t>
      </w:r>
      <w:r w:rsidRPr="00D9603F">
        <w:rPr>
          <w:szCs w:val="24"/>
        </w:rPr>
        <w:t xml:space="preserve"> was not justified.</w:t>
      </w:r>
    </w:p>
    <w:p w:rsidR="000E6F57" w:rsidRPr="00227FFC" w:rsidRDefault="00194942" w:rsidP="00227FFC">
      <w:pPr>
        <w:spacing w:after="240"/>
        <w:rPr>
          <w:szCs w:val="24"/>
        </w:rPr>
      </w:pPr>
      <w:r>
        <w:rPr>
          <w:szCs w:val="24"/>
        </w:rPr>
        <w:t>C</w:t>
      </w:r>
      <w:r w:rsidRPr="001F49C1">
        <w:rPr>
          <w:szCs w:val="24"/>
        </w:rPr>
        <w:t>onsumer concerns focused around access and cost, noting that there are perceived benefits in assisting women with difficult decisions about whether or not to undergo chemotherapy but also concerns around patient recourse if the prognosis provided is not accurate.</w:t>
      </w:r>
    </w:p>
    <w:tbl>
      <w:tblPr>
        <w:tblW w:w="9449" w:type="dxa"/>
        <w:tblLayout w:type="fixed"/>
        <w:tblCellMar>
          <w:left w:w="0" w:type="dxa"/>
          <w:right w:w="0" w:type="dxa"/>
        </w:tblCellMar>
        <w:tblLook w:val="04A0" w:firstRow="1" w:lastRow="0" w:firstColumn="1" w:lastColumn="0" w:noHBand="0" w:noVBand="1"/>
      </w:tblPr>
      <w:tblGrid>
        <w:gridCol w:w="2078"/>
        <w:gridCol w:w="2551"/>
        <w:gridCol w:w="2127"/>
        <w:gridCol w:w="2693"/>
      </w:tblGrid>
      <w:tr w:rsidR="00194942" w:rsidRPr="001F49C1" w:rsidTr="003F5598">
        <w:trPr>
          <w:trHeight w:val="431"/>
        </w:trPr>
        <w:tc>
          <w:tcPr>
            <w:tcW w:w="2078" w:type="dxa"/>
            <w:tcBorders>
              <w:top w:val="single" w:sz="8" w:space="0" w:color="000000"/>
              <w:left w:val="single" w:sz="8" w:space="0" w:color="000000"/>
              <w:bottom w:val="single" w:sz="8" w:space="0" w:color="000000"/>
              <w:right w:val="single" w:sz="8" w:space="0" w:color="000000"/>
            </w:tcBorders>
            <w:shd w:val="clear" w:color="auto" w:fill="31B6FD"/>
            <w:tcMar>
              <w:top w:w="15" w:type="dxa"/>
              <w:left w:w="93" w:type="dxa"/>
              <w:bottom w:w="0" w:type="dxa"/>
              <w:right w:w="93" w:type="dxa"/>
            </w:tcMar>
            <w:vAlign w:val="center"/>
            <w:hideMark/>
          </w:tcPr>
          <w:p w:rsidR="00194942" w:rsidRPr="001F49C1" w:rsidRDefault="00194942" w:rsidP="003F5598">
            <w:pPr>
              <w:tabs>
                <w:tab w:val="left" w:pos="2265"/>
                <w:tab w:val="left" w:pos="3420"/>
                <w:tab w:val="left" w:pos="4320"/>
              </w:tabs>
              <w:rPr>
                <w:rFonts w:ascii="Arial Narrow" w:hAnsi="Arial Narrow"/>
                <w:b/>
                <w:color w:val="FFFFFF" w:themeColor="background1"/>
                <w:sz w:val="20"/>
              </w:rPr>
            </w:pPr>
            <w:r w:rsidRPr="001F49C1">
              <w:rPr>
                <w:rFonts w:ascii="Arial Narrow" w:hAnsi="Arial Narrow"/>
                <w:b/>
                <w:bCs/>
                <w:color w:val="FFFFFF" w:themeColor="background1"/>
                <w:sz w:val="20"/>
              </w:rPr>
              <w:t>MSAC ISSUES</w:t>
            </w:r>
          </w:p>
        </w:tc>
        <w:tc>
          <w:tcPr>
            <w:tcW w:w="2551" w:type="dxa"/>
            <w:tcBorders>
              <w:top w:val="single" w:sz="8" w:space="0" w:color="000000"/>
              <w:left w:val="single" w:sz="8" w:space="0" w:color="000000"/>
              <w:bottom w:val="single" w:sz="8" w:space="0" w:color="000000"/>
              <w:right w:val="single" w:sz="8" w:space="0" w:color="000000"/>
            </w:tcBorders>
            <w:shd w:val="clear" w:color="auto" w:fill="31B6FD"/>
            <w:tcMar>
              <w:top w:w="15" w:type="dxa"/>
              <w:left w:w="93" w:type="dxa"/>
              <w:bottom w:w="0" w:type="dxa"/>
              <w:right w:w="93" w:type="dxa"/>
            </w:tcMar>
            <w:vAlign w:val="center"/>
            <w:hideMark/>
          </w:tcPr>
          <w:p w:rsidR="00194942" w:rsidRPr="001F49C1" w:rsidRDefault="00194942" w:rsidP="003F5598">
            <w:pPr>
              <w:tabs>
                <w:tab w:val="left" w:pos="2265"/>
                <w:tab w:val="left" w:pos="3420"/>
                <w:tab w:val="left" w:pos="4320"/>
              </w:tabs>
              <w:rPr>
                <w:rFonts w:ascii="Arial Narrow" w:hAnsi="Arial Narrow"/>
                <w:b/>
                <w:color w:val="FFFFFF" w:themeColor="background1"/>
                <w:sz w:val="20"/>
              </w:rPr>
            </w:pPr>
            <w:r w:rsidRPr="001F49C1">
              <w:rPr>
                <w:rFonts w:ascii="Arial Narrow" w:hAnsi="Arial Narrow"/>
                <w:b/>
                <w:bCs/>
                <w:color w:val="FFFFFF" w:themeColor="background1"/>
                <w:sz w:val="20"/>
              </w:rPr>
              <w:t>WHO WILL/HAS ADDRESSED THIS</w:t>
            </w:r>
          </w:p>
        </w:tc>
        <w:tc>
          <w:tcPr>
            <w:tcW w:w="2127" w:type="dxa"/>
            <w:tcBorders>
              <w:top w:val="single" w:sz="8" w:space="0" w:color="000000"/>
              <w:left w:val="single" w:sz="8" w:space="0" w:color="000000"/>
              <w:bottom w:val="single" w:sz="8" w:space="0" w:color="000000"/>
              <w:right w:val="single" w:sz="8" w:space="0" w:color="000000"/>
            </w:tcBorders>
            <w:shd w:val="clear" w:color="auto" w:fill="31B6FD"/>
            <w:tcMar>
              <w:top w:w="15" w:type="dxa"/>
              <w:left w:w="93" w:type="dxa"/>
              <w:bottom w:w="0" w:type="dxa"/>
              <w:right w:w="93" w:type="dxa"/>
            </w:tcMar>
            <w:vAlign w:val="center"/>
            <w:hideMark/>
          </w:tcPr>
          <w:p w:rsidR="00194942" w:rsidRPr="001F49C1" w:rsidRDefault="00194942" w:rsidP="003F5598">
            <w:pPr>
              <w:tabs>
                <w:tab w:val="left" w:pos="2265"/>
                <w:tab w:val="left" w:pos="3420"/>
                <w:tab w:val="left" w:pos="4320"/>
              </w:tabs>
              <w:rPr>
                <w:rFonts w:ascii="Arial Narrow" w:hAnsi="Arial Narrow"/>
                <w:b/>
                <w:color w:val="FFFFFF" w:themeColor="background1"/>
                <w:sz w:val="20"/>
              </w:rPr>
            </w:pPr>
            <w:r w:rsidRPr="001F49C1">
              <w:rPr>
                <w:rFonts w:ascii="Arial Narrow" w:hAnsi="Arial Narrow"/>
                <w:b/>
                <w:bCs/>
                <w:color w:val="FFFFFF" w:themeColor="background1"/>
                <w:sz w:val="20"/>
              </w:rPr>
              <w:t>ANSWER</w:t>
            </w:r>
          </w:p>
        </w:tc>
        <w:tc>
          <w:tcPr>
            <w:tcW w:w="2693" w:type="dxa"/>
            <w:tcBorders>
              <w:top w:val="single" w:sz="8" w:space="0" w:color="000000"/>
              <w:left w:val="single" w:sz="8" w:space="0" w:color="000000"/>
              <w:bottom w:val="single" w:sz="8" w:space="0" w:color="000000"/>
              <w:right w:val="single" w:sz="8" w:space="0" w:color="000000"/>
            </w:tcBorders>
            <w:shd w:val="clear" w:color="auto" w:fill="31B6FD"/>
            <w:tcMar>
              <w:top w:w="15" w:type="dxa"/>
              <w:left w:w="93" w:type="dxa"/>
              <w:bottom w:w="0" w:type="dxa"/>
              <w:right w:w="93" w:type="dxa"/>
            </w:tcMar>
            <w:vAlign w:val="center"/>
            <w:hideMark/>
          </w:tcPr>
          <w:p w:rsidR="00194942" w:rsidRPr="001F49C1" w:rsidRDefault="00194942" w:rsidP="003F5598">
            <w:pPr>
              <w:tabs>
                <w:tab w:val="left" w:pos="2265"/>
                <w:tab w:val="left" w:pos="3420"/>
                <w:tab w:val="left" w:pos="4320"/>
              </w:tabs>
              <w:rPr>
                <w:rFonts w:ascii="Arial Narrow" w:hAnsi="Arial Narrow"/>
                <w:b/>
                <w:color w:val="FFFFFF" w:themeColor="background1"/>
                <w:sz w:val="20"/>
              </w:rPr>
            </w:pPr>
            <w:r w:rsidRPr="001F49C1">
              <w:rPr>
                <w:rFonts w:ascii="Arial Narrow" w:hAnsi="Arial Narrow"/>
                <w:b/>
                <w:bCs/>
                <w:color w:val="FFFFFF" w:themeColor="background1"/>
                <w:sz w:val="20"/>
              </w:rPr>
              <w:t>ESC ADVICE</w:t>
            </w:r>
          </w:p>
        </w:tc>
      </w:tr>
      <w:tr w:rsidR="00194942" w:rsidRPr="001F49C1" w:rsidTr="003F5598">
        <w:trPr>
          <w:trHeight w:val="3143"/>
        </w:trPr>
        <w:tc>
          <w:tcPr>
            <w:tcW w:w="2078" w:type="dxa"/>
            <w:tcBorders>
              <w:top w:val="single" w:sz="8" w:space="0" w:color="000000"/>
              <w:left w:val="single" w:sz="8" w:space="0" w:color="000000"/>
              <w:bottom w:val="single" w:sz="8" w:space="0" w:color="000000"/>
              <w:right w:val="single" w:sz="8" w:space="0" w:color="000000"/>
            </w:tcBorders>
            <w:shd w:val="clear" w:color="auto" w:fill="31B6FD"/>
            <w:tcMar>
              <w:top w:w="15" w:type="dxa"/>
              <w:left w:w="93" w:type="dxa"/>
              <w:bottom w:w="0" w:type="dxa"/>
              <w:right w:w="93" w:type="dxa"/>
            </w:tcMar>
            <w:hideMark/>
          </w:tcPr>
          <w:p w:rsidR="00194942" w:rsidRPr="001F49C1" w:rsidRDefault="00194942" w:rsidP="003F5598">
            <w:pPr>
              <w:tabs>
                <w:tab w:val="left" w:pos="2265"/>
                <w:tab w:val="left" w:pos="3420"/>
                <w:tab w:val="left" w:pos="4320"/>
              </w:tabs>
              <w:rPr>
                <w:rFonts w:ascii="Arial Narrow" w:hAnsi="Arial Narrow"/>
                <w:b/>
                <w:sz w:val="20"/>
              </w:rPr>
            </w:pPr>
            <w:r w:rsidRPr="001F49C1">
              <w:rPr>
                <w:rFonts w:ascii="Arial Narrow" w:hAnsi="Arial Narrow"/>
                <w:b/>
                <w:sz w:val="20"/>
              </w:rPr>
              <w:t>Applicant to provide data demonstrating the incremental gain of ODX over and above currently available prognostic approaches and algorithms</w:t>
            </w:r>
          </w:p>
        </w:tc>
        <w:tc>
          <w:tcPr>
            <w:tcW w:w="2551" w:type="dxa"/>
            <w:tcBorders>
              <w:top w:val="single" w:sz="8" w:space="0" w:color="000000"/>
              <w:left w:val="single" w:sz="8" w:space="0" w:color="000000"/>
              <w:bottom w:val="single" w:sz="8" w:space="0" w:color="000000"/>
              <w:right w:val="single" w:sz="8" w:space="0" w:color="000000"/>
            </w:tcBorders>
            <w:shd w:val="clear" w:color="auto" w:fill="CDE5FE"/>
            <w:tcMar>
              <w:top w:w="15" w:type="dxa"/>
              <w:left w:w="93" w:type="dxa"/>
              <w:bottom w:w="0" w:type="dxa"/>
              <w:right w:w="93" w:type="dxa"/>
            </w:tcMar>
            <w:hideMark/>
          </w:tcPr>
          <w:p w:rsidR="00194942" w:rsidRPr="001F49C1" w:rsidRDefault="00194942" w:rsidP="003F5598">
            <w:pPr>
              <w:tabs>
                <w:tab w:val="left" w:pos="2265"/>
                <w:tab w:val="left" w:pos="3420"/>
                <w:tab w:val="left" w:pos="4320"/>
              </w:tabs>
              <w:rPr>
                <w:rFonts w:ascii="Arial Narrow" w:hAnsi="Arial Narrow"/>
                <w:b/>
                <w:sz w:val="20"/>
              </w:rPr>
            </w:pPr>
            <w:r w:rsidRPr="001F49C1">
              <w:rPr>
                <w:rFonts w:ascii="Arial Narrow" w:hAnsi="Arial Narrow"/>
                <w:b/>
                <w:sz w:val="20"/>
              </w:rPr>
              <w:t xml:space="preserve">Applicant has attempted to address this in </w:t>
            </w:r>
            <w:r>
              <w:rPr>
                <w:rFonts w:ascii="Arial Narrow" w:hAnsi="Arial Narrow"/>
                <w:b/>
                <w:sz w:val="20"/>
              </w:rPr>
              <w:t>its</w:t>
            </w:r>
            <w:r w:rsidRPr="001F49C1">
              <w:rPr>
                <w:rFonts w:ascii="Arial Narrow" w:hAnsi="Arial Narrow"/>
                <w:b/>
                <w:sz w:val="20"/>
              </w:rPr>
              <w:t xml:space="preserve"> resubmission by conducting a survey of medical oncologists and breast surgeons.</w:t>
            </w:r>
          </w:p>
        </w:tc>
        <w:tc>
          <w:tcPr>
            <w:tcW w:w="2127" w:type="dxa"/>
            <w:tcBorders>
              <w:top w:val="single" w:sz="8" w:space="0" w:color="000000"/>
              <w:left w:val="single" w:sz="8" w:space="0" w:color="000000"/>
              <w:bottom w:val="single" w:sz="8" w:space="0" w:color="000000"/>
              <w:right w:val="single" w:sz="8" w:space="0" w:color="000000"/>
            </w:tcBorders>
            <w:shd w:val="clear" w:color="auto" w:fill="CDE5FE"/>
            <w:tcMar>
              <w:top w:w="15" w:type="dxa"/>
              <w:left w:w="93" w:type="dxa"/>
              <w:bottom w:w="0" w:type="dxa"/>
              <w:right w:w="93" w:type="dxa"/>
            </w:tcMar>
            <w:hideMark/>
          </w:tcPr>
          <w:p w:rsidR="00194942" w:rsidRPr="001F49C1" w:rsidRDefault="00194942" w:rsidP="003F5598">
            <w:pPr>
              <w:tabs>
                <w:tab w:val="left" w:pos="2265"/>
                <w:tab w:val="left" w:pos="3420"/>
                <w:tab w:val="left" w:pos="4320"/>
              </w:tabs>
              <w:rPr>
                <w:rFonts w:ascii="Arial Narrow" w:hAnsi="Arial Narrow"/>
                <w:b/>
                <w:sz w:val="20"/>
              </w:rPr>
            </w:pPr>
            <w:r w:rsidRPr="001F49C1">
              <w:rPr>
                <w:rFonts w:ascii="Arial Narrow" w:hAnsi="Arial Narrow"/>
                <w:b/>
                <w:sz w:val="20"/>
              </w:rPr>
              <w:t>Survey is poorly conducted and reported and does not reliably address the issue.</w:t>
            </w:r>
          </w:p>
          <w:p w:rsidR="00194942" w:rsidRPr="001F49C1" w:rsidRDefault="00194942" w:rsidP="003F5598">
            <w:pPr>
              <w:tabs>
                <w:tab w:val="left" w:pos="2265"/>
                <w:tab w:val="left" w:pos="3420"/>
                <w:tab w:val="left" w:pos="4320"/>
              </w:tabs>
              <w:rPr>
                <w:rFonts w:ascii="Arial Narrow" w:hAnsi="Arial Narrow"/>
                <w:b/>
                <w:sz w:val="20"/>
              </w:rPr>
            </w:pPr>
            <w:r w:rsidRPr="001F49C1">
              <w:rPr>
                <w:rFonts w:ascii="Arial Narrow" w:hAnsi="Arial Narrow"/>
                <w:b/>
                <w:sz w:val="20"/>
              </w:rPr>
              <w:t>Also, rather than testing the survey findings in the modelled estimates, the</w:t>
            </w:r>
            <w:r>
              <w:rPr>
                <w:rFonts w:ascii="Arial Narrow" w:hAnsi="Arial Narrow"/>
                <w:b/>
                <w:sz w:val="20"/>
              </w:rPr>
              <w:t xml:space="preserve"> current resubmission</w:t>
            </w:r>
            <w:r w:rsidRPr="001F49C1">
              <w:rPr>
                <w:rFonts w:ascii="Arial Narrow" w:hAnsi="Arial Narrow"/>
                <w:b/>
                <w:sz w:val="20"/>
              </w:rPr>
              <w:t xml:space="preserve"> attempt</w:t>
            </w:r>
            <w:r>
              <w:rPr>
                <w:rFonts w:ascii="Arial Narrow" w:hAnsi="Arial Narrow"/>
                <w:b/>
                <w:sz w:val="20"/>
              </w:rPr>
              <w:t>s</w:t>
            </w:r>
            <w:r w:rsidRPr="001F49C1">
              <w:rPr>
                <w:rFonts w:ascii="Arial Narrow" w:hAnsi="Arial Narrow"/>
                <w:b/>
                <w:sz w:val="20"/>
              </w:rPr>
              <w:t xml:space="preserve"> to use the findings to defend the applicability of ADIS (as previously presented to MSAC)</w:t>
            </w:r>
          </w:p>
        </w:tc>
        <w:tc>
          <w:tcPr>
            <w:tcW w:w="2693" w:type="dxa"/>
            <w:tcBorders>
              <w:top w:val="single" w:sz="8" w:space="0" w:color="000000"/>
              <w:left w:val="single" w:sz="8" w:space="0" w:color="000000"/>
              <w:bottom w:val="single" w:sz="8" w:space="0" w:color="000000"/>
              <w:right w:val="single" w:sz="8" w:space="0" w:color="000000"/>
            </w:tcBorders>
            <w:shd w:val="clear" w:color="auto" w:fill="CDE5FE"/>
            <w:tcMar>
              <w:top w:w="15" w:type="dxa"/>
              <w:left w:w="93" w:type="dxa"/>
              <w:bottom w:w="0" w:type="dxa"/>
              <w:right w:w="93" w:type="dxa"/>
            </w:tcMar>
            <w:hideMark/>
          </w:tcPr>
          <w:p w:rsidR="00194942" w:rsidRPr="001F49C1" w:rsidRDefault="00194942" w:rsidP="003F5598">
            <w:pPr>
              <w:tabs>
                <w:tab w:val="left" w:pos="2265"/>
                <w:tab w:val="left" w:pos="3420"/>
                <w:tab w:val="left" w:pos="4320"/>
              </w:tabs>
              <w:rPr>
                <w:rFonts w:ascii="Arial Narrow" w:hAnsi="Arial Narrow"/>
                <w:b/>
                <w:sz w:val="20"/>
              </w:rPr>
            </w:pPr>
            <w:r w:rsidRPr="001F49C1">
              <w:rPr>
                <w:rFonts w:ascii="Arial Narrow" w:hAnsi="Arial Narrow"/>
                <w:b/>
                <w:sz w:val="20"/>
              </w:rPr>
              <w:t>Data from ADIS cannot address this issue as the extent of use of other prognostic approaches was (a) not recorded, and (b) is likely to have changed since ADIS was conducted</w:t>
            </w:r>
          </w:p>
          <w:p w:rsidR="00194942" w:rsidRPr="001F49C1" w:rsidRDefault="00194942" w:rsidP="003F5598">
            <w:pPr>
              <w:tabs>
                <w:tab w:val="left" w:pos="2265"/>
                <w:tab w:val="left" w:pos="3420"/>
                <w:tab w:val="left" w:pos="4320"/>
              </w:tabs>
              <w:rPr>
                <w:rFonts w:ascii="Arial Narrow" w:hAnsi="Arial Narrow"/>
                <w:b/>
                <w:sz w:val="20"/>
              </w:rPr>
            </w:pPr>
            <w:r w:rsidRPr="001F49C1">
              <w:rPr>
                <w:rFonts w:ascii="Arial Narrow" w:hAnsi="Arial Narrow"/>
                <w:b/>
                <w:sz w:val="20"/>
              </w:rPr>
              <w:t>Earlier PSDs note that head-to-head comparisons of ODX vs other prognostic approaches would address the remaining uncertainty</w:t>
            </w:r>
          </w:p>
        </w:tc>
      </w:tr>
      <w:tr w:rsidR="00194942" w:rsidRPr="001F49C1" w:rsidTr="003F5598">
        <w:trPr>
          <w:trHeight w:val="1370"/>
        </w:trPr>
        <w:tc>
          <w:tcPr>
            <w:tcW w:w="2078" w:type="dxa"/>
            <w:tcBorders>
              <w:top w:val="single" w:sz="8" w:space="0" w:color="000000"/>
              <w:left w:val="single" w:sz="8" w:space="0" w:color="000000"/>
              <w:bottom w:val="single" w:sz="8" w:space="0" w:color="000000"/>
              <w:right w:val="single" w:sz="8" w:space="0" w:color="000000"/>
            </w:tcBorders>
            <w:shd w:val="clear" w:color="auto" w:fill="31B6FD"/>
            <w:tcMar>
              <w:top w:w="15" w:type="dxa"/>
              <w:left w:w="93" w:type="dxa"/>
              <w:bottom w:w="0" w:type="dxa"/>
              <w:right w:w="93" w:type="dxa"/>
            </w:tcMar>
            <w:hideMark/>
          </w:tcPr>
          <w:p w:rsidR="00194942" w:rsidRPr="001F49C1" w:rsidRDefault="00194942" w:rsidP="003F5598">
            <w:pPr>
              <w:tabs>
                <w:tab w:val="left" w:pos="2265"/>
                <w:tab w:val="left" w:pos="3420"/>
                <w:tab w:val="left" w:pos="4320"/>
              </w:tabs>
              <w:rPr>
                <w:rFonts w:ascii="Arial Narrow" w:hAnsi="Arial Narrow"/>
                <w:b/>
                <w:sz w:val="20"/>
              </w:rPr>
            </w:pPr>
            <w:r w:rsidRPr="001F49C1">
              <w:rPr>
                <w:rFonts w:ascii="Arial Narrow" w:hAnsi="Arial Narrow"/>
                <w:b/>
                <w:sz w:val="20"/>
              </w:rPr>
              <w:t>If the incremental gain is less than previously estimated then a revised CEA should be prepared</w:t>
            </w:r>
          </w:p>
        </w:tc>
        <w:tc>
          <w:tcPr>
            <w:tcW w:w="2551" w:type="dxa"/>
            <w:tcBorders>
              <w:top w:val="single" w:sz="8" w:space="0" w:color="000000"/>
              <w:left w:val="single" w:sz="8" w:space="0" w:color="000000"/>
              <w:bottom w:val="single" w:sz="8" w:space="0" w:color="000000"/>
              <w:right w:val="single" w:sz="8" w:space="0" w:color="000000"/>
            </w:tcBorders>
            <w:shd w:val="clear" w:color="auto" w:fill="E8F3FF"/>
            <w:tcMar>
              <w:top w:w="15" w:type="dxa"/>
              <w:left w:w="93" w:type="dxa"/>
              <w:bottom w:w="0" w:type="dxa"/>
              <w:right w:w="93" w:type="dxa"/>
            </w:tcMar>
            <w:hideMark/>
          </w:tcPr>
          <w:p w:rsidR="00194942" w:rsidRPr="001F49C1" w:rsidRDefault="00194942" w:rsidP="003F5598">
            <w:pPr>
              <w:tabs>
                <w:tab w:val="left" w:pos="2265"/>
                <w:tab w:val="left" w:pos="3420"/>
                <w:tab w:val="left" w:pos="4320"/>
              </w:tabs>
              <w:rPr>
                <w:rFonts w:ascii="Arial Narrow" w:hAnsi="Arial Narrow"/>
                <w:b/>
                <w:sz w:val="20"/>
              </w:rPr>
            </w:pPr>
            <w:r w:rsidRPr="001F49C1">
              <w:rPr>
                <w:rFonts w:ascii="Arial Narrow" w:hAnsi="Arial Narrow"/>
                <w:b/>
                <w:sz w:val="20"/>
              </w:rPr>
              <w:t>Not addressed by applicant – asserts incremental gain the same as previously submitted, so no revised CEA included</w:t>
            </w:r>
          </w:p>
        </w:tc>
        <w:tc>
          <w:tcPr>
            <w:tcW w:w="2127" w:type="dxa"/>
            <w:tcBorders>
              <w:top w:val="single" w:sz="8" w:space="0" w:color="000000"/>
              <w:left w:val="single" w:sz="8" w:space="0" w:color="000000"/>
              <w:bottom w:val="single" w:sz="8" w:space="0" w:color="000000"/>
              <w:right w:val="single" w:sz="8" w:space="0" w:color="000000"/>
            </w:tcBorders>
            <w:shd w:val="clear" w:color="auto" w:fill="E8F3FF"/>
            <w:tcMar>
              <w:top w:w="15" w:type="dxa"/>
              <w:left w:w="93" w:type="dxa"/>
              <w:bottom w:w="0" w:type="dxa"/>
              <w:right w:w="93" w:type="dxa"/>
            </w:tcMar>
            <w:hideMark/>
          </w:tcPr>
          <w:p w:rsidR="00194942" w:rsidRPr="001F49C1" w:rsidRDefault="00194942" w:rsidP="003F5598">
            <w:pPr>
              <w:tabs>
                <w:tab w:val="left" w:pos="2265"/>
                <w:tab w:val="left" w:pos="3420"/>
                <w:tab w:val="left" w:pos="4320"/>
              </w:tabs>
              <w:rPr>
                <w:rFonts w:ascii="Arial Narrow" w:hAnsi="Arial Narrow"/>
                <w:b/>
                <w:sz w:val="20"/>
              </w:rPr>
            </w:pPr>
            <w:r w:rsidRPr="001F49C1">
              <w:rPr>
                <w:rFonts w:ascii="Arial Narrow" w:hAnsi="Arial Narrow"/>
                <w:b/>
                <w:sz w:val="20"/>
              </w:rPr>
              <w:t> N/A</w:t>
            </w:r>
          </w:p>
        </w:tc>
        <w:tc>
          <w:tcPr>
            <w:tcW w:w="2693" w:type="dxa"/>
            <w:tcBorders>
              <w:top w:val="single" w:sz="8" w:space="0" w:color="000000"/>
              <w:left w:val="single" w:sz="8" w:space="0" w:color="000000"/>
              <w:bottom w:val="single" w:sz="8" w:space="0" w:color="000000"/>
              <w:right w:val="single" w:sz="8" w:space="0" w:color="000000"/>
            </w:tcBorders>
            <w:shd w:val="clear" w:color="auto" w:fill="E8F3FF"/>
            <w:tcMar>
              <w:top w:w="15" w:type="dxa"/>
              <w:left w:w="93" w:type="dxa"/>
              <w:bottom w:w="0" w:type="dxa"/>
              <w:right w:w="93" w:type="dxa"/>
            </w:tcMar>
            <w:hideMark/>
          </w:tcPr>
          <w:p w:rsidR="00194942" w:rsidRPr="001F49C1" w:rsidRDefault="00194942" w:rsidP="003F5598">
            <w:pPr>
              <w:tabs>
                <w:tab w:val="left" w:pos="2265"/>
                <w:tab w:val="left" w:pos="3420"/>
                <w:tab w:val="left" w:pos="4320"/>
              </w:tabs>
              <w:rPr>
                <w:rFonts w:ascii="Arial Narrow" w:hAnsi="Arial Narrow"/>
                <w:b/>
                <w:sz w:val="20"/>
              </w:rPr>
            </w:pPr>
            <w:r w:rsidRPr="001F49C1">
              <w:rPr>
                <w:rFonts w:ascii="Arial Narrow" w:hAnsi="Arial Narrow"/>
                <w:b/>
                <w:sz w:val="20"/>
              </w:rPr>
              <w:t>The uncertainty regarding the magnitude of the incremental gain with ODX means that this approach by the applicant is not justified.</w:t>
            </w:r>
          </w:p>
        </w:tc>
      </w:tr>
    </w:tbl>
    <w:p w:rsidR="00D90A38" w:rsidRPr="00F715D1" w:rsidRDefault="00BC1364" w:rsidP="00F715D1">
      <w:pPr>
        <w:pStyle w:val="Heading1"/>
      </w:pPr>
      <w:r w:rsidRPr="00F715D1">
        <w:lastRenderedPageBreak/>
        <w:t>Other significant factors</w:t>
      </w:r>
    </w:p>
    <w:p w:rsidR="00BC1364" w:rsidRPr="000E6F57" w:rsidRDefault="00BC1364" w:rsidP="00F715D1">
      <w:pPr>
        <w:spacing w:after="240"/>
        <w:rPr>
          <w:szCs w:val="24"/>
        </w:rPr>
      </w:pPr>
      <w:r w:rsidRPr="000E6F57">
        <w:rPr>
          <w:szCs w:val="24"/>
        </w:rPr>
        <w:t>Nil</w:t>
      </w:r>
    </w:p>
    <w:p w:rsidR="00BC1364" w:rsidRPr="00F715D1" w:rsidRDefault="00BC1364" w:rsidP="00F715D1">
      <w:pPr>
        <w:pStyle w:val="Heading1"/>
      </w:pPr>
      <w:r w:rsidRPr="00F715D1">
        <w:t xml:space="preserve">Applicant’s comments on MSAC’s </w:t>
      </w:r>
      <w:r w:rsidR="00DA56AA" w:rsidRPr="00F715D1">
        <w:t>Public Summary Document</w:t>
      </w:r>
    </w:p>
    <w:p w:rsidR="00D93F9B" w:rsidRDefault="00D93F9B" w:rsidP="00C64AB6">
      <w:pPr>
        <w:spacing w:after="240"/>
        <w:rPr>
          <w:rFonts w:eastAsia="Calibri"/>
          <w:color w:val="222222"/>
          <w:szCs w:val="24"/>
          <w:lang w:val="en-GB" w:eastAsia="en-GB"/>
        </w:rPr>
      </w:pPr>
      <w:r w:rsidRPr="004D3C14">
        <w:rPr>
          <w:rFonts w:eastAsia="Calibri"/>
          <w:color w:val="222222"/>
          <w:szCs w:val="24"/>
          <w:lang w:eastAsia="en-GB"/>
        </w:rPr>
        <w:t>STA is extremely disappointed by the Committee’s decision, after it</w:t>
      </w:r>
      <w:r w:rsidRPr="004D3C14">
        <w:rPr>
          <w:rFonts w:eastAsia="Calibri"/>
          <w:color w:val="222222"/>
          <w:szCs w:val="24"/>
          <w:lang w:val="en-GB" w:eastAsia="en-GB"/>
        </w:rPr>
        <w:t xml:space="preserve"> had previously accepted our analysis and economic evaluation, comparing usual care to usual care plus Oncotype DX (ODX). In all submissions for ODX, usual care has included clinical judgment to estimate risk of recurrence using informal or formal algorithms, including online prognostic tools. However, the Committee requested an analysis in which online prognostic tools must be used in the assessment of all patients. This does not reflect usual care or the benefit and </w:t>
      </w:r>
      <w:r>
        <w:rPr>
          <w:rFonts w:eastAsia="Calibri"/>
          <w:color w:val="222222"/>
          <w:szCs w:val="24"/>
          <w:lang w:val="en-GB" w:eastAsia="en-GB"/>
        </w:rPr>
        <w:t>impact of ODX over usual care.</w:t>
      </w:r>
    </w:p>
    <w:p w:rsidR="00D93F9B" w:rsidRDefault="00D93F9B" w:rsidP="00C64AB6">
      <w:pPr>
        <w:spacing w:after="240"/>
        <w:rPr>
          <w:rFonts w:eastAsia="Calibri"/>
          <w:color w:val="222222"/>
          <w:szCs w:val="24"/>
          <w:lang w:val="en-GB" w:eastAsia="en-GB"/>
        </w:rPr>
      </w:pPr>
      <w:r w:rsidRPr="004D3C14">
        <w:rPr>
          <w:rFonts w:eastAsia="Calibri"/>
          <w:color w:val="222222"/>
          <w:szCs w:val="24"/>
          <w:lang w:eastAsia="en-GB"/>
        </w:rPr>
        <w:t xml:space="preserve">This has been </w:t>
      </w:r>
      <w:r>
        <w:rPr>
          <w:rFonts w:eastAsia="Calibri"/>
          <w:color w:val="222222"/>
          <w:szCs w:val="24"/>
          <w:lang w:eastAsia="en-GB"/>
        </w:rPr>
        <w:t>the</w:t>
      </w:r>
      <w:r w:rsidRPr="004D3C14">
        <w:rPr>
          <w:rFonts w:eastAsia="Calibri"/>
          <w:color w:val="222222"/>
          <w:szCs w:val="24"/>
          <w:lang w:eastAsia="en-GB"/>
        </w:rPr>
        <w:t xml:space="preserve"> fifth MSAC submission</w:t>
      </w:r>
      <w:r>
        <w:rPr>
          <w:rFonts w:eastAsia="Calibri"/>
          <w:color w:val="222222"/>
          <w:szCs w:val="24"/>
          <w:lang w:eastAsia="en-GB"/>
        </w:rPr>
        <w:t xml:space="preserve"> for ODX</w:t>
      </w:r>
      <w:r w:rsidRPr="004D3C14">
        <w:rPr>
          <w:rFonts w:eastAsia="Calibri"/>
          <w:color w:val="222222"/>
          <w:szCs w:val="24"/>
          <w:lang w:eastAsia="en-GB"/>
        </w:rPr>
        <w:t>. Further attempts are not planned given the significant investment of resources expended to date on multiple local studies and surveys supporting past submissions. We note that in our modelling, more than 250 Australian women every year who cannot afford to self fund ODX will endure unnecessary chemotherapy </w:t>
      </w:r>
      <w:r w:rsidRPr="004D3C14">
        <w:rPr>
          <w:rFonts w:eastAsia="Calibri"/>
          <w:color w:val="222222"/>
          <w:szCs w:val="24"/>
          <w:lang w:val="en-GB" w:eastAsia="en-GB"/>
        </w:rPr>
        <w:t xml:space="preserve">without access to the </w:t>
      </w:r>
      <w:r>
        <w:rPr>
          <w:rFonts w:eastAsia="Calibri"/>
          <w:color w:val="222222"/>
          <w:szCs w:val="24"/>
          <w:lang w:val="en-GB" w:eastAsia="en-GB"/>
        </w:rPr>
        <w:t>test.</w:t>
      </w:r>
    </w:p>
    <w:p w:rsidR="00D93F9B" w:rsidRPr="004D3C14" w:rsidRDefault="00D93F9B" w:rsidP="00D93F9B">
      <w:pPr>
        <w:rPr>
          <w:rFonts w:eastAsia="Calibri"/>
          <w:color w:val="222222"/>
          <w:szCs w:val="24"/>
          <w:lang w:val="en-GB" w:eastAsia="en-GB"/>
        </w:rPr>
      </w:pPr>
      <w:r w:rsidRPr="004D3C14">
        <w:rPr>
          <w:rFonts w:eastAsia="Calibri"/>
          <w:color w:val="222222"/>
          <w:szCs w:val="24"/>
          <w:lang w:val="en-GB" w:eastAsia="en-GB"/>
        </w:rPr>
        <w:t>Following this outcome, ODX remains unaffordable for most Australians. In the rest of the developed world, ODX is reimbursed and recommended in all breast cancer treatment guidelines. In the UK, ODX received a positive NICE assessment. STA submitted the lowest price available in the world. We sincerely thank the many patients, physicians and organisations who have supported our attempts to gain funding of ODX for Australian women with early stage breast cancer.</w:t>
      </w:r>
    </w:p>
    <w:p w:rsidR="00BC1364" w:rsidRPr="00F715D1" w:rsidRDefault="00271F18" w:rsidP="00F715D1">
      <w:pPr>
        <w:pStyle w:val="Heading1"/>
      </w:pPr>
      <w:r w:rsidRPr="00F715D1">
        <w:t>Further information on MSAC</w:t>
      </w:r>
    </w:p>
    <w:p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7"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8"/>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A36" w:rsidRDefault="00847A36" w:rsidP="00065623">
      <w:r>
        <w:separator/>
      </w:r>
    </w:p>
  </w:endnote>
  <w:endnote w:type="continuationSeparator" w:id="0">
    <w:p w:rsidR="00847A36" w:rsidRDefault="00847A36"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Unicode MS"/>
    <w:charset w:val="8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352224" w:rsidRDefault="00352224">
        <w:pPr>
          <w:pStyle w:val="Footer"/>
          <w:jc w:val="right"/>
        </w:pPr>
        <w:r>
          <w:fldChar w:fldCharType="begin"/>
        </w:r>
        <w:r>
          <w:instrText xml:space="preserve"> PAGE   \* MERGEFORMAT </w:instrText>
        </w:r>
        <w:r>
          <w:fldChar w:fldCharType="separate"/>
        </w:r>
        <w:r w:rsidR="007F39C4">
          <w:rPr>
            <w:noProof/>
          </w:rPr>
          <w:t>1</w:t>
        </w:r>
        <w:r>
          <w:rPr>
            <w:noProof/>
          </w:rPr>
          <w:fldChar w:fldCharType="end"/>
        </w:r>
      </w:p>
    </w:sdtContent>
  </w:sdt>
  <w:p w:rsidR="00BC1364" w:rsidRDefault="00BC1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A36" w:rsidRDefault="00847A36" w:rsidP="00065623">
      <w:r>
        <w:separator/>
      </w:r>
    </w:p>
  </w:footnote>
  <w:footnote w:type="continuationSeparator" w:id="0">
    <w:p w:rsidR="00847A36" w:rsidRDefault="00847A36"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C36653"/>
    <w:multiLevelType w:val="hybridMultilevel"/>
    <w:tmpl w:val="9A9281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2"/>
  </w:num>
  <w:num w:numId="4">
    <w:abstractNumId w:val="16"/>
  </w:num>
  <w:num w:numId="5">
    <w:abstractNumId w:val="10"/>
  </w:num>
  <w:num w:numId="6">
    <w:abstractNumId w:val="15"/>
  </w:num>
  <w:num w:numId="7">
    <w:abstractNumId w:val="19"/>
  </w:num>
  <w:num w:numId="8">
    <w:abstractNumId w:val="11"/>
  </w:num>
  <w:num w:numId="9">
    <w:abstractNumId w:val="25"/>
  </w:num>
  <w:num w:numId="10">
    <w:abstractNumId w:val="0"/>
  </w:num>
  <w:num w:numId="11">
    <w:abstractNumId w:val="18"/>
  </w:num>
  <w:num w:numId="12">
    <w:abstractNumId w:val="20"/>
  </w:num>
  <w:num w:numId="13">
    <w:abstractNumId w:val="5"/>
  </w:num>
  <w:num w:numId="14">
    <w:abstractNumId w:val="24"/>
  </w:num>
  <w:num w:numId="15">
    <w:abstractNumId w:val="17"/>
  </w:num>
  <w:num w:numId="16">
    <w:abstractNumId w:val="21"/>
  </w:num>
  <w:num w:numId="17">
    <w:abstractNumId w:val="12"/>
  </w:num>
  <w:num w:numId="18">
    <w:abstractNumId w:val="13"/>
  </w:num>
  <w:num w:numId="19">
    <w:abstractNumId w:val="23"/>
  </w:num>
  <w:num w:numId="20">
    <w:abstractNumId w:val="22"/>
  </w:num>
  <w:num w:numId="21">
    <w:abstractNumId w:val="4"/>
  </w:num>
  <w:num w:numId="22">
    <w:abstractNumId w:val="9"/>
  </w:num>
  <w:num w:numId="23">
    <w:abstractNumId w:val="3"/>
  </w:num>
  <w:num w:numId="24">
    <w:abstractNumId w:val="8"/>
  </w:num>
  <w:num w:numId="25">
    <w:abstractNumId w:val="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47606"/>
    <w:rsid w:val="000533F2"/>
    <w:rsid w:val="00065623"/>
    <w:rsid w:val="000756B9"/>
    <w:rsid w:val="00096B67"/>
    <w:rsid w:val="00096DAF"/>
    <w:rsid w:val="000B7C1D"/>
    <w:rsid w:val="000C2F47"/>
    <w:rsid w:val="000D2B9A"/>
    <w:rsid w:val="000D6C00"/>
    <w:rsid w:val="000E4E04"/>
    <w:rsid w:val="000E6F57"/>
    <w:rsid w:val="000F14B4"/>
    <w:rsid w:val="000F75DF"/>
    <w:rsid w:val="001023DC"/>
    <w:rsid w:val="001328FA"/>
    <w:rsid w:val="00147AAF"/>
    <w:rsid w:val="001552C0"/>
    <w:rsid w:val="001640B1"/>
    <w:rsid w:val="0018435E"/>
    <w:rsid w:val="00194942"/>
    <w:rsid w:val="001B661C"/>
    <w:rsid w:val="001D7A85"/>
    <w:rsid w:val="001F46E9"/>
    <w:rsid w:val="002041A1"/>
    <w:rsid w:val="002054F0"/>
    <w:rsid w:val="00227FFC"/>
    <w:rsid w:val="00230D6B"/>
    <w:rsid w:val="00232068"/>
    <w:rsid w:val="002330F2"/>
    <w:rsid w:val="00243D9E"/>
    <w:rsid w:val="00253B66"/>
    <w:rsid w:val="00261DF1"/>
    <w:rsid w:val="00271F18"/>
    <w:rsid w:val="00282779"/>
    <w:rsid w:val="0028334D"/>
    <w:rsid w:val="0029792D"/>
    <w:rsid w:val="002B7FFA"/>
    <w:rsid w:val="002C2BCF"/>
    <w:rsid w:val="002F279D"/>
    <w:rsid w:val="002F43B8"/>
    <w:rsid w:val="00300C4C"/>
    <w:rsid w:val="00336856"/>
    <w:rsid w:val="0034554D"/>
    <w:rsid w:val="00352224"/>
    <w:rsid w:val="003601F2"/>
    <w:rsid w:val="003671E6"/>
    <w:rsid w:val="00384272"/>
    <w:rsid w:val="00386D67"/>
    <w:rsid w:val="003945B8"/>
    <w:rsid w:val="003D7F29"/>
    <w:rsid w:val="003E2005"/>
    <w:rsid w:val="003E4E49"/>
    <w:rsid w:val="003F1FD1"/>
    <w:rsid w:val="004024E2"/>
    <w:rsid w:val="00405A6B"/>
    <w:rsid w:val="00407B1F"/>
    <w:rsid w:val="0041184F"/>
    <w:rsid w:val="00414C57"/>
    <w:rsid w:val="0041758C"/>
    <w:rsid w:val="00427D8B"/>
    <w:rsid w:val="004539DE"/>
    <w:rsid w:val="004A2CF1"/>
    <w:rsid w:val="004C3035"/>
    <w:rsid w:val="004C307F"/>
    <w:rsid w:val="004E4BA8"/>
    <w:rsid w:val="004F340F"/>
    <w:rsid w:val="004F7B7C"/>
    <w:rsid w:val="0052243D"/>
    <w:rsid w:val="00532435"/>
    <w:rsid w:val="00550354"/>
    <w:rsid w:val="00571236"/>
    <w:rsid w:val="005953A1"/>
    <w:rsid w:val="005A33DC"/>
    <w:rsid w:val="005A4362"/>
    <w:rsid w:val="005B2A94"/>
    <w:rsid w:val="005B5434"/>
    <w:rsid w:val="005C14A4"/>
    <w:rsid w:val="005D0332"/>
    <w:rsid w:val="005D0D8C"/>
    <w:rsid w:val="00637AC6"/>
    <w:rsid w:val="006776AE"/>
    <w:rsid w:val="006A0D97"/>
    <w:rsid w:val="006B1F86"/>
    <w:rsid w:val="006C0A91"/>
    <w:rsid w:val="007054BB"/>
    <w:rsid w:val="00707064"/>
    <w:rsid w:val="00730683"/>
    <w:rsid w:val="0075261F"/>
    <w:rsid w:val="0075468E"/>
    <w:rsid w:val="007665D8"/>
    <w:rsid w:val="00766E36"/>
    <w:rsid w:val="007765F4"/>
    <w:rsid w:val="00776633"/>
    <w:rsid w:val="00784D53"/>
    <w:rsid w:val="007861A9"/>
    <w:rsid w:val="00797797"/>
    <w:rsid w:val="007A63C9"/>
    <w:rsid w:val="007B32D1"/>
    <w:rsid w:val="007B7095"/>
    <w:rsid w:val="007D24E1"/>
    <w:rsid w:val="007D6288"/>
    <w:rsid w:val="007F39C4"/>
    <w:rsid w:val="007F4CE9"/>
    <w:rsid w:val="007F4E20"/>
    <w:rsid w:val="00822C7E"/>
    <w:rsid w:val="00847060"/>
    <w:rsid w:val="00847A36"/>
    <w:rsid w:val="0085347C"/>
    <w:rsid w:val="00856A33"/>
    <w:rsid w:val="0087677F"/>
    <w:rsid w:val="00892620"/>
    <w:rsid w:val="008C7D37"/>
    <w:rsid w:val="008D5885"/>
    <w:rsid w:val="00923FA2"/>
    <w:rsid w:val="0096060D"/>
    <w:rsid w:val="00963103"/>
    <w:rsid w:val="0097252B"/>
    <w:rsid w:val="00974A50"/>
    <w:rsid w:val="0097585A"/>
    <w:rsid w:val="00984F93"/>
    <w:rsid w:val="009924B0"/>
    <w:rsid w:val="009942C9"/>
    <w:rsid w:val="009B0CB8"/>
    <w:rsid w:val="009B35C4"/>
    <w:rsid w:val="009C630A"/>
    <w:rsid w:val="009E0D98"/>
    <w:rsid w:val="00A068A1"/>
    <w:rsid w:val="00A1207D"/>
    <w:rsid w:val="00A12FD8"/>
    <w:rsid w:val="00A346FC"/>
    <w:rsid w:val="00A846F2"/>
    <w:rsid w:val="00A84F93"/>
    <w:rsid w:val="00AB1AC5"/>
    <w:rsid w:val="00AB3BFC"/>
    <w:rsid w:val="00AC4F2E"/>
    <w:rsid w:val="00AD0C37"/>
    <w:rsid w:val="00AD385F"/>
    <w:rsid w:val="00AE6E2A"/>
    <w:rsid w:val="00B03EAB"/>
    <w:rsid w:val="00B31E9C"/>
    <w:rsid w:val="00B35595"/>
    <w:rsid w:val="00B51C6D"/>
    <w:rsid w:val="00B83DD2"/>
    <w:rsid w:val="00B86D64"/>
    <w:rsid w:val="00BA4AC5"/>
    <w:rsid w:val="00BB59AC"/>
    <w:rsid w:val="00BC1364"/>
    <w:rsid w:val="00BC2667"/>
    <w:rsid w:val="00BC2ADD"/>
    <w:rsid w:val="00BC7DE9"/>
    <w:rsid w:val="00BF479B"/>
    <w:rsid w:val="00C02577"/>
    <w:rsid w:val="00C204FB"/>
    <w:rsid w:val="00C20BEE"/>
    <w:rsid w:val="00C2158D"/>
    <w:rsid w:val="00C64AB6"/>
    <w:rsid w:val="00C67DD2"/>
    <w:rsid w:val="00C725CB"/>
    <w:rsid w:val="00C76F5C"/>
    <w:rsid w:val="00C96BAD"/>
    <w:rsid w:val="00CA6944"/>
    <w:rsid w:val="00CB0F8E"/>
    <w:rsid w:val="00CB7E7D"/>
    <w:rsid w:val="00CC2911"/>
    <w:rsid w:val="00CF0C6D"/>
    <w:rsid w:val="00CF7307"/>
    <w:rsid w:val="00CF7C68"/>
    <w:rsid w:val="00D124FA"/>
    <w:rsid w:val="00D25B67"/>
    <w:rsid w:val="00D340DE"/>
    <w:rsid w:val="00D55723"/>
    <w:rsid w:val="00D62FAD"/>
    <w:rsid w:val="00D64355"/>
    <w:rsid w:val="00D70450"/>
    <w:rsid w:val="00D83BFD"/>
    <w:rsid w:val="00D90A38"/>
    <w:rsid w:val="00D93F9B"/>
    <w:rsid w:val="00DA0515"/>
    <w:rsid w:val="00DA171E"/>
    <w:rsid w:val="00DA3981"/>
    <w:rsid w:val="00DA56AA"/>
    <w:rsid w:val="00DB5833"/>
    <w:rsid w:val="00DD2858"/>
    <w:rsid w:val="00E03E33"/>
    <w:rsid w:val="00E059E0"/>
    <w:rsid w:val="00E3642A"/>
    <w:rsid w:val="00E415C4"/>
    <w:rsid w:val="00E50016"/>
    <w:rsid w:val="00E50EAA"/>
    <w:rsid w:val="00E656D6"/>
    <w:rsid w:val="00E82C7E"/>
    <w:rsid w:val="00E977EE"/>
    <w:rsid w:val="00EA2F24"/>
    <w:rsid w:val="00EA67A2"/>
    <w:rsid w:val="00EB630F"/>
    <w:rsid w:val="00EB6B6F"/>
    <w:rsid w:val="00EC4F98"/>
    <w:rsid w:val="00F12F02"/>
    <w:rsid w:val="00F32E0D"/>
    <w:rsid w:val="00F35134"/>
    <w:rsid w:val="00F37B9C"/>
    <w:rsid w:val="00F41812"/>
    <w:rsid w:val="00F66A82"/>
    <w:rsid w:val="00F715D1"/>
    <w:rsid w:val="00F72715"/>
    <w:rsid w:val="00F73333"/>
    <w:rsid w:val="00F95D8F"/>
    <w:rsid w:val="00FB350A"/>
    <w:rsid w:val="00FB4C5D"/>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uiPriority w:val="1"/>
    <w:qFormat/>
    <w:rsid w:val="004024E2"/>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4024E2"/>
    <w:rPr>
      <w:rFonts w:asciiTheme="minorHAnsi" w:eastAsia="Times New Roman" w:hAnsiTheme="minorHAnsi"/>
      <w:sz w:val="20"/>
      <w:szCs w:val="24"/>
    </w:rPr>
  </w:style>
  <w:style w:type="paragraph" w:styleId="Caption">
    <w:name w:val="caption"/>
    <w:aliases w:val="Table and Figure Name"/>
    <w:basedOn w:val="Normal"/>
    <w:next w:val="Normal"/>
    <w:uiPriority w:val="35"/>
    <w:qFormat/>
    <w:locked/>
    <w:rsid w:val="000533F2"/>
    <w:pPr>
      <w:spacing w:after="120"/>
    </w:pPr>
    <w:rPr>
      <w:rFonts w:ascii="Arial Narrow" w:hAnsi="Arial Narrow" w:cs="Tahoma"/>
      <w:b/>
      <w:bCs/>
      <w:sz w:val="20"/>
      <w:szCs w:val="22"/>
    </w:rPr>
  </w:style>
  <w:style w:type="table" w:styleId="TableGrid">
    <w:name w:val="Table Grid"/>
    <w:aliases w:val="new style,Summary box"/>
    <w:basedOn w:val="TableNormal"/>
    <w:uiPriority w:val="59"/>
    <w:locked/>
    <w:rsid w:val="000533F2"/>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0533F2"/>
    <w:pPr>
      <w:keepNext/>
      <w:spacing w:before="40" w:after="40"/>
    </w:pPr>
    <w:rPr>
      <w:rFonts w:ascii="Arial Narrow" w:hAnsi="Arial Narrow" w:cs="Tahoma"/>
      <w:sz w:val="20"/>
      <w:szCs w:val="22"/>
      <w:lang w:eastAsia="en-US"/>
    </w:rPr>
  </w:style>
  <w:style w:type="character" w:customStyle="1" w:styleId="TableTextChar">
    <w:name w:val="Table Text Char"/>
    <w:link w:val="TableText"/>
    <w:rsid w:val="000533F2"/>
    <w:rPr>
      <w:rFonts w:ascii="Arial Narrow" w:eastAsia="Times New Roman" w:hAnsi="Arial Narrow" w:cs="Tahoma"/>
      <w:sz w:val="20"/>
      <w:lang w:eastAsia="en-US"/>
    </w:rPr>
  </w:style>
  <w:style w:type="paragraph" w:customStyle="1" w:styleId="Tablefooter">
    <w:name w:val="Table footer"/>
    <w:basedOn w:val="Normal"/>
    <w:link w:val="TablefooterChar"/>
    <w:qFormat/>
    <w:rsid w:val="000533F2"/>
    <w:pPr>
      <w:keepNext/>
      <w:keepLines/>
      <w:spacing w:after="360" w:line="276" w:lineRule="auto"/>
      <w:contextualSpacing/>
    </w:pPr>
    <w:rPr>
      <w:rFonts w:ascii="Arial Narrow" w:eastAsia="Calibri" w:hAnsi="Arial Narrow" w:cs="Calibri"/>
      <w:sz w:val="16"/>
      <w:szCs w:val="18"/>
      <w:lang w:eastAsia="en-US"/>
    </w:rPr>
  </w:style>
  <w:style w:type="character" w:customStyle="1" w:styleId="TablefooterChar">
    <w:name w:val="Table footer Char"/>
    <w:link w:val="Tablefooter"/>
    <w:rsid w:val="000533F2"/>
    <w:rPr>
      <w:rFonts w:ascii="Arial Narrow" w:hAnsi="Arial Narrow" w:cs="Calibri"/>
      <w:sz w:val="16"/>
      <w:szCs w:val="18"/>
      <w:lang w:eastAsia="en-US"/>
    </w:rPr>
  </w:style>
  <w:style w:type="paragraph" w:customStyle="1" w:styleId="Tableheadingleft">
    <w:name w:val="Table heading left"/>
    <w:basedOn w:val="TableText"/>
    <w:qFormat/>
    <w:rsid w:val="000533F2"/>
    <w:pPr>
      <w:keepLines/>
      <w:tabs>
        <w:tab w:val="left" w:pos="113"/>
        <w:tab w:val="center" w:pos="142"/>
        <w:tab w:val="center" w:pos="284"/>
        <w:tab w:val="center" w:pos="425"/>
      </w:tabs>
      <w:spacing w:after="80" w:line="276" w:lineRule="auto"/>
    </w:pPr>
    <w:rPr>
      <w:rFonts w:eastAsia="Calibri" w:cs="Calibri"/>
      <w:b/>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uiPriority w:val="1"/>
    <w:qFormat/>
    <w:rsid w:val="004024E2"/>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4024E2"/>
    <w:rPr>
      <w:rFonts w:asciiTheme="minorHAnsi" w:eastAsia="Times New Roman" w:hAnsiTheme="minorHAnsi"/>
      <w:sz w:val="20"/>
      <w:szCs w:val="24"/>
    </w:rPr>
  </w:style>
  <w:style w:type="paragraph" w:styleId="Caption">
    <w:name w:val="caption"/>
    <w:aliases w:val="Table and Figure Name"/>
    <w:basedOn w:val="Normal"/>
    <w:next w:val="Normal"/>
    <w:uiPriority w:val="35"/>
    <w:qFormat/>
    <w:locked/>
    <w:rsid w:val="000533F2"/>
    <w:pPr>
      <w:spacing w:after="120"/>
    </w:pPr>
    <w:rPr>
      <w:rFonts w:ascii="Arial Narrow" w:hAnsi="Arial Narrow" w:cs="Tahoma"/>
      <w:b/>
      <w:bCs/>
      <w:sz w:val="20"/>
      <w:szCs w:val="22"/>
    </w:rPr>
  </w:style>
  <w:style w:type="table" w:styleId="TableGrid">
    <w:name w:val="Table Grid"/>
    <w:aliases w:val="new style,Summary box"/>
    <w:basedOn w:val="TableNormal"/>
    <w:uiPriority w:val="59"/>
    <w:locked/>
    <w:rsid w:val="000533F2"/>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0533F2"/>
    <w:pPr>
      <w:keepNext/>
      <w:spacing w:before="40" w:after="40"/>
    </w:pPr>
    <w:rPr>
      <w:rFonts w:ascii="Arial Narrow" w:hAnsi="Arial Narrow" w:cs="Tahoma"/>
      <w:sz w:val="20"/>
      <w:szCs w:val="22"/>
      <w:lang w:eastAsia="en-US"/>
    </w:rPr>
  </w:style>
  <w:style w:type="character" w:customStyle="1" w:styleId="TableTextChar">
    <w:name w:val="Table Text Char"/>
    <w:link w:val="TableText"/>
    <w:rsid w:val="000533F2"/>
    <w:rPr>
      <w:rFonts w:ascii="Arial Narrow" w:eastAsia="Times New Roman" w:hAnsi="Arial Narrow" w:cs="Tahoma"/>
      <w:sz w:val="20"/>
      <w:lang w:eastAsia="en-US"/>
    </w:rPr>
  </w:style>
  <w:style w:type="paragraph" w:customStyle="1" w:styleId="Tablefooter">
    <w:name w:val="Table footer"/>
    <w:basedOn w:val="Normal"/>
    <w:link w:val="TablefooterChar"/>
    <w:qFormat/>
    <w:rsid w:val="000533F2"/>
    <w:pPr>
      <w:keepNext/>
      <w:keepLines/>
      <w:spacing w:after="360" w:line="276" w:lineRule="auto"/>
      <w:contextualSpacing/>
    </w:pPr>
    <w:rPr>
      <w:rFonts w:ascii="Arial Narrow" w:eastAsia="Calibri" w:hAnsi="Arial Narrow" w:cs="Calibri"/>
      <w:sz w:val="16"/>
      <w:szCs w:val="18"/>
      <w:lang w:eastAsia="en-US"/>
    </w:rPr>
  </w:style>
  <w:style w:type="character" w:customStyle="1" w:styleId="TablefooterChar">
    <w:name w:val="Table footer Char"/>
    <w:link w:val="Tablefooter"/>
    <w:rsid w:val="000533F2"/>
    <w:rPr>
      <w:rFonts w:ascii="Arial Narrow" w:hAnsi="Arial Narrow" w:cs="Calibri"/>
      <w:sz w:val="16"/>
      <w:szCs w:val="18"/>
      <w:lang w:eastAsia="en-US"/>
    </w:rPr>
  </w:style>
  <w:style w:type="paragraph" w:customStyle="1" w:styleId="Tableheadingleft">
    <w:name w:val="Table heading left"/>
    <w:basedOn w:val="TableText"/>
    <w:qFormat/>
    <w:rsid w:val="000533F2"/>
    <w:pPr>
      <w:keepLines/>
      <w:tabs>
        <w:tab w:val="left" w:pos="113"/>
        <w:tab w:val="center" w:pos="142"/>
        <w:tab w:val="center" w:pos="284"/>
        <w:tab w:val="center" w:pos="425"/>
      </w:tabs>
      <w:spacing w:after="80" w:line="276" w:lineRule="auto"/>
    </w:pPr>
    <w:rPr>
      <w:rFonts w:eastAsia="Calibri" w:cs="Calibri"/>
      <w:b/>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internet/msac/publishing.nsf/Content/964EA1ABD5EF8F37CA25801000123C1E/$File/1342.3_PSD.pdf"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ac.gov.au/internet/msac/publishing.nsf/Content/7F18A16A389510B3CA25801000123C13/$File/1342.2-FinalPSD-accessible.pdf" TargetMode="External"/><Relationship Id="rId17" Type="http://schemas.openxmlformats.org/officeDocument/2006/relationships/hyperlink" Target="http://www.msac.gov.au/" TargetMode="External"/><Relationship Id="rId2" Type="http://schemas.openxmlformats.org/officeDocument/2006/relationships/styles" Target="styles.xml"/><Relationship Id="rId16" Type="http://schemas.openxmlformats.org/officeDocument/2006/relationships/hyperlink" Target="http://www.msac.gov.au/internet/msac/publishing.nsf/Content/1342.3-publi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internet/msac/publishing.nsf/Content/D4EF97AE878785FDCA25801000123BEE/$File/1342.1-PSD%20-%20MSACPSD-OncotypeDX%20(D14-1184441).PDF"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msac.gov.au/internet/msac/publishing.nsf/Content/5874A3073E22DE4BCA25801000123BC4/$File/1342-PSD-GeneExpressionProfiling-accessible%20(D14-2089675).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internet/msac/publishing.nsf/Content/1342.3-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2964</Words>
  <Characters>17439</Characters>
  <Application>Microsoft Office Word</Application>
  <DocSecurity>0</DocSecurity>
  <Lines>145</Lines>
  <Paragraphs>40</Paragraphs>
  <ScaleCrop>false</ScaleCrop>
  <Company/>
  <LinksUpToDate>false</LinksUpToDate>
  <CharactersWithSpaces>20363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1342.4-FinalPSD-accessible</dc:title>
  <dc:creator/>
  <cp:lastModifiedBy/>
  <cp:revision>1</cp:revision>
  <dcterms:created xsi:type="dcterms:W3CDTF">2017-09-29T00:41:00Z</dcterms:created>
  <dcterms:modified xsi:type="dcterms:W3CDTF">2017-09-29T00:41:00Z</dcterms:modified>
</cp:coreProperties>
</file>