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C0C8A">
        <w:rPr>
          <w:rFonts w:ascii="Arial" w:hAnsi="Arial" w:cs="Arial"/>
          <w:b/>
          <w:sz w:val="52"/>
          <w:szCs w:val="52"/>
        </w:rPr>
        <w:t>1344.2</w:t>
      </w:r>
    </w:p>
    <w:p w:rsidR="00380210" w:rsidRDefault="00BC0C8A" w:rsidP="0038021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C0C8A">
        <w:rPr>
          <w:rFonts w:ascii="Arial" w:hAnsi="Arial" w:cs="Arial"/>
          <w:b/>
          <w:sz w:val="32"/>
          <w:szCs w:val="32"/>
        </w:rPr>
        <w:t>Assessment of foot and ankle services by podiatric surgeons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C0C8A">
        <w:rPr>
          <w:b w:val="0"/>
        </w:rPr>
      </w:r>
      <w:r w:rsidR="00BC0C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C0C8A" w:rsidRPr="00BC0C8A">
          <w:rPr>
            <w:b/>
            <w:bCs/>
            <w:noProof/>
          </w:rPr>
          <w:t>4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0210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BC0C8A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3634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2020-01-15T04:20:00Z</dcterms:created>
  <dcterms:modified xsi:type="dcterms:W3CDTF">2020-01-15T04:20:00Z</dcterms:modified>
</cp:coreProperties>
</file>