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E57589" w:rsidRPr="00050A89" w:rsidTr="00D118EA">
        <w:tc>
          <w:tcPr>
            <w:tcW w:w="5000" w:type="pct"/>
          </w:tcPr>
          <w:p w:rsidR="00E57589" w:rsidRPr="00050A89" w:rsidRDefault="00E57589" w:rsidP="00D118EA">
            <w:pPr>
              <w:pStyle w:val="NoSpacing"/>
              <w:rPr>
                <w:rFonts w:ascii="Arial" w:hAnsi="Arial"/>
                <w:sz w:val="44"/>
                <w:lang w:val="en-AU"/>
              </w:rPr>
            </w:pPr>
            <w:bookmarkStart w:id="0" w:name="_Toc279153756"/>
            <w:r w:rsidRPr="00306ED4">
              <w:rPr>
                <w:rFonts w:ascii="Tahoma" w:hAnsi="Tahoma" w:cs="Tahoma"/>
                <w:sz w:val="44"/>
                <w:szCs w:val="24"/>
                <w:lang w:val="en-AU"/>
              </w:rPr>
              <w:t>134</w:t>
            </w:r>
            <w:r>
              <w:rPr>
                <w:rFonts w:ascii="Tahoma" w:hAnsi="Tahoma" w:cs="Tahoma"/>
                <w:sz w:val="44"/>
                <w:szCs w:val="24"/>
                <w:lang w:val="en-AU"/>
              </w:rPr>
              <w:t>8</w:t>
            </w:r>
          </w:p>
          <w:p w:rsidR="00E57589" w:rsidRPr="00050A89" w:rsidRDefault="00E57589" w:rsidP="00D118EA">
            <w:pPr>
              <w:pStyle w:val="NoSpacing"/>
              <w:rPr>
                <w:rFonts w:ascii="Arial" w:hAnsi="Arial"/>
                <w:sz w:val="44"/>
                <w:lang w:val="en-AU"/>
              </w:rPr>
            </w:pPr>
          </w:p>
          <w:p w:rsidR="00E57589" w:rsidRPr="00050A89" w:rsidRDefault="00E57589" w:rsidP="00497463">
            <w:pPr>
              <w:pStyle w:val="NoSpacing"/>
              <w:rPr>
                <w:rFonts w:ascii="Arial" w:hAnsi="Arial"/>
                <w:sz w:val="48"/>
              </w:rPr>
            </w:pPr>
            <w:r>
              <w:rPr>
                <w:rFonts w:ascii="Arial" w:hAnsi="Arial"/>
                <w:sz w:val="44"/>
                <w:lang w:val="en-AU"/>
              </w:rPr>
              <w:t xml:space="preserve">Final </w:t>
            </w:r>
            <w:r w:rsidRPr="00D359B8">
              <w:rPr>
                <w:rFonts w:ascii="Arial" w:hAnsi="Arial"/>
                <w:sz w:val="44"/>
                <w:lang w:val="en-AU"/>
              </w:rPr>
              <w:t xml:space="preserve">Decision Analytical Protocol (DAP) to guide the assessment of </w:t>
            </w:r>
            <w:r>
              <w:rPr>
                <w:rFonts w:ascii="Arial" w:hAnsi="Arial"/>
                <w:sz w:val="44"/>
                <w:lang w:val="en-AU"/>
              </w:rPr>
              <w:t>transcatheter closure of ventricular septal defects</w:t>
            </w:r>
          </w:p>
        </w:tc>
      </w:tr>
      <w:tr w:rsidR="00E57589" w:rsidRPr="00050A89" w:rsidTr="00D118EA">
        <w:tc>
          <w:tcPr>
            <w:tcW w:w="5000" w:type="pct"/>
          </w:tcPr>
          <w:p w:rsidR="00E57589" w:rsidRPr="00050A89" w:rsidRDefault="00C11F35" w:rsidP="00D118EA">
            <w:pPr>
              <w:pStyle w:val="NoSpacing"/>
              <w:jc w:val="both"/>
              <w:rPr>
                <w:rFonts w:ascii="Arial" w:hAnsi="Arial"/>
                <w:sz w:val="32"/>
              </w:rPr>
            </w:pPr>
            <w:r>
              <w:rPr>
                <w:rFonts w:ascii="Arial" w:hAnsi="Arial" w:cs="Arial"/>
                <w:sz w:val="32"/>
                <w:szCs w:val="40"/>
                <w:lang w:val="en-AU"/>
              </w:rPr>
              <w:t>August</w:t>
            </w:r>
            <w:r w:rsidR="00E57589" w:rsidRPr="00050A89">
              <w:rPr>
                <w:rFonts w:ascii="Arial" w:hAnsi="Arial" w:cs="Arial"/>
                <w:sz w:val="32"/>
                <w:szCs w:val="40"/>
                <w:lang w:val="en-AU"/>
              </w:rPr>
              <w:t xml:space="preserve"> 2013</w:t>
            </w:r>
          </w:p>
        </w:tc>
      </w:tr>
    </w:tbl>
    <w:p w:rsidR="00E57589" w:rsidRPr="00050A89" w:rsidRDefault="00E57589" w:rsidP="00D118EA">
      <w:pPr>
        <w:rPr>
          <w:rFonts w:ascii="Arial" w:hAnsi="Arial"/>
        </w:rPr>
      </w:pPr>
    </w:p>
    <w:p w:rsidR="00E57589" w:rsidRPr="00050A89" w:rsidRDefault="00E57589" w:rsidP="00D118EA">
      <w:pPr>
        <w:rPr>
          <w:rFonts w:ascii="Arial" w:hAnsi="Arial"/>
        </w:rPr>
      </w:pPr>
    </w:p>
    <w:p w:rsidR="00E57589" w:rsidRPr="00D118EA" w:rsidRDefault="00E57589" w:rsidP="000901A8">
      <w:pPr>
        <w:rPr>
          <w:rFonts w:ascii="Arial" w:hAnsi="Arial"/>
        </w:rPr>
      </w:pPr>
      <w:r w:rsidRPr="00F32E30">
        <w:rPr>
          <w:rFonts w:ascii="Arial" w:hAnsi="Arial"/>
        </w:rPr>
        <w:br w:type="page"/>
      </w:r>
    </w:p>
    <w:p w:rsidR="00E57589" w:rsidRDefault="00E57589" w:rsidP="00611BC3">
      <w:r>
        <w:lastRenderedPageBreak/>
        <w:t>Table of Contents</w:t>
      </w:r>
    </w:p>
    <w:p w:rsidR="00201CBD" w:rsidRDefault="00E57589">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67181269" w:history="1">
        <w:r w:rsidR="00201CBD" w:rsidRPr="00420142">
          <w:rPr>
            <w:rStyle w:val="Hyperlink"/>
          </w:rPr>
          <w:t>MSAC and PASC</w:t>
        </w:r>
        <w:r w:rsidR="00201CBD">
          <w:rPr>
            <w:webHidden/>
          </w:rPr>
          <w:tab/>
        </w:r>
        <w:r w:rsidR="00201CBD">
          <w:rPr>
            <w:webHidden/>
          </w:rPr>
          <w:fldChar w:fldCharType="begin"/>
        </w:r>
        <w:r w:rsidR="00201CBD">
          <w:rPr>
            <w:webHidden/>
          </w:rPr>
          <w:instrText xml:space="preserve"> PAGEREF _Toc367181269 \h </w:instrText>
        </w:r>
        <w:r w:rsidR="00201CBD">
          <w:rPr>
            <w:webHidden/>
          </w:rPr>
        </w:r>
        <w:r w:rsidR="00201CBD">
          <w:rPr>
            <w:webHidden/>
          </w:rPr>
          <w:fldChar w:fldCharType="separate"/>
        </w:r>
        <w:r w:rsidR="00D172DD">
          <w:rPr>
            <w:webHidden/>
          </w:rPr>
          <w:t>3</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0" w:history="1">
        <w:r w:rsidR="00201CBD" w:rsidRPr="00420142">
          <w:rPr>
            <w:rStyle w:val="Hyperlink"/>
          </w:rPr>
          <w:t>Purpose of this document</w:t>
        </w:r>
        <w:r w:rsidR="00201CBD">
          <w:rPr>
            <w:webHidden/>
          </w:rPr>
          <w:tab/>
        </w:r>
        <w:r w:rsidR="00201CBD">
          <w:rPr>
            <w:webHidden/>
          </w:rPr>
          <w:fldChar w:fldCharType="begin"/>
        </w:r>
        <w:r w:rsidR="00201CBD">
          <w:rPr>
            <w:webHidden/>
          </w:rPr>
          <w:instrText xml:space="preserve"> PAGEREF _Toc367181270 \h </w:instrText>
        </w:r>
        <w:r w:rsidR="00201CBD">
          <w:rPr>
            <w:webHidden/>
          </w:rPr>
        </w:r>
        <w:r w:rsidR="00201CBD">
          <w:rPr>
            <w:webHidden/>
          </w:rPr>
          <w:fldChar w:fldCharType="separate"/>
        </w:r>
        <w:r w:rsidR="00D172DD">
          <w:rPr>
            <w:webHidden/>
          </w:rPr>
          <w:t>3</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71" w:history="1">
        <w:r w:rsidR="00201CBD" w:rsidRPr="00420142">
          <w:rPr>
            <w:rStyle w:val="Hyperlink"/>
          </w:rPr>
          <w:t>Purpose of application</w:t>
        </w:r>
        <w:r w:rsidR="00201CBD">
          <w:rPr>
            <w:webHidden/>
          </w:rPr>
          <w:tab/>
        </w:r>
        <w:r w:rsidR="00201CBD">
          <w:rPr>
            <w:webHidden/>
          </w:rPr>
          <w:fldChar w:fldCharType="begin"/>
        </w:r>
        <w:r w:rsidR="00201CBD">
          <w:rPr>
            <w:webHidden/>
          </w:rPr>
          <w:instrText xml:space="preserve"> PAGEREF _Toc367181271 \h </w:instrText>
        </w:r>
        <w:r w:rsidR="00201CBD">
          <w:rPr>
            <w:webHidden/>
          </w:rPr>
        </w:r>
        <w:r w:rsidR="00201CBD">
          <w:rPr>
            <w:webHidden/>
          </w:rPr>
          <w:fldChar w:fldCharType="separate"/>
        </w:r>
        <w:r w:rsidR="00D172DD">
          <w:rPr>
            <w:webHidden/>
          </w:rPr>
          <w:t>4</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72" w:history="1">
        <w:r w:rsidR="00201CBD" w:rsidRPr="00420142">
          <w:rPr>
            <w:rStyle w:val="Hyperlink"/>
          </w:rPr>
          <w:t>Background</w:t>
        </w:r>
        <w:r w:rsidR="00201CBD">
          <w:rPr>
            <w:webHidden/>
          </w:rPr>
          <w:tab/>
        </w:r>
        <w:r w:rsidR="00201CBD">
          <w:rPr>
            <w:webHidden/>
          </w:rPr>
          <w:fldChar w:fldCharType="begin"/>
        </w:r>
        <w:r w:rsidR="00201CBD">
          <w:rPr>
            <w:webHidden/>
          </w:rPr>
          <w:instrText xml:space="preserve"> PAGEREF _Toc367181272 \h </w:instrText>
        </w:r>
        <w:r w:rsidR="00201CBD">
          <w:rPr>
            <w:webHidden/>
          </w:rPr>
        </w:r>
        <w:r w:rsidR="00201CBD">
          <w:rPr>
            <w:webHidden/>
          </w:rPr>
          <w:fldChar w:fldCharType="separate"/>
        </w:r>
        <w:r w:rsidR="00D172DD">
          <w:rPr>
            <w:webHidden/>
          </w:rPr>
          <w:t>4</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3" w:history="1">
        <w:r w:rsidR="00201CBD" w:rsidRPr="00420142">
          <w:rPr>
            <w:rStyle w:val="Hyperlink"/>
          </w:rPr>
          <w:t>Options for closure</w:t>
        </w:r>
        <w:r w:rsidR="00201CBD">
          <w:rPr>
            <w:webHidden/>
          </w:rPr>
          <w:tab/>
        </w:r>
        <w:r w:rsidR="00201CBD">
          <w:rPr>
            <w:webHidden/>
          </w:rPr>
          <w:fldChar w:fldCharType="begin"/>
        </w:r>
        <w:r w:rsidR="00201CBD">
          <w:rPr>
            <w:webHidden/>
          </w:rPr>
          <w:instrText xml:space="preserve"> PAGEREF _Toc367181273 \h </w:instrText>
        </w:r>
        <w:r w:rsidR="00201CBD">
          <w:rPr>
            <w:webHidden/>
          </w:rPr>
        </w:r>
        <w:r w:rsidR="00201CBD">
          <w:rPr>
            <w:webHidden/>
          </w:rPr>
          <w:fldChar w:fldCharType="separate"/>
        </w:r>
        <w:r w:rsidR="00D172DD">
          <w:rPr>
            <w:webHidden/>
          </w:rPr>
          <w:t>5</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4" w:history="1">
        <w:r w:rsidR="00201CBD" w:rsidRPr="00420142">
          <w:rPr>
            <w:rStyle w:val="Hyperlink"/>
          </w:rPr>
          <w:t>Incidence</w:t>
        </w:r>
        <w:r w:rsidR="00201CBD">
          <w:rPr>
            <w:webHidden/>
          </w:rPr>
          <w:tab/>
        </w:r>
        <w:r w:rsidR="00201CBD">
          <w:rPr>
            <w:webHidden/>
          </w:rPr>
          <w:fldChar w:fldCharType="begin"/>
        </w:r>
        <w:r w:rsidR="00201CBD">
          <w:rPr>
            <w:webHidden/>
          </w:rPr>
          <w:instrText xml:space="preserve"> PAGEREF _Toc367181274 \h </w:instrText>
        </w:r>
        <w:r w:rsidR="00201CBD">
          <w:rPr>
            <w:webHidden/>
          </w:rPr>
        </w:r>
        <w:r w:rsidR="00201CBD">
          <w:rPr>
            <w:webHidden/>
          </w:rPr>
          <w:fldChar w:fldCharType="separate"/>
        </w:r>
        <w:r w:rsidR="00D172DD">
          <w:rPr>
            <w:webHidden/>
          </w:rPr>
          <w:t>6</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5" w:history="1">
        <w:r w:rsidR="00201CBD" w:rsidRPr="00420142">
          <w:rPr>
            <w:rStyle w:val="Hyperlink"/>
          </w:rPr>
          <w:t>Current arrangements for public reimbursement</w:t>
        </w:r>
        <w:r w:rsidR="00201CBD">
          <w:rPr>
            <w:webHidden/>
          </w:rPr>
          <w:tab/>
        </w:r>
        <w:r w:rsidR="00201CBD">
          <w:rPr>
            <w:webHidden/>
          </w:rPr>
          <w:fldChar w:fldCharType="begin"/>
        </w:r>
        <w:r w:rsidR="00201CBD">
          <w:rPr>
            <w:webHidden/>
          </w:rPr>
          <w:instrText xml:space="preserve"> PAGEREF _Toc367181275 \h </w:instrText>
        </w:r>
        <w:r w:rsidR="00201CBD">
          <w:rPr>
            <w:webHidden/>
          </w:rPr>
        </w:r>
        <w:r w:rsidR="00201CBD">
          <w:rPr>
            <w:webHidden/>
          </w:rPr>
          <w:fldChar w:fldCharType="separate"/>
        </w:r>
        <w:r w:rsidR="00D172DD">
          <w:rPr>
            <w:webHidden/>
          </w:rPr>
          <w:t>7</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6" w:history="1">
        <w:r w:rsidR="00201CBD" w:rsidRPr="00420142">
          <w:rPr>
            <w:rStyle w:val="Hyperlink"/>
          </w:rPr>
          <w:t>Regulatory status</w:t>
        </w:r>
        <w:r w:rsidR="00201CBD">
          <w:rPr>
            <w:webHidden/>
          </w:rPr>
          <w:tab/>
        </w:r>
        <w:r w:rsidR="00201CBD">
          <w:rPr>
            <w:webHidden/>
          </w:rPr>
          <w:fldChar w:fldCharType="begin"/>
        </w:r>
        <w:r w:rsidR="00201CBD">
          <w:rPr>
            <w:webHidden/>
          </w:rPr>
          <w:instrText xml:space="preserve"> PAGEREF _Toc367181276 \h </w:instrText>
        </w:r>
        <w:r w:rsidR="00201CBD">
          <w:rPr>
            <w:webHidden/>
          </w:rPr>
        </w:r>
        <w:r w:rsidR="00201CBD">
          <w:rPr>
            <w:webHidden/>
          </w:rPr>
          <w:fldChar w:fldCharType="separate"/>
        </w:r>
        <w:r w:rsidR="00D172DD">
          <w:rPr>
            <w:webHidden/>
          </w:rPr>
          <w:t>8</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77" w:history="1">
        <w:r w:rsidR="00201CBD" w:rsidRPr="00420142">
          <w:rPr>
            <w:rStyle w:val="Hyperlink"/>
          </w:rPr>
          <w:t>Patient population</w:t>
        </w:r>
        <w:r w:rsidR="00201CBD">
          <w:rPr>
            <w:webHidden/>
          </w:rPr>
          <w:tab/>
        </w:r>
        <w:r w:rsidR="00201CBD">
          <w:rPr>
            <w:webHidden/>
          </w:rPr>
          <w:fldChar w:fldCharType="begin"/>
        </w:r>
        <w:r w:rsidR="00201CBD">
          <w:rPr>
            <w:webHidden/>
          </w:rPr>
          <w:instrText xml:space="preserve"> PAGEREF _Toc367181277 \h </w:instrText>
        </w:r>
        <w:r w:rsidR="00201CBD">
          <w:rPr>
            <w:webHidden/>
          </w:rPr>
        </w:r>
        <w:r w:rsidR="00201CBD">
          <w:rPr>
            <w:webHidden/>
          </w:rPr>
          <w:fldChar w:fldCharType="separate"/>
        </w:r>
        <w:r w:rsidR="00D172DD">
          <w:rPr>
            <w:webHidden/>
          </w:rPr>
          <w:t>9</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78" w:history="1">
        <w:r w:rsidR="00201CBD" w:rsidRPr="00420142">
          <w:rPr>
            <w:rStyle w:val="Hyperlink"/>
          </w:rPr>
          <w:t>Intervention</w:t>
        </w:r>
        <w:r w:rsidR="00201CBD">
          <w:rPr>
            <w:webHidden/>
          </w:rPr>
          <w:tab/>
        </w:r>
        <w:r w:rsidR="00201CBD">
          <w:rPr>
            <w:webHidden/>
          </w:rPr>
          <w:fldChar w:fldCharType="begin"/>
        </w:r>
        <w:r w:rsidR="00201CBD">
          <w:rPr>
            <w:webHidden/>
          </w:rPr>
          <w:instrText xml:space="preserve"> PAGEREF _Toc367181278 \h </w:instrText>
        </w:r>
        <w:r w:rsidR="00201CBD">
          <w:rPr>
            <w:webHidden/>
          </w:rPr>
        </w:r>
        <w:r w:rsidR="00201CBD">
          <w:rPr>
            <w:webHidden/>
          </w:rPr>
          <w:fldChar w:fldCharType="separate"/>
        </w:r>
        <w:r w:rsidR="00D172DD">
          <w:rPr>
            <w:webHidden/>
          </w:rPr>
          <w:t>9</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79" w:history="1">
        <w:r w:rsidR="00201CBD" w:rsidRPr="00420142">
          <w:rPr>
            <w:rStyle w:val="Hyperlink"/>
          </w:rPr>
          <w:t>Delivery of the intervention</w:t>
        </w:r>
        <w:r w:rsidR="00201CBD">
          <w:rPr>
            <w:webHidden/>
          </w:rPr>
          <w:tab/>
        </w:r>
        <w:r w:rsidR="00201CBD">
          <w:rPr>
            <w:webHidden/>
          </w:rPr>
          <w:fldChar w:fldCharType="begin"/>
        </w:r>
        <w:r w:rsidR="00201CBD">
          <w:rPr>
            <w:webHidden/>
          </w:rPr>
          <w:instrText xml:space="preserve"> PAGEREF _Toc367181279 \h </w:instrText>
        </w:r>
        <w:r w:rsidR="00201CBD">
          <w:rPr>
            <w:webHidden/>
          </w:rPr>
        </w:r>
        <w:r w:rsidR="00201CBD">
          <w:rPr>
            <w:webHidden/>
          </w:rPr>
          <w:fldChar w:fldCharType="separate"/>
        </w:r>
        <w:r w:rsidR="00D172DD">
          <w:rPr>
            <w:webHidden/>
          </w:rPr>
          <w:t>10</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0" w:history="1">
        <w:r w:rsidR="00201CBD" w:rsidRPr="00420142">
          <w:rPr>
            <w:rStyle w:val="Hyperlink"/>
          </w:rPr>
          <w:t>Who will perform the procedure</w:t>
        </w:r>
        <w:r w:rsidR="00201CBD">
          <w:rPr>
            <w:webHidden/>
          </w:rPr>
          <w:tab/>
        </w:r>
        <w:r w:rsidR="00201CBD">
          <w:rPr>
            <w:webHidden/>
          </w:rPr>
          <w:fldChar w:fldCharType="begin"/>
        </w:r>
        <w:r w:rsidR="00201CBD">
          <w:rPr>
            <w:webHidden/>
          </w:rPr>
          <w:instrText xml:space="preserve"> PAGEREF _Toc367181280 \h </w:instrText>
        </w:r>
        <w:r w:rsidR="00201CBD">
          <w:rPr>
            <w:webHidden/>
          </w:rPr>
        </w:r>
        <w:r w:rsidR="00201CBD">
          <w:rPr>
            <w:webHidden/>
          </w:rPr>
          <w:fldChar w:fldCharType="separate"/>
        </w:r>
        <w:r w:rsidR="00D172DD">
          <w:rPr>
            <w:webHidden/>
          </w:rPr>
          <w:t>11</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1" w:history="1">
        <w:r w:rsidR="00201CBD" w:rsidRPr="00420142">
          <w:rPr>
            <w:rStyle w:val="Hyperlink"/>
          </w:rPr>
          <w:t>Co-administered and associated interventions</w:t>
        </w:r>
        <w:r w:rsidR="00201CBD">
          <w:rPr>
            <w:webHidden/>
          </w:rPr>
          <w:tab/>
        </w:r>
        <w:r w:rsidR="00201CBD">
          <w:rPr>
            <w:webHidden/>
          </w:rPr>
          <w:fldChar w:fldCharType="begin"/>
        </w:r>
        <w:r w:rsidR="00201CBD">
          <w:rPr>
            <w:webHidden/>
          </w:rPr>
          <w:instrText xml:space="preserve"> PAGEREF _Toc367181281 \h </w:instrText>
        </w:r>
        <w:r w:rsidR="00201CBD">
          <w:rPr>
            <w:webHidden/>
          </w:rPr>
        </w:r>
        <w:r w:rsidR="00201CBD">
          <w:rPr>
            <w:webHidden/>
          </w:rPr>
          <w:fldChar w:fldCharType="separate"/>
        </w:r>
        <w:r w:rsidR="00D172DD">
          <w:rPr>
            <w:webHidden/>
          </w:rPr>
          <w:t>11</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82" w:history="1">
        <w:r w:rsidR="00201CBD" w:rsidRPr="00420142">
          <w:rPr>
            <w:rStyle w:val="Hyperlink"/>
          </w:rPr>
          <w:t>Listing proposed and options for MSAC consideration</w:t>
        </w:r>
        <w:r w:rsidR="00201CBD">
          <w:rPr>
            <w:webHidden/>
          </w:rPr>
          <w:tab/>
        </w:r>
        <w:r w:rsidR="00201CBD">
          <w:rPr>
            <w:webHidden/>
          </w:rPr>
          <w:fldChar w:fldCharType="begin"/>
        </w:r>
        <w:r w:rsidR="00201CBD">
          <w:rPr>
            <w:webHidden/>
          </w:rPr>
          <w:instrText xml:space="preserve"> PAGEREF _Toc367181282 \h </w:instrText>
        </w:r>
        <w:r w:rsidR="00201CBD">
          <w:rPr>
            <w:webHidden/>
          </w:rPr>
        </w:r>
        <w:r w:rsidR="00201CBD">
          <w:rPr>
            <w:webHidden/>
          </w:rPr>
          <w:fldChar w:fldCharType="separate"/>
        </w:r>
        <w:r w:rsidR="00D172DD">
          <w:rPr>
            <w:webHidden/>
          </w:rPr>
          <w:t>12</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3" w:history="1">
        <w:r w:rsidR="00201CBD" w:rsidRPr="00420142">
          <w:rPr>
            <w:rStyle w:val="Hyperlink"/>
          </w:rPr>
          <w:t>Proposed MBS listing</w:t>
        </w:r>
        <w:r w:rsidR="00201CBD">
          <w:rPr>
            <w:webHidden/>
          </w:rPr>
          <w:tab/>
        </w:r>
        <w:r w:rsidR="00201CBD">
          <w:rPr>
            <w:webHidden/>
          </w:rPr>
          <w:fldChar w:fldCharType="begin"/>
        </w:r>
        <w:r w:rsidR="00201CBD">
          <w:rPr>
            <w:webHidden/>
          </w:rPr>
          <w:instrText xml:space="preserve"> PAGEREF _Toc367181283 \h </w:instrText>
        </w:r>
        <w:r w:rsidR="00201CBD">
          <w:rPr>
            <w:webHidden/>
          </w:rPr>
        </w:r>
        <w:r w:rsidR="00201CBD">
          <w:rPr>
            <w:webHidden/>
          </w:rPr>
          <w:fldChar w:fldCharType="separate"/>
        </w:r>
        <w:r w:rsidR="00D172DD">
          <w:rPr>
            <w:webHidden/>
          </w:rPr>
          <w:t>12</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4" w:history="1">
        <w:r w:rsidR="00201CBD" w:rsidRPr="00420142">
          <w:rPr>
            <w:rStyle w:val="Hyperlink"/>
          </w:rPr>
          <w:t>Clinical place for proposed intervention</w:t>
        </w:r>
        <w:r w:rsidR="00201CBD">
          <w:rPr>
            <w:webHidden/>
          </w:rPr>
          <w:tab/>
        </w:r>
        <w:r w:rsidR="00201CBD">
          <w:rPr>
            <w:webHidden/>
          </w:rPr>
          <w:fldChar w:fldCharType="begin"/>
        </w:r>
        <w:r w:rsidR="00201CBD">
          <w:rPr>
            <w:webHidden/>
          </w:rPr>
          <w:instrText xml:space="preserve"> PAGEREF _Toc367181284 \h </w:instrText>
        </w:r>
        <w:r w:rsidR="00201CBD">
          <w:rPr>
            <w:webHidden/>
          </w:rPr>
        </w:r>
        <w:r w:rsidR="00201CBD">
          <w:rPr>
            <w:webHidden/>
          </w:rPr>
          <w:fldChar w:fldCharType="separate"/>
        </w:r>
        <w:r w:rsidR="00D172DD">
          <w:rPr>
            <w:webHidden/>
          </w:rPr>
          <w:t>13</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85" w:history="1">
        <w:r w:rsidR="00201CBD" w:rsidRPr="00420142">
          <w:rPr>
            <w:rStyle w:val="Hyperlink"/>
          </w:rPr>
          <w:t>Comparator</w:t>
        </w:r>
        <w:r w:rsidR="00201CBD">
          <w:rPr>
            <w:webHidden/>
          </w:rPr>
          <w:tab/>
        </w:r>
        <w:r w:rsidR="00201CBD">
          <w:rPr>
            <w:webHidden/>
          </w:rPr>
          <w:fldChar w:fldCharType="begin"/>
        </w:r>
        <w:r w:rsidR="00201CBD">
          <w:rPr>
            <w:webHidden/>
          </w:rPr>
          <w:instrText xml:space="preserve"> PAGEREF _Toc367181285 \h </w:instrText>
        </w:r>
        <w:r w:rsidR="00201CBD">
          <w:rPr>
            <w:webHidden/>
          </w:rPr>
        </w:r>
        <w:r w:rsidR="00201CBD">
          <w:rPr>
            <w:webHidden/>
          </w:rPr>
          <w:fldChar w:fldCharType="separate"/>
        </w:r>
        <w:r w:rsidR="00D172DD">
          <w:rPr>
            <w:webHidden/>
          </w:rPr>
          <w:t>14</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86" w:history="1">
        <w:r w:rsidR="00201CBD" w:rsidRPr="00420142">
          <w:rPr>
            <w:rStyle w:val="Hyperlink"/>
          </w:rPr>
          <w:t>Clinical claim</w:t>
        </w:r>
        <w:r w:rsidR="00201CBD">
          <w:rPr>
            <w:webHidden/>
          </w:rPr>
          <w:tab/>
        </w:r>
        <w:r w:rsidR="00201CBD">
          <w:rPr>
            <w:webHidden/>
          </w:rPr>
          <w:fldChar w:fldCharType="begin"/>
        </w:r>
        <w:r w:rsidR="00201CBD">
          <w:rPr>
            <w:webHidden/>
          </w:rPr>
          <w:instrText xml:space="preserve"> PAGEREF _Toc367181286 \h </w:instrText>
        </w:r>
        <w:r w:rsidR="00201CBD">
          <w:rPr>
            <w:webHidden/>
          </w:rPr>
        </w:r>
        <w:r w:rsidR="00201CBD">
          <w:rPr>
            <w:webHidden/>
          </w:rPr>
          <w:fldChar w:fldCharType="separate"/>
        </w:r>
        <w:r w:rsidR="00D172DD">
          <w:rPr>
            <w:webHidden/>
          </w:rPr>
          <w:t>16</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87" w:history="1">
        <w:r w:rsidR="00201CBD" w:rsidRPr="00420142">
          <w:rPr>
            <w:rStyle w:val="Hyperlink"/>
          </w:rPr>
          <w:t>Outcomes and health care resources</w:t>
        </w:r>
        <w:r w:rsidR="00201CBD">
          <w:rPr>
            <w:webHidden/>
          </w:rPr>
          <w:tab/>
        </w:r>
        <w:r w:rsidR="00201CBD">
          <w:rPr>
            <w:webHidden/>
          </w:rPr>
          <w:fldChar w:fldCharType="begin"/>
        </w:r>
        <w:r w:rsidR="00201CBD">
          <w:rPr>
            <w:webHidden/>
          </w:rPr>
          <w:instrText xml:space="preserve"> PAGEREF _Toc367181287 \h </w:instrText>
        </w:r>
        <w:r w:rsidR="00201CBD">
          <w:rPr>
            <w:webHidden/>
          </w:rPr>
        </w:r>
        <w:r w:rsidR="00201CBD">
          <w:rPr>
            <w:webHidden/>
          </w:rPr>
          <w:fldChar w:fldCharType="separate"/>
        </w:r>
        <w:r w:rsidR="00D172DD">
          <w:rPr>
            <w:webHidden/>
          </w:rPr>
          <w:t>17</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8" w:history="1">
        <w:r w:rsidR="00201CBD" w:rsidRPr="00420142">
          <w:rPr>
            <w:rStyle w:val="Hyperlink"/>
          </w:rPr>
          <w:t>Outcomes</w:t>
        </w:r>
        <w:r w:rsidR="00201CBD">
          <w:rPr>
            <w:webHidden/>
          </w:rPr>
          <w:tab/>
        </w:r>
        <w:r w:rsidR="00201CBD">
          <w:rPr>
            <w:webHidden/>
          </w:rPr>
          <w:fldChar w:fldCharType="begin"/>
        </w:r>
        <w:r w:rsidR="00201CBD">
          <w:rPr>
            <w:webHidden/>
          </w:rPr>
          <w:instrText xml:space="preserve"> PAGEREF _Toc367181288 \h </w:instrText>
        </w:r>
        <w:r w:rsidR="00201CBD">
          <w:rPr>
            <w:webHidden/>
          </w:rPr>
        </w:r>
        <w:r w:rsidR="00201CBD">
          <w:rPr>
            <w:webHidden/>
          </w:rPr>
          <w:fldChar w:fldCharType="separate"/>
        </w:r>
        <w:r w:rsidR="00D172DD">
          <w:rPr>
            <w:webHidden/>
          </w:rPr>
          <w:t>17</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89" w:history="1">
        <w:r w:rsidR="00201CBD" w:rsidRPr="00420142">
          <w:rPr>
            <w:rStyle w:val="Hyperlink"/>
          </w:rPr>
          <w:t>Health care resources</w:t>
        </w:r>
        <w:r w:rsidR="00201CBD">
          <w:rPr>
            <w:webHidden/>
          </w:rPr>
          <w:tab/>
        </w:r>
        <w:r w:rsidR="00201CBD">
          <w:rPr>
            <w:webHidden/>
          </w:rPr>
          <w:fldChar w:fldCharType="begin"/>
        </w:r>
        <w:r w:rsidR="00201CBD">
          <w:rPr>
            <w:webHidden/>
          </w:rPr>
          <w:instrText xml:space="preserve"> PAGEREF _Toc367181289 \h </w:instrText>
        </w:r>
        <w:r w:rsidR="00201CBD">
          <w:rPr>
            <w:webHidden/>
          </w:rPr>
        </w:r>
        <w:r w:rsidR="00201CBD">
          <w:rPr>
            <w:webHidden/>
          </w:rPr>
          <w:fldChar w:fldCharType="separate"/>
        </w:r>
        <w:r w:rsidR="00D172DD">
          <w:rPr>
            <w:webHidden/>
          </w:rPr>
          <w:t>18</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90" w:history="1">
        <w:r w:rsidR="00201CBD" w:rsidRPr="00420142">
          <w:rPr>
            <w:rStyle w:val="Hyperlink"/>
          </w:rPr>
          <w:t>Proposed structure of economic evaluation (decision-analytic)</w:t>
        </w:r>
        <w:r w:rsidR="00201CBD">
          <w:rPr>
            <w:webHidden/>
          </w:rPr>
          <w:tab/>
        </w:r>
        <w:r w:rsidR="00201CBD">
          <w:rPr>
            <w:webHidden/>
          </w:rPr>
          <w:fldChar w:fldCharType="begin"/>
        </w:r>
        <w:r w:rsidR="00201CBD">
          <w:rPr>
            <w:webHidden/>
          </w:rPr>
          <w:instrText xml:space="preserve"> PAGEREF _Toc367181290 \h </w:instrText>
        </w:r>
        <w:r w:rsidR="00201CBD">
          <w:rPr>
            <w:webHidden/>
          </w:rPr>
        </w:r>
        <w:r w:rsidR="00201CBD">
          <w:rPr>
            <w:webHidden/>
          </w:rPr>
          <w:fldChar w:fldCharType="separate"/>
        </w:r>
        <w:r w:rsidR="00D172DD">
          <w:rPr>
            <w:webHidden/>
          </w:rPr>
          <w:t>19</w:t>
        </w:r>
        <w:r w:rsidR="00201CBD">
          <w:rPr>
            <w:webHidden/>
          </w:rPr>
          <w:fldChar w:fldCharType="end"/>
        </w:r>
      </w:hyperlink>
    </w:p>
    <w:p w:rsidR="00201CBD" w:rsidRDefault="00497463">
      <w:pPr>
        <w:pStyle w:val="TOC1"/>
        <w:rPr>
          <w:rFonts w:asciiTheme="minorHAnsi" w:eastAsiaTheme="minorEastAsia" w:hAnsiTheme="minorHAnsi" w:cstheme="minorBidi"/>
          <w:b w:val="0"/>
          <w:sz w:val="22"/>
          <w:szCs w:val="22"/>
          <w:lang w:eastAsia="en-AU"/>
        </w:rPr>
      </w:pPr>
      <w:hyperlink w:anchor="_Toc367181291" w:history="1">
        <w:r w:rsidR="00201CBD" w:rsidRPr="00420142">
          <w:rPr>
            <w:rStyle w:val="Hyperlink"/>
          </w:rPr>
          <w:t>Clinical research questions for public funding</w:t>
        </w:r>
        <w:r w:rsidR="00201CBD">
          <w:rPr>
            <w:webHidden/>
          </w:rPr>
          <w:tab/>
        </w:r>
        <w:r w:rsidR="00201CBD">
          <w:rPr>
            <w:webHidden/>
          </w:rPr>
          <w:fldChar w:fldCharType="begin"/>
        </w:r>
        <w:r w:rsidR="00201CBD">
          <w:rPr>
            <w:webHidden/>
          </w:rPr>
          <w:instrText xml:space="preserve"> PAGEREF _Toc367181291 \h </w:instrText>
        </w:r>
        <w:r w:rsidR="00201CBD">
          <w:rPr>
            <w:webHidden/>
          </w:rPr>
        </w:r>
        <w:r w:rsidR="00201CBD">
          <w:rPr>
            <w:webHidden/>
          </w:rPr>
          <w:fldChar w:fldCharType="separate"/>
        </w:r>
        <w:r w:rsidR="00D172DD">
          <w:rPr>
            <w:webHidden/>
          </w:rPr>
          <w:t>19</w:t>
        </w:r>
        <w:r w:rsidR="00201CBD">
          <w:rPr>
            <w:webHidden/>
          </w:rPr>
          <w:fldChar w:fldCharType="end"/>
        </w:r>
      </w:hyperlink>
    </w:p>
    <w:p w:rsidR="00201CBD" w:rsidRDefault="00497463">
      <w:pPr>
        <w:pStyle w:val="TOC2"/>
        <w:rPr>
          <w:rFonts w:asciiTheme="minorHAnsi" w:eastAsiaTheme="minorEastAsia" w:hAnsiTheme="minorHAnsi" w:cstheme="minorBidi"/>
          <w:sz w:val="22"/>
          <w:szCs w:val="22"/>
          <w:lang w:val="en-AU" w:eastAsia="en-AU"/>
        </w:rPr>
      </w:pPr>
      <w:hyperlink w:anchor="_Toc367181292" w:history="1">
        <w:r w:rsidR="00201CBD" w:rsidRPr="00420142">
          <w:rPr>
            <w:rStyle w:val="Hyperlink"/>
          </w:rPr>
          <w:t>Decision analytic diagram</w:t>
        </w:r>
        <w:r w:rsidR="00201CBD">
          <w:rPr>
            <w:webHidden/>
          </w:rPr>
          <w:tab/>
        </w:r>
        <w:r w:rsidR="00201CBD">
          <w:rPr>
            <w:webHidden/>
          </w:rPr>
          <w:fldChar w:fldCharType="begin"/>
        </w:r>
        <w:r w:rsidR="00201CBD">
          <w:rPr>
            <w:webHidden/>
          </w:rPr>
          <w:instrText xml:space="preserve"> PAGEREF _Toc367181292 \h </w:instrText>
        </w:r>
        <w:r w:rsidR="00201CBD">
          <w:rPr>
            <w:webHidden/>
          </w:rPr>
        </w:r>
        <w:r w:rsidR="00201CBD">
          <w:rPr>
            <w:webHidden/>
          </w:rPr>
          <w:fldChar w:fldCharType="separate"/>
        </w:r>
        <w:r w:rsidR="00D172DD">
          <w:rPr>
            <w:webHidden/>
          </w:rPr>
          <w:t>19</w:t>
        </w:r>
        <w:r w:rsidR="00201CBD">
          <w:rPr>
            <w:webHidden/>
          </w:rPr>
          <w:fldChar w:fldCharType="end"/>
        </w:r>
      </w:hyperlink>
    </w:p>
    <w:p w:rsidR="00E57589" w:rsidRDefault="00E57589">
      <w:r>
        <w:fldChar w:fldCharType="end"/>
      </w:r>
    </w:p>
    <w:p w:rsidR="00E57589" w:rsidRPr="00A34E9C" w:rsidRDefault="00E57589" w:rsidP="000901A8"/>
    <w:p w:rsidR="00E57589" w:rsidRPr="00A34E9C" w:rsidRDefault="00E57589" w:rsidP="000901A8">
      <w:r w:rsidRPr="00A34E9C">
        <w:br w:type="page"/>
      </w:r>
    </w:p>
    <w:p w:rsidR="00E57589" w:rsidRPr="00A34E9C" w:rsidRDefault="00E57589" w:rsidP="000901A8">
      <w:pPr>
        <w:pStyle w:val="Heading1"/>
      </w:pPr>
      <w:bookmarkStart w:id="1" w:name="_Toc358036523"/>
      <w:bookmarkStart w:id="2" w:name="_Toc367181269"/>
      <w:bookmarkEnd w:id="0"/>
      <w:r w:rsidRPr="00A34E9C">
        <w:lastRenderedPageBreak/>
        <w:t>MSAC and PASC</w:t>
      </w:r>
      <w:bookmarkEnd w:id="1"/>
      <w:bookmarkEnd w:id="2"/>
    </w:p>
    <w:p w:rsidR="00E57589" w:rsidRPr="00A34E9C" w:rsidRDefault="00E57589" w:rsidP="000901A8">
      <w:r w:rsidRPr="00A34E9C">
        <w:t xml:space="preserve">The Medical Services Advisory Committee (MSAC) is an independent expert committee appointed by the Australian Government Health Minister to strengthen the role of evidence in health financing decisions in </w:t>
      </w:r>
      <w:smartTag w:uri="urn:schemas-microsoft-com:office:smarttags" w:element="place">
        <w:smartTag w:uri="urn:schemas-microsoft-com:office:smarttags" w:element="country-region">
          <w:r w:rsidRPr="00A34E9C">
            <w:t>Australia</w:t>
          </w:r>
        </w:smartTag>
      </w:smartTag>
      <w:r w:rsidRPr="00A34E9C">
        <w:t>. MSAC advises the Commonwealt</w:t>
      </w:r>
      <w:r>
        <w:t>h Minister for Health</w:t>
      </w:r>
      <w:r w:rsidRPr="00A34E9C">
        <w:t xml:space="preserve"> on the evidence relating to the safety, effectiveness, and cost-effectiveness of new and existing medical technologies and procedures and under what circumstances public funding should be supported.</w:t>
      </w:r>
    </w:p>
    <w:p w:rsidR="00E57589" w:rsidRPr="000901A8" w:rsidRDefault="00E57589" w:rsidP="000901A8">
      <w:r w:rsidRPr="000901A8">
        <w:t>The Protocol Advisory Sub-Committee (PASC) is a standing sub-committee of MSAC. Its primary objective is the determination of protocols to guide clinical and economic assessments of medical interventions proposed for public funding.</w:t>
      </w:r>
    </w:p>
    <w:p w:rsidR="00E57589" w:rsidRPr="00A34E9C" w:rsidRDefault="00E57589" w:rsidP="000901A8">
      <w:pPr>
        <w:pStyle w:val="Heading2"/>
      </w:pPr>
      <w:bookmarkStart w:id="3" w:name="_Toc358036524"/>
      <w:bookmarkStart w:id="4" w:name="_Toc367181270"/>
      <w:r w:rsidRPr="00A34E9C">
        <w:t>Purpose of this document</w:t>
      </w:r>
      <w:bookmarkEnd w:id="3"/>
      <w:bookmarkEnd w:id="4"/>
    </w:p>
    <w:p w:rsidR="00E57589" w:rsidRPr="00A34E9C" w:rsidRDefault="00E57589" w:rsidP="000901A8">
      <w:r w:rsidRPr="00A34E9C">
        <w:t>This documen</w:t>
      </w:r>
      <w:r>
        <w:t>t is intended to provide a consultation</w:t>
      </w:r>
      <w:r w:rsidRPr="00A34E9C">
        <w:t xml:space="preserve"> decision analytic protocol that will be used to guide the assessment of an intervention for a particular p</w:t>
      </w:r>
      <w:r>
        <w:t>opulation of patients. The consultation</w:t>
      </w:r>
      <w:r w:rsidRPr="00A34E9C">
        <w:t xml:space="preserve"> protocol will be finalised after inviting relevant stakeholders to provide input to the protocol. The final protocol will provide the basis for the assessment of the intervention.</w:t>
      </w:r>
    </w:p>
    <w:p w:rsidR="00E57589" w:rsidRPr="00A34E9C" w:rsidRDefault="00E57589"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E57589" w:rsidRPr="00A34E9C" w:rsidRDefault="00E57589" w:rsidP="000901A8">
      <w:pPr>
        <w:pStyle w:val="ListParagraph"/>
      </w:pPr>
      <w:r w:rsidRPr="00A34E9C">
        <w:rPr>
          <w:b/>
          <w:u w:val="single"/>
        </w:rPr>
        <w:t>P</w:t>
      </w:r>
      <w:r w:rsidRPr="00A34E9C">
        <w:t>atients – specification of the characteristics of the patients in whom the intervention is to be considered for use;</w:t>
      </w:r>
    </w:p>
    <w:p w:rsidR="00E57589" w:rsidRPr="00A34E9C" w:rsidRDefault="00E57589" w:rsidP="000901A8">
      <w:pPr>
        <w:pStyle w:val="ListParagraph"/>
      </w:pPr>
      <w:r w:rsidRPr="00A34E9C">
        <w:rPr>
          <w:b/>
          <w:u w:val="single"/>
        </w:rPr>
        <w:t>I</w:t>
      </w:r>
      <w:r w:rsidRPr="00A34E9C">
        <w:t>ntervention – specification of the proposed intervention</w:t>
      </w:r>
    </w:p>
    <w:p w:rsidR="00E57589" w:rsidRPr="00A34E9C" w:rsidRDefault="00E57589" w:rsidP="000901A8">
      <w:pPr>
        <w:pStyle w:val="ListParagraph"/>
      </w:pPr>
      <w:r w:rsidRPr="00A34E9C">
        <w:rPr>
          <w:b/>
          <w:u w:val="single"/>
        </w:rPr>
        <w:t>C</w:t>
      </w:r>
      <w:r w:rsidRPr="00A34E9C">
        <w:t>omparator – specification of the therapy most likely to be replaced by the proposed intervention</w:t>
      </w:r>
    </w:p>
    <w:p w:rsidR="00E57589" w:rsidRPr="00A34E9C" w:rsidRDefault="00E57589"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E57589" w:rsidRPr="00A34E9C" w:rsidRDefault="00E57589" w:rsidP="000901A8">
      <w:pPr>
        <w:rPr>
          <w:color w:val="215868"/>
          <w:szCs w:val="32"/>
        </w:rPr>
      </w:pPr>
      <w:r w:rsidRPr="00A34E9C">
        <w:br w:type="page"/>
      </w:r>
    </w:p>
    <w:p w:rsidR="00E57589" w:rsidRPr="000901A8" w:rsidRDefault="00E57589" w:rsidP="000901A8">
      <w:pPr>
        <w:pStyle w:val="Heading1"/>
      </w:pPr>
      <w:bookmarkStart w:id="5" w:name="_Toc358036525"/>
      <w:bookmarkStart w:id="6" w:name="_Toc367181271"/>
      <w:r w:rsidRPr="000901A8">
        <w:lastRenderedPageBreak/>
        <w:t>Purpose of application</w:t>
      </w:r>
      <w:bookmarkEnd w:id="5"/>
      <w:bookmarkEnd w:id="6"/>
    </w:p>
    <w:p w:rsidR="00E57589" w:rsidRPr="008853D7" w:rsidRDefault="00E57589" w:rsidP="00B440C1">
      <w:pPr>
        <w:spacing w:line="360" w:lineRule="auto"/>
      </w:pPr>
      <w:r w:rsidRPr="008853D7">
        <w:t xml:space="preserve">A proposal for an application requesting Medicare Benefits Schedule (MBS) listing of transcatheter closure of ventricular septal defect (VSD) was received from the Cardiac Society of Australia and New Zealand (CSANZ) by the Department of Health and Ageing in December 2012.  The proposal relates to </w:t>
      </w:r>
      <w:r>
        <w:t>t</w:t>
      </w:r>
      <w:r w:rsidRPr="008A0AEF">
        <w:t xml:space="preserve">ranscatheter closure of a </w:t>
      </w:r>
      <w:r>
        <w:t>VSD</w:t>
      </w:r>
      <w:r w:rsidRPr="008A0AEF">
        <w:t xml:space="preserve"> (perimembranous and muscular) </w:t>
      </w:r>
      <w:r w:rsidRPr="008853D7">
        <w:t xml:space="preserve">that the CSANZ claims has become a well-established alternative therapy for treatment of VSDs.  However, there are no MBS items available for </w:t>
      </w:r>
      <w:r>
        <w:t>the proposed medical procedure</w:t>
      </w:r>
      <w:r w:rsidRPr="008853D7">
        <w:t>.</w:t>
      </w:r>
    </w:p>
    <w:p w:rsidR="00E57589" w:rsidRDefault="00E57589" w:rsidP="00AC07F7">
      <w:pPr>
        <w:pStyle w:val="Heading1"/>
      </w:pPr>
      <w:bookmarkStart w:id="7" w:name="_Toc358036526"/>
      <w:bookmarkStart w:id="8" w:name="_Toc367181272"/>
      <w:r>
        <w:t>Background</w:t>
      </w:r>
      <w:bookmarkEnd w:id="7"/>
      <w:bookmarkEnd w:id="8"/>
    </w:p>
    <w:p w:rsidR="00E57589" w:rsidRDefault="00E57589" w:rsidP="00B440C1">
      <w:pPr>
        <w:spacing w:line="360" w:lineRule="auto"/>
        <w:ind w:right="-113"/>
      </w:pPr>
      <w:r>
        <w:t>A VSD</w:t>
      </w:r>
      <w:r w:rsidRPr="00513962">
        <w:t xml:space="preserve"> is a hole in the ventricular septum between the left ventricle and the right ventricle.  </w:t>
      </w:r>
      <w:r>
        <w:t xml:space="preserve">It can occur as a congenital defect or can be acquired in the setting of an acute myocardial infarction (MI), trauma or iatrogenic following aortic valve replacement or myomyectomy (Spies 2010).  While the proposal relates to transcatheter closure of VSDs, clinical advice indicates that hybrid closure is also an option for occlusion of VSDs and will therefore be included in the assessment. </w:t>
      </w:r>
    </w:p>
    <w:p w:rsidR="00E57589" w:rsidRDefault="00E57589" w:rsidP="00B440C1">
      <w:pPr>
        <w:spacing w:line="360" w:lineRule="auto"/>
        <w:ind w:right="-113"/>
      </w:pPr>
      <w:r>
        <w:t xml:space="preserve">This assessment will focus on the main patient population those with congenital defects.  There is a small adult patient population with VSDs acquired following MIs (less than 0.2%) or other cardiac surgery.  The majority of these patients are likely to present in emergency situations and may be more suited to open surgery.  For these reasons, and following clinical advice that in </w:t>
      </w:r>
      <w:smartTag w:uri="urn:schemas-microsoft-com:office:smarttags" w:element="place">
        <w:smartTag w:uri="urn:schemas-microsoft-com:office:smarttags" w:element="country-region">
          <w:r>
            <w:t>Australia</w:t>
          </w:r>
        </w:smartTag>
      </w:smartTag>
      <w:r>
        <w:t xml:space="preserve"> these patients are more likely to be treated via open surgery, the patient group with acquired VSDs will not be considered as part of this assessment.</w:t>
      </w:r>
    </w:p>
    <w:p w:rsidR="00E57589" w:rsidRPr="00F93A7B" w:rsidRDefault="00E57589" w:rsidP="008316F6">
      <w:pPr>
        <w:ind w:right="-113"/>
        <w:rPr>
          <w:b/>
          <w:color w:val="365F91"/>
          <w:sz w:val="18"/>
          <w:szCs w:val="18"/>
        </w:rPr>
      </w:pPr>
      <w:r w:rsidRPr="00F93A7B">
        <w:rPr>
          <w:b/>
          <w:color w:val="365F91"/>
          <w:sz w:val="18"/>
          <w:szCs w:val="18"/>
        </w:rPr>
        <w:t>Congenital VSDs</w:t>
      </w:r>
    </w:p>
    <w:p w:rsidR="00E57589" w:rsidRPr="00615481" w:rsidRDefault="00E57589" w:rsidP="00B440C1">
      <w:pPr>
        <w:spacing w:line="360" w:lineRule="auto"/>
        <w:ind w:right="-113"/>
      </w:pPr>
      <w:r>
        <w:t>T</w:t>
      </w:r>
      <w:r w:rsidRPr="00615481">
        <w:t xml:space="preserve">he most common </w:t>
      </w:r>
      <w:r>
        <w:t xml:space="preserve">form of </w:t>
      </w:r>
      <w:r w:rsidRPr="00615481">
        <w:t>congenital heart defects</w:t>
      </w:r>
      <w:r>
        <w:t xml:space="preserve"> in children are VSDs</w:t>
      </w:r>
      <w:r w:rsidRPr="00615481">
        <w:t xml:space="preserve">.  </w:t>
      </w:r>
      <w:r>
        <w:t>They may</w:t>
      </w:r>
      <w:r w:rsidRPr="00615481">
        <w:t xml:space="preserve"> occur </w:t>
      </w:r>
      <w:r>
        <w:t>alone</w:t>
      </w:r>
      <w:r w:rsidRPr="00615481">
        <w:t xml:space="preserve"> or with other congenital diseases.</w:t>
      </w:r>
      <w:r>
        <w:t xml:space="preserve">  </w:t>
      </w:r>
      <w:r w:rsidRPr="00615481">
        <w:t>Before a baby is born, the right and left ventricles of its heart are not separate.  As the f</w:t>
      </w:r>
      <w:r>
        <w:t>o</w:t>
      </w:r>
      <w:r w:rsidRPr="00615481">
        <w:t>etus grows, a wall forms to separate these two ventricles</w:t>
      </w:r>
      <w:r>
        <w:t>; i</w:t>
      </w:r>
      <w:r w:rsidRPr="00615481">
        <w:t>f the wall does not completely form,</w:t>
      </w:r>
      <w:r>
        <w:t xml:space="preserve"> one or more holes remain</w:t>
      </w:r>
      <w:r w:rsidRPr="00615481">
        <w:t xml:space="preserve">.  </w:t>
      </w:r>
      <w:r>
        <w:t xml:space="preserve">The most common type of VSD is the perimembranous type that account for approximately 80% of all cases.  The remaining 20% are muscular VSDs, which can be further subdivided into inlet, trabecular and infundibular defects depending on location.  </w:t>
      </w:r>
    </w:p>
    <w:p w:rsidR="00E57589" w:rsidRDefault="00E57589" w:rsidP="00B440C1">
      <w:pPr>
        <w:spacing w:line="360" w:lineRule="auto"/>
      </w:pPr>
      <w:r>
        <w:t>VSDs are usually diagnosed early in life due to detectable levels of heart murmur.  There is also a good chance that both per</w:t>
      </w:r>
      <w:r w:rsidR="003D388E">
        <w:t>i</w:t>
      </w:r>
      <w:r>
        <w:t xml:space="preserve">membranous and muscular VSDs may close spontaneously in the first few years of life.  Large, unrestricted VSDs lead to congestive heart failure, which, if left untreated will eventually lead to pulmonary arterial hypertension.  Patients with smaller or restrictive VSDs may not have symptoms and are usually monitored medically.  If the defect closes spontaneously no further intervention is warranted.  Closure of symptomatic non-restrictive VSD is indicated in infancy.  </w:t>
      </w:r>
      <w:r>
        <w:lastRenderedPageBreak/>
        <w:t>Patients commonly present with signs and symptoms of heart failure.  These symptoms include poor growth, tachypnoea, tachycardia and diaphoresis (Spies 2010).</w:t>
      </w:r>
    </w:p>
    <w:p w:rsidR="00E57589" w:rsidRDefault="00E57589" w:rsidP="00B440C1">
      <w:pPr>
        <w:spacing w:line="360" w:lineRule="auto"/>
      </w:pPr>
      <w:r>
        <w:t>Large unrestricted VSDs are rarely diagnosed in adulthood.  If a small VSD persists into adulthood, closure is necessary for the following indications:  left ventricular and/or left atrial volume overload, history of infective endocarditis or development of aortic insufficiency caused by the VSD</w:t>
      </w:r>
      <w:r w:rsidRPr="003F3BD5">
        <w:t>.</w:t>
      </w:r>
      <w:r>
        <w:t xml:space="preserve"> Measurement of cardiac shunting by calculation of Qp/Qs ratio can be an indication for VSD repair. However, there are discrepancies in the literature in the value of relying on the calculation of the Qp/Qs ratio. Thoracic echocardiography (TEE) is the best diagnostic tool to assess the size of the left atrium and ventricle (Spies 2010).</w:t>
      </w:r>
    </w:p>
    <w:p w:rsidR="00E57589" w:rsidRPr="00F93A7B" w:rsidRDefault="00E57589" w:rsidP="00615481">
      <w:pPr>
        <w:rPr>
          <w:b/>
          <w:color w:val="365F91"/>
          <w:sz w:val="18"/>
          <w:szCs w:val="18"/>
        </w:rPr>
      </w:pPr>
      <w:r w:rsidRPr="00F93A7B">
        <w:rPr>
          <w:b/>
          <w:color w:val="365F91"/>
          <w:sz w:val="18"/>
          <w:szCs w:val="18"/>
        </w:rPr>
        <w:t>Acquired VSDs</w:t>
      </w:r>
    </w:p>
    <w:p w:rsidR="00E57589" w:rsidRDefault="00E57589" w:rsidP="00B440C1">
      <w:pPr>
        <w:spacing w:line="360" w:lineRule="auto"/>
      </w:pPr>
      <w:r>
        <w:t xml:space="preserve">The second form of VSD may be acquired as a complication of myocardial infarction or, rarely, cardiac surgery (e.g., septal myomectomy, aortic valve replacemet).)  Post MI VSDs occur in less than 0.2% of cases (Spies 2010).  The mortality and morbidity of this condition left untreated is estimated to be greater than 90%.  Patient selection and timing of the procedure appear to be critical to a successful outcome.  </w:t>
      </w:r>
      <w:r w:rsidRPr="0086121B">
        <w:t>The decision to proceed to percutaneous or surgical intervention in any particular institution is made with consideration to the clinical state of the patient, urgency of treatment, experience of the cardiology team in performing the procedure, and after discussion between the surgical and cardiology teams.</w:t>
      </w:r>
      <w:r>
        <w:t xml:space="preserve">  However, clinical advice is that in Australia these patients are most likely to be treated via open surgery rather than transcatheter approach, and acquired VSDs will not be considered further in this DAP.  </w:t>
      </w:r>
    </w:p>
    <w:p w:rsidR="00E57589" w:rsidRPr="00F93A7B" w:rsidRDefault="00E57589" w:rsidP="00507A66">
      <w:pPr>
        <w:pStyle w:val="Heading2"/>
        <w:rPr>
          <w:color w:val="365F91"/>
          <w:sz w:val="18"/>
          <w:szCs w:val="18"/>
        </w:rPr>
      </w:pPr>
      <w:bookmarkStart w:id="9" w:name="_Toc367181273"/>
      <w:bookmarkStart w:id="10" w:name="_Toc358036527"/>
      <w:r>
        <w:rPr>
          <w:color w:val="365F91"/>
          <w:sz w:val="18"/>
          <w:szCs w:val="18"/>
        </w:rPr>
        <w:t xml:space="preserve">Options </w:t>
      </w:r>
      <w:r w:rsidRPr="00F93A7B">
        <w:rPr>
          <w:color w:val="365F91"/>
          <w:sz w:val="18"/>
          <w:szCs w:val="18"/>
        </w:rPr>
        <w:t>for closure</w:t>
      </w:r>
      <w:bookmarkEnd w:id="9"/>
    </w:p>
    <w:p w:rsidR="00E57589" w:rsidRDefault="00E57589" w:rsidP="00892D8C">
      <w:pPr>
        <w:spacing w:line="360" w:lineRule="auto"/>
        <w:rPr>
          <w:lang w:eastAsia="ja-JP"/>
        </w:rPr>
      </w:pPr>
      <w:r>
        <w:rPr>
          <w:lang w:eastAsia="ja-JP"/>
        </w:rPr>
        <w:t>The method and timing of closure are dependent on the type of VSD and symptoms presenting in the patient.  All defects should be assessed for location, size and multiplicity.  The relationship of the defect to atrioventricular valves, infundibular septum and great artery should be noted.</w:t>
      </w:r>
    </w:p>
    <w:p w:rsidR="00E57589" w:rsidRDefault="00E57589" w:rsidP="00892D8C">
      <w:pPr>
        <w:spacing w:line="360" w:lineRule="auto"/>
        <w:rPr>
          <w:lang w:eastAsia="ja-JP"/>
        </w:rPr>
      </w:pPr>
      <w:r>
        <w:rPr>
          <w:lang w:eastAsia="ja-JP"/>
        </w:rPr>
        <w:t>Surgical VSD closure remains the gold standard for the treatment of most VSDs (Spies 2010).  As surgery remains the treatment of choice for inlet and sub arterial VSDs, these subgroups will not be included in the assessment.</w:t>
      </w:r>
    </w:p>
    <w:p w:rsidR="00E57589" w:rsidRDefault="00E57589" w:rsidP="00892D8C">
      <w:pPr>
        <w:spacing w:line="360" w:lineRule="auto"/>
      </w:pPr>
      <w:r>
        <w:rPr>
          <w:lang w:eastAsia="ja-JP"/>
        </w:rPr>
        <w:t xml:space="preserve">Transcatheter closure, as opposed to surgical closure, is likely to be considered in patients with muscular defects especially if the VSD is remote for the tricuspid and aortic valves.  It may be an option for patients with residual defects after surgical closure of VSD or patients with iatrogenic defects after aortic valve replacement surgery or myomyectomy.  Transcatheter closure of perimembranous VSD is possible; however the risk of complete heart block is high at approximately </w:t>
      </w:r>
      <w:r>
        <w:rPr>
          <w:lang w:eastAsia="ja-JP"/>
        </w:rPr>
        <w:lastRenderedPageBreak/>
        <w:t>5% to 6% (Spies 2010).</w:t>
      </w:r>
      <w:r w:rsidRPr="00AB7DEF">
        <w:rPr>
          <w:lang w:eastAsia="ja-JP"/>
        </w:rPr>
        <w:t xml:space="preserve"> </w:t>
      </w:r>
      <w:r>
        <w:rPr>
          <w:lang w:eastAsia="ja-JP"/>
        </w:rPr>
        <w:t xml:space="preserve">Clinical advice is that for this reason in Australia at present, </w:t>
      </w:r>
      <w:r>
        <w:t>perimembranous VSDs are being closed surgically.</w:t>
      </w:r>
      <w:r w:rsidRPr="00B2426B">
        <w:t xml:space="preserve"> </w:t>
      </w:r>
    </w:p>
    <w:p w:rsidR="00E57589" w:rsidRPr="00B2426B" w:rsidRDefault="00E57589" w:rsidP="00892D8C">
      <w:pPr>
        <w:spacing w:line="360" w:lineRule="auto"/>
      </w:pPr>
      <w:r>
        <w:t>New devices are currently being designed and trialled which may prove suitable for closure of the perimembranous VSD.</w:t>
      </w:r>
    </w:p>
    <w:p w:rsidR="00E57589" w:rsidRDefault="00E57589" w:rsidP="00892D8C">
      <w:pPr>
        <w:spacing w:line="360" w:lineRule="auto"/>
        <w:rPr>
          <w:lang w:eastAsia="ja-JP"/>
        </w:rPr>
      </w:pPr>
      <w:r>
        <w:rPr>
          <w:lang w:eastAsia="ja-JP"/>
        </w:rPr>
        <w:t xml:space="preserve">At present a subgroup of patients may undergo hybrid surgery. </w:t>
      </w:r>
      <w:r>
        <w:t xml:space="preserve">Hybrid techniques are especially useful when open surgical intervention alone is not achieving a satisfactory outcome and/or when the combination of two fields results in less invasive trauma to the patient. </w:t>
      </w:r>
      <w:r>
        <w:rPr>
          <w:lang w:eastAsia="ja-JP"/>
        </w:rPr>
        <w:t xml:space="preserve"> The hybrid technique allows</w:t>
      </w:r>
      <w:r w:rsidRPr="009E002D">
        <w:rPr>
          <w:lang w:eastAsia="ja-JP"/>
        </w:rPr>
        <w:t xml:space="preserve"> </w:t>
      </w:r>
      <w:r>
        <w:rPr>
          <w:lang w:eastAsia="ja-JP"/>
        </w:rPr>
        <w:t>the occlusion of VSDs by a device, with the use of a minimally invasive techniques, during an otherwise open procedure. Hybrid surgery may be performed in paediatric patients, patients with poor vascular access or the presence of other cardiac defects requiring simultaneous repair (Emile 2005). It may also be an option for patients after unsuccessful surgical or transcatheter closure.</w:t>
      </w:r>
    </w:p>
    <w:p w:rsidR="00E57589" w:rsidRPr="00F93A7B" w:rsidRDefault="00E57589" w:rsidP="00507A66">
      <w:pPr>
        <w:pStyle w:val="Heading2"/>
        <w:rPr>
          <w:color w:val="365F91"/>
        </w:rPr>
      </w:pPr>
      <w:bookmarkStart w:id="11" w:name="_Toc367181274"/>
      <w:r w:rsidRPr="00F93A7B">
        <w:rPr>
          <w:color w:val="365F91"/>
        </w:rPr>
        <w:t>Incidence</w:t>
      </w:r>
      <w:bookmarkEnd w:id="10"/>
      <w:bookmarkEnd w:id="11"/>
    </w:p>
    <w:p w:rsidR="00E57589" w:rsidRDefault="00E57589" w:rsidP="00892D8C">
      <w:pPr>
        <w:spacing w:line="360" w:lineRule="auto"/>
      </w:pPr>
      <w:r>
        <w:t>According to the applicant, t</w:t>
      </w:r>
      <w:r w:rsidRPr="002A07EE">
        <w:t>he prevalence of congenital heart disease in Australia is about 1 in 1</w:t>
      </w:r>
      <w:r>
        <w:t>00 and VSD</w:t>
      </w:r>
      <w:r w:rsidRPr="002A07EE">
        <w:t>s would represent 10% of the disease burden (incidence 1 in 1000).  The natural histor</w:t>
      </w:r>
      <w:r>
        <w:t>y of a VSD</w:t>
      </w:r>
      <w:r w:rsidRPr="002A07EE">
        <w:t xml:space="preserve"> is that 80-90% of these defects will close spontaneously.  Many of the residual defects are small an</w:t>
      </w:r>
      <w:r>
        <w:t>d do not require intervention.</w:t>
      </w:r>
    </w:p>
    <w:p w:rsidR="00E57589" w:rsidRDefault="00E57589" w:rsidP="00892D8C">
      <w:pPr>
        <w:spacing w:line="360" w:lineRule="auto"/>
      </w:pPr>
      <w:r w:rsidRPr="0018261D">
        <w:t xml:space="preserve">With current </w:t>
      </w:r>
      <w:r>
        <w:t>technologies the number of VSD</w:t>
      </w:r>
      <w:r w:rsidRPr="0018261D">
        <w:t xml:space="preserve">s that would be closed by transcatheter technique in Australia would be low.  The </w:t>
      </w:r>
      <w:r>
        <w:t xml:space="preserve">applicant suggests that the </w:t>
      </w:r>
      <w:r w:rsidRPr="0018261D">
        <w:t>number currently closed by this technique would be less than 100</w:t>
      </w:r>
      <w:r>
        <w:t xml:space="preserve"> per year</w:t>
      </w:r>
      <w:r w:rsidRPr="0018261D">
        <w:t xml:space="preserve">.  </w:t>
      </w:r>
      <w:r>
        <w:t>However, based on AIHW figures this may significantly over estimate the demand for this service in the private setting.  In any case,</w:t>
      </w:r>
      <w:r w:rsidRPr="0018261D">
        <w:t xml:space="preserve"> </w:t>
      </w:r>
      <w:r>
        <w:t xml:space="preserve">with </w:t>
      </w:r>
      <w:r w:rsidRPr="0018261D">
        <w:t xml:space="preserve">improvement in technologies it is likely that the </w:t>
      </w:r>
      <w:r>
        <w:t>frequency</w:t>
      </w:r>
      <w:r w:rsidRPr="0018261D">
        <w:t xml:space="preserve"> of this intervention will</w:t>
      </w:r>
      <w:r>
        <w:t xml:space="preserve"> gradually</w:t>
      </w:r>
      <w:r w:rsidRPr="0018261D">
        <w:t xml:space="preserve"> increase and more will be closed in this way replacing surgical treatment.  </w:t>
      </w:r>
      <w:r>
        <w:t>However, the total number of VSD</w:t>
      </w:r>
      <w:r w:rsidRPr="0018261D">
        <w:t>s which require closure either by surgical</w:t>
      </w:r>
      <w:r>
        <w:t>, hybrid</w:t>
      </w:r>
      <w:r w:rsidRPr="0018261D">
        <w:t xml:space="preserve"> or transcatheter technique should remain constant</w:t>
      </w:r>
      <w:r>
        <w:t xml:space="preserve"> and it is anticipated that the majority of these procedures will continue to be provided in the public sector.</w:t>
      </w:r>
    </w:p>
    <w:p w:rsidR="00E57589" w:rsidRDefault="00E57589" w:rsidP="00892D8C">
      <w:pPr>
        <w:spacing w:line="360" w:lineRule="auto"/>
      </w:pPr>
      <w:r>
        <w:t>According to the Australian Institute of Health and Welfare (AIHW), among babies born in 2003, VSD was the most commonly reported congenital heart condition, with 630 cases recorded, followed by patent ductus arteriosus (406), atrial septal defect (402) and pulmonary stenosis (134).</w:t>
      </w:r>
    </w:p>
    <w:p w:rsidR="00E57589" w:rsidRPr="00ED5CF4" w:rsidRDefault="00E57589" w:rsidP="00892D8C">
      <w:pPr>
        <w:spacing w:line="360" w:lineRule="auto"/>
      </w:pPr>
      <w:r w:rsidRPr="00ED5CF4">
        <w:t xml:space="preserve">At present, the therapeutic options in Australia for VSD are medication, surgery by open approach or transcatheter closure </w:t>
      </w:r>
      <w:r>
        <w:t>and hybrid closures</w:t>
      </w:r>
      <w:r w:rsidRPr="00ED5CF4">
        <w:t>.</w:t>
      </w:r>
    </w:p>
    <w:p w:rsidR="00E57589" w:rsidRPr="00D5182D" w:rsidRDefault="00E57589" w:rsidP="00AC07F7">
      <w:pPr>
        <w:pStyle w:val="Heading2"/>
      </w:pPr>
      <w:bookmarkStart w:id="12" w:name="_Toc358036528"/>
      <w:bookmarkStart w:id="13" w:name="_Toc367181275"/>
      <w:r w:rsidRPr="00D5182D">
        <w:lastRenderedPageBreak/>
        <w:t>Current arrangements for public reimbursement</w:t>
      </w:r>
      <w:bookmarkEnd w:id="12"/>
      <w:bookmarkEnd w:id="13"/>
    </w:p>
    <w:p w:rsidR="00E57589" w:rsidRDefault="00E57589" w:rsidP="00735D2D">
      <w:pPr>
        <w:spacing w:before="240" w:line="360" w:lineRule="auto"/>
        <w:sectPr w:rsidR="00E57589" w:rsidSect="00EB2A23">
          <w:headerReference w:type="even" r:id="rId9"/>
          <w:headerReference w:type="default" r:id="rId10"/>
          <w:footerReference w:type="default" r:id="rId11"/>
          <w:headerReference w:type="first" r:id="rId12"/>
          <w:footerReference w:type="first" r:id="rId13"/>
          <w:pgSz w:w="11906" w:h="16838"/>
          <w:pgMar w:top="1560" w:right="1440" w:bottom="1440" w:left="1440" w:header="708" w:footer="708" w:gutter="0"/>
          <w:cols w:space="708"/>
          <w:titlePg/>
          <w:docGrid w:linePitch="360"/>
        </w:sectPr>
      </w:pPr>
      <w:r>
        <w:t xml:space="preserve">The majority of procedures for closure of VSD are performed in the public sector.  AIHW separation statistics for 2010-11 indicate that 93.3% (460) of a total of 493 patients were treated in public </w:t>
      </w:r>
      <w:r w:rsidRPr="00735D2D">
        <w:t>hospitals.  However, hospital data does not provide a breakdown of the surgical approach used.  AIHW procedure data for 2009-10 indicate that only 2.3% (11) of the procedures performed for closure of VSD were by percutaneous approach.  Children under 5 years of age accounted for 87.4% of the surgical procedures and 27.3% of the percutaneous procedures (see Table 1). It is not possible to determine the number of hybrid closures performed from this data</w:t>
      </w:r>
      <w:r>
        <w:t>.</w:t>
      </w:r>
    </w:p>
    <w:p w:rsidR="00E57589" w:rsidRDefault="00E57589" w:rsidP="00735D2D">
      <w:pPr>
        <w:pStyle w:val="Caption"/>
        <w:ind w:left="0" w:firstLine="0"/>
      </w:pPr>
    </w:p>
    <w:tbl>
      <w:tblPr>
        <w:tblpPr w:leftFromText="180" w:rightFromText="180" w:vertAnchor="text" w:horzAnchor="margin" w:tblpY="482"/>
        <w:tblW w:w="5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1701"/>
        <w:gridCol w:w="1644"/>
      </w:tblGrid>
      <w:tr w:rsidR="00E57589" w:rsidRPr="00652E38" w:rsidTr="00AE4A64">
        <w:trPr>
          <w:trHeight w:val="227"/>
          <w:tblHeader/>
        </w:trPr>
        <w:tc>
          <w:tcPr>
            <w:tcW w:w="2551" w:type="dxa"/>
            <w:shd w:val="clear" w:color="auto" w:fill="FFFFCC"/>
            <w:vAlign w:val="center"/>
          </w:tcPr>
          <w:p w:rsidR="00E57589" w:rsidRPr="00AE4A64" w:rsidRDefault="00E57589" w:rsidP="00AE4A64">
            <w:pPr>
              <w:keepNext/>
              <w:tabs>
                <w:tab w:val="left" w:pos="2835"/>
              </w:tabs>
              <w:spacing w:after="0" w:line="240" w:lineRule="auto"/>
              <w:jc w:val="left"/>
              <w:rPr>
                <w:rFonts w:ascii="Arial Narrow" w:hAnsi="Arial Narrow"/>
                <w:b/>
              </w:rPr>
            </w:pPr>
            <w:bookmarkStart w:id="14" w:name="_GoBack" w:colFirst="0" w:colLast="3"/>
          </w:p>
        </w:tc>
        <w:tc>
          <w:tcPr>
            <w:tcW w:w="1701" w:type="dxa"/>
            <w:shd w:val="clear" w:color="auto" w:fill="FFFFCC"/>
            <w:vAlign w:val="center"/>
          </w:tcPr>
          <w:p w:rsidR="00E57589" w:rsidRPr="00AE4A64" w:rsidRDefault="00E57589" w:rsidP="00AE4A64">
            <w:pPr>
              <w:keepNext/>
              <w:tabs>
                <w:tab w:val="left" w:pos="2835"/>
              </w:tabs>
              <w:spacing w:after="0" w:line="240" w:lineRule="auto"/>
              <w:jc w:val="center"/>
              <w:rPr>
                <w:rFonts w:ascii="Arial Narrow" w:hAnsi="Arial Narrow"/>
                <w:b/>
              </w:rPr>
            </w:pPr>
            <w:r w:rsidRPr="00AE4A64">
              <w:rPr>
                <w:rFonts w:ascii="Arial Narrow" w:hAnsi="Arial Narrow"/>
                <w:b/>
              </w:rPr>
              <w:t>2008/09</w:t>
            </w:r>
          </w:p>
        </w:tc>
        <w:tc>
          <w:tcPr>
            <w:tcW w:w="1644" w:type="dxa"/>
            <w:shd w:val="clear" w:color="auto" w:fill="FFFFCC"/>
            <w:vAlign w:val="center"/>
          </w:tcPr>
          <w:p w:rsidR="00E57589" w:rsidRPr="00AE4A64" w:rsidRDefault="00E57589" w:rsidP="00AE4A64">
            <w:pPr>
              <w:keepNext/>
              <w:tabs>
                <w:tab w:val="left" w:pos="2835"/>
              </w:tabs>
              <w:spacing w:after="0" w:line="240" w:lineRule="auto"/>
              <w:jc w:val="center"/>
              <w:rPr>
                <w:rFonts w:ascii="Arial Narrow" w:hAnsi="Arial Narrow"/>
                <w:b/>
              </w:rPr>
            </w:pPr>
            <w:r w:rsidRPr="00AE4A64">
              <w:rPr>
                <w:rFonts w:ascii="Arial Narrow" w:hAnsi="Arial Narrow"/>
                <w:b/>
              </w:rPr>
              <w:t>2009/10</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after="0" w:line="240" w:lineRule="auto"/>
              <w:jc w:val="left"/>
              <w:rPr>
                <w:rFonts w:ascii="Arial Narrow" w:hAnsi="Arial Narrow"/>
                <w:b/>
              </w:rPr>
            </w:pPr>
            <w:r w:rsidRPr="00AE4A64">
              <w:rPr>
                <w:rFonts w:ascii="Arial Narrow" w:hAnsi="Arial Narrow"/>
                <w:b/>
              </w:rPr>
              <w:t>Percutaneous closure</w:t>
            </w:r>
          </w:p>
        </w:tc>
        <w:tc>
          <w:tcPr>
            <w:tcW w:w="1701"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p>
        </w:tc>
        <w:tc>
          <w:tcPr>
            <w:tcW w:w="1644"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Under 5 years</w:t>
            </w:r>
          </w:p>
        </w:tc>
        <w:tc>
          <w:tcPr>
            <w:tcW w:w="1701"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r w:rsidRPr="00AE4A64">
              <w:rPr>
                <w:rFonts w:ascii="Arial Narrow" w:hAnsi="Arial Narrow"/>
              </w:rPr>
              <w:t>0</w:t>
            </w:r>
          </w:p>
        </w:tc>
        <w:tc>
          <w:tcPr>
            <w:tcW w:w="1644"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r w:rsidRPr="00AE4A64">
              <w:rPr>
                <w:rFonts w:ascii="Arial Narrow" w:hAnsi="Arial Narrow"/>
              </w:rPr>
              <w:t>3</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5 years and over</w:t>
            </w:r>
          </w:p>
        </w:tc>
        <w:tc>
          <w:tcPr>
            <w:tcW w:w="1701"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rPr>
              <w:t>8</w:t>
            </w:r>
          </w:p>
        </w:tc>
        <w:tc>
          <w:tcPr>
            <w:tcW w:w="1644"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rPr>
              <w:t>8</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Total</w:t>
            </w:r>
          </w:p>
        </w:tc>
        <w:tc>
          <w:tcPr>
            <w:tcW w:w="1701"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b/>
              </w:rPr>
              <w:t>8</w:t>
            </w:r>
          </w:p>
        </w:tc>
        <w:tc>
          <w:tcPr>
            <w:tcW w:w="1644"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b/>
              </w:rPr>
              <w:t>11</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after="0" w:line="240" w:lineRule="auto"/>
              <w:jc w:val="left"/>
              <w:rPr>
                <w:rFonts w:ascii="Arial Narrow" w:hAnsi="Arial Narrow"/>
                <w:b/>
              </w:rPr>
            </w:pPr>
            <w:r w:rsidRPr="00AE4A64">
              <w:rPr>
                <w:rFonts w:ascii="Arial Narrow" w:hAnsi="Arial Narrow"/>
                <w:b/>
              </w:rPr>
              <w:t>Surgical closure</w:t>
            </w:r>
          </w:p>
        </w:tc>
        <w:tc>
          <w:tcPr>
            <w:tcW w:w="1701"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p>
        </w:tc>
        <w:tc>
          <w:tcPr>
            <w:tcW w:w="1644"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Under 5 years</w:t>
            </w:r>
          </w:p>
        </w:tc>
        <w:tc>
          <w:tcPr>
            <w:tcW w:w="1701"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r w:rsidRPr="00AE4A64">
              <w:rPr>
                <w:rFonts w:ascii="Arial Narrow" w:hAnsi="Arial Narrow"/>
              </w:rPr>
              <w:t>405</w:t>
            </w:r>
          </w:p>
        </w:tc>
        <w:tc>
          <w:tcPr>
            <w:tcW w:w="1644" w:type="dxa"/>
            <w:vAlign w:val="center"/>
          </w:tcPr>
          <w:p w:rsidR="00E57589" w:rsidRPr="00AE4A64" w:rsidRDefault="00E57589" w:rsidP="00AE4A64">
            <w:pPr>
              <w:keepNext/>
              <w:tabs>
                <w:tab w:val="left" w:pos="2835"/>
              </w:tabs>
              <w:spacing w:after="0" w:line="240" w:lineRule="auto"/>
              <w:ind w:right="284"/>
              <w:jc w:val="right"/>
              <w:rPr>
                <w:rFonts w:ascii="Arial Narrow" w:hAnsi="Arial Narrow"/>
              </w:rPr>
            </w:pPr>
            <w:r w:rsidRPr="00AE4A64">
              <w:rPr>
                <w:rFonts w:ascii="Arial Narrow" w:hAnsi="Arial Narrow"/>
              </w:rPr>
              <w:t>417</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5 years and over</w:t>
            </w:r>
          </w:p>
        </w:tc>
        <w:tc>
          <w:tcPr>
            <w:tcW w:w="1701"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rPr>
              <w:t>85</w:t>
            </w:r>
          </w:p>
        </w:tc>
        <w:tc>
          <w:tcPr>
            <w:tcW w:w="1644"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rPr>
              <w:t>60</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before="40" w:after="0" w:line="240" w:lineRule="auto"/>
              <w:ind w:left="284"/>
              <w:jc w:val="left"/>
              <w:rPr>
                <w:rFonts w:ascii="Arial Narrow" w:hAnsi="Arial Narrow"/>
              </w:rPr>
            </w:pPr>
            <w:r w:rsidRPr="00AE4A64">
              <w:rPr>
                <w:rFonts w:ascii="Arial Narrow" w:hAnsi="Arial Narrow"/>
              </w:rPr>
              <w:t>Total</w:t>
            </w:r>
          </w:p>
        </w:tc>
        <w:tc>
          <w:tcPr>
            <w:tcW w:w="1701"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b/>
              </w:rPr>
              <w:t>490</w:t>
            </w:r>
          </w:p>
        </w:tc>
        <w:tc>
          <w:tcPr>
            <w:tcW w:w="1644"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rPr>
            </w:pPr>
            <w:r w:rsidRPr="00AE4A64">
              <w:rPr>
                <w:rFonts w:ascii="Arial Narrow" w:hAnsi="Arial Narrow"/>
                <w:b/>
              </w:rPr>
              <w:t>477</w:t>
            </w:r>
          </w:p>
        </w:tc>
      </w:tr>
      <w:tr w:rsidR="00E57589" w:rsidRPr="00652E38" w:rsidTr="00AE4A64">
        <w:trPr>
          <w:trHeight w:val="227"/>
        </w:trPr>
        <w:tc>
          <w:tcPr>
            <w:tcW w:w="2551" w:type="dxa"/>
            <w:shd w:val="clear" w:color="auto" w:fill="FFFFCC"/>
            <w:vAlign w:val="center"/>
          </w:tcPr>
          <w:p w:rsidR="00E57589" w:rsidRPr="00AE4A64" w:rsidRDefault="00E57589" w:rsidP="00AE4A64">
            <w:pPr>
              <w:keepNext/>
              <w:tabs>
                <w:tab w:val="left" w:pos="2835"/>
              </w:tabs>
              <w:spacing w:after="0" w:line="240" w:lineRule="auto"/>
              <w:jc w:val="left"/>
              <w:rPr>
                <w:rFonts w:ascii="Arial Narrow" w:hAnsi="Arial Narrow"/>
                <w:b/>
              </w:rPr>
            </w:pPr>
            <w:r w:rsidRPr="00AE4A64">
              <w:rPr>
                <w:rFonts w:ascii="Arial Narrow" w:hAnsi="Arial Narrow"/>
                <w:b/>
              </w:rPr>
              <w:t>Total procedures</w:t>
            </w:r>
          </w:p>
        </w:tc>
        <w:tc>
          <w:tcPr>
            <w:tcW w:w="1701"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b/>
              </w:rPr>
            </w:pPr>
            <w:r w:rsidRPr="00AE4A64">
              <w:rPr>
                <w:rFonts w:ascii="Arial Narrow" w:hAnsi="Arial Narrow"/>
                <w:b/>
              </w:rPr>
              <w:t>498</w:t>
            </w:r>
          </w:p>
        </w:tc>
        <w:tc>
          <w:tcPr>
            <w:tcW w:w="1644" w:type="dxa"/>
            <w:vAlign w:val="center"/>
          </w:tcPr>
          <w:p w:rsidR="00E57589" w:rsidRPr="00AE4A64" w:rsidRDefault="00E57589" w:rsidP="00AE4A64">
            <w:pPr>
              <w:keepNext/>
              <w:tabs>
                <w:tab w:val="left" w:pos="2835"/>
              </w:tabs>
              <w:spacing w:before="40" w:after="0" w:line="240" w:lineRule="auto"/>
              <w:ind w:right="284"/>
              <w:jc w:val="right"/>
              <w:rPr>
                <w:rFonts w:ascii="Arial Narrow" w:hAnsi="Arial Narrow"/>
                <w:b/>
              </w:rPr>
            </w:pPr>
            <w:r w:rsidRPr="00AE4A64">
              <w:rPr>
                <w:rFonts w:ascii="Arial Narrow" w:hAnsi="Arial Narrow"/>
                <w:b/>
              </w:rPr>
              <w:t>488</w:t>
            </w:r>
          </w:p>
        </w:tc>
      </w:tr>
    </w:tbl>
    <w:bookmarkEnd w:id="14"/>
    <w:p w:rsidR="00E57589" w:rsidRPr="00C24A05" w:rsidRDefault="00E57589" w:rsidP="00AE121D">
      <w:pPr>
        <w:pStyle w:val="Caption"/>
        <w:ind w:left="0" w:firstLine="0"/>
      </w:pPr>
      <w:r w:rsidRPr="00C24A05">
        <w:t>Table 1:  AIHW procedures data for closure of VSD</w:t>
      </w:r>
    </w:p>
    <w:p w:rsidR="00E57589" w:rsidRPr="00C24A05" w:rsidRDefault="00E57589" w:rsidP="007C14F2">
      <w:pPr>
        <w:keepLines/>
        <w:spacing w:before="240" w:line="360" w:lineRule="auto"/>
        <w:sectPr w:rsidR="00E57589" w:rsidRPr="00C24A05" w:rsidSect="00735D2D">
          <w:type w:val="continuous"/>
          <w:pgSz w:w="11906" w:h="16838"/>
          <w:pgMar w:top="1560" w:right="1440" w:bottom="1440" w:left="1440" w:header="708" w:footer="708" w:gutter="0"/>
          <w:cols w:space="708"/>
          <w:titlePg/>
          <w:docGrid w:linePitch="360"/>
        </w:sectPr>
      </w:pPr>
    </w:p>
    <w:p w:rsidR="00E57589" w:rsidRDefault="00E57589" w:rsidP="00735D2D">
      <w:pPr>
        <w:keepLines/>
        <w:spacing w:before="240" w:line="360" w:lineRule="auto"/>
      </w:pPr>
      <w:r>
        <w:t>Medical devices used to close the VSD have been listed on the Prostheses List for over eight years (Table 2).  Data for the five year period from 2006/07 indicate that benefits have been paid 14 times for VSD occluder devices reimbursed under</w:t>
      </w:r>
      <w:r w:rsidRPr="0049218D">
        <w:t xml:space="preserve"> pr</w:t>
      </w:r>
      <w:r>
        <w:t>ivate health insurance.  However, there are no MBS items provide for transcatheter closure of VSD and the procedure has not been previously assessed by MSAC.  Clinical advice is that other devices may be used for closure of a VSD, including devices designated for closure of patent ductus arteriosus and coils.</w:t>
      </w:r>
    </w:p>
    <w:p w:rsidR="00E57589" w:rsidRDefault="00E57589" w:rsidP="008B5FB9">
      <w:pPr>
        <w:pStyle w:val="Caption"/>
        <w:ind w:left="0" w:firstLine="0"/>
      </w:pPr>
    </w:p>
    <w:p w:rsidR="00E57589" w:rsidRPr="008B5FB9" w:rsidRDefault="00E57589" w:rsidP="008B5FB9">
      <w:pPr>
        <w:pStyle w:val="Caption"/>
        <w:ind w:left="0" w:firstLine="0"/>
      </w:pPr>
      <w:r w:rsidRPr="00A34E9C">
        <w:t>Table</w:t>
      </w:r>
      <w:r>
        <w:t xml:space="preserve"> 2:  VSD occluder devices - Prostheses List as at February 2013</w:t>
      </w:r>
    </w:p>
    <w:tbl>
      <w:tblPr>
        <w:tblW w:w="924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907"/>
        <w:gridCol w:w="1077"/>
        <w:gridCol w:w="3288"/>
        <w:gridCol w:w="2835"/>
        <w:gridCol w:w="1134"/>
      </w:tblGrid>
      <w:tr w:rsidR="00E57589" w:rsidRPr="00DD4D4D" w:rsidTr="00AE4A64">
        <w:trPr>
          <w:trHeight w:val="397"/>
          <w:tblHeader/>
        </w:trPr>
        <w:tc>
          <w:tcPr>
            <w:tcW w:w="907" w:type="dxa"/>
            <w:tcBorders>
              <w:top w:val="single" w:sz="8" w:space="0" w:color="FFFFFF"/>
              <w:bottom w:val="single" w:sz="24" w:space="0" w:color="FFFFFF"/>
              <w:right w:val="single" w:sz="8" w:space="0" w:color="FFFFFF"/>
            </w:tcBorders>
            <w:shd w:val="clear" w:color="auto" w:fill="4F81BD"/>
          </w:tcPr>
          <w:p w:rsidR="00E57589" w:rsidRPr="00AE4A64" w:rsidRDefault="00E57589" w:rsidP="00AE4A64">
            <w:pPr>
              <w:tabs>
                <w:tab w:val="left" w:pos="2835"/>
              </w:tabs>
              <w:spacing w:before="40" w:after="0"/>
              <w:rPr>
                <w:rFonts w:ascii="Arial Narrow" w:hAnsi="Arial Narrow"/>
                <w:b/>
                <w:bCs/>
                <w:color w:val="FFFFFF"/>
              </w:rPr>
            </w:pPr>
            <w:r w:rsidRPr="00AE4A64">
              <w:rPr>
                <w:rFonts w:ascii="Arial Narrow" w:hAnsi="Arial Narrow"/>
                <w:bCs/>
                <w:color w:val="FFFFFF"/>
              </w:rPr>
              <w:t>Code</w:t>
            </w:r>
          </w:p>
        </w:tc>
        <w:tc>
          <w:tcPr>
            <w:tcW w:w="1077" w:type="dxa"/>
            <w:tcBorders>
              <w:top w:val="single" w:sz="8" w:space="0" w:color="FFFFFF"/>
              <w:left w:val="single" w:sz="8" w:space="0" w:color="FFFFFF"/>
              <w:bottom w:val="single" w:sz="24" w:space="0" w:color="FFFFFF"/>
              <w:right w:val="single" w:sz="8" w:space="0" w:color="FFFFFF"/>
            </w:tcBorders>
            <w:shd w:val="clear" w:color="auto" w:fill="4F81BD"/>
          </w:tcPr>
          <w:p w:rsidR="00E57589" w:rsidRPr="00AE4A64" w:rsidRDefault="00E57589" w:rsidP="00AE4A64">
            <w:pPr>
              <w:tabs>
                <w:tab w:val="left" w:pos="2835"/>
              </w:tabs>
              <w:spacing w:before="40" w:after="0"/>
              <w:jc w:val="center"/>
              <w:rPr>
                <w:rFonts w:ascii="Arial Narrow" w:hAnsi="Arial Narrow"/>
                <w:b/>
                <w:bCs/>
                <w:color w:val="FFFFFF"/>
              </w:rPr>
            </w:pPr>
            <w:r w:rsidRPr="00AE4A64">
              <w:rPr>
                <w:rFonts w:ascii="Arial Narrow" w:hAnsi="Arial Narrow"/>
                <w:bCs/>
                <w:color w:val="FFFFFF"/>
              </w:rPr>
              <w:t>Date</w:t>
            </w:r>
          </w:p>
        </w:tc>
        <w:tc>
          <w:tcPr>
            <w:tcW w:w="3288" w:type="dxa"/>
            <w:tcBorders>
              <w:top w:val="single" w:sz="8" w:space="0" w:color="FFFFFF"/>
              <w:left w:val="single" w:sz="8" w:space="0" w:color="FFFFFF"/>
              <w:bottom w:val="single" w:sz="24" w:space="0" w:color="FFFFFF"/>
              <w:right w:val="single" w:sz="8" w:space="0" w:color="FFFFFF"/>
            </w:tcBorders>
            <w:shd w:val="clear" w:color="auto" w:fill="4F81BD"/>
          </w:tcPr>
          <w:p w:rsidR="00E57589" w:rsidRPr="00AE4A64" w:rsidRDefault="00E57589" w:rsidP="00AE4A64">
            <w:pPr>
              <w:tabs>
                <w:tab w:val="left" w:pos="2835"/>
              </w:tabs>
              <w:spacing w:before="40" w:after="0"/>
              <w:jc w:val="center"/>
              <w:rPr>
                <w:rFonts w:ascii="Arial Narrow" w:hAnsi="Arial Narrow"/>
                <w:b/>
                <w:bCs/>
                <w:color w:val="FFFFFF"/>
              </w:rPr>
            </w:pPr>
            <w:r w:rsidRPr="00AE4A64">
              <w:rPr>
                <w:rFonts w:ascii="Arial Narrow" w:hAnsi="Arial Narrow"/>
                <w:bCs/>
                <w:color w:val="FFFFFF"/>
              </w:rPr>
              <w:t>Product</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Pr>
          <w:p w:rsidR="00E57589" w:rsidRPr="00AE4A64" w:rsidRDefault="00E57589" w:rsidP="00AE4A64">
            <w:pPr>
              <w:tabs>
                <w:tab w:val="left" w:pos="2835"/>
              </w:tabs>
              <w:spacing w:before="40" w:after="0"/>
              <w:jc w:val="center"/>
              <w:rPr>
                <w:rFonts w:ascii="Arial Narrow" w:hAnsi="Arial Narrow"/>
                <w:b/>
                <w:bCs/>
                <w:color w:val="FFFFFF"/>
              </w:rPr>
            </w:pPr>
            <w:r w:rsidRPr="00AE4A64">
              <w:rPr>
                <w:rFonts w:ascii="Arial Narrow" w:hAnsi="Arial Narrow"/>
                <w:bCs/>
                <w:color w:val="FFFFFF"/>
              </w:rPr>
              <w:t>Sponsor</w:t>
            </w:r>
          </w:p>
        </w:tc>
        <w:tc>
          <w:tcPr>
            <w:tcW w:w="1134" w:type="dxa"/>
            <w:tcBorders>
              <w:top w:val="single" w:sz="8" w:space="0" w:color="FFFFFF"/>
              <w:left w:val="single" w:sz="8" w:space="0" w:color="FFFFFF"/>
              <w:bottom w:val="single" w:sz="24" w:space="0" w:color="FFFFFF"/>
            </w:tcBorders>
            <w:shd w:val="clear" w:color="auto" w:fill="4F81BD"/>
          </w:tcPr>
          <w:p w:rsidR="00E57589" w:rsidRPr="00AE4A64" w:rsidRDefault="00E57589" w:rsidP="00AE4A64">
            <w:pPr>
              <w:tabs>
                <w:tab w:val="left" w:pos="2835"/>
              </w:tabs>
              <w:spacing w:before="40" w:after="0"/>
              <w:jc w:val="center"/>
              <w:rPr>
                <w:rFonts w:ascii="Arial Narrow" w:hAnsi="Arial Narrow"/>
                <w:b/>
                <w:bCs/>
                <w:color w:val="FFFFFF"/>
              </w:rPr>
            </w:pPr>
            <w:r w:rsidRPr="00AE4A64">
              <w:rPr>
                <w:rFonts w:ascii="Arial Narrow" w:hAnsi="Arial Narrow"/>
                <w:bCs/>
                <w:color w:val="FFFFFF"/>
              </w:rPr>
              <w:t>Benefit</w:t>
            </w:r>
          </w:p>
        </w:tc>
      </w:tr>
      <w:tr w:rsidR="00E57589" w:rsidRPr="00DD4D4D" w:rsidTr="00AE4A64">
        <w:trPr>
          <w:trHeight w:val="397"/>
        </w:trPr>
        <w:tc>
          <w:tcPr>
            <w:tcW w:w="907" w:type="dxa"/>
            <w:tcBorders>
              <w:top w:val="single" w:sz="8" w:space="0" w:color="FFFFFF"/>
              <w:bottom w:val="nil"/>
              <w:right w:val="single" w:sz="24" w:space="0" w:color="FFFFFF"/>
            </w:tcBorders>
            <w:shd w:val="clear" w:color="auto" w:fill="4F81BD"/>
          </w:tcPr>
          <w:p w:rsidR="00E57589" w:rsidRPr="00AE4A64" w:rsidRDefault="00E57589" w:rsidP="00AE4A64">
            <w:pPr>
              <w:tabs>
                <w:tab w:val="left" w:pos="2835"/>
              </w:tabs>
              <w:spacing w:before="40" w:after="0" w:line="240" w:lineRule="auto"/>
              <w:rPr>
                <w:rFonts w:ascii="Arial Narrow" w:hAnsi="Arial Narrow"/>
                <w:b/>
                <w:bCs/>
                <w:color w:val="FFFFFF"/>
              </w:rPr>
            </w:pPr>
            <w:r w:rsidRPr="00AE4A64">
              <w:rPr>
                <w:rFonts w:ascii="Arial Narrow" w:hAnsi="Arial Narrow"/>
                <w:bCs/>
                <w:color w:val="FFFFFF"/>
              </w:rPr>
              <w:t>SJ262</w:t>
            </w:r>
          </w:p>
        </w:tc>
        <w:tc>
          <w:tcPr>
            <w:tcW w:w="1077" w:type="dxa"/>
            <w:tcBorders>
              <w:top w:val="single" w:sz="8" w:space="0" w:color="FFFFFF"/>
              <w:left w:val="single" w:sz="8" w:space="0" w:color="FFFFFF"/>
              <w:bottom w:val="single" w:sz="8" w:space="0" w:color="FFFFFF"/>
              <w:right w:val="single" w:sz="8" w:space="0" w:color="FFFFFF"/>
            </w:tcBorders>
            <w:shd w:val="clear" w:color="auto" w:fill="A7BFDE"/>
          </w:tcPr>
          <w:p w:rsidR="00E57589" w:rsidRPr="00AE4A64" w:rsidRDefault="00E57589" w:rsidP="00AE4A64">
            <w:pPr>
              <w:tabs>
                <w:tab w:val="left" w:pos="2835"/>
              </w:tabs>
              <w:spacing w:before="40" w:after="0" w:line="240" w:lineRule="auto"/>
              <w:rPr>
                <w:rFonts w:ascii="Arial Narrow" w:hAnsi="Arial Narrow"/>
              </w:rPr>
            </w:pPr>
            <w:r w:rsidRPr="00AE4A64">
              <w:rPr>
                <w:rFonts w:ascii="Arial Narrow" w:hAnsi="Arial Narrow"/>
              </w:rPr>
              <w:t>Bef 2005</w:t>
            </w:r>
          </w:p>
        </w:tc>
        <w:tc>
          <w:tcPr>
            <w:tcW w:w="3288" w:type="dxa"/>
            <w:tcBorders>
              <w:top w:val="single" w:sz="8" w:space="0" w:color="FFFFFF"/>
              <w:left w:val="single" w:sz="8" w:space="0" w:color="FFFFFF"/>
              <w:bottom w:val="single" w:sz="8" w:space="0" w:color="FFFFFF"/>
              <w:right w:val="single" w:sz="8" w:space="0" w:color="FFFFFF"/>
            </w:tcBorders>
            <w:shd w:val="clear" w:color="auto" w:fill="A7BFDE"/>
          </w:tcPr>
          <w:p w:rsidR="00E57589" w:rsidRPr="00AE4A64" w:rsidRDefault="00E57589" w:rsidP="00AE4A64">
            <w:pPr>
              <w:tabs>
                <w:tab w:val="left" w:pos="2835"/>
              </w:tabs>
              <w:spacing w:before="40" w:after="0" w:line="240" w:lineRule="auto"/>
              <w:jc w:val="left"/>
              <w:rPr>
                <w:rFonts w:ascii="Arial Narrow" w:hAnsi="Arial Narrow"/>
              </w:rPr>
            </w:pPr>
            <w:r w:rsidRPr="00AE4A64">
              <w:rPr>
                <w:rFonts w:ascii="Arial Narrow" w:hAnsi="Arial Narrow"/>
              </w:rPr>
              <w:t>Amplatzer Muscular VSD Occluder</w:t>
            </w:r>
          </w:p>
        </w:tc>
        <w:tc>
          <w:tcPr>
            <w:tcW w:w="2835" w:type="dxa"/>
            <w:tcBorders>
              <w:top w:val="single" w:sz="8" w:space="0" w:color="FFFFFF"/>
              <w:left w:val="single" w:sz="8" w:space="0" w:color="FFFFFF"/>
              <w:bottom w:val="single" w:sz="8" w:space="0" w:color="FFFFFF"/>
              <w:right w:val="single" w:sz="8" w:space="0" w:color="FFFFFF"/>
            </w:tcBorders>
            <w:shd w:val="clear" w:color="auto" w:fill="A7BFDE"/>
          </w:tcPr>
          <w:p w:rsidR="00E57589" w:rsidRPr="00AE4A64" w:rsidRDefault="00E57589" w:rsidP="00AE4A64">
            <w:pPr>
              <w:tabs>
                <w:tab w:val="left" w:pos="2835"/>
              </w:tabs>
              <w:spacing w:before="40" w:after="0" w:line="240" w:lineRule="auto"/>
              <w:jc w:val="left"/>
              <w:rPr>
                <w:rFonts w:ascii="Arial Narrow" w:hAnsi="Arial Narrow"/>
              </w:rPr>
            </w:pPr>
            <w:r w:rsidRPr="00AE4A64">
              <w:rPr>
                <w:rFonts w:ascii="Arial Narrow" w:hAnsi="Arial Narrow"/>
              </w:rPr>
              <w:t>St Jude Medical Australia Pty Ltd</w:t>
            </w:r>
          </w:p>
        </w:tc>
        <w:tc>
          <w:tcPr>
            <w:tcW w:w="1134" w:type="dxa"/>
            <w:tcBorders>
              <w:top w:val="single" w:sz="8" w:space="0" w:color="FFFFFF"/>
              <w:left w:val="single" w:sz="8" w:space="0" w:color="FFFFFF"/>
              <w:bottom w:val="single" w:sz="8" w:space="0" w:color="FFFFFF"/>
            </w:tcBorders>
            <w:shd w:val="clear" w:color="auto" w:fill="A7BFDE"/>
          </w:tcPr>
          <w:p w:rsidR="00E57589" w:rsidRPr="00AE4A64" w:rsidRDefault="00E57589" w:rsidP="00AE4A64">
            <w:pPr>
              <w:tabs>
                <w:tab w:val="left" w:pos="2835"/>
              </w:tabs>
              <w:spacing w:before="40" w:after="0" w:line="240" w:lineRule="auto"/>
              <w:ind w:right="283"/>
              <w:jc w:val="right"/>
              <w:rPr>
                <w:rFonts w:ascii="Arial Narrow" w:hAnsi="Arial Narrow"/>
              </w:rPr>
            </w:pPr>
            <w:r w:rsidRPr="00AE4A64">
              <w:rPr>
                <w:rFonts w:ascii="Arial Narrow" w:hAnsi="Arial Narrow"/>
              </w:rPr>
              <w:t>$10,200</w:t>
            </w:r>
          </w:p>
        </w:tc>
      </w:tr>
      <w:tr w:rsidR="00E57589" w:rsidRPr="00DD4D4D" w:rsidTr="00AE4A64">
        <w:trPr>
          <w:trHeight w:val="397"/>
        </w:trPr>
        <w:tc>
          <w:tcPr>
            <w:tcW w:w="907" w:type="dxa"/>
            <w:tcBorders>
              <w:bottom w:val="single" w:sz="8" w:space="0" w:color="FFFFFF"/>
              <w:right w:val="single" w:sz="24" w:space="0" w:color="FFFFFF"/>
            </w:tcBorders>
            <w:shd w:val="clear" w:color="auto" w:fill="4F81BD"/>
          </w:tcPr>
          <w:p w:rsidR="00E57589" w:rsidRPr="00AE4A64" w:rsidRDefault="00E57589" w:rsidP="00AE4A64">
            <w:pPr>
              <w:tabs>
                <w:tab w:val="left" w:pos="2835"/>
              </w:tabs>
              <w:spacing w:before="40" w:after="0" w:line="240" w:lineRule="auto"/>
              <w:rPr>
                <w:rFonts w:ascii="Arial Narrow" w:hAnsi="Arial Narrow"/>
                <w:b/>
                <w:bCs/>
                <w:color w:val="FFFFFF"/>
              </w:rPr>
            </w:pPr>
            <w:r w:rsidRPr="00AE4A64">
              <w:rPr>
                <w:rFonts w:ascii="Arial Narrow" w:hAnsi="Arial Narrow"/>
                <w:bCs/>
                <w:color w:val="FFFFFF"/>
              </w:rPr>
              <w:t>SJ264</w:t>
            </w:r>
          </w:p>
        </w:tc>
        <w:tc>
          <w:tcPr>
            <w:tcW w:w="1077" w:type="dxa"/>
            <w:tcBorders>
              <w:bottom w:val="single" w:sz="8" w:space="0" w:color="FFFFFF"/>
            </w:tcBorders>
            <w:shd w:val="clear" w:color="auto" w:fill="D3DFEE"/>
          </w:tcPr>
          <w:p w:rsidR="00E57589" w:rsidRPr="00AE4A64" w:rsidRDefault="00E57589" w:rsidP="00AE4A64">
            <w:pPr>
              <w:tabs>
                <w:tab w:val="left" w:pos="2835"/>
              </w:tabs>
              <w:spacing w:before="40" w:after="0" w:line="240" w:lineRule="auto"/>
              <w:rPr>
                <w:rFonts w:ascii="Arial Narrow" w:hAnsi="Arial Narrow"/>
              </w:rPr>
            </w:pPr>
            <w:r w:rsidRPr="00AE4A64">
              <w:rPr>
                <w:rFonts w:ascii="Arial Narrow" w:hAnsi="Arial Narrow"/>
              </w:rPr>
              <w:t>Bef 2005</w:t>
            </w:r>
          </w:p>
        </w:tc>
        <w:tc>
          <w:tcPr>
            <w:tcW w:w="3288" w:type="dxa"/>
            <w:tcBorders>
              <w:bottom w:val="single" w:sz="8" w:space="0" w:color="FFFFFF"/>
            </w:tcBorders>
            <w:shd w:val="clear" w:color="auto" w:fill="D3DFEE"/>
          </w:tcPr>
          <w:p w:rsidR="00E57589" w:rsidRPr="00AE4A64" w:rsidRDefault="00E57589" w:rsidP="00AE4A64">
            <w:pPr>
              <w:tabs>
                <w:tab w:val="left" w:pos="2835"/>
              </w:tabs>
              <w:spacing w:before="40" w:after="0" w:line="240" w:lineRule="auto"/>
              <w:jc w:val="left"/>
              <w:rPr>
                <w:rFonts w:ascii="Arial Narrow" w:hAnsi="Arial Narrow"/>
              </w:rPr>
            </w:pPr>
            <w:r w:rsidRPr="00AE4A64">
              <w:rPr>
                <w:rFonts w:ascii="Arial Narrow" w:hAnsi="Arial Narrow"/>
              </w:rPr>
              <w:t>Amplatzer Membranous VSD Occluder</w:t>
            </w:r>
          </w:p>
        </w:tc>
        <w:tc>
          <w:tcPr>
            <w:tcW w:w="2835" w:type="dxa"/>
            <w:tcBorders>
              <w:bottom w:val="single" w:sz="8" w:space="0" w:color="FFFFFF"/>
            </w:tcBorders>
            <w:shd w:val="clear" w:color="auto" w:fill="D3DFEE"/>
          </w:tcPr>
          <w:p w:rsidR="00E57589" w:rsidRPr="00AE4A64" w:rsidRDefault="00E57589" w:rsidP="00AE4A64">
            <w:pPr>
              <w:tabs>
                <w:tab w:val="left" w:pos="2835"/>
              </w:tabs>
              <w:spacing w:before="40" w:after="0" w:line="240" w:lineRule="auto"/>
              <w:jc w:val="left"/>
              <w:rPr>
                <w:rFonts w:ascii="Arial Narrow" w:hAnsi="Arial Narrow"/>
              </w:rPr>
            </w:pPr>
            <w:r w:rsidRPr="00AE4A64">
              <w:rPr>
                <w:rFonts w:ascii="Arial Narrow" w:hAnsi="Arial Narrow"/>
              </w:rPr>
              <w:t>St Jude Medical Australia Pty Ltd</w:t>
            </w:r>
          </w:p>
        </w:tc>
        <w:tc>
          <w:tcPr>
            <w:tcW w:w="1134" w:type="dxa"/>
            <w:tcBorders>
              <w:bottom w:val="single" w:sz="8" w:space="0" w:color="FFFFFF"/>
            </w:tcBorders>
            <w:shd w:val="clear" w:color="auto" w:fill="D3DFEE"/>
          </w:tcPr>
          <w:p w:rsidR="00E57589" w:rsidRPr="00AE4A64" w:rsidRDefault="00E57589" w:rsidP="00AE4A64">
            <w:pPr>
              <w:tabs>
                <w:tab w:val="left" w:pos="2835"/>
              </w:tabs>
              <w:spacing w:before="40" w:after="0" w:line="240" w:lineRule="auto"/>
              <w:ind w:right="283"/>
              <w:jc w:val="right"/>
              <w:rPr>
                <w:rFonts w:ascii="Arial Narrow" w:hAnsi="Arial Narrow"/>
              </w:rPr>
            </w:pPr>
            <w:r w:rsidRPr="00AE4A64">
              <w:rPr>
                <w:rFonts w:ascii="Arial Narrow" w:hAnsi="Arial Narrow"/>
              </w:rPr>
              <w:t>$10,200</w:t>
            </w:r>
          </w:p>
        </w:tc>
      </w:tr>
    </w:tbl>
    <w:p w:rsidR="00E57589" w:rsidRDefault="00E57589" w:rsidP="007E51D5">
      <w:pPr>
        <w:autoSpaceDE w:val="0"/>
        <w:autoSpaceDN w:val="0"/>
        <w:adjustRightInd w:val="0"/>
        <w:spacing w:after="0" w:line="240" w:lineRule="auto"/>
        <w:jc w:val="left"/>
        <w:rPr>
          <w:rFonts w:eastAsia="Times New Roman"/>
          <w:lang w:eastAsia="en-AU"/>
        </w:rPr>
      </w:pPr>
      <w:bookmarkStart w:id="15" w:name="_Toc358036529"/>
    </w:p>
    <w:p w:rsidR="00E57589" w:rsidRPr="00432448" w:rsidRDefault="00E57589" w:rsidP="00735D2D">
      <w:pPr>
        <w:autoSpaceDE w:val="0"/>
        <w:autoSpaceDN w:val="0"/>
        <w:adjustRightInd w:val="0"/>
        <w:spacing w:after="0" w:line="360" w:lineRule="auto"/>
        <w:jc w:val="left"/>
        <w:rPr>
          <w:rFonts w:eastAsia="Times New Roman"/>
          <w:lang w:eastAsia="en-AU"/>
        </w:rPr>
      </w:pPr>
      <w:r w:rsidRPr="00432448">
        <w:rPr>
          <w:rFonts w:eastAsia="Times New Roman"/>
          <w:lang w:eastAsia="en-AU"/>
        </w:rPr>
        <w:t>The AMPLATZER Muscular VSD Occluder is a self-expandable, double disc device made from a</w:t>
      </w:r>
      <w:r>
        <w:rPr>
          <w:rFonts w:eastAsia="Times New Roman"/>
          <w:lang w:eastAsia="en-AU"/>
        </w:rPr>
        <w:t xml:space="preserve"> n</w:t>
      </w:r>
      <w:r w:rsidRPr="00432448">
        <w:rPr>
          <w:rFonts w:eastAsia="Times New Roman"/>
          <w:lang w:eastAsia="en-AU"/>
        </w:rPr>
        <w:t xml:space="preserve">itinol wire mesh. The two discs are linked together by a short cylindrical waist corresponding to the size of the </w:t>
      </w:r>
      <w:r>
        <w:rPr>
          <w:rFonts w:eastAsia="Times New Roman"/>
          <w:lang w:eastAsia="en-AU"/>
        </w:rPr>
        <w:t>VSD</w:t>
      </w:r>
      <w:r w:rsidRPr="00432448">
        <w:rPr>
          <w:rFonts w:eastAsia="Times New Roman"/>
          <w:lang w:eastAsia="en-AU"/>
        </w:rPr>
        <w:t xml:space="preserve">. </w:t>
      </w:r>
      <w:r>
        <w:rPr>
          <w:rFonts w:eastAsia="Times New Roman"/>
          <w:lang w:eastAsia="en-AU"/>
        </w:rPr>
        <w:t xml:space="preserve">The waist diameter determines the maximum size of the VSD to be treated. The largest available device for congenital defects is 18 mm in diameter. </w:t>
      </w:r>
      <w:r w:rsidRPr="00432448">
        <w:rPr>
          <w:rFonts w:eastAsia="Times New Roman"/>
          <w:lang w:eastAsia="en-AU"/>
        </w:rPr>
        <w:t xml:space="preserve">In order to increase its closing ability, </w:t>
      </w:r>
      <w:r w:rsidRPr="00432448">
        <w:rPr>
          <w:rFonts w:eastAsia="Times New Roman"/>
          <w:lang w:eastAsia="en-AU"/>
        </w:rPr>
        <w:lastRenderedPageBreak/>
        <w:t>the discs and waist are filled with polyester fabric. The polyester fabric is securely sewn to the device by polyester thread.</w:t>
      </w:r>
    </w:p>
    <w:p w:rsidR="00E57589" w:rsidRPr="00432448" w:rsidRDefault="00E57589" w:rsidP="00735D2D">
      <w:pPr>
        <w:autoSpaceDE w:val="0"/>
        <w:autoSpaceDN w:val="0"/>
        <w:adjustRightInd w:val="0"/>
        <w:spacing w:after="0" w:line="360" w:lineRule="auto"/>
        <w:jc w:val="left"/>
        <w:rPr>
          <w:rFonts w:eastAsia="Times New Roman"/>
          <w:lang w:eastAsia="en-AU"/>
        </w:rPr>
      </w:pPr>
    </w:p>
    <w:p w:rsidR="00E57589" w:rsidRDefault="00E57589" w:rsidP="00735D2D">
      <w:pPr>
        <w:autoSpaceDE w:val="0"/>
        <w:autoSpaceDN w:val="0"/>
        <w:adjustRightInd w:val="0"/>
        <w:spacing w:after="0" w:line="360" w:lineRule="auto"/>
        <w:jc w:val="left"/>
        <w:rPr>
          <w:rFonts w:eastAsia="Times New Roman"/>
          <w:lang w:eastAsia="en-AU"/>
        </w:rPr>
      </w:pPr>
      <w:r>
        <w:rPr>
          <w:rFonts w:eastAsia="Times New Roman"/>
          <w:lang w:eastAsia="en-AU"/>
        </w:rPr>
        <w:t>The design of the perimembranous device is slightly different from the Muscular VSD occluder. However, similar to the Amplatzer family devices, is made of nitinol wire which is self-expandable. The waist length is shorter, accommodating the defect located in the thin walled membranous septum. It is asymmetric with the shorter aortic end of the left ventricular disc for stable positioning.</w:t>
      </w:r>
    </w:p>
    <w:p w:rsidR="00E57589" w:rsidRDefault="00E57589" w:rsidP="00735D2D">
      <w:pPr>
        <w:autoSpaceDE w:val="0"/>
        <w:autoSpaceDN w:val="0"/>
        <w:adjustRightInd w:val="0"/>
        <w:spacing w:after="0" w:line="360" w:lineRule="auto"/>
        <w:jc w:val="left"/>
        <w:rPr>
          <w:rFonts w:eastAsia="Times New Roman"/>
          <w:lang w:eastAsia="en-AU"/>
        </w:rPr>
      </w:pPr>
    </w:p>
    <w:p w:rsidR="00E57589" w:rsidRDefault="00E57589" w:rsidP="00735D2D">
      <w:pPr>
        <w:autoSpaceDE w:val="0"/>
        <w:autoSpaceDN w:val="0"/>
        <w:adjustRightInd w:val="0"/>
        <w:spacing w:after="0" w:line="360" w:lineRule="auto"/>
        <w:jc w:val="left"/>
        <w:rPr>
          <w:rFonts w:eastAsia="Times New Roman"/>
          <w:lang w:eastAsia="en-AU"/>
        </w:rPr>
      </w:pPr>
      <w:r w:rsidRPr="00432448">
        <w:rPr>
          <w:rFonts w:eastAsia="Times New Roman"/>
          <w:lang w:eastAsia="en-AU"/>
        </w:rPr>
        <w:t>The AMPLATZER TorqVue Delivery System is intended to facilitate the attachment, loading, delivery and deployment of AMPLATZER VSD Occluder</w:t>
      </w:r>
      <w:r>
        <w:rPr>
          <w:rFonts w:eastAsia="Times New Roman"/>
          <w:lang w:eastAsia="en-AU"/>
        </w:rPr>
        <w:t>s</w:t>
      </w:r>
      <w:r w:rsidRPr="00432448">
        <w:rPr>
          <w:rFonts w:eastAsia="Times New Roman"/>
          <w:lang w:eastAsia="en-AU"/>
        </w:rPr>
        <w:t>. The AMPLATZER TorqVue Exchange System is intended for removal of an AMPLATZER TorqVue Delivery Sheath and subsequent exchange for an AMPLATZER Delivery Sheath of equal or larger diameter.</w:t>
      </w:r>
    </w:p>
    <w:p w:rsidR="00E57589" w:rsidRPr="00432448" w:rsidRDefault="00E57589" w:rsidP="007E51D5">
      <w:pPr>
        <w:autoSpaceDE w:val="0"/>
        <w:autoSpaceDN w:val="0"/>
        <w:adjustRightInd w:val="0"/>
        <w:spacing w:after="0" w:line="240" w:lineRule="auto"/>
        <w:jc w:val="left"/>
        <w:rPr>
          <w:rFonts w:eastAsia="Times New Roman"/>
          <w:lang w:eastAsia="en-AU"/>
        </w:rPr>
      </w:pPr>
    </w:p>
    <w:p w:rsidR="00E57589" w:rsidRDefault="002F64C0" w:rsidP="007E51D5">
      <w:pPr>
        <w:autoSpaceDE w:val="0"/>
        <w:autoSpaceDN w:val="0"/>
        <w:adjustRightInd w:val="0"/>
        <w:spacing w:after="0" w:line="240" w:lineRule="auto"/>
        <w:jc w:val="left"/>
        <w:rPr>
          <w:rFonts w:ascii="Arial" w:eastAsia="Times New Roman" w:hAnsi="Arial" w:cs="Arial"/>
          <w:sz w:val="22"/>
          <w:szCs w:val="22"/>
          <w:lang w:eastAsia="en-AU"/>
        </w:rPr>
      </w:pPr>
      <w:r>
        <w:rPr>
          <w:rFonts w:ascii="Arial" w:hAnsi="Arial" w:cs="Arial"/>
          <w:noProof/>
          <w:color w:val="586067"/>
          <w:sz w:val="18"/>
          <w:szCs w:val="18"/>
          <w:lang w:eastAsia="en-AU"/>
        </w:rPr>
        <w:drawing>
          <wp:inline distT="0" distB="0" distL="0" distR="0" wp14:anchorId="34C939B3" wp14:editId="26B754E8">
            <wp:extent cx="1967230" cy="988695"/>
            <wp:effectExtent l="0" t="0" r="0" b="1905"/>
            <wp:docPr id="1" name="Picture 5" descr="http://professional.sjm.com/~/media/pro/products/sh/a-f/amplatzer-muscular-vsd-occluder/intlus-thumbnail-amplatzer%20muscular%20vsd%20occluder.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fessional.sjm.com/~/media/pro/products/sh/a-f/amplatzer-muscular-vsd-occluder/intlus-thumbnail-amplatzer%20muscular%20vsd%20occluder.ash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7230" cy="988695"/>
                    </a:xfrm>
                    <a:prstGeom prst="rect">
                      <a:avLst/>
                    </a:prstGeom>
                    <a:noFill/>
                    <a:ln>
                      <a:noFill/>
                    </a:ln>
                  </pic:spPr>
                </pic:pic>
              </a:graphicData>
            </a:graphic>
          </wp:inline>
        </w:drawing>
      </w:r>
    </w:p>
    <w:p w:rsidR="00E57589" w:rsidRDefault="00E57589" w:rsidP="007E51D5">
      <w:pPr>
        <w:autoSpaceDE w:val="0"/>
        <w:autoSpaceDN w:val="0"/>
        <w:adjustRightInd w:val="0"/>
        <w:spacing w:after="0" w:line="240" w:lineRule="auto"/>
        <w:jc w:val="left"/>
        <w:rPr>
          <w:rFonts w:ascii="Arial" w:eastAsia="Times New Roman" w:hAnsi="Arial" w:cs="Arial"/>
          <w:sz w:val="22"/>
          <w:szCs w:val="22"/>
          <w:lang w:eastAsia="en-AU"/>
        </w:rPr>
      </w:pPr>
      <w:r>
        <w:rPr>
          <w:rFonts w:ascii="Arial" w:eastAsia="Times New Roman" w:hAnsi="Arial" w:cs="Arial"/>
          <w:sz w:val="22"/>
          <w:szCs w:val="22"/>
          <w:lang w:eastAsia="en-AU"/>
        </w:rPr>
        <w:t>Figure 1</w:t>
      </w:r>
      <w:r>
        <w:rPr>
          <w:rFonts w:ascii="Arial" w:eastAsia="Times New Roman" w:hAnsi="Arial" w:cs="Arial"/>
          <w:sz w:val="22"/>
          <w:szCs w:val="22"/>
          <w:lang w:eastAsia="en-AU"/>
        </w:rPr>
        <w:tab/>
        <w:t>AMPLATZER Muscular VSD occluder</w:t>
      </w:r>
    </w:p>
    <w:p w:rsidR="00E57589" w:rsidRDefault="00E57589" w:rsidP="00AC07F7">
      <w:pPr>
        <w:pStyle w:val="Heading2"/>
      </w:pPr>
    </w:p>
    <w:p w:rsidR="00E57589" w:rsidRPr="00A34E9C" w:rsidRDefault="00E57589" w:rsidP="00AC07F7">
      <w:pPr>
        <w:pStyle w:val="Heading2"/>
      </w:pPr>
      <w:bookmarkStart w:id="16" w:name="_Toc367181276"/>
      <w:r w:rsidRPr="00A34E9C">
        <w:t>Regulatory status</w:t>
      </w:r>
      <w:bookmarkEnd w:id="15"/>
      <w:bookmarkEnd w:id="16"/>
    </w:p>
    <w:p w:rsidR="00E57589" w:rsidRPr="00E706B6" w:rsidRDefault="00E57589" w:rsidP="00C24A05">
      <w:pPr>
        <w:spacing w:line="360" w:lineRule="auto"/>
      </w:pPr>
      <w:r w:rsidRPr="00854BF4">
        <w:t xml:space="preserve">The devices required for </w:t>
      </w:r>
      <w:r>
        <w:t>transcatheter closure of VSD</w:t>
      </w:r>
      <w:r w:rsidRPr="00854BF4">
        <w:t xml:space="preserve"> have been registered with the Therapeutic Goods Administration on the Australian Register o</w:t>
      </w:r>
      <w:r>
        <w:t>f Therapeutic Goods (ARTG) (see Table 3</w:t>
      </w:r>
      <w:r w:rsidRPr="00854BF4">
        <w:t>).</w:t>
      </w:r>
      <w:r>
        <w:t xml:space="preserve">  It </w:t>
      </w:r>
      <w:r w:rsidRPr="00E706B6">
        <w:t>should be noted that there are a couple of devices for VSD closure currently not listed on the ARTG but which are referred to in the international literature.  These include the Shanghai Shape Memory Alloy (SHSMA) occlude</w:t>
      </w:r>
      <w:r>
        <w:t>r</w:t>
      </w:r>
      <w:r w:rsidRPr="00E706B6">
        <w:t xml:space="preserve"> </w:t>
      </w:r>
      <w:r>
        <w:t>and the</w:t>
      </w:r>
      <w:r w:rsidRPr="00E706B6">
        <w:t xml:space="preserve"> S</w:t>
      </w:r>
      <w:r>
        <w:t>TARFlex Septal Occlusion System</w:t>
      </w:r>
      <w:r w:rsidRPr="00E706B6">
        <w:t>.</w:t>
      </w:r>
    </w:p>
    <w:p w:rsidR="00E57589" w:rsidRPr="00A34E9C" w:rsidRDefault="00E57589" w:rsidP="007145A5">
      <w:pPr>
        <w:pStyle w:val="Caption"/>
      </w:pPr>
      <w:r w:rsidRPr="00A34E9C">
        <w:lastRenderedPageBreak/>
        <w:t>Table</w:t>
      </w:r>
      <w:r>
        <w:t xml:space="preserve"> 3:  VSD Occluder Devices Listed on the ARTG </w:t>
      </w:r>
    </w:p>
    <w:tbl>
      <w:tblPr>
        <w:tblW w:w="9297" w:type="dxa"/>
        <w:tblBorders>
          <w:top w:val="single" w:sz="8" w:space="0" w:color="4BACC6"/>
          <w:left w:val="single" w:sz="8" w:space="0" w:color="4BACC6"/>
          <w:bottom w:val="single" w:sz="8" w:space="0" w:color="4BACC6"/>
          <w:right w:val="single" w:sz="8" w:space="0" w:color="4BACC6"/>
        </w:tblBorders>
        <w:tblLayout w:type="fixed"/>
        <w:tblLook w:val="01E0" w:firstRow="1" w:lastRow="1" w:firstColumn="1" w:lastColumn="1" w:noHBand="0" w:noVBand="0"/>
      </w:tblPr>
      <w:tblGrid>
        <w:gridCol w:w="907"/>
        <w:gridCol w:w="1247"/>
        <w:gridCol w:w="1077"/>
        <w:gridCol w:w="2381"/>
        <w:gridCol w:w="3685"/>
      </w:tblGrid>
      <w:tr w:rsidR="00E57589" w:rsidRPr="007A73AD" w:rsidTr="00AE4A64">
        <w:trPr>
          <w:trHeight w:val="397"/>
          <w:tblHeader/>
        </w:trPr>
        <w:tc>
          <w:tcPr>
            <w:tcW w:w="907" w:type="dxa"/>
            <w:tcBorders>
              <w:top w:val="single" w:sz="8" w:space="0" w:color="4BACC6"/>
            </w:tcBorders>
            <w:shd w:val="clear" w:color="auto" w:fill="4BACC6"/>
          </w:tcPr>
          <w:p w:rsidR="00E57589" w:rsidRPr="00AE4A64" w:rsidRDefault="00E57589" w:rsidP="00AE4A64">
            <w:pPr>
              <w:keepNext/>
              <w:tabs>
                <w:tab w:val="left" w:pos="2835"/>
              </w:tabs>
              <w:spacing w:before="40" w:after="0"/>
              <w:rPr>
                <w:rFonts w:ascii="Arial Narrow" w:hAnsi="Arial Narrow"/>
                <w:b/>
                <w:bCs/>
                <w:color w:val="FFFFFF"/>
              </w:rPr>
            </w:pPr>
            <w:r w:rsidRPr="00AE4A64">
              <w:rPr>
                <w:rFonts w:ascii="Arial Narrow" w:hAnsi="Arial Narrow"/>
                <w:bCs/>
                <w:color w:val="FFFFFF"/>
              </w:rPr>
              <w:t>Identifier</w:t>
            </w:r>
          </w:p>
        </w:tc>
        <w:tc>
          <w:tcPr>
            <w:tcW w:w="1247" w:type="dxa"/>
            <w:tcBorders>
              <w:top w:val="single" w:sz="8" w:space="0" w:color="4BACC6"/>
              <w:left w:val="single" w:sz="8" w:space="0" w:color="4BACC6"/>
              <w:right w:val="single" w:sz="8" w:space="0" w:color="4BACC6"/>
            </w:tcBorders>
            <w:shd w:val="clear" w:color="auto" w:fill="4BACC6"/>
          </w:tcPr>
          <w:p w:rsidR="00E57589" w:rsidRPr="00AE4A64" w:rsidRDefault="00E57589" w:rsidP="00AE4A64">
            <w:pPr>
              <w:keepNext/>
              <w:tabs>
                <w:tab w:val="left" w:pos="2835"/>
              </w:tabs>
              <w:spacing w:before="40" w:after="0"/>
              <w:rPr>
                <w:rFonts w:ascii="Arial Narrow" w:hAnsi="Arial Narrow"/>
                <w:b/>
                <w:bCs/>
                <w:color w:val="FFFFFF"/>
              </w:rPr>
            </w:pPr>
            <w:r w:rsidRPr="00AE4A64">
              <w:rPr>
                <w:rFonts w:ascii="Arial Narrow" w:hAnsi="Arial Narrow"/>
                <w:bCs/>
                <w:color w:val="FFFFFF"/>
              </w:rPr>
              <w:t>Sponsor</w:t>
            </w:r>
          </w:p>
        </w:tc>
        <w:tc>
          <w:tcPr>
            <w:tcW w:w="1077" w:type="dxa"/>
            <w:tcBorders>
              <w:top w:val="single" w:sz="8" w:space="0" w:color="4BACC6"/>
            </w:tcBorders>
            <w:shd w:val="clear" w:color="auto" w:fill="4BACC6"/>
          </w:tcPr>
          <w:p w:rsidR="00E57589" w:rsidRPr="00AE4A64" w:rsidRDefault="00E57589" w:rsidP="00AE4A64">
            <w:pPr>
              <w:keepNext/>
              <w:tabs>
                <w:tab w:val="left" w:pos="2835"/>
              </w:tabs>
              <w:spacing w:before="40" w:after="0"/>
              <w:rPr>
                <w:rFonts w:ascii="Arial Narrow" w:hAnsi="Arial Narrow"/>
                <w:b/>
                <w:bCs/>
                <w:color w:val="FFFFFF"/>
              </w:rPr>
            </w:pPr>
            <w:r w:rsidRPr="00AE4A64">
              <w:rPr>
                <w:rFonts w:ascii="Arial Narrow" w:hAnsi="Arial Narrow"/>
                <w:bCs/>
                <w:color w:val="FFFFFF"/>
              </w:rPr>
              <w:t>Start date</w:t>
            </w:r>
          </w:p>
        </w:tc>
        <w:tc>
          <w:tcPr>
            <w:tcW w:w="2381" w:type="dxa"/>
            <w:tcBorders>
              <w:top w:val="single" w:sz="8" w:space="0" w:color="4BACC6"/>
              <w:left w:val="single" w:sz="8" w:space="0" w:color="4BACC6"/>
              <w:right w:val="single" w:sz="8" w:space="0" w:color="4BACC6"/>
            </w:tcBorders>
            <w:shd w:val="clear" w:color="auto" w:fill="4BACC6"/>
          </w:tcPr>
          <w:p w:rsidR="00E57589" w:rsidRPr="00AE4A64" w:rsidRDefault="00E57589" w:rsidP="00AE4A64">
            <w:pPr>
              <w:keepNext/>
              <w:tabs>
                <w:tab w:val="left" w:pos="2835"/>
              </w:tabs>
              <w:spacing w:before="40" w:after="0"/>
              <w:rPr>
                <w:rFonts w:ascii="Arial Narrow" w:hAnsi="Arial Narrow"/>
                <w:b/>
                <w:bCs/>
                <w:color w:val="FFFFFF"/>
              </w:rPr>
            </w:pPr>
            <w:r w:rsidRPr="00AE4A64">
              <w:rPr>
                <w:rFonts w:ascii="Arial Narrow" w:hAnsi="Arial Narrow"/>
                <w:bCs/>
                <w:color w:val="FFFFFF"/>
              </w:rPr>
              <w:t>Description</w:t>
            </w:r>
          </w:p>
        </w:tc>
        <w:tc>
          <w:tcPr>
            <w:tcW w:w="3685" w:type="dxa"/>
            <w:tcBorders>
              <w:top w:val="single" w:sz="8" w:space="0" w:color="4BACC6"/>
            </w:tcBorders>
            <w:shd w:val="clear" w:color="auto" w:fill="4BACC6"/>
          </w:tcPr>
          <w:p w:rsidR="00E57589" w:rsidRPr="00AE4A64" w:rsidRDefault="00E57589" w:rsidP="00AE4A64">
            <w:pPr>
              <w:keepNext/>
              <w:tabs>
                <w:tab w:val="left" w:pos="2835"/>
              </w:tabs>
              <w:spacing w:before="40" w:after="0"/>
              <w:rPr>
                <w:rFonts w:ascii="Arial Narrow" w:hAnsi="Arial Narrow"/>
                <w:b/>
                <w:bCs/>
                <w:color w:val="FFFFFF"/>
              </w:rPr>
            </w:pPr>
            <w:r w:rsidRPr="00AE4A64">
              <w:rPr>
                <w:rFonts w:ascii="Arial Narrow" w:hAnsi="Arial Narrow"/>
                <w:bCs/>
                <w:color w:val="FFFFFF"/>
              </w:rPr>
              <w:t>Intended purpose</w:t>
            </w:r>
          </w:p>
        </w:tc>
      </w:tr>
      <w:tr w:rsidR="00E57589" w:rsidRPr="007A73AD" w:rsidTr="00AE4A64">
        <w:trPr>
          <w:trHeight w:val="315"/>
        </w:trPr>
        <w:tc>
          <w:tcPr>
            <w:tcW w:w="907" w:type="dxa"/>
            <w:tcBorders>
              <w:top w:val="single" w:sz="8" w:space="0" w:color="4BACC6"/>
              <w:bottom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
                <w:bCs/>
                <w:szCs w:val="18"/>
              </w:rPr>
              <w:t>134071</w:t>
            </w:r>
          </w:p>
        </w:tc>
        <w:tc>
          <w:tcPr>
            <w:tcW w:w="1247" w:type="dxa"/>
            <w:tcBorders>
              <w:top w:val="single" w:sz="8"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St Jude Medical Australia Pty Ltd</w:t>
            </w:r>
          </w:p>
        </w:tc>
        <w:tc>
          <w:tcPr>
            <w:tcW w:w="1077" w:type="dxa"/>
            <w:tcBorders>
              <w:top w:val="single" w:sz="8" w:space="0" w:color="4BACC6"/>
              <w:bottom w:val="single" w:sz="8" w:space="0" w:color="4BACC6"/>
            </w:tcBorders>
          </w:tcPr>
          <w:p w:rsidR="00E57589" w:rsidRPr="00AE4A64" w:rsidRDefault="00E57589" w:rsidP="00AE4A64">
            <w:pPr>
              <w:pStyle w:val="TableText0"/>
              <w:spacing w:before="0" w:after="0"/>
              <w:rPr>
                <w:rFonts w:cs="Tahoma"/>
                <w:color w:val="000000"/>
                <w:szCs w:val="18"/>
              </w:rPr>
            </w:pPr>
            <w:r w:rsidRPr="00AE4A64">
              <w:rPr>
                <w:rFonts w:cs="Tahoma"/>
                <w:color w:val="000000"/>
                <w:szCs w:val="18"/>
              </w:rPr>
              <w:t>20/12/2006</w:t>
            </w:r>
          </w:p>
        </w:tc>
        <w:tc>
          <w:tcPr>
            <w:tcW w:w="2381" w:type="dxa"/>
            <w:tcBorders>
              <w:top w:val="single" w:sz="8"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AMPLATZER Muscular VSD Occluder - Cardiac occluder</w:t>
            </w:r>
          </w:p>
        </w:tc>
        <w:tc>
          <w:tcPr>
            <w:tcW w:w="3685" w:type="dxa"/>
            <w:tcBorders>
              <w:top w:val="single" w:sz="8" w:space="0" w:color="4BACC6"/>
              <w:bottom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Cs/>
                <w:szCs w:val="18"/>
              </w:rPr>
              <w:t>For the non-surgical closure of muscular VSDs</w:t>
            </w:r>
          </w:p>
        </w:tc>
      </w:tr>
      <w:tr w:rsidR="00E57589" w:rsidRPr="007A73AD" w:rsidTr="00AE4A64">
        <w:trPr>
          <w:trHeight w:val="315"/>
        </w:trPr>
        <w:tc>
          <w:tcPr>
            <w:tcW w:w="907" w:type="dxa"/>
          </w:tcPr>
          <w:p w:rsidR="00E57589" w:rsidRPr="00AE4A64" w:rsidRDefault="00E57589" w:rsidP="00AE4A64">
            <w:pPr>
              <w:pStyle w:val="TableText0"/>
              <w:spacing w:before="0" w:after="0"/>
              <w:rPr>
                <w:rFonts w:cs="Tahoma"/>
                <w:b/>
                <w:bCs/>
                <w:szCs w:val="18"/>
              </w:rPr>
            </w:pPr>
            <w:r w:rsidRPr="00AE4A64">
              <w:rPr>
                <w:rFonts w:cs="Tahoma"/>
                <w:b/>
                <w:bCs/>
                <w:szCs w:val="18"/>
              </w:rPr>
              <w:t>134072</w:t>
            </w:r>
          </w:p>
        </w:tc>
        <w:tc>
          <w:tcPr>
            <w:tcW w:w="1247" w:type="dxa"/>
            <w:tcBorders>
              <w:left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St Jude Medical Australia Pty Ltd</w:t>
            </w:r>
          </w:p>
        </w:tc>
        <w:tc>
          <w:tcPr>
            <w:tcW w:w="1077" w:type="dxa"/>
          </w:tcPr>
          <w:p w:rsidR="00E57589" w:rsidRPr="00AE4A64" w:rsidRDefault="00E57589" w:rsidP="00AE4A64">
            <w:pPr>
              <w:pStyle w:val="TableText0"/>
              <w:spacing w:before="0" w:after="0"/>
              <w:rPr>
                <w:rFonts w:cs="Tahoma"/>
                <w:color w:val="000000"/>
                <w:szCs w:val="18"/>
              </w:rPr>
            </w:pPr>
            <w:r w:rsidRPr="00AE4A64">
              <w:rPr>
                <w:rFonts w:cs="Tahoma"/>
                <w:color w:val="000000"/>
                <w:szCs w:val="18"/>
              </w:rPr>
              <w:t>20/12/2006</w:t>
            </w:r>
          </w:p>
        </w:tc>
        <w:tc>
          <w:tcPr>
            <w:tcW w:w="2381" w:type="dxa"/>
            <w:tcBorders>
              <w:left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AMPLATZER Muscular VSD Occluder Post Myocardial Infarct (VSDMUSCPI) - Cardiac occluder</w:t>
            </w:r>
          </w:p>
        </w:tc>
        <w:tc>
          <w:tcPr>
            <w:tcW w:w="3685" w:type="dxa"/>
          </w:tcPr>
          <w:p w:rsidR="00E57589" w:rsidRPr="00AE4A64" w:rsidRDefault="00E57589" w:rsidP="00AE4A64">
            <w:pPr>
              <w:pStyle w:val="TableText0"/>
              <w:spacing w:after="0"/>
              <w:rPr>
                <w:rFonts w:cs="Tahoma"/>
                <w:b/>
                <w:bCs/>
                <w:szCs w:val="18"/>
              </w:rPr>
            </w:pPr>
            <w:r w:rsidRPr="00AE4A64">
              <w:rPr>
                <w:rFonts w:cs="Tahoma"/>
                <w:bCs/>
                <w:szCs w:val="18"/>
              </w:rPr>
              <w:t>For primary closure of muscular VSDs in patients with acute post MI and for closure of post-surgical residual shunts.</w:t>
            </w:r>
          </w:p>
        </w:tc>
      </w:tr>
      <w:tr w:rsidR="00E57589" w:rsidRPr="007A73AD" w:rsidTr="00AE4A64">
        <w:trPr>
          <w:trHeight w:val="315"/>
        </w:trPr>
        <w:tc>
          <w:tcPr>
            <w:tcW w:w="907" w:type="dxa"/>
            <w:tcBorders>
              <w:top w:val="single" w:sz="8" w:space="0" w:color="4BACC6"/>
              <w:bottom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
                <w:bCs/>
                <w:szCs w:val="18"/>
              </w:rPr>
              <w:t>134073</w:t>
            </w:r>
          </w:p>
        </w:tc>
        <w:tc>
          <w:tcPr>
            <w:tcW w:w="1247" w:type="dxa"/>
            <w:tcBorders>
              <w:top w:val="single" w:sz="8"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St Jude Medical Australia Pty Ltd</w:t>
            </w:r>
          </w:p>
        </w:tc>
        <w:tc>
          <w:tcPr>
            <w:tcW w:w="1077" w:type="dxa"/>
            <w:tcBorders>
              <w:top w:val="single" w:sz="8" w:space="0" w:color="4BACC6"/>
              <w:bottom w:val="single" w:sz="8" w:space="0" w:color="4BACC6"/>
            </w:tcBorders>
          </w:tcPr>
          <w:p w:rsidR="00E57589" w:rsidRPr="00AE4A64" w:rsidRDefault="00E57589" w:rsidP="00AE4A64">
            <w:pPr>
              <w:pStyle w:val="TableText0"/>
              <w:spacing w:before="0" w:after="0"/>
              <w:rPr>
                <w:rFonts w:cs="Tahoma"/>
                <w:color w:val="000000"/>
                <w:szCs w:val="18"/>
              </w:rPr>
            </w:pPr>
            <w:r w:rsidRPr="00AE4A64">
              <w:rPr>
                <w:rFonts w:cs="Tahoma"/>
                <w:color w:val="000000"/>
                <w:szCs w:val="18"/>
              </w:rPr>
              <w:t>20/12/2006</w:t>
            </w:r>
          </w:p>
        </w:tc>
        <w:tc>
          <w:tcPr>
            <w:tcW w:w="2381" w:type="dxa"/>
            <w:tcBorders>
              <w:top w:val="single" w:sz="8"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AMPLATZER Membranous VSD Occluder - Cardiac occluder</w:t>
            </w:r>
          </w:p>
        </w:tc>
        <w:tc>
          <w:tcPr>
            <w:tcW w:w="3685" w:type="dxa"/>
            <w:tcBorders>
              <w:top w:val="single" w:sz="8" w:space="0" w:color="4BACC6"/>
              <w:bottom w:val="single" w:sz="8" w:space="0" w:color="4BACC6"/>
            </w:tcBorders>
          </w:tcPr>
          <w:p w:rsidR="00E57589" w:rsidRPr="00AE4A64" w:rsidRDefault="00E57589" w:rsidP="00AE4A64">
            <w:pPr>
              <w:pStyle w:val="TableText0"/>
              <w:spacing w:after="0"/>
              <w:rPr>
                <w:rFonts w:cs="Tahoma"/>
                <w:b/>
                <w:bCs/>
                <w:szCs w:val="18"/>
              </w:rPr>
            </w:pPr>
            <w:r w:rsidRPr="00AE4A64">
              <w:rPr>
                <w:rFonts w:cs="Tahoma"/>
                <w:bCs/>
                <w:szCs w:val="18"/>
              </w:rPr>
              <w:t>For occlusion of h</w:t>
            </w:r>
            <w:r w:rsidR="003D388E">
              <w:rPr>
                <w:rFonts w:cs="Tahoma"/>
                <w:bCs/>
                <w:szCs w:val="18"/>
              </w:rPr>
              <w:t>a</w:t>
            </w:r>
            <w:r w:rsidRPr="00AE4A64">
              <w:rPr>
                <w:rFonts w:cs="Tahoma"/>
                <w:bCs/>
                <w:szCs w:val="18"/>
              </w:rPr>
              <w:t>emodynamically significant perimembranous VSD in the membranous ventricular septum</w:t>
            </w:r>
          </w:p>
        </w:tc>
      </w:tr>
      <w:tr w:rsidR="00E57589" w:rsidRPr="007A73AD" w:rsidTr="00AE4A64">
        <w:trPr>
          <w:trHeight w:val="315"/>
        </w:trPr>
        <w:tc>
          <w:tcPr>
            <w:tcW w:w="907" w:type="dxa"/>
          </w:tcPr>
          <w:p w:rsidR="00E57589" w:rsidRPr="00AE4A64" w:rsidRDefault="00E57589" w:rsidP="00AE4A64">
            <w:pPr>
              <w:pStyle w:val="TableText0"/>
              <w:spacing w:before="0" w:after="0"/>
              <w:rPr>
                <w:rFonts w:cs="Tahoma"/>
                <w:b/>
                <w:bCs/>
                <w:szCs w:val="18"/>
              </w:rPr>
            </w:pPr>
            <w:r w:rsidRPr="00AE4A64">
              <w:rPr>
                <w:rFonts w:cs="Tahoma"/>
                <w:b/>
                <w:bCs/>
                <w:szCs w:val="18"/>
              </w:rPr>
              <w:t>191136</w:t>
            </w:r>
          </w:p>
        </w:tc>
        <w:tc>
          <w:tcPr>
            <w:tcW w:w="1247" w:type="dxa"/>
            <w:tcBorders>
              <w:left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St Jude Medical Australia Pty Ltd</w:t>
            </w:r>
          </w:p>
        </w:tc>
        <w:tc>
          <w:tcPr>
            <w:tcW w:w="1077" w:type="dxa"/>
          </w:tcPr>
          <w:p w:rsidR="00E57589" w:rsidRPr="00AE4A64" w:rsidRDefault="00E57589" w:rsidP="00AE4A64">
            <w:pPr>
              <w:pStyle w:val="TableText0"/>
              <w:spacing w:before="0" w:after="0"/>
              <w:rPr>
                <w:rFonts w:cs="Tahoma"/>
                <w:color w:val="000000"/>
                <w:szCs w:val="18"/>
              </w:rPr>
            </w:pPr>
            <w:r w:rsidRPr="00AE4A64">
              <w:rPr>
                <w:rFonts w:cs="Tahoma"/>
                <w:color w:val="000000"/>
                <w:szCs w:val="18"/>
              </w:rPr>
              <w:t>27/10/2011</w:t>
            </w:r>
          </w:p>
        </w:tc>
        <w:tc>
          <w:tcPr>
            <w:tcW w:w="2381" w:type="dxa"/>
            <w:tcBorders>
              <w:left w:val="single" w:sz="8" w:space="0" w:color="4BACC6"/>
              <w:right w:val="single" w:sz="8" w:space="0" w:color="4BACC6"/>
            </w:tcBorders>
          </w:tcPr>
          <w:p w:rsidR="00E57589" w:rsidRPr="00AE4A64" w:rsidRDefault="00E57589" w:rsidP="00AE4A64">
            <w:pPr>
              <w:pStyle w:val="TableText0"/>
              <w:spacing w:before="0" w:after="0"/>
              <w:rPr>
                <w:rFonts w:cs="Tahoma"/>
                <w:szCs w:val="18"/>
              </w:rPr>
            </w:pPr>
            <w:r w:rsidRPr="00AE4A64">
              <w:rPr>
                <w:rFonts w:cs="Tahoma"/>
                <w:szCs w:val="18"/>
              </w:rPr>
              <w:t>AMPLATZER TorqVue LP Catheter - Cardiac occluder delivery kit</w:t>
            </w:r>
          </w:p>
        </w:tc>
        <w:tc>
          <w:tcPr>
            <w:tcW w:w="3685" w:type="dxa"/>
          </w:tcPr>
          <w:p w:rsidR="00E57589" w:rsidRPr="00AE4A64" w:rsidRDefault="00E57589" w:rsidP="00AE4A64">
            <w:pPr>
              <w:pStyle w:val="TableText0"/>
              <w:spacing w:after="0"/>
              <w:rPr>
                <w:rFonts w:cs="Tahoma"/>
                <w:b/>
                <w:bCs/>
                <w:szCs w:val="18"/>
              </w:rPr>
            </w:pPr>
            <w:r w:rsidRPr="00AE4A64">
              <w:rPr>
                <w:rFonts w:cs="Tahoma"/>
                <w:bCs/>
                <w:szCs w:val="18"/>
              </w:rPr>
              <w:t>The AMPLATZER TorqVue LP Catheter is intended to facilitate the loading, delivery, and deployment of AMPLATZER devices.</w:t>
            </w:r>
          </w:p>
        </w:tc>
      </w:tr>
      <w:tr w:rsidR="00E57589" w:rsidRPr="007A73AD" w:rsidTr="00AE4A64">
        <w:trPr>
          <w:trHeight w:val="315"/>
        </w:trPr>
        <w:tc>
          <w:tcPr>
            <w:tcW w:w="907" w:type="dxa"/>
            <w:tcBorders>
              <w:top w:val="double" w:sz="6" w:space="0" w:color="4BACC6"/>
              <w:bottom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
                <w:bCs/>
                <w:szCs w:val="18"/>
              </w:rPr>
              <w:t>162140</w:t>
            </w:r>
          </w:p>
        </w:tc>
        <w:tc>
          <w:tcPr>
            <w:tcW w:w="1247" w:type="dxa"/>
            <w:tcBorders>
              <w:top w:val="double" w:sz="6"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Cs/>
                <w:szCs w:val="18"/>
              </w:rPr>
              <w:t>St Jude Medical Australia Pty Ltd</w:t>
            </w:r>
          </w:p>
        </w:tc>
        <w:tc>
          <w:tcPr>
            <w:tcW w:w="1077" w:type="dxa"/>
            <w:tcBorders>
              <w:top w:val="double" w:sz="6" w:space="0" w:color="4BACC6"/>
              <w:bottom w:val="single" w:sz="8" w:space="0" w:color="4BACC6"/>
            </w:tcBorders>
          </w:tcPr>
          <w:p w:rsidR="00E57589" w:rsidRPr="00AE4A64" w:rsidRDefault="00E57589" w:rsidP="00AE4A64">
            <w:pPr>
              <w:pStyle w:val="TableText0"/>
              <w:spacing w:before="0" w:after="0"/>
              <w:rPr>
                <w:rFonts w:cs="Tahoma"/>
                <w:b/>
                <w:bCs/>
                <w:color w:val="000000"/>
                <w:szCs w:val="18"/>
              </w:rPr>
            </w:pPr>
            <w:r w:rsidRPr="00AE4A64">
              <w:rPr>
                <w:rFonts w:cs="Tahoma"/>
                <w:bCs/>
                <w:color w:val="000000"/>
                <w:szCs w:val="18"/>
              </w:rPr>
              <w:t>1/06/2009</w:t>
            </w:r>
          </w:p>
        </w:tc>
        <w:tc>
          <w:tcPr>
            <w:tcW w:w="2381" w:type="dxa"/>
            <w:tcBorders>
              <w:top w:val="double" w:sz="6" w:space="0" w:color="4BACC6"/>
              <w:left w:val="single" w:sz="8" w:space="0" w:color="4BACC6"/>
              <w:bottom w:val="single" w:sz="8" w:space="0" w:color="4BACC6"/>
              <w:right w:val="single" w:sz="8" w:space="0" w:color="4BACC6"/>
            </w:tcBorders>
          </w:tcPr>
          <w:p w:rsidR="00E57589" w:rsidRPr="00AE4A64" w:rsidRDefault="00E57589" w:rsidP="00AE4A64">
            <w:pPr>
              <w:pStyle w:val="TableText0"/>
              <w:spacing w:before="0" w:after="0"/>
              <w:rPr>
                <w:rFonts w:cs="Tahoma"/>
                <w:b/>
                <w:bCs/>
                <w:szCs w:val="18"/>
              </w:rPr>
            </w:pPr>
            <w:r w:rsidRPr="00AE4A64">
              <w:rPr>
                <w:rFonts w:cs="Tahoma"/>
                <w:bCs/>
                <w:szCs w:val="18"/>
              </w:rPr>
              <w:t>AMPLATZER TorqVue 45 X 45 degree Delivery Sheath - Cardiac occluder delivery kit</w:t>
            </w:r>
          </w:p>
        </w:tc>
        <w:tc>
          <w:tcPr>
            <w:tcW w:w="3685" w:type="dxa"/>
            <w:tcBorders>
              <w:top w:val="double" w:sz="6" w:space="0" w:color="4BACC6"/>
              <w:bottom w:val="single" w:sz="8" w:space="0" w:color="4BACC6"/>
            </w:tcBorders>
          </w:tcPr>
          <w:p w:rsidR="00E57589" w:rsidRPr="00AE4A64" w:rsidRDefault="00E57589" w:rsidP="00AE4A64">
            <w:pPr>
              <w:pStyle w:val="TableText0"/>
              <w:spacing w:after="0"/>
              <w:rPr>
                <w:rFonts w:cs="Tahoma"/>
                <w:b/>
                <w:bCs/>
                <w:szCs w:val="18"/>
              </w:rPr>
            </w:pPr>
            <w:r w:rsidRPr="00AE4A64">
              <w:rPr>
                <w:rFonts w:cs="Tahoma"/>
                <w:bCs/>
                <w:szCs w:val="18"/>
              </w:rPr>
              <w:t>To provide a pathway through which devices are introduced within the chambers and coronary vasculature of the heart or in the peripheral vasculature.</w:t>
            </w:r>
          </w:p>
        </w:tc>
      </w:tr>
    </w:tbl>
    <w:p w:rsidR="00E57589" w:rsidRDefault="00E57589" w:rsidP="00E3303F">
      <w:pPr>
        <w:pStyle w:val="Heading1"/>
      </w:pPr>
      <w:bookmarkStart w:id="17" w:name="_Toc314506868"/>
      <w:bookmarkStart w:id="18" w:name="_Toc358036530"/>
      <w:bookmarkStart w:id="19" w:name="_Toc367181277"/>
      <w:r w:rsidRPr="0049218D">
        <w:t>Patient populatio</w:t>
      </w:r>
      <w:r>
        <w:t>n</w:t>
      </w:r>
      <w:bookmarkEnd w:id="17"/>
      <w:bookmarkEnd w:id="18"/>
      <w:bookmarkEnd w:id="19"/>
    </w:p>
    <w:p w:rsidR="00E57589" w:rsidRDefault="00E57589" w:rsidP="00AE1CA8">
      <w:pPr>
        <w:spacing w:line="360" w:lineRule="auto"/>
      </w:pPr>
      <w:r>
        <w:t>Indications for closure of a VSD are related to the size, type and location of defect and the presence of signs and symptoms of cardiac failure.  In infancy, closure is recommended if the patient presents with poor growth, tachypnoea, tachycardia and diaphoresis.</w:t>
      </w:r>
      <w:r w:rsidRPr="00F63900">
        <w:t xml:space="preserve"> </w:t>
      </w:r>
      <w:r w:rsidRPr="00BB4CE9">
        <w:t xml:space="preserve">If a </w:t>
      </w:r>
      <w:r>
        <w:t xml:space="preserve">congenital </w:t>
      </w:r>
      <w:r w:rsidRPr="00BB4CE9">
        <w:t>VSD persists into adulthood, closure is required for the following indications: Left ventricular</w:t>
      </w:r>
      <w:r>
        <w:t xml:space="preserve"> and/or left atrial volume overload, history of infective endocarditis or development of aortic insufficiency caused by the VSD (Spies 2010). </w:t>
      </w:r>
    </w:p>
    <w:p w:rsidR="00E57589" w:rsidRDefault="00E57589" w:rsidP="00C24A05">
      <w:pPr>
        <w:spacing w:line="360" w:lineRule="auto"/>
      </w:pPr>
      <w:r>
        <w:t>While this intervention may be performed on both paediatric and adult patients, transcatheter closure of a VSD using an occlusion device will be limited by factors including the size of the patient, the diameter of the VSD and the anatomical type of the VSD</w:t>
      </w:r>
      <w:r w:rsidRPr="005319A3">
        <w:t>.</w:t>
      </w:r>
      <w:r w:rsidRPr="003E6D3B">
        <w:t xml:space="preserve"> </w:t>
      </w:r>
      <w:r>
        <w:t xml:space="preserve"> </w:t>
      </w:r>
    </w:p>
    <w:p w:rsidR="00E57589" w:rsidRDefault="00E57589" w:rsidP="00C24A05">
      <w:pPr>
        <w:spacing w:line="360" w:lineRule="auto"/>
      </w:pPr>
      <w:r>
        <w:t xml:space="preserve">This assessment focuses on patients eligible for primary closure of congenital muscular and perimembranous VSD’s by transcatheter and/or hybrid techniques.  </w:t>
      </w:r>
      <w:r w:rsidRPr="0091600C">
        <w:t>Surgery will remain the treatment of choice for doubly committed sub</w:t>
      </w:r>
      <w:r>
        <w:t>-</w:t>
      </w:r>
      <w:r w:rsidRPr="0091600C">
        <w:t>ar</w:t>
      </w:r>
      <w:r>
        <w:t>terial VSD</w:t>
      </w:r>
      <w:r w:rsidRPr="0091600C">
        <w:t>s</w:t>
      </w:r>
      <w:r>
        <w:t>,</w:t>
      </w:r>
      <w:r w:rsidRPr="0091600C">
        <w:t xml:space="preserve"> </w:t>
      </w:r>
      <w:r>
        <w:t xml:space="preserve">inlet VSDs and acquired VSDs treated in an emergency situation. </w:t>
      </w:r>
    </w:p>
    <w:p w:rsidR="00E57589" w:rsidRPr="00A34E9C" w:rsidRDefault="00E57589" w:rsidP="000901A8">
      <w:pPr>
        <w:pStyle w:val="Heading1"/>
      </w:pPr>
      <w:bookmarkStart w:id="20" w:name="_Toc358036531"/>
      <w:bookmarkStart w:id="21" w:name="_Toc367181278"/>
      <w:r w:rsidRPr="00A34E9C">
        <w:t>Intervention</w:t>
      </w:r>
      <w:bookmarkEnd w:id="20"/>
      <w:bookmarkEnd w:id="21"/>
    </w:p>
    <w:p w:rsidR="00E57589" w:rsidRDefault="00E57589" w:rsidP="00C24A05">
      <w:pPr>
        <w:spacing w:line="360" w:lineRule="auto"/>
      </w:pPr>
      <w:r>
        <w:t>Most patients with congenital VSDs would attend</w:t>
      </w:r>
      <w:r w:rsidRPr="005B0D54">
        <w:t xml:space="preserve"> a preadmission clinic</w:t>
      </w:r>
      <w:r>
        <w:t>,</w:t>
      </w:r>
      <w:r w:rsidRPr="005B0D54">
        <w:t xml:space="preserve"> where the patient is assessed and consent o</w:t>
      </w:r>
      <w:r>
        <w:t xml:space="preserve">btained before this procedure.  Patients would </w:t>
      </w:r>
      <w:r w:rsidRPr="005B0D54">
        <w:t xml:space="preserve">be admitted on the morning of the </w:t>
      </w:r>
      <w:r w:rsidRPr="005B0D54">
        <w:lastRenderedPageBreak/>
        <w:t>procedure and disc</w:t>
      </w:r>
      <w:r>
        <w:t>harged home the following day.</w:t>
      </w:r>
      <w:r w:rsidRPr="00AF791C">
        <w:t xml:space="preserve"> </w:t>
      </w:r>
      <w:r w:rsidRPr="005B0D54">
        <w:t xml:space="preserve">The duration of this procedure </w:t>
      </w:r>
      <w:r>
        <w:t>ranges from two to four hours.</w:t>
      </w:r>
    </w:p>
    <w:p w:rsidR="00E57589" w:rsidRDefault="00E57589" w:rsidP="00C24A05">
      <w:pPr>
        <w:spacing w:line="360" w:lineRule="auto"/>
      </w:pPr>
      <w:r>
        <w:t>The</w:t>
      </w:r>
      <w:r w:rsidRPr="005B0D54">
        <w:t xml:space="preserve"> </w:t>
      </w:r>
      <w:r>
        <w:t xml:space="preserve">transcatheter </w:t>
      </w:r>
      <w:r w:rsidRPr="005B0D54">
        <w:t>procedure is performed in a cardiac catheterisation lab</w:t>
      </w:r>
      <w:r>
        <w:t>oratory</w:t>
      </w:r>
      <w:r w:rsidRPr="005B0D54">
        <w:t>.  The staff required to run the laboratory and monitor the patient during the procedure w</w:t>
      </w:r>
      <w:r>
        <w:t>ould include a cardiologist</w:t>
      </w:r>
      <w:r w:rsidRPr="005B0D54">
        <w:t xml:space="preserve">, </w:t>
      </w:r>
      <w:r>
        <w:t>radiographer, a</w:t>
      </w:r>
      <w:r w:rsidRPr="005B0D54">
        <w:t>n</w:t>
      </w:r>
      <w:r>
        <w:t>a</w:t>
      </w:r>
      <w:r w:rsidRPr="005B0D54">
        <w:t>esthetist, and at least two nursing staff (nurse</w:t>
      </w:r>
      <w:r>
        <w:t xml:space="preserve"> assistant, nurse scout).</w:t>
      </w:r>
      <w:r w:rsidRPr="0046198A">
        <w:t xml:space="preserve"> </w:t>
      </w:r>
      <w:r>
        <w:t>The interventional cardiologist performs</w:t>
      </w:r>
      <w:r w:rsidRPr="005B0D54">
        <w:t xml:space="preserve"> the procedure often with the assistance of a</w:t>
      </w:r>
      <w:r w:rsidR="003D388E">
        <w:t>n</w:t>
      </w:r>
      <w:r>
        <w:t>assistant</w:t>
      </w:r>
      <w:r w:rsidRPr="005B0D54">
        <w:t>.</w:t>
      </w:r>
      <w:r>
        <w:t xml:space="preserve">  Hybrid surgery would be performed by a cardiac surgeon, under general anaesthetic in an operating theatre.</w:t>
      </w:r>
    </w:p>
    <w:p w:rsidR="00E57589" w:rsidRDefault="00E57589" w:rsidP="00C24A05">
      <w:pPr>
        <w:spacing w:line="360" w:lineRule="auto"/>
      </w:pPr>
      <w:r w:rsidRPr="005B0D54">
        <w:t xml:space="preserve">Initial left </w:t>
      </w:r>
      <w:r>
        <w:t>ventriculography</w:t>
      </w:r>
      <w:r w:rsidRPr="005B0D54">
        <w:t xml:space="preserve"> will delineate the anatom</w:t>
      </w:r>
      <w:r>
        <w:t>y of a VSD</w:t>
      </w:r>
      <w:r w:rsidRPr="005B0D54">
        <w:t xml:space="preserve"> and determine suitability for device closure</w:t>
      </w:r>
      <w:r>
        <w:t>.  TEE may be used to determine the approach and type of procedure.  Clinical advice is that the surgeon may shift between transcatheter and hybrid approaches.  Left ventriculography is performed</w:t>
      </w:r>
      <w:r w:rsidRPr="005B0D54">
        <w:t xml:space="preserve"> prior to release of the device</w:t>
      </w:r>
      <w:r>
        <w:t xml:space="preserve"> and</w:t>
      </w:r>
      <w:r w:rsidRPr="005B0D54">
        <w:t xml:space="preserve"> is repeate</w:t>
      </w:r>
      <w:r>
        <w:t>d once the device is released.</w:t>
      </w:r>
    </w:p>
    <w:p w:rsidR="00E57589" w:rsidRDefault="00E57589" w:rsidP="00455827"/>
    <w:p w:rsidR="00E57589" w:rsidRPr="00342A0A" w:rsidRDefault="00E57589" w:rsidP="00455827">
      <w:pPr>
        <w:pStyle w:val="Heading2"/>
      </w:pPr>
      <w:bookmarkStart w:id="22" w:name="_Toc358036532"/>
      <w:bookmarkStart w:id="23" w:name="_Toc367181279"/>
      <w:r w:rsidRPr="00342A0A">
        <w:t>Delivery of the intervention</w:t>
      </w:r>
      <w:bookmarkEnd w:id="22"/>
      <w:bookmarkEnd w:id="23"/>
    </w:p>
    <w:p w:rsidR="00E57589" w:rsidRDefault="00E57589" w:rsidP="00C24A05">
      <w:pPr>
        <w:spacing w:line="360" w:lineRule="auto"/>
      </w:pPr>
      <w:r w:rsidRPr="005B0D54">
        <w:t>Transcatheter closur</w:t>
      </w:r>
      <w:r>
        <w:t>e of a VSD</w:t>
      </w:r>
      <w:r w:rsidRPr="005B0D54">
        <w:t xml:space="preserve"> is performed under general an</w:t>
      </w:r>
      <w:r>
        <w:t>a</w:t>
      </w:r>
      <w:r w:rsidRPr="005B0D54">
        <w:t>esthesia in the paediatric population.  It may be performed with sed</w:t>
      </w:r>
      <w:r>
        <w:t>ation in the adult population.  Prior to the procedure, angiography is performed to define in detail the anatomy and size of the defect which allows planning for the intervention.</w:t>
      </w:r>
      <w:r w:rsidRPr="00A7534F">
        <w:t xml:space="preserve"> </w:t>
      </w:r>
    </w:p>
    <w:p w:rsidR="00E57589" w:rsidRDefault="00E57589" w:rsidP="00C24A05">
      <w:pPr>
        <w:spacing w:line="360" w:lineRule="auto"/>
      </w:pPr>
      <w:r>
        <w:t>Hybrid surgery is an emerging field in which patients are treated at the same time by interventional paediatric cardiologist and a cardiac surgeon.</w:t>
      </w:r>
      <w:r w:rsidRPr="00A7534F">
        <w:t xml:space="preserve"> </w:t>
      </w:r>
      <w:r>
        <w:t>The advantages of this technique over standard surgical techniques include the real-time feedback obtained by continuous TEE monitoring during device closure.  Further advantages include avoidance</w:t>
      </w:r>
      <w:r w:rsidRPr="00A7534F">
        <w:t xml:space="preserve"> </w:t>
      </w:r>
      <w:r>
        <w:t>of cardiopulmonary bypass (CPB) in patients with isolated VSDs or, if associated cardiac lesions are present, marked reduction in CBP and myocardial ischemia time (Emile 2005).</w:t>
      </w:r>
    </w:p>
    <w:p w:rsidR="00E57589" w:rsidRDefault="00E57589" w:rsidP="00C24A05">
      <w:pPr>
        <w:spacing w:line="360" w:lineRule="auto"/>
      </w:pPr>
      <w:r>
        <w:t>For transcatheter procedures, a</w:t>
      </w:r>
      <w:r w:rsidRPr="00513962">
        <w:t xml:space="preserve">ccess is </w:t>
      </w:r>
      <w:r>
        <w:t>commonly via the femoral route but can be via the neck depending on the position of the defect</w:t>
      </w:r>
      <w:r w:rsidRPr="00513962">
        <w:t>.</w:t>
      </w:r>
      <w:r>
        <w:t xml:space="preserve"> A small incision is made to introduce a guide wire into the femoral artery and also into the femoral vein in order to establish an arteriovenous wire loop. For hybrid surgery, access is gained via median sternotomy or subxiphoid minimally invasive incision.</w:t>
      </w:r>
      <w:r w:rsidRPr="00E262E7">
        <w:t xml:space="preserve"> </w:t>
      </w:r>
      <w:r>
        <w:t xml:space="preserve">With the hybrid procedure, a purse string suture is placed and the right ventricle is punctured using an 18 gauge needle and a 0.035 inch short guide wire is passed through the VSD from the right side. </w:t>
      </w:r>
    </w:p>
    <w:p w:rsidR="00E57589" w:rsidRDefault="00E57589" w:rsidP="00C24A05">
      <w:pPr>
        <w:spacing w:line="360" w:lineRule="auto"/>
      </w:pPr>
      <w:r>
        <w:t xml:space="preserve">In both techniques, once the wire tip is positioned in the left ventricular cavity, the needle is removed and a short, proper size, introducer sheath with the dilator is fed over the wire and advanced into the left ventricular cavity. The dilator is removed, sheath is de-aired and proper sized device is chosen. </w:t>
      </w:r>
      <w:r>
        <w:lastRenderedPageBreak/>
        <w:t xml:space="preserve">The device is pre-soaked in non-heparinised blood, screwed on to the cable, and pulled inside the loader. This is then advanced inside the short delivery sheath until the left ventricular disc opens up in the left ventricular cavity by retraction of the sheath over the cable. The entire assembly is withdrawn until the left ventricular disc abuts the septum. Further retraction of the sheath over the cable deploys the waist and then the right ventricular disc. At this stage, the device can still be recaptured into the delivery sheath if the position is unsatisfactory. If the position is satisfactory, the devices released by counter clockwise rotation of the cable using a pin vice. A complete TEE study in multiple planes is done to confirm the position and to assess for residual shunting in any obstruction regurgitation induced by the device. </w:t>
      </w:r>
    </w:p>
    <w:p w:rsidR="00E57589" w:rsidRDefault="00E57589" w:rsidP="00C24A05">
      <w:pPr>
        <w:spacing w:line="360" w:lineRule="auto"/>
      </w:pPr>
      <w:r w:rsidRPr="005B0D54">
        <w:t xml:space="preserve">Complications such as device embolisation can occur with an incidence of 1-2%.  </w:t>
      </w:r>
      <w:r>
        <w:t xml:space="preserve">The device may require percutaneous retrieval and a larger device implanted during the percutaneous procedure or while if this is unsuccessful, surgery may be required to close the defect. </w:t>
      </w:r>
    </w:p>
    <w:p w:rsidR="00E57589" w:rsidRDefault="00E57589" w:rsidP="00C24A05">
      <w:pPr>
        <w:spacing w:line="360" w:lineRule="auto"/>
      </w:pPr>
      <w:r>
        <w:t>Transcatheter closure of a VSD</w:t>
      </w:r>
      <w:r w:rsidRPr="00FB40FB">
        <w:t xml:space="preserve"> </w:t>
      </w:r>
      <w:r>
        <w:t>is usually a single procedure.</w:t>
      </w:r>
      <w:r w:rsidRPr="00FB40FB">
        <w:t xml:space="preserve">  </w:t>
      </w:r>
      <w:r>
        <w:t xml:space="preserve">Clinical advice is that it is not always possible to totally occlude the defect due to the age of the patient, severity of the symptoms and haemodynamic compromise.  A significant reduction of haemodynamic compromise, resulting in a reduction of the shunt and pulmonary hypertension, may be sufficient to prevent irreversible pulmonary vascular damage for which the only option is a heart-lung transplant. </w:t>
      </w:r>
    </w:p>
    <w:p w:rsidR="00E57589" w:rsidRDefault="00E57589" w:rsidP="00C24A05">
      <w:pPr>
        <w:spacing w:line="360" w:lineRule="auto"/>
      </w:pPr>
      <w:r>
        <w:t>Patients</w:t>
      </w:r>
      <w:r w:rsidRPr="00FB40FB">
        <w:t xml:space="preserve"> will require life-long follow up as is the case for </w:t>
      </w:r>
      <w:r>
        <w:t>patients</w:t>
      </w:r>
      <w:r w:rsidRPr="00FB40FB">
        <w:t xml:space="preserve"> who are treated surgically at present.  </w:t>
      </w:r>
      <w:r>
        <w:t>Monitoring will initially be quite frequent with follow up every two to three years once the defect has been significantly reduced or closed.</w:t>
      </w:r>
    </w:p>
    <w:p w:rsidR="00E57589" w:rsidRPr="0004489D" w:rsidRDefault="00E57589" w:rsidP="0004489D">
      <w:pPr>
        <w:pStyle w:val="Heading2"/>
      </w:pPr>
      <w:bookmarkStart w:id="24" w:name="_Toc367181280"/>
      <w:r>
        <w:t>Who will perform the procedure</w:t>
      </w:r>
      <w:bookmarkEnd w:id="24"/>
    </w:p>
    <w:p w:rsidR="00E57589" w:rsidRDefault="00E57589" w:rsidP="00AA6150">
      <w:pPr>
        <w:spacing w:line="360" w:lineRule="auto"/>
        <w:ind w:right="-113"/>
      </w:pPr>
      <w:r w:rsidRPr="005415A5">
        <w:t xml:space="preserve">The </w:t>
      </w:r>
      <w:r>
        <w:t>applicant indicates that the percutaneous</w:t>
      </w:r>
      <w:r w:rsidRPr="00A649A8">
        <w:t xml:space="preserve"> service would be provided by interventional cardiologists.  The biggest provider of the service is likely to be paediatric </w:t>
      </w:r>
      <w:r>
        <w:t>interventional cardiologists</w:t>
      </w:r>
      <w:r w:rsidRPr="00A649A8">
        <w:t xml:space="preserve"> although adult </w:t>
      </w:r>
      <w:r>
        <w:t xml:space="preserve">interventional </w:t>
      </w:r>
      <w:r w:rsidRPr="00A649A8">
        <w:t>cardiologists would be expected to perform this procedure</w:t>
      </w:r>
      <w:r>
        <w:t xml:space="preserve"> to treat patients in this age group</w:t>
      </w:r>
      <w:r w:rsidRPr="00A649A8">
        <w:t>.</w:t>
      </w:r>
      <w:r>
        <w:t xml:space="preserve"> The hybrid procedure would be performed with collaboration between congenital heart surgeons and interventional cardiologists.</w:t>
      </w:r>
    </w:p>
    <w:p w:rsidR="00E57589" w:rsidRDefault="00E57589" w:rsidP="00AA6150">
      <w:pPr>
        <w:spacing w:line="360" w:lineRule="auto"/>
      </w:pPr>
      <w:r>
        <w:t>The applicant indicates that, a</w:t>
      </w:r>
      <w:r w:rsidRPr="008853D7">
        <w:t>s this service is performed exclusively in large tertiary hospitals; patients diagnosed with this condition in regions will nee</w:t>
      </w:r>
      <w:r>
        <w:t>d to travel to a tertiary centre</w:t>
      </w:r>
      <w:r w:rsidRPr="008853D7">
        <w:t xml:space="preserve"> for treatment.  There </w:t>
      </w:r>
      <w:r>
        <w:t xml:space="preserve">may </w:t>
      </w:r>
      <w:r w:rsidRPr="008853D7">
        <w:t xml:space="preserve">be a requirement for this travel to be supported by </w:t>
      </w:r>
      <w:r>
        <w:t>a patient travel scheme</w:t>
      </w:r>
      <w:r w:rsidRPr="008853D7">
        <w:t>.</w:t>
      </w:r>
    </w:p>
    <w:p w:rsidR="00E57589" w:rsidRPr="00A34E9C" w:rsidRDefault="00E57589" w:rsidP="000901A8">
      <w:pPr>
        <w:pStyle w:val="Heading2"/>
      </w:pPr>
      <w:bookmarkStart w:id="25" w:name="_Toc358036534"/>
      <w:bookmarkStart w:id="26" w:name="_Toc367181281"/>
      <w:r w:rsidRPr="00A34E9C">
        <w:t xml:space="preserve">Co-administered </w:t>
      </w:r>
      <w:r>
        <w:t xml:space="preserve">and associated </w:t>
      </w:r>
      <w:r w:rsidRPr="00A34E9C">
        <w:t>interventions</w:t>
      </w:r>
      <w:bookmarkEnd w:id="25"/>
      <w:bookmarkEnd w:id="26"/>
    </w:p>
    <w:p w:rsidR="00E57589" w:rsidRPr="00FB40FB" w:rsidRDefault="00E57589" w:rsidP="00AA6150">
      <w:pPr>
        <w:spacing w:line="360" w:lineRule="auto"/>
      </w:pPr>
      <w:r w:rsidRPr="00FB40FB">
        <w:t>Once it is established that the VSD is suitable for closure by transcatheter approach, the patient will be referred to an interventional cardiologist (paediatric or adult).</w:t>
      </w:r>
      <w:r>
        <w:t xml:space="preserve">  </w:t>
      </w:r>
      <w:r w:rsidRPr="00FB40FB">
        <w:t xml:space="preserve">A pre-surgical consultation will </w:t>
      </w:r>
      <w:r w:rsidRPr="00FB40FB">
        <w:lastRenderedPageBreak/>
        <w:t>occur.  During this consultation the cardiologist will consider the patient’s symptoms and perform a physical examination</w:t>
      </w:r>
      <w:r>
        <w:t xml:space="preserve"> and a range of diagnostic tests</w:t>
      </w:r>
      <w:r w:rsidRPr="00FB40FB">
        <w:t>.</w:t>
      </w:r>
    </w:p>
    <w:p w:rsidR="00E57589" w:rsidRDefault="00E57589" w:rsidP="00AA6150">
      <w:pPr>
        <w:spacing w:line="360" w:lineRule="auto"/>
      </w:pPr>
      <w:r>
        <w:t>L</w:t>
      </w:r>
      <w:r w:rsidRPr="00FB40FB">
        <w:t xml:space="preserve">eft </w:t>
      </w:r>
      <w:r>
        <w:t>ventriculography</w:t>
      </w:r>
      <w:r w:rsidRPr="00FB40FB">
        <w:t xml:space="preserve"> will </w:t>
      </w:r>
      <w:r>
        <w:t>be performed immediately before, during and after the procedure.  Trans-oesophageal echocardiography may also be used to determine the best approach and type of procedure.</w:t>
      </w:r>
    </w:p>
    <w:p w:rsidR="00E57589" w:rsidRDefault="00E57589" w:rsidP="00AA6150">
      <w:pPr>
        <w:spacing w:line="360" w:lineRule="auto"/>
      </w:pPr>
      <w:r>
        <w:t>Most patients undergoing percutaneous occlusion will stay</w:t>
      </w:r>
      <w:r w:rsidRPr="00C0005D">
        <w:t xml:space="preserve"> overnight and </w:t>
      </w:r>
      <w:r>
        <w:t xml:space="preserve">be </w:t>
      </w:r>
      <w:r w:rsidRPr="00C0005D">
        <w:t>discharge</w:t>
      </w:r>
      <w:r>
        <w:t>d</w:t>
      </w:r>
      <w:r w:rsidRPr="00C0005D">
        <w:t xml:space="preserve"> </w:t>
      </w:r>
      <w:r>
        <w:t xml:space="preserve">from hospital </w:t>
      </w:r>
      <w:r w:rsidRPr="00C0005D">
        <w:t xml:space="preserve">the following day, following investigations </w:t>
      </w:r>
      <w:r>
        <w:t>including</w:t>
      </w:r>
      <w:r w:rsidRPr="00C0005D">
        <w:t xml:space="preserve"> echocardiography and chest x-ray.</w:t>
      </w:r>
    </w:p>
    <w:p w:rsidR="00E57589" w:rsidRDefault="00E57589" w:rsidP="00AA6150">
      <w:pPr>
        <w:spacing w:line="360" w:lineRule="auto"/>
      </w:pPr>
      <w:r>
        <w:t>Patients undergoing the hybrid technique may require a longer hospital stay, dependent on their comorbidities.  This would be considerably less than that expected for patients undergoing a formal surgical repair with cardiopulmonary bypass.</w:t>
      </w:r>
    </w:p>
    <w:p w:rsidR="00E57589" w:rsidRPr="00A34E9C" w:rsidRDefault="00E57589" w:rsidP="00DD0E6F">
      <w:pPr>
        <w:pStyle w:val="Heading1"/>
      </w:pPr>
      <w:bookmarkStart w:id="27" w:name="_Toc358036535"/>
      <w:bookmarkStart w:id="28" w:name="_Toc367181282"/>
      <w:r>
        <w:t>Listing proposed and options for MSAC consideration</w:t>
      </w:r>
      <w:bookmarkEnd w:id="27"/>
      <w:bookmarkEnd w:id="28"/>
    </w:p>
    <w:p w:rsidR="00E57589" w:rsidRPr="00A34E9C" w:rsidRDefault="00E57589" w:rsidP="000901A8">
      <w:pPr>
        <w:pStyle w:val="Heading2"/>
      </w:pPr>
      <w:bookmarkStart w:id="29" w:name="_Toc358036536"/>
      <w:bookmarkStart w:id="30" w:name="_Toc367181283"/>
      <w:r w:rsidRPr="00A34E9C">
        <w:t>Proposed MBS listing</w:t>
      </w:r>
      <w:bookmarkEnd w:id="29"/>
      <w:bookmarkEnd w:id="30"/>
    </w:p>
    <w:p w:rsidR="00E57589" w:rsidRDefault="00E57589" w:rsidP="001F69D5">
      <w:pPr>
        <w:spacing w:line="360" w:lineRule="auto"/>
      </w:pPr>
      <w:r>
        <w:t>Transcatheter closure of a VSD would be rendered in-hospital with surgical assistance.  The proposed MBS item descriptor is shown in Table 4.</w:t>
      </w:r>
    </w:p>
    <w:p w:rsidR="00E57589" w:rsidRDefault="00E57589" w:rsidP="00DB3DB1">
      <w:pPr>
        <w:pStyle w:val="Caption"/>
      </w:pPr>
      <w:r w:rsidRPr="00A34E9C">
        <w:t xml:space="preserve">Table </w:t>
      </w:r>
      <w:r>
        <w:t>4:  Proposed MBS item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3"/>
      </w:tblGrid>
      <w:tr w:rsidR="00E57589" w:rsidTr="00AE4A64">
        <w:trPr>
          <w:tblHeader/>
        </w:trPr>
        <w:tc>
          <w:tcPr>
            <w:tcW w:w="6973" w:type="dxa"/>
          </w:tcPr>
          <w:p w:rsidR="00E57589" w:rsidRPr="00AE4A64" w:rsidRDefault="00E57589" w:rsidP="00AE4A64">
            <w:pPr>
              <w:tabs>
                <w:tab w:val="left" w:pos="2835"/>
              </w:tabs>
              <w:spacing w:before="60" w:after="60" w:line="240" w:lineRule="auto"/>
              <w:rPr>
                <w:lang w:val="en-GB" w:eastAsia="ja-JP"/>
              </w:rPr>
            </w:pPr>
            <w:r w:rsidRPr="00AE4A64">
              <w:rPr>
                <w:lang w:val="en-GB" w:eastAsia="ja-JP"/>
              </w:rPr>
              <w:t>VENTRICULAR SEPTAL DEFECT, transcatheter closure of (Anaes.) (Assist.)</w:t>
            </w:r>
          </w:p>
          <w:p w:rsidR="00E57589" w:rsidRPr="00AE4A64" w:rsidRDefault="00E57589" w:rsidP="00AE4A64">
            <w:pPr>
              <w:tabs>
                <w:tab w:val="left" w:pos="2835"/>
              </w:tabs>
              <w:spacing w:after="60" w:line="240" w:lineRule="auto"/>
              <w:rPr>
                <w:lang w:val="en-GB" w:eastAsia="ja-JP"/>
              </w:rPr>
            </w:pPr>
            <w:r w:rsidRPr="00AE4A64">
              <w:rPr>
                <w:b/>
                <w:lang w:val="en-GB" w:eastAsia="ja-JP"/>
              </w:rPr>
              <w:t>Fee</w:t>
            </w:r>
            <w:r w:rsidRPr="00AE4A64">
              <w:rPr>
                <w:lang w:val="en-GB" w:eastAsia="ja-JP"/>
              </w:rPr>
              <w:t xml:space="preserve">: to be determined </w:t>
            </w:r>
            <w:r w:rsidRPr="00AE4A64">
              <w:rPr>
                <w:b/>
                <w:lang w:val="en-GB" w:eastAsia="ja-JP"/>
              </w:rPr>
              <w:t>Benefit</w:t>
            </w:r>
            <w:r w:rsidRPr="00AE4A64">
              <w:rPr>
                <w:lang w:val="en-GB" w:eastAsia="ja-JP"/>
              </w:rPr>
              <w:t xml:space="preserve">: 75% = </w:t>
            </w:r>
          </w:p>
        </w:tc>
      </w:tr>
    </w:tbl>
    <w:p w:rsidR="00E57589" w:rsidRPr="00B659AD" w:rsidRDefault="00E57589" w:rsidP="003F04CC">
      <w:pPr>
        <w:spacing w:before="240" w:line="360" w:lineRule="auto"/>
      </w:pPr>
      <w:r w:rsidRPr="00B659AD">
        <w:t xml:space="preserve">The </w:t>
      </w:r>
      <w:r>
        <w:t xml:space="preserve">applicant indicates that the </w:t>
      </w:r>
      <w:r w:rsidRPr="00B659AD">
        <w:t xml:space="preserve">technique </w:t>
      </w:r>
      <w:r>
        <w:t xml:space="preserve">where the technology is most closely aligned to the proposed services is </w:t>
      </w:r>
      <w:r w:rsidRPr="00B659AD">
        <w:t>transcatheter closure o</w:t>
      </w:r>
      <w:r>
        <w:t>f an atrial septal defect (ASD</w:t>
      </w:r>
      <w:r w:rsidRPr="00B659AD">
        <w:t xml:space="preserve">) and transcatheter closure of patent ductus arteriosus.  However, </w:t>
      </w:r>
      <w:r>
        <w:t xml:space="preserve">clinical advice is that </w:t>
      </w:r>
      <w:r w:rsidRPr="00B659AD">
        <w:t>the technique of transcatheter closure of VSD involves a much higher degree of complexity and is a significantly longer procedure.</w:t>
      </w:r>
      <w:r>
        <w:t xml:space="preserve">  This increased level of difficulty will need to be quantified in the assessment.  </w:t>
      </w:r>
      <w:r w:rsidRPr="00B659AD">
        <w:t>MBS item 38272</w:t>
      </w:r>
      <w:r>
        <w:t xml:space="preserve"> for transcatheter closure of ASD</w:t>
      </w:r>
      <w:r w:rsidRPr="00B659AD">
        <w:t xml:space="preserve"> has a schedule fee of $912.30 as of 1 November 2012</w:t>
      </w:r>
      <w:r>
        <w:t>.</w:t>
      </w:r>
    </w:p>
    <w:p w:rsidR="00E57589" w:rsidRDefault="00E57589" w:rsidP="004B0537">
      <w:pPr>
        <w:pStyle w:val="Caption"/>
      </w:pPr>
      <w:r>
        <w:t xml:space="preserve"> </w:t>
      </w:r>
      <w:r w:rsidRPr="00A34E9C">
        <w:t xml:space="preserve">Table </w:t>
      </w:r>
      <w:r>
        <w:t xml:space="preserve">5:  </w:t>
      </w:r>
      <w:r w:rsidRPr="00A34E9C">
        <w:t xml:space="preserve">MBS item descriptor for </w:t>
      </w:r>
      <w:r>
        <w:t>38272 as at 1 November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57589" w:rsidTr="00AE4A64">
        <w:trPr>
          <w:trHeight w:val="340"/>
          <w:tblHeader/>
        </w:trPr>
        <w:tc>
          <w:tcPr>
            <w:tcW w:w="9242" w:type="dxa"/>
            <w:shd w:val="clear" w:color="auto" w:fill="FFFFCC"/>
            <w:vAlign w:val="center"/>
          </w:tcPr>
          <w:p w:rsidR="00E57589" w:rsidRPr="00AE4A64" w:rsidRDefault="00E57589" w:rsidP="00AE4A64">
            <w:pPr>
              <w:tabs>
                <w:tab w:val="left" w:pos="2835"/>
              </w:tabs>
              <w:spacing w:after="0"/>
              <w:jc w:val="right"/>
              <w:rPr>
                <w:b/>
                <w:lang w:val="en-GB" w:eastAsia="ja-JP"/>
              </w:rPr>
            </w:pPr>
            <w:r w:rsidRPr="00AE4A64">
              <w:rPr>
                <w:b/>
                <w:lang w:val="en-GB" w:eastAsia="ja-JP"/>
              </w:rPr>
              <w:t>Category 3 – Cardio-Thoracic</w:t>
            </w:r>
          </w:p>
        </w:tc>
      </w:tr>
      <w:tr w:rsidR="00E57589" w:rsidTr="00AE4A64">
        <w:tc>
          <w:tcPr>
            <w:tcW w:w="9242" w:type="dxa"/>
          </w:tcPr>
          <w:p w:rsidR="00E57589" w:rsidRPr="00AE4A64" w:rsidRDefault="00E57589" w:rsidP="00AE4A64">
            <w:pPr>
              <w:tabs>
                <w:tab w:val="left" w:pos="2835"/>
              </w:tabs>
              <w:spacing w:before="60" w:after="60" w:line="240" w:lineRule="auto"/>
              <w:rPr>
                <w:lang w:val="en-GB" w:eastAsia="ja-JP"/>
              </w:rPr>
            </w:pPr>
            <w:r w:rsidRPr="00AE4A64">
              <w:rPr>
                <w:lang w:val="en-GB" w:eastAsia="ja-JP"/>
              </w:rPr>
              <w:t>ATRIAL SEPTAL DEFECT closure, with septal occluder or other similar device, by transcatheter approach (Anaes.) (Assist.)</w:t>
            </w:r>
          </w:p>
          <w:p w:rsidR="00E57589" w:rsidRPr="00AE4A64" w:rsidRDefault="00E57589" w:rsidP="00AE4A64">
            <w:pPr>
              <w:tabs>
                <w:tab w:val="left" w:pos="2835"/>
              </w:tabs>
              <w:spacing w:after="60" w:line="240" w:lineRule="auto"/>
              <w:rPr>
                <w:lang w:val="en-GB" w:eastAsia="ja-JP"/>
              </w:rPr>
            </w:pPr>
            <w:r w:rsidRPr="00AE4A64">
              <w:rPr>
                <w:lang w:val="en-GB" w:eastAsia="ja-JP"/>
              </w:rPr>
              <w:t>Fee: $912.30 Benefit: 75% = $684.25 85% = $837.80</w:t>
            </w:r>
          </w:p>
        </w:tc>
      </w:tr>
    </w:tbl>
    <w:p w:rsidR="00E57589" w:rsidRDefault="00E57589" w:rsidP="009B59B7">
      <w:pPr>
        <w:pStyle w:val="Heading2"/>
      </w:pPr>
      <w:bookmarkStart w:id="31" w:name="_Toc358036537"/>
    </w:p>
    <w:p w:rsidR="00E57589" w:rsidRDefault="00E57589" w:rsidP="009B59B7">
      <w:pPr>
        <w:pStyle w:val="Heading2"/>
      </w:pPr>
      <w:bookmarkStart w:id="32" w:name="_Toc367181284"/>
      <w:r w:rsidRPr="00A34E9C">
        <w:t>Clinical place for proposed intervention</w:t>
      </w:r>
      <w:bookmarkEnd w:id="31"/>
      <w:bookmarkEnd w:id="32"/>
    </w:p>
    <w:p w:rsidR="00E57589" w:rsidRDefault="00E57589" w:rsidP="002D0DCE">
      <w:pPr>
        <w:spacing w:line="360" w:lineRule="auto"/>
      </w:pPr>
      <w:r w:rsidRPr="004055D5">
        <w:t xml:space="preserve">Transcatheter closure of VSD is proposed as a substitute procedure for the currently funded surgical intervention.  </w:t>
      </w:r>
      <w:r>
        <w:t>However, not all VSD patients are</w:t>
      </w:r>
      <w:r w:rsidRPr="004055D5">
        <w:t xml:space="preserve"> suitable for device closure.  This decision will be determined by the </w:t>
      </w:r>
      <w:r>
        <w:t xml:space="preserve">factors including the </w:t>
      </w:r>
      <w:r w:rsidRPr="004055D5">
        <w:t>type and size of the VSD, the size of the patient</w:t>
      </w:r>
      <w:r>
        <w:t xml:space="preserve"> and the severity of the patient’s symptoms</w:t>
      </w:r>
      <w:r w:rsidRPr="004055D5">
        <w:t>.</w:t>
      </w:r>
      <w:r>
        <w:t xml:space="preserve">  </w:t>
      </w:r>
    </w:p>
    <w:p w:rsidR="00E57589" w:rsidRPr="004055D5" w:rsidRDefault="00E57589" w:rsidP="002D0DCE">
      <w:pPr>
        <w:spacing w:line="360" w:lineRule="auto"/>
      </w:pPr>
      <w:r>
        <w:t>Closure of a VSD may also be performed using a hybrid approach. Hybrid surgery is usually pre-planned and most commonly performed for muscular defects.  The decision is often based on patient size and whether additional procedures need to be performed.</w:t>
      </w:r>
    </w:p>
    <w:p w:rsidR="00E57589" w:rsidRDefault="00E57589" w:rsidP="002D0DCE">
      <w:pPr>
        <w:spacing w:line="360" w:lineRule="auto"/>
      </w:pPr>
      <w:r w:rsidRPr="0068142A">
        <w:t xml:space="preserve">The current management algorithm is illustrated in Figure </w:t>
      </w:r>
      <w:r>
        <w:t>2</w:t>
      </w:r>
      <w:r w:rsidRPr="0068142A">
        <w:t xml:space="preserve">.  </w:t>
      </w:r>
    </w:p>
    <w:p w:rsidR="00E57589" w:rsidRPr="0068142A" w:rsidRDefault="00E57589" w:rsidP="002D0DCE">
      <w:pPr>
        <w:spacing w:line="360" w:lineRule="auto"/>
      </w:pPr>
      <w:r>
        <w:t>Given transcatheter closure of VSD has been established for some time in the Australian health care setting, only one management algorithm is presented.  It should be noted that the clinical assessment in which patients are selected for transcatheter, hybrid or surgical closure of their VSD may be occurring during their initial presentation.  The diagram below illustrates this as sequential but in clinical reality clinicians may ascertain the characteristics of the VSD immediately on referral.  Additionally, the surgeon can shift between transcatheter and hybrid approaches with the decision made after a ventriculogram.  Therefore, hybrid surgery for closure of a VSD has been separated from the transcatheter approach in the algorithm.</w:t>
      </w:r>
    </w:p>
    <w:p w:rsidR="00E57589" w:rsidRPr="004B1405" w:rsidRDefault="00E57589" w:rsidP="004B1405">
      <w:pPr>
        <w:pStyle w:val="Caption"/>
        <w:ind w:left="0" w:firstLine="0"/>
        <w:rPr>
          <w:rFonts w:ascii="Tahoma" w:hAnsi="Tahoma"/>
          <w:color w:val="000000"/>
        </w:rPr>
      </w:pPr>
      <w:r>
        <w:rPr>
          <w:rFonts w:ascii="Tahoma" w:hAnsi="Tahoma"/>
          <w:color w:val="000000"/>
        </w:rPr>
        <w:lastRenderedPageBreak/>
        <w:t>Figure 2: Broad representation of the clinical management algorithm for diagnosis and treatment of VSD currently in Australia</w:t>
      </w:r>
    </w:p>
    <w:p w:rsidR="00E57589" w:rsidRPr="00E82781" w:rsidRDefault="002F64C0" w:rsidP="00A60831">
      <w:pPr>
        <w:rPr>
          <w:lang w:val="en-GB" w:eastAsia="ja-JP"/>
        </w:rPr>
      </w:pPr>
      <w:r>
        <w:rPr>
          <w:noProof/>
          <w:lang w:eastAsia="en-AU"/>
        </w:rPr>
        <mc:AlternateContent>
          <mc:Choice Requires="wpc">
            <w:drawing>
              <wp:inline distT="0" distB="0" distL="0" distR="0" wp14:anchorId="324735D9" wp14:editId="70E98A64">
                <wp:extent cx="5334000" cy="4000500"/>
                <wp:effectExtent l="0" t="0" r="0" b="0"/>
                <wp:docPr id="23" name="Canvas 3" descr="Title: Figure 1: Broad representation of the clinical management algorithm for diagnosis and treatment of VSD currently in Australia - Description: Figure 1: Broad representation of the clinical management algorithm for diagnosis and treatment of VSD currently in Australia"/>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524000" y="114300"/>
                            <a:ext cx="2285900" cy="342900"/>
                          </a:xfrm>
                          <a:prstGeom prst="rect">
                            <a:avLst/>
                          </a:prstGeom>
                          <a:solidFill>
                            <a:srgbClr val="FFFFFF"/>
                          </a:solidFill>
                          <a:ln w="9525">
                            <a:solidFill>
                              <a:srgbClr val="000000"/>
                            </a:solidFill>
                            <a:miter lim="800000"/>
                            <a:headEnd/>
                            <a:tailEnd/>
                          </a:ln>
                        </wps:spPr>
                        <wps:txbx>
                          <w:txbxContent>
                            <w:p w:rsidR="00E57589" w:rsidRPr="00822747" w:rsidRDefault="00E57589" w:rsidP="00822747">
                              <w:pPr>
                                <w:pStyle w:val="NormalWeb"/>
                                <w:keepNext/>
                                <w:spacing w:before="0" w:beforeAutospacing="0" w:after="0" w:afterAutospacing="0"/>
                                <w:jc w:val="center"/>
                                <w:rPr>
                                  <w:rFonts w:ascii="Arial Narrow" w:eastAsia="SimSun" w:hAnsi="Arial Narrow" w:cs="Arial"/>
                                  <w:sz w:val="18"/>
                                  <w:szCs w:val="18"/>
                                  <w:lang w:val="en-US"/>
                                </w:rPr>
                              </w:pPr>
                              <w:r w:rsidRPr="00822747">
                                <w:rPr>
                                  <w:rFonts w:ascii="Arial Narrow" w:eastAsia="SimSun" w:hAnsi="Arial Narrow" w:cs="Arial"/>
                                  <w:sz w:val="18"/>
                                  <w:szCs w:val="18"/>
                                  <w:lang w:val="en-US"/>
                                </w:rPr>
                                <w:t>Clinical diagnosis of VSD</w:t>
                              </w:r>
                            </w:p>
                          </w:txbxContent>
                        </wps:txbx>
                        <wps:bodyPr rot="0" vert="horz" wrap="square" lIns="18000" tIns="18000" rIns="18000" bIns="18000" anchor="ctr" anchorCtr="0" upright="1">
                          <a:noAutofit/>
                        </wps:bodyPr>
                      </wps:wsp>
                      <wps:wsp>
                        <wps:cNvPr id="4" name="Text Box 5"/>
                        <wps:cNvSpPr txBox="1">
                          <a:spLocks noChangeArrowheads="1"/>
                        </wps:cNvSpPr>
                        <wps:spPr bwMode="auto">
                          <a:xfrm>
                            <a:off x="1684000" y="685800"/>
                            <a:ext cx="1973600" cy="342000"/>
                          </a:xfrm>
                          <a:prstGeom prst="rect">
                            <a:avLst/>
                          </a:prstGeom>
                          <a:solidFill>
                            <a:srgbClr val="FFFFFF"/>
                          </a:solidFill>
                          <a:ln w="9525">
                            <a:solidFill>
                              <a:srgbClr val="000000"/>
                            </a:solidFill>
                            <a:miter lim="800000"/>
                            <a:headEnd/>
                            <a:tailEnd/>
                          </a:ln>
                        </wps:spPr>
                        <wps:txbx>
                          <w:txbxContent>
                            <w:p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Echocardiographic diagnosis of VSD</w:t>
                              </w:r>
                            </w:p>
                          </w:txbxContent>
                        </wps:txbx>
                        <wps:bodyPr rot="0" vert="horz" wrap="square" lIns="18000" tIns="18000" rIns="18000" bIns="18000" anchor="ctr" anchorCtr="0" upright="1">
                          <a:noAutofit/>
                        </wps:bodyPr>
                      </wps:wsp>
                      <wps:wsp>
                        <wps:cNvPr id="5" name="Text Box 7"/>
                        <wps:cNvSpPr txBox="1">
                          <a:spLocks noChangeArrowheads="1"/>
                        </wps:cNvSpPr>
                        <wps:spPr bwMode="auto">
                          <a:xfrm>
                            <a:off x="1830100" y="1257300"/>
                            <a:ext cx="1675100" cy="342900"/>
                          </a:xfrm>
                          <a:prstGeom prst="rect">
                            <a:avLst/>
                          </a:prstGeom>
                          <a:solidFill>
                            <a:srgbClr val="FFFFFF"/>
                          </a:solidFill>
                          <a:ln w="9525">
                            <a:solidFill>
                              <a:srgbClr val="000000"/>
                            </a:solidFill>
                            <a:miter lim="800000"/>
                            <a:headEnd/>
                            <a:tailEnd/>
                          </a:ln>
                        </wps:spPr>
                        <wps:txbx>
                          <w:txbxContent>
                            <w:p w:rsidR="00E57589" w:rsidRPr="00B01039" w:rsidRDefault="00E57589" w:rsidP="00A60831">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VSD</w:t>
                              </w:r>
                            </w:p>
                          </w:txbxContent>
                        </wps:txbx>
                        <wps:bodyPr rot="0" vert="horz" wrap="square" lIns="18000" tIns="18000" rIns="18000" bIns="18000" anchor="ctr" anchorCtr="0" upright="1">
                          <a:noAutofit/>
                        </wps:bodyPr>
                      </wps:wsp>
                      <wps:wsp>
                        <wps:cNvPr id="6" name="Text Box 30"/>
                        <wps:cNvSpPr txBox="1">
                          <a:spLocks noChangeArrowheads="1"/>
                        </wps:cNvSpPr>
                        <wps:spPr bwMode="auto">
                          <a:xfrm>
                            <a:off x="1523900" y="1828800"/>
                            <a:ext cx="2286000" cy="342900"/>
                          </a:xfrm>
                          <a:prstGeom prst="rect">
                            <a:avLst/>
                          </a:prstGeom>
                          <a:solidFill>
                            <a:srgbClr val="FFFFFF"/>
                          </a:solidFill>
                          <a:ln w="9525">
                            <a:solidFill>
                              <a:srgbClr val="000000"/>
                            </a:solidFill>
                            <a:miter lim="800000"/>
                            <a:headEnd/>
                            <a:tailEnd/>
                          </a:ln>
                        </wps:spPr>
                        <wps:txbx>
                          <w:txbxContent>
                            <w:p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Medical management where clinically indicated</w:t>
                              </w:r>
                            </w:p>
                          </w:txbxContent>
                        </wps:txbx>
                        <wps:bodyPr rot="0" vert="horz" wrap="square" lIns="18000" tIns="18000" rIns="18000" bIns="18000" anchor="ctr" anchorCtr="0" upright="1">
                          <a:noAutofit/>
                        </wps:bodyPr>
                      </wps:wsp>
                      <wps:wsp>
                        <wps:cNvPr id="7" name="Text Box 14"/>
                        <wps:cNvSpPr txBox="1">
                          <a:spLocks noChangeArrowheads="1"/>
                        </wps:cNvSpPr>
                        <wps:spPr bwMode="auto">
                          <a:xfrm>
                            <a:off x="1524000" y="2971800"/>
                            <a:ext cx="2438400" cy="342900"/>
                          </a:xfrm>
                          <a:prstGeom prst="rect">
                            <a:avLst/>
                          </a:prstGeom>
                          <a:solidFill>
                            <a:srgbClr val="FFFFFF"/>
                          </a:solidFill>
                          <a:ln w="9525">
                            <a:solidFill>
                              <a:srgbClr val="000000"/>
                            </a:solidFill>
                            <a:miter lim="800000"/>
                            <a:headEnd/>
                            <a:tailEnd/>
                          </a:ln>
                        </wps:spPr>
                        <wps:txbx>
                          <w:txbxContent>
                            <w:p w:rsidR="00E57589" w:rsidRPr="00B01039" w:rsidRDefault="00E57589" w:rsidP="00A60831">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closure </w:t>
                              </w:r>
                            </w:p>
                          </w:txbxContent>
                        </wps:txbx>
                        <wps:bodyPr rot="0" vert="horz" wrap="square" lIns="18000" tIns="18000" rIns="18000" bIns="18000" anchor="ctr" anchorCtr="0" upright="1">
                          <a:noAutofit/>
                        </wps:bodyPr>
                      </wps:wsp>
                      <wps:wsp>
                        <wps:cNvPr id="8" name="Text Box 30"/>
                        <wps:cNvSpPr txBox="1">
                          <a:spLocks noChangeArrowheads="1"/>
                        </wps:cNvSpPr>
                        <wps:spPr bwMode="auto">
                          <a:xfrm>
                            <a:off x="3810000" y="3543300"/>
                            <a:ext cx="1371600" cy="342900"/>
                          </a:xfrm>
                          <a:prstGeom prst="rect">
                            <a:avLst/>
                          </a:prstGeom>
                          <a:solidFill>
                            <a:srgbClr val="FFFFFF"/>
                          </a:solidFill>
                          <a:ln w="9525">
                            <a:solidFill>
                              <a:srgbClr val="000000"/>
                            </a:solidFill>
                            <a:miter lim="800000"/>
                            <a:headEnd/>
                            <a:tailEnd/>
                          </a:ln>
                        </wps:spPr>
                        <wps:txbx>
                          <w:txbxContent>
                            <w:p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Surgical closure of VSD</w:t>
                              </w:r>
                            </w:p>
                          </w:txbxContent>
                        </wps:txbx>
                        <wps:bodyPr rot="0" vert="horz" wrap="square" lIns="18000" tIns="18000" rIns="18000" bIns="18000" anchor="ctr" anchorCtr="0" upright="1">
                          <a:noAutofit/>
                        </wps:bodyPr>
                      </wps:wsp>
                      <wps:wsp>
                        <wps:cNvPr id="9" name="Text Box 30"/>
                        <wps:cNvSpPr txBox="1">
                          <a:spLocks noChangeArrowheads="1"/>
                        </wps:cNvSpPr>
                        <wps:spPr bwMode="auto">
                          <a:xfrm>
                            <a:off x="158800" y="3543300"/>
                            <a:ext cx="1365100" cy="342900"/>
                          </a:xfrm>
                          <a:prstGeom prst="rect">
                            <a:avLst/>
                          </a:prstGeom>
                          <a:solidFill>
                            <a:srgbClr val="FFFFFF"/>
                          </a:solidFill>
                          <a:ln w="9525">
                            <a:solidFill>
                              <a:srgbClr val="000000"/>
                            </a:solidFill>
                            <a:miter lim="800000"/>
                            <a:headEnd/>
                            <a:tailEnd/>
                          </a:ln>
                        </wps:spPr>
                        <wps:txbx>
                          <w:txbxContent>
                            <w:p w:rsidR="00E57589" w:rsidRPr="00B01039" w:rsidRDefault="00E57589" w:rsidP="00A60831">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Transcatheter closure of VSD</w:t>
                              </w:r>
                            </w:p>
                          </w:txbxContent>
                        </wps:txbx>
                        <wps:bodyPr rot="0" vert="horz" wrap="square" lIns="18000" tIns="18000" rIns="18000" bIns="18000" anchor="ctr" anchorCtr="0" upright="1">
                          <a:noAutofit/>
                        </wps:bodyPr>
                      </wps:wsp>
                      <wps:wsp>
                        <wps:cNvPr id="10" name="Text Box 30"/>
                        <wps:cNvSpPr txBox="1">
                          <a:spLocks noChangeArrowheads="1"/>
                        </wps:cNvSpPr>
                        <wps:spPr bwMode="auto">
                          <a:xfrm>
                            <a:off x="1684000" y="2400300"/>
                            <a:ext cx="1973600" cy="342900"/>
                          </a:xfrm>
                          <a:prstGeom prst="rect">
                            <a:avLst/>
                          </a:prstGeom>
                          <a:solidFill>
                            <a:srgbClr val="FFFFFF"/>
                          </a:solidFill>
                          <a:ln w="9525">
                            <a:solidFill>
                              <a:srgbClr val="000000"/>
                            </a:solidFill>
                            <a:miter lim="800000"/>
                            <a:headEnd/>
                            <a:tailEnd/>
                          </a:ln>
                        </wps:spPr>
                        <wps:txbx>
                          <w:txbxContent>
                            <w:p w:rsidR="00E57589" w:rsidRPr="00B01039" w:rsidRDefault="00E57589" w:rsidP="00A60831">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Remains clinically significant</w:t>
                              </w:r>
                            </w:p>
                          </w:txbxContent>
                        </wps:txbx>
                        <wps:bodyPr rot="0" vert="horz" wrap="square" lIns="18000" tIns="18000" rIns="18000" bIns="18000" anchor="ctr" anchorCtr="0" upright="1">
                          <a:noAutofit/>
                        </wps:bodyPr>
                      </wps:wsp>
                      <wps:wsp>
                        <wps:cNvPr id="11" name="Straight Arrow Connector 493"/>
                        <wps:cNvCnPr>
                          <a:cxnSpLocks noChangeShapeType="1"/>
                        </wps:cNvCnPr>
                        <wps:spPr bwMode="auto">
                          <a:xfrm>
                            <a:off x="2667000" y="457200"/>
                            <a:ext cx="38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Straight Arrow Connector 494"/>
                        <wps:cNvCnPr>
                          <a:cxnSpLocks noChangeShapeType="1"/>
                        </wps:cNvCnPr>
                        <wps:spPr bwMode="auto">
                          <a:xfrm flipH="1">
                            <a:off x="2667600" y="1027800"/>
                            <a:ext cx="3200" cy="229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495"/>
                        <wps:cNvCnPr>
                          <a:cxnSpLocks noChangeShapeType="1"/>
                        </wps:cNvCnPr>
                        <wps:spPr bwMode="auto">
                          <a:xfrm flipH="1">
                            <a:off x="2666900" y="1600200"/>
                            <a:ext cx="39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Straight Arrow Connector 496"/>
                        <wps:cNvCnPr>
                          <a:cxnSpLocks noChangeShapeType="1"/>
                        </wps:cNvCnPr>
                        <wps:spPr bwMode="auto">
                          <a:xfrm flipH="1">
                            <a:off x="2670800" y="21717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Straight Arrow Connector 497"/>
                        <wps:cNvCnPr>
                          <a:cxnSpLocks noChangeShapeType="1"/>
                        </wps:cNvCnPr>
                        <wps:spPr bwMode="auto">
                          <a:xfrm>
                            <a:off x="2670800" y="274320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Straight Connector 498"/>
                        <wps:cNvCnPr/>
                        <wps:spPr bwMode="auto">
                          <a:xfrm>
                            <a:off x="2743200" y="33147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499"/>
                        <wps:cNvCnPr/>
                        <wps:spPr bwMode="auto">
                          <a:xfrm>
                            <a:off x="2743200" y="3429000"/>
                            <a:ext cx="1676400" cy="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500"/>
                        <wps:cNvCnPr/>
                        <wps:spPr bwMode="auto">
                          <a:xfrm flipH="1">
                            <a:off x="762000" y="3429000"/>
                            <a:ext cx="1981200" cy="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Arrow Connector 501"/>
                        <wps:cNvCnPr>
                          <a:cxnSpLocks noChangeShapeType="1"/>
                        </wps:cNvCnPr>
                        <wps:spPr bwMode="auto">
                          <a:xfrm>
                            <a:off x="4419600" y="343370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502"/>
                        <wps:cNvCnPr>
                          <a:cxnSpLocks noChangeShapeType="1"/>
                        </wps:cNvCnPr>
                        <wps:spPr bwMode="auto">
                          <a:xfrm>
                            <a:off x="762000" y="343370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0"/>
                        <wps:cNvSpPr txBox="1">
                          <a:spLocks noChangeArrowheads="1"/>
                        </wps:cNvSpPr>
                        <wps:spPr bwMode="auto">
                          <a:xfrm>
                            <a:off x="1981200" y="3548000"/>
                            <a:ext cx="1364600" cy="342900"/>
                          </a:xfrm>
                          <a:prstGeom prst="rect">
                            <a:avLst/>
                          </a:prstGeom>
                          <a:solidFill>
                            <a:srgbClr val="FFFFFF"/>
                          </a:solidFill>
                          <a:ln w="9525">
                            <a:solidFill>
                              <a:srgbClr val="000000"/>
                            </a:solidFill>
                            <a:miter lim="800000"/>
                            <a:headEnd/>
                            <a:tailEnd/>
                          </a:ln>
                        </wps:spPr>
                        <wps:txbx>
                          <w:txbxContent>
                            <w:p w:rsidR="00E57589" w:rsidRDefault="00E57589" w:rsidP="00E46692">
                              <w:pPr>
                                <w:pStyle w:val="NormalWeb"/>
                                <w:spacing w:before="0" w:beforeAutospacing="0" w:after="0" w:afterAutospacing="0"/>
                                <w:jc w:val="center"/>
                              </w:pPr>
                              <w:r>
                                <w:rPr>
                                  <w:rFonts w:ascii="Arial Narrow" w:hAnsi="Arial Narrow"/>
                                  <w:sz w:val="18"/>
                                  <w:szCs w:val="18"/>
                                </w:rPr>
                                <w:t>Hybrid surgery for closure of VSD</w:t>
                              </w:r>
                            </w:p>
                          </w:txbxContent>
                        </wps:txbx>
                        <wps:bodyPr rot="0" vert="horz" wrap="square" lIns="18000" tIns="18000" rIns="18000" bIns="18000" anchor="ctr" anchorCtr="0" upright="1">
                          <a:noAutofit/>
                        </wps:bodyPr>
                      </wps:wsp>
                      <wps:wsp>
                        <wps:cNvPr id="22" name="Straight Arrow Connector 2"/>
                        <wps:cNvCnPr>
                          <a:cxnSpLocks noChangeShapeType="1"/>
                        </wps:cNvCnPr>
                        <wps:spPr bwMode="auto">
                          <a:xfrm>
                            <a:off x="2743200" y="3433700"/>
                            <a:ext cx="0" cy="1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 o:spid="_x0000_s1026" editas="canvas" alt="Description: Title: Figure 1: Broad representation of the clinical management algorithm for diagnosis and treatment of VSD currently in Australia - Description: Figure 1: Broad representation of the clinical management algorithm for diagnosis and treatment of VSD currently in Australia" style="width:420pt;height:315pt;mso-position-horizontal-relative:char;mso-position-vertical-relative:line" coordsize="53340,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Figure 1: Broad representation of the clinical management algorithm for diagnosis and treatment of VSD currently in Australia - Description: Figure 1: Broad representation of the clinical management algorithm for diagnosis and treatment of VSD currently in Australia" style="position:absolute;width:53340;height:400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240;top:1143;width:2285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RnPMUA&#10;AADaAAAADwAAAGRycy9kb3ducmV2LnhtbESPQWsCMRSE74L/IbyCl1Kziki7NYqIiogI2vbQ22Pz&#10;uru6eVmS6K7/3ggFj8PMfMNMZq2pxJWcLy0rGPQTEMSZ1SXnCr6/Vm/vIHxA1lhZJgU38jCbdjsT&#10;TLVt+EDXY8hFhLBPUUERQp1K6bOCDPq+rYmj92edwRCly6V22ES4qeQwScbSYMlxocCaFgVl5+PF&#10;KNg2H6fb6FTP18vd9nd8fv3Zu3agVO+lnX+CCNSGZ/i/vdEKhvC4Em+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Gc8xQAAANoAAAAPAAAAAAAAAAAAAAAAAJgCAABkcnMv&#10;ZG93bnJldi54bWxQSwUGAAAAAAQABAD1AAAAigMAAAAA&#10;">
                  <v:textbox inset=".5mm,.5mm,.5mm,.5mm">
                    <w:txbxContent>
                      <w:p w14:paraId="010C2F52" w14:textId="77777777" w:rsidR="00E57589" w:rsidRPr="00822747" w:rsidRDefault="00E57589" w:rsidP="00822747">
                        <w:pPr>
                          <w:pStyle w:val="NormalWeb"/>
                          <w:keepNext/>
                          <w:spacing w:before="0" w:beforeAutospacing="0" w:after="0" w:afterAutospacing="0"/>
                          <w:jc w:val="center"/>
                          <w:rPr>
                            <w:rFonts w:ascii="Arial Narrow" w:eastAsia="SimSun" w:hAnsi="Arial Narrow" w:cs="Arial"/>
                            <w:sz w:val="18"/>
                            <w:szCs w:val="18"/>
                            <w:lang w:val="en-US"/>
                          </w:rPr>
                        </w:pPr>
                        <w:r w:rsidRPr="00822747">
                          <w:rPr>
                            <w:rFonts w:ascii="Arial Narrow" w:eastAsia="SimSun" w:hAnsi="Arial Narrow" w:cs="Arial"/>
                            <w:sz w:val="18"/>
                            <w:szCs w:val="18"/>
                            <w:lang w:val="en-US"/>
                          </w:rPr>
                          <w:t>Clinical diagnosis of VSD</w:t>
                        </w:r>
                      </w:p>
                    </w:txbxContent>
                  </v:textbox>
                </v:shape>
                <v:shape id="Text Box 5" o:spid="_x0000_s1029" type="#_x0000_t202" style="position:absolute;left:16840;top:6858;width:19736;height:3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08UA&#10;AADaAAAADwAAAGRycy9kb3ducmV2LnhtbESPQWsCMRSE70L/Q3hCL6VmLSLtahQpKiIiaNuDt8fm&#10;ubu6eVmS6K7/3ggFj8PMfMOMp62pxJWcLy0r6PcSEMSZ1SXnCn5/Fu+fIHxA1lhZJgU38jCdvHTG&#10;mGrb8I6u+5CLCGGfooIihDqV0mcFGfQ9WxNH72idwRCly6V22ES4qeRHkgylwZLjQoE1fReUnfcX&#10;o2DdfJ1ug1M9W84368Pw/Pa3dW1fqdduOxuBCNSGZ/i/vdIKBvC4Em+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rTxQAAANoAAAAPAAAAAAAAAAAAAAAAAJgCAABkcnMv&#10;ZG93bnJldi54bWxQSwUGAAAAAAQABAD1AAAAigMAAAAA&#10;">
                  <v:textbox inset=".5mm,.5mm,.5mm,.5mm">
                    <w:txbxContent>
                      <w:p w14:paraId="0AA97621" w14:textId="77777777"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Echocardiographic diagnosis of VSD</w:t>
                        </w:r>
                      </w:p>
                    </w:txbxContent>
                  </v:textbox>
                </v:shape>
                <v:shape id="Text Box 7" o:spid="_x0000_s1030" type="#_x0000_t202" style="position:absolute;left:18301;top:12573;width:1675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SMYA&#10;AADaAAAADwAAAGRycy9kb3ducmV2LnhtbESPT2sCMRTE74LfIbxCL6JZpYpujSJiS5Ei+O/Q22Pz&#10;uru6eVmS1F2/fVMQehxm5jfMfNmaStzI+dKyguEgAUGcWV1yruB0fOtPQfiArLGyTAru5GG56Hbm&#10;mGrb8J5uh5CLCGGfooIihDqV0mcFGfQDWxNH79s6gyFKl0vtsIlwU8lRkkykwZLjQoE1rQvKrocf&#10;o2DbzC73l0u9et98br8m195559qhUs9P7eoVRKA2/Icf7Q+tYAx/V+IN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3/SMYAAADaAAAADwAAAAAAAAAAAAAAAACYAgAAZHJz&#10;L2Rvd25yZXYueG1sUEsFBgAAAAAEAAQA9QAAAIsDAAAAAA==&#10;">
                  <v:textbox inset=".5mm,.5mm,.5mm,.5mm">
                    <w:txbxContent>
                      <w:p w14:paraId="16816344" w14:textId="77777777" w:rsidR="00E57589" w:rsidRPr="00B01039" w:rsidRDefault="00E57589" w:rsidP="00A60831">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VSD</w:t>
                        </w:r>
                      </w:p>
                    </w:txbxContent>
                  </v:textbox>
                </v:shape>
                <v:shape id="Text Box 30" o:spid="_x0000_s1031" type="#_x0000_t202" style="position:absolute;left:15239;top:18288;width:2286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9hP8YA&#10;AADaAAAADwAAAGRycy9kb3ducmV2LnhtbESPT2vCQBTE7wW/w/KEXkQ3Sgk1uoqUWooUof45eHtk&#10;n0k0+zbsbk389t2C0OMwM79h5svO1OJGzleWFYxHCQji3OqKCwWH/Xr4CsIHZI21ZVJwJw/LRe9p&#10;jpm2LX/TbRcKESHsM1RQhtBkUvq8JIN+ZBvi6J2tMxiidIXUDtsIN7WcJEkqDVYcF0ps6K2k/Lr7&#10;MQo27fRyf7k0q4/3r80pvQ6OW9eNlXrud6sZiEBd+A8/2p9aQQp/V+IN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9hP8YAAADaAAAADwAAAAAAAAAAAAAAAACYAgAAZHJz&#10;L2Rvd25yZXYueG1sUEsFBgAAAAAEAAQA9QAAAIsDAAAAAA==&#10;">
                  <v:textbox inset=".5mm,.5mm,.5mm,.5mm">
                    <w:txbxContent>
                      <w:p w14:paraId="661B4EB1" w14:textId="77777777"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Medical management where clinically indicated</w:t>
                        </w:r>
                      </w:p>
                    </w:txbxContent>
                  </v:textbox>
                </v:shape>
                <v:shape id="Text Box 14" o:spid="_x0000_s1032" type="#_x0000_t202" style="position:absolute;left:15240;top:29718;width:2438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EpMUA&#10;AADaAAAADwAAAGRycy9kb3ducmV2LnhtbESPQWsCMRSE70L/Q3hCL0Wzili7GkWKLSKlULUHb4/N&#10;c3d187Ikqbv+eyMUPA4z8w0zW7SmEhdyvrSsYNBPQBBnVpecK9jvPnoTED4ga6wsk4IreVjMnzoz&#10;TLVt+Icu25CLCGGfooIihDqV0mcFGfR9WxNH72idwRCly6V22ES4qeQwScbSYMlxocCa3gvKzts/&#10;o2DTvJ2uo1O9/Fx9bQ7j88vvt2sHSj132+UURKA2PML/7bVW8Ar3K/EG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I8SkxQAAANoAAAAPAAAAAAAAAAAAAAAAAJgCAABkcnMv&#10;ZG93bnJldi54bWxQSwUGAAAAAAQABAD1AAAAigMAAAAA&#10;">
                  <v:textbox inset=".5mm,.5mm,.5mm,.5mm">
                    <w:txbxContent>
                      <w:p w14:paraId="5ACDE4E6" w14:textId="77777777" w:rsidR="00E57589" w:rsidRPr="00B01039" w:rsidRDefault="00E57589" w:rsidP="00A60831">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closure </w:t>
                        </w:r>
                      </w:p>
                    </w:txbxContent>
                  </v:textbox>
                </v:shape>
                <v:shape id="Text Box 30" o:spid="_x0000_s1033" type="#_x0000_t202" style="position:absolute;left:38100;top:35433;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Q1sIA&#10;AADaAAAADwAAAGRycy9kb3ducmV2LnhtbERPz2vCMBS+D/Y/hDfYRTR1iMxqFBmbiIhgpwdvj+at&#10;rTYvJYm2/vfmIOz48f2eLTpTixs5X1lWMBwkIIhzqysuFBx+f/qfIHxA1lhbJgV38rCYv77MMNW2&#10;5T3dslCIGMI+RQVlCE0qpc9LMugHtiGO3J91BkOErpDaYRvDTS0/kmQsDVYcG0ps6Kuk/JJdjYJN&#10;OznfR+dmufrebk7jS++4c91Qqfe3bjkFEagL/+Kne60VxK3xSr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FDWwgAAANoAAAAPAAAAAAAAAAAAAAAAAJgCAABkcnMvZG93&#10;bnJldi54bWxQSwUGAAAAAAQABAD1AAAAhwMAAAAA&#10;">
                  <v:textbox inset=".5mm,.5mm,.5mm,.5mm">
                    <w:txbxContent>
                      <w:p w14:paraId="6BB2D553" w14:textId="77777777" w:rsidR="00E57589" w:rsidRDefault="00E57589" w:rsidP="00A60831">
                        <w:pPr>
                          <w:pStyle w:val="NormalWeb"/>
                          <w:keepNext/>
                          <w:spacing w:before="0" w:beforeAutospacing="0" w:after="0" w:afterAutospacing="0"/>
                          <w:jc w:val="center"/>
                        </w:pPr>
                        <w:r>
                          <w:rPr>
                            <w:rFonts w:ascii="Arial Narrow" w:eastAsia="SimSun" w:hAnsi="Arial Narrow" w:cs="Arial"/>
                            <w:sz w:val="18"/>
                            <w:szCs w:val="18"/>
                            <w:lang w:val="en-US"/>
                          </w:rPr>
                          <w:t>Surgical closure of VSD</w:t>
                        </w:r>
                      </w:p>
                    </w:txbxContent>
                  </v:textbox>
                </v:shape>
                <v:shape id="Text Box 30" o:spid="_x0000_s1034" type="#_x0000_t202" style="position:absolute;left:1588;top:35433;width:1365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1TcYA&#10;AADaAAAADwAAAGRycy9kb3ducmV2LnhtbESPW2sCMRSE3wv9D+EU+lI0axHRrVFEbCkihXp58O2w&#10;Od1d3ZwsSbqXf2+EQh+HmfmGmS87U4mGnC8tKxgNExDEmdUl5wqOh/fBFIQPyBory6SgJw/LxePD&#10;HFNtW/6mZh9yESHsU1RQhFCnUvqsIIN+aGvi6P1YZzBE6XKpHbYRbir5miQTabDkuFBgTeuCsuv+&#10;1yjYtrNLP77Uq4/NbnueXF9OX64bKfX81K3eQATqwn/4r/2pFczgfiXe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D1TcYAAADaAAAADwAAAAAAAAAAAAAAAACYAgAAZHJz&#10;L2Rvd25yZXYueG1sUEsFBgAAAAAEAAQA9QAAAIsDAAAAAA==&#10;">
                  <v:textbox inset=".5mm,.5mm,.5mm,.5mm">
                    <w:txbxContent>
                      <w:p w14:paraId="39B9B7CB" w14:textId="77777777" w:rsidR="00E57589" w:rsidRPr="00B01039" w:rsidRDefault="00E57589" w:rsidP="00A60831">
                        <w:pPr>
                          <w:pStyle w:val="NormalWeb"/>
                          <w:keepNext/>
                          <w:spacing w:before="0" w:beforeAutospacing="0" w:after="0" w:afterAutospacing="0"/>
                          <w:jc w:val="center"/>
                          <w:rPr>
                            <w:rFonts w:ascii="Arial Narrow" w:hAnsi="Arial Narrow"/>
                            <w:sz w:val="18"/>
                            <w:szCs w:val="18"/>
                          </w:rPr>
                        </w:pPr>
                        <w:proofErr w:type="spellStart"/>
                        <w:r>
                          <w:rPr>
                            <w:rFonts w:ascii="Arial Narrow" w:hAnsi="Arial Narrow"/>
                            <w:sz w:val="18"/>
                            <w:szCs w:val="18"/>
                          </w:rPr>
                          <w:t>Transcatheter</w:t>
                        </w:r>
                        <w:proofErr w:type="spellEnd"/>
                        <w:r>
                          <w:rPr>
                            <w:rFonts w:ascii="Arial Narrow" w:hAnsi="Arial Narrow"/>
                            <w:sz w:val="18"/>
                            <w:szCs w:val="18"/>
                          </w:rPr>
                          <w:t xml:space="preserve"> closure of VSD</w:t>
                        </w:r>
                      </w:p>
                    </w:txbxContent>
                  </v:textbox>
                </v:shape>
                <v:shape id="Text Box 30" o:spid="_x0000_s1035" type="#_x0000_t202" style="position:absolute;left:16840;top:24003;width:1973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ZxMcA&#10;AADbAAAADwAAAGRycy9kb3ducmV2LnhtbESPQWvCQBCF74X+h2UKvZS6sYi0qatIaUWkCKZ66G3I&#10;TpNodjbsrib++86h0NsM781738wWg2vVhUJsPBsYjzJQxKW3DVcG9l8fj8+gYkK22HomA1eKsJjf&#10;3swwt77nHV2KVCkJ4ZijgTqlLtc6ljU5jCPfEYv244PDJGuotA3YS7hr9VOWTbXDhqWhxo7eaipP&#10;xdkZ2PQvx+vk2C1X75+b7+np4bANw9iY+7th+Qoq0ZD+zX/Xayv4Qi+/yAB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fGcTHAAAA2wAAAA8AAAAAAAAAAAAAAAAAmAIAAGRy&#10;cy9kb3ducmV2LnhtbFBLBQYAAAAABAAEAPUAAACMAwAAAAA=&#10;">
                  <v:textbox inset=".5mm,.5mm,.5mm,.5mm">
                    <w:txbxContent>
                      <w:p w14:paraId="5AC091CC" w14:textId="77777777" w:rsidR="00E57589" w:rsidRPr="00B01039" w:rsidRDefault="00E57589" w:rsidP="00A60831">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Remains clinically significant</w:t>
                        </w:r>
                      </w:p>
                    </w:txbxContent>
                  </v:textbox>
                </v:shape>
                <v:shapetype id="_x0000_t32" coordsize="21600,21600" o:spt="32" o:oned="t" path="m,l21600,21600e" filled="f">
                  <v:path arrowok="t" fillok="f" o:connecttype="none"/>
                  <o:lock v:ext="edit" shapetype="t"/>
                </v:shapetype>
                <v:shape id="Straight Arrow Connector 493" o:spid="_x0000_s1036" type="#_x0000_t32" style="position:absolute;left:26670;top:4572;width:38;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Straight Arrow Connector 494" o:spid="_x0000_s1037" type="#_x0000_t32" style="position:absolute;left:26676;top:10278;width:32;height:2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Straight Arrow Connector 495" o:spid="_x0000_s1038" type="#_x0000_t32" style="position:absolute;left:26669;top:16002;width:39;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Straight Arrow Connector 496" o:spid="_x0000_s1039" type="#_x0000_t32" style="position:absolute;left:26708;top:21717;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Straight Arrow Connector 497" o:spid="_x0000_s1040" type="#_x0000_t32" style="position:absolute;left:26708;top:27432;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line id="Straight Connector 498" o:spid="_x0000_s1041" style="position:absolute;visibility:visible;mso-wrap-style:square" from="27432,33147" to="27432,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Straight Connector 499" o:spid="_x0000_s1042" style="position:absolute;visibility:visible;mso-wrap-style:square" from="27432,34290" to="44196,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Straight Connector 500" o:spid="_x0000_s1043" style="position:absolute;flip:x;visibility:visible;mso-wrap-style:square" from="7620,34290" to="27432,3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shape id="Straight Arrow Connector 501" o:spid="_x0000_s1044" type="#_x0000_t32" style="position:absolute;left:44196;top:34337;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Straight Arrow Connector 502" o:spid="_x0000_s1045" type="#_x0000_t32" style="position:absolute;left:7620;top:34337;width:0;height:1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30" o:spid="_x0000_s1046" type="#_x0000_t202" style="position:absolute;left:19812;top:35480;width:1364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924scA&#10;AADbAAAADwAAAGRycy9kb3ducmV2LnhtbESPT2vCQBTE7wW/w/IKvRTdREQ0uopIW4pIof45eHtk&#10;X5No9m3Y3Zr47V2h0OMwM79h5svO1OJKzleWFaSDBARxbnXFhYLD/r0/AeEDssbaMim4kYflovc0&#10;x0zblr/puguFiBD2GSooQ2gyKX1ekkE/sA1x9H6sMxiidIXUDtsIN7UcJslYGqw4LpTY0Lqk/LL7&#10;NQo27fR8G52b1cfbdnMaX16PX65LlXp57lYzEIG68B/+a39qBcMUHl/iD5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duLHAAAA2wAAAA8AAAAAAAAAAAAAAAAAmAIAAGRy&#10;cy9kb3ducmV2LnhtbFBLBQYAAAAABAAEAPUAAACMAwAAAAA=&#10;">
                  <v:textbox inset=".5mm,.5mm,.5mm,.5mm">
                    <w:txbxContent>
                      <w:p w14:paraId="08850387" w14:textId="77777777" w:rsidR="00E57589" w:rsidRDefault="00E57589" w:rsidP="00E46692">
                        <w:pPr>
                          <w:pStyle w:val="NormalWeb"/>
                          <w:spacing w:before="0" w:beforeAutospacing="0" w:after="0" w:afterAutospacing="0"/>
                          <w:jc w:val="center"/>
                        </w:pPr>
                        <w:r>
                          <w:rPr>
                            <w:rFonts w:ascii="Arial Narrow" w:hAnsi="Arial Narrow"/>
                            <w:sz w:val="18"/>
                            <w:szCs w:val="18"/>
                          </w:rPr>
                          <w:t>Hybrid surgery for closure of VSD</w:t>
                        </w:r>
                      </w:p>
                    </w:txbxContent>
                  </v:textbox>
                </v:shape>
                <v:shape id="Straight Arrow Connector 2" o:spid="_x0000_s1047" type="#_x0000_t32" style="position:absolute;left:27432;top:34337;width:0;height:1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w10:anchorlock/>
              </v:group>
            </w:pict>
          </mc:Fallback>
        </mc:AlternateContent>
      </w:r>
    </w:p>
    <w:p w:rsidR="00E57589" w:rsidRPr="004B1405" w:rsidRDefault="00E57589" w:rsidP="00B059B0">
      <w:pPr>
        <w:keepLines/>
        <w:spacing w:line="360" w:lineRule="auto"/>
      </w:pPr>
      <w:r w:rsidRPr="004B1405">
        <w:t>The applicant claims transcatheter closure is a direct substitute (i.e. provides patients with a new treatment alternative) for the currently subsidised intervention of surgical closure of VSD.  However, it should be noted that there are some patients for whom transcatheter closure is not an option, such as patients with inlet or sub</w:t>
      </w:r>
      <w:r>
        <w:t>-</w:t>
      </w:r>
      <w:r w:rsidRPr="004B1405">
        <w:t>arterial VSDs.</w:t>
      </w:r>
    </w:p>
    <w:p w:rsidR="00E57589" w:rsidRPr="00A34E9C" w:rsidRDefault="00E57589" w:rsidP="000901A8">
      <w:pPr>
        <w:pStyle w:val="Heading1"/>
      </w:pPr>
      <w:bookmarkStart w:id="33" w:name="_Toc358036538"/>
      <w:bookmarkStart w:id="34" w:name="_Toc367181285"/>
      <w:r w:rsidRPr="00A34E9C">
        <w:t>Comparator</w:t>
      </w:r>
      <w:bookmarkEnd w:id="33"/>
      <w:bookmarkEnd w:id="34"/>
    </w:p>
    <w:p w:rsidR="00E57589" w:rsidRDefault="00E57589" w:rsidP="003F04CC">
      <w:pPr>
        <w:spacing w:line="360" w:lineRule="auto"/>
      </w:pPr>
      <w:r>
        <w:t>According to the applicant, t</w:t>
      </w:r>
      <w:r w:rsidRPr="006212E9">
        <w:t>he standard therapy for treatmen</w:t>
      </w:r>
      <w:r>
        <w:t>t of a VSD is surgical closure utilis</w:t>
      </w:r>
      <w:r w:rsidRPr="006212E9">
        <w:t>ing cardiopulmonary bypass</w:t>
      </w:r>
      <w:r>
        <w:t xml:space="preserve"> (item 38751).  Therefore surgical closure item 38751 is suggested as the appropriate comparator for the proposed service.  However, the comparator item 38751 is restricted to patients with “congenital heart disease” (i.e. it is not reimbursable for closure of an acquired VSD).  The Schedule fee for MBS item 38751 (Table 6), which excludes transcatheter techniques, is </w:t>
      </w:r>
      <w:r w:rsidRPr="006212E9">
        <w:t>$2,134.50</w:t>
      </w:r>
      <w:r>
        <w:t>.</w:t>
      </w:r>
    </w:p>
    <w:p w:rsidR="00E57589" w:rsidRDefault="00E57589" w:rsidP="003F04CC">
      <w:pPr>
        <w:spacing w:line="360" w:lineRule="auto"/>
      </w:pPr>
      <w:r>
        <w:t>Surgical closure item 38751 is also the most appropriate comparator for transcatheter closure of acquired VSD.</w:t>
      </w:r>
    </w:p>
    <w:p w:rsidR="00E57589" w:rsidRDefault="00E57589" w:rsidP="00107C81">
      <w:pPr>
        <w:pStyle w:val="Caption"/>
      </w:pPr>
      <w:bookmarkStart w:id="35" w:name="_Ref283049171"/>
      <w:r w:rsidRPr="00A34E9C">
        <w:lastRenderedPageBreak/>
        <w:t>Table</w:t>
      </w:r>
      <w:r>
        <w:t xml:space="preserve"> </w:t>
      </w:r>
      <w:bookmarkEnd w:id="35"/>
      <w:r>
        <w:t xml:space="preserve">6:  </w:t>
      </w:r>
      <w:r w:rsidRPr="00A34E9C">
        <w:t xml:space="preserve">MBS item </w:t>
      </w:r>
      <w:r>
        <w:t>38751 – item descriptor as at 1 November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57589" w:rsidTr="00AE4A64">
        <w:trPr>
          <w:trHeight w:val="340"/>
          <w:tblHeader/>
        </w:trPr>
        <w:tc>
          <w:tcPr>
            <w:tcW w:w="9242" w:type="dxa"/>
            <w:shd w:val="clear" w:color="auto" w:fill="FFFFCC"/>
            <w:vAlign w:val="center"/>
          </w:tcPr>
          <w:p w:rsidR="00E57589" w:rsidRPr="00AE4A64" w:rsidRDefault="00E57589" w:rsidP="00AE4A64">
            <w:pPr>
              <w:keepNext/>
              <w:tabs>
                <w:tab w:val="left" w:pos="2835"/>
              </w:tabs>
              <w:spacing w:after="0" w:line="240" w:lineRule="auto"/>
              <w:jc w:val="right"/>
              <w:rPr>
                <w:lang w:val="en-GB" w:eastAsia="ja-JP"/>
              </w:rPr>
            </w:pPr>
            <w:r w:rsidRPr="00AE4A64">
              <w:rPr>
                <w:rFonts w:ascii="Arial Narrow" w:hAnsi="Arial Narrow"/>
                <w:b/>
                <w:lang w:eastAsia="ja-JP"/>
              </w:rPr>
              <w:t>Category 3 – Cardio-Thoracic</w:t>
            </w:r>
          </w:p>
        </w:tc>
      </w:tr>
      <w:tr w:rsidR="00E57589" w:rsidTr="00AE4A64">
        <w:tc>
          <w:tcPr>
            <w:tcW w:w="9242" w:type="dxa"/>
          </w:tcPr>
          <w:p w:rsidR="00E57589" w:rsidRPr="00AE4A64" w:rsidRDefault="00E57589" w:rsidP="00AE4A64">
            <w:pPr>
              <w:keepNext/>
              <w:tabs>
                <w:tab w:val="left" w:pos="2835"/>
              </w:tabs>
              <w:spacing w:before="60" w:after="0" w:line="240" w:lineRule="auto"/>
              <w:rPr>
                <w:lang w:val="en-GB" w:eastAsia="ja-JP"/>
              </w:rPr>
            </w:pPr>
            <w:r w:rsidRPr="00AE4A64">
              <w:rPr>
                <w:lang w:val="en-GB" w:eastAsia="ja-JP"/>
              </w:rPr>
              <w:t>VENTRICULAR SEPTAL DEFECT, closure by direct suture or patch, for congenital heart disease (Anaes.) (Assist.)</w:t>
            </w:r>
          </w:p>
          <w:p w:rsidR="00E57589" w:rsidRPr="00AE4A64" w:rsidRDefault="00E57589" w:rsidP="00AE4A64">
            <w:pPr>
              <w:keepNext/>
              <w:tabs>
                <w:tab w:val="left" w:pos="2835"/>
              </w:tabs>
              <w:spacing w:after="0" w:line="240" w:lineRule="auto"/>
              <w:rPr>
                <w:lang w:val="en-GB" w:eastAsia="ja-JP"/>
              </w:rPr>
            </w:pPr>
            <w:r w:rsidRPr="00AE4A64">
              <w:rPr>
                <w:lang w:val="en-GB" w:eastAsia="ja-JP"/>
              </w:rPr>
              <w:t>(See para T8.70 of explanatory notes to this Category)</w:t>
            </w:r>
          </w:p>
          <w:p w:rsidR="00E57589" w:rsidRPr="00AE4A64" w:rsidRDefault="00E57589" w:rsidP="00AE4A64">
            <w:pPr>
              <w:keepNext/>
              <w:tabs>
                <w:tab w:val="left" w:pos="2835"/>
              </w:tabs>
              <w:spacing w:after="60" w:line="240" w:lineRule="auto"/>
              <w:rPr>
                <w:lang w:val="en-GB" w:eastAsia="ja-JP"/>
              </w:rPr>
            </w:pPr>
            <w:r w:rsidRPr="00AE4A64">
              <w:rPr>
                <w:lang w:val="en-GB" w:eastAsia="ja-JP"/>
              </w:rPr>
              <w:t>Fee: $2,134.50 Benefit: 75% = $1,600.90</w:t>
            </w:r>
          </w:p>
          <w:p w:rsidR="00E57589" w:rsidRPr="00AE4A64" w:rsidRDefault="00E57589" w:rsidP="00AE4A64">
            <w:pPr>
              <w:keepNext/>
              <w:tabs>
                <w:tab w:val="left" w:pos="2835"/>
              </w:tabs>
              <w:spacing w:before="60" w:after="0" w:line="240" w:lineRule="auto"/>
              <w:rPr>
                <w:lang w:val="en-GB" w:eastAsia="ja-JP"/>
              </w:rPr>
            </w:pPr>
            <w:r w:rsidRPr="00AE4A64">
              <w:rPr>
                <w:lang w:val="en-GB" w:eastAsia="ja-JP"/>
              </w:rPr>
              <w:t>T.8.70. CARDIAC AND THORACIC SURGICAL ITEMS - (ITEMS 38470 TO 38766)</w:t>
            </w:r>
          </w:p>
          <w:p w:rsidR="00E57589" w:rsidRPr="00AE4A64" w:rsidRDefault="00E57589" w:rsidP="00AE4A64">
            <w:pPr>
              <w:keepNext/>
              <w:tabs>
                <w:tab w:val="left" w:pos="2835"/>
              </w:tabs>
              <w:spacing w:after="60" w:line="240" w:lineRule="auto"/>
              <w:rPr>
                <w:lang w:val="en-GB" w:eastAsia="ja-JP"/>
              </w:rPr>
            </w:pPr>
            <w:r w:rsidRPr="00AE4A64">
              <w:rPr>
                <w:lang w:val="en-GB" w:eastAsia="ja-JP"/>
              </w:rPr>
              <w:t>Items 38470 to 38766 must be performed using open exposure or minimally invasive surgery which excludes percutaneous and transcatheter techniques unless otherwise stated in the item.</w:t>
            </w:r>
          </w:p>
        </w:tc>
      </w:tr>
    </w:tbl>
    <w:p w:rsidR="00E57589" w:rsidRDefault="00E57589" w:rsidP="00B059B0">
      <w:pPr>
        <w:spacing w:before="240" w:line="360" w:lineRule="auto"/>
      </w:pPr>
      <w:r w:rsidRPr="00B96974">
        <w:t xml:space="preserve">Currently </w:t>
      </w:r>
      <w:r>
        <w:t xml:space="preserve">the majority of </w:t>
      </w:r>
      <w:r w:rsidRPr="00B96974">
        <w:t>patient</w:t>
      </w:r>
      <w:r>
        <w:t>s with VSD</w:t>
      </w:r>
      <w:r w:rsidRPr="00B96974">
        <w:t>s are undergoin</w:t>
      </w:r>
      <w:r>
        <w:t>g surgical closure</w:t>
      </w:r>
      <w:r w:rsidRPr="00B96974">
        <w:t xml:space="preserve">.  </w:t>
      </w:r>
      <w:r>
        <w:t>The applicant estimates that surgery accounts for over 90 per cent of the treatment for VSDs.  With improved technology this may change to some extent.  However, the indications for closure of a VSD will not change.  Additionally, transcatheter closure of a VSD will only be performed in a cardiac catheter laboratory within a large tertiary hospital.</w:t>
      </w:r>
    </w:p>
    <w:p w:rsidR="00E57589" w:rsidRPr="00354E8E" w:rsidRDefault="00E57589" w:rsidP="00B059B0">
      <w:pPr>
        <w:spacing w:before="240" w:line="360" w:lineRule="auto"/>
      </w:pPr>
      <w:r>
        <w:t>The utilisation rate for MBS item 38751 (VSD closure by direct suture or patch, for congenital heart disease) is low.  In 2012-13 there were only 107 services claimed under this MBS item.  During the period</w:t>
      </w:r>
      <w:r w:rsidRPr="00354E8E">
        <w:t xml:space="preserve"> </w:t>
      </w:r>
      <w:r>
        <w:t>2008-09</w:t>
      </w:r>
      <w:r w:rsidRPr="00354E8E">
        <w:t xml:space="preserve"> to </w:t>
      </w:r>
      <w:r>
        <w:t>2012-13, MBS data</w:t>
      </w:r>
      <w:r w:rsidRPr="00354E8E">
        <w:t xml:space="preserve"> indicate that the surgical closure of VSD (item 38751) has not been bulk-bil</w:t>
      </w:r>
      <w:r>
        <w:t>led.  Table 7</w:t>
      </w:r>
      <w:r w:rsidRPr="00354E8E">
        <w:t xml:space="preserve"> shows </w:t>
      </w:r>
      <w:r>
        <w:t xml:space="preserve">total services and </w:t>
      </w:r>
      <w:r w:rsidRPr="00354E8E">
        <w:t>MBS benefits paid for this period.  However, Medicare statistics do not include data relating to supplementary payments to patients from p</w:t>
      </w:r>
      <w:r>
        <w:t>rivate health insurance funds</w:t>
      </w:r>
      <w:r w:rsidR="005C6B05">
        <w:t>.</w:t>
      </w:r>
      <w:r>
        <w:t>.</w:t>
      </w:r>
    </w:p>
    <w:p w:rsidR="00E57589" w:rsidRDefault="00E57589" w:rsidP="0097192A">
      <w:pPr>
        <w:pStyle w:val="Caption"/>
      </w:pPr>
      <w:r>
        <w:t>Table 7:  MBS Item 38751:  Total Services and Benefits Paid</w:t>
      </w:r>
    </w:p>
    <w:tbl>
      <w:tblP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1701"/>
        <w:gridCol w:w="1701"/>
      </w:tblGrid>
      <w:tr w:rsidR="00E57589" w:rsidTr="00AE4A64">
        <w:trPr>
          <w:trHeight w:val="340"/>
          <w:tblHeader/>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Item 38751</w:t>
            </w:r>
          </w:p>
        </w:tc>
        <w:tc>
          <w:tcPr>
            <w:tcW w:w="1701" w:type="dxa"/>
            <w:shd w:val="clear" w:color="auto" w:fill="FFFFCC"/>
            <w:vAlign w:val="center"/>
          </w:tcPr>
          <w:p w:rsidR="00E57589" w:rsidRPr="00AE4A64" w:rsidRDefault="00E57589" w:rsidP="00AE4A64">
            <w:pPr>
              <w:tabs>
                <w:tab w:val="left" w:pos="2835"/>
              </w:tabs>
              <w:spacing w:after="0" w:line="240" w:lineRule="auto"/>
              <w:jc w:val="center"/>
              <w:rPr>
                <w:rFonts w:ascii="Arial Narrow" w:hAnsi="Arial Narrow" w:cs="Calibri"/>
                <w:b/>
                <w:color w:val="000000"/>
                <w:lang w:eastAsia="en-AU"/>
              </w:rPr>
            </w:pPr>
            <w:r w:rsidRPr="00AE4A64">
              <w:rPr>
                <w:rFonts w:ascii="Arial Narrow" w:hAnsi="Arial Narrow" w:cs="Calibri"/>
                <w:b/>
                <w:color w:val="000000"/>
                <w:lang w:eastAsia="en-AU"/>
              </w:rPr>
              <w:t>Services</w:t>
            </w:r>
          </w:p>
        </w:tc>
        <w:tc>
          <w:tcPr>
            <w:tcW w:w="1701" w:type="dxa"/>
            <w:shd w:val="clear" w:color="auto" w:fill="FFFFCC"/>
            <w:vAlign w:val="center"/>
          </w:tcPr>
          <w:p w:rsidR="00E57589" w:rsidRPr="00AE4A64" w:rsidRDefault="00E57589" w:rsidP="00AE4A64">
            <w:pPr>
              <w:tabs>
                <w:tab w:val="left" w:pos="2835"/>
              </w:tabs>
              <w:spacing w:after="0" w:line="240" w:lineRule="auto"/>
              <w:jc w:val="center"/>
              <w:rPr>
                <w:rFonts w:ascii="Arial Narrow" w:hAnsi="Arial Narrow" w:cs="Calibri"/>
                <w:b/>
                <w:color w:val="000000"/>
                <w:lang w:eastAsia="en-AU"/>
              </w:rPr>
            </w:pPr>
            <w:r w:rsidRPr="00AE4A64">
              <w:rPr>
                <w:rFonts w:ascii="Arial Narrow" w:hAnsi="Arial Narrow" w:cs="Calibri"/>
                <w:b/>
                <w:color w:val="000000"/>
                <w:lang w:eastAsia="en-AU"/>
              </w:rPr>
              <w:t>Benefits Paid</w:t>
            </w:r>
          </w:p>
        </w:tc>
      </w:tr>
      <w:tr w:rsidR="00E57589" w:rsidTr="00AE4A64">
        <w:trPr>
          <w:trHeight w:val="283"/>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2008-09</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78</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$82,353</w:t>
            </w:r>
          </w:p>
        </w:tc>
      </w:tr>
      <w:tr w:rsidR="00E57589" w:rsidTr="00AE4A64">
        <w:trPr>
          <w:trHeight w:val="283"/>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2009-10</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64</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$66,847</w:t>
            </w:r>
          </w:p>
        </w:tc>
      </w:tr>
      <w:tr w:rsidR="00E57589" w:rsidTr="00AE4A64">
        <w:trPr>
          <w:trHeight w:val="283"/>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2010-11</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114</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$117,817</w:t>
            </w:r>
          </w:p>
        </w:tc>
      </w:tr>
      <w:tr w:rsidR="00E57589" w:rsidTr="00AE4A64">
        <w:trPr>
          <w:trHeight w:val="283"/>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2011-12</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107</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$122,058</w:t>
            </w:r>
          </w:p>
        </w:tc>
      </w:tr>
      <w:tr w:rsidR="00E57589" w:rsidTr="00AE4A64">
        <w:trPr>
          <w:trHeight w:val="283"/>
        </w:trPr>
        <w:tc>
          <w:tcPr>
            <w:tcW w:w="1531" w:type="dxa"/>
            <w:shd w:val="clear" w:color="auto" w:fill="FFFFCC"/>
            <w:vAlign w:val="center"/>
          </w:tcPr>
          <w:p w:rsidR="00E57589" w:rsidRPr="00AE4A64" w:rsidRDefault="00E57589" w:rsidP="00AE4A64">
            <w:pPr>
              <w:tabs>
                <w:tab w:val="left" w:pos="2835"/>
              </w:tabs>
              <w:spacing w:after="0" w:line="240" w:lineRule="auto"/>
              <w:jc w:val="left"/>
              <w:rPr>
                <w:rFonts w:ascii="Arial Narrow" w:hAnsi="Arial Narrow" w:cs="Calibri"/>
                <w:b/>
                <w:color w:val="000000"/>
                <w:lang w:eastAsia="en-AU"/>
              </w:rPr>
            </w:pPr>
            <w:r w:rsidRPr="00AE4A64">
              <w:rPr>
                <w:rFonts w:ascii="Arial Narrow" w:hAnsi="Arial Narrow" w:cs="Calibri"/>
                <w:b/>
                <w:color w:val="000000"/>
                <w:lang w:eastAsia="en-AU"/>
              </w:rPr>
              <w:t>2012-13</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107</w:t>
            </w:r>
          </w:p>
        </w:tc>
        <w:tc>
          <w:tcPr>
            <w:tcW w:w="1701" w:type="dxa"/>
            <w:vAlign w:val="center"/>
          </w:tcPr>
          <w:p w:rsidR="00E57589" w:rsidRPr="00AE4A64" w:rsidRDefault="00E57589" w:rsidP="00AE4A64">
            <w:pPr>
              <w:tabs>
                <w:tab w:val="left" w:pos="2835"/>
              </w:tabs>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$116,474</w:t>
            </w:r>
          </w:p>
        </w:tc>
      </w:tr>
    </w:tbl>
    <w:p w:rsidR="00E57589" w:rsidRDefault="00E57589" w:rsidP="000824EB">
      <w:pPr>
        <w:spacing w:before="240"/>
      </w:pPr>
      <w:r>
        <w:t>Total services by gender for MBS item 38751 over the past five years indicate that surgical procedures for the closure of VSD are performed more frequently for male patients (Table 8).  AIHW data for closure of VSD indicate that of the 488 total procedures for 2009-10, 57 per cent were performed for male patients.</w:t>
      </w:r>
    </w:p>
    <w:p w:rsidR="00E57589" w:rsidRDefault="00E57589" w:rsidP="0097192A">
      <w:pPr>
        <w:pStyle w:val="Caption"/>
      </w:pPr>
      <w:r>
        <w:t>Table 8:  MBS Item 38751:  2008-09 to 2012-13 Total Services by Gender</w:t>
      </w:r>
    </w:p>
    <w:tbl>
      <w:tblPr>
        <w:tblW w:w="663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1531"/>
        <w:gridCol w:w="1020"/>
        <w:gridCol w:w="1020"/>
        <w:gridCol w:w="1020"/>
        <w:gridCol w:w="1020"/>
        <w:gridCol w:w="1020"/>
      </w:tblGrid>
      <w:tr w:rsidR="00E57589" w:rsidRPr="008E51A5" w:rsidTr="00AE4A64">
        <w:trPr>
          <w:trHeight w:val="340"/>
          <w:tblHeader/>
        </w:trPr>
        <w:tc>
          <w:tcPr>
            <w:tcW w:w="1531" w:type="dxa"/>
            <w:shd w:val="clear" w:color="auto" w:fill="D3DFEE"/>
            <w:noWrap/>
          </w:tcPr>
          <w:p w:rsidR="00E57589" w:rsidRPr="00AE4A64" w:rsidRDefault="00E57589" w:rsidP="00AE4A64">
            <w:pPr>
              <w:tabs>
                <w:tab w:val="left" w:pos="2835"/>
              </w:tabs>
              <w:spacing w:after="0" w:line="240" w:lineRule="auto"/>
              <w:jc w:val="left"/>
              <w:rPr>
                <w:rFonts w:ascii="Arial Narrow" w:hAnsi="Arial Narrow"/>
                <w:b/>
                <w:bCs/>
              </w:rPr>
            </w:pPr>
          </w:p>
        </w:tc>
        <w:tc>
          <w:tcPr>
            <w:tcW w:w="1020" w:type="dxa"/>
            <w:shd w:val="clear" w:color="auto" w:fill="D3DFEE"/>
          </w:tcPr>
          <w:p w:rsidR="00E57589" w:rsidRPr="00AE4A64" w:rsidDel="003E24A8" w:rsidRDefault="00E57589" w:rsidP="00AE4A64">
            <w:pPr>
              <w:tabs>
                <w:tab w:val="left" w:pos="2835"/>
              </w:tabs>
              <w:spacing w:after="0" w:line="240" w:lineRule="auto"/>
              <w:jc w:val="center"/>
              <w:rPr>
                <w:rFonts w:ascii="Arial Narrow" w:hAnsi="Arial Narrow"/>
                <w:b/>
                <w:bCs/>
              </w:rPr>
            </w:pPr>
            <w:r w:rsidRPr="00AE4A64">
              <w:rPr>
                <w:rFonts w:ascii="Arial Narrow" w:hAnsi="Arial Narrow"/>
                <w:bCs/>
              </w:rPr>
              <w:t>2008/09</w:t>
            </w:r>
          </w:p>
        </w:tc>
        <w:tc>
          <w:tcPr>
            <w:tcW w:w="1020" w:type="dxa"/>
            <w:shd w:val="clear" w:color="auto" w:fill="D3DFEE"/>
          </w:tcPr>
          <w:p w:rsidR="00E57589" w:rsidRPr="00AE4A64" w:rsidDel="003E24A8" w:rsidRDefault="00E57589" w:rsidP="00AE4A64">
            <w:pPr>
              <w:tabs>
                <w:tab w:val="left" w:pos="2835"/>
              </w:tabs>
              <w:spacing w:after="0" w:line="240" w:lineRule="auto"/>
              <w:jc w:val="center"/>
              <w:rPr>
                <w:rFonts w:ascii="Arial Narrow" w:hAnsi="Arial Narrow"/>
                <w:b/>
                <w:bCs/>
              </w:rPr>
            </w:pPr>
            <w:r w:rsidRPr="00AE4A64">
              <w:rPr>
                <w:rFonts w:ascii="Arial Narrow" w:hAnsi="Arial Narrow"/>
                <w:bCs/>
              </w:rPr>
              <w:t>2009/10</w:t>
            </w:r>
          </w:p>
        </w:tc>
        <w:tc>
          <w:tcPr>
            <w:tcW w:w="1020" w:type="dxa"/>
            <w:shd w:val="clear" w:color="auto" w:fill="D3DFEE"/>
          </w:tcPr>
          <w:p w:rsidR="00E57589" w:rsidRPr="00AE4A64" w:rsidDel="003E24A8" w:rsidRDefault="00E57589" w:rsidP="00AE4A64">
            <w:pPr>
              <w:tabs>
                <w:tab w:val="left" w:pos="2835"/>
              </w:tabs>
              <w:spacing w:after="0" w:line="240" w:lineRule="auto"/>
              <w:jc w:val="center"/>
              <w:rPr>
                <w:rFonts w:ascii="Arial Narrow" w:hAnsi="Arial Narrow"/>
                <w:b/>
                <w:bCs/>
              </w:rPr>
            </w:pPr>
            <w:r w:rsidRPr="00AE4A64">
              <w:rPr>
                <w:rFonts w:ascii="Arial Narrow" w:hAnsi="Arial Narrow"/>
                <w:bCs/>
              </w:rPr>
              <w:t>2010/11</w:t>
            </w:r>
          </w:p>
        </w:tc>
        <w:tc>
          <w:tcPr>
            <w:tcW w:w="1020" w:type="dxa"/>
            <w:shd w:val="clear" w:color="auto" w:fill="D3DFEE"/>
          </w:tcPr>
          <w:p w:rsidR="00E57589" w:rsidRPr="00AE4A64" w:rsidDel="003E24A8" w:rsidRDefault="00E57589" w:rsidP="00AE4A64">
            <w:pPr>
              <w:tabs>
                <w:tab w:val="left" w:pos="2835"/>
              </w:tabs>
              <w:spacing w:after="0" w:line="240" w:lineRule="auto"/>
              <w:jc w:val="center"/>
              <w:rPr>
                <w:rFonts w:ascii="Arial Narrow" w:hAnsi="Arial Narrow"/>
                <w:b/>
                <w:bCs/>
              </w:rPr>
            </w:pPr>
            <w:r w:rsidRPr="00AE4A64">
              <w:rPr>
                <w:rFonts w:ascii="Arial Narrow" w:hAnsi="Arial Narrow"/>
                <w:bCs/>
              </w:rPr>
              <w:t>2011/12</w:t>
            </w:r>
          </w:p>
        </w:tc>
        <w:tc>
          <w:tcPr>
            <w:tcW w:w="1020" w:type="dxa"/>
            <w:shd w:val="clear" w:color="auto" w:fill="D3DFEE"/>
            <w:noWrap/>
          </w:tcPr>
          <w:p w:rsidR="00E57589" w:rsidRPr="00AE4A64" w:rsidRDefault="00E57589" w:rsidP="00AE4A64">
            <w:pPr>
              <w:tabs>
                <w:tab w:val="left" w:pos="2835"/>
              </w:tabs>
              <w:spacing w:after="0" w:line="240" w:lineRule="auto"/>
              <w:jc w:val="center"/>
              <w:rPr>
                <w:rFonts w:ascii="Arial Narrow" w:hAnsi="Arial Narrow"/>
                <w:b/>
                <w:bCs/>
              </w:rPr>
            </w:pPr>
            <w:r w:rsidRPr="00AE4A64">
              <w:rPr>
                <w:rFonts w:ascii="Arial Narrow" w:hAnsi="Arial Narrow"/>
                <w:bCs/>
              </w:rPr>
              <w:t>2012-13</w:t>
            </w:r>
          </w:p>
        </w:tc>
      </w:tr>
      <w:tr w:rsidR="00E57589" w:rsidRPr="008E51A5" w:rsidTr="00AE4A64">
        <w:trPr>
          <w:trHeight w:val="283"/>
        </w:trPr>
        <w:tc>
          <w:tcPr>
            <w:tcW w:w="1531" w:type="dxa"/>
            <w:shd w:val="clear" w:color="auto" w:fill="A7BFDE"/>
            <w:noWrap/>
          </w:tcPr>
          <w:p w:rsidR="00E57589" w:rsidRPr="00AE4A64" w:rsidRDefault="00E57589" w:rsidP="00AE4A64">
            <w:pPr>
              <w:spacing w:after="0" w:line="240" w:lineRule="auto"/>
              <w:jc w:val="left"/>
              <w:rPr>
                <w:rFonts w:ascii="Arial Narrow" w:hAnsi="Arial Narrow" w:cs="Calibri"/>
                <w:b/>
                <w:bCs/>
                <w:color w:val="000000"/>
                <w:lang w:eastAsia="en-AU"/>
              </w:rPr>
            </w:pPr>
            <w:r w:rsidRPr="00AE4A64">
              <w:rPr>
                <w:rFonts w:ascii="Arial Narrow" w:hAnsi="Arial Narrow" w:cs="Calibri"/>
                <w:color w:val="000000"/>
                <w:lang w:eastAsia="en-AU"/>
              </w:rPr>
              <w:t>Female</w:t>
            </w:r>
          </w:p>
        </w:tc>
        <w:tc>
          <w:tcPr>
            <w:tcW w:w="1020" w:type="dxa"/>
            <w:shd w:val="clear" w:color="auto" w:fill="A7BFD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31</w:t>
            </w:r>
          </w:p>
        </w:tc>
        <w:tc>
          <w:tcPr>
            <w:tcW w:w="1020" w:type="dxa"/>
            <w:shd w:val="clear" w:color="auto" w:fill="A7BFD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28</w:t>
            </w:r>
          </w:p>
        </w:tc>
        <w:tc>
          <w:tcPr>
            <w:tcW w:w="1020" w:type="dxa"/>
            <w:shd w:val="clear" w:color="auto" w:fill="A7BFD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48</w:t>
            </w:r>
          </w:p>
        </w:tc>
        <w:tc>
          <w:tcPr>
            <w:tcW w:w="1020" w:type="dxa"/>
            <w:shd w:val="clear" w:color="auto" w:fill="A7BFD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40</w:t>
            </w:r>
          </w:p>
        </w:tc>
        <w:tc>
          <w:tcPr>
            <w:tcW w:w="1020" w:type="dxa"/>
            <w:shd w:val="clear" w:color="auto" w:fill="A7BFDE"/>
            <w:noWrap/>
          </w:tcPr>
          <w:p w:rsidR="00E57589" w:rsidRPr="00AE4A64"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58</w:t>
            </w:r>
          </w:p>
        </w:tc>
      </w:tr>
      <w:tr w:rsidR="00E57589" w:rsidRPr="008E51A5" w:rsidTr="00AE4A64">
        <w:trPr>
          <w:trHeight w:val="283"/>
        </w:trPr>
        <w:tc>
          <w:tcPr>
            <w:tcW w:w="1531" w:type="dxa"/>
            <w:shd w:val="clear" w:color="auto" w:fill="D3DFEE"/>
            <w:noWrap/>
          </w:tcPr>
          <w:p w:rsidR="00E57589" w:rsidRPr="00AE4A64" w:rsidRDefault="00E57589" w:rsidP="00AE4A64">
            <w:pPr>
              <w:spacing w:after="0" w:line="240" w:lineRule="auto"/>
              <w:jc w:val="left"/>
              <w:rPr>
                <w:rFonts w:ascii="Arial Narrow" w:hAnsi="Arial Narrow" w:cs="Calibri"/>
                <w:b/>
                <w:bCs/>
                <w:color w:val="000000"/>
                <w:lang w:eastAsia="en-AU"/>
              </w:rPr>
            </w:pPr>
            <w:r w:rsidRPr="00AE4A64">
              <w:rPr>
                <w:rFonts w:ascii="Arial Narrow" w:hAnsi="Arial Narrow" w:cs="Calibri"/>
                <w:color w:val="000000"/>
                <w:lang w:eastAsia="en-AU"/>
              </w:rPr>
              <w:t>Male</w:t>
            </w:r>
          </w:p>
        </w:tc>
        <w:tc>
          <w:tcPr>
            <w:tcW w:w="1020" w:type="dxa"/>
            <w:shd w:val="clear" w:color="auto" w:fill="D3DFE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47</w:t>
            </w:r>
          </w:p>
        </w:tc>
        <w:tc>
          <w:tcPr>
            <w:tcW w:w="1020" w:type="dxa"/>
            <w:shd w:val="clear" w:color="auto" w:fill="D3DFE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36</w:t>
            </w:r>
          </w:p>
        </w:tc>
        <w:tc>
          <w:tcPr>
            <w:tcW w:w="1020" w:type="dxa"/>
            <w:shd w:val="clear" w:color="auto" w:fill="D3DFE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66</w:t>
            </w:r>
          </w:p>
        </w:tc>
        <w:tc>
          <w:tcPr>
            <w:tcW w:w="1020" w:type="dxa"/>
            <w:shd w:val="clear" w:color="auto" w:fill="D3DFEE"/>
          </w:tcPr>
          <w:p w:rsidR="00E57589" w:rsidRPr="00AE4A64" w:rsidDel="003E24A8"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67</w:t>
            </w:r>
          </w:p>
        </w:tc>
        <w:tc>
          <w:tcPr>
            <w:tcW w:w="1020" w:type="dxa"/>
            <w:shd w:val="clear" w:color="auto" w:fill="D3DFEE"/>
            <w:noWrap/>
          </w:tcPr>
          <w:p w:rsidR="00E57589" w:rsidRPr="00AE4A64" w:rsidRDefault="00E57589" w:rsidP="00AE4A64">
            <w:pPr>
              <w:spacing w:after="0" w:line="240" w:lineRule="auto"/>
              <w:jc w:val="center"/>
              <w:rPr>
                <w:rFonts w:ascii="Arial Narrow" w:hAnsi="Arial Narrow" w:cs="Calibri"/>
                <w:color w:val="000000"/>
                <w:lang w:eastAsia="en-AU"/>
              </w:rPr>
            </w:pPr>
            <w:r w:rsidRPr="00AE4A64">
              <w:rPr>
                <w:rFonts w:ascii="Arial Narrow" w:hAnsi="Arial Narrow" w:cs="Calibri"/>
                <w:color w:val="000000"/>
                <w:lang w:eastAsia="en-AU"/>
              </w:rPr>
              <w:t>49</w:t>
            </w:r>
          </w:p>
        </w:tc>
      </w:tr>
    </w:tbl>
    <w:p w:rsidR="00E57589" w:rsidRDefault="00E57589" w:rsidP="00B059B0">
      <w:pPr>
        <w:spacing w:before="240" w:line="360" w:lineRule="auto"/>
        <w:ind w:right="57"/>
      </w:pPr>
    </w:p>
    <w:p w:rsidR="00E57589" w:rsidRDefault="00E57589" w:rsidP="00B059B0">
      <w:pPr>
        <w:spacing w:before="240" w:line="360" w:lineRule="auto"/>
        <w:ind w:right="57"/>
      </w:pPr>
    </w:p>
    <w:p w:rsidR="00E57589" w:rsidRDefault="00E57589" w:rsidP="00B059B0">
      <w:pPr>
        <w:spacing w:before="240" w:line="360" w:lineRule="auto"/>
        <w:ind w:right="57"/>
      </w:pPr>
      <w:r>
        <w:lastRenderedPageBreak/>
        <w:t>Transcatheter closure of VSD is identified by the applicant as a direct substitute for MBS item 38751, surgical closure of VSD.  Table 9 provides an age breakdown of the provision of services for the period 2008-09 to 2012-13 for MBS item 38751.  Over the past five years, 75 per cent of services have been provided to children under 5 years of age.</w:t>
      </w:r>
      <w:r w:rsidRPr="00B059B0">
        <w:t xml:space="preserve"> </w:t>
      </w:r>
    </w:p>
    <w:p w:rsidR="00E57589" w:rsidRPr="003671DE" w:rsidRDefault="00E57589" w:rsidP="00BF7025">
      <w:pPr>
        <w:keepNext/>
        <w:spacing w:after="0" w:line="240" w:lineRule="auto"/>
        <w:rPr>
          <w:rFonts w:ascii="Arial Narrow" w:hAnsi="Arial Narrow"/>
          <w:b/>
        </w:rPr>
      </w:pPr>
      <w:r w:rsidRPr="003671DE">
        <w:rPr>
          <w:rFonts w:ascii="Arial Narrow" w:hAnsi="Arial Narrow"/>
          <w:b/>
        </w:rPr>
        <w:t xml:space="preserve">Table </w:t>
      </w:r>
      <w:r>
        <w:rPr>
          <w:rFonts w:ascii="Arial Narrow" w:hAnsi="Arial Narrow"/>
          <w:b/>
        </w:rPr>
        <w:t xml:space="preserve">9:  </w:t>
      </w:r>
      <w:r w:rsidRPr="003671DE">
        <w:rPr>
          <w:rFonts w:ascii="Arial Narrow" w:hAnsi="Arial Narrow"/>
          <w:b/>
        </w:rPr>
        <w:t>MBS Item</w:t>
      </w:r>
      <w:r>
        <w:rPr>
          <w:rFonts w:ascii="Arial Narrow" w:hAnsi="Arial Narrow"/>
          <w:b/>
        </w:rPr>
        <w:t xml:space="preserve"> 38751</w:t>
      </w:r>
      <w:r w:rsidRPr="003671DE">
        <w:rPr>
          <w:rFonts w:ascii="Arial Narrow" w:hAnsi="Arial Narrow"/>
          <w:b/>
        </w:rPr>
        <w:t xml:space="preserve">:  </w:t>
      </w:r>
      <w:r>
        <w:rPr>
          <w:rFonts w:ascii="Arial Narrow" w:hAnsi="Arial Narrow"/>
          <w:b/>
        </w:rPr>
        <w:t>2008-09</w:t>
      </w:r>
      <w:r w:rsidRPr="003671DE">
        <w:rPr>
          <w:rFonts w:ascii="Arial Narrow" w:hAnsi="Arial Narrow"/>
          <w:b/>
        </w:rPr>
        <w:t xml:space="preserve"> to </w:t>
      </w:r>
      <w:r>
        <w:rPr>
          <w:rFonts w:ascii="Arial Narrow" w:hAnsi="Arial Narrow"/>
          <w:b/>
        </w:rPr>
        <w:t>2012-13</w:t>
      </w:r>
      <w:r w:rsidRPr="003671DE">
        <w:rPr>
          <w:rFonts w:ascii="Arial Narrow" w:hAnsi="Arial Narrow"/>
          <w:b/>
        </w:rPr>
        <w:t xml:space="preserve"> Total Services by Age</w:t>
      </w:r>
    </w:p>
    <w:tbl>
      <w:tblPr>
        <w:tblW w:w="7651"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1531"/>
        <w:gridCol w:w="1020"/>
        <w:gridCol w:w="1020"/>
        <w:gridCol w:w="1020"/>
        <w:gridCol w:w="1020"/>
        <w:gridCol w:w="1020"/>
        <w:gridCol w:w="1020"/>
      </w:tblGrid>
      <w:tr w:rsidR="00E57589" w:rsidRPr="008E51A5" w:rsidTr="00AE4A64">
        <w:trPr>
          <w:trHeight w:val="300"/>
          <w:tblHeader/>
        </w:trPr>
        <w:tc>
          <w:tcPr>
            <w:tcW w:w="1531" w:type="dxa"/>
            <w:shd w:val="clear" w:color="auto" w:fill="D3DFEE"/>
            <w:noWrap/>
          </w:tcPr>
          <w:p w:rsidR="00E57589" w:rsidRPr="00AE4A64" w:rsidRDefault="00E57589" w:rsidP="00AE4A64">
            <w:pPr>
              <w:keepNext/>
              <w:tabs>
                <w:tab w:val="left" w:pos="2835"/>
              </w:tabs>
              <w:spacing w:before="40" w:after="0"/>
              <w:rPr>
                <w:rFonts w:ascii="Arial Narrow" w:hAnsi="Arial Narrow"/>
                <w:b/>
                <w:bCs/>
              </w:rPr>
            </w:pPr>
          </w:p>
        </w:tc>
        <w:tc>
          <w:tcPr>
            <w:tcW w:w="1020" w:type="dxa"/>
            <w:shd w:val="clear" w:color="auto" w:fill="D3DFEE"/>
          </w:tcPr>
          <w:p w:rsidR="00E57589" w:rsidRPr="00AE4A64" w:rsidDel="009B713A"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2008/09</w:t>
            </w:r>
          </w:p>
        </w:tc>
        <w:tc>
          <w:tcPr>
            <w:tcW w:w="1020" w:type="dxa"/>
            <w:shd w:val="clear" w:color="auto" w:fill="D3DFEE"/>
          </w:tcPr>
          <w:p w:rsidR="00E57589" w:rsidRPr="00AE4A64" w:rsidDel="009B713A"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2009/10</w:t>
            </w:r>
          </w:p>
        </w:tc>
        <w:tc>
          <w:tcPr>
            <w:tcW w:w="1020" w:type="dxa"/>
            <w:shd w:val="clear" w:color="auto" w:fill="D3DFEE"/>
          </w:tcPr>
          <w:p w:rsidR="00E57589" w:rsidRPr="00AE4A64" w:rsidDel="009B713A"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2010/11</w:t>
            </w:r>
          </w:p>
        </w:tc>
        <w:tc>
          <w:tcPr>
            <w:tcW w:w="1020" w:type="dxa"/>
            <w:shd w:val="clear" w:color="auto" w:fill="D3DFEE"/>
          </w:tcPr>
          <w:p w:rsidR="00E57589" w:rsidRPr="00AE4A64" w:rsidDel="009B713A"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2011/12</w:t>
            </w:r>
          </w:p>
        </w:tc>
        <w:tc>
          <w:tcPr>
            <w:tcW w:w="1020" w:type="dxa"/>
            <w:shd w:val="clear" w:color="auto" w:fill="D3DFEE"/>
            <w:noWrap/>
          </w:tcPr>
          <w:p w:rsidR="00E57589" w:rsidRPr="00AE4A64"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2012-13</w:t>
            </w:r>
          </w:p>
        </w:tc>
        <w:tc>
          <w:tcPr>
            <w:tcW w:w="1020" w:type="dxa"/>
            <w:shd w:val="clear" w:color="auto" w:fill="D3DFEE"/>
          </w:tcPr>
          <w:p w:rsidR="00E57589" w:rsidRPr="00AE4A64" w:rsidRDefault="00E57589" w:rsidP="00AE4A64">
            <w:pPr>
              <w:keepNext/>
              <w:tabs>
                <w:tab w:val="left" w:pos="2835"/>
              </w:tabs>
              <w:spacing w:before="40" w:after="0"/>
              <w:jc w:val="center"/>
              <w:rPr>
                <w:rFonts w:ascii="Arial Narrow" w:hAnsi="Arial Narrow"/>
                <w:b/>
                <w:bCs/>
              </w:rPr>
            </w:pPr>
            <w:r w:rsidRPr="00AE4A64">
              <w:rPr>
                <w:rFonts w:ascii="Arial Narrow" w:hAnsi="Arial Narrow"/>
                <w:bCs/>
              </w:rPr>
              <w:t>Total</w:t>
            </w:r>
          </w:p>
        </w:tc>
      </w:tr>
      <w:tr w:rsidR="00E57589" w:rsidRPr="008E51A5" w:rsidTr="00AE4A64">
        <w:trPr>
          <w:trHeight w:val="300"/>
        </w:trPr>
        <w:tc>
          <w:tcPr>
            <w:tcW w:w="1531" w:type="dxa"/>
            <w:shd w:val="clear" w:color="auto" w:fill="A7BFDE"/>
            <w:noWrap/>
          </w:tcPr>
          <w:p w:rsidR="00E57589" w:rsidRPr="00AE4A64" w:rsidRDefault="00E57589" w:rsidP="00AE4A64">
            <w:pPr>
              <w:keepNext/>
              <w:spacing w:after="0" w:line="240" w:lineRule="auto"/>
              <w:jc w:val="left"/>
              <w:rPr>
                <w:rFonts w:ascii="Arial Narrow" w:hAnsi="Arial Narrow" w:cs="Calibri"/>
                <w:b/>
                <w:bCs/>
                <w:color w:val="000000"/>
                <w:lang w:eastAsia="en-AU"/>
              </w:rPr>
            </w:pPr>
            <w:r w:rsidRPr="00AE4A64">
              <w:rPr>
                <w:rFonts w:ascii="Arial Narrow" w:hAnsi="Arial Narrow" w:cs="Calibri"/>
                <w:bCs/>
                <w:color w:val="000000"/>
                <w:lang w:eastAsia="en-AU"/>
              </w:rPr>
              <w:t>Under 5 years</w:t>
            </w:r>
          </w:p>
        </w:tc>
        <w:tc>
          <w:tcPr>
            <w:tcW w:w="1020" w:type="dxa"/>
            <w:shd w:val="clear" w:color="auto" w:fill="A7BFD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45</w:t>
            </w:r>
          </w:p>
        </w:tc>
        <w:tc>
          <w:tcPr>
            <w:tcW w:w="1020" w:type="dxa"/>
            <w:shd w:val="clear" w:color="auto" w:fill="A7BFD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54</w:t>
            </w:r>
          </w:p>
        </w:tc>
        <w:tc>
          <w:tcPr>
            <w:tcW w:w="1020" w:type="dxa"/>
            <w:shd w:val="clear" w:color="auto" w:fill="A7BFD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87</w:t>
            </w:r>
          </w:p>
        </w:tc>
        <w:tc>
          <w:tcPr>
            <w:tcW w:w="1020" w:type="dxa"/>
            <w:shd w:val="clear" w:color="auto" w:fill="A7BFD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84</w:t>
            </w:r>
          </w:p>
        </w:tc>
        <w:tc>
          <w:tcPr>
            <w:tcW w:w="1020" w:type="dxa"/>
            <w:shd w:val="clear" w:color="auto" w:fill="A7BFDE"/>
            <w:noWrap/>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83</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353</w:t>
            </w:r>
          </w:p>
        </w:tc>
      </w:tr>
      <w:tr w:rsidR="00E57589" w:rsidRPr="008E51A5" w:rsidTr="00AE4A64">
        <w:trPr>
          <w:trHeight w:val="300"/>
        </w:trPr>
        <w:tc>
          <w:tcPr>
            <w:tcW w:w="1531" w:type="dxa"/>
            <w:shd w:val="clear" w:color="auto" w:fill="D3DFEE"/>
            <w:noWrap/>
          </w:tcPr>
          <w:p w:rsidR="00E57589" w:rsidRPr="00AE4A64" w:rsidRDefault="00E57589" w:rsidP="00AE4A64">
            <w:pPr>
              <w:keepNext/>
              <w:spacing w:after="0" w:line="240" w:lineRule="auto"/>
              <w:jc w:val="left"/>
              <w:rPr>
                <w:rFonts w:ascii="Arial Narrow" w:hAnsi="Arial Narrow" w:cs="Calibri"/>
                <w:b/>
                <w:bCs/>
                <w:color w:val="000000"/>
                <w:lang w:eastAsia="en-AU"/>
              </w:rPr>
            </w:pPr>
            <w:r w:rsidRPr="00AE4A64">
              <w:rPr>
                <w:rFonts w:ascii="Arial Narrow" w:hAnsi="Arial Narrow" w:cs="Calibri"/>
                <w:bCs/>
                <w:color w:val="000000"/>
                <w:lang w:eastAsia="en-AU"/>
              </w:rPr>
              <w:t>5 years and over</w:t>
            </w:r>
          </w:p>
        </w:tc>
        <w:tc>
          <w:tcPr>
            <w:tcW w:w="1020" w:type="dxa"/>
            <w:shd w:val="clear" w:color="auto" w:fill="D3DFE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33</w:t>
            </w:r>
          </w:p>
        </w:tc>
        <w:tc>
          <w:tcPr>
            <w:tcW w:w="1020" w:type="dxa"/>
            <w:shd w:val="clear" w:color="auto" w:fill="D3DFE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10</w:t>
            </w:r>
          </w:p>
        </w:tc>
        <w:tc>
          <w:tcPr>
            <w:tcW w:w="1020" w:type="dxa"/>
            <w:shd w:val="clear" w:color="auto" w:fill="D3DFE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27</w:t>
            </w:r>
          </w:p>
        </w:tc>
        <w:tc>
          <w:tcPr>
            <w:tcW w:w="1020" w:type="dxa"/>
            <w:shd w:val="clear" w:color="auto" w:fill="D3DFEE"/>
          </w:tcPr>
          <w:p w:rsidR="00E57589" w:rsidRPr="00AE4A64" w:rsidDel="009B713A"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23</w:t>
            </w:r>
          </w:p>
        </w:tc>
        <w:tc>
          <w:tcPr>
            <w:tcW w:w="1020" w:type="dxa"/>
            <w:shd w:val="clear" w:color="auto" w:fill="D3DFEE"/>
            <w:noWrap/>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24</w:t>
            </w:r>
          </w:p>
        </w:tc>
        <w:tc>
          <w:tcPr>
            <w:tcW w:w="1020" w:type="dxa"/>
            <w:shd w:val="clear" w:color="auto" w:fill="D3DFE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117</w:t>
            </w:r>
          </w:p>
        </w:tc>
      </w:tr>
      <w:tr w:rsidR="00E57589" w:rsidRPr="008E51A5" w:rsidTr="00AE4A64">
        <w:trPr>
          <w:trHeight w:val="300"/>
        </w:trPr>
        <w:tc>
          <w:tcPr>
            <w:tcW w:w="1531" w:type="dxa"/>
            <w:shd w:val="clear" w:color="auto" w:fill="A7BFDE"/>
            <w:noWrap/>
          </w:tcPr>
          <w:p w:rsidR="00E57589" w:rsidRPr="00AE4A64" w:rsidRDefault="00E57589" w:rsidP="00AE4A64">
            <w:pPr>
              <w:keepNext/>
              <w:spacing w:after="0" w:line="240" w:lineRule="auto"/>
              <w:jc w:val="left"/>
              <w:rPr>
                <w:rFonts w:ascii="Arial Narrow" w:hAnsi="Arial Narrow" w:cs="Calibri"/>
                <w:b/>
                <w:bCs/>
                <w:color w:val="000000"/>
                <w:lang w:eastAsia="en-AU"/>
              </w:rPr>
            </w:pPr>
            <w:r w:rsidRPr="00AE4A64">
              <w:rPr>
                <w:rFonts w:ascii="Arial Narrow" w:hAnsi="Arial Narrow" w:cs="Calibri"/>
                <w:bCs/>
                <w:color w:val="000000"/>
                <w:lang w:eastAsia="en-AU"/>
              </w:rPr>
              <w:t>Total</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78</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64</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114</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107</w:t>
            </w:r>
          </w:p>
        </w:tc>
        <w:tc>
          <w:tcPr>
            <w:tcW w:w="1020" w:type="dxa"/>
            <w:shd w:val="clear" w:color="auto" w:fill="A7BFDE"/>
            <w:noWrap/>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107</w:t>
            </w:r>
          </w:p>
        </w:tc>
        <w:tc>
          <w:tcPr>
            <w:tcW w:w="1020" w:type="dxa"/>
            <w:shd w:val="clear" w:color="auto" w:fill="A7BFDE"/>
          </w:tcPr>
          <w:p w:rsidR="00E57589" w:rsidRPr="00AE4A64" w:rsidRDefault="00E57589" w:rsidP="00AE4A64">
            <w:pPr>
              <w:keepNext/>
              <w:spacing w:after="0" w:line="240" w:lineRule="auto"/>
              <w:ind w:right="340"/>
              <w:jc w:val="right"/>
              <w:rPr>
                <w:rFonts w:ascii="Arial Narrow" w:hAnsi="Arial Narrow" w:cs="Calibri"/>
                <w:color w:val="000000"/>
                <w:lang w:eastAsia="en-AU"/>
              </w:rPr>
            </w:pPr>
            <w:r w:rsidRPr="00AE4A64">
              <w:rPr>
                <w:rFonts w:ascii="Arial Narrow" w:hAnsi="Arial Narrow" w:cs="Calibri"/>
                <w:color w:val="000000"/>
                <w:lang w:eastAsia="en-AU"/>
              </w:rPr>
              <w:t>470</w:t>
            </w:r>
          </w:p>
        </w:tc>
      </w:tr>
    </w:tbl>
    <w:p w:rsidR="00E57589" w:rsidRPr="00A34E9C" w:rsidRDefault="00E57589" w:rsidP="000901A8">
      <w:pPr>
        <w:pStyle w:val="Heading1"/>
      </w:pPr>
      <w:bookmarkStart w:id="36" w:name="_Toc358036539"/>
      <w:bookmarkStart w:id="37" w:name="_Toc367181286"/>
      <w:r w:rsidRPr="00A34E9C">
        <w:t>Clinical claim</w:t>
      </w:r>
      <w:bookmarkEnd w:id="36"/>
      <w:bookmarkEnd w:id="37"/>
    </w:p>
    <w:p w:rsidR="00E57589" w:rsidRDefault="00E57589" w:rsidP="00B059B0">
      <w:pPr>
        <w:spacing w:before="240" w:line="360" w:lineRule="auto"/>
      </w:pPr>
      <w:r>
        <w:t xml:space="preserve">The </w:t>
      </w:r>
      <w:r w:rsidRPr="00D95BD2">
        <w:t xml:space="preserve">introduction of </w:t>
      </w:r>
      <w:r>
        <w:t>Medicare funding for the proposed service (</w:t>
      </w:r>
      <w:r w:rsidRPr="00D95BD2">
        <w:t>transcatheter occlusio</w:t>
      </w:r>
      <w:r>
        <w:t>n of a VSD)</w:t>
      </w:r>
      <w:r w:rsidRPr="00D95BD2">
        <w:t xml:space="preserve"> will not change the</w:t>
      </w:r>
      <w:r>
        <w:t xml:space="preserve"> clinical</w:t>
      </w:r>
      <w:r w:rsidRPr="00D95BD2">
        <w:t xml:space="preserve"> indication</w:t>
      </w:r>
      <w:r>
        <w:t>s</w:t>
      </w:r>
      <w:r w:rsidRPr="00D95BD2">
        <w:t xml:space="preserve"> for closure of a VSD. </w:t>
      </w:r>
      <w:r>
        <w:t xml:space="preserve"> T</w:t>
      </w:r>
      <w:r w:rsidRPr="00D95BD2">
        <w:t>he provision of this service will not result in a net improvement in health care as</w:t>
      </w:r>
      <w:r>
        <w:t xml:space="preserve"> the primary </w:t>
      </w:r>
      <w:r w:rsidRPr="00D95BD2">
        <w:t>group of patients</w:t>
      </w:r>
      <w:r>
        <w:t xml:space="preserve">, those with congenital muscular and perimembranous VSDs, </w:t>
      </w:r>
      <w:r w:rsidRPr="00D95BD2">
        <w:t>ha</w:t>
      </w:r>
      <w:r>
        <w:t>ve</w:t>
      </w:r>
      <w:r w:rsidRPr="00D95BD2">
        <w:t xml:space="preserve"> been well served by surgical closure.  The advantages of transcatheter </w:t>
      </w:r>
      <w:r>
        <w:t xml:space="preserve">or hybrid </w:t>
      </w:r>
      <w:r w:rsidRPr="00D95BD2">
        <w:t xml:space="preserve">closure are that this procedure </w:t>
      </w:r>
      <w:r>
        <w:t>may avoid</w:t>
      </w:r>
      <w:r w:rsidRPr="00D95BD2">
        <w:t xml:space="preserve"> cardiopulmonary bypass and </w:t>
      </w:r>
      <w:r>
        <w:t>the</w:t>
      </w:r>
      <w:r w:rsidRPr="00D95BD2">
        <w:t xml:space="preserve"> </w:t>
      </w:r>
      <w:r>
        <w:t>associated complications.  Patients may also experience less discomfort and shorter hospital stays</w:t>
      </w:r>
      <w:r w:rsidRPr="00D95BD2">
        <w:t>.</w:t>
      </w:r>
      <w:r>
        <w:t xml:space="preserve">  Clinical advice is that transcatheter closure of a VSD is safe and allows for easier access to the defect.</w:t>
      </w:r>
    </w:p>
    <w:p w:rsidR="00E57589" w:rsidRDefault="00E57589" w:rsidP="00A96F9C">
      <w:pPr>
        <w:pStyle w:val="Caption"/>
      </w:pPr>
      <w:bookmarkStart w:id="38" w:name="_Ref283288109"/>
      <w:r>
        <w:t xml:space="preserve">Table </w:t>
      </w:r>
      <w:bookmarkEnd w:id="38"/>
      <w:r>
        <w:t>10:  Classification of an intervention for determination of economic evaluation to be presented</w:t>
      </w: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668"/>
        <w:gridCol w:w="1083"/>
        <w:gridCol w:w="1575"/>
        <w:gridCol w:w="1009"/>
        <w:gridCol w:w="2357"/>
        <w:gridCol w:w="1541"/>
        <w:gridCol w:w="1009"/>
      </w:tblGrid>
      <w:tr w:rsidR="00E57589" w:rsidRPr="00882200" w:rsidTr="00AE4A64">
        <w:trPr>
          <w:tblHeader/>
        </w:trPr>
        <w:tc>
          <w:tcPr>
            <w:tcW w:w="1756" w:type="dxa"/>
            <w:gridSpan w:val="2"/>
            <w:vMerge w:val="restart"/>
            <w:tcBorders>
              <w:top w:val="single" w:sz="8" w:space="0" w:color="4F81BD"/>
            </w:tcBorders>
            <w:shd w:val="clear" w:color="auto" w:fill="4F81BD"/>
          </w:tcPr>
          <w:p w:rsidR="00E57589" w:rsidRPr="00AE4A64" w:rsidRDefault="00E57589" w:rsidP="00AE4A64">
            <w:pPr>
              <w:keepNext/>
              <w:tabs>
                <w:tab w:val="left" w:pos="2835"/>
              </w:tabs>
              <w:spacing w:after="0" w:line="240" w:lineRule="auto"/>
              <w:rPr>
                <w:rFonts w:ascii="Arial Narrow" w:hAnsi="Arial Narrow"/>
                <w:b/>
                <w:bCs/>
                <w:color w:val="FFFFFF"/>
                <w:lang w:val="en-GB" w:eastAsia="ja-JP"/>
              </w:rPr>
            </w:pPr>
          </w:p>
        </w:tc>
        <w:tc>
          <w:tcPr>
            <w:tcW w:w="7384" w:type="dxa"/>
            <w:gridSpan w:val="5"/>
            <w:tcBorders>
              <w:top w:val="single" w:sz="8" w:space="0" w:color="4F81BD"/>
              <w:left w:val="single" w:sz="8" w:space="0" w:color="4F81BD"/>
            </w:tcBorders>
            <w:shd w:val="clear" w:color="auto" w:fill="4F81BD"/>
          </w:tcPr>
          <w:p w:rsidR="00E57589" w:rsidRPr="00AE4A64" w:rsidRDefault="00E57589" w:rsidP="00AE4A64">
            <w:pPr>
              <w:keepNext/>
              <w:tabs>
                <w:tab w:val="left" w:pos="2835"/>
              </w:tabs>
              <w:spacing w:after="0" w:line="240" w:lineRule="auto"/>
              <w:jc w:val="center"/>
              <w:rPr>
                <w:rFonts w:ascii="Arial Narrow" w:hAnsi="Arial Narrow"/>
                <w:b/>
                <w:bCs/>
                <w:color w:val="FFFFFF"/>
                <w:lang w:val="en-GB" w:eastAsia="ja-JP"/>
              </w:rPr>
            </w:pPr>
            <w:r w:rsidRPr="00AE4A64">
              <w:rPr>
                <w:rFonts w:ascii="Arial Narrow" w:hAnsi="Arial Narrow"/>
                <w:bCs/>
                <w:color w:val="FFFFFF"/>
                <w:lang w:val="en-GB" w:eastAsia="ja-JP"/>
              </w:rPr>
              <w:t>Comparative effectiveness versus comparator</w:t>
            </w:r>
          </w:p>
        </w:tc>
      </w:tr>
      <w:tr w:rsidR="00E57589" w:rsidRPr="00882200" w:rsidTr="00AE4A64">
        <w:trPr>
          <w:tblHeader/>
        </w:trPr>
        <w:tc>
          <w:tcPr>
            <w:tcW w:w="1756" w:type="dxa"/>
            <w:gridSpan w:val="2"/>
            <w:vMerge/>
            <w:shd w:val="clear" w:color="auto" w:fill="4F81BD"/>
          </w:tcPr>
          <w:p w:rsidR="00E57589" w:rsidRPr="00AE4A64" w:rsidRDefault="00E57589" w:rsidP="00AE4A64">
            <w:pPr>
              <w:keepNext/>
              <w:tabs>
                <w:tab w:val="left" w:pos="2835"/>
              </w:tabs>
              <w:spacing w:after="0" w:line="240" w:lineRule="auto"/>
              <w:rPr>
                <w:rFonts w:ascii="Arial Narrow" w:hAnsi="Arial Narrow"/>
                <w:b/>
                <w:bCs/>
                <w:color w:val="FFFFFF"/>
                <w:lang w:val="en-GB" w:eastAsia="ja-JP"/>
              </w:rPr>
            </w:pPr>
          </w:p>
        </w:tc>
        <w:tc>
          <w:tcPr>
            <w:tcW w:w="2560" w:type="dxa"/>
            <w:gridSpan w:val="2"/>
            <w:tcBorders>
              <w:left w:val="single" w:sz="8" w:space="0" w:color="4F81BD"/>
              <w:right w:val="single" w:sz="8" w:space="0" w:color="4F81BD"/>
            </w:tcBorders>
            <w:shd w:val="clear" w:color="auto" w:fill="4F81BD"/>
          </w:tcPr>
          <w:p w:rsidR="00E57589" w:rsidRPr="00AE4A64" w:rsidRDefault="00E57589" w:rsidP="00AE4A64">
            <w:pPr>
              <w:keepNext/>
              <w:tabs>
                <w:tab w:val="left" w:pos="2835"/>
              </w:tabs>
              <w:spacing w:after="0" w:line="240" w:lineRule="auto"/>
              <w:jc w:val="center"/>
              <w:rPr>
                <w:rFonts w:ascii="Arial Narrow" w:hAnsi="Arial Narrow"/>
                <w:b/>
                <w:bCs/>
                <w:color w:val="FFFFFF"/>
                <w:u w:val="single"/>
                <w:lang w:val="en-GB" w:eastAsia="ja-JP"/>
              </w:rPr>
            </w:pPr>
            <w:r w:rsidRPr="00AE4A64">
              <w:rPr>
                <w:rFonts w:ascii="Arial Narrow" w:hAnsi="Arial Narrow"/>
                <w:b/>
                <w:bCs/>
                <w:color w:val="FFFFFF"/>
                <w:u w:val="single"/>
                <w:lang w:val="en-GB" w:eastAsia="ja-JP"/>
              </w:rPr>
              <w:t>Superior</w:t>
            </w:r>
          </w:p>
        </w:tc>
        <w:tc>
          <w:tcPr>
            <w:tcW w:w="2369" w:type="dxa"/>
            <w:shd w:val="clear" w:color="auto" w:fill="4F81BD"/>
          </w:tcPr>
          <w:p w:rsidR="00E57589" w:rsidRPr="00AE4A64" w:rsidRDefault="00E57589" w:rsidP="00AE4A64">
            <w:pPr>
              <w:keepNext/>
              <w:tabs>
                <w:tab w:val="left" w:pos="2835"/>
              </w:tabs>
              <w:spacing w:after="0" w:line="240" w:lineRule="auto"/>
              <w:jc w:val="center"/>
              <w:rPr>
                <w:rFonts w:ascii="Arial Narrow" w:hAnsi="Arial Narrow"/>
                <w:b/>
                <w:bCs/>
                <w:color w:val="FFFFFF"/>
                <w:u w:val="single"/>
                <w:lang w:val="en-GB" w:eastAsia="ja-JP"/>
              </w:rPr>
            </w:pPr>
            <w:r w:rsidRPr="00AE4A64">
              <w:rPr>
                <w:rFonts w:ascii="Arial Narrow" w:hAnsi="Arial Narrow"/>
                <w:b/>
                <w:bCs/>
                <w:color w:val="FFFFFF"/>
                <w:u w:val="single"/>
                <w:lang w:val="en-GB" w:eastAsia="ja-JP"/>
              </w:rPr>
              <w:t>Non-inferior</w:t>
            </w:r>
          </w:p>
        </w:tc>
        <w:tc>
          <w:tcPr>
            <w:tcW w:w="2455" w:type="dxa"/>
            <w:gridSpan w:val="2"/>
            <w:tcBorders>
              <w:left w:val="single" w:sz="8" w:space="0" w:color="4F81BD"/>
            </w:tcBorders>
            <w:shd w:val="clear" w:color="auto" w:fill="4F81BD"/>
          </w:tcPr>
          <w:p w:rsidR="00E57589" w:rsidRPr="00AE4A64" w:rsidRDefault="00E57589" w:rsidP="00AE4A64">
            <w:pPr>
              <w:keepNext/>
              <w:tabs>
                <w:tab w:val="left" w:pos="2835"/>
              </w:tabs>
              <w:spacing w:after="0" w:line="240" w:lineRule="auto"/>
              <w:jc w:val="center"/>
              <w:rPr>
                <w:rFonts w:ascii="Arial Narrow" w:hAnsi="Arial Narrow"/>
                <w:b/>
                <w:bCs/>
                <w:color w:val="FFFFFF"/>
                <w:u w:val="single"/>
                <w:lang w:val="en-GB" w:eastAsia="ja-JP"/>
              </w:rPr>
            </w:pPr>
            <w:r w:rsidRPr="00AE4A64">
              <w:rPr>
                <w:rFonts w:ascii="Arial Narrow" w:hAnsi="Arial Narrow"/>
                <w:b/>
                <w:bCs/>
                <w:color w:val="FFFFFF"/>
                <w:u w:val="single"/>
                <w:lang w:val="en-GB" w:eastAsia="ja-JP"/>
              </w:rPr>
              <w:t>Inferior</w:t>
            </w:r>
          </w:p>
        </w:tc>
      </w:tr>
      <w:tr w:rsidR="00E57589" w:rsidRPr="00882200" w:rsidTr="00AE4A64">
        <w:trPr>
          <w:trHeight w:val="20"/>
        </w:trPr>
        <w:tc>
          <w:tcPr>
            <w:tcW w:w="671" w:type="dxa"/>
            <w:vMerge w:val="restart"/>
            <w:tcBorders>
              <w:top w:val="single" w:sz="8" w:space="0" w:color="4F81BD"/>
              <w:bottom w:val="single" w:sz="8" w:space="0" w:color="4F81BD"/>
            </w:tcBorders>
            <w:textDirection w:val="btLr"/>
          </w:tcPr>
          <w:p w:rsidR="00E57589" w:rsidRPr="00AE4A64" w:rsidRDefault="00E57589" w:rsidP="00AE4A64">
            <w:pPr>
              <w:keepNext/>
              <w:tabs>
                <w:tab w:val="left" w:pos="2835"/>
              </w:tabs>
              <w:spacing w:after="0" w:line="240" w:lineRule="auto"/>
              <w:ind w:left="113" w:right="113"/>
              <w:jc w:val="center"/>
              <w:rPr>
                <w:rFonts w:ascii="Arial Narrow" w:hAnsi="Arial Narrow"/>
                <w:b/>
                <w:bCs/>
                <w:lang w:val="en-GB" w:eastAsia="ja-JP"/>
              </w:rPr>
            </w:pPr>
            <w:r w:rsidRPr="00AE4A64">
              <w:rPr>
                <w:rFonts w:ascii="Arial Narrow" w:hAnsi="Arial Narrow"/>
                <w:bCs/>
                <w:lang w:val="en-GB" w:eastAsia="ja-JP"/>
              </w:rPr>
              <w:t>Comparative safety versus comparator</w:t>
            </w:r>
          </w:p>
        </w:tc>
        <w:tc>
          <w:tcPr>
            <w:tcW w:w="1085" w:type="dxa"/>
            <w:vMerge w:val="restart"/>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keepNext/>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Superior</w:t>
            </w:r>
          </w:p>
        </w:tc>
        <w:tc>
          <w:tcPr>
            <w:tcW w:w="2560" w:type="dxa"/>
            <w:gridSpan w:val="2"/>
            <w:vMerge w:val="restart"/>
            <w:tcBorders>
              <w:top w:val="single" w:sz="8" w:space="0" w:color="4F81BD"/>
              <w:bottom w:val="single" w:sz="8" w:space="0" w:color="4F81BD"/>
            </w:tcBorders>
          </w:tcPr>
          <w:p w:rsidR="00E57589" w:rsidRPr="00AE4A64" w:rsidRDefault="00E57589" w:rsidP="00AE4A64">
            <w:pPr>
              <w:keepNext/>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c>
          <w:tcPr>
            <w:tcW w:w="2369" w:type="dxa"/>
            <w:vMerge w:val="restart"/>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keepNext/>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c>
          <w:tcPr>
            <w:tcW w:w="1548" w:type="dxa"/>
            <w:tcBorders>
              <w:top w:val="single" w:sz="8" w:space="0" w:color="4F81BD"/>
              <w:bottom w:val="single" w:sz="8" w:space="0" w:color="4F81BD"/>
            </w:tcBorders>
          </w:tcPr>
          <w:p w:rsidR="00E57589" w:rsidRPr="00AE4A64" w:rsidRDefault="00E57589" w:rsidP="00AE4A64">
            <w:pPr>
              <w:keepNext/>
              <w:tabs>
                <w:tab w:val="left" w:pos="2835"/>
              </w:tabs>
              <w:spacing w:after="0" w:line="240" w:lineRule="auto"/>
              <w:rPr>
                <w:rFonts w:ascii="Arial Narrow" w:hAnsi="Arial Narrow"/>
                <w:u w:val="single"/>
                <w:lang w:val="en-GB" w:eastAsia="ja-JP"/>
              </w:rPr>
            </w:pPr>
            <w:r w:rsidRPr="00AE4A64">
              <w:rPr>
                <w:rFonts w:ascii="Arial Narrow" w:hAnsi="Arial Narrow"/>
                <w:u w:val="single"/>
                <w:lang w:val="en-GB" w:eastAsia="ja-JP"/>
              </w:rPr>
              <w:t>Net clinical benefit</w:t>
            </w:r>
          </w:p>
        </w:tc>
        <w:tc>
          <w:tcPr>
            <w:tcW w:w="907" w:type="dxa"/>
            <w:tcBorders>
              <w:top w:val="single" w:sz="8" w:space="0" w:color="4F81BD"/>
              <w:left w:val="single" w:sz="8" w:space="0" w:color="4F81BD"/>
              <w:bottom w:val="single" w:sz="8" w:space="0" w:color="4F81BD"/>
            </w:tcBorders>
          </w:tcPr>
          <w:p w:rsidR="00E57589" w:rsidRPr="00AE4A64" w:rsidRDefault="00E57589" w:rsidP="00AE4A64">
            <w:pPr>
              <w:keepNext/>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r>
      <w:tr w:rsidR="00E57589" w:rsidRPr="00882200" w:rsidTr="00AE4A64">
        <w:trPr>
          <w:trHeight w:val="20"/>
        </w:trPr>
        <w:tc>
          <w:tcPr>
            <w:tcW w:w="671" w:type="dxa"/>
            <w:vMerge/>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vMerge/>
            <w:tcBorders>
              <w:left w:val="single" w:sz="8" w:space="0" w:color="4F81BD"/>
              <w:right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p>
        </w:tc>
        <w:tc>
          <w:tcPr>
            <w:tcW w:w="2560" w:type="dxa"/>
            <w:gridSpan w:val="2"/>
            <w:vMerge/>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2369" w:type="dxa"/>
            <w:vMerge/>
            <w:tcBorders>
              <w:left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1548" w:type="dxa"/>
          </w:tcPr>
          <w:p w:rsidR="00E57589" w:rsidRPr="00AE4A64" w:rsidRDefault="00E57589" w:rsidP="00AE4A64">
            <w:pPr>
              <w:tabs>
                <w:tab w:val="left" w:pos="2835"/>
              </w:tabs>
              <w:spacing w:after="0" w:line="240" w:lineRule="auto"/>
              <w:rPr>
                <w:rFonts w:ascii="Arial Narrow" w:hAnsi="Arial Narrow"/>
                <w:u w:val="single"/>
                <w:lang w:val="en-GB" w:eastAsia="ja-JP"/>
              </w:rPr>
            </w:pPr>
            <w:r w:rsidRPr="00AE4A64">
              <w:rPr>
                <w:rFonts w:ascii="Arial Narrow" w:hAnsi="Arial Narrow"/>
                <w:u w:val="single"/>
                <w:lang w:val="en-GB" w:eastAsia="ja-JP"/>
              </w:rPr>
              <w:t>Neutral benefit</w:t>
            </w:r>
          </w:p>
        </w:tc>
        <w:tc>
          <w:tcPr>
            <w:tcW w:w="907" w:type="dxa"/>
            <w:tcBorders>
              <w:lef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r>
      <w:tr w:rsidR="00E57589" w:rsidRPr="00882200" w:rsidTr="00AE4A64">
        <w:trPr>
          <w:trHeight w:val="20"/>
        </w:trPr>
        <w:tc>
          <w:tcPr>
            <w:tcW w:w="671" w:type="dxa"/>
            <w:vMerge/>
            <w:tcBorders>
              <w:top w:val="single" w:sz="8" w:space="0" w:color="4F81BD"/>
              <w:bottom w:val="single" w:sz="8" w:space="0" w:color="4F81BD"/>
            </w:tcBorders>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vMerge/>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p>
        </w:tc>
        <w:tc>
          <w:tcPr>
            <w:tcW w:w="2560" w:type="dxa"/>
            <w:gridSpan w:val="2"/>
            <w:vMerge/>
            <w:tcBorders>
              <w:top w:val="single" w:sz="8" w:space="0" w:color="4F81BD"/>
              <w:bottom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2369" w:type="dxa"/>
            <w:vMerge/>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1548" w:type="dxa"/>
            <w:tcBorders>
              <w:top w:val="single" w:sz="8" w:space="0" w:color="4F81BD"/>
              <w:bottom w:val="single" w:sz="8" w:space="0" w:color="4F81BD"/>
            </w:tcBorders>
          </w:tcPr>
          <w:p w:rsidR="00E57589" w:rsidRPr="00AE4A64" w:rsidRDefault="00E57589" w:rsidP="00AE4A64">
            <w:pPr>
              <w:tabs>
                <w:tab w:val="left" w:pos="2835"/>
              </w:tabs>
              <w:spacing w:after="0" w:line="240" w:lineRule="auto"/>
              <w:rPr>
                <w:rFonts w:ascii="Arial Narrow" w:hAnsi="Arial Narrow"/>
                <w:u w:val="single"/>
                <w:lang w:val="en-GB" w:eastAsia="ja-JP"/>
              </w:rPr>
            </w:pPr>
            <w:r w:rsidRPr="00AE4A64">
              <w:rPr>
                <w:rFonts w:ascii="Arial Narrow" w:hAnsi="Arial Narrow"/>
                <w:u w:val="single"/>
                <w:lang w:val="en-GB" w:eastAsia="ja-JP"/>
              </w:rPr>
              <w:t>Net harms</w:t>
            </w:r>
          </w:p>
        </w:tc>
        <w:tc>
          <w:tcPr>
            <w:tcW w:w="907" w:type="dxa"/>
            <w:tcBorders>
              <w:top w:val="single" w:sz="8" w:space="0" w:color="4F81BD"/>
              <w:left w:val="single" w:sz="8" w:space="0" w:color="4F81BD"/>
              <w:bottom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None^</w:t>
            </w:r>
          </w:p>
        </w:tc>
      </w:tr>
      <w:tr w:rsidR="00E57589" w:rsidRPr="00882200" w:rsidTr="00AE4A64">
        <w:trPr>
          <w:trHeight w:val="750"/>
        </w:trPr>
        <w:tc>
          <w:tcPr>
            <w:tcW w:w="671" w:type="dxa"/>
            <w:vMerge/>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tcBorders>
              <w:left w:val="single" w:sz="8" w:space="0" w:color="4F81BD"/>
              <w:right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Non-inferior</w:t>
            </w:r>
          </w:p>
        </w:tc>
        <w:tc>
          <w:tcPr>
            <w:tcW w:w="2560" w:type="dxa"/>
            <w:gridSpan w:val="2"/>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c>
          <w:tcPr>
            <w:tcW w:w="2369" w:type="dxa"/>
            <w:tcBorders>
              <w:left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b/>
                <w:lang w:val="en-GB" w:eastAsia="ja-JP"/>
              </w:rPr>
            </w:pPr>
            <w:r w:rsidRPr="00AE4A64">
              <w:rPr>
                <w:rFonts w:ascii="Arial Narrow" w:hAnsi="Arial Narrow"/>
                <w:b/>
                <w:lang w:val="en-GB" w:eastAsia="ja-JP"/>
              </w:rPr>
              <w:t>CEA/CUA*</w:t>
            </w:r>
          </w:p>
        </w:tc>
        <w:tc>
          <w:tcPr>
            <w:tcW w:w="2455" w:type="dxa"/>
            <w:gridSpan w:val="2"/>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None^</w:t>
            </w:r>
          </w:p>
        </w:tc>
      </w:tr>
      <w:tr w:rsidR="00E57589" w:rsidRPr="00882200" w:rsidTr="00AE4A64">
        <w:trPr>
          <w:trHeight w:val="20"/>
        </w:trPr>
        <w:tc>
          <w:tcPr>
            <w:tcW w:w="671" w:type="dxa"/>
            <w:vMerge/>
            <w:tcBorders>
              <w:top w:val="single" w:sz="8" w:space="0" w:color="4F81BD"/>
              <w:bottom w:val="single" w:sz="8" w:space="0" w:color="4F81BD"/>
            </w:tcBorders>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vMerge w:val="restart"/>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Inferior</w:t>
            </w:r>
          </w:p>
        </w:tc>
        <w:tc>
          <w:tcPr>
            <w:tcW w:w="1583" w:type="dxa"/>
            <w:tcBorders>
              <w:top w:val="single" w:sz="8" w:space="0" w:color="4F81BD"/>
              <w:bottom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Net clinical benefit</w:t>
            </w:r>
          </w:p>
        </w:tc>
        <w:tc>
          <w:tcPr>
            <w:tcW w:w="977" w:type="dxa"/>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c>
          <w:tcPr>
            <w:tcW w:w="2369" w:type="dxa"/>
            <w:vMerge w:val="restart"/>
            <w:tcBorders>
              <w:top w:val="single" w:sz="8" w:space="0" w:color="4F81BD"/>
              <w:bottom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None^</w:t>
            </w:r>
          </w:p>
        </w:tc>
        <w:tc>
          <w:tcPr>
            <w:tcW w:w="2455" w:type="dxa"/>
            <w:gridSpan w:val="2"/>
            <w:vMerge w:val="restart"/>
            <w:tcBorders>
              <w:top w:val="single" w:sz="8" w:space="0" w:color="4F81BD"/>
              <w:left w:val="single" w:sz="8" w:space="0" w:color="4F81BD"/>
              <w:bottom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None^</w:t>
            </w:r>
          </w:p>
        </w:tc>
      </w:tr>
      <w:tr w:rsidR="00E57589" w:rsidRPr="00882200" w:rsidTr="00AE4A64">
        <w:trPr>
          <w:trHeight w:val="20"/>
        </w:trPr>
        <w:tc>
          <w:tcPr>
            <w:tcW w:w="671" w:type="dxa"/>
            <w:vMerge/>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vMerge/>
            <w:tcBorders>
              <w:left w:val="single" w:sz="8" w:space="0" w:color="4F81BD"/>
              <w:right w:val="single" w:sz="8" w:space="0" w:color="4F81BD"/>
            </w:tcBorders>
          </w:tcPr>
          <w:p w:rsidR="00E57589" w:rsidRPr="00AE4A64" w:rsidRDefault="00E57589" w:rsidP="00AE4A64">
            <w:pPr>
              <w:tabs>
                <w:tab w:val="left" w:pos="2835"/>
              </w:tabs>
              <w:spacing w:after="0" w:line="240" w:lineRule="auto"/>
              <w:rPr>
                <w:rFonts w:ascii="Arial Narrow" w:hAnsi="Arial Narrow"/>
                <w:lang w:val="en-GB" w:eastAsia="ja-JP"/>
              </w:rPr>
            </w:pPr>
          </w:p>
        </w:tc>
        <w:tc>
          <w:tcPr>
            <w:tcW w:w="1583" w:type="dxa"/>
          </w:tcPr>
          <w:p w:rsidR="00E57589" w:rsidRPr="00AE4A64" w:rsidRDefault="00E57589" w:rsidP="00AE4A64">
            <w:pPr>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Neutral benefit</w:t>
            </w:r>
          </w:p>
        </w:tc>
        <w:tc>
          <w:tcPr>
            <w:tcW w:w="977" w:type="dxa"/>
            <w:tcBorders>
              <w:left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CEA/CUA*</w:t>
            </w:r>
          </w:p>
        </w:tc>
        <w:tc>
          <w:tcPr>
            <w:tcW w:w="2369" w:type="dxa"/>
            <w:vMerge/>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2455" w:type="dxa"/>
            <w:gridSpan w:val="2"/>
            <w:vMerge/>
            <w:tcBorders>
              <w:left w:val="single" w:sz="8" w:space="0" w:color="4F81BD"/>
            </w:tcBorders>
          </w:tcPr>
          <w:p w:rsidR="00E57589" w:rsidRPr="00AE4A64" w:rsidRDefault="00E57589" w:rsidP="00AE4A64">
            <w:pPr>
              <w:tabs>
                <w:tab w:val="left" w:pos="2835"/>
              </w:tabs>
              <w:spacing w:after="0" w:line="240" w:lineRule="auto"/>
              <w:rPr>
                <w:rFonts w:ascii="Arial Narrow" w:hAnsi="Arial Narrow"/>
                <w:lang w:val="en-GB" w:eastAsia="ja-JP"/>
              </w:rPr>
            </w:pPr>
          </w:p>
        </w:tc>
      </w:tr>
      <w:tr w:rsidR="00E57589" w:rsidRPr="00882200" w:rsidTr="00AE4A64">
        <w:trPr>
          <w:trHeight w:val="20"/>
        </w:trPr>
        <w:tc>
          <w:tcPr>
            <w:tcW w:w="671" w:type="dxa"/>
            <w:vMerge/>
            <w:tcBorders>
              <w:top w:val="single" w:sz="8" w:space="0" w:color="4F81BD"/>
              <w:bottom w:val="single" w:sz="8" w:space="0" w:color="4F81BD"/>
            </w:tcBorders>
          </w:tcPr>
          <w:p w:rsidR="00E57589" w:rsidRPr="00AE4A64" w:rsidRDefault="00E57589" w:rsidP="00AE4A64">
            <w:pPr>
              <w:tabs>
                <w:tab w:val="left" w:pos="2835"/>
              </w:tabs>
              <w:spacing w:after="0" w:line="240" w:lineRule="auto"/>
              <w:rPr>
                <w:rFonts w:ascii="Arial Narrow" w:hAnsi="Arial Narrow"/>
                <w:b/>
                <w:bCs/>
                <w:lang w:val="en-GB" w:eastAsia="ja-JP"/>
              </w:rPr>
            </w:pPr>
          </w:p>
        </w:tc>
        <w:tc>
          <w:tcPr>
            <w:tcW w:w="1085" w:type="dxa"/>
            <w:vMerge/>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rPr>
                <w:rFonts w:ascii="Arial Narrow" w:hAnsi="Arial Narrow"/>
                <w:lang w:val="en-GB" w:eastAsia="ja-JP"/>
              </w:rPr>
            </w:pPr>
          </w:p>
        </w:tc>
        <w:tc>
          <w:tcPr>
            <w:tcW w:w="1583" w:type="dxa"/>
            <w:tcBorders>
              <w:top w:val="single" w:sz="8" w:space="0" w:color="4F81BD"/>
              <w:bottom w:val="single" w:sz="8" w:space="0" w:color="4F81BD"/>
            </w:tcBorders>
          </w:tcPr>
          <w:p w:rsidR="00E57589" w:rsidRPr="00AE4A64" w:rsidRDefault="00E57589" w:rsidP="00AE4A64">
            <w:pPr>
              <w:tabs>
                <w:tab w:val="left" w:pos="2835"/>
              </w:tabs>
              <w:spacing w:after="0" w:line="240" w:lineRule="auto"/>
              <w:jc w:val="left"/>
              <w:rPr>
                <w:rFonts w:ascii="Arial Narrow" w:hAnsi="Arial Narrow"/>
                <w:u w:val="single"/>
                <w:lang w:val="en-GB" w:eastAsia="ja-JP"/>
              </w:rPr>
            </w:pPr>
            <w:r w:rsidRPr="00AE4A64">
              <w:rPr>
                <w:rFonts w:ascii="Arial Narrow" w:hAnsi="Arial Narrow"/>
                <w:u w:val="single"/>
                <w:lang w:val="en-GB" w:eastAsia="ja-JP"/>
              </w:rPr>
              <w:t>Net harms</w:t>
            </w:r>
          </w:p>
        </w:tc>
        <w:tc>
          <w:tcPr>
            <w:tcW w:w="977" w:type="dxa"/>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r w:rsidRPr="00AE4A64">
              <w:rPr>
                <w:rFonts w:ascii="Arial Narrow" w:hAnsi="Arial Narrow"/>
                <w:lang w:val="en-GB" w:eastAsia="ja-JP"/>
              </w:rPr>
              <w:t>None^</w:t>
            </w:r>
          </w:p>
        </w:tc>
        <w:tc>
          <w:tcPr>
            <w:tcW w:w="2369" w:type="dxa"/>
            <w:vMerge/>
            <w:tcBorders>
              <w:top w:val="single" w:sz="8" w:space="0" w:color="4F81BD"/>
              <w:bottom w:val="single" w:sz="8" w:space="0" w:color="4F81BD"/>
            </w:tcBorders>
          </w:tcPr>
          <w:p w:rsidR="00E57589" w:rsidRPr="00AE4A64" w:rsidRDefault="00E57589" w:rsidP="00AE4A64">
            <w:pPr>
              <w:tabs>
                <w:tab w:val="left" w:pos="2835"/>
              </w:tabs>
              <w:spacing w:after="0" w:line="240" w:lineRule="auto"/>
              <w:jc w:val="center"/>
              <w:rPr>
                <w:rFonts w:ascii="Arial Narrow" w:hAnsi="Arial Narrow"/>
                <w:lang w:val="en-GB" w:eastAsia="ja-JP"/>
              </w:rPr>
            </w:pPr>
          </w:p>
        </w:tc>
        <w:tc>
          <w:tcPr>
            <w:tcW w:w="2455" w:type="dxa"/>
            <w:gridSpan w:val="2"/>
            <w:vMerge/>
            <w:tcBorders>
              <w:top w:val="single" w:sz="8" w:space="0" w:color="4F81BD"/>
              <w:left w:val="single" w:sz="8" w:space="0" w:color="4F81BD"/>
              <w:bottom w:val="single" w:sz="8" w:space="0" w:color="4F81BD"/>
            </w:tcBorders>
          </w:tcPr>
          <w:p w:rsidR="00E57589" w:rsidRPr="00AE4A64" w:rsidRDefault="00E57589" w:rsidP="00AE4A64">
            <w:pPr>
              <w:tabs>
                <w:tab w:val="left" w:pos="2835"/>
              </w:tabs>
              <w:spacing w:after="0" w:line="240" w:lineRule="auto"/>
              <w:rPr>
                <w:rFonts w:ascii="Arial Narrow" w:hAnsi="Arial Narrow"/>
                <w:lang w:val="en-GB" w:eastAsia="ja-JP"/>
              </w:rPr>
            </w:pPr>
          </w:p>
        </w:tc>
      </w:tr>
    </w:tbl>
    <w:p w:rsidR="00E57589" w:rsidRDefault="00E57589"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E57589" w:rsidRDefault="00E57589"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Pr>
          <w:rFonts w:ascii="Arial Narrow" w:hAnsi="Arial Narrow"/>
          <w:lang w:val="en-GB" w:eastAsia="ja-JP"/>
        </w:rPr>
        <w:t xml:space="preserve"> </w:t>
      </w:r>
      <w:r w:rsidRPr="00A96F9C">
        <w:rPr>
          <w:rFonts w:ascii="Arial Narrow" w:hAnsi="Arial Narrow"/>
          <w:lang w:val="en-GB" w:eastAsia="ja-JP"/>
        </w:rPr>
        <w:t>indisputable). Therefore, when an assessment concludes that an</w:t>
      </w:r>
      <w:r>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E57589" w:rsidRPr="00882200" w:rsidRDefault="00E57589" w:rsidP="009B59B7">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E57589" w:rsidRPr="00A34E9C" w:rsidRDefault="00E57589" w:rsidP="00216BA2">
      <w:pPr>
        <w:pStyle w:val="Heading1"/>
      </w:pPr>
      <w:bookmarkStart w:id="39" w:name="_Toc358036540"/>
      <w:bookmarkStart w:id="40" w:name="_Toc367181287"/>
      <w:r w:rsidRPr="00A34E9C">
        <w:lastRenderedPageBreak/>
        <w:t>Outcomes and health care resources</w:t>
      </w:r>
      <w:bookmarkEnd w:id="39"/>
      <w:bookmarkEnd w:id="40"/>
    </w:p>
    <w:p w:rsidR="00E57589" w:rsidRDefault="00E57589" w:rsidP="00216BA2">
      <w:pPr>
        <w:pStyle w:val="Heading2"/>
      </w:pPr>
      <w:bookmarkStart w:id="41" w:name="_Toc358036541"/>
      <w:bookmarkStart w:id="42" w:name="_Toc367181288"/>
      <w:r>
        <w:t>Outcomes</w:t>
      </w:r>
      <w:bookmarkEnd w:id="41"/>
      <w:bookmarkEnd w:id="42"/>
      <w:r>
        <w:t xml:space="preserve"> </w:t>
      </w:r>
    </w:p>
    <w:p w:rsidR="00E57589" w:rsidRPr="00FB2B53" w:rsidRDefault="00E57589" w:rsidP="00216BA2">
      <w:pPr>
        <w:keepNext/>
        <w:spacing w:before="240"/>
      </w:pPr>
      <w:r w:rsidRPr="00FB2B53">
        <w:t>Potential outcomes for the comparison of relative clinical effectiveness include, but are not limited to:</w:t>
      </w:r>
    </w:p>
    <w:p w:rsidR="003D388E" w:rsidRDefault="003D388E" w:rsidP="00216BA2">
      <w:pPr>
        <w:keepNext/>
        <w:numPr>
          <w:ilvl w:val="0"/>
          <w:numId w:val="12"/>
        </w:numPr>
        <w:spacing w:after="0" w:line="360" w:lineRule="auto"/>
        <w:ind w:left="714" w:hanging="357"/>
        <w:jc w:val="left"/>
      </w:pPr>
      <w:r>
        <w:t xml:space="preserve">Closure of the VSD </w:t>
      </w:r>
    </w:p>
    <w:p w:rsidR="00E57589" w:rsidRPr="0069564A" w:rsidRDefault="003D388E" w:rsidP="00216BA2">
      <w:pPr>
        <w:keepNext/>
        <w:numPr>
          <w:ilvl w:val="0"/>
          <w:numId w:val="12"/>
        </w:numPr>
        <w:spacing w:after="0" w:line="360" w:lineRule="auto"/>
        <w:ind w:left="714" w:hanging="357"/>
        <w:jc w:val="left"/>
      </w:pPr>
      <w:r>
        <w:t xml:space="preserve">reduction of the shunt and </w:t>
      </w:r>
      <w:r w:rsidR="00E57589">
        <w:t xml:space="preserve">pulmonary arterial pressure or </w:t>
      </w:r>
    </w:p>
    <w:p w:rsidR="00E57589" w:rsidRPr="0069564A" w:rsidRDefault="00E57589" w:rsidP="00216BA2">
      <w:pPr>
        <w:keepNext/>
        <w:numPr>
          <w:ilvl w:val="0"/>
          <w:numId w:val="12"/>
        </w:numPr>
        <w:spacing w:after="0" w:line="360" w:lineRule="auto"/>
        <w:jc w:val="left"/>
      </w:pPr>
      <w:r w:rsidRPr="0069564A">
        <w:t>Avoidance of cardiopulmonary bypass with its associated neurological risk</w:t>
      </w:r>
    </w:p>
    <w:p w:rsidR="00E57589" w:rsidRPr="00FB2B53" w:rsidRDefault="00E57589" w:rsidP="00BF7025">
      <w:pPr>
        <w:keepNext/>
        <w:spacing w:before="240"/>
      </w:pPr>
      <w:r w:rsidRPr="00FB2B53">
        <w:t xml:space="preserve">Potential major adverse events that are of interest for the comparison of relative safety of transcatheter </w:t>
      </w:r>
      <w:r>
        <w:t xml:space="preserve">and surgical </w:t>
      </w:r>
      <w:r w:rsidRPr="00FB2B53">
        <w:t>closure of VSD include but are not limited to:</w:t>
      </w:r>
    </w:p>
    <w:p w:rsidR="00E57589" w:rsidRDefault="00E57589" w:rsidP="00BF7025">
      <w:pPr>
        <w:keepNext/>
        <w:numPr>
          <w:ilvl w:val="0"/>
          <w:numId w:val="13"/>
        </w:numPr>
        <w:spacing w:after="0" w:line="360" w:lineRule="auto"/>
        <w:jc w:val="left"/>
      </w:pPr>
      <w:r w:rsidRPr="008F5B21">
        <w:t>Patient mortality</w:t>
      </w:r>
    </w:p>
    <w:p w:rsidR="00E57589" w:rsidRDefault="00E57589" w:rsidP="00BF7025">
      <w:pPr>
        <w:keepNext/>
        <w:numPr>
          <w:ilvl w:val="0"/>
          <w:numId w:val="13"/>
        </w:numPr>
        <w:spacing w:after="0" w:line="360" w:lineRule="auto"/>
        <w:jc w:val="left"/>
      </w:pPr>
      <w:r>
        <w:t>Haemorrhage</w:t>
      </w:r>
    </w:p>
    <w:p w:rsidR="00E57589" w:rsidRPr="008F5B21" w:rsidRDefault="00E57589" w:rsidP="00BF7025">
      <w:pPr>
        <w:keepNext/>
        <w:numPr>
          <w:ilvl w:val="0"/>
          <w:numId w:val="13"/>
        </w:numPr>
        <w:spacing w:after="0" w:line="360" w:lineRule="auto"/>
        <w:jc w:val="left"/>
      </w:pPr>
      <w:r w:rsidRPr="008F5B21">
        <w:t>Cardiac tamponade</w:t>
      </w:r>
    </w:p>
    <w:p w:rsidR="00E57589" w:rsidRDefault="00E57589" w:rsidP="00BF7025">
      <w:pPr>
        <w:keepNext/>
        <w:numPr>
          <w:ilvl w:val="0"/>
          <w:numId w:val="13"/>
        </w:numPr>
        <w:spacing w:after="0" w:line="360" w:lineRule="auto"/>
        <w:jc w:val="left"/>
      </w:pPr>
      <w:r>
        <w:t>Infection</w:t>
      </w:r>
    </w:p>
    <w:p w:rsidR="00E57589" w:rsidRPr="008F5B21" w:rsidRDefault="00E57589" w:rsidP="00BF7025">
      <w:pPr>
        <w:keepNext/>
        <w:numPr>
          <w:ilvl w:val="0"/>
          <w:numId w:val="13"/>
        </w:numPr>
        <w:spacing w:after="0" w:line="360" w:lineRule="auto"/>
        <w:jc w:val="left"/>
      </w:pPr>
      <w:r w:rsidRPr="008F5B21">
        <w:t xml:space="preserve">Failure of </w:t>
      </w:r>
      <w:r>
        <w:t xml:space="preserve">significant </w:t>
      </w:r>
      <w:r w:rsidRPr="008F5B21">
        <w:t>occlusion</w:t>
      </w:r>
    </w:p>
    <w:p w:rsidR="00E57589" w:rsidRPr="008F5B21" w:rsidRDefault="00E57589" w:rsidP="00BF7025">
      <w:pPr>
        <w:keepNext/>
        <w:numPr>
          <w:ilvl w:val="0"/>
          <w:numId w:val="13"/>
        </w:numPr>
        <w:spacing w:after="0" w:line="360" w:lineRule="auto"/>
        <w:jc w:val="left"/>
      </w:pPr>
      <w:r w:rsidRPr="008F5B21">
        <w:t>Heart block</w:t>
      </w:r>
    </w:p>
    <w:p w:rsidR="00E57589" w:rsidRPr="008F5B21" w:rsidRDefault="00E57589" w:rsidP="00BF7025">
      <w:pPr>
        <w:keepNext/>
        <w:numPr>
          <w:ilvl w:val="0"/>
          <w:numId w:val="13"/>
        </w:numPr>
        <w:spacing w:after="0" w:line="360" w:lineRule="auto"/>
        <w:jc w:val="left"/>
      </w:pPr>
      <w:r>
        <w:t>Device embolis</w:t>
      </w:r>
      <w:r w:rsidRPr="008F5B21">
        <w:t>ation, displacement or misplacement</w:t>
      </w:r>
    </w:p>
    <w:p w:rsidR="00E57589" w:rsidRPr="008F5B21" w:rsidRDefault="00E57589" w:rsidP="00BF7025">
      <w:pPr>
        <w:keepNext/>
        <w:numPr>
          <w:ilvl w:val="0"/>
          <w:numId w:val="13"/>
        </w:numPr>
        <w:spacing w:after="0" w:line="360" w:lineRule="auto"/>
        <w:jc w:val="left"/>
      </w:pPr>
      <w:r w:rsidRPr="008F5B21">
        <w:t>Interference with the mitral or aortic valve</w:t>
      </w:r>
    </w:p>
    <w:p w:rsidR="00E57589" w:rsidRDefault="00E57589" w:rsidP="0042242D">
      <w:pPr>
        <w:pStyle w:val="Heading2"/>
        <w:sectPr w:rsidR="00E57589" w:rsidSect="00735D2D">
          <w:type w:val="continuous"/>
          <w:pgSz w:w="11906" w:h="16838"/>
          <w:pgMar w:top="1560" w:right="1440" w:bottom="1440" w:left="1440" w:header="708" w:footer="708" w:gutter="0"/>
          <w:cols w:space="708"/>
          <w:titlePg/>
          <w:docGrid w:linePitch="360"/>
        </w:sectPr>
      </w:pPr>
    </w:p>
    <w:p w:rsidR="00E57589" w:rsidRDefault="00E57589" w:rsidP="002447B4">
      <w:pPr>
        <w:pStyle w:val="Heading2"/>
        <w:spacing w:after="0"/>
      </w:pPr>
      <w:bookmarkStart w:id="43" w:name="_Toc358036542"/>
      <w:bookmarkStart w:id="44" w:name="_Toc367181289"/>
      <w:r>
        <w:lastRenderedPageBreak/>
        <w:t>Health care resources</w:t>
      </w:r>
      <w:bookmarkEnd w:id="43"/>
      <w:bookmarkEnd w:id="44"/>
    </w:p>
    <w:p w:rsidR="00E57589" w:rsidRPr="009C4702" w:rsidRDefault="00E57589" w:rsidP="003D60E9">
      <w:pPr>
        <w:spacing w:after="120"/>
        <w:rPr>
          <w:lang w:val="en-GB" w:eastAsia="ja-JP"/>
        </w:rPr>
      </w:pPr>
      <w:r w:rsidRPr="009C4702">
        <w:rPr>
          <w:lang w:val="en-GB" w:eastAsia="ja-JP"/>
        </w:rPr>
        <w:t xml:space="preserve">Details on the health care resources </w:t>
      </w:r>
      <w:r>
        <w:rPr>
          <w:lang w:val="en-GB" w:eastAsia="ja-JP"/>
        </w:rPr>
        <w:t>required should transcatheter closure of VSD be made available are listed in Table 11.</w:t>
      </w:r>
    </w:p>
    <w:p w:rsidR="00E57589" w:rsidRDefault="00E57589" w:rsidP="00314BE5">
      <w:pPr>
        <w:pStyle w:val="Caption"/>
      </w:pPr>
      <w:bookmarkStart w:id="45" w:name="_Ref283143211"/>
      <w:bookmarkStart w:id="46" w:name="_Ref283143206"/>
      <w:r w:rsidRPr="00A34E9C">
        <w:t xml:space="preserve">Table </w:t>
      </w:r>
      <w:bookmarkEnd w:id="45"/>
      <w:r>
        <w:t>11</w:t>
      </w:r>
      <w:r w:rsidRPr="00A34E9C">
        <w:t>:</w:t>
      </w:r>
      <w:r w:rsidRPr="00A34E9C">
        <w:tab/>
      </w:r>
      <w:r>
        <w:t xml:space="preserve">  List</w:t>
      </w:r>
      <w:r w:rsidRPr="00A34E9C">
        <w:t xml:space="preserve"> of resources to be considered in the economic analysis</w:t>
      </w:r>
      <w:bookmarkEnd w:id="46"/>
    </w:p>
    <w:tbl>
      <w:tblPr>
        <w:tblW w:w="12757"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2551"/>
        <w:gridCol w:w="1701"/>
        <w:gridCol w:w="1134"/>
        <w:gridCol w:w="1701"/>
        <w:gridCol w:w="1701"/>
        <w:gridCol w:w="1701"/>
        <w:gridCol w:w="2268"/>
      </w:tblGrid>
      <w:tr w:rsidR="00E57589" w:rsidRPr="00A4680C" w:rsidTr="00AE4A64">
        <w:trPr>
          <w:trHeight w:val="283"/>
          <w:tblHeader/>
        </w:trPr>
        <w:tc>
          <w:tcPr>
            <w:tcW w:w="2551" w:type="dxa"/>
            <w:tcBorders>
              <w:top w:val="single" w:sz="8" w:space="0" w:color="4F81BD"/>
            </w:tcBorders>
            <w:shd w:val="clear" w:color="auto" w:fill="4F81BD"/>
          </w:tcPr>
          <w:p w:rsidR="00E57589" w:rsidRPr="00AE4A64" w:rsidRDefault="00E57589" w:rsidP="00AE4A64">
            <w:pPr>
              <w:pStyle w:val="ListParagraph"/>
              <w:spacing w:after="0" w:line="240" w:lineRule="auto"/>
              <w:ind w:left="0"/>
              <w:jc w:val="left"/>
              <w:rPr>
                <w:rFonts w:ascii="Arial Narrow" w:hAnsi="Arial Narrow"/>
                <w:b/>
                <w:bCs/>
                <w:color w:val="FFFFFF"/>
                <w:sz w:val="18"/>
                <w:szCs w:val="18"/>
              </w:rPr>
            </w:pPr>
          </w:p>
        </w:tc>
        <w:tc>
          <w:tcPr>
            <w:tcW w:w="1701" w:type="dxa"/>
            <w:tcBorders>
              <w:top w:val="single" w:sz="8" w:space="0" w:color="4F81BD"/>
              <w:left w:val="single" w:sz="8" w:space="0" w:color="4F81BD"/>
              <w:right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Provider of resource</w:t>
            </w:r>
          </w:p>
        </w:tc>
        <w:tc>
          <w:tcPr>
            <w:tcW w:w="1134" w:type="dxa"/>
            <w:tcBorders>
              <w:top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Units</w:t>
            </w:r>
          </w:p>
        </w:tc>
        <w:tc>
          <w:tcPr>
            <w:tcW w:w="1701" w:type="dxa"/>
            <w:tcBorders>
              <w:top w:val="single" w:sz="8" w:space="0" w:color="4F81BD"/>
              <w:left w:val="single" w:sz="8" w:space="0" w:color="4F81BD"/>
              <w:right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MBS item</w:t>
            </w:r>
          </w:p>
        </w:tc>
        <w:tc>
          <w:tcPr>
            <w:tcW w:w="1701" w:type="dxa"/>
            <w:tcBorders>
              <w:top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MBS Schedule fee</w:t>
            </w:r>
          </w:p>
        </w:tc>
        <w:tc>
          <w:tcPr>
            <w:tcW w:w="1701" w:type="dxa"/>
            <w:tcBorders>
              <w:top w:val="single" w:sz="8" w:space="0" w:color="4F81BD"/>
              <w:left w:val="single" w:sz="8" w:space="0" w:color="4F81BD"/>
              <w:right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75% benefit</w:t>
            </w:r>
          </w:p>
        </w:tc>
        <w:tc>
          <w:tcPr>
            <w:tcW w:w="2268" w:type="dxa"/>
            <w:tcBorders>
              <w:top w:val="single" w:sz="8" w:space="0" w:color="4F81BD"/>
            </w:tcBorders>
            <w:shd w:val="clear" w:color="auto" w:fill="4F81BD"/>
          </w:tcPr>
          <w:p w:rsidR="00E57589" w:rsidRPr="00AE4A64" w:rsidRDefault="00E57589" w:rsidP="00AE4A64">
            <w:pPr>
              <w:keepNext/>
              <w:spacing w:after="0" w:line="240" w:lineRule="auto"/>
              <w:jc w:val="center"/>
              <w:rPr>
                <w:rFonts w:ascii="Arial Narrow" w:hAnsi="Arial Narrow"/>
                <w:b/>
                <w:bCs/>
                <w:color w:val="FFFFFF"/>
                <w:sz w:val="18"/>
              </w:rPr>
            </w:pPr>
            <w:r w:rsidRPr="00AE4A64">
              <w:rPr>
                <w:rFonts w:ascii="Arial Narrow" w:hAnsi="Arial Narrow"/>
                <w:bCs/>
                <w:color w:val="FFFFFF"/>
                <w:sz w:val="18"/>
              </w:rPr>
              <w:t>Government / Private / Patient</w:t>
            </w: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Cs/>
                <w:sz w:val="18"/>
                <w:szCs w:val="18"/>
              </w:rPr>
              <w:t>Consultation and diagnostic</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Initial consultation</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104</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$85.55</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$64.20</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Followup consultation</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ongoing</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105</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$43.00</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$36.55 (85% benefit)</w:t>
            </w: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ECG</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11700</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$31.25</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$23.45</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Chest x-ray</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Radiographer</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58503</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$47.15</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$35.40</w:t>
            </w: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Transthoracic echocardiography</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55113 55114 55115</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$230.65</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$173.00</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Anaesthesia for echocardiography</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21936</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$118.80</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$89.10</w:t>
            </w: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0"/>
              <w:jc w:val="left"/>
              <w:rPr>
                <w:rFonts w:ascii="Arial Narrow" w:hAnsi="Arial Narrow"/>
                <w:b/>
                <w:bCs/>
                <w:sz w:val="18"/>
                <w:szCs w:val="18"/>
              </w:rPr>
            </w:pPr>
            <w:r w:rsidRPr="00AE4A64">
              <w:rPr>
                <w:rFonts w:ascii="Arial Narrow" w:hAnsi="Arial Narrow"/>
                <w:bCs/>
                <w:sz w:val="18"/>
                <w:szCs w:val="18"/>
              </w:rPr>
              <w:t>Both transcatheter and surgery</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General Anaesthesia</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Anaesthetist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Surgical assistant</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Surgical trainee</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51303</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derived fee</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Ward stay</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Hospital</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0"/>
              <w:jc w:val="left"/>
              <w:rPr>
                <w:rFonts w:ascii="Arial Narrow" w:hAnsi="Arial Narrow"/>
                <w:b/>
                <w:bCs/>
                <w:sz w:val="18"/>
                <w:szCs w:val="18"/>
              </w:rPr>
            </w:pPr>
            <w:r w:rsidRPr="00AE4A64">
              <w:rPr>
                <w:rFonts w:ascii="Arial Narrow" w:hAnsi="Arial Narrow"/>
                <w:bCs/>
                <w:sz w:val="18"/>
                <w:szCs w:val="18"/>
              </w:rPr>
              <w:t>Transcatheter closure</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A4680C"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Catheterisation laboratory</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Hospital</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r>
      <w:tr w:rsidR="00E57589" w:rsidRPr="00A4680C"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Occlusion device*</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Private health insurer</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$10,200</w:t>
            </w:r>
          </w:p>
        </w:tc>
      </w:tr>
      <w:tr w:rsidR="00E57589" w:rsidRPr="004347BB"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Transcatheter Procedure</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New item</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Anaesthesia</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Anaesthetist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Ventriculography</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38218</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$532.25</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Transoesophageal echography</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Cardiologist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55130</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$170.00</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$127.50</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0"/>
              <w:jc w:val="left"/>
              <w:rPr>
                <w:rFonts w:ascii="Arial Narrow" w:hAnsi="Arial Narrow"/>
                <w:b/>
                <w:bCs/>
                <w:sz w:val="18"/>
                <w:szCs w:val="18"/>
              </w:rPr>
            </w:pPr>
            <w:r w:rsidRPr="00AE4A64">
              <w:rPr>
                <w:rFonts w:ascii="Arial Narrow" w:hAnsi="Arial Narrow"/>
                <w:bCs/>
                <w:sz w:val="18"/>
                <w:szCs w:val="18"/>
              </w:rPr>
              <w:t>Surgical / hybrid closure</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Surgery</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Surgeon</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38751</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$2,134.50</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$1,600.90</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Cardiac bypass</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Anaesthetist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22060</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$396.00</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$297.00</w:t>
            </w: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ICU initial management</w:t>
            </w:r>
          </w:p>
        </w:tc>
        <w:tc>
          <w:tcPr>
            <w:tcW w:w="1701" w:type="dxa"/>
            <w:tcBorders>
              <w:left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Specialist</w:t>
            </w:r>
          </w:p>
        </w:tc>
        <w:tc>
          <w:tcPr>
            <w:tcW w:w="1134" w:type="dxa"/>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13870</w:t>
            </w:r>
          </w:p>
        </w:tc>
        <w:tc>
          <w:tcPr>
            <w:tcW w:w="1701" w:type="dxa"/>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$362.10</w:t>
            </w:r>
          </w:p>
        </w:tc>
        <w:tc>
          <w:tcPr>
            <w:tcW w:w="1701" w:type="dxa"/>
            <w:tcBorders>
              <w:left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$271.60</w:t>
            </w:r>
          </w:p>
        </w:tc>
        <w:tc>
          <w:tcPr>
            <w:tcW w:w="2268" w:type="dxa"/>
            <w:shd w:val="clear" w:color="auto" w:fill="FDE9D9"/>
          </w:tcPr>
          <w:p w:rsidR="00E57589" w:rsidRPr="00AE4A64" w:rsidRDefault="00E57589" w:rsidP="00AE4A64">
            <w:pPr>
              <w:spacing w:after="0" w:line="240" w:lineRule="auto"/>
              <w:jc w:val="center"/>
              <w:rPr>
                <w:rFonts w:ascii="Arial Narrow" w:hAnsi="Arial Narrow"/>
                <w:sz w:val="18"/>
                <w:szCs w:val="18"/>
              </w:rPr>
            </w:pPr>
          </w:p>
        </w:tc>
      </w:tr>
      <w:tr w:rsidR="00E57589" w:rsidRPr="004347BB" w:rsidTr="00AE4A64">
        <w:trPr>
          <w:trHeight w:val="283"/>
        </w:trPr>
        <w:tc>
          <w:tcPr>
            <w:tcW w:w="2551" w:type="dxa"/>
            <w:tcBorders>
              <w:top w:val="single" w:sz="8" w:space="0" w:color="4F81BD"/>
              <w:bottom w:val="single" w:sz="8" w:space="0" w:color="4F81BD"/>
            </w:tcBorders>
          </w:tcPr>
          <w:p w:rsidR="00E57589" w:rsidRPr="00AE4A64" w:rsidRDefault="00E57589" w:rsidP="00AE4A64">
            <w:pPr>
              <w:pStyle w:val="ListParagraph"/>
              <w:spacing w:after="0" w:line="240" w:lineRule="auto"/>
              <w:ind w:left="113"/>
              <w:jc w:val="left"/>
              <w:rPr>
                <w:rFonts w:ascii="Arial Narrow" w:hAnsi="Arial Narrow"/>
                <w:b/>
                <w:bCs/>
                <w:sz w:val="18"/>
                <w:szCs w:val="18"/>
              </w:rPr>
            </w:pPr>
            <w:r w:rsidRPr="00AE4A64">
              <w:rPr>
                <w:rFonts w:ascii="Arial Narrow" w:hAnsi="Arial Narrow"/>
                <w:b/>
                <w:bCs/>
                <w:sz w:val="18"/>
                <w:szCs w:val="18"/>
              </w:rPr>
              <w:t>ICU subsequent management</w:t>
            </w:r>
          </w:p>
        </w:tc>
        <w:tc>
          <w:tcPr>
            <w:tcW w:w="1701" w:type="dxa"/>
            <w:tcBorders>
              <w:top w:val="single" w:sz="8" w:space="0" w:color="4F81BD"/>
              <w:left w:val="single" w:sz="8" w:space="0" w:color="4F81BD"/>
              <w:bottom w:val="single" w:sz="8" w:space="0" w:color="4F81BD"/>
              <w:right w:val="single" w:sz="8" w:space="0" w:color="4F81BD"/>
            </w:tcBorders>
            <w:shd w:val="clear" w:color="auto" w:fill="B6DDE8"/>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Specialist</w:t>
            </w:r>
          </w:p>
        </w:tc>
        <w:tc>
          <w:tcPr>
            <w:tcW w:w="1134" w:type="dxa"/>
            <w:tcBorders>
              <w:top w:val="single" w:sz="8" w:space="0" w:color="4F81BD"/>
              <w:bottom w:val="single" w:sz="8" w:space="0" w:color="4F81BD"/>
            </w:tcBorders>
            <w:shd w:val="clear" w:color="auto" w:fill="EAF1DD"/>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TBD</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13873</w:t>
            </w:r>
          </w:p>
        </w:tc>
        <w:tc>
          <w:tcPr>
            <w:tcW w:w="1701"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$268.60</w:t>
            </w:r>
          </w:p>
        </w:tc>
        <w:tc>
          <w:tcPr>
            <w:tcW w:w="1701" w:type="dxa"/>
            <w:tcBorders>
              <w:top w:val="single" w:sz="8" w:space="0" w:color="4F81BD"/>
              <w:left w:val="single" w:sz="8" w:space="0" w:color="4F81BD"/>
              <w:bottom w:val="single" w:sz="8" w:space="0" w:color="4F81BD"/>
              <w:right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r w:rsidRPr="00AE4A64">
              <w:rPr>
                <w:rFonts w:ascii="Arial Narrow" w:hAnsi="Arial Narrow"/>
                <w:sz w:val="18"/>
                <w:szCs w:val="18"/>
              </w:rPr>
              <w:t>$201.45</w:t>
            </w:r>
          </w:p>
        </w:tc>
        <w:tc>
          <w:tcPr>
            <w:tcW w:w="2268" w:type="dxa"/>
            <w:tcBorders>
              <w:top w:val="single" w:sz="8" w:space="0" w:color="4F81BD"/>
              <w:bottom w:val="single" w:sz="8" w:space="0" w:color="4F81BD"/>
            </w:tcBorders>
            <w:shd w:val="clear" w:color="auto" w:fill="FDE9D9"/>
          </w:tcPr>
          <w:p w:rsidR="00E57589" w:rsidRPr="00AE4A64" w:rsidRDefault="00E57589" w:rsidP="00AE4A64">
            <w:pPr>
              <w:spacing w:after="0" w:line="240" w:lineRule="auto"/>
              <w:jc w:val="center"/>
              <w:rPr>
                <w:rFonts w:ascii="Arial Narrow" w:hAnsi="Arial Narrow"/>
                <w:sz w:val="18"/>
                <w:szCs w:val="18"/>
              </w:rPr>
            </w:pPr>
          </w:p>
        </w:tc>
      </w:tr>
    </w:tbl>
    <w:p w:rsidR="00E57589" w:rsidRDefault="00E57589" w:rsidP="00002766">
      <w:pPr>
        <w:spacing w:after="0" w:line="240" w:lineRule="auto"/>
        <w:ind w:left="360"/>
        <w:rPr>
          <w:rFonts w:ascii="Arial Narrow" w:hAnsi="Arial Narrow" w:cs="Arial"/>
          <w:sz w:val="18"/>
          <w:szCs w:val="18"/>
        </w:rPr>
      </w:pPr>
      <w:r>
        <w:rPr>
          <w:rFonts w:ascii="Arial Narrow" w:hAnsi="Arial Narrow" w:cs="Arial"/>
          <w:sz w:val="18"/>
          <w:szCs w:val="18"/>
        </w:rPr>
        <w:t>MBS Schedule Fee as at 1 November 2012. *also used in hybrid surgery for closure of VSD</w:t>
      </w:r>
    </w:p>
    <w:p w:rsidR="00E57589" w:rsidRDefault="00E57589" w:rsidP="006C6B98">
      <w:pPr>
        <w:pStyle w:val="Heading2"/>
        <w:sectPr w:rsidR="00E57589" w:rsidSect="00216BA2">
          <w:headerReference w:type="even" r:id="rId15"/>
          <w:headerReference w:type="default" r:id="rId16"/>
          <w:headerReference w:type="first" r:id="rId17"/>
          <w:footerReference w:type="first" r:id="rId18"/>
          <w:pgSz w:w="16838" w:h="11906" w:orient="landscape"/>
          <w:pgMar w:top="1440" w:right="1560" w:bottom="1440" w:left="1440" w:header="708" w:footer="708" w:gutter="0"/>
          <w:cols w:space="708"/>
          <w:titlePg/>
          <w:docGrid w:linePitch="360"/>
        </w:sectPr>
      </w:pPr>
    </w:p>
    <w:p w:rsidR="00E57589" w:rsidRDefault="00E57589" w:rsidP="006C6B98">
      <w:pPr>
        <w:pStyle w:val="Heading2"/>
      </w:pPr>
      <w:bookmarkStart w:id="47" w:name="_Toc358036543"/>
      <w:bookmarkStart w:id="48" w:name="_Toc367181290"/>
      <w:r>
        <w:lastRenderedPageBreak/>
        <w:t>Proposed structure of economic evaluation (decision-analytic)</w:t>
      </w:r>
      <w:bookmarkEnd w:id="47"/>
      <w:bookmarkEnd w:id="48"/>
    </w:p>
    <w:p w:rsidR="00E57589" w:rsidRPr="00487648" w:rsidRDefault="00E57589" w:rsidP="008F5B21">
      <w:pPr>
        <w:spacing w:before="240"/>
      </w:pPr>
      <w:r w:rsidRPr="00487648">
        <w:t>The PICO criteria for the evaluation are provided in Table</w:t>
      </w:r>
      <w:r>
        <w:t>s</w:t>
      </w:r>
      <w:r w:rsidRPr="00487648">
        <w:t xml:space="preserve"> </w:t>
      </w:r>
      <w:r>
        <w:t>12 and 13</w:t>
      </w:r>
      <w:r w:rsidRPr="00487648">
        <w:t>.</w:t>
      </w:r>
    </w:p>
    <w:p w:rsidR="00E57589" w:rsidRDefault="00E57589" w:rsidP="00627BF5">
      <w:pPr>
        <w:pStyle w:val="Caption"/>
        <w:ind w:right="-227"/>
      </w:pPr>
      <w:bookmarkStart w:id="49" w:name="_Ref283297696"/>
      <w:r>
        <w:t xml:space="preserve">Table </w:t>
      </w:r>
      <w:bookmarkEnd w:id="49"/>
      <w:r>
        <w:t>12:  Summary of extended PICO for congenital VSD to define research question that assessment will investigate</w:t>
      </w: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807"/>
        <w:gridCol w:w="1808"/>
        <w:gridCol w:w="1808"/>
        <w:gridCol w:w="3757"/>
      </w:tblGrid>
      <w:tr w:rsidR="00E57589" w:rsidRPr="00470B93" w:rsidTr="00AE4A64">
        <w:trPr>
          <w:trHeight w:val="340"/>
          <w:tblHeader/>
        </w:trPr>
        <w:tc>
          <w:tcPr>
            <w:tcW w:w="1807" w:type="dxa"/>
            <w:tcBorders>
              <w:top w:val="single" w:sz="8" w:space="0" w:color="4F81BD"/>
            </w:tcBorders>
            <w:shd w:val="clear" w:color="auto" w:fill="4F81BD"/>
          </w:tcPr>
          <w:p w:rsidR="00E57589" w:rsidRPr="00AE4A64" w:rsidRDefault="00E57589" w:rsidP="00AE4A64">
            <w:pPr>
              <w:spacing w:after="0" w:line="240" w:lineRule="auto"/>
              <w:jc w:val="center"/>
              <w:rPr>
                <w:rFonts w:ascii="Arial Narrow" w:hAnsi="Arial Narrow"/>
                <w:b/>
                <w:bCs/>
                <w:color w:val="FFFFFF"/>
                <w:sz w:val="18"/>
              </w:rPr>
            </w:pPr>
            <w:r w:rsidRPr="00AE4A64">
              <w:rPr>
                <w:rFonts w:ascii="Arial Narrow" w:hAnsi="Arial Narrow"/>
                <w:bCs/>
                <w:color w:val="FFFFFF"/>
                <w:sz w:val="18"/>
              </w:rPr>
              <w:t>Patients</w:t>
            </w:r>
          </w:p>
        </w:tc>
        <w:tc>
          <w:tcPr>
            <w:tcW w:w="1808" w:type="dxa"/>
            <w:tcBorders>
              <w:top w:val="single" w:sz="8" w:space="0" w:color="4F81BD"/>
              <w:left w:val="single" w:sz="8" w:space="0" w:color="4F81BD"/>
              <w:right w:val="single" w:sz="8" w:space="0" w:color="4F81BD"/>
            </w:tcBorders>
            <w:shd w:val="clear" w:color="auto" w:fill="4F81BD"/>
          </w:tcPr>
          <w:p w:rsidR="00E57589" w:rsidRPr="00AE4A64" w:rsidRDefault="00E57589" w:rsidP="00AE4A64">
            <w:pPr>
              <w:spacing w:after="0" w:line="240" w:lineRule="auto"/>
              <w:jc w:val="center"/>
              <w:rPr>
                <w:rFonts w:ascii="Arial Narrow" w:hAnsi="Arial Narrow"/>
                <w:b/>
                <w:bCs/>
                <w:color w:val="FFFFFF"/>
                <w:sz w:val="18"/>
              </w:rPr>
            </w:pPr>
            <w:r w:rsidRPr="00AE4A64">
              <w:rPr>
                <w:rFonts w:ascii="Arial Narrow" w:hAnsi="Arial Narrow"/>
                <w:bCs/>
                <w:color w:val="FFFFFF"/>
                <w:sz w:val="18"/>
              </w:rPr>
              <w:t>Intervention</w:t>
            </w:r>
          </w:p>
        </w:tc>
        <w:tc>
          <w:tcPr>
            <w:tcW w:w="1808" w:type="dxa"/>
            <w:tcBorders>
              <w:top w:val="single" w:sz="8" w:space="0" w:color="4F81BD"/>
            </w:tcBorders>
            <w:shd w:val="clear" w:color="auto" w:fill="4F81BD"/>
          </w:tcPr>
          <w:p w:rsidR="00E57589" w:rsidRPr="00AE4A64" w:rsidRDefault="00E57589" w:rsidP="00AE4A64">
            <w:pPr>
              <w:spacing w:after="0" w:line="240" w:lineRule="auto"/>
              <w:jc w:val="center"/>
              <w:rPr>
                <w:rFonts w:ascii="Arial Narrow" w:hAnsi="Arial Narrow"/>
                <w:b/>
                <w:bCs/>
                <w:color w:val="FFFFFF"/>
                <w:sz w:val="18"/>
              </w:rPr>
            </w:pPr>
            <w:r w:rsidRPr="00AE4A64">
              <w:rPr>
                <w:rFonts w:ascii="Arial Narrow" w:hAnsi="Arial Narrow"/>
                <w:bCs/>
                <w:color w:val="FFFFFF"/>
                <w:sz w:val="18"/>
              </w:rPr>
              <w:t>Comparator</w:t>
            </w:r>
          </w:p>
        </w:tc>
        <w:tc>
          <w:tcPr>
            <w:tcW w:w="3757" w:type="dxa"/>
            <w:tcBorders>
              <w:top w:val="single" w:sz="8" w:space="0" w:color="4F81BD"/>
              <w:left w:val="single" w:sz="8" w:space="0" w:color="4F81BD"/>
            </w:tcBorders>
            <w:shd w:val="clear" w:color="auto" w:fill="4F81BD"/>
          </w:tcPr>
          <w:p w:rsidR="00E57589" w:rsidRPr="00AE4A64" w:rsidRDefault="00E57589" w:rsidP="00AE4A64">
            <w:pPr>
              <w:spacing w:after="0" w:line="240" w:lineRule="auto"/>
              <w:jc w:val="center"/>
              <w:rPr>
                <w:rFonts w:ascii="Arial Narrow" w:hAnsi="Arial Narrow"/>
                <w:b/>
                <w:bCs/>
                <w:color w:val="FFFFFF"/>
                <w:sz w:val="18"/>
              </w:rPr>
            </w:pPr>
            <w:r w:rsidRPr="00AE4A64">
              <w:rPr>
                <w:rFonts w:ascii="Arial Narrow" w:hAnsi="Arial Narrow"/>
                <w:bCs/>
                <w:color w:val="FFFFFF"/>
                <w:sz w:val="18"/>
              </w:rPr>
              <w:t>Outcomes to be assessed</w:t>
            </w:r>
          </w:p>
        </w:tc>
      </w:tr>
      <w:tr w:rsidR="00E57589" w:rsidRPr="00470B93" w:rsidTr="00AE4A64">
        <w:tc>
          <w:tcPr>
            <w:tcW w:w="1807" w:type="dxa"/>
            <w:tcBorders>
              <w:top w:val="single" w:sz="8" w:space="0" w:color="4F81BD"/>
              <w:bottom w:val="single" w:sz="8" w:space="0" w:color="4F81BD"/>
            </w:tcBorders>
          </w:tcPr>
          <w:p w:rsidR="00E57589" w:rsidRPr="00AE4A64" w:rsidRDefault="00E57589" w:rsidP="00AE4A64">
            <w:pPr>
              <w:spacing w:after="0" w:line="240" w:lineRule="auto"/>
              <w:jc w:val="left"/>
              <w:rPr>
                <w:rFonts w:ascii="Arial Narrow" w:hAnsi="Arial Narrow"/>
                <w:b/>
                <w:bCs/>
                <w:sz w:val="18"/>
                <w:szCs w:val="18"/>
              </w:rPr>
            </w:pPr>
            <w:r w:rsidRPr="00AE4A64">
              <w:rPr>
                <w:rFonts w:ascii="Arial Narrow" w:hAnsi="Arial Narrow"/>
                <w:b/>
                <w:bCs/>
                <w:sz w:val="18"/>
                <w:szCs w:val="18"/>
              </w:rPr>
              <w:t>Patients with a congenital VSD</w:t>
            </w:r>
          </w:p>
        </w:tc>
        <w:tc>
          <w:tcPr>
            <w:tcW w:w="1808" w:type="dxa"/>
            <w:tcBorders>
              <w:top w:val="single" w:sz="8" w:space="0" w:color="4F81BD"/>
              <w:left w:val="single" w:sz="8" w:space="0" w:color="4F81BD"/>
              <w:bottom w:val="single" w:sz="8" w:space="0" w:color="4F81BD"/>
              <w:right w:val="single" w:sz="8" w:space="0" w:color="4F81BD"/>
            </w:tcBorders>
          </w:tcPr>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Transcatheter closure of a VSD</w:t>
            </w:r>
          </w:p>
        </w:tc>
        <w:tc>
          <w:tcPr>
            <w:tcW w:w="1808" w:type="dxa"/>
            <w:tcBorders>
              <w:top w:val="single" w:sz="8" w:space="0" w:color="4F81BD"/>
              <w:bottom w:val="single" w:sz="8" w:space="0" w:color="4F81BD"/>
            </w:tcBorders>
          </w:tcPr>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Surgical closure of a VSD</w:t>
            </w:r>
          </w:p>
        </w:tc>
        <w:tc>
          <w:tcPr>
            <w:tcW w:w="3757" w:type="dxa"/>
            <w:tcBorders>
              <w:top w:val="single" w:sz="8" w:space="0" w:color="4F81BD"/>
              <w:left w:val="single" w:sz="8" w:space="0" w:color="4F81BD"/>
              <w:bottom w:val="single" w:sz="8" w:space="0" w:color="4F81BD"/>
            </w:tcBorders>
          </w:tcPr>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Closure of the VSD.</w:t>
            </w:r>
          </w:p>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Avoid cardiopulmonary bypass.</w:t>
            </w:r>
          </w:p>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Less patient discomfort.</w:t>
            </w:r>
          </w:p>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Shorter hospital stay.</w:t>
            </w:r>
          </w:p>
          <w:p w:rsidR="00E57589" w:rsidRPr="00AE4A64" w:rsidRDefault="00E57589" w:rsidP="00AE4A64">
            <w:pPr>
              <w:spacing w:after="0" w:line="240" w:lineRule="auto"/>
              <w:jc w:val="left"/>
              <w:rPr>
                <w:rFonts w:ascii="Arial Narrow" w:hAnsi="Arial Narrow"/>
                <w:sz w:val="18"/>
                <w:szCs w:val="18"/>
              </w:rPr>
            </w:pPr>
            <w:r w:rsidRPr="00AE4A64">
              <w:rPr>
                <w:rFonts w:ascii="Arial Narrow" w:hAnsi="Arial Narrow"/>
                <w:sz w:val="18"/>
                <w:szCs w:val="18"/>
              </w:rPr>
              <w:t>Equivalent long term outcome to surgical closure.</w:t>
            </w:r>
          </w:p>
        </w:tc>
      </w:tr>
    </w:tbl>
    <w:p w:rsidR="00E57589" w:rsidRDefault="00E57589" w:rsidP="00627BF5">
      <w:pPr>
        <w:pStyle w:val="Caption"/>
      </w:pPr>
    </w:p>
    <w:p w:rsidR="00E57589" w:rsidRDefault="00E57589" w:rsidP="002F5D14">
      <w:pPr>
        <w:pStyle w:val="Heading1"/>
      </w:pPr>
      <w:bookmarkStart w:id="50" w:name="_Toc358036544"/>
      <w:bookmarkStart w:id="51" w:name="_Toc367181291"/>
      <w:r>
        <w:t>Clinical research questions for public funding</w:t>
      </w:r>
      <w:bookmarkEnd w:id="50"/>
      <w:bookmarkEnd w:id="51"/>
    </w:p>
    <w:p w:rsidR="00E57589" w:rsidRDefault="00E57589" w:rsidP="00585A50">
      <w:pPr>
        <w:pStyle w:val="ListParagraph"/>
        <w:numPr>
          <w:ilvl w:val="0"/>
          <w:numId w:val="15"/>
        </w:numPr>
        <w:ind w:left="714" w:hanging="357"/>
        <w:contextualSpacing w:val="0"/>
      </w:pPr>
      <w:r>
        <w:t>In the treatment of patients</w:t>
      </w:r>
      <w:r w:rsidRPr="00EC154C">
        <w:t xml:space="preserve"> with a congenital VSD</w:t>
      </w:r>
      <w:r w:rsidRPr="00176C15">
        <w:t>, what is the safety, effectiveness and cost effectiveness of transcatheter closure of VSD compared to surgical closure?</w:t>
      </w:r>
    </w:p>
    <w:p w:rsidR="00E57589" w:rsidRDefault="00E57589" w:rsidP="00585A50">
      <w:pPr>
        <w:pStyle w:val="ListParagraph"/>
        <w:numPr>
          <w:ilvl w:val="0"/>
          <w:numId w:val="15"/>
        </w:numPr>
        <w:ind w:left="714" w:hanging="357"/>
        <w:contextualSpacing w:val="0"/>
      </w:pPr>
      <w:r>
        <w:t>In the treatment of patients with a congenital VSD, with limited vascular access or with other cardiac defects requiring simultaneous repair, what is the safety, effectiveness and cost effectiveness of hybrid closure of VSD compared to surgical closure?</w:t>
      </w:r>
    </w:p>
    <w:p w:rsidR="00E57589" w:rsidRDefault="00E57589" w:rsidP="00585A50">
      <w:pPr>
        <w:pStyle w:val="ListParagraph"/>
        <w:ind w:left="714"/>
        <w:contextualSpacing w:val="0"/>
      </w:pPr>
    </w:p>
    <w:p w:rsidR="00E57589" w:rsidRPr="00CA1025" w:rsidRDefault="00E57589" w:rsidP="000667DD">
      <w:pPr>
        <w:pStyle w:val="Heading2"/>
      </w:pPr>
      <w:bookmarkStart w:id="52" w:name="_Toc358036545"/>
      <w:bookmarkStart w:id="53" w:name="_Toc367181292"/>
      <w:r w:rsidRPr="00CA1025">
        <w:t>Decision analytic diagram</w:t>
      </w:r>
      <w:bookmarkEnd w:id="52"/>
      <w:bookmarkEnd w:id="53"/>
    </w:p>
    <w:p w:rsidR="00E57589" w:rsidRDefault="00E57589" w:rsidP="00247030">
      <w:pPr>
        <w:spacing w:line="360" w:lineRule="auto"/>
        <w:jc w:val="left"/>
      </w:pPr>
      <w:r>
        <w:t>The decision analytic for the current treatment pathway is presented in Figure 2.  Given transcatheter closure of VSD has been established for some time in the Australian health care setting, only one decision analytic pathway is presented.</w:t>
      </w:r>
    </w:p>
    <w:p w:rsidR="00E57589" w:rsidRDefault="00E57589" w:rsidP="00247030">
      <w:pPr>
        <w:spacing w:line="360" w:lineRule="auto"/>
        <w:jc w:val="left"/>
      </w:pPr>
    </w:p>
    <w:p w:rsidR="00E57589" w:rsidRDefault="00E57589" w:rsidP="00247030">
      <w:pPr>
        <w:spacing w:line="360" w:lineRule="auto"/>
        <w:jc w:val="left"/>
        <w:sectPr w:rsidR="00E57589" w:rsidSect="00EB2A23">
          <w:pgSz w:w="11906" w:h="16838"/>
          <w:pgMar w:top="1560" w:right="1440" w:bottom="1440" w:left="1440" w:header="708" w:footer="708" w:gutter="0"/>
          <w:cols w:space="708"/>
          <w:titlePg/>
          <w:docGrid w:linePitch="360"/>
        </w:sectPr>
      </w:pPr>
    </w:p>
    <w:p w:rsidR="00E57589" w:rsidRPr="000C7B8C" w:rsidRDefault="00E57589" w:rsidP="000C7B8C">
      <w:pPr>
        <w:pStyle w:val="Caption"/>
        <w:ind w:left="0" w:firstLine="0"/>
      </w:pPr>
      <w:r>
        <w:lastRenderedPageBreak/>
        <w:t xml:space="preserve">Figure 2: </w:t>
      </w:r>
      <w:r w:rsidRPr="005D717C">
        <w:t xml:space="preserve">Decision analytic pathway for </w:t>
      </w:r>
      <w:r>
        <w:t xml:space="preserve">current VSD </w:t>
      </w:r>
      <w:r w:rsidRPr="005D717C">
        <w:t>t</w:t>
      </w:r>
      <w:r>
        <w:t xml:space="preserve">reatment </w:t>
      </w:r>
    </w:p>
    <w:p w:rsidR="00E57589" w:rsidRDefault="002F64C0" w:rsidP="000901A8">
      <w:pPr>
        <w:rPr>
          <w:highlight w:val="yellow"/>
        </w:rPr>
        <w:sectPr w:rsidR="00E57589" w:rsidSect="00433F1B">
          <w:headerReference w:type="even" r:id="rId19"/>
          <w:headerReference w:type="default" r:id="rId20"/>
          <w:headerReference w:type="first" r:id="rId21"/>
          <w:footerReference w:type="first" r:id="rId22"/>
          <w:pgSz w:w="16838" w:h="11906" w:orient="landscape"/>
          <w:pgMar w:top="1440" w:right="1560" w:bottom="1440" w:left="1440" w:header="708" w:footer="708" w:gutter="0"/>
          <w:cols w:space="708"/>
          <w:titlePg/>
          <w:docGrid w:linePitch="360"/>
        </w:sectPr>
      </w:pPr>
      <w:r>
        <w:rPr>
          <w:noProof/>
          <w:lang w:eastAsia="en-AU"/>
        </w:rPr>
        <w:drawing>
          <wp:inline distT="0" distB="0" distL="0" distR="0">
            <wp:extent cx="8357235" cy="5316220"/>
            <wp:effectExtent l="0" t="0" r="0" b="0"/>
            <wp:docPr id="3" name="Picture 10" descr="Figure 2: Decision analytic pathway for current VSD treatment " title="Figure 2: Decision analytic pathway for current VSD trea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57235" cy="5316220"/>
                    </a:xfrm>
                    <a:prstGeom prst="rect">
                      <a:avLst/>
                    </a:prstGeom>
                    <a:noFill/>
                    <a:ln>
                      <a:noFill/>
                    </a:ln>
                  </pic:spPr>
                </pic:pic>
              </a:graphicData>
            </a:graphic>
          </wp:inline>
        </w:drawing>
      </w:r>
    </w:p>
    <w:p w:rsidR="00E57589" w:rsidRPr="00C873D8" w:rsidRDefault="00E57589" w:rsidP="00C873D8">
      <w:pPr>
        <w:spacing w:after="0" w:line="240" w:lineRule="auto"/>
        <w:jc w:val="center"/>
        <w:rPr>
          <w:rFonts w:ascii="Arial Narrow" w:hAnsi="Arial Narrow"/>
          <w:sz w:val="18"/>
        </w:rPr>
      </w:pPr>
    </w:p>
    <w:p w:rsidR="00E57589" w:rsidRDefault="00E57589" w:rsidP="00E37E35">
      <w:pPr>
        <w:rPr>
          <w:b/>
          <w:sz w:val="24"/>
          <w:szCs w:val="24"/>
        </w:rPr>
      </w:pPr>
      <w:r w:rsidRPr="00342A0A">
        <w:rPr>
          <w:b/>
          <w:sz w:val="24"/>
          <w:szCs w:val="24"/>
        </w:rPr>
        <w:t>R</w:t>
      </w:r>
      <w:r>
        <w:rPr>
          <w:b/>
          <w:sz w:val="24"/>
          <w:szCs w:val="24"/>
        </w:rPr>
        <w:t>eferences</w:t>
      </w:r>
    </w:p>
    <w:p w:rsidR="00E57589" w:rsidRDefault="00E57589" w:rsidP="00FD1CBF">
      <w:pPr>
        <w:pStyle w:val="EndnoteText"/>
        <w:spacing w:line="240" w:lineRule="auto"/>
        <w:jc w:val="left"/>
        <w:rPr>
          <w:rStyle w:val="Hyperlink"/>
          <w:rFonts w:cs="Tahoma"/>
        </w:rPr>
      </w:pPr>
      <w:r>
        <w:t xml:space="preserve">MedlinePlus </w:t>
      </w:r>
      <w:r>
        <w:rPr>
          <w:i/>
        </w:rPr>
        <w:t>Ventricular septal def</w:t>
      </w:r>
      <w:r w:rsidRPr="00E02FB4">
        <w:rPr>
          <w:i/>
        </w:rPr>
        <w:t>ect</w:t>
      </w:r>
      <w:r>
        <w:t xml:space="preserve"> Update Date 12 January 2011 </w:t>
      </w:r>
      <w:hyperlink r:id="rId24" w:tooltip=" A service of the U.S. National Library of Medicine " w:history="1">
        <w:r w:rsidRPr="00D215E3">
          <w:rPr>
            <w:rStyle w:val="Hyperlink"/>
            <w:rFonts w:cs="Tahoma"/>
          </w:rPr>
          <w:t>http://www.nlm.nih.gov/medlineplus/ency/article/001099.htm</w:t>
        </w:r>
      </w:hyperlink>
    </w:p>
    <w:p w:rsidR="00E57589" w:rsidRDefault="00E57589" w:rsidP="00FD1CBF">
      <w:pPr>
        <w:pStyle w:val="EndnoteText"/>
        <w:spacing w:line="240" w:lineRule="auto"/>
        <w:jc w:val="left"/>
      </w:pPr>
      <w:r w:rsidRPr="00926985">
        <w:t>Ferri’s Clinical Advisor 2013, 1st edition</w:t>
      </w:r>
      <w:r>
        <w:t xml:space="preserve"> </w:t>
      </w:r>
      <w:r w:rsidRPr="00926985">
        <w:rPr>
          <w:i/>
        </w:rPr>
        <w:t>Ventricular Septal Defect</w:t>
      </w:r>
      <w:r>
        <w:t xml:space="preserve"> </w:t>
      </w:r>
    </w:p>
    <w:p w:rsidR="00E57589" w:rsidRDefault="00E57589" w:rsidP="00FD1CBF">
      <w:pPr>
        <w:pStyle w:val="EndnoteText"/>
        <w:spacing w:line="240" w:lineRule="auto"/>
        <w:jc w:val="left"/>
      </w:pPr>
      <w:r>
        <w:t xml:space="preserve">National Heart Lung and Blood Institute </w:t>
      </w:r>
      <w:r w:rsidRPr="00E02FB4">
        <w:rPr>
          <w:i/>
        </w:rPr>
        <w:t>Ventricular Septal Defect</w:t>
      </w:r>
      <w:r>
        <w:t xml:space="preserve"> 01 July 2011 </w:t>
      </w:r>
      <w:hyperlink r:id="rId25" w:tooltip="What Are Holes in the Heart?" w:history="1">
        <w:r w:rsidRPr="00D215E3">
          <w:rPr>
            <w:rStyle w:val="Hyperlink"/>
            <w:rFonts w:cs="Tahoma"/>
          </w:rPr>
          <w:t>http://www.nhlbi.nih.gov/health/health-topics/topics/holes/</w:t>
        </w:r>
      </w:hyperlink>
    </w:p>
    <w:p w:rsidR="00E57589" w:rsidRDefault="00E57589" w:rsidP="00FD1CBF">
      <w:pPr>
        <w:pStyle w:val="EndnoteText"/>
        <w:spacing w:line="240" w:lineRule="auto"/>
        <w:jc w:val="left"/>
      </w:pPr>
      <w:r>
        <w:t xml:space="preserve">Medscape Reference </w:t>
      </w:r>
      <w:r w:rsidRPr="00E02FB4">
        <w:rPr>
          <w:i/>
        </w:rPr>
        <w:t>Ventricular Septal Defects</w:t>
      </w:r>
      <w:r>
        <w:t xml:space="preserve"> Prema Ramaswamy, MD Updated 01 November 2011 </w:t>
      </w:r>
      <w:hyperlink r:id="rId26" w:tooltip="e-medicine website - Ventricular Septal Defects " w:history="1">
        <w:r w:rsidRPr="00D215E3">
          <w:rPr>
            <w:rStyle w:val="Hyperlink"/>
            <w:rFonts w:cs="Tahoma"/>
          </w:rPr>
          <w:t>http://emedicine.medscape.com/article/892980-overview</w:t>
        </w:r>
      </w:hyperlink>
    </w:p>
    <w:p w:rsidR="00E57589" w:rsidRDefault="00E57589" w:rsidP="00FD1CBF">
      <w:pPr>
        <w:pStyle w:val="EndnoteText"/>
        <w:spacing w:line="240" w:lineRule="auto"/>
        <w:jc w:val="left"/>
      </w:pPr>
      <w:r>
        <w:t xml:space="preserve">Australian Institute of Health and Welfare 2011 </w:t>
      </w:r>
      <w:r w:rsidRPr="00E02FB4">
        <w:rPr>
          <w:i/>
        </w:rPr>
        <w:t>Cardiovascular disease: Australian facts 2011</w:t>
      </w:r>
      <w:r>
        <w:t xml:space="preserve"> </w:t>
      </w:r>
      <w:hyperlink r:id="rId27" w:tooltip="Cardiovascular disease: Australian facts 2011" w:history="1">
        <w:r w:rsidRPr="00D215E3">
          <w:rPr>
            <w:rStyle w:val="Hyperlink"/>
            <w:rFonts w:cs="Tahoma"/>
          </w:rPr>
          <w:t>http://www.aihw.gov.au/publication-detail/?id=10737418510</w:t>
        </w:r>
      </w:hyperlink>
    </w:p>
    <w:p w:rsidR="00E57589" w:rsidRDefault="00E57589" w:rsidP="00422F84">
      <w:pPr>
        <w:pStyle w:val="EndnoteText"/>
        <w:spacing w:line="240" w:lineRule="auto"/>
        <w:jc w:val="left"/>
      </w:pPr>
      <w:r w:rsidRPr="00422F84">
        <w:t xml:space="preserve">National Institute for Health and Clinical Excellence </w:t>
      </w:r>
      <w:r w:rsidRPr="00422F84">
        <w:rPr>
          <w:i/>
        </w:rPr>
        <w:t>Transcatheter endovascular closure of perimembranous ventricular septal defect</w:t>
      </w:r>
      <w:r>
        <w:t xml:space="preserve"> March 2010</w:t>
      </w:r>
      <w:r>
        <w:rPr>
          <w:i/>
        </w:rPr>
        <w:t xml:space="preserve"> </w:t>
      </w:r>
      <w:hyperlink r:id="rId28" w:tooltip="Transcatheter endovascular closure of perimembranous ventricular septal defect (IPG336)" w:history="1">
        <w:r w:rsidRPr="0082123B">
          <w:rPr>
            <w:rStyle w:val="Hyperlink"/>
            <w:rFonts w:cs="Tahoma"/>
          </w:rPr>
          <w:t>http://guidance.nice.org.uk/IPG336</w:t>
        </w:r>
      </w:hyperlink>
    </w:p>
    <w:p w:rsidR="00E57589" w:rsidRDefault="00E57589" w:rsidP="00422F84">
      <w:pPr>
        <w:pStyle w:val="EndnoteText"/>
        <w:spacing w:line="240" w:lineRule="auto"/>
        <w:jc w:val="left"/>
      </w:pPr>
      <w:r w:rsidRPr="00422F84">
        <w:t xml:space="preserve">National Institute for Health and Clinical </w:t>
      </w:r>
      <w:r w:rsidRPr="00744FEF">
        <w:rPr>
          <w:i/>
        </w:rPr>
        <w:t>Excellence Transcatheter endovascular perimembranous ventricular septal defect (interventional procedures overview)</w:t>
      </w:r>
      <w:r>
        <w:t xml:space="preserve"> </w:t>
      </w:r>
      <w:r w:rsidRPr="00422F84">
        <w:t>23 November 2009</w:t>
      </w:r>
      <w:r>
        <w:t xml:space="preserve"> </w:t>
      </w:r>
      <w:hyperlink r:id="rId29" w:tooltip="Transcatheter endovascular perimembranous ventricular septal defect (interventional procedures overview)" w:history="1">
        <w:r w:rsidRPr="0082123B">
          <w:rPr>
            <w:rStyle w:val="Hyperlink"/>
            <w:rFonts w:cs="Tahoma"/>
          </w:rPr>
          <w:t>http://www.nice.org.uk/IP286aoverview</w:t>
        </w:r>
      </w:hyperlink>
    </w:p>
    <w:p w:rsidR="00E57589" w:rsidRDefault="00E57589" w:rsidP="00C21CC5">
      <w:pPr>
        <w:pStyle w:val="EndnoteText"/>
        <w:spacing w:line="240" w:lineRule="auto"/>
      </w:pPr>
      <w:r w:rsidRPr="00C21CC5">
        <w:t>Bonow: Braunwald's Heart Disease - A Textbook of Cardiovascular Medicine, 9th ed.</w:t>
      </w:r>
      <w:r>
        <w:t xml:space="preserve">, </w:t>
      </w:r>
      <w:r w:rsidRPr="00C21CC5">
        <w:rPr>
          <w:i/>
        </w:rPr>
        <w:t>CHAPTER 15 Echocardiography</w:t>
      </w:r>
      <w:r>
        <w:t xml:space="preserve"> Heidi M. Connolly and Jae K. Oh 2012</w:t>
      </w:r>
    </w:p>
    <w:p w:rsidR="00E57589" w:rsidRDefault="00E57589" w:rsidP="00FD1CBF">
      <w:pPr>
        <w:pStyle w:val="EndnoteText"/>
        <w:spacing w:line="240" w:lineRule="auto"/>
      </w:pPr>
      <w:r>
        <w:t>Casemix DATA</w:t>
      </w:r>
    </w:p>
    <w:p w:rsidR="00E57589" w:rsidRDefault="00E57589" w:rsidP="00785736">
      <w:pPr>
        <w:pStyle w:val="EndnoteText"/>
        <w:spacing w:line="240" w:lineRule="auto"/>
        <w:jc w:val="left"/>
      </w:pPr>
      <w:r>
        <w:t xml:space="preserve">American Heart Association </w:t>
      </w:r>
      <w:r w:rsidRPr="00785736">
        <w:rPr>
          <w:i/>
        </w:rPr>
        <w:t>Pathophysiology of Congenital Heart Disease in the Adult</w:t>
      </w:r>
      <w:r>
        <w:t xml:space="preserve"> 2008 </w:t>
      </w:r>
      <w:hyperlink r:id="rId30" w:tooltip="thismlink goes to tje American Heart Association website - Expand+Circulationcirc.ahajournals.orgCirculation. 2008; " w:history="1">
        <w:r w:rsidRPr="0001659E">
          <w:rPr>
            <w:rStyle w:val="Hyperlink"/>
            <w:rFonts w:cs="Tahoma"/>
          </w:rPr>
          <w:t>http://circ.ahajournals.org/content/117/8/1090.full</w:t>
        </w:r>
      </w:hyperlink>
    </w:p>
    <w:p w:rsidR="00E57589" w:rsidRDefault="00E57589" w:rsidP="00FD1CBF">
      <w:pPr>
        <w:pStyle w:val="EndnoteText"/>
        <w:spacing w:line="240" w:lineRule="auto"/>
      </w:pPr>
      <w:r>
        <w:t>Spies C, Cao Q, Hijazi Z. Transcatheter closure of congenital and acquired septal defects. European Heart Journal Supplements 2010; 12:E24-E34.</w:t>
      </w:r>
    </w:p>
    <w:p w:rsidR="00E57589" w:rsidRPr="00FD1CBF" w:rsidRDefault="00E57589" w:rsidP="00FD1CBF">
      <w:pPr>
        <w:pStyle w:val="EndnoteText"/>
        <w:spacing w:line="240" w:lineRule="auto"/>
      </w:pPr>
      <w:r>
        <w:t>Emile A.M, Bacha and Ziyad M. Hijazi: Hybrid Procedures in Paediatric Cardiac Surgery. Seminars in Thoracic Cardiovascular Surgery and Paediatric Cardic Surgery Annual 2005,  8:78-85</w:t>
      </w:r>
    </w:p>
    <w:sectPr w:rsidR="00E57589" w:rsidRPr="00FD1CBF" w:rsidSect="00EB2A23">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62" w:rsidRDefault="00A90762" w:rsidP="000901A8">
      <w:r>
        <w:separator/>
      </w:r>
    </w:p>
  </w:endnote>
  <w:endnote w:type="continuationSeparator" w:id="0">
    <w:p w:rsidR="00A90762" w:rsidRDefault="00A90762" w:rsidP="000901A8">
      <w:r>
        <w:continuationSeparator/>
      </w:r>
    </w:p>
  </w:endnote>
  <w:endnote w:type="continuationNotice" w:id="1">
    <w:p w:rsidR="00A90762" w:rsidRDefault="00A90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784FB5">
    <w:pPr>
      <w:pStyle w:val="Footer"/>
      <w:jc w:val="right"/>
    </w:pPr>
    <w:r>
      <w:fldChar w:fldCharType="begin"/>
    </w:r>
    <w:r>
      <w:instrText xml:space="preserve"> PAGE   \* MERGEFORMAT </w:instrText>
    </w:r>
    <w:r>
      <w:fldChar w:fldCharType="separate"/>
    </w:r>
    <w:r w:rsidR="00497463">
      <w:rPr>
        <w:noProof/>
      </w:rPr>
      <w:t>10</w:t>
    </w:r>
    <w:r>
      <w:rPr>
        <w:noProof/>
      </w:rPr>
      <w:fldChar w:fldCharType="end"/>
    </w:r>
  </w:p>
  <w:p w:rsidR="00E57589" w:rsidRPr="00D118EA" w:rsidRDefault="00E57589" w:rsidP="00D11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rsidP="000E6B5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rsidP="008F24A1">
    <w:pPr>
      <w:pStyle w:val="Footer"/>
      <w:pBdr>
        <w:top w:val="single" w:sz="4" w:space="1" w:color="auto"/>
      </w:pBdr>
      <w:jc w:val="right"/>
    </w:pPr>
    <w:r>
      <w:t xml:space="preserve">Page </w:t>
    </w:r>
    <w:r w:rsidR="00784FB5">
      <w:fldChar w:fldCharType="begin"/>
    </w:r>
    <w:r w:rsidR="00784FB5">
      <w:instrText xml:space="preserve"> PAGE   \* MERGEFORMAT </w:instrText>
    </w:r>
    <w:r w:rsidR="00784FB5">
      <w:fldChar w:fldCharType="separate"/>
    </w:r>
    <w:r w:rsidR="00497463">
      <w:rPr>
        <w:noProof/>
      </w:rPr>
      <w:t>19</w:t>
    </w:r>
    <w:r w:rsidR="00784FB5">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rsidP="008F24A1">
    <w:pPr>
      <w:pStyle w:val="Footer"/>
      <w:pBdr>
        <w:top w:val="single" w:sz="4" w:space="1" w:color="auto"/>
      </w:pBdr>
      <w:jc w:val="right"/>
    </w:pPr>
    <w:r>
      <w:t xml:space="preserve">Page </w:t>
    </w:r>
    <w:r w:rsidR="00784FB5">
      <w:fldChar w:fldCharType="begin"/>
    </w:r>
    <w:r w:rsidR="00784FB5">
      <w:instrText xml:space="preserve"> PAGE   \* MERGEFORMAT </w:instrText>
    </w:r>
    <w:r w:rsidR="00784FB5">
      <w:fldChar w:fldCharType="separate"/>
    </w:r>
    <w:r w:rsidR="00497463">
      <w:rPr>
        <w:noProof/>
      </w:rPr>
      <w:t>20</w:t>
    </w:r>
    <w:r w:rsidR="00784FB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62" w:rsidRDefault="00A90762" w:rsidP="000901A8">
      <w:r>
        <w:separator/>
      </w:r>
    </w:p>
  </w:footnote>
  <w:footnote w:type="continuationSeparator" w:id="0">
    <w:p w:rsidR="00A90762" w:rsidRDefault="00A90762" w:rsidP="000901A8">
      <w:r>
        <w:continuationSeparator/>
      </w:r>
    </w:p>
  </w:footnote>
  <w:footnote w:type="continuationNotice" w:id="1">
    <w:p w:rsidR="00A90762" w:rsidRDefault="00A907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69" o:spid="_x0000_s2049" type="#_x0000_t136" style="position:absolute;margin-left:0;margin-top:0;width:381.75pt;height:254.5pt;rotation:315;z-index:-25166028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70" o:spid="_x0000_s2050" type="#_x0000_t136" style="position:absolute;margin-left:0;margin-top:0;width:381.75pt;height:254.5pt;rotation:315;z-index:-251659264;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68" o:spid="_x0000_s2051" type="#_x0000_t136" style="position:absolute;margin-left:0;margin-top:0;width:381.75pt;height:254.5pt;rotation:315;z-index:-25166131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E5758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75" o:spid="_x0000_s2052" type="#_x0000_t136" style="position:absolute;margin-left:0;margin-top:0;width:381.75pt;height:254.5pt;rotation:315;z-index:-25165721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76" o:spid="_x0000_s2053" type="#_x0000_t136" style="position:absolute;margin-left:0;margin-top:0;width:381.75pt;height:254.5pt;rotation:315;z-index:-251656192;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89" w:rsidRDefault="00497463">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233974" o:spid="_x0000_s2054" type="#_x0000_t136" style="position:absolute;margin-left:0;margin-top:0;width:381.75pt;height:254.5pt;rotation:315;z-index:-25165824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1E948038"/>
    <w:lvl w:ilvl="0">
      <w:numFmt w:val="bullet"/>
      <w:lvlText w:val="•"/>
      <w:lvlJc w:val="left"/>
      <w:pPr>
        <w:ind w:left="720" w:hanging="360"/>
      </w:pPr>
      <w:rPr>
        <w:rFonts w:ascii="Tahoma" w:eastAsia="SimSun" w:hAnsi="Tahoma" w:hint="default"/>
      </w:rPr>
    </w:lvl>
  </w:abstractNum>
  <w:abstractNum w:abstractNumId="1">
    <w:nsid w:val="01A96184"/>
    <w:multiLevelType w:val="hybridMultilevel"/>
    <w:tmpl w:val="C512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D01C16"/>
    <w:multiLevelType w:val="hybridMultilevel"/>
    <w:tmpl w:val="4CF01AE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8A58CF"/>
    <w:multiLevelType w:val="hybridMultilevel"/>
    <w:tmpl w:val="A274ECA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D534977"/>
    <w:multiLevelType w:val="hybridMultilevel"/>
    <w:tmpl w:val="27BA92D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D98312B"/>
    <w:multiLevelType w:val="hybridMultilevel"/>
    <w:tmpl w:val="E17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3C286D"/>
    <w:multiLevelType w:val="hybridMultilevel"/>
    <w:tmpl w:val="4E906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8">
    <w:nsid w:val="2403417B"/>
    <w:multiLevelType w:val="hybridMultilevel"/>
    <w:tmpl w:val="9EBC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4270CC8"/>
    <w:multiLevelType w:val="multilevel"/>
    <w:tmpl w:val="109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B0C04"/>
    <w:multiLevelType w:val="hybridMultilevel"/>
    <w:tmpl w:val="6CE64A34"/>
    <w:lvl w:ilvl="0" w:tplc="1E948038">
      <w:numFmt w:val="bullet"/>
      <w:lvlText w:val="•"/>
      <w:lvlJc w:val="left"/>
      <w:pPr>
        <w:ind w:left="1080" w:hanging="72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915F44"/>
    <w:multiLevelType w:val="hybridMultilevel"/>
    <w:tmpl w:val="06064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D47B9D"/>
    <w:multiLevelType w:val="hybridMultilevel"/>
    <w:tmpl w:val="98743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6D114F"/>
    <w:multiLevelType w:val="hybridMultilevel"/>
    <w:tmpl w:val="CE8440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990F98"/>
    <w:multiLevelType w:val="hybridMultilevel"/>
    <w:tmpl w:val="153267A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6">
    <w:nsid w:val="5BA92E10"/>
    <w:multiLevelType w:val="hybridMultilevel"/>
    <w:tmpl w:val="96025916"/>
    <w:lvl w:ilvl="0" w:tplc="0C090001">
      <w:start w:val="1"/>
      <w:numFmt w:val="bullet"/>
      <w:lvlText w:val=""/>
      <w:lvlJc w:val="left"/>
      <w:pPr>
        <w:ind w:left="720" w:hanging="360"/>
      </w:pPr>
      <w:rPr>
        <w:rFonts w:ascii="Symbol" w:hAnsi="Symbol" w:hint="default"/>
      </w:rPr>
    </w:lvl>
    <w:lvl w:ilvl="1" w:tplc="84344BF8">
      <w:numFmt w:val="bullet"/>
      <w:lvlText w:val="-"/>
      <w:lvlJc w:val="left"/>
      <w:pPr>
        <w:ind w:left="1440" w:hanging="360"/>
      </w:pPr>
      <w:rPr>
        <w:rFonts w:ascii="Tahoma" w:eastAsia="SimSun" w:hAnsi="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8">
    <w:nsid w:val="656D4E92"/>
    <w:multiLevelType w:val="hybridMultilevel"/>
    <w:tmpl w:val="E5AC7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FB5FAC"/>
    <w:multiLevelType w:val="hybridMultilevel"/>
    <w:tmpl w:val="87FEB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1">
    <w:nsid w:val="7DA6248D"/>
    <w:multiLevelType w:val="hybridMultilevel"/>
    <w:tmpl w:val="CB203F2C"/>
    <w:lvl w:ilvl="0" w:tplc="84344BF8">
      <w:numFmt w:val="bullet"/>
      <w:lvlText w:val="-"/>
      <w:lvlJc w:val="left"/>
      <w:pPr>
        <w:ind w:left="720" w:hanging="36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4"/>
  </w:num>
  <w:num w:numId="4">
    <w:abstractNumId w:val="17"/>
  </w:num>
  <w:num w:numId="5">
    <w:abstractNumId w:val="19"/>
  </w:num>
  <w:num w:numId="6">
    <w:abstractNumId w:val="10"/>
  </w:num>
  <w:num w:numId="7">
    <w:abstractNumId w:val="13"/>
  </w:num>
  <w:num w:numId="8">
    <w:abstractNumId w:val="9"/>
  </w:num>
  <w:num w:numId="9">
    <w:abstractNumId w:val="11"/>
  </w:num>
  <w:num w:numId="10">
    <w:abstractNumId w:val="0"/>
  </w:num>
  <w:num w:numId="11">
    <w:abstractNumId w:val="5"/>
  </w:num>
  <w:num w:numId="12">
    <w:abstractNumId w:val="16"/>
  </w:num>
  <w:num w:numId="13">
    <w:abstractNumId w:val="12"/>
  </w:num>
  <w:num w:numId="14">
    <w:abstractNumId w:val="18"/>
  </w:num>
  <w:num w:numId="15">
    <w:abstractNumId w:val="4"/>
  </w:num>
  <w:num w:numId="16">
    <w:abstractNumId w:val="15"/>
  </w:num>
  <w:num w:numId="17">
    <w:abstractNumId w:val="6"/>
  </w:num>
  <w:num w:numId="18">
    <w:abstractNumId w:val="8"/>
  </w:num>
  <w:num w:numId="19">
    <w:abstractNumId w:val="21"/>
  </w:num>
  <w:num w:numId="20">
    <w:abstractNumId w:val="1"/>
  </w:num>
  <w:num w:numId="21">
    <w:abstractNumId w:val="2"/>
  </w:num>
  <w:num w:numId="2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C774504-C8E5-4E97-9DCC-EBC580E1E095}"/>
    <w:docVar w:name="dgnword-eventsink" w:val="94766160"/>
  </w:docVars>
  <w:rsids>
    <w:rsidRoot w:val="00B4562F"/>
    <w:rsid w:val="000000B8"/>
    <w:rsid w:val="00000176"/>
    <w:rsid w:val="000011AF"/>
    <w:rsid w:val="00002766"/>
    <w:rsid w:val="00002A70"/>
    <w:rsid w:val="00004C9B"/>
    <w:rsid w:val="00005B45"/>
    <w:rsid w:val="00005C25"/>
    <w:rsid w:val="00006244"/>
    <w:rsid w:val="00007033"/>
    <w:rsid w:val="00012940"/>
    <w:rsid w:val="00012ABD"/>
    <w:rsid w:val="00014649"/>
    <w:rsid w:val="0001617E"/>
    <w:rsid w:val="0001659E"/>
    <w:rsid w:val="00016FE2"/>
    <w:rsid w:val="00017254"/>
    <w:rsid w:val="0002264E"/>
    <w:rsid w:val="00022DB0"/>
    <w:rsid w:val="000265FA"/>
    <w:rsid w:val="00035C6B"/>
    <w:rsid w:val="00036034"/>
    <w:rsid w:val="000361D6"/>
    <w:rsid w:val="00037FB7"/>
    <w:rsid w:val="0004250D"/>
    <w:rsid w:val="00043B0E"/>
    <w:rsid w:val="000440B1"/>
    <w:rsid w:val="0004489D"/>
    <w:rsid w:val="000460A2"/>
    <w:rsid w:val="0005033F"/>
    <w:rsid w:val="000503D5"/>
    <w:rsid w:val="00050A89"/>
    <w:rsid w:val="000515C1"/>
    <w:rsid w:val="00053775"/>
    <w:rsid w:val="000553DF"/>
    <w:rsid w:val="0005545E"/>
    <w:rsid w:val="00060C91"/>
    <w:rsid w:val="0006226C"/>
    <w:rsid w:val="00062555"/>
    <w:rsid w:val="000629C5"/>
    <w:rsid w:val="00062CD5"/>
    <w:rsid w:val="00063E7D"/>
    <w:rsid w:val="00064147"/>
    <w:rsid w:val="00065875"/>
    <w:rsid w:val="000667DD"/>
    <w:rsid w:val="00066DF5"/>
    <w:rsid w:val="000674EF"/>
    <w:rsid w:val="00067E08"/>
    <w:rsid w:val="00067E0B"/>
    <w:rsid w:val="0007074F"/>
    <w:rsid w:val="000717CA"/>
    <w:rsid w:val="0007200C"/>
    <w:rsid w:val="0007249D"/>
    <w:rsid w:val="00072C51"/>
    <w:rsid w:val="00073C17"/>
    <w:rsid w:val="0007470C"/>
    <w:rsid w:val="00076D34"/>
    <w:rsid w:val="000824EB"/>
    <w:rsid w:val="00083507"/>
    <w:rsid w:val="00086FD1"/>
    <w:rsid w:val="0009013C"/>
    <w:rsid w:val="000901A8"/>
    <w:rsid w:val="00090218"/>
    <w:rsid w:val="00090337"/>
    <w:rsid w:val="000915E5"/>
    <w:rsid w:val="00092191"/>
    <w:rsid w:val="0009279E"/>
    <w:rsid w:val="00094F04"/>
    <w:rsid w:val="00095A41"/>
    <w:rsid w:val="000963CD"/>
    <w:rsid w:val="0009660E"/>
    <w:rsid w:val="000969D4"/>
    <w:rsid w:val="000A0585"/>
    <w:rsid w:val="000A2FE0"/>
    <w:rsid w:val="000A3D96"/>
    <w:rsid w:val="000A6059"/>
    <w:rsid w:val="000A6B75"/>
    <w:rsid w:val="000A717E"/>
    <w:rsid w:val="000A7698"/>
    <w:rsid w:val="000B2EF5"/>
    <w:rsid w:val="000B2F3E"/>
    <w:rsid w:val="000B6059"/>
    <w:rsid w:val="000C0D42"/>
    <w:rsid w:val="000C6834"/>
    <w:rsid w:val="000C6D82"/>
    <w:rsid w:val="000C7AD6"/>
    <w:rsid w:val="000C7B8C"/>
    <w:rsid w:val="000D0BFA"/>
    <w:rsid w:val="000D5CF9"/>
    <w:rsid w:val="000D5E7A"/>
    <w:rsid w:val="000D5F92"/>
    <w:rsid w:val="000D6902"/>
    <w:rsid w:val="000E037B"/>
    <w:rsid w:val="000E32B2"/>
    <w:rsid w:val="000E6B52"/>
    <w:rsid w:val="000E6F5F"/>
    <w:rsid w:val="000E7D70"/>
    <w:rsid w:val="000F046F"/>
    <w:rsid w:val="000F0D01"/>
    <w:rsid w:val="000F2ED1"/>
    <w:rsid w:val="000F375B"/>
    <w:rsid w:val="000F5575"/>
    <w:rsid w:val="000F6618"/>
    <w:rsid w:val="000F7ADF"/>
    <w:rsid w:val="00100254"/>
    <w:rsid w:val="00100743"/>
    <w:rsid w:val="00104A9C"/>
    <w:rsid w:val="00107C81"/>
    <w:rsid w:val="0011104E"/>
    <w:rsid w:val="001116B0"/>
    <w:rsid w:val="00111DC4"/>
    <w:rsid w:val="00113A8A"/>
    <w:rsid w:val="001143F6"/>
    <w:rsid w:val="00116DC2"/>
    <w:rsid w:val="001208B9"/>
    <w:rsid w:val="00120E0E"/>
    <w:rsid w:val="00122E82"/>
    <w:rsid w:val="00123B6C"/>
    <w:rsid w:val="00126A7C"/>
    <w:rsid w:val="0012700F"/>
    <w:rsid w:val="001330BF"/>
    <w:rsid w:val="00133238"/>
    <w:rsid w:val="00133E94"/>
    <w:rsid w:val="00135812"/>
    <w:rsid w:val="00135C79"/>
    <w:rsid w:val="00136A7A"/>
    <w:rsid w:val="00136C8A"/>
    <w:rsid w:val="00140F4E"/>
    <w:rsid w:val="00142D18"/>
    <w:rsid w:val="0014324C"/>
    <w:rsid w:val="001442F4"/>
    <w:rsid w:val="001452A2"/>
    <w:rsid w:val="001474E7"/>
    <w:rsid w:val="001507D9"/>
    <w:rsid w:val="00152811"/>
    <w:rsid w:val="00153154"/>
    <w:rsid w:val="001537A4"/>
    <w:rsid w:val="001540B7"/>
    <w:rsid w:val="00155A37"/>
    <w:rsid w:val="00156205"/>
    <w:rsid w:val="0015768E"/>
    <w:rsid w:val="00157AC9"/>
    <w:rsid w:val="00160230"/>
    <w:rsid w:val="001610CA"/>
    <w:rsid w:val="00162553"/>
    <w:rsid w:val="0016659A"/>
    <w:rsid w:val="0016697A"/>
    <w:rsid w:val="00166AC8"/>
    <w:rsid w:val="00176985"/>
    <w:rsid w:val="00176C15"/>
    <w:rsid w:val="00176D27"/>
    <w:rsid w:val="0018099E"/>
    <w:rsid w:val="00180C5F"/>
    <w:rsid w:val="00180D66"/>
    <w:rsid w:val="00181B2A"/>
    <w:rsid w:val="0018261D"/>
    <w:rsid w:val="00183CBC"/>
    <w:rsid w:val="001875EB"/>
    <w:rsid w:val="001913B5"/>
    <w:rsid w:val="00192B9C"/>
    <w:rsid w:val="0019349E"/>
    <w:rsid w:val="00193C15"/>
    <w:rsid w:val="001951AA"/>
    <w:rsid w:val="00195718"/>
    <w:rsid w:val="001A28EA"/>
    <w:rsid w:val="001A3EAC"/>
    <w:rsid w:val="001A69D5"/>
    <w:rsid w:val="001A69DD"/>
    <w:rsid w:val="001A7A50"/>
    <w:rsid w:val="001C0F34"/>
    <w:rsid w:val="001C1186"/>
    <w:rsid w:val="001C28CE"/>
    <w:rsid w:val="001C7E7A"/>
    <w:rsid w:val="001D02B4"/>
    <w:rsid w:val="001D209C"/>
    <w:rsid w:val="001D46F6"/>
    <w:rsid w:val="001D6932"/>
    <w:rsid w:val="001D7077"/>
    <w:rsid w:val="001D75B0"/>
    <w:rsid w:val="001E3293"/>
    <w:rsid w:val="001E3986"/>
    <w:rsid w:val="001E4EBC"/>
    <w:rsid w:val="001E705C"/>
    <w:rsid w:val="001F0ECE"/>
    <w:rsid w:val="001F13F9"/>
    <w:rsid w:val="001F2ECB"/>
    <w:rsid w:val="001F35B6"/>
    <w:rsid w:val="001F5645"/>
    <w:rsid w:val="001F69D5"/>
    <w:rsid w:val="001F6AFD"/>
    <w:rsid w:val="001F74A4"/>
    <w:rsid w:val="00201CBD"/>
    <w:rsid w:val="00201D33"/>
    <w:rsid w:val="002054D0"/>
    <w:rsid w:val="00207F71"/>
    <w:rsid w:val="0021288D"/>
    <w:rsid w:val="00216BA2"/>
    <w:rsid w:val="00216FC9"/>
    <w:rsid w:val="002179A2"/>
    <w:rsid w:val="00217B4D"/>
    <w:rsid w:val="002217F1"/>
    <w:rsid w:val="00223662"/>
    <w:rsid w:val="0022429F"/>
    <w:rsid w:val="00227B38"/>
    <w:rsid w:val="0023025D"/>
    <w:rsid w:val="00232469"/>
    <w:rsid w:val="002330D1"/>
    <w:rsid w:val="00234B97"/>
    <w:rsid w:val="00235E38"/>
    <w:rsid w:val="002373D7"/>
    <w:rsid w:val="00240161"/>
    <w:rsid w:val="002401C1"/>
    <w:rsid w:val="002447B4"/>
    <w:rsid w:val="00245D23"/>
    <w:rsid w:val="00246AB1"/>
    <w:rsid w:val="00247030"/>
    <w:rsid w:val="00247C6C"/>
    <w:rsid w:val="00247FE1"/>
    <w:rsid w:val="00252636"/>
    <w:rsid w:val="0025324A"/>
    <w:rsid w:val="0025420D"/>
    <w:rsid w:val="00254B1C"/>
    <w:rsid w:val="00260C5D"/>
    <w:rsid w:val="00260D69"/>
    <w:rsid w:val="00261268"/>
    <w:rsid w:val="0026164A"/>
    <w:rsid w:val="00265367"/>
    <w:rsid w:val="002675F1"/>
    <w:rsid w:val="002702A7"/>
    <w:rsid w:val="002734F4"/>
    <w:rsid w:val="00276CA7"/>
    <w:rsid w:val="002812C4"/>
    <w:rsid w:val="0028194B"/>
    <w:rsid w:val="0028338E"/>
    <w:rsid w:val="00283609"/>
    <w:rsid w:val="00284BE2"/>
    <w:rsid w:val="002A07EE"/>
    <w:rsid w:val="002A20D2"/>
    <w:rsid w:val="002A3638"/>
    <w:rsid w:val="002A3E21"/>
    <w:rsid w:val="002A6116"/>
    <w:rsid w:val="002A62E2"/>
    <w:rsid w:val="002A6980"/>
    <w:rsid w:val="002A7539"/>
    <w:rsid w:val="002B2AC5"/>
    <w:rsid w:val="002B40B0"/>
    <w:rsid w:val="002B549C"/>
    <w:rsid w:val="002B6CAB"/>
    <w:rsid w:val="002C202D"/>
    <w:rsid w:val="002C3335"/>
    <w:rsid w:val="002C335A"/>
    <w:rsid w:val="002C7207"/>
    <w:rsid w:val="002C7532"/>
    <w:rsid w:val="002D0DCE"/>
    <w:rsid w:val="002D0EE9"/>
    <w:rsid w:val="002D138F"/>
    <w:rsid w:val="002D2468"/>
    <w:rsid w:val="002D3006"/>
    <w:rsid w:val="002D3F97"/>
    <w:rsid w:val="002D4289"/>
    <w:rsid w:val="002D4461"/>
    <w:rsid w:val="002D4CA7"/>
    <w:rsid w:val="002D7242"/>
    <w:rsid w:val="002D7933"/>
    <w:rsid w:val="002E093F"/>
    <w:rsid w:val="002E323D"/>
    <w:rsid w:val="002E3A7F"/>
    <w:rsid w:val="002E454B"/>
    <w:rsid w:val="002E4A8E"/>
    <w:rsid w:val="002E4CF0"/>
    <w:rsid w:val="002E520A"/>
    <w:rsid w:val="002E5354"/>
    <w:rsid w:val="002E69D7"/>
    <w:rsid w:val="002E6E60"/>
    <w:rsid w:val="002F0135"/>
    <w:rsid w:val="002F5B32"/>
    <w:rsid w:val="002F5D14"/>
    <w:rsid w:val="002F64C0"/>
    <w:rsid w:val="002F6CC6"/>
    <w:rsid w:val="0030226A"/>
    <w:rsid w:val="0030420F"/>
    <w:rsid w:val="00306AF7"/>
    <w:rsid w:val="00306CE1"/>
    <w:rsid w:val="00306ED4"/>
    <w:rsid w:val="00310BA6"/>
    <w:rsid w:val="00312862"/>
    <w:rsid w:val="00313EC8"/>
    <w:rsid w:val="00314BE5"/>
    <w:rsid w:val="00316D1E"/>
    <w:rsid w:val="00320E6C"/>
    <w:rsid w:val="00320E92"/>
    <w:rsid w:val="00323BAA"/>
    <w:rsid w:val="003251C0"/>
    <w:rsid w:val="003251F5"/>
    <w:rsid w:val="003268D5"/>
    <w:rsid w:val="00326D22"/>
    <w:rsid w:val="00327FAF"/>
    <w:rsid w:val="00330ADF"/>
    <w:rsid w:val="003313FE"/>
    <w:rsid w:val="0033283D"/>
    <w:rsid w:val="0033329A"/>
    <w:rsid w:val="00333BBB"/>
    <w:rsid w:val="003346D5"/>
    <w:rsid w:val="0033554E"/>
    <w:rsid w:val="003367C6"/>
    <w:rsid w:val="003373F9"/>
    <w:rsid w:val="0034019B"/>
    <w:rsid w:val="00342A0A"/>
    <w:rsid w:val="003434FE"/>
    <w:rsid w:val="00344E29"/>
    <w:rsid w:val="003465F1"/>
    <w:rsid w:val="00346B7C"/>
    <w:rsid w:val="00346E90"/>
    <w:rsid w:val="00352455"/>
    <w:rsid w:val="003530A7"/>
    <w:rsid w:val="00354E8E"/>
    <w:rsid w:val="00354E98"/>
    <w:rsid w:val="00356329"/>
    <w:rsid w:val="0035786F"/>
    <w:rsid w:val="00357FB8"/>
    <w:rsid w:val="00360431"/>
    <w:rsid w:val="0036217F"/>
    <w:rsid w:val="003622FC"/>
    <w:rsid w:val="00363CB8"/>
    <w:rsid w:val="00364316"/>
    <w:rsid w:val="0036433F"/>
    <w:rsid w:val="00366BBE"/>
    <w:rsid w:val="00366D98"/>
    <w:rsid w:val="003671DE"/>
    <w:rsid w:val="00370B4A"/>
    <w:rsid w:val="00372170"/>
    <w:rsid w:val="00375000"/>
    <w:rsid w:val="00375631"/>
    <w:rsid w:val="003769E6"/>
    <w:rsid w:val="00380D12"/>
    <w:rsid w:val="00382A47"/>
    <w:rsid w:val="00383812"/>
    <w:rsid w:val="00383F37"/>
    <w:rsid w:val="0038439A"/>
    <w:rsid w:val="0038505D"/>
    <w:rsid w:val="003869DA"/>
    <w:rsid w:val="00391E64"/>
    <w:rsid w:val="00391FC9"/>
    <w:rsid w:val="003940F7"/>
    <w:rsid w:val="00394DF5"/>
    <w:rsid w:val="00394F06"/>
    <w:rsid w:val="003954FD"/>
    <w:rsid w:val="00397C63"/>
    <w:rsid w:val="003A46EA"/>
    <w:rsid w:val="003A4ABC"/>
    <w:rsid w:val="003A51D1"/>
    <w:rsid w:val="003A7613"/>
    <w:rsid w:val="003B232A"/>
    <w:rsid w:val="003B37A9"/>
    <w:rsid w:val="003B386B"/>
    <w:rsid w:val="003C09CE"/>
    <w:rsid w:val="003C10CA"/>
    <w:rsid w:val="003C15DA"/>
    <w:rsid w:val="003C209D"/>
    <w:rsid w:val="003C3BAF"/>
    <w:rsid w:val="003C4B17"/>
    <w:rsid w:val="003C57A1"/>
    <w:rsid w:val="003D375A"/>
    <w:rsid w:val="003D388E"/>
    <w:rsid w:val="003D4723"/>
    <w:rsid w:val="003D4750"/>
    <w:rsid w:val="003D560D"/>
    <w:rsid w:val="003D5A63"/>
    <w:rsid w:val="003D60E9"/>
    <w:rsid w:val="003D7C0A"/>
    <w:rsid w:val="003D7D19"/>
    <w:rsid w:val="003E24A8"/>
    <w:rsid w:val="003E37D5"/>
    <w:rsid w:val="003E4C9A"/>
    <w:rsid w:val="003E6D3B"/>
    <w:rsid w:val="003E76CB"/>
    <w:rsid w:val="003E792A"/>
    <w:rsid w:val="003F0461"/>
    <w:rsid w:val="003F04CC"/>
    <w:rsid w:val="003F3BD5"/>
    <w:rsid w:val="003F588F"/>
    <w:rsid w:val="003F5D96"/>
    <w:rsid w:val="004005EF"/>
    <w:rsid w:val="004055D5"/>
    <w:rsid w:val="004073C0"/>
    <w:rsid w:val="00410287"/>
    <w:rsid w:val="004103E0"/>
    <w:rsid w:val="004108D7"/>
    <w:rsid w:val="004120EF"/>
    <w:rsid w:val="0041466C"/>
    <w:rsid w:val="00415609"/>
    <w:rsid w:val="00415752"/>
    <w:rsid w:val="00415A84"/>
    <w:rsid w:val="00415BF8"/>
    <w:rsid w:val="0041626A"/>
    <w:rsid w:val="00417B0A"/>
    <w:rsid w:val="00421AAB"/>
    <w:rsid w:val="0042242D"/>
    <w:rsid w:val="0042273B"/>
    <w:rsid w:val="00422F84"/>
    <w:rsid w:val="00424083"/>
    <w:rsid w:val="00432448"/>
    <w:rsid w:val="00432AC3"/>
    <w:rsid w:val="00433F1B"/>
    <w:rsid w:val="004347BB"/>
    <w:rsid w:val="00436511"/>
    <w:rsid w:val="004421D9"/>
    <w:rsid w:val="00442CB4"/>
    <w:rsid w:val="00443540"/>
    <w:rsid w:val="00444289"/>
    <w:rsid w:val="00444E8D"/>
    <w:rsid w:val="004468A9"/>
    <w:rsid w:val="004512D3"/>
    <w:rsid w:val="004516CE"/>
    <w:rsid w:val="00453830"/>
    <w:rsid w:val="00453B5D"/>
    <w:rsid w:val="00455827"/>
    <w:rsid w:val="00455A7C"/>
    <w:rsid w:val="00456DCF"/>
    <w:rsid w:val="004577EF"/>
    <w:rsid w:val="0046198A"/>
    <w:rsid w:val="00463E00"/>
    <w:rsid w:val="00465B5E"/>
    <w:rsid w:val="00466384"/>
    <w:rsid w:val="00466801"/>
    <w:rsid w:val="00470B93"/>
    <w:rsid w:val="004712DD"/>
    <w:rsid w:val="00471F2A"/>
    <w:rsid w:val="00477BDC"/>
    <w:rsid w:val="00480148"/>
    <w:rsid w:val="004801BC"/>
    <w:rsid w:val="00485C3A"/>
    <w:rsid w:val="004869DF"/>
    <w:rsid w:val="00487648"/>
    <w:rsid w:val="00487CAB"/>
    <w:rsid w:val="00490191"/>
    <w:rsid w:val="00490332"/>
    <w:rsid w:val="00490FC5"/>
    <w:rsid w:val="0049218D"/>
    <w:rsid w:val="004948FD"/>
    <w:rsid w:val="00497463"/>
    <w:rsid w:val="00497750"/>
    <w:rsid w:val="004A3F6E"/>
    <w:rsid w:val="004A47AF"/>
    <w:rsid w:val="004A5009"/>
    <w:rsid w:val="004A5C22"/>
    <w:rsid w:val="004B0537"/>
    <w:rsid w:val="004B1405"/>
    <w:rsid w:val="004B1D1A"/>
    <w:rsid w:val="004B2BD5"/>
    <w:rsid w:val="004B43EF"/>
    <w:rsid w:val="004B60DA"/>
    <w:rsid w:val="004B6BA4"/>
    <w:rsid w:val="004C0B2D"/>
    <w:rsid w:val="004C1624"/>
    <w:rsid w:val="004C4B0E"/>
    <w:rsid w:val="004C6737"/>
    <w:rsid w:val="004C6B65"/>
    <w:rsid w:val="004D778C"/>
    <w:rsid w:val="004E3874"/>
    <w:rsid w:val="004E3A9C"/>
    <w:rsid w:val="004E4F89"/>
    <w:rsid w:val="004E6581"/>
    <w:rsid w:val="004E684C"/>
    <w:rsid w:val="004E7C5C"/>
    <w:rsid w:val="004F1C2F"/>
    <w:rsid w:val="004F2096"/>
    <w:rsid w:val="004F2233"/>
    <w:rsid w:val="004F487C"/>
    <w:rsid w:val="004F5079"/>
    <w:rsid w:val="004F655C"/>
    <w:rsid w:val="004F6F59"/>
    <w:rsid w:val="004F76CC"/>
    <w:rsid w:val="00502F60"/>
    <w:rsid w:val="0050320C"/>
    <w:rsid w:val="00503991"/>
    <w:rsid w:val="005060D4"/>
    <w:rsid w:val="005073A3"/>
    <w:rsid w:val="00507A66"/>
    <w:rsid w:val="00511E70"/>
    <w:rsid w:val="00513962"/>
    <w:rsid w:val="005143CD"/>
    <w:rsid w:val="00514F56"/>
    <w:rsid w:val="00517FE1"/>
    <w:rsid w:val="00527773"/>
    <w:rsid w:val="00530E66"/>
    <w:rsid w:val="00531960"/>
    <w:rsid w:val="005319A3"/>
    <w:rsid w:val="0053228D"/>
    <w:rsid w:val="005344A8"/>
    <w:rsid w:val="00534AF4"/>
    <w:rsid w:val="00535C59"/>
    <w:rsid w:val="00536CBD"/>
    <w:rsid w:val="00537FB0"/>
    <w:rsid w:val="005415A5"/>
    <w:rsid w:val="0054160A"/>
    <w:rsid w:val="005426DD"/>
    <w:rsid w:val="00544719"/>
    <w:rsid w:val="00544777"/>
    <w:rsid w:val="00546248"/>
    <w:rsid w:val="00546398"/>
    <w:rsid w:val="005464C6"/>
    <w:rsid w:val="00546F7D"/>
    <w:rsid w:val="005506E9"/>
    <w:rsid w:val="005518EC"/>
    <w:rsid w:val="00551F6A"/>
    <w:rsid w:val="00552046"/>
    <w:rsid w:val="005555C0"/>
    <w:rsid w:val="00555766"/>
    <w:rsid w:val="00562269"/>
    <w:rsid w:val="00563E2A"/>
    <w:rsid w:val="00566220"/>
    <w:rsid w:val="00566BE5"/>
    <w:rsid w:val="00566FB9"/>
    <w:rsid w:val="005674A9"/>
    <w:rsid w:val="00567E45"/>
    <w:rsid w:val="00570982"/>
    <w:rsid w:val="00574DDF"/>
    <w:rsid w:val="0057687C"/>
    <w:rsid w:val="00577B80"/>
    <w:rsid w:val="005825FD"/>
    <w:rsid w:val="00583094"/>
    <w:rsid w:val="00585A50"/>
    <w:rsid w:val="005876D0"/>
    <w:rsid w:val="00591341"/>
    <w:rsid w:val="0059137A"/>
    <w:rsid w:val="0059251A"/>
    <w:rsid w:val="00594712"/>
    <w:rsid w:val="00596580"/>
    <w:rsid w:val="00597112"/>
    <w:rsid w:val="005A0CF9"/>
    <w:rsid w:val="005A175D"/>
    <w:rsid w:val="005A2F2D"/>
    <w:rsid w:val="005A334B"/>
    <w:rsid w:val="005A6BBA"/>
    <w:rsid w:val="005B0D54"/>
    <w:rsid w:val="005B23BD"/>
    <w:rsid w:val="005B29B3"/>
    <w:rsid w:val="005B2E3C"/>
    <w:rsid w:val="005B536C"/>
    <w:rsid w:val="005C4367"/>
    <w:rsid w:val="005C545C"/>
    <w:rsid w:val="005C6B05"/>
    <w:rsid w:val="005C6E80"/>
    <w:rsid w:val="005C7297"/>
    <w:rsid w:val="005D2670"/>
    <w:rsid w:val="005D603B"/>
    <w:rsid w:val="005D717C"/>
    <w:rsid w:val="005E0042"/>
    <w:rsid w:val="005E0C30"/>
    <w:rsid w:val="005E4CED"/>
    <w:rsid w:val="005E4E6E"/>
    <w:rsid w:val="005E4F0E"/>
    <w:rsid w:val="005F165A"/>
    <w:rsid w:val="005F1F16"/>
    <w:rsid w:val="005F2FAE"/>
    <w:rsid w:val="005F6BEB"/>
    <w:rsid w:val="006002B6"/>
    <w:rsid w:val="006107EA"/>
    <w:rsid w:val="00611BC3"/>
    <w:rsid w:val="00615481"/>
    <w:rsid w:val="00615E17"/>
    <w:rsid w:val="006166D9"/>
    <w:rsid w:val="00617DEE"/>
    <w:rsid w:val="006212E9"/>
    <w:rsid w:val="00621904"/>
    <w:rsid w:val="00623E90"/>
    <w:rsid w:val="00627609"/>
    <w:rsid w:val="00627BF5"/>
    <w:rsid w:val="006306DD"/>
    <w:rsid w:val="006334E2"/>
    <w:rsid w:val="006431A4"/>
    <w:rsid w:val="006443E3"/>
    <w:rsid w:val="00644701"/>
    <w:rsid w:val="00645D15"/>
    <w:rsid w:val="0065047F"/>
    <w:rsid w:val="00650DE7"/>
    <w:rsid w:val="00651E3C"/>
    <w:rsid w:val="006528C8"/>
    <w:rsid w:val="00652E38"/>
    <w:rsid w:val="00655E42"/>
    <w:rsid w:val="00656000"/>
    <w:rsid w:val="0065617F"/>
    <w:rsid w:val="006571DC"/>
    <w:rsid w:val="00660942"/>
    <w:rsid w:val="00663923"/>
    <w:rsid w:val="0066479C"/>
    <w:rsid w:val="00664FF0"/>
    <w:rsid w:val="00665286"/>
    <w:rsid w:val="00666B27"/>
    <w:rsid w:val="0067172B"/>
    <w:rsid w:val="006732CA"/>
    <w:rsid w:val="00676E13"/>
    <w:rsid w:val="00680A3D"/>
    <w:rsid w:val="00680AAB"/>
    <w:rsid w:val="0068142A"/>
    <w:rsid w:val="00681B30"/>
    <w:rsid w:val="006825CE"/>
    <w:rsid w:val="00684997"/>
    <w:rsid w:val="00686502"/>
    <w:rsid w:val="00687CB4"/>
    <w:rsid w:val="00690492"/>
    <w:rsid w:val="00691416"/>
    <w:rsid w:val="00692B45"/>
    <w:rsid w:val="00693AF5"/>
    <w:rsid w:val="0069564A"/>
    <w:rsid w:val="0069758A"/>
    <w:rsid w:val="006A099B"/>
    <w:rsid w:val="006A2032"/>
    <w:rsid w:val="006A20A4"/>
    <w:rsid w:val="006A2A78"/>
    <w:rsid w:val="006A3EE4"/>
    <w:rsid w:val="006A4AFC"/>
    <w:rsid w:val="006A4E17"/>
    <w:rsid w:val="006A58A9"/>
    <w:rsid w:val="006A77BD"/>
    <w:rsid w:val="006B0E1B"/>
    <w:rsid w:val="006B2199"/>
    <w:rsid w:val="006B7240"/>
    <w:rsid w:val="006C222C"/>
    <w:rsid w:val="006C316D"/>
    <w:rsid w:val="006C47BE"/>
    <w:rsid w:val="006C6B98"/>
    <w:rsid w:val="006C741F"/>
    <w:rsid w:val="006C77B1"/>
    <w:rsid w:val="006D4307"/>
    <w:rsid w:val="006D621B"/>
    <w:rsid w:val="006D7ABD"/>
    <w:rsid w:val="006E1C7F"/>
    <w:rsid w:val="006E2518"/>
    <w:rsid w:val="006E304B"/>
    <w:rsid w:val="006E3B7B"/>
    <w:rsid w:val="006F0A87"/>
    <w:rsid w:val="006F0C1B"/>
    <w:rsid w:val="006F2D0E"/>
    <w:rsid w:val="006F39A0"/>
    <w:rsid w:val="006F4926"/>
    <w:rsid w:val="006F5817"/>
    <w:rsid w:val="006F5C12"/>
    <w:rsid w:val="0070121E"/>
    <w:rsid w:val="00703C13"/>
    <w:rsid w:val="00705340"/>
    <w:rsid w:val="00706593"/>
    <w:rsid w:val="007101B9"/>
    <w:rsid w:val="007135A8"/>
    <w:rsid w:val="00713A67"/>
    <w:rsid w:val="00713E1C"/>
    <w:rsid w:val="007142B4"/>
    <w:rsid w:val="007145A5"/>
    <w:rsid w:val="0071585B"/>
    <w:rsid w:val="00716170"/>
    <w:rsid w:val="00716D3F"/>
    <w:rsid w:val="00723AD3"/>
    <w:rsid w:val="0072453C"/>
    <w:rsid w:val="00725A0A"/>
    <w:rsid w:val="00725AD2"/>
    <w:rsid w:val="00725BEC"/>
    <w:rsid w:val="00730693"/>
    <w:rsid w:val="0073147F"/>
    <w:rsid w:val="00735D2D"/>
    <w:rsid w:val="00736651"/>
    <w:rsid w:val="00737E35"/>
    <w:rsid w:val="0074142B"/>
    <w:rsid w:val="0074393B"/>
    <w:rsid w:val="00744081"/>
    <w:rsid w:val="00744FEF"/>
    <w:rsid w:val="00745AD7"/>
    <w:rsid w:val="00745BBA"/>
    <w:rsid w:val="00746F57"/>
    <w:rsid w:val="00750D18"/>
    <w:rsid w:val="00751FA0"/>
    <w:rsid w:val="007539F6"/>
    <w:rsid w:val="007563E9"/>
    <w:rsid w:val="00763658"/>
    <w:rsid w:val="00770C4F"/>
    <w:rsid w:val="00772A3B"/>
    <w:rsid w:val="00772A7A"/>
    <w:rsid w:val="00772D23"/>
    <w:rsid w:val="00773C4B"/>
    <w:rsid w:val="00775685"/>
    <w:rsid w:val="00776897"/>
    <w:rsid w:val="007802A9"/>
    <w:rsid w:val="00780CA1"/>
    <w:rsid w:val="007835B1"/>
    <w:rsid w:val="00784FB5"/>
    <w:rsid w:val="00785332"/>
    <w:rsid w:val="00785736"/>
    <w:rsid w:val="0078787F"/>
    <w:rsid w:val="0079047F"/>
    <w:rsid w:val="0079456A"/>
    <w:rsid w:val="0079470F"/>
    <w:rsid w:val="00795B1B"/>
    <w:rsid w:val="00797C9A"/>
    <w:rsid w:val="007A3104"/>
    <w:rsid w:val="007A40DE"/>
    <w:rsid w:val="007A73AD"/>
    <w:rsid w:val="007B5296"/>
    <w:rsid w:val="007B7251"/>
    <w:rsid w:val="007C14F2"/>
    <w:rsid w:val="007C2C21"/>
    <w:rsid w:val="007C355E"/>
    <w:rsid w:val="007D025C"/>
    <w:rsid w:val="007D17EE"/>
    <w:rsid w:val="007D26C1"/>
    <w:rsid w:val="007D32FA"/>
    <w:rsid w:val="007D4294"/>
    <w:rsid w:val="007D4C35"/>
    <w:rsid w:val="007D4F82"/>
    <w:rsid w:val="007D55A3"/>
    <w:rsid w:val="007D590A"/>
    <w:rsid w:val="007D7D55"/>
    <w:rsid w:val="007E10A3"/>
    <w:rsid w:val="007E1EBF"/>
    <w:rsid w:val="007E278B"/>
    <w:rsid w:val="007E3AB1"/>
    <w:rsid w:val="007E51D5"/>
    <w:rsid w:val="007E7138"/>
    <w:rsid w:val="007F01EA"/>
    <w:rsid w:val="007F185A"/>
    <w:rsid w:val="007F3B2A"/>
    <w:rsid w:val="007F53CA"/>
    <w:rsid w:val="007F555F"/>
    <w:rsid w:val="007F710D"/>
    <w:rsid w:val="007F7AB7"/>
    <w:rsid w:val="008000F5"/>
    <w:rsid w:val="0080215F"/>
    <w:rsid w:val="008038DA"/>
    <w:rsid w:val="008042B9"/>
    <w:rsid w:val="0080494B"/>
    <w:rsid w:val="00806A1F"/>
    <w:rsid w:val="008115B2"/>
    <w:rsid w:val="008129C0"/>
    <w:rsid w:val="00812E07"/>
    <w:rsid w:val="00815C33"/>
    <w:rsid w:val="0082123B"/>
    <w:rsid w:val="00822747"/>
    <w:rsid w:val="00823377"/>
    <w:rsid w:val="00823405"/>
    <w:rsid w:val="00823FE2"/>
    <w:rsid w:val="00825484"/>
    <w:rsid w:val="008254DE"/>
    <w:rsid w:val="00825FFC"/>
    <w:rsid w:val="008272AC"/>
    <w:rsid w:val="00827912"/>
    <w:rsid w:val="00830F30"/>
    <w:rsid w:val="008316F6"/>
    <w:rsid w:val="00831C2D"/>
    <w:rsid w:val="00831FD2"/>
    <w:rsid w:val="00836DC2"/>
    <w:rsid w:val="00837F5F"/>
    <w:rsid w:val="0084335F"/>
    <w:rsid w:val="00844670"/>
    <w:rsid w:val="008476B9"/>
    <w:rsid w:val="00851CD3"/>
    <w:rsid w:val="00851EB3"/>
    <w:rsid w:val="0085293D"/>
    <w:rsid w:val="00852E47"/>
    <w:rsid w:val="00854BF4"/>
    <w:rsid w:val="00857219"/>
    <w:rsid w:val="0086121B"/>
    <w:rsid w:val="00862E6A"/>
    <w:rsid w:val="00863328"/>
    <w:rsid w:val="00865789"/>
    <w:rsid w:val="00866556"/>
    <w:rsid w:val="00867461"/>
    <w:rsid w:val="008704DD"/>
    <w:rsid w:val="00876756"/>
    <w:rsid w:val="00882200"/>
    <w:rsid w:val="008826D8"/>
    <w:rsid w:val="008853D7"/>
    <w:rsid w:val="00885A77"/>
    <w:rsid w:val="00886751"/>
    <w:rsid w:val="008872E6"/>
    <w:rsid w:val="00892444"/>
    <w:rsid w:val="00892D8C"/>
    <w:rsid w:val="008934FA"/>
    <w:rsid w:val="0089445E"/>
    <w:rsid w:val="00894708"/>
    <w:rsid w:val="00894C35"/>
    <w:rsid w:val="00897410"/>
    <w:rsid w:val="008A0674"/>
    <w:rsid w:val="008A0AEF"/>
    <w:rsid w:val="008A128B"/>
    <w:rsid w:val="008A1615"/>
    <w:rsid w:val="008A1AF9"/>
    <w:rsid w:val="008A2924"/>
    <w:rsid w:val="008A6488"/>
    <w:rsid w:val="008A7249"/>
    <w:rsid w:val="008A7FA6"/>
    <w:rsid w:val="008B0C32"/>
    <w:rsid w:val="008B5FB9"/>
    <w:rsid w:val="008B69CF"/>
    <w:rsid w:val="008C3AD5"/>
    <w:rsid w:val="008C48DC"/>
    <w:rsid w:val="008C63AA"/>
    <w:rsid w:val="008C7E2F"/>
    <w:rsid w:val="008D148D"/>
    <w:rsid w:val="008D22F2"/>
    <w:rsid w:val="008D23C6"/>
    <w:rsid w:val="008D6E56"/>
    <w:rsid w:val="008D7045"/>
    <w:rsid w:val="008E3807"/>
    <w:rsid w:val="008E4ACB"/>
    <w:rsid w:val="008E51A5"/>
    <w:rsid w:val="008E5D09"/>
    <w:rsid w:val="008F1829"/>
    <w:rsid w:val="008F24A1"/>
    <w:rsid w:val="008F2C95"/>
    <w:rsid w:val="008F324C"/>
    <w:rsid w:val="008F5B21"/>
    <w:rsid w:val="008F6FCC"/>
    <w:rsid w:val="008F7532"/>
    <w:rsid w:val="009020EC"/>
    <w:rsid w:val="00904B94"/>
    <w:rsid w:val="00904DB7"/>
    <w:rsid w:val="00906D81"/>
    <w:rsid w:val="00906FA8"/>
    <w:rsid w:val="00907C5B"/>
    <w:rsid w:val="0091213E"/>
    <w:rsid w:val="0091243F"/>
    <w:rsid w:val="00912A8C"/>
    <w:rsid w:val="00913F59"/>
    <w:rsid w:val="009157EB"/>
    <w:rsid w:val="0091600C"/>
    <w:rsid w:val="009161D4"/>
    <w:rsid w:val="00920EA8"/>
    <w:rsid w:val="00922950"/>
    <w:rsid w:val="0092310C"/>
    <w:rsid w:val="00925B5B"/>
    <w:rsid w:val="00925CF6"/>
    <w:rsid w:val="00926985"/>
    <w:rsid w:val="00930602"/>
    <w:rsid w:val="00930F28"/>
    <w:rsid w:val="00931436"/>
    <w:rsid w:val="00933B97"/>
    <w:rsid w:val="00933EE9"/>
    <w:rsid w:val="00935189"/>
    <w:rsid w:val="00937520"/>
    <w:rsid w:val="0094078F"/>
    <w:rsid w:val="009434CA"/>
    <w:rsid w:val="00947922"/>
    <w:rsid w:val="00952A04"/>
    <w:rsid w:val="00953540"/>
    <w:rsid w:val="0096178B"/>
    <w:rsid w:val="0096428A"/>
    <w:rsid w:val="00964FD3"/>
    <w:rsid w:val="00966024"/>
    <w:rsid w:val="0096673A"/>
    <w:rsid w:val="009670C8"/>
    <w:rsid w:val="009672CE"/>
    <w:rsid w:val="009708DE"/>
    <w:rsid w:val="00970A75"/>
    <w:rsid w:val="0097192A"/>
    <w:rsid w:val="00974F16"/>
    <w:rsid w:val="00974F63"/>
    <w:rsid w:val="0097591B"/>
    <w:rsid w:val="00975947"/>
    <w:rsid w:val="00976389"/>
    <w:rsid w:val="00977AF6"/>
    <w:rsid w:val="00980EE3"/>
    <w:rsid w:val="009822AB"/>
    <w:rsid w:val="00982970"/>
    <w:rsid w:val="009843E1"/>
    <w:rsid w:val="009860E1"/>
    <w:rsid w:val="00991F88"/>
    <w:rsid w:val="00992D85"/>
    <w:rsid w:val="009957F6"/>
    <w:rsid w:val="00996C04"/>
    <w:rsid w:val="00996F1B"/>
    <w:rsid w:val="009A1A22"/>
    <w:rsid w:val="009A28D6"/>
    <w:rsid w:val="009A4F6F"/>
    <w:rsid w:val="009A54E9"/>
    <w:rsid w:val="009A5D97"/>
    <w:rsid w:val="009B0FC2"/>
    <w:rsid w:val="009B1111"/>
    <w:rsid w:val="009B4DA0"/>
    <w:rsid w:val="009B59B7"/>
    <w:rsid w:val="009B6E40"/>
    <w:rsid w:val="009B713A"/>
    <w:rsid w:val="009C1F4F"/>
    <w:rsid w:val="009C335C"/>
    <w:rsid w:val="009C3F2A"/>
    <w:rsid w:val="009C4702"/>
    <w:rsid w:val="009C5148"/>
    <w:rsid w:val="009D1831"/>
    <w:rsid w:val="009D1C46"/>
    <w:rsid w:val="009D2DEB"/>
    <w:rsid w:val="009D3E45"/>
    <w:rsid w:val="009D6439"/>
    <w:rsid w:val="009D7B0D"/>
    <w:rsid w:val="009E002D"/>
    <w:rsid w:val="009E0790"/>
    <w:rsid w:val="009E4296"/>
    <w:rsid w:val="009E530B"/>
    <w:rsid w:val="009E6CB1"/>
    <w:rsid w:val="009E7812"/>
    <w:rsid w:val="009F0319"/>
    <w:rsid w:val="009F3D33"/>
    <w:rsid w:val="009F51C9"/>
    <w:rsid w:val="009F62D0"/>
    <w:rsid w:val="009F7DB8"/>
    <w:rsid w:val="00A012FA"/>
    <w:rsid w:val="00A0605A"/>
    <w:rsid w:val="00A105F6"/>
    <w:rsid w:val="00A11B58"/>
    <w:rsid w:val="00A1305C"/>
    <w:rsid w:val="00A142B0"/>
    <w:rsid w:val="00A14FA9"/>
    <w:rsid w:val="00A16757"/>
    <w:rsid w:val="00A17FE4"/>
    <w:rsid w:val="00A230DF"/>
    <w:rsid w:val="00A24019"/>
    <w:rsid w:val="00A24873"/>
    <w:rsid w:val="00A25114"/>
    <w:rsid w:val="00A2571C"/>
    <w:rsid w:val="00A25E27"/>
    <w:rsid w:val="00A32E13"/>
    <w:rsid w:val="00A3319E"/>
    <w:rsid w:val="00A348D3"/>
    <w:rsid w:val="00A34E9C"/>
    <w:rsid w:val="00A35ECE"/>
    <w:rsid w:val="00A3741F"/>
    <w:rsid w:val="00A37672"/>
    <w:rsid w:val="00A423BB"/>
    <w:rsid w:val="00A4680C"/>
    <w:rsid w:val="00A46DD3"/>
    <w:rsid w:val="00A47110"/>
    <w:rsid w:val="00A5183F"/>
    <w:rsid w:val="00A57AFF"/>
    <w:rsid w:val="00A60831"/>
    <w:rsid w:val="00A61F3F"/>
    <w:rsid w:val="00A62DE3"/>
    <w:rsid w:val="00A649A8"/>
    <w:rsid w:val="00A66F5E"/>
    <w:rsid w:val="00A70CE8"/>
    <w:rsid w:val="00A71335"/>
    <w:rsid w:val="00A73E9E"/>
    <w:rsid w:val="00A7534F"/>
    <w:rsid w:val="00A83C7F"/>
    <w:rsid w:val="00A87199"/>
    <w:rsid w:val="00A87770"/>
    <w:rsid w:val="00A90762"/>
    <w:rsid w:val="00A90A14"/>
    <w:rsid w:val="00A92632"/>
    <w:rsid w:val="00A96B86"/>
    <w:rsid w:val="00A96F9C"/>
    <w:rsid w:val="00A97063"/>
    <w:rsid w:val="00A97081"/>
    <w:rsid w:val="00A97BB3"/>
    <w:rsid w:val="00AA2CAD"/>
    <w:rsid w:val="00AA34CE"/>
    <w:rsid w:val="00AA3909"/>
    <w:rsid w:val="00AA4CD4"/>
    <w:rsid w:val="00AA5FBF"/>
    <w:rsid w:val="00AA6150"/>
    <w:rsid w:val="00AA6E4C"/>
    <w:rsid w:val="00AA704B"/>
    <w:rsid w:val="00AA7750"/>
    <w:rsid w:val="00AB26E9"/>
    <w:rsid w:val="00AB5695"/>
    <w:rsid w:val="00AB7DEF"/>
    <w:rsid w:val="00AC07F7"/>
    <w:rsid w:val="00AC1F3D"/>
    <w:rsid w:val="00AC3CCC"/>
    <w:rsid w:val="00AC4985"/>
    <w:rsid w:val="00AC65F1"/>
    <w:rsid w:val="00AC6632"/>
    <w:rsid w:val="00AC6821"/>
    <w:rsid w:val="00AC6F17"/>
    <w:rsid w:val="00AD159D"/>
    <w:rsid w:val="00AD1758"/>
    <w:rsid w:val="00AD33B5"/>
    <w:rsid w:val="00AD4669"/>
    <w:rsid w:val="00AD47CB"/>
    <w:rsid w:val="00AD61DA"/>
    <w:rsid w:val="00AD6A9D"/>
    <w:rsid w:val="00AE0ED7"/>
    <w:rsid w:val="00AE121D"/>
    <w:rsid w:val="00AE1CA8"/>
    <w:rsid w:val="00AE440E"/>
    <w:rsid w:val="00AE4A64"/>
    <w:rsid w:val="00AE4E94"/>
    <w:rsid w:val="00AE6EBD"/>
    <w:rsid w:val="00AF4106"/>
    <w:rsid w:val="00AF791C"/>
    <w:rsid w:val="00B01039"/>
    <w:rsid w:val="00B0205B"/>
    <w:rsid w:val="00B04C97"/>
    <w:rsid w:val="00B059B0"/>
    <w:rsid w:val="00B061AD"/>
    <w:rsid w:val="00B1061F"/>
    <w:rsid w:val="00B10EFC"/>
    <w:rsid w:val="00B12E9E"/>
    <w:rsid w:val="00B15BDF"/>
    <w:rsid w:val="00B178E4"/>
    <w:rsid w:val="00B2426B"/>
    <w:rsid w:val="00B27A16"/>
    <w:rsid w:val="00B32575"/>
    <w:rsid w:val="00B32B19"/>
    <w:rsid w:val="00B351E7"/>
    <w:rsid w:val="00B357BE"/>
    <w:rsid w:val="00B358E9"/>
    <w:rsid w:val="00B36692"/>
    <w:rsid w:val="00B415BA"/>
    <w:rsid w:val="00B41FC1"/>
    <w:rsid w:val="00B426CD"/>
    <w:rsid w:val="00B440C1"/>
    <w:rsid w:val="00B4562F"/>
    <w:rsid w:val="00B45B12"/>
    <w:rsid w:val="00B46DDB"/>
    <w:rsid w:val="00B47436"/>
    <w:rsid w:val="00B5581F"/>
    <w:rsid w:val="00B567DA"/>
    <w:rsid w:val="00B57442"/>
    <w:rsid w:val="00B57C3E"/>
    <w:rsid w:val="00B60696"/>
    <w:rsid w:val="00B659AD"/>
    <w:rsid w:val="00B66A48"/>
    <w:rsid w:val="00B8247D"/>
    <w:rsid w:val="00B8444D"/>
    <w:rsid w:val="00B8733A"/>
    <w:rsid w:val="00B906BA"/>
    <w:rsid w:val="00B90805"/>
    <w:rsid w:val="00B92F08"/>
    <w:rsid w:val="00B96974"/>
    <w:rsid w:val="00B96C6C"/>
    <w:rsid w:val="00BA2ADF"/>
    <w:rsid w:val="00BA2C41"/>
    <w:rsid w:val="00BA3728"/>
    <w:rsid w:val="00BA46AB"/>
    <w:rsid w:val="00BA5DB9"/>
    <w:rsid w:val="00BB4841"/>
    <w:rsid w:val="00BB4960"/>
    <w:rsid w:val="00BB4CE9"/>
    <w:rsid w:val="00BC12CB"/>
    <w:rsid w:val="00BC3B2B"/>
    <w:rsid w:val="00BC3B5A"/>
    <w:rsid w:val="00BD0E3F"/>
    <w:rsid w:val="00BD2B82"/>
    <w:rsid w:val="00BD3231"/>
    <w:rsid w:val="00BD385F"/>
    <w:rsid w:val="00BD5485"/>
    <w:rsid w:val="00BD6339"/>
    <w:rsid w:val="00BD6912"/>
    <w:rsid w:val="00BE1A46"/>
    <w:rsid w:val="00BE1D2D"/>
    <w:rsid w:val="00BE50A1"/>
    <w:rsid w:val="00BE6A02"/>
    <w:rsid w:val="00BE7108"/>
    <w:rsid w:val="00BE7AED"/>
    <w:rsid w:val="00BF0AF2"/>
    <w:rsid w:val="00BF223A"/>
    <w:rsid w:val="00BF7025"/>
    <w:rsid w:val="00BF75EB"/>
    <w:rsid w:val="00BF790B"/>
    <w:rsid w:val="00C0005D"/>
    <w:rsid w:val="00C00B88"/>
    <w:rsid w:val="00C02407"/>
    <w:rsid w:val="00C02C70"/>
    <w:rsid w:val="00C0346A"/>
    <w:rsid w:val="00C0538C"/>
    <w:rsid w:val="00C05E82"/>
    <w:rsid w:val="00C0738D"/>
    <w:rsid w:val="00C10445"/>
    <w:rsid w:val="00C11208"/>
    <w:rsid w:val="00C11F35"/>
    <w:rsid w:val="00C14DC4"/>
    <w:rsid w:val="00C1614A"/>
    <w:rsid w:val="00C16EDB"/>
    <w:rsid w:val="00C200A2"/>
    <w:rsid w:val="00C210F5"/>
    <w:rsid w:val="00C21CC5"/>
    <w:rsid w:val="00C22D7E"/>
    <w:rsid w:val="00C23F87"/>
    <w:rsid w:val="00C24A05"/>
    <w:rsid w:val="00C267B8"/>
    <w:rsid w:val="00C27B8B"/>
    <w:rsid w:val="00C3095A"/>
    <w:rsid w:val="00C30A64"/>
    <w:rsid w:val="00C30FED"/>
    <w:rsid w:val="00C314EB"/>
    <w:rsid w:val="00C316FD"/>
    <w:rsid w:val="00C3188F"/>
    <w:rsid w:val="00C342BF"/>
    <w:rsid w:val="00C346F9"/>
    <w:rsid w:val="00C401FF"/>
    <w:rsid w:val="00C4020D"/>
    <w:rsid w:val="00C421ED"/>
    <w:rsid w:val="00C43AA6"/>
    <w:rsid w:val="00C44367"/>
    <w:rsid w:val="00C45BD4"/>
    <w:rsid w:val="00C47EE1"/>
    <w:rsid w:val="00C506F9"/>
    <w:rsid w:val="00C51BDF"/>
    <w:rsid w:val="00C5499E"/>
    <w:rsid w:val="00C54B68"/>
    <w:rsid w:val="00C559D1"/>
    <w:rsid w:val="00C62251"/>
    <w:rsid w:val="00C62C5C"/>
    <w:rsid w:val="00C62D2F"/>
    <w:rsid w:val="00C638B5"/>
    <w:rsid w:val="00C638E5"/>
    <w:rsid w:val="00C65B9A"/>
    <w:rsid w:val="00C6666D"/>
    <w:rsid w:val="00C66C78"/>
    <w:rsid w:val="00C753A1"/>
    <w:rsid w:val="00C77445"/>
    <w:rsid w:val="00C824B8"/>
    <w:rsid w:val="00C83B59"/>
    <w:rsid w:val="00C873D8"/>
    <w:rsid w:val="00C902EA"/>
    <w:rsid w:val="00C919DB"/>
    <w:rsid w:val="00C928E9"/>
    <w:rsid w:val="00C93077"/>
    <w:rsid w:val="00C97D9D"/>
    <w:rsid w:val="00CA1025"/>
    <w:rsid w:val="00CA1878"/>
    <w:rsid w:val="00CA5BC1"/>
    <w:rsid w:val="00CA71B4"/>
    <w:rsid w:val="00CA78BD"/>
    <w:rsid w:val="00CB08F5"/>
    <w:rsid w:val="00CB15B2"/>
    <w:rsid w:val="00CB49CF"/>
    <w:rsid w:val="00CB6E51"/>
    <w:rsid w:val="00CC174E"/>
    <w:rsid w:val="00CC32AD"/>
    <w:rsid w:val="00CC349B"/>
    <w:rsid w:val="00CC40A3"/>
    <w:rsid w:val="00CC4E51"/>
    <w:rsid w:val="00CC5F3A"/>
    <w:rsid w:val="00CC6775"/>
    <w:rsid w:val="00CD2E24"/>
    <w:rsid w:val="00CD3E2D"/>
    <w:rsid w:val="00CD6415"/>
    <w:rsid w:val="00CD74A3"/>
    <w:rsid w:val="00CE08A6"/>
    <w:rsid w:val="00CE3CF6"/>
    <w:rsid w:val="00CE4952"/>
    <w:rsid w:val="00CE58AA"/>
    <w:rsid w:val="00CE7EDA"/>
    <w:rsid w:val="00CF05E2"/>
    <w:rsid w:val="00CF352B"/>
    <w:rsid w:val="00CF3DD2"/>
    <w:rsid w:val="00D00A8A"/>
    <w:rsid w:val="00D025C2"/>
    <w:rsid w:val="00D04791"/>
    <w:rsid w:val="00D04886"/>
    <w:rsid w:val="00D0534B"/>
    <w:rsid w:val="00D0600F"/>
    <w:rsid w:val="00D07C5F"/>
    <w:rsid w:val="00D118EA"/>
    <w:rsid w:val="00D11C15"/>
    <w:rsid w:val="00D13AED"/>
    <w:rsid w:val="00D170FD"/>
    <w:rsid w:val="00D172DD"/>
    <w:rsid w:val="00D215E3"/>
    <w:rsid w:val="00D22652"/>
    <w:rsid w:val="00D22857"/>
    <w:rsid w:val="00D24000"/>
    <w:rsid w:val="00D24C8A"/>
    <w:rsid w:val="00D25679"/>
    <w:rsid w:val="00D267A5"/>
    <w:rsid w:val="00D316CF"/>
    <w:rsid w:val="00D3173E"/>
    <w:rsid w:val="00D359B8"/>
    <w:rsid w:val="00D361C6"/>
    <w:rsid w:val="00D368F3"/>
    <w:rsid w:val="00D41C25"/>
    <w:rsid w:val="00D449CA"/>
    <w:rsid w:val="00D453FF"/>
    <w:rsid w:val="00D46563"/>
    <w:rsid w:val="00D515ED"/>
    <w:rsid w:val="00D5182D"/>
    <w:rsid w:val="00D52B6C"/>
    <w:rsid w:val="00D54CC1"/>
    <w:rsid w:val="00D54CF5"/>
    <w:rsid w:val="00D56047"/>
    <w:rsid w:val="00D568CB"/>
    <w:rsid w:val="00D60D70"/>
    <w:rsid w:val="00D61C4E"/>
    <w:rsid w:val="00D723C5"/>
    <w:rsid w:val="00D7288E"/>
    <w:rsid w:val="00D72BBF"/>
    <w:rsid w:val="00D74053"/>
    <w:rsid w:val="00D756A4"/>
    <w:rsid w:val="00D76B73"/>
    <w:rsid w:val="00D775CB"/>
    <w:rsid w:val="00D80306"/>
    <w:rsid w:val="00D81105"/>
    <w:rsid w:val="00D84796"/>
    <w:rsid w:val="00D91D3B"/>
    <w:rsid w:val="00D91D45"/>
    <w:rsid w:val="00D92417"/>
    <w:rsid w:val="00D941E4"/>
    <w:rsid w:val="00D95952"/>
    <w:rsid w:val="00D95BD2"/>
    <w:rsid w:val="00D97711"/>
    <w:rsid w:val="00DA2A20"/>
    <w:rsid w:val="00DA63C6"/>
    <w:rsid w:val="00DB0AE7"/>
    <w:rsid w:val="00DB3DB1"/>
    <w:rsid w:val="00DB6EB3"/>
    <w:rsid w:val="00DC12A8"/>
    <w:rsid w:val="00DC13F0"/>
    <w:rsid w:val="00DC1C98"/>
    <w:rsid w:val="00DC2106"/>
    <w:rsid w:val="00DC4798"/>
    <w:rsid w:val="00DC53A7"/>
    <w:rsid w:val="00DC6ABB"/>
    <w:rsid w:val="00DD0E6F"/>
    <w:rsid w:val="00DD1ADC"/>
    <w:rsid w:val="00DD3434"/>
    <w:rsid w:val="00DD4D4D"/>
    <w:rsid w:val="00DD66A1"/>
    <w:rsid w:val="00DD6D7C"/>
    <w:rsid w:val="00DE31F7"/>
    <w:rsid w:val="00DE6EEF"/>
    <w:rsid w:val="00DF2D5D"/>
    <w:rsid w:val="00DF4767"/>
    <w:rsid w:val="00DF5B0D"/>
    <w:rsid w:val="00DF5F4E"/>
    <w:rsid w:val="00DF6492"/>
    <w:rsid w:val="00DF685B"/>
    <w:rsid w:val="00E01975"/>
    <w:rsid w:val="00E01A20"/>
    <w:rsid w:val="00E02A43"/>
    <w:rsid w:val="00E02FB4"/>
    <w:rsid w:val="00E123BA"/>
    <w:rsid w:val="00E12FE9"/>
    <w:rsid w:val="00E1415C"/>
    <w:rsid w:val="00E14D74"/>
    <w:rsid w:val="00E174F6"/>
    <w:rsid w:val="00E17BFD"/>
    <w:rsid w:val="00E2016B"/>
    <w:rsid w:val="00E24F51"/>
    <w:rsid w:val="00E262E7"/>
    <w:rsid w:val="00E27E2B"/>
    <w:rsid w:val="00E3303F"/>
    <w:rsid w:val="00E342A9"/>
    <w:rsid w:val="00E34B9B"/>
    <w:rsid w:val="00E34CD2"/>
    <w:rsid w:val="00E3538B"/>
    <w:rsid w:val="00E37E35"/>
    <w:rsid w:val="00E41E12"/>
    <w:rsid w:val="00E42304"/>
    <w:rsid w:val="00E46692"/>
    <w:rsid w:val="00E47C67"/>
    <w:rsid w:val="00E52159"/>
    <w:rsid w:val="00E56F06"/>
    <w:rsid w:val="00E57476"/>
    <w:rsid w:val="00E57589"/>
    <w:rsid w:val="00E60B6E"/>
    <w:rsid w:val="00E60F5E"/>
    <w:rsid w:val="00E61380"/>
    <w:rsid w:val="00E66D7F"/>
    <w:rsid w:val="00E6726F"/>
    <w:rsid w:val="00E706B6"/>
    <w:rsid w:val="00E72C79"/>
    <w:rsid w:val="00E77CD0"/>
    <w:rsid w:val="00E81787"/>
    <w:rsid w:val="00E82781"/>
    <w:rsid w:val="00E851FE"/>
    <w:rsid w:val="00E86524"/>
    <w:rsid w:val="00E924EF"/>
    <w:rsid w:val="00E92610"/>
    <w:rsid w:val="00E935AC"/>
    <w:rsid w:val="00EA2807"/>
    <w:rsid w:val="00EA52D5"/>
    <w:rsid w:val="00EA56F8"/>
    <w:rsid w:val="00EA68BD"/>
    <w:rsid w:val="00EB0024"/>
    <w:rsid w:val="00EB08B0"/>
    <w:rsid w:val="00EB17FA"/>
    <w:rsid w:val="00EB22B8"/>
    <w:rsid w:val="00EB2A23"/>
    <w:rsid w:val="00EB2F7E"/>
    <w:rsid w:val="00EC144B"/>
    <w:rsid w:val="00EC154C"/>
    <w:rsid w:val="00EC1AAF"/>
    <w:rsid w:val="00EC1C27"/>
    <w:rsid w:val="00EC1DBD"/>
    <w:rsid w:val="00EC20FE"/>
    <w:rsid w:val="00EC23D3"/>
    <w:rsid w:val="00EC2F93"/>
    <w:rsid w:val="00EC7BE0"/>
    <w:rsid w:val="00ED1C70"/>
    <w:rsid w:val="00ED209E"/>
    <w:rsid w:val="00ED52DB"/>
    <w:rsid w:val="00ED5CF4"/>
    <w:rsid w:val="00ED76A9"/>
    <w:rsid w:val="00ED7A91"/>
    <w:rsid w:val="00EE1B68"/>
    <w:rsid w:val="00EE1DEA"/>
    <w:rsid w:val="00EE30CD"/>
    <w:rsid w:val="00EF1DD7"/>
    <w:rsid w:val="00EF27D2"/>
    <w:rsid w:val="00EF349C"/>
    <w:rsid w:val="00EF4181"/>
    <w:rsid w:val="00EF4B92"/>
    <w:rsid w:val="00EF709D"/>
    <w:rsid w:val="00F00B77"/>
    <w:rsid w:val="00F00FC3"/>
    <w:rsid w:val="00F06CF6"/>
    <w:rsid w:val="00F11530"/>
    <w:rsid w:val="00F1311C"/>
    <w:rsid w:val="00F1391A"/>
    <w:rsid w:val="00F1601B"/>
    <w:rsid w:val="00F170EF"/>
    <w:rsid w:val="00F17897"/>
    <w:rsid w:val="00F20487"/>
    <w:rsid w:val="00F22997"/>
    <w:rsid w:val="00F255B0"/>
    <w:rsid w:val="00F31521"/>
    <w:rsid w:val="00F32730"/>
    <w:rsid w:val="00F32E30"/>
    <w:rsid w:val="00F34062"/>
    <w:rsid w:val="00F3418E"/>
    <w:rsid w:val="00F35DD1"/>
    <w:rsid w:val="00F364DA"/>
    <w:rsid w:val="00F37A36"/>
    <w:rsid w:val="00F42366"/>
    <w:rsid w:val="00F45E42"/>
    <w:rsid w:val="00F46FCA"/>
    <w:rsid w:val="00F501CB"/>
    <w:rsid w:val="00F51C9E"/>
    <w:rsid w:val="00F543C6"/>
    <w:rsid w:val="00F54B41"/>
    <w:rsid w:val="00F56DD8"/>
    <w:rsid w:val="00F57BCD"/>
    <w:rsid w:val="00F62A1D"/>
    <w:rsid w:val="00F63900"/>
    <w:rsid w:val="00F64B29"/>
    <w:rsid w:val="00F6613D"/>
    <w:rsid w:val="00F666C2"/>
    <w:rsid w:val="00F6696C"/>
    <w:rsid w:val="00F72F00"/>
    <w:rsid w:val="00F7564F"/>
    <w:rsid w:val="00F77FF5"/>
    <w:rsid w:val="00F81362"/>
    <w:rsid w:val="00F858D2"/>
    <w:rsid w:val="00F871FA"/>
    <w:rsid w:val="00F91E51"/>
    <w:rsid w:val="00F93A7B"/>
    <w:rsid w:val="00F9530D"/>
    <w:rsid w:val="00FA0391"/>
    <w:rsid w:val="00FA04CA"/>
    <w:rsid w:val="00FA3012"/>
    <w:rsid w:val="00FA4014"/>
    <w:rsid w:val="00FA42EE"/>
    <w:rsid w:val="00FA4C7D"/>
    <w:rsid w:val="00FA77EB"/>
    <w:rsid w:val="00FB2B53"/>
    <w:rsid w:val="00FB306E"/>
    <w:rsid w:val="00FB3F7D"/>
    <w:rsid w:val="00FB40FB"/>
    <w:rsid w:val="00FB58CE"/>
    <w:rsid w:val="00FB60C1"/>
    <w:rsid w:val="00FC1CCF"/>
    <w:rsid w:val="00FC3A2B"/>
    <w:rsid w:val="00FC7892"/>
    <w:rsid w:val="00FD1561"/>
    <w:rsid w:val="00FD1CBF"/>
    <w:rsid w:val="00FD4BF5"/>
    <w:rsid w:val="00FD4D49"/>
    <w:rsid w:val="00FD536F"/>
    <w:rsid w:val="00FD5BB4"/>
    <w:rsid w:val="00FE0B78"/>
    <w:rsid w:val="00FE2B1C"/>
    <w:rsid w:val="00FE37AA"/>
    <w:rsid w:val="00FF0748"/>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nhideWhenUsed="0"/>
    <w:lsdException w:name="Light List" w:locked="0" w:semiHidden="0"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nhideWhenUsed="0"/>
    <w:lsdException w:name="Light List Accent 1" w:locked="0" w:semiHidden="0"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cs="Times New Roman"/>
      <w:b/>
      <w:sz w:val="28"/>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cs="Times New Roman"/>
      <w:sz w:val="48"/>
    </w:rPr>
  </w:style>
  <w:style w:type="paragraph" w:styleId="Heading9">
    <w:name w:val="heading 9"/>
    <w:basedOn w:val="Normal"/>
    <w:next w:val="Normal"/>
    <w:link w:val="Heading9Char"/>
    <w:uiPriority w:val="99"/>
    <w:qFormat/>
    <w:rsid w:val="00ED7A91"/>
    <w:pPr>
      <w:keepNext/>
      <w:numPr>
        <w:ilvl w:val="8"/>
        <w:numId w:val="1"/>
      </w:numPr>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b/>
      <w:color w:val="215868"/>
      <w:sz w:val="32"/>
      <w:lang w:eastAsia="zh-CN"/>
    </w:rPr>
  </w:style>
  <w:style w:type="character" w:customStyle="1" w:styleId="Heading2Char">
    <w:name w:val="Heading 2 Char"/>
    <w:link w:val="Heading2"/>
    <w:uiPriority w:val="99"/>
    <w:locked/>
    <w:rsid w:val="00D5182D"/>
    <w:rPr>
      <w:rFonts w:ascii="Tahoma" w:eastAsia="SimSun" w:hAnsi="Tahoma"/>
      <w:b/>
      <w:color w:val="215868"/>
      <w:sz w:val="28"/>
      <w:lang w:val="en-GB" w:eastAsia="ja-JP"/>
    </w:rPr>
  </w:style>
  <w:style w:type="character" w:customStyle="1" w:styleId="Heading3Char">
    <w:name w:val="Heading 3 Char"/>
    <w:link w:val="Heading3"/>
    <w:uiPriority w:val="99"/>
    <w:locked/>
    <w:rsid w:val="003B232A"/>
    <w:rPr>
      <w:rFonts w:ascii="Tahoma" w:eastAsia="SimSun" w:hAnsi="Tahoma"/>
      <w:color w:val="41A7BF"/>
      <w:sz w:val="20"/>
      <w:lang w:eastAsia="zh-CN"/>
    </w:rPr>
  </w:style>
  <w:style w:type="character" w:customStyle="1" w:styleId="Heading4Char">
    <w:name w:val="Heading 4 Char"/>
    <w:link w:val="Heading4"/>
    <w:uiPriority w:val="99"/>
    <w:locked/>
    <w:rsid w:val="00ED7A91"/>
    <w:rPr>
      <w:rFonts w:ascii="Tahoma" w:eastAsia="SimSun" w:hAnsi="Tahoma"/>
      <w:u w:val="single"/>
      <w:lang w:eastAsia="zh-CN"/>
    </w:rPr>
  </w:style>
  <w:style w:type="character" w:customStyle="1" w:styleId="Heading5Char">
    <w:name w:val="Heading 5 Char"/>
    <w:link w:val="Heading5"/>
    <w:uiPriority w:val="99"/>
    <w:locked/>
    <w:rsid w:val="00ED7A91"/>
    <w:rPr>
      <w:rFonts w:ascii="Tahoma" w:eastAsia="SimSun" w:hAnsi="Tahoma"/>
      <w:b/>
      <w:i/>
      <w:lang w:eastAsia="zh-CN"/>
    </w:rPr>
  </w:style>
  <w:style w:type="character" w:customStyle="1" w:styleId="Heading6Char">
    <w:name w:val="Heading 6 Char"/>
    <w:link w:val="Heading6"/>
    <w:uiPriority w:val="99"/>
    <w:locked/>
    <w:rsid w:val="00ED7A91"/>
    <w:rPr>
      <w:rFonts w:ascii="Tahoma" w:eastAsia="SimSun" w:hAnsi="Tahoma"/>
      <w:b/>
      <w:sz w:val="28"/>
      <w:lang w:eastAsia="zh-CN"/>
    </w:rPr>
  </w:style>
  <w:style w:type="character" w:customStyle="1" w:styleId="Heading7Char">
    <w:name w:val="Heading 7 Char"/>
    <w:link w:val="Heading7"/>
    <w:uiPriority w:val="99"/>
    <w:locked/>
    <w:rsid w:val="00ED7A91"/>
    <w:rPr>
      <w:rFonts w:ascii="Times New Roman" w:eastAsia="SimSun" w:hAnsi="Times New Roman"/>
      <w:i/>
      <w:sz w:val="20"/>
      <w:lang w:eastAsia="zh-CN"/>
    </w:rPr>
  </w:style>
  <w:style w:type="character" w:customStyle="1" w:styleId="Heading8Char">
    <w:name w:val="Heading 8 Char"/>
    <w:link w:val="Heading8"/>
    <w:uiPriority w:val="99"/>
    <w:locked/>
    <w:rsid w:val="00ED7A91"/>
    <w:rPr>
      <w:rFonts w:ascii="Tahoma" w:eastAsia="SimSun" w:hAnsi="Tahoma"/>
      <w:sz w:val="48"/>
      <w:lang w:eastAsia="zh-CN"/>
    </w:rPr>
  </w:style>
  <w:style w:type="character" w:customStyle="1" w:styleId="Heading9Char">
    <w:name w:val="Heading 9 Char"/>
    <w:link w:val="Heading9"/>
    <w:uiPriority w:val="99"/>
    <w:locked/>
    <w:rsid w:val="00ED7A91"/>
    <w:rPr>
      <w:rFonts w:ascii="Tahoma" w:eastAsia="SimSun" w:hAnsi="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link w:val="BalloonText"/>
    <w:uiPriority w:val="99"/>
    <w:locked/>
    <w:rsid w:val="00ED7A91"/>
    <w:rPr>
      <w:rFonts w:ascii="Tahoma" w:eastAsia="SimSun" w:hAnsi="Tahoma"/>
      <w:sz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rPr>
  </w:style>
  <w:style w:type="paragraph" w:styleId="CommentText">
    <w:name w:val="annotation text"/>
    <w:basedOn w:val="Normal"/>
    <w:link w:val="CommentTextChar"/>
    <w:uiPriority w:val="99"/>
    <w:semiHidden/>
    <w:rsid w:val="00ED7A91"/>
    <w:rPr>
      <w:rFonts w:ascii="Times New Roman" w:hAnsi="Times New Roman" w:cs="Times New Roman"/>
    </w:rPr>
  </w:style>
  <w:style w:type="character" w:customStyle="1" w:styleId="CommentTextChar">
    <w:name w:val="Comment Text Char"/>
    <w:link w:val="CommentText"/>
    <w:uiPriority w:val="99"/>
    <w:semiHidden/>
    <w:locked/>
    <w:rsid w:val="00ED7A91"/>
    <w:rPr>
      <w:rFonts w:ascii="Times New Roman" w:eastAsia="SimSun" w:hAnsi="Times New Roman"/>
      <w:sz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b/>
      <w:sz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link w:val="Footer"/>
    <w:uiPriority w:val="99"/>
    <w:locked/>
    <w:rsid w:val="00ED7A91"/>
    <w:rPr>
      <w:rFonts w:ascii="Times New Roman" w:eastAsia="SimSun" w:hAnsi="Times New Roman"/>
      <w:sz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eastAsia="en-AU"/>
    </w:rPr>
  </w:style>
  <w:style w:type="character" w:customStyle="1" w:styleId="FootnoteTextChar">
    <w:name w:val="Footnote Text Char"/>
    <w:link w:val="FootnoteText"/>
    <w:uiPriority w:val="99"/>
    <w:semiHidden/>
    <w:locked/>
    <w:rsid w:val="00ED7A91"/>
    <w:rPr>
      <w:sz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link w:val="Header"/>
    <w:uiPriority w:val="99"/>
    <w:locked/>
    <w:rsid w:val="00ED7A91"/>
    <w:rPr>
      <w:rFonts w:ascii="Times New Roman" w:eastAsia="SimSun" w:hAnsi="Times New Roman"/>
      <w:sz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sz w:val="18"/>
      <w:lang w:val="en-AU" w:eastAsia="en-US"/>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link w:val="Title"/>
    <w:uiPriority w:val="99"/>
    <w:locked/>
    <w:rsid w:val="00ED7A91"/>
    <w:rPr>
      <w:rFonts w:ascii="Arial" w:eastAsia="SimSun" w:hAnsi="Arial"/>
      <w:b/>
      <w:kern w:val="28"/>
      <w:sz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lang w:val="en-US" w:eastAsia="en-US"/>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EndnoteText">
    <w:name w:val="endnote text"/>
    <w:basedOn w:val="Normal"/>
    <w:link w:val="EndnoteTextChar"/>
    <w:uiPriority w:val="99"/>
    <w:rsid w:val="00DF2D5D"/>
    <w:rPr>
      <w:rFonts w:cs="Times New Roman"/>
    </w:rPr>
  </w:style>
  <w:style w:type="character" w:customStyle="1" w:styleId="EndnoteTextChar">
    <w:name w:val="Endnote Text Char"/>
    <w:link w:val="EndnoteText"/>
    <w:uiPriority w:val="99"/>
    <w:locked/>
    <w:rsid w:val="00DF2D5D"/>
    <w:rPr>
      <w:rFonts w:ascii="Tahoma" w:eastAsia="SimSun" w:hAnsi="Tahoma"/>
      <w:lang w:eastAsia="zh-CN"/>
    </w:rPr>
  </w:style>
  <w:style w:type="character" w:styleId="EndnoteReference">
    <w:name w:val="endnote reference"/>
    <w:uiPriority w:val="99"/>
    <w:semiHidden/>
    <w:rsid w:val="00DF2D5D"/>
    <w:rPr>
      <w:rFonts w:cs="Times New Roman"/>
      <w:vertAlign w:val="superscript"/>
    </w:rPr>
  </w:style>
  <w:style w:type="paragraph" w:styleId="NormalWeb">
    <w:name w:val="Normal (Web)"/>
    <w:basedOn w:val="Normal"/>
    <w:uiPriority w:val="99"/>
    <w:rsid w:val="00BD2B8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editsection">
    <w:name w:val="editsection"/>
    <w:uiPriority w:val="99"/>
    <w:rsid w:val="004B43EF"/>
  </w:style>
  <w:style w:type="character" w:customStyle="1" w:styleId="mw-headline">
    <w:name w:val="mw-headline"/>
    <w:uiPriority w:val="99"/>
    <w:rsid w:val="004B43EF"/>
  </w:style>
  <w:style w:type="character" w:styleId="Strong">
    <w:name w:val="Strong"/>
    <w:uiPriority w:val="99"/>
    <w:qFormat/>
    <w:locked/>
    <w:rsid w:val="00B12E9E"/>
    <w:rPr>
      <w:rFonts w:cs="Times New Roman"/>
      <w:b/>
      <w:color w:val="333333"/>
    </w:rPr>
  </w:style>
  <w:style w:type="paragraph" w:customStyle="1" w:styleId="TableText0">
    <w:name w:val="Table Text"/>
    <w:basedOn w:val="Normal"/>
    <w:link w:val="TableTextChar"/>
    <w:uiPriority w:val="99"/>
    <w:rsid w:val="000A2FE0"/>
    <w:pPr>
      <w:keepNext/>
      <w:spacing w:before="40" w:after="40" w:line="240" w:lineRule="auto"/>
      <w:jc w:val="left"/>
    </w:pPr>
    <w:rPr>
      <w:rFonts w:ascii="Arial Narrow" w:eastAsia="Times New Roman" w:hAnsi="Arial Narrow" w:cs="Times New Roman"/>
      <w:sz w:val="18"/>
      <w:lang w:eastAsia="en-US"/>
    </w:rPr>
  </w:style>
  <w:style w:type="character" w:customStyle="1" w:styleId="TableTextChar">
    <w:name w:val="Table Text Char"/>
    <w:link w:val="TableText0"/>
    <w:uiPriority w:val="99"/>
    <w:locked/>
    <w:rsid w:val="000A2FE0"/>
    <w:rPr>
      <w:rFonts w:ascii="Arial Narrow" w:hAnsi="Arial Narrow"/>
      <w:sz w:val="18"/>
      <w:lang w:eastAsia="en-US"/>
    </w:rPr>
  </w:style>
  <w:style w:type="paragraph" w:styleId="Revision">
    <w:name w:val="Revision"/>
    <w:hidden/>
    <w:uiPriority w:val="99"/>
    <w:semiHidden/>
    <w:rsid w:val="00B15BDF"/>
    <w:rPr>
      <w:rFonts w:ascii="Tahoma" w:eastAsia="SimSun" w:hAnsi="Tahoma" w:cs="Tahoma"/>
      <w:lang w:eastAsia="zh-CN"/>
    </w:rPr>
  </w:style>
  <w:style w:type="table" w:styleId="LightShading">
    <w:name w:val="Light Shading"/>
    <w:basedOn w:val="TableNormal"/>
    <w:uiPriority w:val="99"/>
    <w:rsid w:val="00611B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611BC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611BC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611BC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99"/>
    <w:rsid w:val="00611BC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1">
    <w:name w:val="Medium Grid 3 Accent 1"/>
    <w:basedOn w:val="TableNormal"/>
    <w:uiPriority w:val="99"/>
    <w:rsid w:val="00611BC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List-Accent5">
    <w:name w:val="Light List Accent 5"/>
    <w:basedOn w:val="TableNormal"/>
    <w:uiPriority w:val="99"/>
    <w:rsid w:val="00611BC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99"/>
    <w:rsid w:val="00611BC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List">
    <w:name w:val="Light List"/>
    <w:basedOn w:val="TableNormal"/>
    <w:uiPriority w:val="99"/>
    <w:rsid w:val="00611BC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611BC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nhideWhenUsed="0"/>
    <w:lsdException w:name="Light List" w:locked="0" w:semiHidden="0"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nhideWhenUsed="0"/>
    <w:lsdException w:name="Light List Accent 1" w:locked="0" w:semiHidden="0"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nhideWhenUsed="0"/>
    <w:lsdException w:name="Light List Accent 5" w:locked="0" w:semiHidden="0"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rFonts w:cs="Times New Roman"/>
      <w:b/>
      <w:bCs/>
      <w:color w:val="215868"/>
      <w:sz w:val="32"/>
      <w:szCs w:val="32"/>
    </w:rPr>
  </w:style>
  <w:style w:type="paragraph" w:styleId="Heading2">
    <w:name w:val="heading 2"/>
    <w:basedOn w:val="Normal"/>
    <w:next w:val="Normal"/>
    <w:link w:val="Heading2Char"/>
    <w:uiPriority w:val="99"/>
    <w:qFormat/>
    <w:rsid w:val="00D5182D"/>
    <w:pPr>
      <w:keepNext/>
      <w:spacing w:before="240" w:after="160"/>
      <w:outlineLvl w:val="1"/>
    </w:pPr>
    <w:rPr>
      <w:rFonts w:cs="Times New Roman"/>
      <w:b/>
      <w:color w:val="215868"/>
      <w:sz w:val="2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rFonts w:cs="Times New Roman"/>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rFonts w:cs="Times New Roman"/>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rFonts w:cs="Times New Roman"/>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rFonts w:cs="Times New Roman"/>
      <w:b/>
      <w:sz w:val="28"/>
    </w:rPr>
  </w:style>
  <w:style w:type="paragraph" w:styleId="Heading7">
    <w:name w:val="heading 7"/>
    <w:basedOn w:val="Normal"/>
    <w:next w:val="Normal"/>
    <w:link w:val="Heading7Char"/>
    <w:uiPriority w:val="99"/>
    <w:qFormat/>
    <w:rsid w:val="00ED7A91"/>
    <w:pPr>
      <w:keepNext/>
      <w:outlineLvl w:val="6"/>
    </w:pPr>
    <w:rPr>
      <w:rFonts w:ascii="Times New Roman" w:hAnsi="Times New Roman" w:cs="Times New Roman"/>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rFonts w:cs="Times New Roman"/>
      <w:sz w:val="48"/>
    </w:rPr>
  </w:style>
  <w:style w:type="paragraph" w:styleId="Heading9">
    <w:name w:val="heading 9"/>
    <w:basedOn w:val="Normal"/>
    <w:next w:val="Normal"/>
    <w:link w:val="Heading9Char"/>
    <w:uiPriority w:val="99"/>
    <w:qFormat/>
    <w:rsid w:val="00ED7A91"/>
    <w:pPr>
      <w:keepNext/>
      <w:numPr>
        <w:ilvl w:val="8"/>
        <w:numId w:val="1"/>
      </w:numPr>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b/>
      <w:color w:val="215868"/>
      <w:sz w:val="32"/>
      <w:lang w:eastAsia="zh-CN"/>
    </w:rPr>
  </w:style>
  <w:style w:type="character" w:customStyle="1" w:styleId="Heading2Char">
    <w:name w:val="Heading 2 Char"/>
    <w:link w:val="Heading2"/>
    <w:uiPriority w:val="99"/>
    <w:locked/>
    <w:rsid w:val="00D5182D"/>
    <w:rPr>
      <w:rFonts w:ascii="Tahoma" w:eastAsia="SimSun" w:hAnsi="Tahoma"/>
      <w:b/>
      <w:color w:val="215868"/>
      <w:sz w:val="28"/>
      <w:lang w:val="en-GB" w:eastAsia="ja-JP"/>
    </w:rPr>
  </w:style>
  <w:style w:type="character" w:customStyle="1" w:styleId="Heading3Char">
    <w:name w:val="Heading 3 Char"/>
    <w:link w:val="Heading3"/>
    <w:uiPriority w:val="99"/>
    <w:locked/>
    <w:rsid w:val="003B232A"/>
    <w:rPr>
      <w:rFonts w:ascii="Tahoma" w:eastAsia="SimSun" w:hAnsi="Tahoma"/>
      <w:color w:val="41A7BF"/>
      <w:sz w:val="20"/>
      <w:lang w:eastAsia="zh-CN"/>
    </w:rPr>
  </w:style>
  <w:style w:type="character" w:customStyle="1" w:styleId="Heading4Char">
    <w:name w:val="Heading 4 Char"/>
    <w:link w:val="Heading4"/>
    <w:uiPriority w:val="99"/>
    <w:locked/>
    <w:rsid w:val="00ED7A91"/>
    <w:rPr>
      <w:rFonts w:ascii="Tahoma" w:eastAsia="SimSun" w:hAnsi="Tahoma"/>
      <w:u w:val="single"/>
      <w:lang w:eastAsia="zh-CN"/>
    </w:rPr>
  </w:style>
  <w:style w:type="character" w:customStyle="1" w:styleId="Heading5Char">
    <w:name w:val="Heading 5 Char"/>
    <w:link w:val="Heading5"/>
    <w:uiPriority w:val="99"/>
    <w:locked/>
    <w:rsid w:val="00ED7A91"/>
    <w:rPr>
      <w:rFonts w:ascii="Tahoma" w:eastAsia="SimSun" w:hAnsi="Tahoma"/>
      <w:b/>
      <w:i/>
      <w:lang w:eastAsia="zh-CN"/>
    </w:rPr>
  </w:style>
  <w:style w:type="character" w:customStyle="1" w:styleId="Heading6Char">
    <w:name w:val="Heading 6 Char"/>
    <w:link w:val="Heading6"/>
    <w:uiPriority w:val="99"/>
    <w:locked/>
    <w:rsid w:val="00ED7A91"/>
    <w:rPr>
      <w:rFonts w:ascii="Tahoma" w:eastAsia="SimSun" w:hAnsi="Tahoma"/>
      <w:b/>
      <w:sz w:val="28"/>
      <w:lang w:eastAsia="zh-CN"/>
    </w:rPr>
  </w:style>
  <w:style w:type="character" w:customStyle="1" w:styleId="Heading7Char">
    <w:name w:val="Heading 7 Char"/>
    <w:link w:val="Heading7"/>
    <w:uiPriority w:val="99"/>
    <w:locked/>
    <w:rsid w:val="00ED7A91"/>
    <w:rPr>
      <w:rFonts w:ascii="Times New Roman" w:eastAsia="SimSun" w:hAnsi="Times New Roman"/>
      <w:i/>
      <w:sz w:val="20"/>
      <w:lang w:eastAsia="zh-CN"/>
    </w:rPr>
  </w:style>
  <w:style w:type="character" w:customStyle="1" w:styleId="Heading8Char">
    <w:name w:val="Heading 8 Char"/>
    <w:link w:val="Heading8"/>
    <w:uiPriority w:val="99"/>
    <w:locked/>
    <w:rsid w:val="00ED7A91"/>
    <w:rPr>
      <w:rFonts w:ascii="Tahoma" w:eastAsia="SimSun" w:hAnsi="Tahoma"/>
      <w:sz w:val="48"/>
      <w:lang w:eastAsia="zh-CN"/>
    </w:rPr>
  </w:style>
  <w:style w:type="character" w:customStyle="1" w:styleId="Heading9Char">
    <w:name w:val="Heading 9 Char"/>
    <w:link w:val="Heading9"/>
    <w:uiPriority w:val="99"/>
    <w:locked/>
    <w:rsid w:val="00ED7A91"/>
    <w:rPr>
      <w:rFonts w:ascii="Tahoma" w:eastAsia="SimSun" w:hAnsi="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rFonts w:cs="Times New Roman"/>
      <w:sz w:val="16"/>
      <w:szCs w:val="16"/>
    </w:rPr>
  </w:style>
  <w:style w:type="character" w:customStyle="1" w:styleId="BalloonTextChar">
    <w:name w:val="Balloon Text Char"/>
    <w:link w:val="BalloonText"/>
    <w:uiPriority w:val="99"/>
    <w:locked/>
    <w:rsid w:val="00ED7A91"/>
    <w:rPr>
      <w:rFonts w:ascii="Tahoma" w:eastAsia="SimSun" w:hAnsi="Tahoma"/>
      <w:sz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i/>
      <w:sz w:val="24"/>
      <w:lang w:val="en-GB"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rPr>
  </w:style>
  <w:style w:type="paragraph" w:styleId="CommentText">
    <w:name w:val="annotation text"/>
    <w:basedOn w:val="Normal"/>
    <w:link w:val="CommentTextChar"/>
    <w:uiPriority w:val="99"/>
    <w:semiHidden/>
    <w:rsid w:val="00ED7A91"/>
    <w:rPr>
      <w:rFonts w:ascii="Times New Roman" w:hAnsi="Times New Roman" w:cs="Times New Roman"/>
    </w:rPr>
  </w:style>
  <w:style w:type="character" w:customStyle="1" w:styleId="CommentTextChar">
    <w:name w:val="Comment Text Char"/>
    <w:link w:val="CommentText"/>
    <w:uiPriority w:val="99"/>
    <w:semiHidden/>
    <w:locked/>
    <w:rsid w:val="00ED7A91"/>
    <w:rPr>
      <w:rFonts w:ascii="Times New Roman" w:eastAsia="SimSun" w:hAnsi="Times New Roman"/>
      <w:sz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b/>
      <w:sz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rPr>
      <w:rFonts w:ascii="Times New Roman" w:hAnsi="Times New Roman" w:cs="Times New Roman"/>
    </w:rPr>
  </w:style>
  <w:style w:type="character" w:customStyle="1" w:styleId="FooterChar">
    <w:name w:val="Footer Char"/>
    <w:link w:val="Footer"/>
    <w:uiPriority w:val="99"/>
    <w:locked/>
    <w:rsid w:val="00ED7A91"/>
    <w:rPr>
      <w:rFonts w:ascii="Times New Roman" w:eastAsia="SimSun" w:hAnsi="Times New Roman"/>
      <w:sz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cs="Times New Roman"/>
      <w:lang w:eastAsia="en-AU"/>
    </w:rPr>
  </w:style>
  <w:style w:type="character" w:customStyle="1" w:styleId="FootnoteTextChar">
    <w:name w:val="Footnote Text Char"/>
    <w:link w:val="FootnoteText"/>
    <w:uiPriority w:val="99"/>
    <w:semiHidden/>
    <w:locked/>
    <w:rsid w:val="00ED7A91"/>
    <w:rPr>
      <w:sz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rFonts w:ascii="Times New Roman" w:hAnsi="Times New Roman" w:cs="Times New Roman"/>
      <w:u w:val="single"/>
    </w:rPr>
  </w:style>
  <w:style w:type="character" w:customStyle="1" w:styleId="HeaderChar">
    <w:name w:val="Header Char"/>
    <w:link w:val="Header"/>
    <w:uiPriority w:val="99"/>
    <w:locked/>
    <w:rsid w:val="00ED7A91"/>
    <w:rPr>
      <w:rFonts w:ascii="Times New Roman" w:eastAsia="SimSun" w:hAnsi="Times New Roman"/>
      <w:sz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sz w:val="18"/>
      <w:lang w:val="en-AU" w:eastAsia="en-US"/>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Times New Roman"/>
      <w:b/>
      <w:bCs/>
      <w:kern w:val="28"/>
      <w:sz w:val="32"/>
      <w:szCs w:val="32"/>
    </w:rPr>
  </w:style>
  <w:style w:type="character" w:customStyle="1" w:styleId="TitleChar">
    <w:name w:val="Title Char"/>
    <w:link w:val="Title"/>
    <w:uiPriority w:val="99"/>
    <w:locked/>
    <w:rsid w:val="00ED7A91"/>
    <w:rPr>
      <w:rFonts w:ascii="Arial" w:eastAsia="SimSun" w:hAnsi="Arial"/>
      <w:b/>
      <w:kern w:val="28"/>
      <w:sz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lang w:val="en-US" w:eastAsia="en-US"/>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EndnoteText">
    <w:name w:val="endnote text"/>
    <w:basedOn w:val="Normal"/>
    <w:link w:val="EndnoteTextChar"/>
    <w:uiPriority w:val="99"/>
    <w:rsid w:val="00DF2D5D"/>
    <w:rPr>
      <w:rFonts w:cs="Times New Roman"/>
    </w:rPr>
  </w:style>
  <w:style w:type="character" w:customStyle="1" w:styleId="EndnoteTextChar">
    <w:name w:val="Endnote Text Char"/>
    <w:link w:val="EndnoteText"/>
    <w:uiPriority w:val="99"/>
    <w:locked/>
    <w:rsid w:val="00DF2D5D"/>
    <w:rPr>
      <w:rFonts w:ascii="Tahoma" w:eastAsia="SimSun" w:hAnsi="Tahoma"/>
      <w:lang w:eastAsia="zh-CN"/>
    </w:rPr>
  </w:style>
  <w:style w:type="character" w:styleId="EndnoteReference">
    <w:name w:val="endnote reference"/>
    <w:uiPriority w:val="99"/>
    <w:semiHidden/>
    <w:rsid w:val="00DF2D5D"/>
    <w:rPr>
      <w:rFonts w:cs="Times New Roman"/>
      <w:vertAlign w:val="superscript"/>
    </w:rPr>
  </w:style>
  <w:style w:type="paragraph" w:styleId="NormalWeb">
    <w:name w:val="Normal (Web)"/>
    <w:basedOn w:val="Normal"/>
    <w:uiPriority w:val="99"/>
    <w:rsid w:val="00BD2B8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editsection">
    <w:name w:val="editsection"/>
    <w:uiPriority w:val="99"/>
    <w:rsid w:val="004B43EF"/>
  </w:style>
  <w:style w:type="character" w:customStyle="1" w:styleId="mw-headline">
    <w:name w:val="mw-headline"/>
    <w:uiPriority w:val="99"/>
    <w:rsid w:val="004B43EF"/>
  </w:style>
  <w:style w:type="character" w:styleId="Strong">
    <w:name w:val="Strong"/>
    <w:uiPriority w:val="99"/>
    <w:qFormat/>
    <w:locked/>
    <w:rsid w:val="00B12E9E"/>
    <w:rPr>
      <w:rFonts w:cs="Times New Roman"/>
      <w:b/>
      <w:color w:val="333333"/>
    </w:rPr>
  </w:style>
  <w:style w:type="paragraph" w:customStyle="1" w:styleId="TableText0">
    <w:name w:val="Table Text"/>
    <w:basedOn w:val="Normal"/>
    <w:link w:val="TableTextChar"/>
    <w:uiPriority w:val="99"/>
    <w:rsid w:val="000A2FE0"/>
    <w:pPr>
      <w:keepNext/>
      <w:spacing w:before="40" w:after="40" w:line="240" w:lineRule="auto"/>
      <w:jc w:val="left"/>
    </w:pPr>
    <w:rPr>
      <w:rFonts w:ascii="Arial Narrow" w:eastAsia="Times New Roman" w:hAnsi="Arial Narrow" w:cs="Times New Roman"/>
      <w:sz w:val="18"/>
      <w:lang w:eastAsia="en-US"/>
    </w:rPr>
  </w:style>
  <w:style w:type="character" w:customStyle="1" w:styleId="TableTextChar">
    <w:name w:val="Table Text Char"/>
    <w:link w:val="TableText0"/>
    <w:uiPriority w:val="99"/>
    <w:locked/>
    <w:rsid w:val="000A2FE0"/>
    <w:rPr>
      <w:rFonts w:ascii="Arial Narrow" w:hAnsi="Arial Narrow"/>
      <w:sz w:val="18"/>
      <w:lang w:eastAsia="en-US"/>
    </w:rPr>
  </w:style>
  <w:style w:type="paragraph" w:styleId="Revision">
    <w:name w:val="Revision"/>
    <w:hidden/>
    <w:uiPriority w:val="99"/>
    <w:semiHidden/>
    <w:rsid w:val="00B15BDF"/>
    <w:rPr>
      <w:rFonts w:ascii="Tahoma" w:eastAsia="SimSun" w:hAnsi="Tahoma" w:cs="Tahoma"/>
      <w:lang w:eastAsia="zh-CN"/>
    </w:rPr>
  </w:style>
  <w:style w:type="table" w:styleId="LightShading">
    <w:name w:val="Light Shading"/>
    <w:basedOn w:val="TableNormal"/>
    <w:uiPriority w:val="99"/>
    <w:rsid w:val="00611B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611BC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611BC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611BC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99"/>
    <w:rsid w:val="00611BC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MediumGrid3-Accent1">
    <w:name w:val="Medium Grid 3 Accent 1"/>
    <w:basedOn w:val="TableNormal"/>
    <w:uiPriority w:val="99"/>
    <w:rsid w:val="00611BC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List-Accent5">
    <w:name w:val="Light List Accent 5"/>
    <w:basedOn w:val="TableNormal"/>
    <w:uiPriority w:val="99"/>
    <w:rsid w:val="00611BC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MediumGrid1-Accent1">
    <w:name w:val="Medium Grid 1 Accent 1"/>
    <w:basedOn w:val="TableNormal"/>
    <w:uiPriority w:val="99"/>
    <w:rsid w:val="00611BC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LightList">
    <w:name w:val="Light List"/>
    <w:basedOn w:val="TableNormal"/>
    <w:uiPriority w:val="99"/>
    <w:rsid w:val="00611BC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611BC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2685">
      <w:marLeft w:val="0"/>
      <w:marRight w:val="0"/>
      <w:marTop w:val="0"/>
      <w:marBottom w:val="0"/>
      <w:divBdr>
        <w:top w:val="none" w:sz="0" w:space="0" w:color="auto"/>
        <w:left w:val="none" w:sz="0" w:space="0" w:color="auto"/>
        <w:bottom w:val="none" w:sz="0" w:space="0" w:color="auto"/>
        <w:right w:val="none" w:sz="0" w:space="0" w:color="auto"/>
      </w:divBdr>
      <w:divsChild>
        <w:div w:id="1722172753">
          <w:marLeft w:val="0"/>
          <w:marRight w:val="0"/>
          <w:marTop w:val="0"/>
          <w:marBottom w:val="0"/>
          <w:divBdr>
            <w:top w:val="none" w:sz="0" w:space="0" w:color="auto"/>
            <w:left w:val="none" w:sz="0" w:space="0" w:color="auto"/>
            <w:bottom w:val="none" w:sz="0" w:space="0" w:color="auto"/>
            <w:right w:val="none" w:sz="0" w:space="0" w:color="auto"/>
          </w:divBdr>
          <w:divsChild>
            <w:div w:id="1722172723">
              <w:marLeft w:val="0"/>
              <w:marRight w:val="0"/>
              <w:marTop w:val="0"/>
              <w:marBottom w:val="0"/>
              <w:divBdr>
                <w:top w:val="none" w:sz="0" w:space="0" w:color="auto"/>
                <w:left w:val="none" w:sz="0" w:space="0" w:color="auto"/>
                <w:bottom w:val="none" w:sz="0" w:space="0" w:color="auto"/>
                <w:right w:val="none" w:sz="0" w:space="0" w:color="auto"/>
              </w:divBdr>
              <w:divsChild>
                <w:div w:id="1722172715">
                  <w:marLeft w:val="0"/>
                  <w:marRight w:val="0"/>
                  <w:marTop w:val="0"/>
                  <w:marBottom w:val="0"/>
                  <w:divBdr>
                    <w:top w:val="none" w:sz="0" w:space="0" w:color="auto"/>
                    <w:left w:val="none" w:sz="0" w:space="0" w:color="auto"/>
                    <w:bottom w:val="none" w:sz="0" w:space="0" w:color="auto"/>
                    <w:right w:val="none" w:sz="0" w:space="0" w:color="auto"/>
                  </w:divBdr>
                  <w:divsChild>
                    <w:div w:id="1722172771">
                      <w:marLeft w:val="0"/>
                      <w:marRight w:val="0"/>
                      <w:marTop w:val="0"/>
                      <w:marBottom w:val="0"/>
                      <w:divBdr>
                        <w:top w:val="none" w:sz="0" w:space="0" w:color="auto"/>
                        <w:left w:val="none" w:sz="0" w:space="0" w:color="auto"/>
                        <w:bottom w:val="none" w:sz="0" w:space="0" w:color="auto"/>
                        <w:right w:val="none" w:sz="0" w:space="0" w:color="auto"/>
                      </w:divBdr>
                      <w:divsChild>
                        <w:div w:id="1722172727">
                          <w:marLeft w:val="0"/>
                          <w:marRight w:val="0"/>
                          <w:marTop w:val="0"/>
                          <w:marBottom w:val="0"/>
                          <w:divBdr>
                            <w:top w:val="none" w:sz="0" w:space="0" w:color="auto"/>
                            <w:left w:val="none" w:sz="0" w:space="0" w:color="auto"/>
                            <w:bottom w:val="none" w:sz="0" w:space="0" w:color="auto"/>
                            <w:right w:val="none" w:sz="0" w:space="0" w:color="auto"/>
                          </w:divBdr>
                          <w:divsChild>
                            <w:div w:id="17221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72691">
      <w:marLeft w:val="0"/>
      <w:marRight w:val="0"/>
      <w:marTop w:val="0"/>
      <w:marBottom w:val="0"/>
      <w:divBdr>
        <w:top w:val="none" w:sz="0" w:space="0" w:color="auto"/>
        <w:left w:val="none" w:sz="0" w:space="0" w:color="auto"/>
        <w:bottom w:val="none" w:sz="0" w:space="0" w:color="auto"/>
        <w:right w:val="none" w:sz="0" w:space="0" w:color="auto"/>
      </w:divBdr>
      <w:divsChild>
        <w:div w:id="1722172711">
          <w:marLeft w:val="240"/>
          <w:marRight w:val="240"/>
          <w:marTop w:val="360"/>
          <w:marBottom w:val="0"/>
          <w:divBdr>
            <w:top w:val="none" w:sz="0" w:space="0" w:color="auto"/>
            <w:left w:val="none" w:sz="0" w:space="0" w:color="auto"/>
            <w:bottom w:val="none" w:sz="0" w:space="0" w:color="auto"/>
            <w:right w:val="none" w:sz="0" w:space="0" w:color="auto"/>
          </w:divBdr>
          <w:divsChild>
            <w:div w:id="1722172698">
              <w:marLeft w:val="480"/>
              <w:marRight w:val="480"/>
              <w:marTop w:val="240"/>
              <w:marBottom w:val="0"/>
              <w:divBdr>
                <w:top w:val="none" w:sz="0" w:space="0" w:color="auto"/>
                <w:left w:val="none" w:sz="0" w:space="0" w:color="auto"/>
                <w:bottom w:val="none" w:sz="0" w:space="0" w:color="auto"/>
                <w:right w:val="none" w:sz="0" w:space="0" w:color="auto"/>
              </w:divBdr>
              <w:divsChild>
                <w:div w:id="1722172700">
                  <w:marLeft w:val="720"/>
                  <w:marRight w:val="720"/>
                  <w:marTop w:val="0"/>
                  <w:marBottom w:val="0"/>
                  <w:divBdr>
                    <w:top w:val="none" w:sz="0" w:space="0" w:color="auto"/>
                    <w:left w:val="none" w:sz="0" w:space="0" w:color="auto"/>
                    <w:bottom w:val="none" w:sz="0" w:space="0" w:color="auto"/>
                    <w:right w:val="none" w:sz="0" w:space="0" w:color="auto"/>
                  </w:divBdr>
                  <w:divsChild>
                    <w:div w:id="17221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2693">
      <w:marLeft w:val="0"/>
      <w:marRight w:val="0"/>
      <w:marTop w:val="0"/>
      <w:marBottom w:val="0"/>
      <w:divBdr>
        <w:top w:val="none" w:sz="0" w:space="0" w:color="auto"/>
        <w:left w:val="none" w:sz="0" w:space="0" w:color="auto"/>
        <w:bottom w:val="none" w:sz="0" w:space="0" w:color="auto"/>
        <w:right w:val="none" w:sz="0" w:space="0" w:color="auto"/>
      </w:divBdr>
      <w:divsChild>
        <w:div w:id="1722172706">
          <w:marLeft w:val="0"/>
          <w:marRight w:val="0"/>
          <w:marTop w:val="0"/>
          <w:marBottom w:val="0"/>
          <w:divBdr>
            <w:top w:val="none" w:sz="0" w:space="0" w:color="auto"/>
            <w:left w:val="none" w:sz="0" w:space="0" w:color="auto"/>
            <w:bottom w:val="none" w:sz="0" w:space="0" w:color="auto"/>
            <w:right w:val="none" w:sz="0" w:space="0" w:color="auto"/>
          </w:divBdr>
          <w:divsChild>
            <w:div w:id="17221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697">
      <w:marLeft w:val="0"/>
      <w:marRight w:val="0"/>
      <w:marTop w:val="0"/>
      <w:marBottom w:val="0"/>
      <w:divBdr>
        <w:top w:val="none" w:sz="0" w:space="0" w:color="auto"/>
        <w:left w:val="none" w:sz="0" w:space="0" w:color="auto"/>
        <w:bottom w:val="none" w:sz="0" w:space="0" w:color="auto"/>
        <w:right w:val="none" w:sz="0" w:space="0" w:color="auto"/>
      </w:divBdr>
      <w:divsChild>
        <w:div w:id="1722172695">
          <w:marLeft w:val="240"/>
          <w:marRight w:val="240"/>
          <w:marTop w:val="360"/>
          <w:marBottom w:val="0"/>
          <w:divBdr>
            <w:top w:val="none" w:sz="0" w:space="0" w:color="auto"/>
            <w:left w:val="none" w:sz="0" w:space="0" w:color="auto"/>
            <w:bottom w:val="none" w:sz="0" w:space="0" w:color="auto"/>
            <w:right w:val="none" w:sz="0" w:space="0" w:color="auto"/>
          </w:divBdr>
          <w:divsChild>
            <w:div w:id="1722172692">
              <w:marLeft w:val="480"/>
              <w:marRight w:val="480"/>
              <w:marTop w:val="240"/>
              <w:marBottom w:val="0"/>
              <w:divBdr>
                <w:top w:val="none" w:sz="0" w:space="0" w:color="auto"/>
                <w:left w:val="none" w:sz="0" w:space="0" w:color="auto"/>
                <w:bottom w:val="none" w:sz="0" w:space="0" w:color="auto"/>
                <w:right w:val="none" w:sz="0" w:space="0" w:color="auto"/>
              </w:divBdr>
              <w:divsChild>
                <w:div w:id="1722172705">
                  <w:marLeft w:val="720"/>
                  <w:marRight w:val="720"/>
                  <w:marTop w:val="0"/>
                  <w:marBottom w:val="0"/>
                  <w:divBdr>
                    <w:top w:val="none" w:sz="0" w:space="0" w:color="auto"/>
                    <w:left w:val="none" w:sz="0" w:space="0" w:color="auto"/>
                    <w:bottom w:val="none" w:sz="0" w:space="0" w:color="auto"/>
                    <w:right w:val="none" w:sz="0" w:space="0" w:color="auto"/>
                  </w:divBdr>
                  <w:divsChild>
                    <w:div w:id="17221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2702">
      <w:marLeft w:val="0"/>
      <w:marRight w:val="0"/>
      <w:marTop w:val="0"/>
      <w:marBottom w:val="0"/>
      <w:divBdr>
        <w:top w:val="none" w:sz="0" w:space="0" w:color="auto"/>
        <w:left w:val="none" w:sz="0" w:space="0" w:color="auto"/>
        <w:bottom w:val="none" w:sz="0" w:space="0" w:color="auto"/>
        <w:right w:val="none" w:sz="0" w:space="0" w:color="auto"/>
      </w:divBdr>
      <w:divsChild>
        <w:div w:id="1722172690">
          <w:marLeft w:val="0"/>
          <w:marRight w:val="0"/>
          <w:marTop w:val="0"/>
          <w:marBottom w:val="0"/>
          <w:divBdr>
            <w:top w:val="none" w:sz="0" w:space="0" w:color="auto"/>
            <w:left w:val="none" w:sz="0" w:space="0" w:color="auto"/>
            <w:bottom w:val="none" w:sz="0" w:space="0" w:color="auto"/>
            <w:right w:val="none" w:sz="0" w:space="0" w:color="auto"/>
          </w:divBdr>
          <w:divsChild>
            <w:div w:id="17221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704">
      <w:marLeft w:val="0"/>
      <w:marRight w:val="0"/>
      <w:marTop w:val="0"/>
      <w:marBottom w:val="0"/>
      <w:divBdr>
        <w:top w:val="none" w:sz="0" w:space="0" w:color="auto"/>
        <w:left w:val="none" w:sz="0" w:space="0" w:color="auto"/>
        <w:bottom w:val="none" w:sz="0" w:space="0" w:color="auto"/>
        <w:right w:val="none" w:sz="0" w:space="0" w:color="auto"/>
      </w:divBdr>
      <w:divsChild>
        <w:div w:id="1722172694">
          <w:marLeft w:val="0"/>
          <w:marRight w:val="0"/>
          <w:marTop w:val="0"/>
          <w:marBottom w:val="150"/>
          <w:divBdr>
            <w:top w:val="single" w:sz="6" w:space="15" w:color="FFFFFF"/>
            <w:left w:val="none" w:sz="0" w:space="0" w:color="auto"/>
            <w:bottom w:val="none" w:sz="0" w:space="0" w:color="auto"/>
            <w:right w:val="none" w:sz="0" w:space="0" w:color="auto"/>
          </w:divBdr>
          <w:divsChild>
            <w:div w:id="1722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710">
      <w:marLeft w:val="0"/>
      <w:marRight w:val="0"/>
      <w:marTop w:val="0"/>
      <w:marBottom w:val="0"/>
      <w:divBdr>
        <w:top w:val="none" w:sz="0" w:space="0" w:color="auto"/>
        <w:left w:val="none" w:sz="0" w:space="0" w:color="auto"/>
        <w:bottom w:val="none" w:sz="0" w:space="0" w:color="auto"/>
        <w:right w:val="none" w:sz="0" w:space="0" w:color="auto"/>
      </w:divBdr>
      <w:divsChild>
        <w:div w:id="1722172696">
          <w:marLeft w:val="0"/>
          <w:marRight w:val="0"/>
          <w:marTop w:val="0"/>
          <w:marBottom w:val="150"/>
          <w:divBdr>
            <w:top w:val="single" w:sz="6" w:space="15" w:color="FFFFFF"/>
            <w:left w:val="none" w:sz="0" w:space="0" w:color="auto"/>
            <w:bottom w:val="none" w:sz="0" w:space="0" w:color="auto"/>
            <w:right w:val="none" w:sz="0" w:space="0" w:color="auto"/>
          </w:divBdr>
          <w:divsChild>
            <w:div w:id="17221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2716">
      <w:marLeft w:val="0"/>
      <w:marRight w:val="0"/>
      <w:marTop w:val="0"/>
      <w:marBottom w:val="0"/>
      <w:divBdr>
        <w:top w:val="none" w:sz="0" w:space="0" w:color="auto"/>
        <w:left w:val="none" w:sz="0" w:space="0" w:color="auto"/>
        <w:bottom w:val="none" w:sz="0" w:space="0" w:color="auto"/>
        <w:right w:val="none" w:sz="0" w:space="0" w:color="auto"/>
      </w:divBdr>
      <w:divsChild>
        <w:div w:id="1722172751">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722172746">
              <w:marLeft w:val="0"/>
              <w:marRight w:val="0"/>
              <w:marTop w:val="0"/>
              <w:marBottom w:val="0"/>
              <w:divBdr>
                <w:top w:val="none" w:sz="0" w:space="0" w:color="auto"/>
                <w:left w:val="none" w:sz="0" w:space="0" w:color="auto"/>
                <w:bottom w:val="none" w:sz="0" w:space="0" w:color="auto"/>
                <w:right w:val="none" w:sz="0" w:space="0" w:color="auto"/>
              </w:divBdr>
              <w:divsChild>
                <w:div w:id="1722172744">
                  <w:marLeft w:val="0"/>
                  <w:marRight w:val="90"/>
                  <w:marTop w:val="0"/>
                  <w:marBottom w:val="0"/>
                  <w:divBdr>
                    <w:top w:val="none" w:sz="0" w:space="0" w:color="auto"/>
                    <w:left w:val="none" w:sz="0" w:space="0" w:color="auto"/>
                    <w:bottom w:val="none" w:sz="0" w:space="0" w:color="auto"/>
                    <w:right w:val="none" w:sz="0" w:space="0" w:color="auto"/>
                  </w:divBdr>
                  <w:divsChild>
                    <w:div w:id="172217276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22172725">
      <w:marLeft w:val="0"/>
      <w:marRight w:val="0"/>
      <w:marTop w:val="0"/>
      <w:marBottom w:val="0"/>
      <w:divBdr>
        <w:top w:val="none" w:sz="0" w:space="0" w:color="auto"/>
        <w:left w:val="none" w:sz="0" w:space="0" w:color="auto"/>
        <w:bottom w:val="none" w:sz="0" w:space="0" w:color="auto"/>
        <w:right w:val="none" w:sz="0" w:space="0" w:color="auto"/>
      </w:divBdr>
    </w:div>
    <w:div w:id="1722172734">
      <w:marLeft w:val="0"/>
      <w:marRight w:val="0"/>
      <w:marTop w:val="0"/>
      <w:marBottom w:val="0"/>
      <w:divBdr>
        <w:top w:val="none" w:sz="0" w:space="0" w:color="auto"/>
        <w:left w:val="none" w:sz="0" w:space="0" w:color="auto"/>
        <w:bottom w:val="none" w:sz="0" w:space="0" w:color="auto"/>
        <w:right w:val="none" w:sz="0" w:space="0" w:color="auto"/>
      </w:divBdr>
      <w:divsChild>
        <w:div w:id="1722172731">
          <w:marLeft w:val="0"/>
          <w:marRight w:val="0"/>
          <w:marTop w:val="0"/>
          <w:marBottom w:val="0"/>
          <w:divBdr>
            <w:top w:val="none" w:sz="0" w:space="0" w:color="auto"/>
            <w:left w:val="none" w:sz="0" w:space="0" w:color="auto"/>
            <w:bottom w:val="none" w:sz="0" w:space="0" w:color="auto"/>
            <w:right w:val="none" w:sz="0" w:space="0" w:color="auto"/>
          </w:divBdr>
          <w:divsChild>
            <w:div w:id="1722172752">
              <w:marLeft w:val="0"/>
              <w:marRight w:val="0"/>
              <w:marTop w:val="0"/>
              <w:marBottom w:val="0"/>
              <w:divBdr>
                <w:top w:val="none" w:sz="0" w:space="0" w:color="auto"/>
                <w:left w:val="none" w:sz="0" w:space="0" w:color="auto"/>
                <w:bottom w:val="none" w:sz="0" w:space="0" w:color="auto"/>
                <w:right w:val="none" w:sz="0" w:space="0" w:color="auto"/>
              </w:divBdr>
              <w:divsChild>
                <w:div w:id="1722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2735">
      <w:marLeft w:val="0"/>
      <w:marRight w:val="0"/>
      <w:marTop w:val="0"/>
      <w:marBottom w:val="0"/>
      <w:divBdr>
        <w:top w:val="none" w:sz="0" w:space="0" w:color="auto"/>
        <w:left w:val="none" w:sz="0" w:space="0" w:color="auto"/>
        <w:bottom w:val="none" w:sz="0" w:space="0" w:color="auto"/>
        <w:right w:val="none" w:sz="0" w:space="0" w:color="auto"/>
      </w:divBdr>
    </w:div>
    <w:div w:id="1722172748">
      <w:marLeft w:val="0"/>
      <w:marRight w:val="0"/>
      <w:marTop w:val="0"/>
      <w:marBottom w:val="0"/>
      <w:divBdr>
        <w:top w:val="none" w:sz="0" w:space="0" w:color="auto"/>
        <w:left w:val="none" w:sz="0" w:space="0" w:color="auto"/>
        <w:bottom w:val="none" w:sz="0" w:space="0" w:color="auto"/>
        <w:right w:val="none" w:sz="0" w:space="0" w:color="auto"/>
      </w:divBdr>
    </w:div>
    <w:div w:id="1722172750">
      <w:marLeft w:val="0"/>
      <w:marRight w:val="0"/>
      <w:marTop w:val="0"/>
      <w:marBottom w:val="0"/>
      <w:divBdr>
        <w:top w:val="none" w:sz="0" w:space="0" w:color="auto"/>
        <w:left w:val="none" w:sz="0" w:space="0" w:color="auto"/>
        <w:bottom w:val="none" w:sz="0" w:space="0" w:color="auto"/>
        <w:right w:val="none" w:sz="0" w:space="0" w:color="auto"/>
      </w:divBdr>
      <w:divsChild>
        <w:div w:id="1722172740">
          <w:marLeft w:val="0"/>
          <w:marRight w:val="0"/>
          <w:marTop w:val="0"/>
          <w:marBottom w:val="0"/>
          <w:divBdr>
            <w:top w:val="none" w:sz="0" w:space="0" w:color="auto"/>
            <w:left w:val="none" w:sz="0" w:space="0" w:color="auto"/>
            <w:bottom w:val="none" w:sz="0" w:space="0" w:color="auto"/>
            <w:right w:val="none" w:sz="0" w:space="0" w:color="auto"/>
          </w:divBdr>
          <w:divsChild>
            <w:div w:id="1722172742">
              <w:marLeft w:val="0"/>
              <w:marRight w:val="0"/>
              <w:marTop w:val="0"/>
              <w:marBottom w:val="0"/>
              <w:divBdr>
                <w:top w:val="none" w:sz="0" w:space="0" w:color="auto"/>
                <w:left w:val="none" w:sz="0" w:space="0" w:color="auto"/>
                <w:bottom w:val="none" w:sz="0" w:space="0" w:color="auto"/>
                <w:right w:val="none" w:sz="0" w:space="0" w:color="auto"/>
              </w:divBdr>
              <w:divsChild>
                <w:div w:id="1722172737">
                  <w:marLeft w:val="0"/>
                  <w:marRight w:val="0"/>
                  <w:marTop w:val="0"/>
                  <w:marBottom w:val="0"/>
                  <w:divBdr>
                    <w:top w:val="none" w:sz="0" w:space="0" w:color="auto"/>
                    <w:left w:val="none" w:sz="0" w:space="0" w:color="auto"/>
                    <w:bottom w:val="none" w:sz="0" w:space="0" w:color="auto"/>
                    <w:right w:val="none" w:sz="0" w:space="0" w:color="auto"/>
                  </w:divBdr>
                  <w:divsChild>
                    <w:div w:id="1722172749">
                      <w:marLeft w:val="0"/>
                      <w:marRight w:val="0"/>
                      <w:marTop w:val="0"/>
                      <w:marBottom w:val="0"/>
                      <w:divBdr>
                        <w:top w:val="none" w:sz="0" w:space="0" w:color="auto"/>
                        <w:left w:val="none" w:sz="0" w:space="0" w:color="auto"/>
                        <w:bottom w:val="none" w:sz="0" w:space="0" w:color="auto"/>
                        <w:right w:val="none" w:sz="0" w:space="0" w:color="auto"/>
                      </w:divBdr>
                      <w:divsChild>
                        <w:div w:id="1722172718">
                          <w:marLeft w:val="0"/>
                          <w:marRight w:val="0"/>
                          <w:marTop w:val="0"/>
                          <w:marBottom w:val="0"/>
                          <w:divBdr>
                            <w:top w:val="none" w:sz="0" w:space="0" w:color="auto"/>
                            <w:left w:val="none" w:sz="0" w:space="0" w:color="auto"/>
                            <w:bottom w:val="none" w:sz="0" w:space="0" w:color="auto"/>
                            <w:right w:val="none" w:sz="0" w:space="0" w:color="auto"/>
                          </w:divBdr>
                          <w:divsChild>
                            <w:div w:id="1722172772">
                              <w:marLeft w:val="0"/>
                              <w:marRight w:val="0"/>
                              <w:marTop w:val="0"/>
                              <w:marBottom w:val="0"/>
                              <w:divBdr>
                                <w:top w:val="none" w:sz="0" w:space="0" w:color="auto"/>
                                <w:left w:val="none" w:sz="0" w:space="0" w:color="auto"/>
                                <w:bottom w:val="none" w:sz="0" w:space="0" w:color="auto"/>
                                <w:right w:val="none" w:sz="0" w:space="0" w:color="auto"/>
                              </w:divBdr>
                              <w:divsChild>
                                <w:div w:id="1722172717">
                                  <w:marLeft w:val="0"/>
                                  <w:marRight w:val="0"/>
                                  <w:marTop w:val="0"/>
                                  <w:marBottom w:val="0"/>
                                  <w:divBdr>
                                    <w:top w:val="none" w:sz="0" w:space="0" w:color="auto"/>
                                    <w:left w:val="none" w:sz="0" w:space="0" w:color="auto"/>
                                    <w:bottom w:val="none" w:sz="0" w:space="0" w:color="auto"/>
                                    <w:right w:val="none" w:sz="0" w:space="0" w:color="auto"/>
                                  </w:divBdr>
                                  <w:divsChild>
                                    <w:div w:id="17221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172755">
      <w:marLeft w:val="0"/>
      <w:marRight w:val="0"/>
      <w:marTop w:val="0"/>
      <w:marBottom w:val="0"/>
      <w:divBdr>
        <w:top w:val="none" w:sz="0" w:space="0" w:color="auto"/>
        <w:left w:val="none" w:sz="0" w:space="0" w:color="auto"/>
        <w:bottom w:val="none" w:sz="0" w:space="0" w:color="auto"/>
        <w:right w:val="none" w:sz="0" w:space="0" w:color="auto"/>
      </w:divBdr>
      <w:divsChild>
        <w:div w:id="1722172770">
          <w:marLeft w:val="0"/>
          <w:marRight w:val="0"/>
          <w:marTop w:val="0"/>
          <w:marBottom w:val="0"/>
          <w:divBdr>
            <w:top w:val="none" w:sz="0" w:space="0" w:color="auto"/>
            <w:left w:val="none" w:sz="0" w:space="0" w:color="auto"/>
            <w:bottom w:val="none" w:sz="0" w:space="0" w:color="auto"/>
            <w:right w:val="none" w:sz="0" w:space="0" w:color="auto"/>
          </w:divBdr>
          <w:divsChild>
            <w:div w:id="1722172712">
              <w:marLeft w:val="0"/>
              <w:marRight w:val="0"/>
              <w:marTop w:val="0"/>
              <w:marBottom w:val="0"/>
              <w:divBdr>
                <w:top w:val="none" w:sz="0" w:space="0" w:color="auto"/>
                <w:left w:val="none" w:sz="0" w:space="0" w:color="auto"/>
                <w:bottom w:val="none" w:sz="0" w:space="0" w:color="auto"/>
                <w:right w:val="none" w:sz="0" w:space="0" w:color="auto"/>
              </w:divBdr>
              <w:divsChild>
                <w:div w:id="1722172741">
                  <w:marLeft w:val="0"/>
                  <w:marRight w:val="0"/>
                  <w:marTop w:val="0"/>
                  <w:marBottom w:val="0"/>
                  <w:divBdr>
                    <w:top w:val="none" w:sz="0" w:space="0" w:color="auto"/>
                    <w:left w:val="none" w:sz="0" w:space="0" w:color="auto"/>
                    <w:bottom w:val="none" w:sz="0" w:space="0" w:color="auto"/>
                    <w:right w:val="none" w:sz="0" w:space="0" w:color="auto"/>
                  </w:divBdr>
                  <w:divsChild>
                    <w:div w:id="1722172760">
                      <w:marLeft w:val="0"/>
                      <w:marRight w:val="0"/>
                      <w:marTop w:val="0"/>
                      <w:marBottom w:val="0"/>
                      <w:divBdr>
                        <w:top w:val="none" w:sz="0" w:space="0" w:color="auto"/>
                        <w:left w:val="none" w:sz="0" w:space="0" w:color="auto"/>
                        <w:bottom w:val="none" w:sz="0" w:space="0" w:color="auto"/>
                        <w:right w:val="none" w:sz="0" w:space="0" w:color="auto"/>
                      </w:divBdr>
                      <w:divsChild>
                        <w:div w:id="1722172714">
                          <w:marLeft w:val="0"/>
                          <w:marRight w:val="0"/>
                          <w:marTop w:val="0"/>
                          <w:marBottom w:val="0"/>
                          <w:divBdr>
                            <w:top w:val="none" w:sz="0" w:space="0" w:color="auto"/>
                            <w:left w:val="none" w:sz="0" w:space="0" w:color="auto"/>
                            <w:bottom w:val="none" w:sz="0" w:space="0" w:color="auto"/>
                            <w:right w:val="none" w:sz="0" w:space="0" w:color="auto"/>
                          </w:divBdr>
                          <w:divsChild>
                            <w:div w:id="1722172724">
                              <w:marLeft w:val="0"/>
                              <w:marRight w:val="0"/>
                              <w:marTop w:val="0"/>
                              <w:marBottom w:val="0"/>
                              <w:divBdr>
                                <w:top w:val="none" w:sz="0" w:space="0" w:color="auto"/>
                                <w:left w:val="none" w:sz="0" w:space="0" w:color="auto"/>
                                <w:bottom w:val="none" w:sz="0" w:space="0" w:color="auto"/>
                                <w:right w:val="none" w:sz="0" w:space="0" w:color="auto"/>
                              </w:divBdr>
                              <w:divsChild>
                                <w:div w:id="1722172686">
                                  <w:marLeft w:val="0"/>
                                  <w:marRight w:val="0"/>
                                  <w:marTop w:val="0"/>
                                  <w:marBottom w:val="0"/>
                                  <w:divBdr>
                                    <w:top w:val="none" w:sz="0" w:space="0" w:color="auto"/>
                                    <w:left w:val="none" w:sz="0" w:space="0" w:color="auto"/>
                                    <w:bottom w:val="none" w:sz="0" w:space="0" w:color="auto"/>
                                    <w:right w:val="none" w:sz="0" w:space="0" w:color="auto"/>
                                  </w:divBdr>
                                  <w:divsChild>
                                    <w:div w:id="17221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172757">
      <w:marLeft w:val="0"/>
      <w:marRight w:val="0"/>
      <w:marTop w:val="0"/>
      <w:marBottom w:val="0"/>
      <w:divBdr>
        <w:top w:val="none" w:sz="0" w:space="0" w:color="auto"/>
        <w:left w:val="none" w:sz="0" w:space="0" w:color="auto"/>
        <w:bottom w:val="none" w:sz="0" w:space="0" w:color="auto"/>
        <w:right w:val="none" w:sz="0" w:space="0" w:color="auto"/>
      </w:divBdr>
      <w:divsChild>
        <w:div w:id="1722172687">
          <w:marLeft w:val="0"/>
          <w:marRight w:val="0"/>
          <w:marTop w:val="15"/>
          <w:marBottom w:val="0"/>
          <w:divBdr>
            <w:top w:val="single" w:sz="6" w:space="0" w:color="B6BBBF"/>
            <w:left w:val="none" w:sz="0" w:space="0" w:color="auto"/>
            <w:bottom w:val="none" w:sz="0" w:space="0" w:color="auto"/>
            <w:right w:val="none" w:sz="0" w:space="0" w:color="auto"/>
          </w:divBdr>
          <w:divsChild>
            <w:div w:id="1722172747">
              <w:marLeft w:val="0"/>
              <w:marRight w:val="0"/>
              <w:marTop w:val="0"/>
              <w:marBottom w:val="0"/>
              <w:divBdr>
                <w:top w:val="none" w:sz="0" w:space="0" w:color="auto"/>
                <w:left w:val="none" w:sz="0" w:space="0" w:color="auto"/>
                <w:bottom w:val="none" w:sz="0" w:space="0" w:color="auto"/>
                <w:right w:val="none" w:sz="0" w:space="0" w:color="auto"/>
              </w:divBdr>
              <w:divsChild>
                <w:div w:id="1722172736">
                  <w:marLeft w:val="0"/>
                  <w:marRight w:val="0"/>
                  <w:marTop w:val="0"/>
                  <w:marBottom w:val="0"/>
                  <w:divBdr>
                    <w:top w:val="none" w:sz="0" w:space="0" w:color="auto"/>
                    <w:left w:val="none" w:sz="0" w:space="0" w:color="auto"/>
                    <w:bottom w:val="none" w:sz="0" w:space="0" w:color="auto"/>
                    <w:right w:val="none" w:sz="0" w:space="0" w:color="auto"/>
                  </w:divBdr>
                  <w:divsChild>
                    <w:div w:id="17221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172759">
      <w:marLeft w:val="0"/>
      <w:marRight w:val="0"/>
      <w:marTop w:val="0"/>
      <w:marBottom w:val="0"/>
      <w:divBdr>
        <w:top w:val="none" w:sz="0" w:space="0" w:color="auto"/>
        <w:left w:val="none" w:sz="0" w:space="0" w:color="auto"/>
        <w:bottom w:val="none" w:sz="0" w:space="0" w:color="auto"/>
        <w:right w:val="none" w:sz="0" w:space="0" w:color="auto"/>
      </w:divBdr>
      <w:divsChild>
        <w:div w:id="1722172689">
          <w:marLeft w:val="0"/>
          <w:marRight w:val="0"/>
          <w:marTop w:val="0"/>
          <w:marBottom w:val="0"/>
          <w:divBdr>
            <w:top w:val="none" w:sz="0" w:space="0" w:color="auto"/>
            <w:left w:val="none" w:sz="0" w:space="0" w:color="auto"/>
            <w:bottom w:val="none" w:sz="0" w:space="0" w:color="auto"/>
            <w:right w:val="none" w:sz="0" w:space="0" w:color="auto"/>
          </w:divBdr>
          <w:divsChild>
            <w:div w:id="1722172758">
              <w:marLeft w:val="0"/>
              <w:marRight w:val="0"/>
              <w:marTop w:val="0"/>
              <w:marBottom w:val="0"/>
              <w:divBdr>
                <w:top w:val="none" w:sz="0" w:space="0" w:color="auto"/>
                <w:left w:val="none" w:sz="0" w:space="0" w:color="auto"/>
                <w:bottom w:val="none" w:sz="0" w:space="0" w:color="auto"/>
                <w:right w:val="none" w:sz="0" w:space="0" w:color="auto"/>
              </w:divBdr>
              <w:divsChild>
                <w:div w:id="17221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2767">
      <w:marLeft w:val="0"/>
      <w:marRight w:val="0"/>
      <w:marTop w:val="0"/>
      <w:marBottom w:val="0"/>
      <w:divBdr>
        <w:top w:val="none" w:sz="0" w:space="0" w:color="auto"/>
        <w:left w:val="none" w:sz="0" w:space="0" w:color="auto"/>
        <w:bottom w:val="none" w:sz="0" w:space="0" w:color="auto"/>
        <w:right w:val="none" w:sz="0" w:space="0" w:color="auto"/>
      </w:divBdr>
    </w:div>
    <w:div w:id="1722172768">
      <w:marLeft w:val="0"/>
      <w:marRight w:val="0"/>
      <w:marTop w:val="0"/>
      <w:marBottom w:val="0"/>
      <w:divBdr>
        <w:top w:val="none" w:sz="0" w:space="0" w:color="auto"/>
        <w:left w:val="none" w:sz="0" w:space="0" w:color="auto"/>
        <w:bottom w:val="none" w:sz="0" w:space="0" w:color="auto"/>
        <w:right w:val="none" w:sz="0" w:space="0" w:color="auto"/>
      </w:divBdr>
      <w:divsChild>
        <w:div w:id="1722172766">
          <w:marLeft w:val="0"/>
          <w:marRight w:val="0"/>
          <w:marTop w:val="0"/>
          <w:marBottom w:val="0"/>
          <w:divBdr>
            <w:top w:val="none" w:sz="0" w:space="0" w:color="auto"/>
            <w:left w:val="none" w:sz="0" w:space="0" w:color="auto"/>
            <w:bottom w:val="none" w:sz="0" w:space="0" w:color="auto"/>
            <w:right w:val="none" w:sz="0" w:space="0" w:color="auto"/>
          </w:divBdr>
          <w:divsChild>
            <w:div w:id="1722172729">
              <w:marLeft w:val="0"/>
              <w:marRight w:val="0"/>
              <w:marTop w:val="0"/>
              <w:marBottom w:val="0"/>
              <w:divBdr>
                <w:top w:val="none" w:sz="0" w:space="0" w:color="auto"/>
                <w:left w:val="none" w:sz="0" w:space="0" w:color="auto"/>
                <w:bottom w:val="none" w:sz="0" w:space="0" w:color="auto"/>
                <w:right w:val="none" w:sz="0" w:space="0" w:color="auto"/>
              </w:divBdr>
              <w:divsChild>
                <w:div w:id="1722172775">
                  <w:marLeft w:val="0"/>
                  <w:marRight w:val="0"/>
                  <w:marTop w:val="0"/>
                  <w:marBottom w:val="0"/>
                  <w:divBdr>
                    <w:top w:val="none" w:sz="0" w:space="0" w:color="auto"/>
                    <w:left w:val="none" w:sz="0" w:space="0" w:color="auto"/>
                    <w:bottom w:val="none" w:sz="0" w:space="0" w:color="auto"/>
                    <w:right w:val="none" w:sz="0" w:space="0" w:color="auto"/>
                  </w:divBdr>
                  <w:divsChild>
                    <w:div w:id="1722172764">
                      <w:marLeft w:val="0"/>
                      <w:marRight w:val="0"/>
                      <w:marTop w:val="0"/>
                      <w:marBottom w:val="0"/>
                      <w:divBdr>
                        <w:top w:val="none" w:sz="0" w:space="0" w:color="auto"/>
                        <w:left w:val="none" w:sz="0" w:space="0" w:color="auto"/>
                        <w:bottom w:val="none" w:sz="0" w:space="0" w:color="auto"/>
                        <w:right w:val="none" w:sz="0" w:space="0" w:color="auto"/>
                      </w:divBdr>
                      <w:divsChild>
                        <w:div w:id="1722172721">
                          <w:marLeft w:val="0"/>
                          <w:marRight w:val="0"/>
                          <w:marTop w:val="0"/>
                          <w:marBottom w:val="0"/>
                          <w:divBdr>
                            <w:top w:val="none" w:sz="0" w:space="0" w:color="auto"/>
                            <w:left w:val="none" w:sz="0" w:space="0" w:color="auto"/>
                            <w:bottom w:val="none" w:sz="0" w:space="0" w:color="auto"/>
                            <w:right w:val="none" w:sz="0" w:space="0" w:color="auto"/>
                          </w:divBdr>
                          <w:divsChild>
                            <w:div w:id="1722172763">
                              <w:marLeft w:val="0"/>
                              <w:marRight w:val="0"/>
                              <w:marTop w:val="0"/>
                              <w:marBottom w:val="0"/>
                              <w:divBdr>
                                <w:top w:val="none" w:sz="0" w:space="0" w:color="auto"/>
                                <w:left w:val="none" w:sz="0" w:space="0" w:color="auto"/>
                                <w:bottom w:val="none" w:sz="0" w:space="0" w:color="auto"/>
                                <w:right w:val="none" w:sz="0" w:space="0" w:color="auto"/>
                              </w:divBdr>
                              <w:divsChild>
                                <w:div w:id="1722172733">
                                  <w:marLeft w:val="0"/>
                                  <w:marRight w:val="0"/>
                                  <w:marTop w:val="0"/>
                                  <w:marBottom w:val="0"/>
                                  <w:divBdr>
                                    <w:top w:val="none" w:sz="0" w:space="0" w:color="auto"/>
                                    <w:left w:val="none" w:sz="0" w:space="0" w:color="auto"/>
                                    <w:bottom w:val="none" w:sz="0" w:space="0" w:color="auto"/>
                                    <w:right w:val="none" w:sz="0" w:space="0" w:color="auto"/>
                                  </w:divBdr>
                                  <w:divsChild>
                                    <w:div w:id="17221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172769">
      <w:marLeft w:val="0"/>
      <w:marRight w:val="0"/>
      <w:marTop w:val="0"/>
      <w:marBottom w:val="0"/>
      <w:divBdr>
        <w:top w:val="none" w:sz="0" w:space="0" w:color="auto"/>
        <w:left w:val="none" w:sz="0" w:space="0" w:color="auto"/>
        <w:bottom w:val="none" w:sz="0" w:space="0" w:color="auto"/>
        <w:right w:val="none" w:sz="0" w:space="0" w:color="auto"/>
      </w:divBdr>
      <w:divsChild>
        <w:div w:id="1722172726">
          <w:marLeft w:val="0"/>
          <w:marRight w:val="0"/>
          <w:marTop w:val="0"/>
          <w:marBottom w:val="0"/>
          <w:divBdr>
            <w:top w:val="none" w:sz="0" w:space="0" w:color="auto"/>
            <w:left w:val="none" w:sz="0" w:space="0" w:color="auto"/>
            <w:bottom w:val="none" w:sz="0" w:space="0" w:color="auto"/>
            <w:right w:val="none" w:sz="0" w:space="0" w:color="auto"/>
          </w:divBdr>
          <w:divsChild>
            <w:div w:id="1722172743">
              <w:marLeft w:val="0"/>
              <w:marRight w:val="0"/>
              <w:marTop w:val="0"/>
              <w:marBottom w:val="0"/>
              <w:divBdr>
                <w:top w:val="none" w:sz="0" w:space="0" w:color="auto"/>
                <w:left w:val="none" w:sz="0" w:space="0" w:color="auto"/>
                <w:bottom w:val="none" w:sz="0" w:space="0" w:color="auto"/>
                <w:right w:val="none" w:sz="0" w:space="0" w:color="auto"/>
              </w:divBdr>
              <w:divsChild>
                <w:div w:id="1722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2773">
      <w:marLeft w:val="0"/>
      <w:marRight w:val="0"/>
      <w:marTop w:val="0"/>
      <w:marBottom w:val="0"/>
      <w:divBdr>
        <w:top w:val="none" w:sz="0" w:space="0" w:color="auto"/>
        <w:left w:val="none" w:sz="0" w:space="0" w:color="auto"/>
        <w:bottom w:val="none" w:sz="0" w:space="0" w:color="auto"/>
        <w:right w:val="none" w:sz="0" w:space="0" w:color="auto"/>
      </w:divBdr>
      <w:divsChild>
        <w:div w:id="1722172765">
          <w:marLeft w:val="0"/>
          <w:marRight w:val="0"/>
          <w:marTop w:val="0"/>
          <w:marBottom w:val="0"/>
          <w:divBdr>
            <w:top w:val="none" w:sz="0" w:space="0" w:color="auto"/>
            <w:left w:val="none" w:sz="0" w:space="0" w:color="auto"/>
            <w:bottom w:val="none" w:sz="0" w:space="0" w:color="auto"/>
            <w:right w:val="none" w:sz="0" w:space="0" w:color="auto"/>
          </w:divBdr>
          <w:divsChild>
            <w:div w:id="1722172722">
              <w:marLeft w:val="0"/>
              <w:marRight w:val="0"/>
              <w:marTop w:val="0"/>
              <w:marBottom w:val="0"/>
              <w:divBdr>
                <w:top w:val="none" w:sz="0" w:space="0" w:color="auto"/>
                <w:left w:val="none" w:sz="0" w:space="0" w:color="auto"/>
                <w:bottom w:val="none" w:sz="0" w:space="0" w:color="auto"/>
                <w:right w:val="none" w:sz="0" w:space="0" w:color="auto"/>
              </w:divBdr>
              <w:divsChild>
                <w:div w:id="1722172728">
                  <w:marLeft w:val="0"/>
                  <w:marRight w:val="0"/>
                  <w:marTop w:val="0"/>
                  <w:marBottom w:val="0"/>
                  <w:divBdr>
                    <w:top w:val="none" w:sz="0" w:space="0" w:color="auto"/>
                    <w:left w:val="none" w:sz="0" w:space="0" w:color="auto"/>
                    <w:bottom w:val="none" w:sz="0" w:space="0" w:color="auto"/>
                    <w:right w:val="none" w:sz="0" w:space="0" w:color="auto"/>
                  </w:divBdr>
                  <w:divsChild>
                    <w:div w:id="1722172720">
                      <w:marLeft w:val="0"/>
                      <w:marRight w:val="0"/>
                      <w:marTop w:val="0"/>
                      <w:marBottom w:val="0"/>
                      <w:divBdr>
                        <w:top w:val="none" w:sz="0" w:space="0" w:color="auto"/>
                        <w:left w:val="none" w:sz="0" w:space="0" w:color="auto"/>
                        <w:bottom w:val="none" w:sz="0" w:space="0" w:color="auto"/>
                        <w:right w:val="none" w:sz="0" w:space="0" w:color="auto"/>
                      </w:divBdr>
                      <w:divsChild>
                        <w:div w:id="1722172739">
                          <w:marLeft w:val="0"/>
                          <w:marRight w:val="0"/>
                          <w:marTop w:val="0"/>
                          <w:marBottom w:val="0"/>
                          <w:divBdr>
                            <w:top w:val="none" w:sz="0" w:space="0" w:color="auto"/>
                            <w:left w:val="none" w:sz="0" w:space="0" w:color="auto"/>
                            <w:bottom w:val="none" w:sz="0" w:space="0" w:color="auto"/>
                            <w:right w:val="none" w:sz="0" w:space="0" w:color="auto"/>
                          </w:divBdr>
                          <w:divsChild>
                            <w:div w:id="1722172745">
                              <w:marLeft w:val="0"/>
                              <w:marRight w:val="0"/>
                              <w:marTop w:val="0"/>
                              <w:marBottom w:val="0"/>
                              <w:divBdr>
                                <w:top w:val="none" w:sz="0" w:space="0" w:color="auto"/>
                                <w:left w:val="none" w:sz="0" w:space="0" w:color="auto"/>
                                <w:bottom w:val="none" w:sz="0" w:space="0" w:color="auto"/>
                                <w:right w:val="none" w:sz="0" w:space="0" w:color="auto"/>
                              </w:divBdr>
                              <w:divsChild>
                                <w:div w:id="1722172688">
                                  <w:marLeft w:val="0"/>
                                  <w:marRight w:val="0"/>
                                  <w:marTop w:val="0"/>
                                  <w:marBottom w:val="0"/>
                                  <w:divBdr>
                                    <w:top w:val="none" w:sz="0" w:space="0" w:color="auto"/>
                                    <w:left w:val="none" w:sz="0" w:space="0" w:color="auto"/>
                                    <w:bottom w:val="none" w:sz="0" w:space="0" w:color="auto"/>
                                    <w:right w:val="none" w:sz="0" w:space="0" w:color="auto"/>
                                  </w:divBdr>
                                  <w:divsChild>
                                    <w:div w:id="1722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emedicine.medscape.com/article/892980-overview"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www.nhlbi.nih.gov/health/health-topics/topics/hol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www.nice.org.uk/IP286a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nlm.nih.gov/medlineplus/ency/article/001099.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yperlink" Target="http://guidance.nice.org.uk/IPG336"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footer" Target="footer4.xml"/><Relationship Id="rId27" Type="http://schemas.openxmlformats.org/officeDocument/2006/relationships/hyperlink" Target="http://www.aihw.gov.au/publication-detail/?id=10737418510" TargetMode="External"/><Relationship Id="rId30" Type="http://schemas.openxmlformats.org/officeDocument/2006/relationships/hyperlink" Target="http://circ.ahajournals.org/content/117/8/109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7079-C53F-48E8-B371-640E065E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5548</Words>
  <Characters>34152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1348</vt:lpstr>
    </vt:vector>
  </TitlesOfParts>
  <Company>The University of Adelaide</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1348</dc:title>
  <dc:creator>Liliana Bulfone</dc:creator>
  <cp:lastModifiedBy>Orr Audrey</cp:lastModifiedBy>
  <cp:revision>2</cp:revision>
  <cp:lastPrinted>2013-09-20T00:12:00Z</cp:lastPrinted>
  <dcterms:created xsi:type="dcterms:W3CDTF">2013-09-26T22:59:00Z</dcterms:created>
  <dcterms:modified xsi:type="dcterms:W3CDTF">2013-09-26T22:59:00Z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