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27" w:rsidRPr="0044117E" w:rsidRDefault="00DF4B27" w:rsidP="0044117E">
      <w:pPr>
        <w:rPr>
          <w:b/>
          <w:szCs w:val="24"/>
          <w:u w:val="single"/>
        </w:rPr>
      </w:pPr>
      <w:bookmarkStart w:id="0" w:name="_GoBack"/>
      <w:bookmarkEnd w:id="0"/>
    </w:p>
    <w:p w:rsidR="0062054F" w:rsidRPr="0044117E" w:rsidRDefault="004C49E4" w:rsidP="0044117E">
      <w:pPr>
        <w:jc w:val="center"/>
        <w:rPr>
          <w:b/>
          <w:color w:val="000080"/>
          <w:sz w:val="28"/>
          <w:szCs w:val="28"/>
        </w:rPr>
      </w:pPr>
      <w:r>
        <w:rPr>
          <w:rFonts w:ascii="Arial" w:hAnsi="Arial" w:cs="Arial"/>
          <w:b/>
          <w:noProof/>
          <w:color w:val="000080"/>
          <w:sz w:val="28"/>
          <w:szCs w:val="28"/>
        </w:rPr>
        <w:drawing>
          <wp:inline distT="0" distB="0" distL="0" distR="0" wp14:anchorId="1BA3057F" wp14:editId="58168E2F">
            <wp:extent cx="2627630" cy="1078865"/>
            <wp:effectExtent l="0" t="0" r="1270" b="6985"/>
            <wp:docPr id="1" name="Picture 1"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9D1FF0" w:rsidRPr="0044117E" w:rsidRDefault="009D1FF0" w:rsidP="0044117E">
      <w:pPr>
        <w:jc w:val="center"/>
        <w:rPr>
          <w:b/>
          <w:color w:val="000080"/>
          <w:sz w:val="36"/>
          <w:szCs w:val="36"/>
        </w:rPr>
      </w:pPr>
    </w:p>
    <w:p w:rsidR="00AB0782" w:rsidRPr="00DB1B59" w:rsidRDefault="00AB0782" w:rsidP="00AB0782">
      <w:pPr>
        <w:jc w:val="center"/>
        <w:rPr>
          <w:rFonts w:ascii="Arial" w:hAnsi="Arial" w:cs="Arial"/>
          <w:b/>
          <w:color w:val="000080"/>
          <w:sz w:val="40"/>
          <w:szCs w:val="40"/>
        </w:rPr>
      </w:pPr>
      <w:r w:rsidRPr="00DB1B59">
        <w:rPr>
          <w:rFonts w:ascii="Arial" w:hAnsi="Arial" w:cs="Arial"/>
          <w:b/>
          <w:color w:val="000080"/>
          <w:sz w:val="40"/>
          <w:szCs w:val="40"/>
        </w:rPr>
        <w:t>Public Summary Document</w:t>
      </w:r>
    </w:p>
    <w:p w:rsidR="009D1FF0" w:rsidRPr="00AB0782" w:rsidRDefault="009D1FF0" w:rsidP="0044117E">
      <w:pPr>
        <w:jc w:val="center"/>
        <w:rPr>
          <w:rFonts w:ascii="Arial" w:hAnsi="Arial" w:cs="Arial"/>
          <w:b/>
          <w:color w:val="000080"/>
          <w:sz w:val="36"/>
          <w:szCs w:val="36"/>
        </w:rPr>
      </w:pPr>
    </w:p>
    <w:p w:rsidR="009D1FF0" w:rsidRPr="00AB0782" w:rsidRDefault="009D1FF0" w:rsidP="0044117E">
      <w:pPr>
        <w:tabs>
          <w:tab w:val="left" w:pos="4320"/>
        </w:tabs>
        <w:jc w:val="center"/>
        <w:rPr>
          <w:rFonts w:ascii="Arial" w:hAnsi="Arial" w:cs="Arial"/>
          <w:b/>
          <w:i/>
          <w:color w:val="000080"/>
          <w:sz w:val="28"/>
          <w:szCs w:val="28"/>
        </w:rPr>
      </w:pPr>
      <w:r w:rsidRPr="00AB0782">
        <w:rPr>
          <w:rFonts w:ascii="Arial" w:hAnsi="Arial" w:cs="Arial"/>
          <w:b/>
          <w:i/>
          <w:color w:val="000080"/>
          <w:sz w:val="28"/>
          <w:szCs w:val="28"/>
        </w:rPr>
        <w:t>Application 1348 – Transcatheter closure of ventricular septal defect</w:t>
      </w:r>
    </w:p>
    <w:p w:rsidR="00E8253A" w:rsidRPr="00AB0782" w:rsidRDefault="00E8253A" w:rsidP="0044117E">
      <w:pPr>
        <w:tabs>
          <w:tab w:val="left" w:pos="3600"/>
        </w:tabs>
        <w:ind w:left="3600" w:hanging="3600"/>
        <w:rPr>
          <w:rFonts w:ascii="Arial" w:hAnsi="Arial" w:cs="Arial"/>
          <w:szCs w:val="24"/>
        </w:rPr>
      </w:pPr>
    </w:p>
    <w:p w:rsidR="00E8253A" w:rsidRPr="0044117E" w:rsidRDefault="00E8253A" w:rsidP="0044117E">
      <w:pPr>
        <w:tabs>
          <w:tab w:val="left" w:pos="3600"/>
        </w:tabs>
        <w:ind w:left="3600" w:hanging="3600"/>
        <w:rPr>
          <w:szCs w:val="24"/>
        </w:rPr>
      </w:pPr>
    </w:p>
    <w:p w:rsidR="006F0F76" w:rsidRPr="00AB0782" w:rsidRDefault="004C0814" w:rsidP="0044117E">
      <w:pPr>
        <w:tabs>
          <w:tab w:val="left" w:pos="2265"/>
          <w:tab w:val="left" w:pos="3420"/>
          <w:tab w:val="left" w:pos="4320"/>
        </w:tabs>
        <w:ind w:left="3372" w:hanging="3372"/>
        <w:rPr>
          <w:rFonts w:ascii="Arial" w:hAnsi="Arial" w:cs="Arial"/>
          <w:b/>
          <w:szCs w:val="24"/>
        </w:rPr>
      </w:pPr>
      <w:r w:rsidRPr="00AB0782">
        <w:rPr>
          <w:rFonts w:ascii="Arial" w:hAnsi="Arial" w:cs="Arial"/>
          <w:b/>
          <w:szCs w:val="24"/>
        </w:rPr>
        <w:t>Sponsor</w:t>
      </w:r>
      <w:r w:rsidR="003D0F7D" w:rsidRPr="00AB0782">
        <w:rPr>
          <w:rFonts w:ascii="Arial" w:hAnsi="Arial" w:cs="Arial"/>
          <w:b/>
          <w:szCs w:val="24"/>
        </w:rPr>
        <w:t>/Applicant</w:t>
      </w:r>
      <w:r w:rsidR="006F0F76" w:rsidRPr="00AB0782">
        <w:rPr>
          <w:rFonts w:ascii="Arial" w:hAnsi="Arial" w:cs="Arial"/>
          <w:b/>
          <w:szCs w:val="24"/>
        </w:rPr>
        <w:t>/s</w:t>
      </w:r>
      <w:r w:rsidRPr="00AB0782">
        <w:rPr>
          <w:rFonts w:ascii="Arial" w:hAnsi="Arial" w:cs="Arial"/>
          <w:b/>
          <w:szCs w:val="24"/>
        </w:rPr>
        <w:t>:</w:t>
      </w:r>
      <w:r w:rsidR="002418A7" w:rsidRPr="00AB0782">
        <w:rPr>
          <w:rFonts w:ascii="Arial" w:hAnsi="Arial" w:cs="Arial"/>
          <w:b/>
          <w:szCs w:val="24"/>
        </w:rPr>
        <w:t xml:space="preserve"> </w:t>
      </w:r>
      <w:r w:rsidR="009D1FF0" w:rsidRPr="00AB0782">
        <w:rPr>
          <w:rFonts w:ascii="Arial" w:hAnsi="Arial" w:cs="Arial"/>
          <w:b/>
          <w:szCs w:val="24"/>
        </w:rPr>
        <w:tab/>
      </w:r>
      <w:r w:rsidR="009D1FF0" w:rsidRPr="00AB0782">
        <w:rPr>
          <w:rFonts w:ascii="Arial" w:hAnsi="Arial" w:cs="Arial"/>
          <w:b/>
          <w:szCs w:val="24"/>
        </w:rPr>
        <w:tab/>
      </w:r>
      <w:r w:rsidR="002418A7" w:rsidRPr="00AB0782">
        <w:rPr>
          <w:rFonts w:ascii="Arial" w:hAnsi="Arial" w:cs="Arial"/>
          <w:b/>
          <w:szCs w:val="24"/>
        </w:rPr>
        <w:t>Cardiac Society of Australia and New Zealand (CSANZ)</w:t>
      </w:r>
    </w:p>
    <w:p w:rsidR="002418A7" w:rsidRPr="00AB0782" w:rsidRDefault="002418A7" w:rsidP="0044117E">
      <w:pPr>
        <w:tabs>
          <w:tab w:val="left" w:pos="2265"/>
          <w:tab w:val="left" w:pos="3420"/>
          <w:tab w:val="left" w:pos="4320"/>
        </w:tabs>
        <w:rPr>
          <w:rFonts w:ascii="Arial" w:hAnsi="Arial" w:cs="Arial"/>
          <w:b/>
        </w:rPr>
      </w:pPr>
    </w:p>
    <w:p w:rsidR="004C0814" w:rsidRPr="00AB0782" w:rsidRDefault="004C0814" w:rsidP="0044117E">
      <w:pPr>
        <w:tabs>
          <w:tab w:val="left" w:pos="3420"/>
          <w:tab w:val="left" w:pos="3600"/>
          <w:tab w:val="left" w:pos="4320"/>
        </w:tabs>
        <w:ind w:left="3600" w:hanging="3600"/>
        <w:rPr>
          <w:rFonts w:ascii="Arial" w:hAnsi="Arial" w:cs="Arial"/>
          <w:b/>
          <w:szCs w:val="24"/>
        </w:rPr>
      </w:pPr>
      <w:r w:rsidRPr="00AB0782">
        <w:rPr>
          <w:rFonts w:ascii="Arial" w:hAnsi="Arial" w:cs="Arial"/>
          <w:b/>
          <w:szCs w:val="24"/>
        </w:rPr>
        <w:t xml:space="preserve">Date of </w:t>
      </w:r>
      <w:r w:rsidR="00707544" w:rsidRPr="00AB0782">
        <w:rPr>
          <w:rFonts w:ascii="Arial" w:hAnsi="Arial" w:cs="Arial"/>
          <w:b/>
          <w:szCs w:val="24"/>
        </w:rPr>
        <w:t>MSAC Meeting</w:t>
      </w:r>
      <w:r w:rsidRPr="00AB0782">
        <w:rPr>
          <w:rFonts w:ascii="Arial" w:hAnsi="Arial" w:cs="Arial"/>
          <w:b/>
          <w:szCs w:val="24"/>
        </w:rPr>
        <w:t>:</w:t>
      </w:r>
      <w:r w:rsidR="002418A7" w:rsidRPr="00AB0782">
        <w:rPr>
          <w:rFonts w:ascii="Arial" w:hAnsi="Arial" w:cs="Arial"/>
          <w:b/>
          <w:szCs w:val="24"/>
        </w:rPr>
        <w:t xml:space="preserve"> </w:t>
      </w:r>
      <w:r w:rsidR="009D1FF0" w:rsidRPr="00AB0782">
        <w:rPr>
          <w:rFonts w:ascii="Arial" w:hAnsi="Arial" w:cs="Arial"/>
          <w:b/>
          <w:szCs w:val="24"/>
        </w:rPr>
        <w:tab/>
      </w:r>
      <w:r w:rsidR="00707544" w:rsidRPr="00AB0782">
        <w:rPr>
          <w:rFonts w:ascii="Arial" w:hAnsi="Arial" w:cs="Arial"/>
          <w:b/>
          <w:szCs w:val="24"/>
        </w:rPr>
        <w:t>28 November</w:t>
      </w:r>
      <w:r w:rsidR="002418A7" w:rsidRPr="00AB0782">
        <w:rPr>
          <w:rFonts w:ascii="Arial" w:hAnsi="Arial" w:cs="Arial"/>
          <w:b/>
          <w:szCs w:val="24"/>
        </w:rPr>
        <w:t xml:space="preserve"> 2013</w:t>
      </w:r>
    </w:p>
    <w:p w:rsidR="00DF4B27" w:rsidRDefault="00DF4B27" w:rsidP="0044117E">
      <w:pPr>
        <w:rPr>
          <w:szCs w:val="24"/>
        </w:rPr>
      </w:pPr>
    </w:p>
    <w:p w:rsidR="00AB0782" w:rsidRPr="0044117E" w:rsidRDefault="00AB0782" w:rsidP="0044117E">
      <w:pPr>
        <w:rPr>
          <w:szCs w:val="24"/>
        </w:rPr>
      </w:pPr>
    </w:p>
    <w:p w:rsidR="0012732A" w:rsidRPr="00AB0782" w:rsidRDefault="00937076" w:rsidP="00AB0782">
      <w:pPr>
        <w:pStyle w:val="Heading1"/>
        <w:numPr>
          <w:ilvl w:val="0"/>
          <w:numId w:val="13"/>
        </w:numPr>
        <w:ind w:left="567" w:hanging="567"/>
        <w:rPr>
          <w:rFonts w:cs="Arial"/>
          <w:szCs w:val="24"/>
        </w:rPr>
      </w:pPr>
      <w:r w:rsidRPr="00AB0782">
        <w:rPr>
          <w:rFonts w:cs="Arial"/>
          <w:szCs w:val="24"/>
        </w:rPr>
        <w:t xml:space="preserve">Purpose of </w:t>
      </w:r>
      <w:r w:rsidR="00E857D4" w:rsidRPr="00AB0782">
        <w:rPr>
          <w:rFonts w:cs="Arial"/>
          <w:szCs w:val="24"/>
        </w:rPr>
        <w:t>a</w:t>
      </w:r>
      <w:r w:rsidRPr="00AB0782">
        <w:rPr>
          <w:rFonts w:cs="Arial"/>
          <w:szCs w:val="24"/>
        </w:rPr>
        <w:t>pplication</w:t>
      </w:r>
    </w:p>
    <w:p w:rsidR="002418A7" w:rsidRPr="0044117E" w:rsidRDefault="002418A7" w:rsidP="0044117E">
      <w:pPr>
        <w:tabs>
          <w:tab w:val="left" w:pos="720"/>
          <w:tab w:val="left" w:pos="1140"/>
        </w:tabs>
        <w:rPr>
          <w:szCs w:val="24"/>
        </w:rPr>
      </w:pPr>
      <w:r w:rsidRPr="0044117E">
        <w:rPr>
          <w:szCs w:val="24"/>
        </w:rPr>
        <w:t>A</w:t>
      </w:r>
      <w:r w:rsidR="00561E03" w:rsidRPr="0044117E">
        <w:rPr>
          <w:szCs w:val="24"/>
        </w:rPr>
        <w:t>n</w:t>
      </w:r>
      <w:r w:rsidRPr="0044117E">
        <w:rPr>
          <w:szCs w:val="24"/>
        </w:rPr>
        <w:t xml:space="preserve"> application requesting </w:t>
      </w:r>
      <w:r w:rsidR="00561E03" w:rsidRPr="0044117E">
        <w:rPr>
          <w:szCs w:val="24"/>
        </w:rPr>
        <w:t>Medicare Benefits Schedule (</w:t>
      </w:r>
      <w:r w:rsidRPr="0044117E">
        <w:rPr>
          <w:szCs w:val="24"/>
        </w:rPr>
        <w:t>MBS</w:t>
      </w:r>
      <w:r w:rsidR="00561E03" w:rsidRPr="0044117E">
        <w:rPr>
          <w:szCs w:val="24"/>
        </w:rPr>
        <w:t>)</w:t>
      </w:r>
      <w:r w:rsidRPr="0044117E">
        <w:rPr>
          <w:szCs w:val="24"/>
        </w:rPr>
        <w:t xml:space="preserve"> listing of transcatheter closure of ventricular septal defect (VSD) was received from the Cardiac Society of Australia and New Zealand (CSANZ) by the Department in December 2012.</w:t>
      </w:r>
    </w:p>
    <w:p w:rsidR="0044117E" w:rsidRPr="0044117E" w:rsidRDefault="0044117E" w:rsidP="0044117E">
      <w:pPr>
        <w:autoSpaceDE w:val="0"/>
        <w:autoSpaceDN w:val="0"/>
        <w:adjustRightInd w:val="0"/>
        <w:rPr>
          <w:szCs w:val="24"/>
        </w:rPr>
      </w:pPr>
    </w:p>
    <w:p w:rsidR="00A16C44" w:rsidRPr="0044117E" w:rsidRDefault="00A16C44" w:rsidP="0044117E">
      <w:pPr>
        <w:autoSpaceDE w:val="0"/>
        <w:autoSpaceDN w:val="0"/>
        <w:adjustRightInd w:val="0"/>
        <w:rPr>
          <w:szCs w:val="24"/>
        </w:rPr>
      </w:pPr>
      <w:r w:rsidRPr="0044117E">
        <w:rPr>
          <w:szCs w:val="24"/>
        </w:rPr>
        <w:t>Transcatheter closure of a VSD is performed under general anaesthesia in the paediatric population.</w:t>
      </w:r>
      <w:r w:rsidR="002679B1" w:rsidRPr="0044117E">
        <w:rPr>
          <w:szCs w:val="24"/>
        </w:rPr>
        <w:t xml:space="preserve"> </w:t>
      </w:r>
      <w:r w:rsidRPr="0044117E">
        <w:rPr>
          <w:szCs w:val="24"/>
        </w:rPr>
        <w:t>It may be performed with sedation in the adult population. Access is commonly via the femoral route but can be via the neck. Prior to deployment of the device, angiography is performed to define in detail the anatomy and size of the defect which allows planning for the intervention. The VSD is crossed using a catheter from the left ventricular side and a device is deployed which aims to completely occlude the VSD.</w:t>
      </w:r>
    </w:p>
    <w:p w:rsidR="0044117E" w:rsidRPr="0044117E" w:rsidRDefault="0044117E" w:rsidP="0044117E">
      <w:pPr>
        <w:autoSpaceDE w:val="0"/>
        <w:autoSpaceDN w:val="0"/>
        <w:adjustRightInd w:val="0"/>
        <w:rPr>
          <w:szCs w:val="24"/>
        </w:rPr>
      </w:pPr>
    </w:p>
    <w:p w:rsidR="00A16C44" w:rsidRPr="0044117E" w:rsidRDefault="00A16C44" w:rsidP="0044117E">
      <w:pPr>
        <w:autoSpaceDE w:val="0"/>
        <w:autoSpaceDN w:val="0"/>
        <w:adjustRightInd w:val="0"/>
        <w:rPr>
          <w:szCs w:val="24"/>
        </w:rPr>
      </w:pPr>
      <w:r w:rsidRPr="0044117E">
        <w:rPr>
          <w:szCs w:val="24"/>
        </w:rPr>
        <w:t>Transcatheter techniques would replace standard surgical closure of VSDs for those defects suitable for use of these devices. Patients with acquired VSDs requiring urgent or emergency treatment are likely to undergo surgical rather than transcatheter closure. The curr</w:t>
      </w:r>
      <w:r w:rsidR="00EC4190">
        <w:rPr>
          <w:szCs w:val="24"/>
        </w:rPr>
        <w:t>ent devices available are</w:t>
      </w:r>
      <w:r w:rsidRPr="0044117E">
        <w:rPr>
          <w:szCs w:val="24"/>
        </w:rPr>
        <w:t xml:space="preserve"> muscular and membranous VSD occluder</w:t>
      </w:r>
      <w:r w:rsidR="00D43F5F">
        <w:rPr>
          <w:szCs w:val="24"/>
        </w:rPr>
        <w:t>s</w:t>
      </w:r>
      <w:r w:rsidRPr="0044117E">
        <w:rPr>
          <w:szCs w:val="24"/>
        </w:rPr>
        <w:t>.</w:t>
      </w:r>
    </w:p>
    <w:p w:rsidR="0044117E" w:rsidRPr="0044117E" w:rsidRDefault="0044117E" w:rsidP="0044117E">
      <w:pPr>
        <w:autoSpaceDE w:val="0"/>
        <w:autoSpaceDN w:val="0"/>
        <w:adjustRightInd w:val="0"/>
        <w:rPr>
          <w:szCs w:val="24"/>
        </w:rPr>
      </w:pPr>
    </w:p>
    <w:p w:rsidR="00A16C44" w:rsidRPr="0044117E" w:rsidRDefault="00A16C44" w:rsidP="0044117E">
      <w:pPr>
        <w:autoSpaceDE w:val="0"/>
        <w:autoSpaceDN w:val="0"/>
        <w:adjustRightInd w:val="0"/>
        <w:rPr>
          <w:szCs w:val="24"/>
        </w:rPr>
      </w:pPr>
      <w:r w:rsidRPr="0044117E">
        <w:rPr>
          <w:szCs w:val="24"/>
        </w:rPr>
        <w:t xml:space="preserve">Transcatheter closure techniques may be suitable for membranous VSDs and muscular VSDs. </w:t>
      </w:r>
      <w:r w:rsidR="0051735D" w:rsidRPr="0044117E">
        <w:rPr>
          <w:szCs w:val="24"/>
        </w:rPr>
        <w:t xml:space="preserve">The application </w:t>
      </w:r>
      <w:r w:rsidRPr="0044117E">
        <w:rPr>
          <w:szCs w:val="24"/>
        </w:rPr>
        <w:t>indicates that transcatheter closure is appropriate treatment for patients with a muscular VSD. Currently perimembranous VSDs are being closed surgically in Australia because of an associated high incidence of complete heart block when transcatheter devices are utilised. New devices are currently being designed and trialled which are likely to prove suitable for closure of the perimembranous VSD. Surgery will remain the treatment of choice for doubly committed subarterial VSDs, inlet VSDs and acquired VSDs treated in an emergency situation.</w:t>
      </w:r>
    </w:p>
    <w:p w:rsidR="0044117E" w:rsidRPr="0044117E" w:rsidRDefault="0044117E" w:rsidP="0044117E">
      <w:pPr>
        <w:autoSpaceDE w:val="0"/>
        <w:autoSpaceDN w:val="0"/>
        <w:adjustRightInd w:val="0"/>
        <w:rPr>
          <w:szCs w:val="24"/>
        </w:rPr>
      </w:pPr>
    </w:p>
    <w:p w:rsidR="000107CC" w:rsidRPr="0044117E" w:rsidRDefault="000107CC" w:rsidP="0044117E">
      <w:pPr>
        <w:autoSpaceDE w:val="0"/>
        <w:autoSpaceDN w:val="0"/>
        <w:adjustRightInd w:val="0"/>
        <w:rPr>
          <w:szCs w:val="24"/>
        </w:rPr>
      </w:pPr>
      <w:r w:rsidRPr="0044117E">
        <w:rPr>
          <w:szCs w:val="24"/>
        </w:rPr>
        <w:t xml:space="preserve">Transcatheter closure of a VSD would be </w:t>
      </w:r>
      <w:r w:rsidR="00CD4624" w:rsidRPr="0044117E">
        <w:rPr>
          <w:szCs w:val="24"/>
        </w:rPr>
        <w:t>perform</w:t>
      </w:r>
      <w:r w:rsidRPr="0044117E">
        <w:rPr>
          <w:szCs w:val="24"/>
        </w:rPr>
        <w:t xml:space="preserve">ed in-hospital with surgical assistance. </w:t>
      </w:r>
    </w:p>
    <w:p w:rsidR="0044117E" w:rsidRPr="0044117E" w:rsidRDefault="0044117E" w:rsidP="0044117E">
      <w:pPr>
        <w:tabs>
          <w:tab w:val="left" w:pos="720"/>
          <w:tab w:val="left" w:pos="1140"/>
        </w:tabs>
        <w:rPr>
          <w:szCs w:val="24"/>
        </w:rPr>
      </w:pPr>
    </w:p>
    <w:p w:rsidR="00717BE8" w:rsidRDefault="00717BE8" w:rsidP="0044117E">
      <w:pPr>
        <w:tabs>
          <w:tab w:val="left" w:pos="720"/>
          <w:tab w:val="left" w:pos="1140"/>
        </w:tabs>
        <w:rPr>
          <w:szCs w:val="24"/>
        </w:rPr>
      </w:pPr>
      <w:r>
        <w:rPr>
          <w:szCs w:val="24"/>
        </w:rPr>
        <w:br w:type="page"/>
      </w:r>
    </w:p>
    <w:p w:rsidR="00CA7B4D" w:rsidRPr="0044117E" w:rsidRDefault="00CA7B4D" w:rsidP="0044117E">
      <w:pPr>
        <w:tabs>
          <w:tab w:val="left" w:pos="720"/>
          <w:tab w:val="left" w:pos="1140"/>
        </w:tabs>
        <w:rPr>
          <w:szCs w:val="24"/>
        </w:rPr>
      </w:pPr>
      <w:r w:rsidRPr="0044117E">
        <w:rPr>
          <w:szCs w:val="24"/>
        </w:rPr>
        <w:lastRenderedPageBreak/>
        <w:t xml:space="preserve">A VSD is a hole in the ventricular septum between the left ventricle and the right ventricle. It can occur as a congenital defect or can be acquired in the setting of an acute myocardial infarction, trauma or iatrogenic following aortic valve replacement or myomyectomy surgeries. VSD is one of the most common congenital heart defects. </w:t>
      </w:r>
    </w:p>
    <w:p w:rsidR="0044117E" w:rsidRPr="0044117E" w:rsidRDefault="0044117E" w:rsidP="0044117E">
      <w:pPr>
        <w:tabs>
          <w:tab w:val="left" w:pos="720"/>
          <w:tab w:val="left" w:pos="1140"/>
        </w:tabs>
        <w:rPr>
          <w:szCs w:val="24"/>
        </w:rPr>
      </w:pPr>
    </w:p>
    <w:p w:rsidR="00CA7B4D" w:rsidRPr="0044117E" w:rsidRDefault="00CA7B4D" w:rsidP="0044117E">
      <w:pPr>
        <w:tabs>
          <w:tab w:val="left" w:pos="720"/>
          <w:tab w:val="left" w:pos="1140"/>
        </w:tabs>
        <w:rPr>
          <w:szCs w:val="24"/>
        </w:rPr>
      </w:pPr>
      <w:r w:rsidRPr="0044117E">
        <w:rPr>
          <w:szCs w:val="24"/>
        </w:rPr>
        <w:t xml:space="preserve">The two types of VSD suitable for transcatheter closure are the membranous (or perimembranous) VSD and the muscular VSD. </w:t>
      </w:r>
    </w:p>
    <w:p w:rsidR="0044117E" w:rsidRPr="0044117E" w:rsidRDefault="0044117E" w:rsidP="0044117E">
      <w:pPr>
        <w:tabs>
          <w:tab w:val="left" w:pos="720"/>
          <w:tab w:val="left" w:pos="1140"/>
        </w:tabs>
        <w:rPr>
          <w:szCs w:val="24"/>
        </w:rPr>
      </w:pPr>
    </w:p>
    <w:p w:rsidR="00D32311" w:rsidRPr="0044117E" w:rsidRDefault="00AB4085" w:rsidP="0044117E">
      <w:pPr>
        <w:tabs>
          <w:tab w:val="left" w:pos="720"/>
          <w:tab w:val="left" w:pos="1140"/>
        </w:tabs>
        <w:rPr>
          <w:szCs w:val="24"/>
        </w:rPr>
      </w:pPr>
      <w:r w:rsidRPr="0044117E">
        <w:rPr>
          <w:szCs w:val="24"/>
        </w:rPr>
        <w:t>The prevalence of congenital heart disease i</w:t>
      </w:r>
      <w:r w:rsidR="007A18B0" w:rsidRPr="0044117E">
        <w:rPr>
          <w:szCs w:val="24"/>
        </w:rPr>
        <w:t xml:space="preserve">s about 1 in 100 and VSDs would </w:t>
      </w:r>
      <w:r w:rsidRPr="0044117E">
        <w:rPr>
          <w:szCs w:val="24"/>
        </w:rPr>
        <w:t>represe</w:t>
      </w:r>
      <w:r w:rsidR="007A18B0" w:rsidRPr="0044117E">
        <w:rPr>
          <w:szCs w:val="24"/>
        </w:rPr>
        <w:t>nt</w:t>
      </w:r>
      <w:r w:rsidR="00A16C44" w:rsidRPr="0044117E">
        <w:rPr>
          <w:szCs w:val="24"/>
        </w:rPr>
        <w:t xml:space="preserve"> 10% of the disease burden (</w:t>
      </w:r>
      <w:r w:rsidRPr="0044117E">
        <w:rPr>
          <w:szCs w:val="24"/>
        </w:rPr>
        <w:t>1 in 1000). The natural history of a VSD is that 80-90% of these defects will close spontaneously. Many of the residual defects are small and do not require intervention.</w:t>
      </w:r>
    </w:p>
    <w:p w:rsidR="0044117E" w:rsidRPr="0044117E" w:rsidRDefault="0044117E" w:rsidP="0044117E">
      <w:pPr>
        <w:tabs>
          <w:tab w:val="left" w:pos="720"/>
          <w:tab w:val="left" w:pos="1140"/>
        </w:tabs>
        <w:rPr>
          <w:szCs w:val="24"/>
        </w:rPr>
      </w:pPr>
    </w:p>
    <w:p w:rsidR="00B149C6" w:rsidRPr="00AB0782" w:rsidRDefault="00AB0782" w:rsidP="00AB0782">
      <w:pPr>
        <w:pStyle w:val="Heading1"/>
      </w:pPr>
      <w:r>
        <w:t>2.</w:t>
      </w:r>
      <w:r>
        <w:tab/>
      </w:r>
      <w:r w:rsidR="00B149C6" w:rsidRPr="00AB0782">
        <w:t>Background</w:t>
      </w:r>
    </w:p>
    <w:p w:rsidR="00D32311" w:rsidRPr="0044117E" w:rsidRDefault="009D2BAD" w:rsidP="0044117E">
      <w:pPr>
        <w:tabs>
          <w:tab w:val="left" w:pos="720"/>
          <w:tab w:val="left" w:pos="1140"/>
        </w:tabs>
        <w:rPr>
          <w:szCs w:val="24"/>
        </w:rPr>
      </w:pPr>
      <w:r w:rsidRPr="0044117E">
        <w:rPr>
          <w:szCs w:val="24"/>
        </w:rPr>
        <w:t xml:space="preserve">There are no MBS items for transcatheter closure of VSD and the procedure has not been previously assessed by MSAC. </w:t>
      </w:r>
    </w:p>
    <w:p w:rsidR="0044117E" w:rsidRPr="0044117E" w:rsidRDefault="0044117E" w:rsidP="0044117E">
      <w:pPr>
        <w:tabs>
          <w:tab w:val="left" w:pos="720"/>
          <w:tab w:val="left" w:pos="1140"/>
        </w:tabs>
        <w:rPr>
          <w:szCs w:val="24"/>
        </w:rPr>
      </w:pPr>
    </w:p>
    <w:p w:rsidR="00B149C6" w:rsidRPr="00777406" w:rsidRDefault="00777406" w:rsidP="00777406">
      <w:pPr>
        <w:pStyle w:val="Heading1"/>
      </w:pPr>
      <w:r w:rsidRPr="00777406">
        <w:t>3.</w:t>
      </w:r>
      <w:r w:rsidRPr="00777406">
        <w:tab/>
      </w:r>
      <w:r w:rsidR="00B149C6" w:rsidRPr="00777406">
        <w:t>Prerequisites</w:t>
      </w:r>
      <w:r w:rsidR="00E857D4" w:rsidRPr="00777406">
        <w:t xml:space="preserve"> to implementation of any funding advice</w:t>
      </w:r>
    </w:p>
    <w:p w:rsidR="002679B1" w:rsidRPr="0044117E" w:rsidRDefault="009D2BAD" w:rsidP="0044117E">
      <w:pPr>
        <w:autoSpaceDE w:val="0"/>
        <w:autoSpaceDN w:val="0"/>
        <w:adjustRightInd w:val="0"/>
        <w:rPr>
          <w:szCs w:val="24"/>
        </w:rPr>
      </w:pPr>
      <w:r w:rsidRPr="0044117E">
        <w:rPr>
          <w:szCs w:val="24"/>
        </w:rPr>
        <w:t>The</w:t>
      </w:r>
      <w:r w:rsidR="002679B1" w:rsidRPr="0044117E">
        <w:rPr>
          <w:szCs w:val="24"/>
        </w:rPr>
        <w:t xml:space="preserve"> VSD occluder</w:t>
      </w:r>
      <w:r w:rsidRPr="0044117E">
        <w:rPr>
          <w:szCs w:val="24"/>
        </w:rPr>
        <w:t xml:space="preserve"> d</w:t>
      </w:r>
      <w:r w:rsidR="004F2D6E" w:rsidRPr="0044117E">
        <w:rPr>
          <w:szCs w:val="24"/>
        </w:rPr>
        <w:t>evices have been registered with the Therapeutic Goods Administration on the Australian Register of Therapeutic Goods (ARTG).</w:t>
      </w:r>
    </w:p>
    <w:p w:rsidR="00EC2429" w:rsidRDefault="00EC2429" w:rsidP="0044117E">
      <w:pPr>
        <w:tabs>
          <w:tab w:val="left" w:pos="720"/>
          <w:tab w:val="left" w:pos="1140"/>
        </w:tabs>
        <w:rPr>
          <w:szCs w:val="24"/>
        </w:rPr>
      </w:pPr>
    </w:p>
    <w:p w:rsidR="00D32311" w:rsidRPr="0044117E" w:rsidRDefault="00C11EEB" w:rsidP="0044117E">
      <w:pPr>
        <w:tabs>
          <w:tab w:val="left" w:pos="720"/>
          <w:tab w:val="left" w:pos="1140"/>
        </w:tabs>
        <w:rPr>
          <w:szCs w:val="24"/>
        </w:rPr>
      </w:pPr>
      <w:r w:rsidRPr="0044117E">
        <w:rPr>
          <w:szCs w:val="24"/>
        </w:rPr>
        <w:t>There</w:t>
      </w:r>
      <w:r w:rsidR="009D2BAD" w:rsidRPr="0044117E">
        <w:rPr>
          <w:szCs w:val="24"/>
        </w:rPr>
        <w:t xml:space="preserve"> are a couple of devices for VSD closure currently not listed on the ARTG but which are referred to in international literature.</w:t>
      </w:r>
    </w:p>
    <w:p w:rsidR="0044117E" w:rsidRDefault="0044117E" w:rsidP="0044117E">
      <w:pPr>
        <w:tabs>
          <w:tab w:val="left" w:pos="720"/>
        </w:tabs>
        <w:rPr>
          <w:szCs w:val="24"/>
        </w:rPr>
      </w:pPr>
    </w:p>
    <w:p w:rsidR="00F94CD4" w:rsidRPr="0044117E" w:rsidRDefault="00F94CD4" w:rsidP="0044117E">
      <w:pPr>
        <w:tabs>
          <w:tab w:val="left" w:pos="720"/>
        </w:tabs>
        <w:rPr>
          <w:color w:val="3366FF"/>
          <w:szCs w:val="24"/>
        </w:rPr>
      </w:pPr>
      <w:r w:rsidRPr="0044117E">
        <w:rPr>
          <w:szCs w:val="24"/>
        </w:rPr>
        <w:t>As at February 2013, the VSD occluder devices</w:t>
      </w:r>
      <w:r w:rsidR="00777406">
        <w:rPr>
          <w:szCs w:val="24"/>
        </w:rPr>
        <w:t xml:space="preserve"> listed on the Prostheses List we</w:t>
      </w:r>
      <w:r w:rsidRPr="0044117E">
        <w:rPr>
          <w:szCs w:val="24"/>
        </w:rPr>
        <w:t>re:</w:t>
      </w:r>
    </w:p>
    <w:p w:rsidR="00F94CD4" w:rsidRPr="0044117E" w:rsidRDefault="00F94CD4" w:rsidP="0044117E">
      <w:pPr>
        <w:pStyle w:val="ListParagraph"/>
        <w:numPr>
          <w:ilvl w:val="0"/>
          <w:numId w:val="14"/>
        </w:numPr>
        <w:tabs>
          <w:tab w:val="left" w:pos="720"/>
          <w:tab w:val="left" w:pos="1140"/>
        </w:tabs>
        <w:ind w:left="714" w:hanging="357"/>
        <w:contextualSpacing w:val="0"/>
        <w:rPr>
          <w:szCs w:val="24"/>
        </w:rPr>
      </w:pPr>
      <w:r w:rsidRPr="0044117E">
        <w:rPr>
          <w:szCs w:val="24"/>
        </w:rPr>
        <w:t xml:space="preserve">AMPLATZER Muscular VSD Occluder; and </w:t>
      </w:r>
    </w:p>
    <w:p w:rsidR="00F94CD4" w:rsidRDefault="00F94CD4" w:rsidP="0044117E">
      <w:pPr>
        <w:pStyle w:val="ListParagraph"/>
        <w:numPr>
          <w:ilvl w:val="0"/>
          <w:numId w:val="14"/>
        </w:numPr>
        <w:tabs>
          <w:tab w:val="left" w:pos="720"/>
          <w:tab w:val="left" w:pos="1140"/>
        </w:tabs>
        <w:ind w:left="714" w:hanging="357"/>
        <w:contextualSpacing w:val="0"/>
        <w:rPr>
          <w:szCs w:val="24"/>
        </w:rPr>
      </w:pPr>
      <w:r w:rsidRPr="0044117E">
        <w:rPr>
          <w:szCs w:val="24"/>
        </w:rPr>
        <w:t>AMPLATZER Membranous VSD Occluder.</w:t>
      </w:r>
    </w:p>
    <w:p w:rsidR="0044117E" w:rsidRPr="0044117E" w:rsidRDefault="0044117E" w:rsidP="0044117E">
      <w:pPr>
        <w:pStyle w:val="ListParagraph"/>
        <w:tabs>
          <w:tab w:val="left" w:pos="720"/>
          <w:tab w:val="left" w:pos="1140"/>
        </w:tabs>
        <w:ind w:left="714"/>
        <w:contextualSpacing w:val="0"/>
        <w:rPr>
          <w:szCs w:val="24"/>
        </w:rPr>
      </w:pPr>
    </w:p>
    <w:p w:rsidR="00A34BD3" w:rsidRPr="003104C7" w:rsidRDefault="003104C7" w:rsidP="003104C7">
      <w:pPr>
        <w:pStyle w:val="Heading1"/>
      </w:pPr>
      <w:r w:rsidRPr="003104C7">
        <w:t>4.</w:t>
      </w:r>
      <w:r w:rsidRPr="003104C7">
        <w:tab/>
      </w:r>
      <w:r w:rsidR="00133D8B" w:rsidRPr="003104C7">
        <w:t>Proposal for public funding</w:t>
      </w:r>
    </w:p>
    <w:p w:rsidR="0044117E" w:rsidRDefault="0044117E" w:rsidP="0044117E">
      <w:pPr>
        <w:pStyle w:val="Caption"/>
        <w:spacing w:after="0"/>
        <w:rPr>
          <w:color w:val="auto"/>
          <w:sz w:val="22"/>
          <w:szCs w:val="22"/>
        </w:rPr>
      </w:pPr>
    </w:p>
    <w:p w:rsidR="002F6507" w:rsidRPr="0044117E" w:rsidRDefault="006A7932" w:rsidP="0044117E">
      <w:pPr>
        <w:pStyle w:val="Caption"/>
        <w:spacing w:after="0"/>
        <w:rPr>
          <w:color w:val="auto"/>
          <w:sz w:val="22"/>
          <w:szCs w:val="22"/>
        </w:rPr>
      </w:pPr>
      <w:r>
        <w:rPr>
          <w:color w:val="auto"/>
          <w:sz w:val="22"/>
          <w:szCs w:val="22"/>
        </w:rPr>
        <w:t xml:space="preserve">Applicant </w:t>
      </w:r>
      <w:r w:rsidR="002F6507" w:rsidRPr="0044117E">
        <w:rPr>
          <w:color w:val="auto"/>
          <w:sz w:val="22"/>
          <w:szCs w:val="22"/>
        </w:rPr>
        <w:t>Proposed MBS item descriptor</w:t>
      </w:r>
    </w:p>
    <w:p w:rsidR="00AC066F" w:rsidRPr="0044117E" w:rsidRDefault="002F6507" w:rsidP="0044117E">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44117E">
        <w:rPr>
          <w:szCs w:val="24"/>
        </w:rPr>
        <w:t>VENTRICULAR SEPTAL DEFECT, transcatheter closure of (Anaes.) (Assist.)</w:t>
      </w:r>
    </w:p>
    <w:p w:rsidR="002F6507" w:rsidRPr="0044117E" w:rsidRDefault="002F6507" w:rsidP="0044117E">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44117E">
        <w:rPr>
          <w:bCs/>
          <w:szCs w:val="24"/>
        </w:rPr>
        <w:t>Fee</w:t>
      </w:r>
      <w:r w:rsidRPr="0044117E">
        <w:rPr>
          <w:szCs w:val="24"/>
        </w:rPr>
        <w:t xml:space="preserve">: to be determined </w:t>
      </w:r>
      <w:r w:rsidRPr="0044117E">
        <w:rPr>
          <w:bCs/>
          <w:szCs w:val="24"/>
        </w:rPr>
        <w:t>Benefit</w:t>
      </w:r>
      <w:r w:rsidRPr="0044117E">
        <w:rPr>
          <w:szCs w:val="24"/>
        </w:rPr>
        <w:t>: 75% =</w:t>
      </w:r>
    </w:p>
    <w:p w:rsidR="00B2594A" w:rsidRDefault="00B2594A" w:rsidP="0044117E">
      <w:pPr>
        <w:tabs>
          <w:tab w:val="left" w:pos="720"/>
          <w:tab w:val="left" w:pos="1140"/>
        </w:tabs>
        <w:rPr>
          <w:szCs w:val="24"/>
        </w:rPr>
      </w:pPr>
    </w:p>
    <w:p w:rsidR="00043105" w:rsidRDefault="00245EB1" w:rsidP="0044117E">
      <w:pPr>
        <w:tabs>
          <w:tab w:val="left" w:pos="720"/>
          <w:tab w:val="left" w:pos="1140"/>
        </w:tabs>
        <w:rPr>
          <w:szCs w:val="24"/>
        </w:rPr>
      </w:pPr>
      <w:r w:rsidRPr="0044117E">
        <w:rPr>
          <w:szCs w:val="24"/>
        </w:rPr>
        <w:t>The application</w:t>
      </w:r>
      <w:r w:rsidR="002F6507" w:rsidRPr="0044117E">
        <w:rPr>
          <w:szCs w:val="24"/>
        </w:rPr>
        <w:t xml:space="preserve"> indicate</w:t>
      </w:r>
      <w:r w:rsidR="00043105">
        <w:rPr>
          <w:szCs w:val="24"/>
        </w:rPr>
        <w:t>d</w:t>
      </w:r>
      <w:r w:rsidR="002F6507" w:rsidRPr="0044117E">
        <w:rPr>
          <w:szCs w:val="24"/>
        </w:rPr>
        <w:t xml:space="preserve"> that the technique which uses similar technology would be transcatheter</w:t>
      </w:r>
      <w:r w:rsidRPr="0044117E">
        <w:rPr>
          <w:szCs w:val="24"/>
        </w:rPr>
        <w:t xml:space="preserve"> </w:t>
      </w:r>
      <w:r w:rsidR="002F6507" w:rsidRPr="0044117E">
        <w:rPr>
          <w:szCs w:val="24"/>
        </w:rPr>
        <w:t>closure of an atrial septal defect (ASD) and transcatheter closure of patent ductus arteriosus</w:t>
      </w:r>
      <w:r w:rsidRPr="0044117E">
        <w:rPr>
          <w:szCs w:val="24"/>
        </w:rPr>
        <w:t xml:space="preserve"> (PDA)</w:t>
      </w:r>
      <w:r w:rsidR="002F6507" w:rsidRPr="0044117E">
        <w:rPr>
          <w:szCs w:val="24"/>
        </w:rPr>
        <w:t>.</w:t>
      </w:r>
      <w:r w:rsidR="007E60CD" w:rsidRPr="0044117E">
        <w:rPr>
          <w:szCs w:val="24"/>
        </w:rPr>
        <w:t xml:space="preserve"> </w:t>
      </w:r>
    </w:p>
    <w:p w:rsidR="00043105" w:rsidRDefault="00043105" w:rsidP="0044117E">
      <w:pPr>
        <w:tabs>
          <w:tab w:val="left" w:pos="720"/>
          <w:tab w:val="left" w:pos="1140"/>
        </w:tabs>
        <w:rPr>
          <w:szCs w:val="24"/>
        </w:rPr>
      </w:pPr>
    </w:p>
    <w:p w:rsidR="0017048E" w:rsidRPr="0044117E" w:rsidRDefault="002F6507" w:rsidP="0044117E">
      <w:pPr>
        <w:tabs>
          <w:tab w:val="left" w:pos="720"/>
          <w:tab w:val="left" w:pos="1140"/>
        </w:tabs>
        <w:rPr>
          <w:szCs w:val="24"/>
        </w:rPr>
      </w:pPr>
      <w:r w:rsidRPr="0044117E">
        <w:rPr>
          <w:szCs w:val="24"/>
        </w:rPr>
        <w:t>MBS item 38272 for transcatheter closure of ASD has a</w:t>
      </w:r>
      <w:r w:rsidR="007E60CD" w:rsidRPr="0044117E">
        <w:rPr>
          <w:szCs w:val="24"/>
        </w:rPr>
        <w:t xml:space="preserve"> </w:t>
      </w:r>
      <w:r w:rsidRPr="0044117E">
        <w:rPr>
          <w:szCs w:val="24"/>
        </w:rPr>
        <w:t>schedule fee of $912.30 as of 1</w:t>
      </w:r>
      <w:r w:rsidR="00043105">
        <w:rPr>
          <w:szCs w:val="24"/>
        </w:rPr>
        <w:t> </w:t>
      </w:r>
      <w:r w:rsidRPr="0044117E">
        <w:rPr>
          <w:szCs w:val="24"/>
        </w:rPr>
        <w:t>November 2012.</w:t>
      </w:r>
    </w:p>
    <w:p w:rsidR="00175758" w:rsidRDefault="00175758" w:rsidP="0044117E">
      <w:pPr>
        <w:pStyle w:val="Caption"/>
        <w:spacing w:after="0"/>
        <w:rPr>
          <w:color w:val="auto"/>
          <w:sz w:val="22"/>
          <w:szCs w:val="22"/>
        </w:rPr>
      </w:pPr>
    </w:p>
    <w:p w:rsidR="002F6507" w:rsidRPr="0044117E" w:rsidRDefault="006A7932" w:rsidP="0044117E">
      <w:pPr>
        <w:pStyle w:val="Caption"/>
        <w:spacing w:after="0"/>
        <w:rPr>
          <w:color w:val="auto"/>
          <w:sz w:val="22"/>
          <w:szCs w:val="22"/>
        </w:rPr>
      </w:pPr>
      <w:r>
        <w:rPr>
          <w:color w:val="auto"/>
          <w:sz w:val="22"/>
          <w:szCs w:val="22"/>
        </w:rPr>
        <w:t xml:space="preserve">Applicant </w:t>
      </w:r>
      <w:r w:rsidR="002F6507" w:rsidRPr="0044117E">
        <w:rPr>
          <w:color w:val="auto"/>
          <w:sz w:val="22"/>
          <w:szCs w:val="22"/>
        </w:rPr>
        <w:t>MBS item descriptor for 38272 as at 1 November 2012</w:t>
      </w:r>
    </w:p>
    <w:p w:rsidR="002F6507" w:rsidRPr="0044117E" w:rsidRDefault="002F6507" w:rsidP="0044117E">
      <w:pPr>
        <w:pBdr>
          <w:top w:val="single" w:sz="4" w:space="1" w:color="auto"/>
          <w:left w:val="single" w:sz="4" w:space="4" w:color="auto"/>
          <w:bottom w:val="single" w:sz="4" w:space="1" w:color="auto"/>
          <w:right w:val="single" w:sz="4" w:space="4" w:color="auto"/>
        </w:pBdr>
        <w:autoSpaceDE w:val="0"/>
        <w:autoSpaceDN w:val="0"/>
        <w:adjustRightInd w:val="0"/>
        <w:rPr>
          <w:bCs/>
          <w:szCs w:val="24"/>
        </w:rPr>
      </w:pPr>
      <w:r w:rsidRPr="0044117E">
        <w:rPr>
          <w:bCs/>
          <w:szCs w:val="24"/>
        </w:rPr>
        <w:t>Category 3 – Cardio-Thoracic</w:t>
      </w:r>
    </w:p>
    <w:p w:rsidR="002F6507" w:rsidRPr="0044117E" w:rsidRDefault="002F6507" w:rsidP="0044117E">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44117E">
        <w:rPr>
          <w:szCs w:val="24"/>
        </w:rPr>
        <w:t>ATRIAL SEPTAL DEFECT closure, with septal occluder or other similar device, by transcatheter</w:t>
      </w:r>
      <w:r w:rsidR="006C1744" w:rsidRPr="0044117E">
        <w:rPr>
          <w:szCs w:val="24"/>
        </w:rPr>
        <w:t xml:space="preserve"> </w:t>
      </w:r>
      <w:r w:rsidRPr="0044117E">
        <w:rPr>
          <w:szCs w:val="24"/>
        </w:rPr>
        <w:t>approach (Anaes.) (Assist.)</w:t>
      </w:r>
    </w:p>
    <w:p w:rsidR="0079412A" w:rsidRPr="0044117E" w:rsidRDefault="002F6507" w:rsidP="0044117E">
      <w:pPr>
        <w:pBdr>
          <w:top w:val="single" w:sz="4" w:space="1" w:color="auto"/>
          <w:left w:val="single" w:sz="4" w:space="4" w:color="auto"/>
          <w:bottom w:val="single" w:sz="4" w:space="1" w:color="auto"/>
          <w:right w:val="single" w:sz="4" w:space="4" w:color="auto"/>
        </w:pBdr>
        <w:tabs>
          <w:tab w:val="left" w:pos="720"/>
          <w:tab w:val="left" w:pos="1140"/>
        </w:tabs>
        <w:rPr>
          <w:szCs w:val="24"/>
        </w:rPr>
      </w:pPr>
      <w:r w:rsidRPr="0044117E">
        <w:rPr>
          <w:szCs w:val="24"/>
        </w:rPr>
        <w:t>Fee: $912.30 Benefit: 75% = $684.25 85% = $837.80</w:t>
      </w:r>
    </w:p>
    <w:p w:rsidR="00873D7A" w:rsidRDefault="00873D7A" w:rsidP="0044117E">
      <w:pPr>
        <w:tabs>
          <w:tab w:val="left" w:pos="720"/>
          <w:tab w:val="left" w:pos="1140"/>
        </w:tabs>
        <w:rPr>
          <w:szCs w:val="24"/>
        </w:rPr>
      </w:pPr>
    </w:p>
    <w:p w:rsidR="0079412A" w:rsidRDefault="002F6507" w:rsidP="0044117E">
      <w:pPr>
        <w:tabs>
          <w:tab w:val="left" w:pos="720"/>
          <w:tab w:val="left" w:pos="1140"/>
        </w:tabs>
        <w:rPr>
          <w:szCs w:val="24"/>
        </w:rPr>
      </w:pPr>
      <w:r w:rsidRPr="0044117E">
        <w:rPr>
          <w:szCs w:val="24"/>
        </w:rPr>
        <w:t xml:space="preserve">The </w:t>
      </w:r>
      <w:r w:rsidR="00F90FB6" w:rsidRPr="0044117E">
        <w:rPr>
          <w:szCs w:val="24"/>
        </w:rPr>
        <w:t>majority of the service</w:t>
      </w:r>
      <w:r w:rsidR="004F092A" w:rsidRPr="0044117E">
        <w:rPr>
          <w:szCs w:val="24"/>
        </w:rPr>
        <w:t>s</w:t>
      </w:r>
      <w:r w:rsidR="00F90FB6" w:rsidRPr="0044117E">
        <w:rPr>
          <w:szCs w:val="24"/>
        </w:rPr>
        <w:t xml:space="preserve"> </w:t>
      </w:r>
      <w:r w:rsidR="00873D7A">
        <w:rPr>
          <w:szCs w:val="24"/>
        </w:rPr>
        <w:t>would</w:t>
      </w:r>
      <w:r w:rsidR="00F90FB6" w:rsidRPr="0044117E">
        <w:rPr>
          <w:szCs w:val="24"/>
        </w:rPr>
        <w:t xml:space="preserve"> be </w:t>
      </w:r>
      <w:r w:rsidRPr="0044117E">
        <w:rPr>
          <w:szCs w:val="24"/>
        </w:rPr>
        <w:t>provide</w:t>
      </w:r>
      <w:r w:rsidR="00F90FB6" w:rsidRPr="0044117E">
        <w:rPr>
          <w:szCs w:val="24"/>
        </w:rPr>
        <w:t>d by</w:t>
      </w:r>
      <w:r w:rsidRPr="0044117E">
        <w:rPr>
          <w:szCs w:val="24"/>
        </w:rPr>
        <w:t xml:space="preserve"> paediatric interventional cardiologists</w:t>
      </w:r>
      <w:r w:rsidR="004F092A" w:rsidRPr="0044117E">
        <w:rPr>
          <w:szCs w:val="24"/>
        </w:rPr>
        <w:t>.</w:t>
      </w:r>
    </w:p>
    <w:p w:rsidR="00B2594A" w:rsidRDefault="00B2594A" w:rsidP="0044117E">
      <w:pPr>
        <w:tabs>
          <w:tab w:val="left" w:pos="720"/>
          <w:tab w:val="left" w:pos="1140"/>
        </w:tabs>
        <w:rPr>
          <w:szCs w:val="24"/>
        </w:rPr>
      </w:pPr>
    </w:p>
    <w:p w:rsidR="00426F5C" w:rsidRPr="003104C7" w:rsidRDefault="003104C7" w:rsidP="003104C7">
      <w:pPr>
        <w:pStyle w:val="Heading1"/>
      </w:pPr>
      <w:r w:rsidRPr="003104C7">
        <w:t>5.</w:t>
      </w:r>
      <w:r w:rsidRPr="003104C7">
        <w:tab/>
      </w:r>
      <w:r w:rsidR="00D03BC1" w:rsidRPr="003104C7">
        <w:t>Consumer Impact Statement</w:t>
      </w:r>
    </w:p>
    <w:p w:rsidR="002F6507" w:rsidRPr="0044117E" w:rsidRDefault="00873D7A" w:rsidP="0044117E">
      <w:pPr>
        <w:tabs>
          <w:tab w:val="left" w:pos="720"/>
        </w:tabs>
        <w:rPr>
          <w:szCs w:val="24"/>
        </w:rPr>
      </w:pPr>
      <w:r>
        <w:rPr>
          <w:szCs w:val="24"/>
        </w:rPr>
        <w:t>Feedback noted that a</w:t>
      </w:r>
      <w:r w:rsidR="002F6507" w:rsidRPr="0044117E">
        <w:rPr>
          <w:szCs w:val="24"/>
        </w:rPr>
        <w:t xml:space="preserve">s this service is performed exclusively in large tertiary hospitals, patients diagnosed with this condition in regional areas will need to travel to a tertiary centre </w:t>
      </w:r>
      <w:r w:rsidR="002F6507" w:rsidRPr="0044117E">
        <w:rPr>
          <w:szCs w:val="24"/>
        </w:rPr>
        <w:lastRenderedPageBreak/>
        <w:t>for treatment. There</w:t>
      </w:r>
      <w:r>
        <w:rPr>
          <w:szCs w:val="24"/>
        </w:rPr>
        <w:t>fore, there may</w:t>
      </w:r>
      <w:r w:rsidR="002F6507" w:rsidRPr="0044117E">
        <w:rPr>
          <w:szCs w:val="24"/>
        </w:rPr>
        <w:t xml:space="preserve"> be a requirement for this travel to be supported by a </w:t>
      </w:r>
      <w:r w:rsidR="00D45913" w:rsidRPr="0044117E">
        <w:rPr>
          <w:szCs w:val="24"/>
        </w:rPr>
        <w:t xml:space="preserve">state based </w:t>
      </w:r>
      <w:r w:rsidR="002F6507" w:rsidRPr="0044117E">
        <w:rPr>
          <w:szCs w:val="24"/>
        </w:rPr>
        <w:t>patient travel scheme.</w:t>
      </w:r>
    </w:p>
    <w:p w:rsidR="0044117E" w:rsidRPr="0044117E" w:rsidRDefault="0044117E" w:rsidP="0044117E">
      <w:pPr>
        <w:rPr>
          <w:szCs w:val="24"/>
        </w:rPr>
      </w:pPr>
    </w:p>
    <w:p w:rsidR="003D0F7D" w:rsidRPr="003104C7" w:rsidRDefault="003104C7" w:rsidP="003104C7">
      <w:pPr>
        <w:pStyle w:val="Heading1"/>
      </w:pPr>
      <w:r w:rsidRPr="003104C7">
        <w:t>6.</w:t>
      </w:r>
      <w:r w:rsidRPr="003104C7">
        <w:tab/>
      </w:r>
      <w:r w:rsidR="004E6F63" w:rsidRPr="003104C7">
        <w:t>Proposed i</w:t>
      </w:r>
      <w:r w:rsidR="00422B7E" w:rsidRPr="003104C7">
        <w:t>ntervention’s place in clinical management</w:t>
      </w:r>
    </w:p>
    <w:p w:rsidR="00790C34" w:rsidRPr="0044117E" w:rsidRDefault="00790C34" w:rsidP="0044117E">
      <w:pPr>
        <w:tabs>
          <w:tab w:val="left" w:pos="720"/>
          <w:tab w:val="left" w:pos="1140"/>
        </w:tabs>
        <w:rPr>
          <w:szCs w:val="24"/>
        </w:rPr>
      </w:pPr>
      <w:r w:rsidRPr="0044117E">
        <w:rPr>
          <w:szCs w:val="24"/>
        </w:rPr>
        <w:t>At present, the therapeutic options in Australia for VSD are medication, surgery by open approach or transcatheter closure (technically available only in the public system).</w:t>
      </w:r>
      <w:r w:rsidR="007C086D" w:rsidRPr="0044117E">
        <w:rPr>
          <w:szCs w:val="24"/>
        </w:rPr>
        <w:t xml:space="preserve"> Hybrid surgery is also performed where clinically appropriate.</w:t>
      </w:r>
    </w:p>
    <w:p w:rsidR="0044117E" w:rsidRDefault="0044117E" w:rsidP="0044117E">
      <w:pPr>
        <w:tabs>
          <w:tab w:val="left" w:pos="720"/>
          <w:tab w:val="left" w:pos="1140"/>
        </w:tabs>
        <w:rPr>
          <w:szCs w:val="24"/>
        </w:rPr>
      </w:pPr>
    </w:p>
    <w:p w:rsidR="00042C59" w:rsidRPr="0044117E" w:rsidRDefault="00042C59" w:rsidP="0044117E">
      <w:pPr>
        <w:tabs>
          <w:tab w:val="left" w:pos="720"/>
          <w:tab w:val="left" w:pos="1140"/>
        </w:tabs>
        <w:rPr>
          <w:szCs w:val="24"/>
        </w:rPr>
      </w:pPr>
      <w:r w:rsidRPr="0044117E">
        <w:rPr>
          <w:szCs w:val="24"/>
        </w:rPr>
        <w:t xml:space="preserve">Transcatheter closure of VSD is proposed as a substitute procedure for the currently funded surgical intervention. </w:t>
      </w:r>
      <w:r w:rsidR="0020359D">
        <w:rPr>
          <w:szCs w:val="24"/>
        </w:rPr>
        <w:t>However, n</w:t>
      </w:r>
      <w:r w:rsidRPr="0044117E">
        <w:rPr>
          <w:szCs w:val="24"/>
        </w:rPr>
        <w:t xml:space="preserve">ot all VSDs will be suitable for device closure. This decision will be determined by factors including the type and size of the VSD, the size of the patient and the severity of the patient’s symptoms. Clinical input </w:t>
      </w:r>
      <w:r w:rsidR="0020359D">
        <w:rPr>
          <w:szCs w:val="24"/>
        </w:rPr>
        <w:t>wa</w:t>
      </w:r>
      <w:r w:rsidRPr="0044117E">
        <w:rPr>
          <w:szCs w:val="24"/>
        </w:rPr>
        <w:t xml:space="preserve">s that closure of a VSD can </w:t>
      </w:r>
      <w:r w:rsidR="0020359D">
        <w:rPr>
          <w:szCs w:val="24"/>
        </w:rPr>
        <w:t xml:space="preserve">also </w:t>
      </w:r>
      <w:r w:rsidRPr="0044117E">
        <w:rPr>
          <w:szCs w:val="24"/>
        </w:rPr>
        <w:t>be performed by a hybrid approach. Hybrid surgery is usually planned and most commonly performed for muscular defects. The decision is often based on patient size and whether additional procedures need to be performed.</w:t>
      </w:r>
    </w:p>
    <w:p w:rsidR="0044117E" w:rsidRDefault="0044117E" w:rsidP="0044117E">
      <w:pPr>
        <w:tabs>
          <w:tab w:val="left" w:pos="720"/>
          <w:tab w:val="left" w:pos="1140"/>
        </w:tabs>
        <w:rPr>
          <w:szCs w:val="24"/>
        </w:rPr>
      </w:pPr>
    </w:p>
    <w:p w:rsidR="00F46041" w:rsidRPr="0044117E" w:rsidRDefault="00E53CAC" w:rsidP="0044117E">
      <w:pPr>
        <w:tabs>
          <w:tab w:val="left" w:pos="720"/>
          <w:tab w:val="left" w:pos="1140"/>
        </w:tabs>
        <w:rPr>
          <w:szCs w:val="24"/>
        </w:rPr>
      </w:pPr>
      <w:r w:rsidRPr="0044117E">
        <w:rPr>
          <w:szCs w:val="24"/>
        </w:rPr>
        <w:t>Given transcatheter closure of VSD has been established for some time in the Australian health care setting, only one mana</w:t>
      </w:r>
      <w:r w:rsidR="00D217B8" w:rsidRPr="0044117E">
        <w:rPr>
          <w:szCs w:val="24"/>
        </w:rPr>
        <w:t>gement algorithm was presented.</w:t>
      </w:r>
      <w:r w:rsidR="00947EE3">
        <w:rPr>
          <w:szCs w:val="24"/>
        </w:rPr>
        <w:t xml:space="preserve"> </w:t>
      </w:r>
      <w:r w:rsidR="00D217B8" w:rsidRPr="0044117E">
        <w:rPr>
          <w:szCs w:val="24"/>
        </w:rPr>
        <w:t>T</w:t>
      </w:r>
      <w:r w:rsidRPr="0044117E">
        <w:rPr>
          <w:szCs w:val="24"/>
        </w:rPr>
        <w:t>he clinical assessment in which patients are selected for either transcatheter or surg</w:t>
      </w:r>
      <w:r w:rsidR="00D217B8" w:rsidRPr="0044117E">
        <w:rPr>
          <w:szCs w:val="24"/>
        </w:rPr>
        <w:t>ical closure of their VSD may occur</w:t>
      </w:r>
      <w:r w:rsidRPr="0044117E">
        <w:rPr>
          <w:szCs w:val="24"/>
        </w:rPr>
        <w:t xml:space="preserve"> during their initial presentation. The clinical management algorithm illustrate</w:t>
      </w:r>
      <w:r w:rsidR="00947EE3">
        <w:rPr>
          <w:szCs w:val="24"/>
        </w:rPr>
        <w:t>d</w:t>
      </w:r>
      <w:r w:rsidRPr="0044117E">
        <w:rPr>
          <w:szCs w:val="24"/>
        </w:rPr>
        <w:t xml:space="preserve"> this as sequential but in clinical reality many clinicians </w:t>
      </w:r>
      <w:r w:rsidR="00947EE3">
        <w:rPr>
          <w:szCs w:val="24"/>
        </w:rPr>
        <w:t>would</w:t>
      </w:r>
      <w:r w:rsidRPr="0044117E">
        <w:rPr>
          <w:szCs w:val="24"/>
        </w:rPr>
        <w:t xml:space="preserve"> ascertain</w:t>
      </w:r>
      <w:r w:rsidR="00947EE3">
        <w:rPr>
          <w:szCs w:val="24"/>
        </w:rPr>
        <w:t xml:space="preserve"> </w:t>
      </w:r>
      <w:r w:rsidRPr="0044117E">
        <w:rPr>
          <w:szCs w:val="24"/>
        </w:rPr>
        <w:t xml:space="preserve">the characteristics of the VSD immediately on referral. Additionally, the surgeon can shift between transcatheter and hybrid approaches with the decision made after a ventriculogram. Therefore, hybrid surgery for closure of a VSD has been separated from the transcatheter approach in the algorithm. </w:t>
      </w:r>
    </w:p>
    <w:p w:rsidR="004D5353" w:rsidRPr="0044117E" w:rsidRDefault="004D5353" w:rsidP="0044117E">
      <w:pPr>
        <w:tabs>
          <w:tab w:val="left" w:pos="720"/>
          <w:tab w:val="left" w:pos="1140"/>
        </w:tabs>
        <w:rPr>
          <w:szCs w:val="24"/>
        </w:rPr>
      </w:pPr>
    </w:p>
    <w:p w:rsidR="00E53CAC" w:rsidRDefault="00F46041" w:rsidP="0044117E">
      <w:pPr>
        <w:autoSpaceDE w:val="0"/>
        <w:autoSpaceDN w:val="0"/>
        <w:adjustRightInd w:val="0"/>
        <w:rPr>
          <w:szCs w:val="24"/>
        </w:rPr>
      </w:pPr>
      <w:r w:rsidRPr="0044117E">
        <w:rPr>
          <w:szCs w:val="24"/>
        </w:rPr>
        <w:t>The application</w:t>
      </w:r>
      <w:r w:rsidR="00E53CAC" w:rsidRPr="0044117E">
        <w:rPr>
          <w:szCs w:val="24"/>
        </w:rPr>
        <w:t xml:space="preserve"> claim</w:t>
      </w:r>
      <w:r w:rsidR="00947EE3">
        <w:rPr>
          <w:szCs w:val="24"/>
        </w:rPr>
        <w:t>ed that</w:t>
      </w:r>
      <w:r w:rsidR="00E53CAC" w:rsidRPr="0044117E">
        <w:rPr>
          <w:szCs w:val="24"/>
        </w:rPr>
        <w:t xml:space="preserve"> transcatheter closure is a direct substitute (i.e. provides patients with a new treatment alternative) for the currently subsidised intervention of surgical closure of VSD. However, it should be noted that there are some patients for whom transcatheter closure is not an option</w:t>
      </w:r>
      <w:r w:rsidR="00963D61" w:rsidRPr="0044117E">
        <w:rPr>
          <w:szCs w:val="24"/>
        </w:rPr>
        <w:t>. Surgery will remain the treatment of choice for doubly committed sub-arterial VSDs, inlet VSDs and acquired VSDs treated in an emergency situation.</w:t>
      </w:r>
    </w:p>
    <w:p w:rsidR="0044117E" w:rsidRPr="0044117E" w:rsidRDefault="0044117E" w:rsidP="0044117E">
      <w:pPr>
        <w:autoSpaceDE w:val="0"/>
        <w:autoSpaceDN w:val="0"/>
        <w:adjustRightInd w:val="0"/>
        <w:rPr>
          <w:szCs w:val="24"/>
        </w:rPr>
      </w:pPr>
    </w:p>
    <w:p w:rsidR="00865C26" w:rsidRPr="003104C7" w:rsidRDefault="003104C7" w:rsidP="003104C7">
      <w:pPr>
        <w:pStyle w:val="Heading1"/>
      </w:pPr>
      <w:r w:rsidRPr="003104C7">
        <w:t>7.</w:t>
      </w:r>
      <w:r w:rsidRPr="003104C7">
        <w:tab/>
      </w:r>
      <w:r w:rsidR="00865C26" w:rsidRPr="003104C7">
        <w:t>Other options for MSAC consideration</w:t>
      </w:r>
    </w:p>
    <w:p w:rsidR="0079412A" w:rsidRDefault="0044117E" w:rsidP="0044117E">
      <w:pPr>
        <w:tabs>
          <w:tab w:val="left" w:pos="720"/>
          <w:tab w:val="left" w:pos="1140"/>
        </w:tabs>
        <w:rPr>
          <w:color w:val="3366FF"/>
          <w:szCs w:val="24"/>
        </w:rPr>
      </w:pPr>
      <w:r w:rsidRPr="0044117E">
        <w:rPr>
          <w:szCs w:val="24"/>
        </w:rPr>
        <w:t>Nil</w:t>
      </w:r>
      <w:r>
        <w:rPr>
          <w:color w:val="3366FF"/>
          <w:szCs w:val="24"/>
        </w:rPr>
        <w:t>.</w:t>
      </w:r>
    </w:p>
    <w:p w:rsidR="0044117E" w:rsidRPr="0044117E" w:rsidRDefault="0044117E" w:rsidP="0044117E">
      <w:pPr>
        <w:tabs>
          <w:tab w:val="left" w:pos="720"/>
          <w:tab w:val="left" w:pos="1140"/>
        </w:tabs>
        <w:rPr>
          <w:color w:val="3366FF"/>
          <w:szCs w:val="24"/>
        </w:rPr>
      </w:pPr>
    </w:p>
    <w:p w:rsidR="00937076" w:rsidRPr="003104C7" w:rsidRDefault="003104C7" w:rsidP="003104C7">
      <w:pPr>
        <w:pStyle w:val="Heading1"/>
      </w:pPr>
      <w:r w:rsidRPr="003104C7">
        <w:t>8.</w:t>
      </w:r>
      <w:r w:rsidRPr="003104C7">
        <w:tab/>
      </w:r>
      <w:r w:rsidR="00937076" w:rsidRPr="003104C7">
        <w:t>Comparator</w:t>
      </w:r>
      <w:r w:rsidR="00094129" w:rsidRPr="003104C7">
        <w:t xml:space="preserve"> to the </w:t>
      </w:r>
      <w:r w:rsidR="00B7306D" w:rsidRPr="003104C7">
        <w:t>proposed i</w:t>
      </w:r>
      <w:r w:rsidR="00094129" w:rsidRPr="003104C7">
        <w:t>ntervention</w:t>
      </w:r>
    </w:p>
    <w:p w:rsidR="0071174C" w:rsidRDefault="005B4AAA" w:rsidP="0071174C">
      <w:pPr>
        <w:autoSpaceDE w:val="0"/>
        <w:autoSpaceDN w:val="0"/>
        <w:adjustRightInd w:val="0"/>
        <w:rPr>
          <w:szCs w:val="24"/>
        </w:rPr>
      </w:pPr>
      <w:r>
        <w:rPr>
          <w:szCs w:val="24"/>
        </w:rPr>
        <w:t>The submission stated that</w:t>
      </w:r>
      <w:r w:rsidR="001335FE" w:rsidRPr="0044117E">
        <w:rPr>
          <w:szCs w:val="24"/>
        </w:rPr>
        <w:t xml:space="preserve"> standard therapy for treatment of a VSD is surgical closure utilising cardiopulmonary bypass (item 38751).</w:t>
      </w:r>
      <w:r w:rsidR="0071174C">
        <w:rPr>
          <w:szCs w:val="24"/>
        </w:rPr>
        <w:t xml:space="preserve"> </w:t>
      </w:r>
      <w:r w:rsidR="006D5AAA" w:rsidRPr="0044117E">
        <w:rPr>
          <w:szCs w:val="24"/>
        </w:rPr>
        <w:t>T</w:t>
      </w:r>
      <w:r w:rsidR="0071174C">
        <w:rPr>
          <w:szCs w:val="24"/>
        </w:rPr>
        <w:t>herefore, the surgical closure MBS item 38751 wa</w:t>
      </w:r>
      <w:r w:rsidR="006D5AAA" w:rsidRPr="0044117E">
        <w:rPr>
          <w:szCs w:val="24"/>
        </w:rPr>
        <w:t>s suggested as the appropriate comparator for the proposed service.</w:t>
      </w:r>
    </w:p>
    <w:p w:rsidR="0071174C" w:rsidRDefault="0071174C" w:rsidP="0071174C">
      <w:pPr>
        <w:autoSpaceDE w:val="0"/>
        <w:autoSpaceDN w:val="0"/>
        <w:adjustRightInd w:val="0"/>
        <w:rPr>
          <w:szCs w:val="24"/>
        </w:rPr>
      </w:pPr>
    </w:p>
    <w:p w:rsidR="0079412A" w:rsidRPr="0044117E" w:rsidRDefault="0071174C" w:rsidP="0071174C">
      <w:pPr>
        <w:autoSpaceDE w:val="0"/>
        <w:autoSpaceDN w:val="0"/>
        <w:adjustRightInd w:val="0"/>
        <w:rPr>
          <w:szCs w:val="24"/>
        </w:rPr>
      </w:pPr>
      <w:r>
        <w:rPr>
          <w:szCs w:val="24"/>
        </w:rPr>
        <w:t xml:space="preserve">MSAC noted that </w:t>
      </w:r>
      <w:r w:rsidR="006D5AAA" w:rsidRPr="0044117E">
        <w:rPr>
          <w:szCs w:val="24"/>
        </w:rPr>
        <w:t xml:space="preserve">the comparator item 38751 is restricted to patients with “congenital heart disease” (i.e. it is not reimbursable for closure of an </w:t>
      </w:r>
      <w:r>
        <w:rPr>
          <w:szCs w:val="24"/>
        </w:rPr>
        <w:t xml:space="preserve">acquired VSD). </w:t>
      </w:r>
      <w:r w:rsidRPr="00493F03">
        <w:rPr>
          <w:szCs w:val="24"/>
        </w:rPr>
        <w:t>MSAC did not consider the comparator valid in the Australian context</w:t>
      </w:r>
      <w:r w:rsidR="001603AF">
        <w:rPr>
          <w:szCs w:val="24"/>
        </w:rPr>
        <w:t xml:space="preserve"> as t</w:t>
      </w:r>
      <w:r>
        <w:rPr>
          <w:szCs w:val="24"/>
        </w:rPr>
        <w:t>he majority of surgical VSD closures are performed on neonates and infants who would not be considered candidates for transcatheter closure due to the increased risk of morbidity</w:t>
      </w:r>
      <w:r w:rsidRPr="00493F03">
        <w:rPr>
          <w:szCs w:val="24"/>
        </w:rPr>
        <w:t>.</w:t>
      </w:r>
    </w:p>
    <w:p w:rsidR="0044117E" w:rsidRDefault="0044117E" w:rsidP="005B4AAA">
      <w:pPr>
        <w:autoSpaceDE w:val="0"/>
        <w:autoSpaceDN w:val="0"/>
        <w:adjustRightInd w:val="0"/>
        <w:rPr>
          <w:szCs w:val="24"/>
        </w:rPr>
      </w:pPr>
    </w:p>
    <w:p w:rsidR="0079412A" w:rsidRPr="0044117E" w:rsidRDefault="001335FE" w:rsidP="0044117E">
      <w:pPr>
        <w:autoSpaceDE w:val="0"/>
        <w:autoSpaceDN w:val="0"/>
        <w:adjustRightInd w:val="0"/>
        <w:rPr>
          <w:szCs w:val="24"/>
        </w:rPr>
      </w:pPr>
      <w:r w:rsidRPr="0044117E">
        <w:rPr>
          <w:szCs w:val="24"/>
        </w:rPr>
        <w:t xml:space="preserve">Surgical closure of VSD is performed as in-hospital procedure only, with </w:t>
      </w:r>
      <w:r w:rsidR="00682688" w:rsidRPr="0044117E">
        <w:rPr>
          <w:szCs w:val="24"/>
        </w:rPr>
        <w:t xml:space="preserve">data indicating that </w:t>
      </w:r>
      <w:r w:rsidRPr="0044117E">
        <w:rPr>
          <w:szCs w:val="24"/>
        </w:rPr>
        <w:t xml:space="preserve">approximately </w:t>
      </w:r>
      <w:r w:rsidR="00006E00" w:rsidRPr="0044117E">
        <w:rPr>
          <w:szCs w:val="24"/>
        </w:rPr>
        <w:t>a quarter of</w:t>
      </w:r>
      <w:r w:rsidRPr="0044117E">
        <w:rPr>
          <w:szCs w:val="24"/>
        </w:rPr>
        <w:t xml:space="preserve"> patients </w:t>
      </w:r>
      <w:r w:rsidR="00050D96" w:rsidRPr="0044117E">
        <w:rPr>
          <w:szCs w:val="24"/>
        </w:rPr>
        <w:t xml:space="preserve">are </w:t>
      </w:r>
      <w:r w:rsidRPr="0044117E">
        <w:rPr>
          <w:szCs w:val="24"/>
        </w:rPr>
        <w:t xml:space="preserve">treated </w:t>
      </w:r>
      <w:r w:rsidR="00006E00" w:rsidRPr="0044117E">
        <w:rPr>
          <w:szCs w:val="24"/>
        </w:rPr>
        <w:t>as</w:t>
      </w:r>
      <w:r w:rsidRPr="0044117E">
        <w:rPr>
          <w:szCs w:val="24"/>
        </w:rPr>
        <w:t xml:space="preserve"> private </w:t>
      </w:r>
      <w:r w:rsidR="00006E00" w:rsidRPr="0044117E">
        <w:rPr>
          <w:szCs w:val="24"/>
        </w:rPr>
        <w:t xml:space="preserve">patients in the public </w:t>
      </w:r>
      <w:r w:rsidRPr="0044117E">
        <w:rPr>
          <w:szCs w:val="24"/>
        </w:rPr>
        <w:t>system.</w:t>
      </w:r>
    </w:p>
    <w:p w:rsidR="0044117E" w:rsidRDefault="0044117E" w:rsidP="0044117E">
      <w:pPr>
        <w:autoSpaceDE w:val="0"/>
        <w:autoSpaceDN w:val="0"/>
        <w:adjustRightInd w:val="0"/>
        <w:rPr>
          <w:szCs w:val="24"/>
        </w:rPr>
      </w:pPr>
    </w:p>
    <w:p w:rsidR="00007634" w:rsidRPr="0044117E" w:rsidRDefault="001B5A82" w:rsidP="0044117E">
      <w:pPr>
        <w:autoSpaceDE w:val="0"/>
        <w:autoSpaceDN w:val="0"/>
        <w:adjustRightInd w:val="0"/>
        <w:rPr>
          <w:szCs w:val="24"/>
        </w:rPr>
      </w:pPr>
      <w:r w:rsidRPr="0044117E">
        <w:rPr>
          <w:szCs w:val="24"/>
        </w:rPr>
        <w:t xml:space="preserve">MBS funding for open heart surgery for congenital heart disease can be found on the 1974 Schedule. A specific MBS item for closure of VSD for congenital heart disease was introduced on the Schedule on 1 November 1992. </w:t>
      </w:r>
      <w:r w:rsidR="006D5AAA" w:rsidRPr="0044117E">
        <w:rPr>
          <w:szCs w:val="24"/>
        </w:rPr>
        <w:t xml:space="preserve">The Health Insurance Regulations </w:t>
      </w:r>
      <w:r w:rsidR="006D5AAA" w:rsidRPr="0044117E">
        <w:rPr>
          <w:i/>
          <w:szCs w:val="24"/>
        </w:rPr>
        <w:t>1973</w:t>
      </w:r>
      <w:r w:rsidR="006D5AAA" w:rsidRPr="0044117E">
        <w:rPr>
          <w:szCs w:val="24"/>
        </w:rPr>
        <w:t xml:space="preserve"> </w:t>
      </w:r>
      <w:r w:rsidR="006D5AAA" w:rsidRPr="0044117E">
        <w:rPr>
          <w:szCs w:val="24"/>
        </w:rPr>
        <w:lastRenderedPageBreak/>
        <w:t xml:space="preserve">exclude transcatheter techniques from MBS item 38751. </w:t>
      </w:r>
      <w:r w:rsidRPr="0044117E">
        <w:rPr>
          <w:szCs w:val="24"/>
        </w:rPr>
        <w:t>The current MBS item descriptor for surgical closure of VSD is presented in the following table.</w:t>
      </w:r>
    </w:p>
    <w:p w:rsidR="0044117E" w:rsidRDefault="0044117E" w:rsidP="0044117E">
      <w:pPr>
        <w:pStyle w:val="Caption"/>
        <w:spacing w:after="0"/>
        <w:rPr>
          <w:color w:val="auto"/>
          <w:sz w:val="22"/>
          <w:szCs w:val="22"/>
        </w:rPr>
      </w:pPr>
    </w:p>
    <w:p w:rsidR="00007634" w:rsidRPr="0044117E" w:rsidRDefault="006A7932" w:rsidP="0044117E">
      <w:pPr>
        <w:pStyle w:val="Caption"/>
        <w:spacing w:after="0"/>
        <w:rPr>
          <w:color w:val="auto"/>
          <w:sz w:val="22"/>
          <w:szCs w:val="22"/>
        </w:rPr>
      </w:pPr>
      <w:r>
        <w:rPr>
          <w:color w:val="auto"/>
          <w:sz w:val="22"/>
          <w:szCs w:val="22"/>
        </w:rPr>
        <w:t xml:space="preserve">Current </w:t>
      </w:r>
      <w:r w:rsidR="00007634" w:rsidRPr="0044117E">
        <w:rPr>
          <w:color w:val="auto"/>
          <w:sz w:val="22"/>
          <w:szCs w:val="22"/>
        </w:rPr>
        <w:t>MBS item descriptor for 38751 as at 1 November 2012</w:t>
      </w:r>
    </w:p>
    <w:p w:rsidR="00007634" w:rsidRPr="0044117E" w:rsidRDefault="00007634" w:rsidP="0044117E">
      <w:pPr>
        <w:pBdr>
          <w:top w:val="single" w:sz="4" w:space="1" w:color="auto"/>
          <w:left w:val="single" w:sz="4" w:space="4" w:color="auto"/>
          <w:bottom w:val="single" w:sz="4" w:space="1" w:color="auto"/>
          <w:right w:val="single" w:sz="4" w:space="4" w:color="auto"/>
        </w:pBdr>
        <w:autoSpaceDE w:val="0"/>
        <w:autoSpaceDN w:val="0"/>
        <w:adjustRightInd w:val="0"/>
        <w:rPr>
          <w:bCs/>
          <w:szCs w:val="24"/>
        </w:rPr>
      </w:pPr>
      <w:r w:rsidRPr="0044117E">
        <w:rPr>
          <w:bCs/>
          <w:szCs w:val="24"/>
        </w:rPr>
        <w:t>Category 3 – Cardio-Thoracic</w:t>
      </w:r>
    </w:p>
    <w:p w:rsidR="001B5A82" w:rsidRPr="0044117E" w:rsidRDefault="001B5A82" w:rsidP="0044117E">
      <w:pPr>
        <w:pBdr>
          <w:top w:val="single" w:sz="4" w:space="1" w:color="auto"/>
          <w:left w:val="single" w:sz="4" w:space="4" w:color="auto"/>
          <w:bottom w:val="single" w:sz="4" w:space="1" w:color="auto"/>
          <w:right w:val="single" w:sz="4" w:space="4" w:color="auto"/>
        </w:pBdr>
        <w:tabs>
          <w:tab w:val="left" w:pos="720"/>
          <w:tab w:val="left" w:pos="1140"/>
        </w:tabs>
        <w:rPr>
          <w:szCs w:val="24"/>
        </w:rPr>
      </w:pPr>
      <w:r w:rsidRPr="0044117E">
        <w:rPr>
          <w:szCs w:val="24"/>
        </w:rPr>
        <w:t xml:space="preserve">38751 </w:t>
      </w:r>
      <w:r w:rsidR="00007634" w:rsidRPr="0044117E">
        <w:rPr>
          <w:szCs w:val="24"/>
        </w:rPr>
        <w:t>VENTRICULAR SEPTAL DEFECT, closure by direct suture or patch, for congenital he</w:t>
      </w:r>
      <w:r w:rsidRPr="0044117E">
        <w:rPr>
          <w:szCs w:val="24"/>
        </w:rPr>
        <w:t>art disease (Anaes.) (Assist.)</w:t>
      </w:r>
    </w:p>
    <w:p w:rsidR="002B20B9" w:rsidRPr="0044117E" w:rsidRDefault="00007634" w:rsidP="0044117E">
      <w:pPr>
        <w:pBdr>
          <w:top w:val="single" w:sz="4" w:space="1" w:color="auto"/>
          <w:left w:val="single" w:sz="4" w:space="4" w:color="auto"/>
          <w:bottom w:val="single" w:sz="4" w:space="1" w:color="auto"/>
          <w:right w:val="single" w:sz="4" w:space="4" w:color="auto"/>
        </w:pBdr>
        <w:tabs>
          <w:tab w:val="left" w:pos="720"/>
          <w:tab w:val="left" w:pos="1140"/>
        </w:tabs>
        <w:rPr>
          <w:szCs w:val="24"/>
        </w:rPr>
      </w:pPr>
      <w:r w:rsidRPr="0044117E">
        <w:rPr>
          <w:szCs w:val="24"/>
        </w:rPr>
        <w:t>Fee: $2,134.50 Benefit: 75% = $1,600.90</w:t>
      </w:r>
    </w:p>
    <w:p w:rsidR="002D0DC6" w:rsidRDefault="002D0DC6" w:rsidP="002D0DC6"/>
    <w:p w:rsidR="00937076" w:rsidRPr="0044117E" w:rsidRDefault="003104C7" w:rsidP="003104C7">
      <w:pPr>
        <w:pStyle w:val="Heading1"/>
      </w:pPr>
      <w:r>
        <w:t>9.</w:t>
      </w:r>
      <w:r>
        <w:tab/>
      </w:r>
      <w:r w:rsidR="00E67C5A" w:rsidRPr="0044117E">
        <w:t xml:space="preserve">Comparative </w:t>
      </w:r>
      <w:r w:rsidR="00C93A35" w:rsidRPr="0044117E">
        <w:t>s</w:t>
      </w:r>
      <w:r w:rsidR="00937076" w:rsidRPr="0044117E">
        <w:t>afety</w:t>
      </w:r>
    </w:p>
    <w:p w:rsidR="00876089" w:rsidRDefault="00876089" w:rsidP="0044117E">
      <w:pPr>
        <w:autoSpaceDE w:val="0"/>
        <w:autoSpaceDN w:val="0"/>
        <w:adjustRightInd w:val="0"/>
        <w:rPr>
          <w:szCs w:val="24"/>
        </w:rPr>
      </w:pPr>
      <w:r w:rsidRPr="0044117E">
        <w:rPr>
          <w:szCs w:val="24"/>
        </w:rPr>
        <w:t>Two comparative studies for transcatheter versus surgical closure of congenital VSD were identified by the literature search for inclusion (Liu 2012 and Xunmin 2007).</w:t>
      </w:r>
      <w:r w:rsidR="00423375">
        <w:rPr>
          <w:szCs w:val="24"/>
        </w:rPr>
        <w:t xml:space="preserve">  </w:t>
      </w:r>
      <w:r w:rsidRPr="0044117E">
        <w:rPr>
          <w:szCs w:val="24"/>
        </w:rPr>
        <w:t xml:space="preserve">Three further articles on transcatheter versus surgical closure of congenital VSD were </w:t>
      </w:r>
      <w:r w:rsidR="00F736E5">
        <w:rPr>
          <w:szCs w:val="24"/>
        </w:rPr>
        <w:t>also included</w:t>
      </w:r>
      <w:r w:rsidRPr="0044117E">
        <w:rPr>
          <w:szCs w:val="24"/>
        </w:rPr>
        <w:t xml:space="preserve"> (Pawelec-Wojtalik 2005, Zheng 2009 and Oses 2010).</w:t>
      </w:r>
    </w:p>
    <w:p w:rsidR="0044117E" w:rsidRPr="0044117E" w:rsidRDefault="0044117E" w:rsidP="0044117E">
      <w:pPr>
        <w:autoSpaceDE w:val="0"/>
        <w:autoSpaceDN w:val="0"/>
        <w:adjustRightInd w:val="0"/>
        <w:rPr>
          <w:szCs w:val="24"/>
        </w:rPr>
      </w:pPr>
    </w:p>
    <w:p w:rsidR="001B4B03" w:rsidRDefault="001B4B03" w:rsidP="0044117E">
      <w:pPr>
        <w:autoSpaceDE w:val="0"/>
        <w:autoSpaceDN w:val="0"/>
        <w:adjustRightInd w:val="0"/>
        <w:rPr>
          <w:szCs w:val="24"/>
        </w:rPr>
      </w:pPr>
      <w:r w:rsidRPr="0044117E">
        <w:rPr>
          <w:szCs w:val="24"/>
        </w:rPr>
        <w:t>All five studies were non-randomised. In all the studies only certain subjects were considered eligible for transcatheter closure. Generally, younger or smaller children and those with large VSDs were considered ineligible. Subjects that did not meet the criteria for transcatheter closure were treated surgically.</w:t>
      </w:r>
    </w:p>
    <w:p w:rsidR="0044117E" w:rsidRPr="0044117E" w:rsidRDefault="0044117E" w:rsidP="0044117E">
      <w:pPr>
        <w:autoSpaceDE w:val="0"/>
        <w:autoSpaceDN w:val="0"/>
        <w:adjustRightInd w:val="0"/>
        <w:rPr>
          <w:szCs w:val="24"/>
        </w:rPr>
      </w:pPr>
    </w:p>
    <w:p w:rsidR="001B4B03" w:rsidRDefault="001B4B03" w:rsidP="0044117E">
      <w:pPr>
        <w:autoSpaceDE w:val="0"/>
        <w:autoSpaceDN w:val="0"/>
        <w:adjustRightInd w:val="0"/>
        <w:rPr>
          <w:szCs w:val="24"/>
        </w:rPr>
      </w:pPr>
      <w:r w:rsidRPr="0044117E">
        <w:rPr>
          <w:szCs w:val="24"/>
        </w:rPr>
        <w:t>As a result of these criteria there were imbalances between treatment groups in patient characteristics in the studies, with patients allocated to transcatheter closure being older, larger/heavier and having smaller VSDs.</w:t>
      </w:r>
    </w:p>
    <w:p w:rsidR="0044117E" w:rsidRPr="0044117E" w:rsidRDefault="0044117E" w:rsidP="0044117E">
      <w:pPr>
        <w:autoSpaceDE w:val="0"/>
        <w:autoSpaceDN w:val="0"/>
        <w:adjustRightInd w:val="0"/>
        <w:rPr>
          <w:szCs w:val="24"/>
        </w:rPr>
      </w:pPr>
    </w:p>
    <w:p w:rsidR="001B4B03" w:rsidRDefault="001B4B03" w:rsidP="0044117E">
      <w:pPr>
        <w:autoSpaceDE w:val="0"/>
        <w:autoSpaceDN w:val="0"/>
        <w:adjustRightInd w:val="0"/>
        <w:rPr>
          <w:szCs w:val="24"/>
        </w:rPr>
      </w:pPr>
      <w:r w:rsidRPr="0044117E">
        <w:rPr>
          <w:szCs w:val="24"/>
        </w:rPr>
        <w:t>The size of the studies varied significantly with one very large study (Zheng 2009) and four smaller studies. As might be expected with non-randomised studies, the treatment arms in the larger studies were not numerically balanced.</w:t>
      </w:r>
    </w:p>
    <w:p w:rsidR="0044117E" w:rsidRPr="0044117E" w:rsidRDefault="0044117E" w:rsidP="0044117E">
      <w:pPr>
        <w:autoSpaceDE w:val="0"/>
        <w:autoSpaceDN w:val="0"/>
        <w:adjustRightInd w:val="0"/>
        <w:rPr>
          <w:szCs w:val="24"/>
        </w:rPr>
      </w:pPr>
    </w:p>
    <w:p w:rsidR="001B4B03" w:rsidRDefault="001B4B03" w:rsidP="0044117E">
      <w:pPr>
        <w:autoSpaceDE w:val="0"/>
        <w:autoSpaceDN w:val="0"/>
        <w:adjustRightInd w:val="0"/>
        <w:rPr>
          <w:szCs w:val="24"/>
        </w:rPr>
      </w:pPr>
      <w:r w:rsidRPr="0044117E">
        <w:rPr>
          <w:szCs w:val="24"/>
        </w:rPr>
        <w:t xml:space="preserve">In Liu (2012) </w:t>
      </w:r>
      <w:r w:rsidR="00423375">
        <w:rPr>
          <w:szCs w:val="24"/>
        </w:rPr>
        <w:t>a different</w:t>
      </w:r>
      <w:r w:rsidR="00423375" w:rsidRPr="0044117E">
        <w:rPr>
          <w:szCs w:val="24"/>
        </w:rPr>
        <w:t xml:space="preserve"> </w:t>
      </w:r>
      <w:r w:rsidRPr="0044117E">
        <w:rPr>
          <w:szCs w:val="24"/>
        </w:rPr>
        <w:t xml:space="preserve">device </w:t>
      </w:r>
      <w:r w:rsidR="00423375">
        <w:rPr>
          <w:szCs w:val="24"/>
        </w:rPr>
        <w:t xml:space="preserve">was used compared to </w:t>
      </w:r>
      <w:r w:rsidRPr="0044117E">
        <w:rPr>
          <w:szCs w:val="24"/>
        </w:rPr>
        <w:t xml:space="preserve">the other four studies </w:t>
      </w:r>
      <w:r w:rsidR="00423375">
        <w:rPr>
          <w:szCs w:val="24"/>
        </w:rPr>
        <w:t xml:space="preserve">which used the same </w:t>
      </w:r>
      <w:r w:rsidRPr="0044117E">
        <w:rPr>
          <w:szCs w:val="24"/>
        </w:rPr>
        <w:t>VSD occluder devices.</w:t>
      </w:r>
    </w:p>
    <w:p w:rsidR="0044117E" w:rsidRPr="0044117E" w:rsidRDefault="0044117E" w:rsidP="0044117E">
      <w:pPr>
        <w:autoSpaceDE w:val="0"/>
        <w:autoSpaceDN w:val="0"/>
        <w:adjustRightInd w:val="0"/>
        <w:rPr>
          <w:szCs w:val="24"/>
        </w:rPr>
      </w:pPr>
    </w:p>
    <w:p w:rsidR="001B4B03" w:rsidRDefault="001B4B03" w:rsidP="0044117E">
      <w:pPr>
        <w:autoSpaceDE w:val="0"/>
        <w:autoSpaceDN w:val="0"/>
        <w:adjustRightInd w:val="0"/>
        <w:rPr>
          <w:szCs w:val="24"/>
        </w:rPr>
      </w:pPr>
      <w:r w:rsidRPr="0044117E">
        <w:rPr>
          <w:szCs w:val="24"/>
        </w:rPr>
        <w:t xml:space="preserve">The Zheng </w:t>
      </w:r>
      <w:r w:rsidR="00F736E5">
        <w:rPr>
          <w:szCs w:val="24"/>
        </w:rPr>
        <w:t>(</w:t>
      </w:r>
      <w:r w:rsidRPr="0044117E">
        <w:rPr>
          <w:szCs w:val="24"/>
        </w:rPr>
        <w:t>2009</w:t>
      </w:r>
      <w:r w:rsidR="00F736E5">
        <w:rPr>
          <w:szCs w:val="24"/>
        </w:rPr>
        <w:t>)</w:t>
      </w:r>
      <w:r w:rsidRPr="0044117E">
        <w:rPr>
          <w:szCs w:val="24"/>
        </w:rPr>
        <w:t xml:space="preserve"> study included subjects with both perimembranous and muscular VSDs. However</w:t>
      </w:r>
      <w:r w:rsidR="00F736E5">
        <w:rPr>
          <w:szCs w:val="24"/>
        </w:rPr>
        <w:t>,</w:t>
      </w:r>
      <w:r w:rsidRPr="0044117E">
        <w:rPr>
          <w:szCs w:val="24"/>
        </w:rPr>
        <w:t xml:space="preserve"> outcomes were only presented for the whole group and were not broken down by VSD type. All the other studies enrolled subjects with perimembranous defects only.</w:t>
      </w:r>
    </w:p>
    <w:p w:rsidR="0044117E" w:rsidRPr="0044117E" w:rsidRDefault="0044117E" w:rsidP="0044117E">
      <w:pPr>
        <w:autoSpaceDE w:val="0"/>
        <w:autoSpaceDN w:val="0"/>
        <w:adjustRightInd w:val="0"/>
        <w:rPr>
          <w:szCs w:val="24"/>
        </w:rPr>
      </w:pPr>
    </w:p>
    <w:p w:rsidR="000442E5" w:rsidRDefault="00876089" w:rsidP="0044117E">
      <w:pPr>
        <w:autoSpaceDE w:val="0"/>
        <w:autoSpaceDN w:val="0"/>
        <w:adjustRightInd w:val="0"/>
        <w:rPr>
          <w:szCs w:val="24"/>
        </w:rPr>
      </w:pPr>
      <w:r w:rsidRPr="0044117E">
        <w:rPr>
          <w:szCs w:val="24"/>
        </w:rPr>
        <w:t>One comparative study for intraoperative device closure (hybrid surgery) versus surgical repair of congenital VSD (Xu 2012) was identified by the literature search.</w:t>
      </w:r>
    </w:p>
    <w:p w:rsidR="000442E5" w:rsidRDefault="000442E5" w:rsidP="0044117E">
      <w:pPr>
        <w:autoSpaceDE w:val="0"/>
        <w:autoSpaceDN w:val="0"/>
        <w:adjustRightInd w:val="0"/>
        <w:rPr>
          <w:szCs w:val="24"/>
        </w:rPr>
      </w:pPr>
    </w:p>
    <w:p w:rsidR="0085682E" w:rsidRPr="009F694E" w:rsidRDefault="0085682E" w:rsidP="000F2EF0">
      <w:pPr>
        <w:pStyle w:val="ListParagraph"/>
        <w:numPr>
          <w:ilvl w:val="0"/>
          <w:numId w:val="25"/>
        </w:numPr>
        <w:autoSpaceDE w:val="0"/>
        <w:autoSpaceDN w:val="0"/>
        <w:adjustRightInd w:val="0"/>
        <w:ind w:left="567" w:hanging="567"/>
        <w:rPr>
          <w:szCs w:val="24"/>
          <w:u w:val="single"/>
        </w:rPr>
      </w:pPr>
      <w:r w:rsidRPr="009F694E">
        <w:rPr>
          <w:szCs w:val="24"/>
          <w:u w:val="single"/>
        </w:rPr>
        <w:t>Mortality rates</w:t>
      </w:r>
    </w:p>
    <w:p w:rsidR="00876089" w:rsidRDefault="0085682E" w:rsidP="0044117E">
      <w:pPr>
        <w:tabs>
          <w:tab w:val="left" w:pos="720"/>
        </w:tabs>
        <w:rPr>
          <w:szCs w:val="24"/>
        </w:rPr>
      </w:pPr>
      <w:r w:rsidRPr="0044117E">
        <w:rPr>
          <w:szCs w:val="24"/>
        </w:rPr>
        <w:t>Only one subject died in the comparative studies. This was a 4-year-old boy who had significant left ventricular dysfunction and myocardial stunning on weaning from cardiopulmonary bypass following surgical VSD repair. The child appears to have died fairly soon after surgery.</w:t>
      </w:r>
    </w:p>
    <w:p w:rsidR="0044117E" w:rsidRPr="0044117E" w:rsidRDefault="0044117E" w:rsidP="0044117E">
      <w:pPr>
        <w:tabs>
          <w:tab w:val="left" w:pos="720"/>
        </w:tabs>
        <w:rPr>
          <w:szCs w:val="24"/>
        </w:rPr>
      </w:pPr>
    </w:p>
    <w:p w:rsidR="0085682E" w:rsidRPr="0044117E" w:rsidRDefault="0085682E" w:rsidP="000F2EF0">
      <w:pPr>
        <w:ind w:left="567" w:hanging="567"/>
        <w:rPr>
          <w:szCs w:val="24"/>
        </w:rPr>
      </w:pPr>
      <w:r w:rsidRPr="0044117E">
        <w:rPr>
          <w:szCs w:val="24"/>
        </w:rPr>
        <w:t xml:space="preserve">2. </w:t>
      </w:r>
      <w:r w:rsidR="000F2EF0">
        <w:rPr>
          <w:szCs w:val="24"/>
        </w:rPr>
        <w:tab/>
      </w:r>
      <w:r w:rsidRPr="0044117E">
        <w:rPr>
          <w:szCs w:val="24"/>
          <w:u w:val="single"/>
        </w:rPr>
        <w:t>Overall complications</w:t>
      </w:r>
    </w:p>
    <w:p w:rsidR="0085682E" w:rsidRPr="0044117E" w:rsidRDefault="0085682E" w:rsidP="0044117E">
      <w:pPr>
        <w:tabs>
          <w:tab w:val="left" w:pos="720"/>
        </w:tabs>
        <w:rPr>
          <w:szCs w:val="24"/>
        </w:rPr>
      </w:pPr>
      <w:r w:rsidRPr="0044117E">
        <w:rPr>
          <w:szCs w:val="24"/>
        </w:rPr>
        <w:t>Four of the studies reported the incidence of important complications. The descriptor used for inclusion of such complications varied across studies, and the incidence figures obtained varied significantly. However</w:t>
      </w:r>
      <w:r w:rsidR="00B85DB8">
        <w:rPr>
          <w:szCs w:val="24"/>
        </w:rPr>
        <w:t>,</w:t>
      </w:r>
      <w:r w:rsidRPr="0044117E">
        <w:rPr>
          <w:szCs w:val="24"/>
        </w:rPr>
        <w:t xml:space="preserve"> in all four studies there did not appear to be a significant difference in the incidence of such events between closure methods.</w:t>
      </w:r>
    </w:p>
    <w:p w:rsidR="0044117E" w:rsidRDefault="0044117E" w:rsidP="0044117E">
      <w:pPr>
        <w:tabs>
          <w:tab w:val="left" w:pos="720"/>
        </w:tabs>
        <w:rPr>
          <w:szCs w:val="24"/>
        </w:rPr>
      </w:pPr>
    </w:p>
    <w:p w:rsidR="0085682E" w:rsidRPr="0044117E" w:rsidRDefault="0085682E" w:rsidP="0044117E">
      <w:pPr>
        <w:tabs>
          <w:tab w:val="left" w:pos="720"/>
        </w:tabs>
        <w:rPr>
          <w:szCs w:val="24"/>
        </w:rPr>
      </w:pPr>
      <w:r w:rsidRPr="0044117E">
        <w:rPr>
          <w:szCs w:val="24"/>
        </w:rPr>
        <w:t>Two studies also reported on the incidence of minor complications. In both studies the incidence of such complications was higher with surgical closure.</w:t>
      </w:r>
    </w:p>
    <w:p w:rsidR="0044117E" w:rsidRDefault="0044117E" w:rsidP="0044117E">
      <w:pPr>
        <w:tabs>
          <w:tab w:val="left" w:pos="720"/>
        </w:tabs>
        <w:rPr>
          <w:szCs w:val="24"/>
        </w:rPr>
      </w:pPr>
    </w:p>
    <w:p w:rsidR="0085682E" w:rsidRPr="0044117E" w:rsidRDefault="0085682E" w:rsidP="0044117E">
      <w:pPr>
        <w:tabs>
          <w:tab w:val="left" w:pos="720"/>
        </w:tabs>
        <w:rPr>
          <w:szCs w:val="24"/>
        </w:rPr>
      </w:pPr>
      <w:r w:rsidRPr="0044117E">
        <w:rPr>
          <w:szCs w:val="24"/>
        </w:rPr>
        <w:t>The same two studies reported on the total complications rate (i.e. important plus minor complications).</w:t>
      </w:r>
    </w:p>
    <w:p w:rsidR="0044117E" w:rsidRDefault="0044117E" w:rsidP="0044117E">
      <w:pPr>
        <w:tabs>
          <w:tab w:val="left" w:pos="720"/>
        </w:tabs>
        <w:rPr>
          <w:szCs w:val="24"/>
        </w:rPr>
      </w:pPr>
    </w:p>
    <w:p w:rsidR="0085682E" w:rsidRPr="0044117E" w:rsidRDefault="0085682E" w:rsidP="0044117E">
      <w:pPr>
        <w:tabs>
          <w:tab w:val="left" w:pos="720"/>
        </w:tabs>
        <w:rPr>
          <w:szCs w:val="24"/>
        </w:rPr>
      </w:pPr>
      <w:r w:rsidRPr="0044117E">
        <w:rPr>
          <w:szCs w:val="24"/>
        </w:rPr>
        <w:t xml:space="preserve">Significant haemorrhage was reported only with surgical closure in the submitted studies. One patient in Xunmin </w:t>
      </w:r>
      <w:r w:rsidR="002E1718">
        <w:rPr>
          <w:szCs w:val="24"/>
        </w:rPr>
        <w:t>(</w:t>
      </w:r>
      <w:r w:rsidRPr="0044117E">
        <w:rPr>
          <w:szCs w:val="24"/>
        </w:rPr>
        <w:t>2007</w:t>
      </w:r>
      <w:r w:rsidR="002E1718">
        <w:rPr>
          <w:szCs w:val="24"/>
        </w:rPr>
        <w:t>)</w:t>
      </w:r>
      <w:r w:rsidRPr="0044117E">
        <w:rPr>
          <w:szCs w:val="24"/>
        </w:rPr>
        <w:t xml:space="preserve">, and six patients in Zheng </w:t>
      </w:r>
      <w:r w:rsidR="002E1718">
        <w:rPr>
          <w:szCs w:val="24"/>
        </w:rPr>
        <w:t>(</w:t>
      </w:r>
      <w:r w:rsidRPr="0044117E">
        <w:rPr>
          <w:szCs w:val="24"/>
        </w:rPr>
        <w:t>2009</w:t>
      </w:r>
      <w:r w:rsidR="002E1718">
        <w:rPr>
          <w:szCs w:val="24"/>
        </w:rPr>
        <w:t>)</w:t>
      </w:r>
      <w:r w:rsidRPr="0044117E">
        <w:rPr>
          <w:szCs w:val="24"/>
        </w:rPr>
        <w:t xml:space="preserve"> required re-operation for bleeding. The percentage of patients requiring blood products was notably less frequent with catheter closure.</w:t>
      </w:r>
    </w:p>
    <w:p w:rsidR="0044117E" w:rsidRDefault="0044117E" w:rsidP="0044117E">
      <w:pPr>
        <w:tabs>
          <w:tab w:val="left" w:pos="720"/>
        </w:tabs>
        <w:rPr>
          <w:szCs w:val="24"/>
        </w:rPr>
      </w:pPr>
    </w:p>
    <w:p w:rsidR="0085682E" w:rsidRPr="0044117E" w:rsidRDefault="0085682E" w:rsidP="0044117E">
      <w:pPr>
        <w:tabs>
          <w:tab w:val="left" w:pos="720"/>
        </w:tabs>
        <w:rPr>
          <w:szCs w:val="24"/>
        </w:rPr>
      </w:pPr>
      <w:r w:rsidRPr="0044117E">
        <w:rPr>
          <w:szCs w:val="24"/>
        </w:rPr>
        <w:t xml:space="preserve">Pericardial effusion occurred only in patients receiving surgical closure. In Xunmin </w:t>
      </w:r>
      <w:r w:rsidR="002E1718">
        <w:rPr>
          <w:szCs w:val="24"/>
        </w:rPr>
        <w:t>(</w:t>
      </w:r>
      <w:r w:rsidRPr="0044117E">
        <w:rPr>
          <w:szCs w:val="24"/>
        </w:rPr>
        <w:t>2007</w:t>
      </w:r>
      <w:r w:rsidR="002E1718">
        <w:rPr>
          <w:szCs w:val="24"/>
        </w:rPr>
        <w:t>)</w:t>
      </w:r>
      <w:r w:rsidRPr="0044117E">
        <w:rPr>
          <w:szCs w:val="24"/>
        </w:rPr>
        <w:t xml:space="preserve"> (n=1) and Oses </w:t>
      </w:r>
      <w:r w:rsidR="002E1718">
        <w:rPr>
          <w:szCs w:val="24"/>
        </w:rPr>
        <w:t>(</w:t>
      </w:r>
      <w:r w:rsidRPr="0044117E">
        <w:rPr>
          <w:szCs w:val="24"/>
        </w:rPr>
        <w:t>2010</w:t>
      </w:r>
      <w:r w:rsidR="002E1718">
        <w:rPr>
          <w:szCs w:val="24"/>
        </w:rPr>
        <w:t>)</w:t>
      </w:r>
      <w:r w:rsidRPr="0044117E">
        <w:rPr>
          <w:szCs w:val="24"/>
        </w:rPr>
        <w:t xml:space="preserve"> (n=2) the patients who developed </w:t>
      </w:r>
      <w:r w:rsidR="00225FD4">
        <w:rPr>
          <w:szCs w:val="24"/>
        </w:rPr>
        <w:t xml:space="preserve">a </w:t>
      </w:r>
      <w:r w:rsidRPr="0044117E">
        <w:rPr>
          <w:szCs w:val="24"/>
        </w:rPr>
        <w:t xml:space="preserve">pericardial effusion required drainage. In Zheng </w:t>
      </w:r>
      <w:r w:rsidR="002E1718">
        <w:rPr>
          <w:szCs w:val="24"/>
        </w:rPr>
        <w:t>(</w:t>
      </w:r>
      <w:r w:rsidRPr="0044117E">
        <w:rPr>
          <w:szCs w:val="24"/>
        </w:rPr>
        <w:t>2009</w:t>
      </w:r>
      <w:r w:rsidR="002E1718">
        <w:rPr>
          <w:szCs w:val="24"/>
        </w:rPr>
        <w:t>),</w:t>
      </w:r>
      <w:r w:rsidRPr="0044117E">
        <w:rPr>
          <w:szCs w:val="24"/>
        </w:rPr>
        <w:t xml:space="preserve"> six patients developed effusions but no further information was provided.</w:t>
      </w:r>
    </w:p>
    <w:p w:rsidR="002E1718" w:rsidRDefault="002E1718" w:rsidP="0044117E">
      <w:pPr>
        <w:tabs>
          <w:tab w:val="left" w:pos="720"/>
        </w:tabs>
        <w:rPr>
          <w:szCs w:val="24"/>
        </w:rPr>
      </w:pPr>
    </w:p>
    <w:p w:rsidR="0085682E" w:rsidRPr="0044117E" w:rsidRDefault="0085682E" w:rsidP="0044117E">
      <w:pPr>
        <w:tabs>
          <w:tab w:val="left" w:pos="720"/>
        </w:tabs>
        <w:rPr>
          <w:szCs w:val="24"/>
        </w:rPr>
      </w:pPr>
      <w:r w:rsidRPr="0044117E">
        <w:rPr>
          <w:szCs w:val="24"/>
        </w:rPr>
        <w:t>The infections identified in the five studies were generally pneumonia or wound infection. These were only reported in patients treated with surgical closure.</w:t>
      </w:r>
    </w:p>
    <w:p w:rsidR="004605D7" w:rsidRDefault="004605D7" w:rsidP="0044117E">
      <w:pPr>
        <w:tabs>
          <w:tab w:val="left" w:pos="720"/>
        </w:tabs>
        <w:rPr>
          <w:szCs w:val="24"/>
        </w:rPr>
      </w:pPr>
    </w:p>
    <w:p w:rsidR="0085682E" w:rsidRPr="0044117E" w:rsidRDefault="0085682E" w:rsidP="0044117E">
      <w:pPr>
        <w:tabs>
          <w:tab w:val="left" w:pos="720"/>
        </w:tabs>
        <w:rPr>
          <w:szCs w:val="24"/>
        </w:rPr>
      </w:pPr>
      <w:r w:rsidRPr="0044117E">
        <w:rPr>
          <w:szCs w:val="24"/>
        </w:rPr>
        <w:t>In a number of the cases in the transcatheter group, subjects developed complete atrioventricular block (AVB) during the procedure. In these cases the catheterisation procedure was aborted and surgical VSD closure undertaken. In only one s</w:t>
      </w:r>
      <w:r w:rsidR="002E1718">
        <w:rPr>
          <w:szCs w:val="24"/>
        </w:rPr>
        <w:t>tudy (</w:t>
      </w:r>
      <w:r w:rsidRPr="0044117E">
        <w:rPr>
          <w:szCs w:val="24"/>
        </w:rPr>
        <w:t>Oses 2010) was there a suggestion of an increased incidence of pacemaker insertion (5.4% vs. 2.9%). However</w:t>
      </w:r>
      <w:r w:rsidR="002E1718">
        <w:rPr>
          <w:szCs w:val="24"/>
        </w:rPr>
        <w:t>,</w:t>
      </w:r>
      <w:r w:rsidRPr="0044117E">
        <w:rPr>
          <w:szCs w:val="24"/>
        </w:rPr>
        <w:t xml:space="preserve"> the difference in terms of numbers of patients was small (2 vs. 1 patient).</w:t>
      </w:r>
    </w:p>
    <w:p w:rsidR="004605D7" w:rsidRDefault="004605D7" w:rsidP="0044117E">
      <w:pPr>
        <w:tabs>
          <w:tab w:val="left" w:pos="720"/>
        </w:tabs>
        <w:rPr>
          <w:szCs w:val="24"/>
        </w:rPr>
      </w:pPr>
    </w:p>
    <w:p w:rsidR="0085682E" w:rsidRPr="0044117E" w:rsidRDefault="0085682E" w:rsidP="0044117E">
      <w:pPr>
        <w:tabs>
          <w:tab w:val="left" w:pos="720"/>
        </w:tabs>
        <w:rPr>
          <w:szCs w:val="24"/>
        </w:rPr>
      </w:pPr>
      <w:r w:rsidRPr="0044117E">
        <w:rPr>
          <w:szCs w:val="24"/>
        </w:rPr>
        <w:t>Left bundle branch block occurred with a slightly higher incidence with transcatheter closure, whereas right bundle branch block was notably increased with surgical closure.</w:t>
      </w:r>
      <w:r w:rsidR="002E1718">
        <w:rPr>
          <w:szCs w:val="24"/>
        </w:rPr>
        <w:t xml:space="preserve"> One study (O</w:t>
      </w:r>
      <w:r w:rsidR="00F43280" w:rsidRPr="0044117E">
        <w:rPr>
          <w:szCs w:val="24"/>
        </w:rPr>
        <w:t>ses 2010) reported on PR and QRS intervals. Transcatheter closure was associated with significant prolongation of mean PR interval at long-term follow-up. There were no significant differences in mean QRS interval.</w:t>
      </w:r>
    </w:p>
    <w:p w:rsidR="004605D7" w:rsidRDefault="004605D7" w:rsidP="0044117E">
      <w:pPr>
        <w:tabs>
          <w:tab w:val="left" w:pos="720"/>
        </w:tabs>
        <w:rPr>
          <w:szCs w:val="24"/>
        </w:rPr>
      </w:pPr>
    </w:p>
    <w:p w:rsidR="0085682E" w:rsidRPr="0044117E" w:rsidRDefault="00F43280" w:rsidP="0044117E">
      <w:pPr>
        <w:tabs>
          <w:tab w:val="left" w:pos="720"/>
        </w:tabs>
        <w:rPr>
          <w:szCs w:val="24"/>
        </w:rPr>
      </w:pPr>
      <w:r w:rsidRPr="0044117E">
        <w:rPr>
          <w:szCs w:val="24"/>
        </w:rPr>
        <w:t>Device embolisation was reported in only one of the five studies (Oses 2010). The device embolised into the left ventricle during the catheterization procedure in one subject. The patient underwent emergency surgery including VSD repair.</w:t>
      </w:r>
    </w:p>
    <w:p w:rsidR="004605D7" w:rsidRDefault="004605D7" w:rsidP="0044117E">
      <w:pPr>
        <w:tabs>
          <w:tab w:val="left" w:pos="720"/>
        </w:tabs>
        <w:rPr>
          <w:szCs w:val="24"/>
        </w:rPr>
      </w:pPr>
    </w:p>
    <w:p w:rsidR="00F43280" w:rsidRPr="0044117E" w:rsidRDefault="00F43280" w:rsidP="0044117E">
      <w:pPr>
        <w:tabs>
          <w:tab w:val="left" w:pos="720"/>
        </w:tabs>
        <w:rPr>
          <w:szCs w:val="24"/>
        </w:rPr>
      </w:pPr>
      <w:r w:rsidRPr="0044117E">
        <w:rPr>
          <w:szCs w:val="24"/>
        </w:rPr>
        <w:t>The studies did not suggest that percutaneous closure was associated with an increased incidence of cardiac valve incompetence.</w:t>
      </w:r>
    </w:p>
    <w:p w:rsidR="004605D7" w:rsidRDefault="004605D7" w:rsidP="0044117E">
      <w:pPr>
        <w:tabs>
          <w:tab w:val="left" w:pos="720"/>
        </w:tabs>
        <w:rPr>
          <w:szCs w:val="24"/>
        </w:rPr>
      </w:pPr>
    </w:p>
    <w:p w:rsidR="00F43280" w:rsidRPr="0044117E" w:rsidRDefault="00F43280" w:rsidP="0044117E">
      <w:pPr>
        <w:tabs>
          <w:tab w:val="left" w:pos="720"/>
        </w:tabs>
        <w:rPr>
          <w:szCs w:val="24"/>
        </w:rPr>
      </w:pPr>
      <w:r w:rsidRPr="0044117E">
        <w:rPr>
          <w:szCs w:val="24"/>
        </w:rPr>
        <w:t>In one of the studies (Liu 2012), there was a statistically significant difference in mean LVEF in favour of surgery. However the difference was not clinically significant and was not found in the other two studies.</w:t>
      </w:r>
    </w:p>
    <w:p w:rsidR="004605D7" w:rsidRDefault="004605D7" w:rsidP="0044117E">
      <w:pPr>
        <w:tabs>
          <w:tab w:val="left" w:pos="720"/>
        </w:tabs>
        <w:rPr>
          <w:szCs w:val="24"/>
        </w:rPr>
      </w:pPr>
    </w:p>
    <w:p w:rsidR="00F43280" w:rsidRPr="0044117E" w:rsidRDefault="00F43280" w:rsidP="0044117E">
      <w:pPr>
        <w:tabs>
          <w:tab w:val="left" w:pos="720"/>
        </w:tabs>
        <w:rPr>
          <w:szCs w:val="24"/>
        </w:rPr>
      </w:pPr>
      <w:r w:rsidRPr="0044117E">
        <w:rPr>
          <w:szCs w:val="24"/>
        </w:rPr>
        <w:t>Transcatheter closure appeared to be associated with a small increased risk of blood vessel injury and transient device thrombus. Transcatheter closure did not appear to be associated with an increased incidence of any other specific adverse event.</w:t>
      </w:r>
    </w:p>
    <w:p w:rsidR="004605D7" w:rsidRDefault="004605D7" w:rsidP="0044117E">
      <w:pPr>
        <w:tabs>
          <w:tab w:val="left" w:pos="720"/>
        </w:tabs>
        <w:rPr>
          <w:b/>
          <w:szCs w:val="24"/>
        </w:rPr>
      </w:pPr>
    </w:p>
    <w:p w:rsidR="0085682E" w:rsidRPr="0044117E" w:rsidRDefault="00F43280" w:rsidP="0044117E">
      <w:pPr>
        <w:tabs>
          <w:tab w:val="left" w:pos="720"/>
        </w:tabs>
        <w:rPr>
          <w:b/>
          <w:szCs w:val="24"/>
        </w:rPr>
      </w:pPr>
      <w:r w:rsidRPr="0044117E">
        <w:rPr>
          <w:b/>
          <w:szCs w:val="24"/>
        </w:rPr>
        <w:t>Hybrid closure</w:t>
      </w:r>
    </w:p>
    <w:p w:rsidR="000F0F55" w:rsidRPr="0044117E" w:rsidRDefault="000F0F55" w:rsidP="0044117E">
      <w:pPr>
        <w:tabs>
          <w:tab w:val="left" w:pos="720"/>
        </w:tabs>
        <w:rPr>
          <w:szCs w:val="24"/>
        </w:rPr>
      </w:pPr>
      <w:r w:rsidRPr="0044117E">
        <w:rPr>
          <w:szCs w:val="24"/>
        </w:rPr>
        <w:t>There were no deaths in either group in the study.</w:t>
      </w:r>
    </w:p>
    <w:p w:rsidR="004605D7" w:rsidRDefault="004605D7" w:rsidP="0044117E">
      <w:pPr>
        <w:tabs>
          <w:tab w:val="left" w:pos="720"/>
        </w:tabs>
        <w:rPr>
          <w:szCs w:val="24"/>
        </w:rPr>
      </w:pPr>
    </w:p>
    <w:p w:rsidR="00F43280" w:rsidRPr="0044117E" w:rsidRDefault="000F0F55" w:rsidP="0044117E">
      <w:pPr>
        <w:tabs>
          <w:tab w:val="left" w:pos="720"/>
        </w:tabs>
        <w:rPr>
          <w:szCs w:val="24"/>
        </w:rPr>
      </w:pPr>
      <w:r w:rsidRPr="0044117E">
        <w:rPr>
          <w:szCs w:val="24"/>
        </w:rPr>
        <w:t>The incidence of overall complications was higher in the surgery group, however there was no significant difference in the incidence of major complications.</w:t>
      </w:r>
    </w:p>
    <w:p w:rsidR="004605D7" w:rsidRDefault="004605D7" w:rsidP="0044117E">
      <w:pPr>
        <w:tabs>
          <w:tab w:val="left" w:pos="720"/>
        </w:tabs>
        <w:rPr>
          <w:szCs w:val="24"/>
        </w:rPr>
      </w:pPr>
    </w:p>
    <w:p w:rsidR="000F0F55" w:rsidRPr="0044117E" w:rsidRDefault="000F0F55" w:rsidP="0044117E">
      <w:pPr>
        <w:tabs>
          <w:tab w:val="left" w:pos="720"/>
        </w:tabs>
        <w:rPr>
          <w:szCs w:val="24"/>
        </w:rPr>
      </w:pPr>
      <w:r w:rsidRPr="0044117E">
        <w:rPr>
          <w:szCs w:val="24"/>
        </w:rPr>
        <w:lastRenderedPageBreak/>
        <w:t>There were no cases of haemorrhage reported for the study. Blo</w:t>
      </w:r>
      <w:r w:rsidR="002E1718">
        <w:rPr>
          <w:szCs w:val="24"/>
        </w:rPr>
        <w:t>od products were required in 9</w:t>
      </w:r>
      <w:r w:rsidRPr="0044117E">
        <w:rPr>
          <w:szCs w:val="24"/>
        </w:rPr>
        <w:t xml:space="preserve">% of subjects in the hybrid surgery group </w:t>
      </w:r>
      <w:r w:rsidR="002E1718">
        <w:rPr>
          <w:szCs w:val="24"/>
        </w:rPr>
        <w:t>and 100</w:t>
      </w:r>
      <w:r w:rsidRPr="0044117E">
        <w:rPr>
          <w:szCs w:val="24"/>
        </w:rPr>
        <w:t>% of patients in the surgery group (p-value not reported).</w:t>
      </w:r>
    </w:p>
    <w:p w:rsidR="004605D7" w:rsidRDefault="004605D7" w:rsidP="0044117E">
      <w:pPr>
        <w:tabs>
          <w:tab w:val="left" w:pos="720"/>
        </w:tabs>
        <w:rPr>
          <w:szCs w:val="24"/>
        </w:rPr>
      </w:pPr>
    </w:p>
    <w:p w:rsidR="000F0F55" w:rsidRPr="0044117E" w:rsidRDefault="000F0F55" w:rsidP="0044117E">
      <w:pPr>
        <w:tabs>
          <w:tab w:val="left" w:pos="720"/>
        </w:tabs>
        <w:rPr>
          <w:szCs w:val="24"/>
        </w:rPr>
      </w:pPr>
      <w:r w:rsidRPr="0044117E">
        <w:rPr>
          <w:szCs w:val="24"/>
        </w:rPr>
        <w:t>Pericardial effusion was only reported in the surgery group. In three patients the pericardial effusion was considered a major complication, requiring surgical drainage, with 250mLs draining in the first 24 hours. In the other two subjects the pericardial effusions were considered minor.</w:t>
      </w:r>
    </w:p>
    <w:p w:rsidR="004605D7" w:rsidRDefault="004605D7" w:rsidP="0044117E">
      <w:pPr>
        <w:tabs>
          <w:tab w:val="left" w:pos="720"/>
        </w:tabs>
        <w:rPr>
          <w:szCs w:val="24"/>
        </w:rPr>
      </w:pPr>
    </w:p>
    <w:p w:rsidR="000F0F55" w:rsidRPr="0044117E" w:rsidRDefault="000F0F55" w:rsidP="0044117E">
      <w:pPr>
        <w:tabs>
          <w:tab w:val="left" w:pos="720"/>
        </w:tabs>
        <w:rPr>
          <w:szCs w:val="24"/>
        </w:rPr>
      </w:pPr>
      <w:r w:rsidRPr="0044117E">
        <w:rPr>
          <w:szCs w:val="24"/>
        </w:rPr>
        <w:t>Infective complications were also only reported in the surgery group. All seven infections in the surgery group were cases of pneumonia, and all were considered minor complications.</w:t>
      </w:r>
    </w:p>
    <w:p w:rsidR="000F0F55" w:rsidRPr="0044117E" w:rsidRDefault="000F0F55" w:rsidP="0044117E">
      <w:pPr>
        <w:tabs>
          <w:tab w:val="left" w:pos="720"/>
        </w:tabs>
        <w:rPr>
          <w:szCs w:val="24"/>
        </w:rPr>
      </w:pPr>
      <w:r w:rsidRPr="0044117E">
        <w:rPr>
          <w:szCs w:val="24"/>
        </w:rPr>
        <w:t xml:space="preserve">The incidence of complete AVB was higher in the hybrid surgery group. There was </w:t>
      </w:r>
      <w:r w:rsidR="00050D96" w:rsidRPr="0044117E">
        <w:rPr>
          <w:szCs w:val="24"/>
        </w:rPr>
        <w:t xml:space="preserve">one </w:t>
      </w:r>
      <w:r w:rsidRPr="0044117E">
        <w:rPr>
          <w:szCs w:val="24"/>
        </w:rPr>
        <w:t>case of grade II AVB in the conventional surgery group. In the hybrid surgery group, one subject developed transient complete AVB during the procedure and reverted to sinus rhythm when the device was withdrawn. The patient then underwent conventional surgical closure. The other subject developed complete AVB on the fifth day after surgery and reverted to sinus rhythm after a three-day course of corticosteroids. Neither patient required pacemaker insertion.</w:t>
      </w:r>
    </w:p>
    <w:p w:rsidR="004605D7" w:rsidRDefault="004605D7" w:rsidP="0044117E">
      <w:pPr>
        <w:tabs>
          <w:tab w:val="left" w:pos="720"/>
        </w:tabs>
        <w:rPr>
          <w:szCs w:val="24"/>
        </w:rPr>
      </w:pPr>
    </w:p>
    <w:p w:rsidR="000F0F55" w:rsidRPr="0044117E" w:rsidRDefault="000F0F55" w:rsidP="0044117E">
      <w:pPr>
        <w:tabs>
          <w:tab w:val="left" w:pos="720"/>
        </w:tabs>
        <w:rPr>
          <w:szCs w:val="24"/>
        </w:rPr>
      </w:pPr>
      <w:r w:rsidRPr="0044117E">
        <w:rPr>
          <w:szCs w:val="24"/>
        </w:rPr>
        <w:t>In the conventional surgery group, the subject with grade II AVB reverted to sinus rhythm after a two-day course of corticosteroids.</w:t>
      </w:r>
    </w:p>
    <w:p w:rsidR="002E1718" w:rsidRDefault="002E1718" w:rsidP="0044117E">
      <w:pPr>
        <w:tabs>
          <w:tab w:val="left" w:pos="720"/>
        </w:tabs>
        <w:rPr>
          <w:szCs w:val="24"/>
        </w:rPr>
      </w:pPr>
    </w:p>
    <w:p w:rsidR="000F0F55" w:rsidRPr="0044117E" w:rsidRDefault="000F0F55" w:rsidP="0044117E">
      <w:pPr>
        <w:tabs>
          <w:tab w:val="left" w:pos="720"/>
        </w:tabs>
        <w:rPr>
          <w:szCs w:val="24"/>
        </w:rPr>
      </w:pPr>
      <w:r w:rsidRPr="0044117E">
        <w:rPr>
          <w:szCs w:val="24"/>
        </w:rPr>
        <w:t>As with transcatheter closure, cases of left bundle branch block were more common after device placement and cases of right bundle branch block were more common following conventional surgery.</w:t>
      </w:r>
    </w:p>
    <w:p w:rsidR="004605D7" w:rsidRDefault="004605D7" w:rsidP="0044117E">
      <w:pPr>
        <w:tabs>
          <w:tab w:val="left" w:pos="720"/>
        </w:tabs>
        <w:rPr>
          <w:szCs w:val="24"/>
        </w:rPr>
      </w:pPr>
    </w:p>
    <w:p w:rsidR="000F0F55" w:rsidRPr="0044117E" w:rsidRDefault="000F0F55" w:rsidP="0044117E">
      <w:pPr>
        <w:tabs>
          <w:tab w:val="left" w:pos="720"/>
        </w:tabs>
        <w:rPr>
          <w:szCs w:val="24"/>
        </w:rPr>
      </w:pPr>
      <w:r w:rsidRPr="0044117E">
        <w:rPr>
          <w:szCs w:val="24"/>
        </w:rPr>
        <w:t>No cases of device embolisation, displacement or misplacement were reported.</w:t>
      </w:r>
    </w:p>
    <w:p w:rsidR="000F0F55" w:rsidRPr="0044117E" w:rsidRDefault="000F0F55" w:rsidP="0044117E">
      <w:pPr>
        <w:tabs>
          <w:tab w:val="left" w:pos="720"/>
        </w:tabs>
        <w:rPr>
          <w:szCs w:val="24"/>
        </w:rPr>
      </w:pPr>
      <w:r w:rsidRPr="0044117E">
        <w:rPr>
          <w:szCs w:val="24"/>
        </w:rPr>
        <w:t xml:space="preserve">In Xu </w:t>
      </w:r>
      <w:r w:rsidR="00DB3042">
        <w:rPr>
          <w:szCs w:val="24"/>
        </w:rPr>
        <w:t>(</w:t>
      </w:r>
      <w:r w:rsidRPr="0044117E">
        <w:rPr>
          <w:szCs w:val="24"/>
        </w:rPr>
        <w:t>2012</w:t>
      </w:r>
      <w:r w:rsidR="00DB3042">
        <w:rPr>
          <w:szCs w:val="24"/>
        </w:rPr>
        <w:t>),</w:t>
      </w:r>
      <w:r w:rsidRPr="0044117E">
        <w:rPr>
          <w:szCs w:val="24"/>
        </w:rPr>
        <w:t xml:space="preserve"> there was an increased incidence of new tricuspid incompetence following hybrid surgery. The three cases were described as ‘trivial or mild’. With long-term follow up the degree of regurgitation decreased in one subject and remained stable in the other two. There were no reports of new onset aortic or mitral valve incompetence.</w:t>
      </w:r>
    </w:p>
    <w:p w:rsidR="004605D7" w:rsidRDefault="004605D7" w:rsidP="0044117E">
      <w:pPr>
        <w:tabs>
          <w:tab w:val="left" w:pos="720"/>
        </w:tabs>
        <w:rPr>
          <w:szCs w:val="24"/>
        </w:rPr>
      </w:pPr>
    </w:p>
    <w:p w:rsidR="00F43280" w:rsidRPr="0044117E" w:rsidRDefault="000F0F55" w:rsidP="0044117E">
      <w:pPr>
        <w:tabs>
          <w:tab w:val="left" w:pos="720"/>
        </w:tabs>
        <w:rPr>
          <w:szCs w:val="24"/>
        </w:rPr>
      </w:pPr>
      <w:r w:rsidRPr="0044117E">
        <w:rPr>
          <w:szCs w:val="24"/>
        </w:rPr>
        <w:t>The only other adverse event reported was atrial premature beats, with an incidence of 2/89 (2.2%) in the hybrid surgery group and 2/97 (2.1%) in the conventional surgery group.</w:t>
      </w:r>
    </w:p>
    <w:p w:rsidR="004605D7" w:rsidRDefault="004605D7" w:rsidP="0044117E">
      <w:pPr>
        <w:tabs>
          <w:tab w:val="left" w:pos="720"/>
        </w:tabs>
        <w:rPr>
          <w:szCs w:val="24"/>
        </w:rPr>
      </w:pPr>
    </w:p>
    <w:p w:rsidR="004605D7" w:rsidRDefault="00062BDF" w:rsidP="0044117E">
      <w:pPr>
        <w:tabs>
          <w:tab w:val="left" w:pos="720"/>
        </w:tabs>
        <w:rPr>
          <w:szCs w:val="24"/>
        </w:rPr>
      </w:pPr>
      <w:r w:rsidRPr="0044117E">
        <w:rPr>
          <w:szCs w:val="24"/>
        </w:rPr>
        <w:t xml:space="preserve">In terms of safety, transcatheter closure is associated with a comparable incidence of major complications, and a lower incidence of minor complications compared to surgical closure. </w:t>
      </w:r>
    </w:p>
    <w:p w:rsidR="004605D7" w:rsidRDefault="004605D7" w:rsidP="0044117E">
      <w:pPr>
        <w:tabs>
          <w:tab w:val="left" w:pos="720"/>
        </w:tabs>
        <w:rPr>
          <w:szCs w:val="24"/>
        </w:rPr>
      </w:pPr>
    </w:p>
    <w:p w:rsidR="0079412A" w:rsidRPr="0044117E" w:rsidRDefault="00062BDF" w:rsidP="0044117E">
      <w:pPr>
        <w:tabs>
          <w:tab w:val="left" w:pos="720"/>
        </w:tabs>
        <w:rPr>
          <w:szCs w:val="24"/>
        </w:rPr>
      </w:pPr>
      <w:r w:rsidRPr="0044117E">
        <w:rPr>
          <w:szCs w:val="24"/>
        </w:rPr>
        <w:t>Concern has been expressed in the literature regarding a potentially increased risk of complete atrioventricular block with transcatheter closure (Penny 2011). However</w:t>
      </w:r>
      <w:r w:rsidR="00DB3042">
        <w:rPr>
          <w:szCs w:val="24"/>
        </w:rPr>
        <w:t>,</w:t>
      </w:r>
      <w:r w:rsidRPr="0044117E">
        <w:rPr>
          <w:szCs w:val="24"/>
        </w:rPr>
        <w:t xml:space="preserve"> this was not a consistent finding in the comparative studies, and the incidence of permanent pacemaker insertion was comparable for the two treatment modalities. As might be expected, the comparative studies suggested that transcatheter closure is associated with some increased risk of blood vessel injury and transient thrombosis on the device. There was no suggestion of an increased incidence of any other adverse event.</w:t>
      </w:r>
    </w:p>
    <w:p w:rsidR="004605D7" w:rsidRDefault="004605D7" w:rsidP="009A4EC2">
      <w:pPr>
        <w:tabs>
          <w:tab w:val="left" w:pos="567"/>
          <w:tab w:val="left" w:pos="720"/>
        </w:tabs>
        <w:rPr>
          <w:szCs w:val="24"/>
        </w:rPr>
      </w:pPr>
    </w:p>
    <w:p w:rsidR="00062BDF" w:rsidRDefault="00062BDF" w:rsidP="0044117E">
      <w:pPr>
        <w:tabs>
          <w:tab w:val="left" w:pos="720"/>
        </w:tabs>
        <w:rPr>
          <w:szCs w:val="24"/>
        </w:rPr>
      </w:pPr>
      <w:r w:rsidRPr="0044117E">
        <w:rPr>
          <w:szCs w:val="24"/>
        </w:rPr>
        <w:t>The safety data from the single comparative study of intraoperative device closure (hybrid surgery) for congenital VSD demonstrated a lower incidence of minor complications compared to surgical closure. However there was a suggestion of an increased risk of complete atrioventricular block (2.2% vs. 0.0%).</w:t>
      </w:r>
    </w:p>
    <w:p w:rsidR="0051642B" w:rsidRDefault="0051642B" w:rsidP="0044117E">
      <w:pPr>
        <w:tabs>
          <w:tab w:val="left" w:pos="720"/>
        </w:tabs>
        <w:rPr>
          <w:szCs w:val="24"/>
        </w:rPr>
      </w:pPr>
    </w:p>
    <w:p w:rsidR="00FA3597" w:rsidRPr="00493F03" w:rsidRDefault="00FA3597" w:rsidP="00FA3597">
      <w:pPr>
        <w:rPr>
          <w:szCs w:val="24"/>
          <w:lang w:eastAsia="en-US"/>
        </w:rPr>
      </w:pPr>
      <w:r w:rsidRPr="00493F03">
        <w:rPr>
          <w:szCs w:val="24"/>
        </w:rPr>
        <w:lastRenderedPageBreak/>
        <w:t>MSAC noted</w:t>
      </w:r>
      <w:r>
        <w:rPr>
          <w:szCs w:val="24"/>
        </w:rPr>
        <w:t xml:space="preserve"> the</w:t>
      </w:r>
      <w:r w:rsidRPr="00493F03">
        <w:rPr>
          <w:szCs w:val="24"/>
        </w:rPr>
        <w:t xml:space="preserve"> safety issues associated with closure </w:t>
      </w:r>
      <w:r w:rsidR="00F368B7">
        <w:rPr>
          <w:szCs w:val="24"/>
        </w:rPr>
        <w:t>and that d</w:t>
      </w:r>
      <w:r w:rsidRPr="00493F03">
        <w:rPr>
          <w:szCs w:val="24"/>
          <w:lang w:eastAsia="en-US"/>
        </w:rPr>
        <w:t>ata on long-term safety</w:t>
      </w:r>
      <w:r>
        <w:rPr>
          <w:szCs w:val="24"/>
          <w:lang w:eastAsia="en-US"/>
        </w:rPr>
        <w:t>,</w:t>
      </w:r>
      <w:r w:rsidRPr="00493F03">
        <w:rPr>
          <w:szCs w:val="24"/>
          <w:lang w:eastAsia="en-US"/>
        </w:rPr>
        <w:t xml:space="preserve"> e.g.</w:t>
      </w:r>
      <w:r>
        <w:rPr>
          <w:szCs w:val="24"/>
          <w:lang w:eastAsia="en-US"/>
        </w:rPr>
        <w:t>,</w:t>
      </w:r>
      <w:r w:rsidRPr="00493F03">
        <w:rPr>
          <w:szCs w:val="24"/>
          <w:lang w:eastAsia="en-US"/>
        </w:rPr>
        <w:t xml:space="preserve"> the increased risk of complete heart block</w:t>
      </w:r>
      <w:r>
        <w:rPr>
          <w:szCs w:val="24"/>
          <w:lang w:eastAsia="en-US"/>
        </w:rPr>
        <w:t>, are</w:t>
      </w:r>
      <w:r w:rsidRPr="00493F03">
        <w:rPr>
          <w:szCs w:val="24"/>
          <w:lang w:eastAsia="en-US"/>
        </w:rPr>
        <w:t xml:space="preserve"> not available.</w:t>
      </w:r>
      <w:r>
        <w:rPr>
          <w:szCs w:val="24"/>
          <w:lang w:eastAsia="en-US"/>
        </w:rPr>
        <w:t xml:space="preserve"> MSAC considered that overall, transcatheter closure and surgical closure have similar safety with different risk profiles.</w:t>
      </w:r>
    </w:p>
    <w:p w:rsidR="004605D7" w:rsidRPr="0044117E" w:rsidRDefault="004605D7" w:rsidP="0044117E">
      <w:pPr>
        <w:tabs>
          <w:tab w:val="left" w:pos="720"/>
        </w:tabs>
        <w:rPr>
          <w:szCs w:val="24"/>
        </w:rPr>
      </w:pPr>
    </w:p>
    <w:p w:rsidR="009F694E" w:rsidRDefault="003104C7" w:rsidP="009A4EC2">
      <w:pPr>
        <w:pStyle w:val="Heading1"/>
      </w:pPr>
      <w:r w:rsidRPr="003104C7">
        <w:t>10.</w:t>
      </w:r>
      <w:r w:rsidRPr="003104C7">
        <w:tab/>
      </w:r>
      <w:r w:rsidR="00E67C5A" w:rsidRPr="003104C7">
        <w:t xml:space="preserve">Comparative </w:t>
      </w:r>
      <w:r w:rsidR="00937076" w:rsidRPr="003104C7">
        <w:t>effectiveness</w:t>
      </w:r>
    </w:p>
    <w:p w:rsidR="009A4EC2" w:rsidRPr="009A4EC2" w:rsidRDefault="009A4EC2" w:rsidP="009A4EC2"/>
    <w:p w:rsidR="00635704" w:rsidRPr="009F694E" w:rsidRDefault="00635704" w:rsidP="009A4EC2">
      <w:pPr>
        <w:pStyle w:val="ListParagraph"/>
        <w:numPr>
          <w:ilvl w:val="0"/>
          <w:numId w:val="24"/>
        </w:numPr>
        <w:ind w:left="567" w:hanging="567"/>
        <w:rPr>
          <w:szCs w:val="24"/>
          <w:u w:val="single"/>
        </w:rPr>
      </w:pPr>
      <w:r w:rsidRPr="009F694E">
        <w:rPr>
          <w:szCs w:val="24"/>
          <w:u w:val="single"/>
        </w:rPr>
        <w:t>Closure of the VSD</w:t>
      </w:r>
    </w:p>
    <w:p w:rsidR="000F04AA" w:rsidRPr="0044117E" w:rsidRDefault="000F04AA" w:rsidP="0044117E">
      <w:pPr>
        <w:tabs>
          <w:tab w:val="left" w:pos="720"/>
        </w:tabs>
        <w:rPr>
          <w:szCs w:val="24"/>
        </w:rPr>
      </w:pPr>
      <w:r w:rsidRPr="0044117E">
        <w:rPr>
          <w:szCs w:val="24"/>
        </w:rPr>
        <w:t>Results for successful closure of VSD are su</w:t>
      </w:r>
      <w:r w:rsidR="009A4EC2">
        <w:rPr>
          <w:szCs w:val="24"/>
        </w:rPr>
        <w:t>mmarised in the following table.</w:t>
      </w:r>
    </w:p>
    <w:p w:rsidR="009A4EC2" w:rsidRDefault="009A4EC2" w:rsidP="0044117E">
      <w:pPr>
        <w:pStyle w:val="Caption"/>
        <w:keepNext/>
        <w:spacing w:after="0"/>
        <w:rPr>
          <w:color w:val="auto"/>
          <w:sz w:val="24"/>
          <w:szCs w:val="24"/>
        </w:rPr>
      </w:pPr>
    </w:p>
    <w:p w:rsidR="00966F0A" w:rsidRPr="0044117E" w:rsidRDefault="00966F0A" w:rsidP="0044117E">
      <w:pPr>
        <w:pStyle w:val="Caption"/>
        <w:keepNext/>
        <w:spacing w:after="0"/>
        <w:rPr>
          <w:color w:val="auto"/>
          <w:sz w:val="24"/>
          <w:szCs w:val="24"/>
        </w:rPr>
      </w:pPr>
      <w:r w:rsidRPr="0044117E">
        <w:rPr>
          <w:color w:val="auto"/>
          <w:sz w:val="24"/>
          <w:szCs w:val="24"/>
        </w:rPr>
        <w:t>VSD closure rates (%)</w:t>
      </w:r>
    </w:p>
    <w:tbl>
      <w:tblPr>
        <w:tblStyle w:val="TableGrid"/>
        <w:tblW w:w="0" w:type="auto"/>
        <w:tblLook w:val="04A0" w:firstRow="1" w:lastRow="0" w:firstColumn="1" w:lastColumn="0" w:noHBand="0" w:noVBand="1"/>
        <w:tblCaption w:val="Table 5 VSD closure rates (%)"/>
      </w:tblPr>
      <w:tblGrid>
        <w:gridCol w:w="1540"/>
        <w:gridCol w:w="1540"/>
        <w:gridCol w:w="1540"/>
        <w:gridCol w:w="1540"/>
        <w:gridCol w:w="1541"/>
        <w:gridCol w:w="1541"/>
      </w:tblGrid>
      <w:tr w:rsidR="00966F0A" w:rsidRPr="0044117E" w:rsidTr="001E7769">
        <w:trPr>
          <w:trHeight w:val="567"/>
          <w:tblHeader/>
        </w:trPr>
        <w:tc>
          <w:tcPr>
            <w:tcW w:w="1540" w:type="dxa"/>
            <w:shd w:val="clear" w:color="auto" w:fill="FFFFCC"/>
            <w:vAlign w:val="center"/>
          </w:tcPr>
          <w:p w:rsidR="00966F0A" w:rsidRPr="0044117E" w:rsidRDefault="00966F0A" w:rsidP="0044117E">
            <w:pPr>
              <w:keepNext/>
              <w:tabs>
                <w:tab w:val="left" w:pos="720"/>
              </w:tabs>
              <w:jc w:val="center"/>
              <w:rPr>
                <w:szCs w:val="24"/>
              </w:rPr>
            </w:pPr>
          </w:p>
        </w:tc>
        <w:tc>
          <w:tcPr>
            <w:tcW w:w="1540" w:type="dxa"/>
            <w:shd w:val="clear" w:color="auto" w:fill="FFFFCC"/>
            <w:vAlign w:val="center"/>
          </w:tcPr>
          <w:p w:rsidR="00966F0A" w:rsidRPr="0044117E" w:rsidRDefault="00966F0A" w:rsidP="0044117E">
            <w:pPr>
              <w:keepNext/>
              <w:tabs>
                <w:tab w:val="left" w:pos="720"/>
              </w:tabs>
              <w:jc w:val="center"/>
              <w:rPr>
                <w:b/>
                <w:szCs w:val="24"/>
              </w:rPr>
            </w:pPr>
            <w:r w:rsidRPr="0044117E">
              <w:rPr>
                <w:b/>
                <w:szCs w:val="24"/>
              </w:rPr>
              <w:t>Pawelec</w:t>
            </w:r>
          </w:p>
          <w:p w:rsidR="00966F0A" w:rsidRPr="0044117E" w:rsidRDefault="00966F0A" w:rsidP="0044117E">
            <w:pPr>
              <w:keepNext/>
              <w:tabs>
                <w:tab w:val="left" w:pos="720"/>
              </w:tabs>
              <w:jc w:val="center"/>
              <w:rPr>
                <w:b/>
                <w:szCs w:val="24"/>
              </w:rPr>
            </w:pPr>
            <w:r w:rsidRPr="0044117E">
              <w:rPr>
                <w:b/>
                <w:szCs w:val="24"/>
              </w:rPr>
              <w:t>2005</w:t>
            </w:r>
          </w:p>
        </w:tc>
        <w:tc>
          <w:tcPr>
            <w:tcW w:w="1540" w:type="dxa"/>
            <w:shd w:val="clear" w:color="auto" w:fill="FFFFCC"/>
            <w:vAlign w:val="center"/>
          </w:tcPr>
          <w:p w:rsidR="00966F0A" w:rsidRPr="0044117E" w:rsidRDefault="00966F0A" w:rsidP="0044117E">
            <w:pPr>
              <w:keepNext/>
              <w:tabs>
                <w:tab w:val="left" w:pos="720"/>
              </w:tabs>
              <w:jc w:val="center"/>
              <w:rPr>
                <w:b/>
                <w:szCs w:val="24"/>
              </w:rPr>
            </w:pPr>
            <w:r w:rsidRPr="0044117E">
              <w:rPr>
                <w:b/>
                <w:szCs w:val="24"/>
              </w:rPr>
              <w:t>Xunmin</w:t>
            </w:r>
          </w:p>
          <w:p w:rsidR="00966F0A" w:rsidRPr="0044117E" w:rsidRDefault="00966F0A" w:rsidP="0044117E">
            <w:pPr>
              <w:keepNext/>
              <w:tabs>
                <w:tab w:val="left" w:pos="720"/>
              </w:tabs>
              <w:jc w:val="center"/>
              <w:rPr>
                <w:b/>
                <w:szCs w:val="24"/>
              </w:rPr>
            </w:pPr>
            <w:r w:rsidRPr="0044117E">
              <w:rPr>
                <w:b/>
                <w:szCs w:val="24"/>
              </w:rPr>
              <w:t>2007</w:t>
            </w:r>
          </w:p>
        </w:tc>
        <w:tc>
          <w:tcPr>
            <w:tcW w:w="1540" w:type="dxa"/>
            <w:shd w:val="clear" w:color="auto" w:fill="FFFFCC"/>
            <w:vAlign w:val="center"/>
          </w:tcPr>
          <w:p w:rsidR="00966F0A" w:rsidRPr="0044117E" w:rsidRDefault="00966F0A" w:rsidP="0044117E">
            <w:pPr>
              <w:keepNext/>
              <w:tabs>
                <w:tab w:val="left" w:pos="720"/>
              </w:tabs>
              <w:jc w:val="center"/>
              <w:rPr>
                <w:b/>
                <w:szCs w:val="24"/>
              </w:rPr>
            </w:pPr>
            <w:r w:rsidRPr="0044117E">
              <w:rPr>
                <w:b/>
                <w:szCs w:val="24"/>
              </w:rPr>
              <w:t>Zheng</w:t>
            </w:r>
          </w:p>
          <w:p w:rsidR="00966F0A" w:rsidRPr="0044117E" w:rsidRDefault="00966F0A" w:rsidP="0044117E">
            <w:pPr>
              <w:keepNext/>
              <w:tabs>
                <w:tab w:val="left" w:pos="720"/>
              </w:tabs>
              <w:jc w:val="center"/>
              <w:rPr>
                <w:b/>
                <w:szCs w:val="24"/>
              </w:rPr>
            </w:pPr>
            <w:r w:rsidRPr="0044117E">
              <w:rPr>
                <w:b/>
                <w:szCs w:val="24"/>
              </w:rPr>
              <w:t>2009</w:t>
            </w:r>
          </w:p>
        </w:tc>
        <w:tc>
          <w:tcPr>
            <w:tcW w:w="1541" w:type="dxa"/>
            <w:shd w:val="clear" w:color="auto" w:fill="FFFFCC"/>
            <w:vAlign w:val="center"/>
          </w:tcPr>
          <w:p w:rsidR="00966F0A" w:rsidRPr="0044117E" w:rsidRDefault="00966F0A" w:rsidP="0044117E">
            <w:pPr>
              <w:keepNext/>
              <w:tabs>
                <w:tab w:val="left" w:pos="720"/>
              </w:tabs>
              <w:jc w:val="center"/>
              <w:rPr>
                <w:b/>
                <w:szCs w:val="24"/>
              </w:rPr>
            </w:pPr>
            <w:r w:rsidRPr="0044117E">
              <w:rPr>
                <w:b/>
                <w:szCs w:val="24"/>
              </w:rPr>
              <w:t>Oses</w:t>
            </w:r>
          </w:p>
          <w:p w:rsidR="00966F0A" w:rsidRPr="0044117E" w:rsidRDefault="00966F0A" w:rsidP="0044117E">
            <w:pPr>
              <w:keepNext/>
              <w:tabs>
                <w:tab w:val="left" w:pos="720"/>
              </w:tabs>
              <w:jc w:val="center"/>
              <w:rPr>
                <w:b/>
                <w:szCs w:val="24"/>
              </w:rPr>
            </w:pPr>
            <w:r w:rsidRPr="0044117E">
              <w:rPr>
                <w:b/>
                <w:szCs w:val="24"/>
              </w:rPr>
              <w:t>2010</w:t>
            </w:r>
          </w:p>
        </w:tc>
        <w:tc>
          <w:tcPr>
            <w:tcW w:w="1541" w:type="dxa"/>
            <w:shd w:val="clear" w:color="auto" w:fill="FFFFCC"/>
            <w:vAlign w:val="center"/>
          </w:tcPr>
          <w:p w:rsidR="00966F0A" w:rsidRPr="0044117E" w:rsidRDefault="00966F0A" w:rsidP="0044117E">
            <w:pPr>
              <w:keepNext/>
              <w:tabs>
                <w:tab w:val="left" w:pos="720"/>
              </w:tabs>
              <w:jc w:val="center"/>
              <w:rPr>
                <w:b/>
                <w:szCs w:val="24"/>
              </w:rPr>
            </w:pPr>
            <w:r w:rsidRPr="0044117E">
              <w:rPr>
                <w:b/>
                <w:szCs w:val="24"/>
              </w:rPr>
              <w:t>Liu</w:t>
            </w:r>
          </w:p>
          <w:p w:rsidR="00966F0A" w:rsidRPr="0044117E" w:rsidRDefault="00966F0A" w:rsidP="0044117E">
            <w:pPr>
              <w:keepNext/>
              <w:tabs>
                <w:tab w:val="left" w:pos="720"/>
              </w:tabs>
              <w:jc w:val="center"/>
              <w:rPr>
                <w:b/>
                <w:szCs w:val="24"/>
              </w:rPr>
            </w:pPr>
            <w:r w:rsidRPr="0044117E">
              <w:rPr>
                <w:b/>
                <w:szCs w:val="24"/>
              </w:rPr>
              <w:t>2012</w:t>
            </w:r>
          </w:p>
        </w:tc>
      </w:tr>
      <w:tr w:rsidR="00966F0A" w:rsidRPr="0044117E" w:rsidTr="00966F0A">
        <w:trPr>
          <w:trHeight w:val="397"/>
        </w:trPr>
        <w:tc>
          <w:tcPr>
            <w:tcW w:w="1540" w:type="dxa"/>
            <w:shd w:val="clear" w:color="auto" w:fill="FFFFCC"/>
            <w:vAlign w:val="center"/>
          </w:tcPr>
          <w:p w:rsidR="00966F0A" w:rsidRPr="0044117E" w:rsidRDefault="00966F0A" w:rsidP="0044117E">
            <w:pPr>
              <w:keepNext/>
              <w:tabs>
                <w:tab w:val="left" w:pos="720"/>
              </w:tabs>
              <w:rPr>
                <w:b/>
                <w:szCs w:val="24"/>
              </w:rPr>
            </w:pPr>
            <w:r w:rsidRPr="0044117E">
              <w:rPr>
                <w:b/>
                <w:szCs w:val="24"/>
              </w:rPr>
              <w:t>Catheter</w:t>
            </w:r>
          </w:p>
        </w:tc>
        <w:tc>
          <w:tcPr>
            <w:tcW w:w="1540" w:type="dxa"/>
            <w:vAlign w:val="center"/>
          </w:tcPr>
          <w:p w:rsidR="00966F0A" w:rsidRPr="0044117E" w:rsidRDefault="00966F0A" w:rsidP="0044117E">
            <w:pPr>
              <w:keepNext/>
              <w:tabs>
                <w:tab w:val="left" w:pos="720"/>
              </w:tabs>
              <w:jc w:val="center"/>
              <w:rPr>
                <w:szCs w:val="24"/>
              </w:rPr>
            </w:pPr>
            <w:r w:rsidRPr="0044117E">
              <w:rPr>
                <w:szCs w:val="24"/>
              </w:rPr>
              <w:t>100.0%</w:t>
            </w:r>
          </w:p>
        </w:tc>
        <w:tc>
          <w:tcPr>
            <w:tcW w:w="1540" w:type="dxa"/>
            <w:vAlign w:val="center"/>
          </w:tcPr>
          <w:p w:rsidR="00966F0A" w:rsidRPr="0044117E" w:rsidRDefault="00966F0A" w:rsidP="0044117E">
            <w:pPr>
              <w:keepNext/>
              <w:tabs>
                <w:tab w:val="left" w:pos="720"/>
              </w:tabs>
              <w:jc w:val="center"/>
              <w:rPr>
                <w:szCs w:val="24"/>
              </w:rPr>
            </w:pPr>
            <w:r w:rsidRPr="0044117E">
              <w:rPr>
                <w:szCs w:val="24"/>
              </w:rPr>
              <w:t>97.3%</w:t>
            </w:r>
          </w:p>
        </w:tc>
        <w:tc>
          <w:tcPr>
            <w:tcW w:w="1540" w:type="dxa"/>
            <w:vAlign w:val="center"/>
          </w:tcPr>
          <w:p w:rsidR="00966F0A" w:rsidRPr="0044117E" w:rsidRDefault="00966F0A" w:rsidP="0044117E">
            <w:pPr>
              <w:keepNext/>
              <w:tabs>
                <w:tab w:val="left" w:pos="720"/>
              </w:tabs>
              <w:jc w:val="center"/>
              <w:rPr>
                <w:szCs w:val="24"/>
              </w:rPr>
            </w:pPr>
            <w:r w:rsidRPr="0044117E">
              <w:rPr>
                <w:szCs w:val="24"/>
              </w:rPr>
              <w:t>99.8%</w:t>
            </w:r>
          </w:p>
        </w:tc>
        <w:tc>
          <w:tcPr>
            <w:tcW w:w="1541" w:type="dxa"/>
            <w:vAlign w:val="center"/>
          </w:tcPr>
          <w:p w:rsidR="00966F0A" w:rsidRPr="0044117E" w:rsidRDefault="00966F0A" w:rsidP="0044117E">
            <w:pPr>
              <w:keepNext/>
              <w:tabs>
                <w:tab w:val="left" w:pos="720"/>
              </w:tabs>
              <w:jc w:val="center"/>
              <w:rPr>
                <w:szCs w:val="24"/>
              </w:rPr>
            </w:pPr>
            <w:r w:rsidRPr="0044117E">
              <w:rPr>
                <w:szCs w:val="24"/>
              </w:rPr>
              <w:t>97.3%</w:t>
            </w:r>
          </w:p>
        </w:tc>
        <w:tc>
          <w:tcPr>
            <w:tcW w:w="1541" w:type="dxa"/>
            <w:vAlign w:val="center"/>
          </w:tcPr>
          <w:p w:rsidR="00966F0A" w:rsidRPr="0044117E" w:rsidRDefault="00966F0A" w:rsidP="0044117E">
            <w:pPr>
              <w:keepNext/>
              <w:tabs>
                <w:tab w:val="left" w:pos="720"/>
              </w:tabs>
              <w:jc w:val="center"/>
              <w:rPr>
                <w:szCs w:val="24"/>
              </w:rPr>
            </w:pPr>
            <w:r w:rsidRPr="0044117E">
              <w:rPr>
                <w:szCs w:val="24"/>
              </w:rPr>
              <w:t>99.4%</w:t>
            </w:r>
          </w:p>
        </w:tc>
      </w:tr>
      <w:tr w:rsidR="00966F0A" w:rsidRPr="0044117E" w:rsidTr="00966F0A">
        <w:trPr>
          <w:trHeight w:val="397"/>
        </w:trPr>
        <w:tc>
          <w:tcPr>
            <w:tcW w:w="1540" w:type="dxa"/>
            <w:shd w:val="clear" w:color="auto" w:fill="FFFFCC"/>
            <w:vAlign w:val="center"/>
          </w:tcPr>
          <w:p w:rsidR="00966F0A" w:rsidRPr="0044117E" w:rsidRDefault="00966F0A" w:rsidP="0044117E">
            <w:pPr>
              <w:keepNext/>
              <w:tabs>
                <w:tab w:val="left" w:pos="720"/>
              </w:tabs>
              <w:rPr>
                <w:b/>
                <w:szCs w:val="24"/>
              </w:rPr>
            </w:pPr>
            <w:r w:rsidRPr="0044117E">
              <w:rPr>
                <w:b/>
                <w:szCs w:val="24"/>
              </w:rPr>
              <w:t>Surgery</w:t>
            </w:r>
          </w:p>
        </w:tc>
        <w:tc>
          <w:tcPr>
            <w:tcW w:w="1540" w:type="dxa"/>
            <w:vAlign w:val="center"/>
          </w:tcPr>
          <w:p w:rsidR="00966F0A" w:rsidRPr="0044117E" w:rsidRDefault="00966F0A" w:rsidP="0044117E">
            <w:pPr>
              <w:keepNext/>
              <w:tabs>
                <w:tab w:val="left" w:pos="720"/>
              </w:tabs>
              <w:jc w:val="center"/>
              <w:rPr>
                <w:szCs w:val="24"/>
              </w:rPr>
            </w:pPr>
            <w:r w:rsidRPr="0044117E">
              <w:rPr>
                <w:szCs w:val="24"/>
              </w:rPr>
              <w:t>100.0%</w:t>
            </w:r>
          </w:p>
        </w:tc>
        <w:tc>
          <w:tcPr>
            <w:tcW w:w="1540" w:type="dxa"/>
            <w:vAlign w:val="center"/>
          </w:tcPr>
          <w:p w:rsidR="00966F0A" w:rsidRPr="0044117E" w:rsidRDefault="00966F0A" w:rsidP="0044117E">
            <w:pPr>
              <w:keepNext/>
              <w:tabs>
                <w:tab w:val="left" w:pos="720"/>
              </w:tabs>
              <w:jc w:val="center"/>
              <w:rPr>
                <w:szCs w:val="24"/>
              </w:rPr>
            </w:pPr>
            <w:r w:rsidRPr="0044117E">
              <w:rPr>
                <w:szCs w:val="24"/>
              </w:rPr>
              <w:t>100.0%</w:t>
            </w:r>
          </w:p>
        </w:tc>
        <w:tc>
          <w:tcPr>
            <w:tcW w:w="1540" w:type="dxa"/>
            <w:vAlign w:val="center"/>
          </w:tcPr>
          <w:p w:rsidR="00966F0A" w:rsidRPr="0044117E" w:rsidRDefault="00966F0A" w:rsidP="0044117E">
            <w:pPr>
              <w:keepNext/>
              <w:tabs>
                <w:tab w:val="left" w:pos="720"/>
              </w:tabs>
              <w:jc w:val="center"/>
              <w:rPr>
                <w:szCs w:val="24"/>
              </w:rPr>
            </w:pPr>
            <w:r w:rsidRPr="0044117E">
              <w:rPr>
                <w:szCs w:val="24"/>
              </w:rPr>
              <w:t>100.0%</w:t>
            </w:r>
          </w:p>
        </w:tc>
        <w:tc>
          <w:tcPr>
            <w:tcW w:w="1541" w:type="dxa"/>
            <w:vAlign w:val="center"/>
          </w:tcPr>
          <w:p w:rsidR="00966F0A" w:rsidRPr="0044117E" w:rsidRDefault="00966F0A" w:rsidP="0044117E">
            <w:pPr>
              <w:keepNext/>
              <w:tabs>
                <w:tab w:val="left" w:pos="720"/>
              </w:tabs>
              <w:jc w:val="center"/>
              <w:rPr>
                <w:szCs w:val="24"/>
              </w:rPr>
            </w:pPr>
            <w:r w:rsidRPr="0044117E">
              <w:rPr>
                <w:szCs w:val="24"/>
              </w:rPr>
              <w:t>100.0%</w:t>
            </w:r>
          </w:p>
        </w:tc>
        <w:tc>
          <w:tcPr>
            <w:tcW w:w="1541" w:type="dxa"/>
            <w:vAlign w:val="center"/>
          </w:tcPr>
          <w:p w:rsidR="00966F0A" w:rsidRPr="0044117E" w:rsidRDefault="00966F0A" w:rsidP="0044117E">
            <w:pPr>
              <w:keepNext/>
              <w:tabs>
                <w:tab w:val="left" w:pos="720"/>
              </w:tabs>
              <w:jc w:val="center"/>
              <w:rPr>
                <w:szCs w:val="24"/>
              </w:rPr>
            </w:pPr>
            <w:r w:rsidRPr="0044117E">
              <w:rPr>
                <w:szCs w:val="24"/>
              </w:rPr>
              <w:t>98.9%</w:t>
            </w:r>
          </w:p>
        </w:tc>
      </w:tr>
      <w:tr w:rsidR="00966F0A" w:rsidRPr="0044117E" w:rsidTr="00966F0A">
        <w:trPr>
          <w:trHeight w:val="397"/>
        </w:trPr>
        <w:tc>
          <w:tcPr>
            <w:tcW w:w="1540" w:type="dxa"/>
            <w:shd w:val="clear" w:color="auto" w:fill="FFFFCC"/>
            <w:vAlign w:val="center"/>
          </w:tcPr>
          <w:p w:rsidR="00966F0A" w:rsidRPr="0044117E" w:rsidRDefault="00966F0A" w:rsidP="0044117E">
            <w:pPr>
              <w:keepNext/>
              <w:tabs>
                <w:tab w:val="left" w:pos="720"/>
              </w:tabs>
              <w:rPr>
                <w:b/>
                <w:szCs w:val="24"/>
              </w:rPr>
            </w:pPr>
            <w:r w:rsidRPr="0044117E">
              <w:rPr>
                <w:b/>
                <w:szCs w:val="24"/>
              </w:rPr>
              <w:t>p-value</w:t>
            </w:r>
          </w:p>
        </w:tc>
        <w:tc>
          <w:tcPr>
            <w:tcW w:w="1540" w:type="dxa"/>
            <w:vAlign w:val="center"/>
          </w:tcPr>
          <w:p w:rsidR="00966F0A" w:rsidRPr="0044117E" w:rsidRDefault="00966F0A" w:rsidP="0044117E">
            <w:pPr>
              <w:keepNext/>
              <w:tabs>
                <w:tab w:val="left" w:pos="720"/>
              </w:tabs>
              <w:jc w:val="center"/>
              <w:rPr>
                <w:szCs w:val="24"/>
              </w:rPr>
            </w:pPr>
            <w:r w:rsidRPr="0044117E">
              <w:rPr>
                <w:szCs w:val="24"/>
              </w:rPr>
              <w:t>NR</w:t>
            </w:r>
          </w:p>
        </w:tc>
        <w:tc>
          <w:tcPr>
            <w:tcW w:w="1540" w:type="dxa"/>
            <w:vAlign w:val="center"/>
          </w:tcPr>
          <w:p w:rsidR="00966F0A" w:rsidRPr="0044117E" w:rsidRDefault="00966F0A" w:rsidP="0044117E">
            <w:pPr>
              <w:keepNext/>
              <w:tabs>
                <w:tab w:val="left" w:pos="720"/>
              </w:tabs>
              <w:jc w:val="center"/>
              <w:rPr>
                <w:szCs w:val="24"/>
              </w:rPr>
            </w:pPr>
            <w:r w:rsidRPr="0044117E">
              <w:rPr>
                <w:szCs w:val="24"/>
              </w:rPr>
              <w:t>ns</w:t>
            </w:r>
          </w:p>
        </w:tc>
        <w:tc>
          <w:tcPr>
            <w:tcW w:w="1540" w:type="dxa"/>
            <w:vAlign w:val="center"/>
          </w:tcPr>
          <w:p w:rsidR="00966F0A" w:rsidRPr="0044117E" w:rsidRDefault="00966F0A" w:rsidP="0044117E">
            <w:pPr>
              <w:keepNext/>
              <w:tabs>
                <w:tab w:val="left" w:pos="720"/>
              </w:tabs>
              <w:jc w:val="center"/>
              <w:rPr>
                <w:szCs w:val="24"/>
              </w:rPr>
            </w:pPr>
            <w:r w:rsidRPr="0044117E">
              <w:rPr>
                <w:szCs w:val="24"/>
              </w:rPr>
              <w:t>ns</w:t>
            </w:r>
          </w:p>
        </w:tc>
        <w:tc>
          <w:tcPr>
            <w:tcW w:w="1541" w:type="dxa"/>
            <w:vAlign w:val="center"/>
          </w:tcPr>
          <w:p w:rsidR="00966F0A" w:rsidRPr="0044117E" w:rsidRDefault="00966F0A" w:rsidP="0044117E">
            <w:pPr>
              <w:keepNext/>
              <w:tabs>
                <w:tab w:val="left" w:pos="720"/>
              </w:tabs>
              <w:jc w:val="center"/>
              <w:rPr>
                <w:szCs w:val="24"/>
              </w:rPr>
            </w:pPr>
            <w:r w:rsidRPr="0044117E">
              <w:rPr>
                <w:szCs w:val="24"/>
              </w:rPr>
              <w:t>NR</w:t>
            </w:r>
          </w:p>
        </w:tc>
        <w:tc>
          <w:tcPr>
            <w:tcW w:w="1541" w:type="dxa"/>
            <w:vAlign w:val="center"/>
          </w:tcPr>
          <w:p w:rsidR="00966F0A" w:rsidRPr="0044117E" w:rsidRDefault="00966F0A" w:rsidP="0044117E">
            <w:pPr>
              <w:keepNext/>
              <w:tabs>
                <w:tab w:val="left" w:pos="720"/>
              </w:tabs>
              <w:jc w:val="center"/>
              <w:rPr>
                <w:szCs w:val="24"/>
              </w:rPr>
            </w:pPr>
            <w:r w:rsidRPr="0044117E">
              <w:rPr>
                <w:szCs w:val="24"/>
              </w:rPr>
              <w:t>0.671</w:t>
            </w:r>
          </w:p>
        </w:tc>
      </w:tr>
    </w:tbl>
    <w:p w:rsidR="00966F0A" w:rsidRPr="0044117E" w:rsidRDefault="00966F0A" w:rsidP="0044117E">
      <w:pPr>
        <w:keepNext/>
        <w:tabs>
          <w:tab w:val="left" w:pos="720"/>
        </w:tabs>
        <w:rPr>
          <w:sz w:val="20"/>
        </w:rPr>
      </w:pPr>
      <w:r w:rsidRPr="0044117E">
        <w:rPr>
          <w:sz w:val="20"/>
        </w:rPr>
        <w:t>NR=not reported; ns= ‘not significant’.</w:t>
      </w:r>
    </w:p>
    <w:p w:rsidR="004605D7" w:rsidRDefault="004605D7" w:rsidP="0044117E">
      <w:pPr>
        <w:tabs>
          <w:tab w:val="left" w:pos="720"/>
        </w:tabs>
        <w:rPr>
          <w:szCs w:val="24"/>
        </w:rPr>
      </w:pPr>
    </w:p>
    <w:p w:rsidR="003B4F76" w:rsidRPr="0044117E" w:rsidRDefault="003B4F76" w:rsidP="0044117E">
      <w:pPr>
        <w:tabs>
          <w:tab w:val="left" w:pos="720"/>
        </w:tabs>
        <w:rPr>
          <w:szCs w:val="24"/>
        </w:rPr>
      </w:pPr>
      <w:r w:rsidRPr="0044117E">
        <w:rPr>
          <w:szCs w:val="24"/>
        </w:rPr>
        <w:t xml:space="preserve">The reasons for unsuccessful </w:t>
      </w:r>
      <w:r w:rsidRPr="0044117E">
        <w:rPr>
          <w:i/>
          <w:szCs w:val="24"/>
        </w:rPr>
        <w:t>catheter</w:t>
      </w:r>
      <w:r w:rsidRPr="0044117E">
        <w:rPr>
          <w:szCs w:val="24"/>
        </w:rPr>
        <w:t xml:space="preserve"> closure were:</w:t>
      </w:r>
    </w:p>
    <w:p w:rsidR="003B4F76" w:rsidRPr="0044117E" w:rsidRDefault="003B4F76" w:rsidP="0044117E">
      <w:pPr>
        <w:pStyle w:val="ListParagraph"/>
        <w:numPr>
          <w:ilvl w:val="0"/>
          <w:numId w:val="14"/>
        </w:numPr>
        <w:tabs>
          <w:tab w:val="left" w:pos="720"/>
          <w:tab w:val="left" w:pos="1140"/>
        </w:tabs>
        <w:ind w:left="714" w:hanging="357"/>
        <w:contextualSpacing w:val="0"/>
        <w:rPr>
          <w:szCs w:val="24"/>
        </w:rPr>
      </w:pPr>
      <w:r w:rsidRPr="0044117E">
        <w:rPr>
          <w:szCs w:val="24"/>
        </w:rPr>
        <w:t>Transient complete atrioventricular block (AVB) during the procedure in 2 subjects (Xunmin 2007);</w:t>
      </w:r>
    </w:p>
    <w:p w:rsidR="003B4F76" w:rsidRPr="0044117E" w:rsidRDefault="003B4F76" w:rsidP="0044117E">
      <w:pPr>
        <w:pStyle w:val="ListParagraph"/>
        <w:numPr>
          <w:ilvl w:val="0"/>
          <w:numId w:val="14"/>
        </w:numPr>
        <w:tabs>
          <w:tab w:val="left" w:pos="720"/>
          <w:tab w:val="left" w:pos="1140"/>
        </w:tabs>
        <w:ind w:left="714" w:hanging="357"/>
        <w:contextualSpacing w:val="0"/>
        <w:rPr>
          <w:szCs w:val="24"/>
        </w:rPr>
      </w:pPr>
      <w:r w:rsidRPr="0044117E">
        <w:rPr>
          <w:szCs w:val="24"/>
        </w:rPr>
        <w:t>Complete AVB (n=1) and severe tricuspid regurgitation (n=1) (Zheng 2009);</w:t>
      </w:r>
    </w:p>
    <w:p w:rsidR="003B4F76" w:rsidRPr="0044117E" w:rsidRDefault="009571BF" w:rsidP="0044117E">
      <w:pPr>
        <w:pStyle w:val="ListParagraph"/>
        <w:numPr>
          <w:ilvl w:val="0"/>
          <w:numId w:val="14"/>
        </w:numPr>
        <w:tabs>
          <w:tab w:val="left" w:pos="720"/>
          <w:tab w:val="left" w:pos="1140"/>
        </w:tabs>
        <w:ind w:left="714" w:hanging="357"/>
        <w:contextualSpacing w:val="0"/>
        <w:rPr>
          <w:szCs w:val="24"/>
        </w:rPr>
      </w:pPr>
      <w:r w:rsidRPr="0044117E">
        <w:rPr>
          <w:szCs w:val="24"/>
        </w:rPr>
        <w:t>Device embolis</w:t>
      </w:r>
      <w:r w:rsidR="003B4F76" w:rsidRPr="0044117E">
        <w:rPr>
          <w:szCs w:val="24"/>
        </w:rPr>
        <w:t>ation into the left ventricle during the procedure (n=1) (Oses 2010); and</w:t>
      </w:r>
    </w:p>
    <w:p w:rsidR="003B4F76" w:rsidRPr="0044117E" w:rsidRDefault="003B4F76" w:rsidP="0044117E">
      <w:pPr>
        <w:pStyle w:val="ListParagraph"/>
        <w:numPr>
          <w:ilvl w:val="0"/>
          <w:numId w:val="14"/>
        </w:numPr>
        <w:tabs>
          <w:tab w:val="left" w:pos="720"/>
          <w:tab w:val="left" w:pos="1140"/>
        </w:tabs>
        <w:ind w:left="714" w:hanging="357"/>
        <w:contextualSpacing w:val="0"/>
        <w:rPr>
          <w:szCs w:val="24"/>
        </w:rPr>
      </w:pPr>
      <w:r w:rsidRPr="0044117E">
        <w:rPr>
          <w:szCs w:val="24"/>
        </w:rPr>
        <w:t>Severe tricuspid regurgitation during the procedure (n=1) (Liu 2012).</w:t>
      </w:r>
    </w:p>
    <w:p w:rsidR="009A4EC2" w:rsidRDefault="009A4EC2" w:rsidP="0044117E">
      <w:pPr>
        <w:tabs>
          <w:tab w:val="left" w:pos="720"/>
        </w:tabs>
        <w:rPr>
          <w:szCs w:val="24"/>
        </w:rPr>
      </w:pPr>
    </w:p>
    <w:p w:rsidR="003B4F76" w:rsidRPr="0044117E" w:rsidRDefault="003B4F76" w:rsidP="0044117E">
      <w:pPr>
        <w:tabs>
          <w:tab w:val="left" w:pos="720"/>
        </w:tabs>
        <w:rPr>
          <w:szCs w:val="24"/>
        </w:rPr>
      </w:pPr>
      <w:r w:rsidRPr="0044117E">
        <w:rPr>
          <w:szCs w:val="24"/>
        </w:rPr>
        <w:t>All these subjects required subsequent surgical closure of their VSD.</w:t>
      </w:r>
    </w:p>
    <w:p w:rsidR="009A4EC2" w:rsidRDefault="009A4EC2" w:rsidP="0044117E">
      <w:pPr>
        <w:tabs>
          <w:tab w:val="left" w:pos="720"/>
        </w:tabs>
        <w:rPr>
          <w:szCs w:val="24"/>
        </w:rPr>
      </w:pPr>
    </w:p>
    <w:p w:rsidR="003B4F76" w:rsidRPr="0044117E" w:rsidRDefault="003B4F76" w:rsidP="0044117E">
      <w:pPr>
        <w:tabs>
          <w:tab w:val="left" w:pos="720"/>
        </w:tabs>
        <w:rPr>
          <w:szCs w:val="24"/>
        </w:rPr>
      </w:pPr>
      <w:r w:rsidRPr="0044117E">
        <w:rPr>
          <w:szCs w:val="24"/>
        </w:rPr>
        <w:t xml:space="preserve">The reasons for unsuccessful </w:t>
      </w:r>
      <w:r w:rsidRPr="0044117E">
        <w:rPr>
          <w:i/>
          <w:szCs w:val="24"/>
        </w:rPr>
        <w:t>surgical</w:t>
      </w:r>
      <w:r w:rsidRPr="0044117E">
        <w:rPr>
          <w:szCs w:val="24"/>
        </w:rPr>
        <w:t xml:space="preserve"> closure were:</w:t>
      </w:r>
    </w:p>
    <w:p w:rsidR="003B4F76" w:rsidRPr="0044117E" w:rsidRDefault="003B4F76" w:rsidP="0044117E">
      <w:pPr>
        <w:pStyle w:val="ListParagraph"/>
        <w:numPr>
          <w:ilvl w:val="0"/>
          <w:numId w:val="14"/>
        </w:numPr>
        <w:tabs>
          <w:tab w:val="left" w:pos="720"/>
          <w:tab w:val="left" w:pos="1140"/>
        </w:tabs>
        <w:ind w:left="714" w:hanging="357"/>
        <w:contextualSpacing w:val="0"/>
        <w:rPr>
          <w:szCs w:val="24"/>
        </w:rPr>
      </w:pPr>
      <w:r w:rsidRPr="0044117E">
        <w:rPr>
          <w:szCs w:val="24"/>
        </w:rPr>
        <w:t>Complete AVB requiring a permanent pacemaker (n=1); and</w:t>
      </w:r>
    </w:p>
    <w:p w:rsidR="000F04AA" w:rsidRDefault="003B4F76" w:rsidP="0044117E">
      <w:pPr>
        <w:pStyle w:val="ListParagraph"/>
        <w:numPr>
          <w:ilvl w:val="0"/>
          <w:numId w:val="14"/>
        </w:numPr>
        <w:tabs>
          <w:tab w:val="left" w:pos="720"/>
          <w:tab w:val="left" w:pos="1140"/>
        </w:tabs>
        <w:ind w:left="714" w:hanging="357"/>
        <w:contextualSpacing w:val="0"/>
        <w:rPr>
          <w:szCs w:val="24"/>
        </w:rPr>
      </w:pPr>
      <w:r w:rsidRPr="0044117E">
        <w:rPr>
          <w:szCs w:val="24"/>
        </w:rPr>
        <w:t>Fatal left ventricular dysfunction after cardiopulmonary bypass (n=1) (Liu 2012).</w:t>
      </w:r>
    </w:p>
    <w:p w:rsidR="00EC4190" w:rsidRPr="0044117E" w:rsidRDefault="00EC4190" w:rsidP="00EC4190">
      <w:pPr>
        <w:pStyle w:val="ListParagraph"/>
        <w:tabs>
          <w:tab w:val="left" w:pos="720"/>
          <w:tab w:val="left" w:pos="1140"/>
        </w:tabs>
        <w:ind w:left="714"/>
        <w:contextualSpacing w:val="0"/>
        <w:rPr>
          <w:szCs w:val="24"/>
        </w:rPr>
      </w:pPr>
    </w:p>
    <w:p w:rsidR="003B4F76" w:rsidRPr="009F694E" w:rsidRDefault="00635704" w:rsidP="009A4EC2">
      <w:pPr>
        <w:pStyle w:val="ListParagraph"/>
        <w:numPr>
          <w:ilvl w:val="0"/>
          <w:numId w:val="24"/>
        </w:numPr>
        <w:ind w:left="567" w:hanging="567"/>
        <w:rPr>
          <w:szCs w:val="24"/>
          <w:u w:val="single"/>
        </w:rPr>
      </w:pPr>
      <w:r w:rsidRPr="009F694E">
        <w:rPr>
          <w:szCs w:val="24"/>
          <w:u w:val="single"/>
        </w:rPr>
        <w:t>Residual shunt</w:t>
      </w:r>
    </w:p>
    <w:p w:rsidR="00635704" w:rsidRPr="0044117E" w:rsidRDefault="00635704" w:rsidP="0044117E">
      <w:pPr>
        <w:tabs>
          <w:tab w:val="left" w:pos="720"/>
        </w:tabs>
        <w:rPr>
          <w:szCs w:val="24"/>
        </w:rPr>
      </w:pPr>
      <w:r w:rsidRPr="0044117E">
        <w:rPr>
          <w:szCs w:val="24"/>
        </w:rPr>
        <w:t>The proportion of patients with a residual shunt was as follows.</w:t>
      </w:r>
    </w:p>
    <w:p w:rsidR="009A4EC2" w:rsidRDefault="009A4EC2" w:rsidP="0044117E">
      <w:pPr>
        <w:pStyle w:val="Caption"/>
        <w:keepNext/>
        <w:keepLines/>
        <w:spacing w:after="0"/>
        <w:rPr>
          <w:color w:val="auto"/>
          <w:sz w:val="22"/>
          <w:szCs w:val="22"/>
        </w:rPr>
      </w:pPr>
    </w:p>
    <w:p w:rsidR="00635704" w:rsidRPr="0044117E" w:rsidRDefault="00635704" w:rsidP="0044117E">
      <w:pPr>
        <w:pStyle w:val="Caption"/>
        <w:keepNext/>
        <w:keepLines/>
        <w:spacing w:after="0"/>
        <w:rPr>
          <w:color w:val="auto"/>
          <w:sz w:val="22"/>
          <w:szCs w:val="22"/>
        </w:rPr>
      </w:pPr>
      <w:r w:rsidRPr="0044117E">
        <w:rPr>
          <w:color w:val="auto"/>
          <w:sz w:val="22"/>
          <w:szCs w:val="22"/>
        </w:rPr>
        <w:t xml:space="preserve"> Residual shunt rates (%)</w:t>
      </w:r>
    </w:p>
    <w:tbl>
      <w:tblPr>
        <w:tblStyle w:val="TableGrid"/>
        <w:tblW w:w="0" w:type="auto"/>
        <w:tblLook w:val="04A0" w:firstRow="1" w:lastRow="0" w:firstColumn="1" w:lastColumn="0" w:noHBand="0" w:noVBand="1"/>
        <w:tblCaption w:val="Table 6 Residual shunt rates (%)"/>
      </w:tblPr>
      <w:tblGrid>
        <w:gridCol w:w="1540"/>
        <w:gridCol w:w="1540"/>
        <w:gridCol w:w="1540"/>
        <w:gridCol w:w="1540"/>
        <w:gridCol w:w="1541"/>
        <w:gridCol w:w="1541"/>
      </w:tblGrid>
      <w:tr w:rsidR="00635704" w:rsidRPr="0044117E" w:rsidTr="001E7769">
        <w:trPr>
          <w:trHeight w:val="567"/>
          <w:tblHeader/>
        </w:trPr>
        <w:tc>
          <w:tcPr>
            <w:tcW w:w="1540" w:type="dxa"/>
            <w:shd w:val="clear" w:color="auto" w:fill="FFFFCC"/>
            <w:vAlign w:val="center"/>
          </w:tcPr>
          <w:p w:rsidR="00635704" w:rsidRPr="0044117E" w:rsidRDefault="00635704" w:rsidP="0044117E">
            <w:pPr>
              <w:keepNext/>
              <w:keepLines/>
              <w:tabs>
                <w:tab w:val="left" w:pos="720"/>
              </w:tabs>
              <w:jc w:val="center"/>
              <w:rPr>
                <w:sz w:val="22"/>
                <w:szCs w:val="22"/>
              </w:rPr>
            </w:pPr>
          </w:p>
        </w:tc>
        <w:tc>
          <w:tcPr>
            <w:tcW w:w="1540" w:type="dxa"/>
            <w:shd w:val="clear" w:color="auto" w:fill="FFFFCC"/>
            <w:vAlign w:val="center"/>
          </w:tcPr>
          <w:p w:rsidR="00635704" w:rsidRPr="0044117E" w:rsidRDefault="00635704" w:rsidP="0044117E">
            <w:pPr>
              <w:keepNext/>
              <w:keepLines/>
              <w:tabs>
                <w:tab w:val="left" w:pos="720"/>
              </w:tabs>
              <w:jc w:val="center"/>
              <w:rPr>
                <w:b/>
                <w:sz w:val="22"/>
                <w:szCs w:val="22"/>
              </w:rPr>
            </w:pPr>
            <w:r w:rsidRPr="0044117E">
              <w:rPr>
                <w:b/>
                <w:sz w:val="22"/>
                <w:szCs w:val="22"/>
              </w:rPr>
              <w:t>Pawelec</w:t>
            </w:r>
          </w:p>
          <w:p w:rsidR="00635704" w:rsidRPr="0044117E" w:rsidRDefault="00635704" w:rsidP="0044117E">
            <w:pPr>
              <w:keepNext/>
              <w:keepLines/>
              <w:tabs>
                <w:tab w:val="left" w:pos="720"/>
              </w:tabs>
              <w:jc w:val="center"/>
              <w:rPr>
                <w:b/>
                <w:sz w:val="22"/>
                <w:szCs w:val="22"/>
              </w:rPr>
            </w:pPr>
            <w:r w:rsidRPr="0044117E">
              <w:rPr>
                <w:b/>
                <w:sz w:val="22"/>
                <w:szCs w:val="22"/>
              </w:rPr>
              <w:t>2005</w:t>
            </w:r>
          </w:p>
        </w:tc>
        <w:tc>
          <w:tcPr>
            <w:tcW w:w="1540" w:type="dxa"/>
            <w:shd w:val="clear" w:color="auto" w:fill="FFFFCC"/>
            <w:vAlign w:val="center"/>
          </w:tcPr>
          <w:p w:rsidR="00635704" w:rsidRPr="0044117E" w:rsidRDefault="00635704" w:rsidP="0044117E">
            <w:pPr>
              <w:keepNext/>
              <w:keepLines/>
              <w:tabs>
                <w:tab w:val="left" w:pos="720"/>
              </w:tabs>
              <w:jc w:val="center"/>
              <w:rPr>
                <w:b/>
                <w:sz w:val="22"/>
                <w:szCs w:val="22"/>
              </w:rPr>
            </w:pPr>
            <w:r w:rsidRPr="0044117E">
              <w:rPr>
                <w:b/>
                <w:sz w:val="22"/>
                <w:szCs w:val="22"/>
              </w:rPr>
              <w:t>Xunmin</w:t>
            </w:r>
          </w:p>
          <w:p w:rsidR="00635704" w:rsidRPr="0044117E" w:rsidRDefault="00635704" w:rsidP="0044117E">
            <w:pPr>
              <w:keepNext/>
              <w:keepLines/>
              <w:tabs>
                <w:tab w:val="left" w:pos="720"/>
              </w:tabs>
              <w:jc w:val="center"/>
              <w:rPr>
                <w:b/>
                <w:sz w:val="22"/>
                <w:szCs w:val="22"/>
              </w:rPr>
            </w:pPr>
            <w:r w:rsidRPr="0044117E">
              <w:rPr>
                <w:b/>
                <w:sz w:val="22"/>
                <w:szCs w:val="22"/>
              </w:rPr>
              <w:t>2007</w:t>
            </w:r>
          </w:p>
        </w:tc>
        <w:tc>
          <w:tcPr>
            <w:tcW w:w="1540" w:type="dxa"/>
            <w:shd w:val="clear" w:color="auto" w:fill="FFFFCC"/>
            <w:vAlign w:val="center"/>
          </w:tcPr>
          <w:p w:rsidR="00635704" w:rsidRPr="0044117E" w:rsidRDefault="00635704" w:rsidP="0044117E">
            <w:pPr>
              <w:keepNext/>
              <w:keepLines/>
              <w:tabs>
                <w:tab w:val="left" w:pos="720"/>
              </w:tabs>
              <w:jc w:val="center"/>
              <w:rPr>
                <w:b/>
                <w:sz w:val="22"/>
                <w:szCs w:val="22"/>
              </w:rPr>
            </w:pPr>
            <w:r w:rsidRPr="0044117E">
              <w:rPr>
                <w:b/>
                <w:sz w:val="22"/>
                <w:szCs w:val="22"/>
              </w:rPr>
              <w:t>Zheng</w:t>
            </w:r>
          </w:p>
          <w:p w:rsidR="00635704" w:rsidRPr="0044117E" w:rsidRDefault="00635704" w:rsidP="0044117E">
            <w:pPr>
              <w:keepNext/>
              <w:keepLines/>
              <w:tabs>
                <w:tab w:val="left" w:pos="720"/>
              </w:tabs>
              <w:jc w:val="center"/>
              <w:rPr>
                <w:b/>
                <w:sz w:val="22"/>
                <w:szCs w:val="22"/>
              </w:rPr>
            </w:pPr>
            <w:r w:rsidRPr="0044117E">
              <w:rPr>
                <w:b/>
                <w:sz w:val="22"/>
                <w:szCs w:val="22"/>
              </w:rPr>
              <w:t>2009</w:t>
            </w:r>
          </w:p>
        </w:tc>
        <w:tc>
          <w:tcPr>
            <w:tcW w:w="1541" w:type="dxa"/>
            <w:shd w:val="clear" w:color="auto" w:fill="FFFFCC"/>
            <w:vAlign w:val="center"/>
          </w:tcPr>
          <w:p w:rsidR="00635704" w:rsidRPr="0044117E" w:rsidRDefault="00635704" w:rsidP="0044117E">
            <w:pPr>
              <w:keepNext/>
              <w:keepLines/>
              <w:tabs>
                <w:tab w:val="left" w:pos="720"/>
              </w:tabs>
              <w:jc w:val="center"/>
              <w:rPr>
                <w:b/>
                <w:sz w:val="22"/>
                <w:szCs w:val="22"/>
              </w:rPr>
            </w:pPr>
            <w:r w:rsidRPr="0044117E">
              <w:rPr>
                <w:b/>
                <w:sz w:val="22"/>
                <w:szCs w:val="22"/>
              </w:rPr>
              <w:t>Oses</w:t>
            </w:r>
          </w:p>
          <w:p w:rsidR="00635704" w:rsidRPr="0044117E" w:rsidRDefault="00635704" w:rsidP="0044117E">
            <w:pPr>
              <w:keepNext/>
              <w:keepLines/>
              <w:tabs>
                <w:tab w:val="left" w:pos="720"/>
              </w:tabs>
              <w:jc w:val="center"/>
              <w:rPr>
                <w:b/>
                <w:sz w:val="22"/>
                <w:szCs w:val="22"/>
              </w:rPr>
            </w:pPr>
            <w:r w:rsidRPr="0044117E">
              <w:rPr>
                <w:b/>
                <w:sz w:val="22"/>
                <w:szCs w:val="22"/>
              </w:rPr>
              <w:t>2010</w:t>
            </w:r>
          </w:p>
        </w:tc>
        <w:tc>
          <w:tcPr>
            <w:tcW w:w="1541" w:type="dxa"/>
            <w:shd w:val="clear" w:color="auto" w:fill="FFFFCC"/>
            <w:vAlign w:val="center"/>
          </w:tcPr>
          <w:p w:rsidR="00635704" w:rsidRPr="0044117E" w:rsidRDefault="00635704" w:rsidP="0044117E">
            <w:pPr>
              <w:keepNext/>
              <w:keepLines/>
              <w:tabs>
                <w:tab w:val="left" w:pos="720"/>
              </w:tabs>
              <w:jc w:val="center"/>
              <w:rPr>
                <w:b/>
                <w:sz w:val="22"/>
                <w:szCs w:val="22"/>
              </w:rPr>
            </w:pPr>
            <w:r w:rsidRPr="0044117E">
              <w:rPr>
                <w:b/>
                <w:sz w:val="22"/>
                <w:szCs w:val="22"/>
              </w:rPr>
              <w:t>Liu</w:t>
            </w:r>
          </w:p>
          <w:p w:rsidR="00635704" w:rsidRPr="0044117E" w:rsidRDefault="00635704" w:rsidP="0044117E">
            <w:pPr>
              <w:keepNext/>
              <w:keepLines/>
              <w:tabs>
                <w:tab w:val="left" w:pos="720"/>
              </w:tabs>
              <w:jc w:val="center"/>
              <w:rPr>
                <w:b/>
                <w:sz w:val="22"/>
                <w:szCs w:val="22"/>
              </w:rPr>
            </w:pPr>
            <w:r w:rsidRPr="0044117E">
              <w:rPr>
                <w:b/>
                <w:sz w:val="22"/>
                <w:szCs w:val="22"/>
              </w:rPr>
              <w:t>2012</w:t>
            </w:r>
          </w:p>
        </w:tc>
      </w:tr>
      <w:tr w:rsidR="00635704" w:rsidRPr="0044117E" w:rsidTr="00635704">
        <w:trPr>
          <w:trHeight w:val="397"/>
        </w:trPr>
        <w:tc>
          <w:tcPr>
            <w:tcW w:w="1540" w:type="dxa"/>
            <w:shd w:val="clear" w:color="auto" w:fill="FFFFCC"/>
            <w:vAlign w:val="center"/>
          </w:tcPr>
          <w:p w:rsidR="00635704" w:rsidRPr="0044117E" w:rsidRDefault="00635704" w:rsidP="0044117E">
            <w:pPr>
              <w:keepNext/>
              <w:keepLines/>
              <w:tabs>
                <w:tab w:val="left" w:pos="720"/>
              </w:tabs>
              <w:rPr>
                <w:b/>
                <w:sz w:val="22"/>
                <w:szCs w:val="22"/>
              </w:rPr>
            </w:pPr>
            <w:r w:rsidRPr="0044117E">
              <w:rPr>
                <w:b/>
                <w:sz w:val="22"/>
                <w:szCs w:val="22"/>
              </w:rPr>
              <w:t>Catheter</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9.1%</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2.7%</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0.5%</w:t>
            </w:r>
          </w:p>
        </w:tc>
        <w:tc>
          <w:tcPr>
            <w:tcW w:w="1541"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5.4%</w:t>
            </w:r>
          </w:p>
        </w:tc>
        <w:tc>
          <w:tcPr>
            <w:tcW w:w="1541"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3.8%</w:t>
            </w:r>
          </w:p>
        </w:tc>
      </w:tr>
      <w:tr w:rsidR="00635704" w:rsidRPr="0044117E" w:rsidTr="00635704">
        <w:trPr>
          <w:trHeight w:val="397"/>
        </w:trPr>
        <w:tc>
          <w:tcPr>
            <w:tcW w:w="1540" w:type="dxa"/>
            <w:shd w:val="clear" w:color="auto" w:fill="FFFFCC"/>
            <w:vAlign w:val="center"/>
          </w:tcPr>
          <w:p w:rsidR="00635704" w:rsidRPr="0044117E" w:rsidRDefault="00635704" w:rsidP="0044117E">
            <w:pPr>
              <w:keepNext/>
              <w:keepLines/>
              <w:tabs>
                <w:tab w:val="left" w:pos="720"/>
              </w:tabs>
              <w:rPr>
                <w:b/>
                <w:sz w:val="22"/>
                <w:szCs w:val="22"/>
              </w:rPr>
            </w:pPr>
            <w:r w:rsidRPr="0044117E">
              <w:rPr>
                <w:b/>
                <w:sz w:val="22"/>
                <w:szCs w:val="22"/>
              </w:rPr>
              <w:t>Surgery</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8.3%</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4.2%</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0.6%</w:t>
            </w:r>
          </w:p>
        </w:tc>
        <w:tc>
          <w:tcPr>
            <w:tcW w:w="1541"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8.8%</w:t>
            </w:r>
          </w:p>
        </w:tc>
        <w:tc>
          <w:tcPr>
            <w:tcW w:w="1541"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6.4%</w:t>
            </w:r>
          </w:p>
        </w:tc>
      </w:tr>
      <w:tr w:rsidR="00635704" w:rsidRPr="0044117E" w:rsidTr="00635704">
        <w:trPr>
          <w:trHeight w:val="397"/>
        </w:trPr>
        <w:tc>
          <w:tcPr>
            <w:tcW w:w="1540" w:type="dxa"/>
            <w:shd w:val="clear" w:color="auto" w:fill="FFFFCC"/>
            <w:vAlign w:val="center"/>
          </w:tcPr>
          <w:p w:rsidR="00635704" w:rsidRPr="0044117E" w:rsidRDefault="00635704" w:rsidP="0044117E">
            <w:pPr>
              <w:keepNext/>
              <w:keepLines/>
              <w:tabs>
                <w:tab w:val="left" w:pos="720"/>
              </w:tabs>
              <w:rPr>
                <w:b/>
                <w:sz w:val="22"/>
                <w:szCs w:val="22"/>
              </w:rPr>
            </w:pPr>
            <w:r w:rsidRPr="0044117E">
              <w:rPr>
                <w:b/>
                <w:sz w:val="22"/>
                <w:szCs w:val="22"/>
              </w:rPr>
              <w:t>p-value</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NR</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NR</w:t>
            </w:r>
          </w:p>
        </w:tc>
        <w:tc>
          <w:tcPr>
            <w:tcW w:w="1540"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ns</w:t>
            </w:r>
          </w:p>
        </w:tc>
        <w:tc>
          <w:tcPr>
            <w:tcW w:w="1541"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0.92</w:t>
            </w:r>
          </w:p>
        </w:tc>
        <w:tc>
          <w:tcPr>
            <w:tcW w:w="1541" w:type="dxa"/>
            <w:vAlign w:val="center"/>
          </w:tcPr>
          <w:p w:rsidR="00635704" w:rsidRPr="0044117E" w:rsidRDefault="00635704"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0.287</w:t>
            </w:r>
          </w:p>
        </w:tc>
      </w:tr>
    </w:tbl>
    <w:p w:rsidR="00635704" w:rsidRPr="0044117E" w:rsidRDefault="00635704" w:rsidP="0044117E">
      <w:pPr>
        <w:tabs>
          <w:tab w:val="left" w:pos="720"/>
        </w:tabs>
        <w:rPr>
          <w:sz w:val="20"/>
        </w:rPr>
      </w:pPr>
      <w:r w:rsidRPr="0044117E">
        <w:rPr>
          <w:sz w:val="20"/>
        </w:rPr>
        <w:t>NR=not reported; ns= ‘not significant’.</w:t>
      </w:r>
    </w:p>
    <w:p w:rsidR="009A4EC2" w:rsidRDefault="009A4EC2" w:rsidP="0044117E">
      <w:pPr>
        <w:tabs>
          <w:tab w:val="left" w:pos="720"/>
        </w:tabs>
        <w:rPr>
          <w:szCs w:val="24"/>
        </w:rPr>
      </w:pPr>
    </w:p>
    <w:p w:rsidR="00635704" w:rsidRPr="0044117E" w:rsidRDefault="00635704" w:rsidP="0044117E">
      <w:pPr>
        <w:tabs>
          <w:tab w:val="left" w:pos="720"/>
        </w:tabs>
        <w:rPr>
          <w:szCs w:val="24"/>
        </w:rPr>
      </w:pPr>
      <w:r w:rsidRPr="0044117E">
        <w:rPr>
          <w:szCs w:val="24"/>
        </w:rPr>
        <w:t xml:space="preserve">The residual shunts were generally described as ‘trivial’ or ‘small’ and many closed spontaneously with longer follow-up. There were two subjects with ‘moderate’ residual shunts (n=1 in both Oses </w:t>
      </w:r>
      <w:r w:rsidR="009A4EC2">
        <w:rPr>
          <w:szCs w:val="24"/>
        </w:rPr>
        <w:t>(</w:t>
      </w:r>
      <w:r w:rsidRPr="0044117E">
        <w:rPr>
          <w:szCs w:val="24"/>
        </w:rPr>
        <w:t>2010</w:t>
      </w:r>
      <w:r w:rsidR="009A4EC2">
        <w:rPr>
          <w:szCs w:val="24"/>
        </w:rPr>
        <w:t>) a</w:t>
      </w:r>
      <w:r w:rsidRPr="0044117E">
        <w:rPr>
          <w:szCs w:val="24"/>
        </w:rPr>
        <w:t xml:space="preserve">nd Liu </w:t>
      </w:r>
      <w:r w:rsidR="009A4EC2">
        <w:rPr>
          <w:szCs w:val="24"/>
        </w:rPr>
        <w:t>(</w:t>
      </w:r>
      <w:r w:rsidRPr="0044117E">
        <w:rPr>
          <w:szCs w:val="24"/>
        </w:rPr>
        <w:t>2012</w:t>
      </w:r>
      <w:r w:rsidR="009A4EC2">
        <w:rPr>
          <w:szCs w:val="24"/>
        </w:rPr>
        <w:t>)</w:t>
      </w:r>
      <w:r w:rsidRPr="0044117E">
        <w:rPr>
          <w:szCs w:val="24"/>
        </w:rPr>
        <w:t>) and both had been treated with surgical repair.</w:t>
      </w:r>
    </w:p>
    <w:p w:rsidR="00EC4190" w:rsidRDefault="00EC4190">
      <w:pPr>
        <w:rPr>
          <w:szCs w:val="24"/>
        </w:rPr>
      </w:pPr>
      <w:r>
        <w:rPr>
          <w:szCs w:val="24"/>
        </w:rPr>
        <w:br w:type="page"/>
      </w:r>
    </w:p>
    <w:p w:rsidR="00635704" w:rsidRPr="009F694E" w:rsidRDefault="002674D0" w:rsidP="009A4EC2">
      <w:pPr>
        <w:pStyle w:val="ListParagraph"/>
        <w:numPr>
          <w:ilvl w:val="0"/>
          <w:numId w:val="24"/>
        </w:numPr>
        <w:ind w:left="567" w:hanging="567"/>
        <w:rPr>
          <w:szCs w:val="24"/>
          <w:u w:val="single"/>
        </w:rPr>
      </w:pPr>
      <w:r w:rsidRPr="009F694E">
        <w:rPr>
          <w:szCs w:val="24"/>
          <w:u w:val="single"/>
        </w:rPr>
        <w:lastRenderedPageBreak/>
        <w:t>Avoidance of cardiopulmonary bypass</w:t>
      </w:r>
    </w:p>
    <w:p w:rsidR="002674D0" w:rsidRPr="0044117E" w:rsidRDefault="002674D0" w:rsidP="0044117E">
      <w:pPr>
        <w:tabs>
          <w:tab w:val="left" w:pos="720"/>
        </w:tabs>
        <w:rPr>
          <w:szCs w:val="24"/>
        </w:rPr>
      </w:pPr>
      <w:r w:rsidRPr="0044117E">
        <w:rPr>
          <w:szCs w:val="24"/>
        </w:rPr>
        <w:t>The proportion of patients assigned to transcatheter closure who avoided cardiopulmonary bypass was as follows.</w:t>
      </w:r>
    </w:p>
    <w:p w:rsidR="009A4EC2" w:rsidRDefault="009A4EC2" w:rsidP="0044117E">
      <w:pPr>
        <w:pStyle w:val="Caption"/>
        <w:spacing w:after="0"/>
        <w:rPr>
          <w:color w:val="auto"/>
          <w:sz w:val="22"/>
          <w:szCs w:val="22"/>
        </w:rPr>
      </w:pPr>
    </w:p>
    <w:p w:rsidR="002674D0" w:rsidRPr="0044117E" w:rsidRDefault="002674D0" w:rsidP="0044117E">
      <w:pPr>
        <w:pStyle w:val="Caption"/>
        <w:spacing w:after="0"/>
        <w:rPr>
          <w:color w:val="auto"/>
          <w:sz w:val="22"/>
          <w:szCs w:val="22"/>
        </w:rPr>
      </w:pPr>
      <w:r w:rsidRPr="0044117E">
        <w:rPr>
          <w:color w:val="auto"/>
          <w:sz w:val="22"/>
          <w:szCs w:val="22"/>
        </w:rPr>
        <w:t xml:space="preserve"> Avoidance of cardiopulmonary bypass (%)</w:t>
      </w:r>
    </w:p>
    <w:tbl>
      <w:tblPr>
        <w:tblStyle w:val="TableGrid"/>
        <w:tblW w:w="0" w:type="auto"/>
        <w:tblLook w:val="04A0" w:firstRow="1" w:lastRow="0" w:firstColumn="1" w:lastColumn="0" w:noHBand="0" w:noVBand="1"/>
        <w:tblCaption w:val="Table 7 Avoidance of cardiopulmonary bypass (%)"/>
      </w:tblPr>
      <w:tblGrid>
        <w:gridCol w:w="1540"/>
        <w:gridCol w:w="1540"/>
        <w:gridCol w:w="1540"/>
        <w:gridCol w:w="1541"/>
        <w:gridCol w:w="1541"/>
      </w:tblGrid>
      <w:tr w:rsidR="002674D0" w:rsidRPr="0044117E" w:rsidTr="001E7769">
        <w:trPr>
          <w:trHeight w:val="567"/>
          <w:tblHeader/>
        </w:trPr>
        <w:tc>
          <w:tcPr>
            <w:tcW w:w="1540" w:type="dxa"/>
            <w:shd w:val="clear" w:color="auto" w:fill="FFFFCC"/>
            <w:vAlign w:val="center"/>
          </w:tcPr>
          <w:p w:rsidR="002674D0" w:rsidRPr="0044117E" w:rsidRDefault="002674D0" w:rsidP="0044117E">
            <w:pPr>
              <w:keepNext/>
              <w:keepLines/>
              <w:tabs>
                <w:tab w:val="left" w:pos="720"/>
              </w:tabs>
              <w:jc w:val="center"/>
              <w:rPr>
                <w:b/>
                <w:sz w:val="22"/>
                <w:szCs w:val="22"/>
              </w:rPr>
            </w:pPr>
            <w:r w:rsidRPr="0044117E">
              <w:rPr>
                <w:b/>
                <w:sz w:val="22"/>
                <w:szCs w:val="22"/>
              </w:rPr>
              <w:t>Pawelec</w:t>
            </w:r>
          </w:p>
          <w:p w:rsidR="002674D0" w:rsidRPr="0044117E" w:rsidRDefault="002674D0" w:rsidP="0044117E">
            <w:pPr>
              <w:keepNext/>
              <w:keepLines/>
              <w:tabs>
                <w:tab w:val="left" w:pos="720"/>
              </w:tabs>
              <w:jc w:val="center"/>
              <w:rPr>
                <w:b/>
                <w:sz w:val="22"/>
                <w:szCs w:val="22"/>
              </w:rPr>
            </w:pPr>
            <w:r w:rsidRPr="0044117E">
              <w:rPr>
                <w:b/>
                <w:sz w:val="22"/>
                <w:szCs w:val="22"/>
              </w:rPr>
              <w:t>2005</w:t>
            </w:r>
          </w:p>
        </w:tc>
        <w:tc>
          <w:tcPr>
            <w:tcW w:w="1540" w:type="dxa"/>
            <w:shd w:val="clear" w:color="auto" w:fill="FFFFCC"/>
            <w:vAlign w:val="center"/>
          </w:tcPr>
          <w:p w:rsidR="002674D0" w:rsidRPr="0044117E" w:rsidRDefault="002674D0" w:rsidP="0044117E">
            <w:pPr>
              <w:keepNext/>
              <w:keepLines/>
              <w:tabs>
                <w:tab w:val="left" w:pos="720"/>
              </w:tabs>
              <w:jc w:val="center"/>
              <w:rPr>
                <w:b/>
                <w:sz w:val="22"/>
                <w:szCs w:val="22"/>
              </w:rPr>
            </w:pPr>
            <w:r w:rsidRPr="0044117E">
              <w:rPr>
                <w:b/>
                <w:sz w:val="22"/>
                <w:szCs w:val="22"/>
              </w:rPr>
              <w:t>Xunmin</w:t>
            </w:r>
          </w:p>
          <w:p w:rsidR="002674D0" w:rsidRPr="0044117E" w:rsidRDefault="002674D0" w:rsidP="0044117E">
            <w:pPr>
              <w:keepNext/>
              <w:keepLines/>
              <w:tabs>
                <w:tab w:val="left" w:pos="720"/>
              </w:tabs>
              <w:jc w:val="center"/>
              <w:rPr>
                <w:b/>
                <w:sz w:val="22"/>
                <w:szCs w:val="22"/>
              </w:rPr>
            </w:pPr>
            <w:r w:rsidRPr="0044117E">
              <w:rPr>
                <w:b/>
                <w:sz w:val="22"/>
                <w:szCs w:val="22"/>
              </w:rPr>
              <w:t>2007</w:t>
            </w:r>
          </w:p>
        </w:tc>
        <w:tc>
          <w:tcPr>
            <w:tcW w:w="1540" w:type="dxa"/>
            <w:shd w:val="clear" w:color="auto" w:fill="FFFFCC"/>
            <w:vAlign w:val="center"/>
          </w:tcPr>
          <w:p w:rsidR="002674D0" w:rsidRPr="0044117E" w:rsidRDefault="002674D0" w:rsidP="0044117E">
            <w:pPr>
              <w:keepNext/>
              <w:keepLines/>
              <w:tabs>
                <w:tab w:val="left" w:pos="720"/>
              </w:tabs>
              <w:jc w:val="center"/>
              <w:rPr>
                <w:b/>
                <w:sz w:val="22"/>
                <w:szCs w:val="22"/>
              </w:rPr>
            </w:pPr>
            <w:r w:rsidRPr="0044117E">
              <w:rPr>
                <w:b/>
                <w:sz w:val="22"/>
                <w:szCs w:val="22"/>
              </w:rPr>
              <w:t>Zheng</w:t>
            </w:r>
          </w:p>
          <w:p w:rsidR="002674D0" w:rsidRPr="0044117E" w:rsidRDefault="002674D0" w:rsidP="0044117E">
            <w:pPr>
              <w:keepNext/>
              <w:keepLines/>
              <w:tabs>
                <w:tab w:val="left" w:pos="720"/>
              </w:tabs>
              <w:jc w:val="center"/>
              <w:rPr>
                <w:b/>
                <w:sz w:val="22"/>
                <w:szCs w:val="22"/>
              </w:rPr>
            </w:pPr>
            <w:r w:rsidRPr="0044117E">
              <w:rPr>
                <w:b/>
                <w:sz w:val="22"/>
                <w:szCs w:val="22"/>
              </w:rPr>
              <w:t>2009</w:t>
            </w:r>
          </w:p>
        </w:tc>
        <w:tc>
          <w:tcPr>
            <w:tcW w:w="1541" w:type="dxa"/>
            <w:shd w:val="clear" w:color="auto" w:fill="FFFFCC"/>
            <w:vAlign w:val="center"/>
          </w:tcPr>
          <w:p w:rsidR="002674D0" w:rsidRPr="0044117E" w:rsidRDefault="002674D0" w:rsidP="0044117E">
            <w:pPr>
              <w:keepNext/>
              <w:keepLines/>
              <w:tabs>
                <w:tab w:val="left" w:pos="720"/>
              </w:tabs>
              <w:jc w:val="center"/>
              <w:rPr>
                <w:b/>
                <w:sz w:val="22"/>
                <w:szCs w:val="22"/>
              </w:rPr>
            </w:pPr>
            <w:r w:rsidRPr="0044117E">
              <w:rPr>
                <w:b/>
                <w:sz w:val="22"/>
                <w:szCs w:val="22"/>
              </w:rPr>
              <w:t>Oses</w:t>
            </w:r>
          </w:p>
          <w:p w:rsidR="002674D0" w:rsidRPr="0044117E" w:rsidRDefault="002674D0" w:rsidP="0044117E">
            <w:pPr>
              <w:keepNext/>
              <w:keepLines/>
              <w:tabs>
                <w:tab w:val="left" w:pos="720"/>
              </w:tabs>
              <w:jc w:val="center"/>
              <w:rPr>
                <w:b/>
                <w:sz w:val="22"/>
                <w:szCs w:val="22"/>
              </w:rPr>
            </w:pPr>
            <w:r w:rsidRPr="0044117E">
              <w:rPr>
                <w:b/>
                <w:sz w:val="22"/>
                <w:szCs w:val="22"/>
              </w:rPr>
              <w:t>2010</w:t>
            </w:r>
          </w:p>
        </w:tc>
        <w:tc>
          <w:tcPr>
            <w:tcW w:w="1541" w:type="dxa"/>
            <w:shd w:val="clear" w:color="auto" w:fill="FFFFCC"/>
            <w:vAlign w:val="center"/>
          </w:tcPr>
          <w:p w:rsidR="002674D0" w:rsidRPr="0044117E" w:rsidRDefault="002674D0" w:rsidP="0044117E">
            <w:pPr>
              <w:keepNext/>
              <w:keepLines/>
              <w:tabs>
                <w:tab w:val="left" w:pos="720"/>
              </w:tabs>
              <w:jc w:val="center"/>
              <w:rPr>
                <w:b/>
                <w:sz w:val="22"/>
                <w:szCs w:val="22"/>
              </w:rPr>
            </w:pPr>
            <w:r w:rsidRPr="0044117E">
              <w:rPr>
                <w:b/>
                <w:sz w:val="22"/>
                <w:szCs w:val="22"/>
              </w:rPr>
              <w:t>Liu</w:t>
            </w:r>
          </w:p>
          <w:p w:rsidR="002674D0" w:rsidRPr="0044117E" w:rsidRDefault="002674D0" w:rsidP="0044117E">
            <w:pPr>
              <w:keepNext/>
              <w:keepLines/>
              <w:tabs>
                <w:tab w:val="left" w:pos="720"/>
              </w:tabs>
              <w:jc w:val="center"/>
              <w:rPr>
                <w:b/>
                <w:sz w:val="22"/>
                <w:szCs w:val="22"/>
              </w:rPr>
            </w:pPr>
            <w:r w:rsidRPr="0044117E">
              <w:rPr>
                <w:b/>
                <w:sz w:val="22"/>
                <w:szCs w:val="22"/>
              </w:rPr>
              <w:t>2012</w:t>
            </w:r>
          </w:p>
        </w:tc>
      </w:tr>
      <w:tr w:rsidR="002674D0" w:rsidRPr="0044117E" w:rsidTr="001E7769">
        <w:trPr>
          <w:trHeight w:val="397"/>
        </w:trPr>
        <w:tc>
          <w:tcPr>
            <w:tcW w:w="1540" w:type="dxa"/>
            <w:vAlign w:val="center"/>
          </w:tcPr>
          <w:p w:rsidR="002674D0" w:rsidRPr="0044117E" w:rsidRDefault="002674D0"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100.0%</w:t>
            </w:r>
          </w:p>
        </w:tc>
        <w:tc>
          <w:tcPr>
            <w:tcW w:w="1540" w:type="dxa"/>
            <w:vAlign w:val="center"/>
          </w:tcPr>
          <w:p w:rsidR="002674D0" w:rsidRPr="0044117E" w:rsidRDefault="002674D0"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97.3%</w:t>
            </w:r>
          </w:p>
        </w:tc>
        <w:tc>
          <w:tcPr>
            <w:tcW w:w="1540" w:type="dxa"/>
            <w:vAlign w:val="center"/>
          </w:tcPr>
          <w:p w:rsidR="002674D0" w:rsidRPr="0044117E" w:rsidRDefault="002674D0"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99.8%</w:t>
            </w:r>
          </w:p>
        </w:tc>
        <w:tc>
          <w:tcPr>
            <w:tcW w:w="1541" w:type="dxa"/>
            <w:vAlign w:val="center"/>
          </w:tcPr>
          <w:p w:rsidR="002674D0" w:rsidRPr="0044117E" w:rsidRDefault="002674D0"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97.3%</w:t>
            </w:r>
          </w:p>
        </w:tc>
        <w:tc>
          <w:tcPr>
            <w:tcW w:w="1541" w:type="dxa"/>
            <w:vAlign w:val="center"/>
          </w:tcPr>
          <w:p w:rsidR="002674D0" w:rsidRPr="0044117E" w:rsidRDefault="002674D0" w:rsidP="0044117E">
            <w:pPr>
              <w:pStyle w:val="Default"/>
              <w:jc w:val="center"/>
              <w:rPr>
                <w:rFonts w:ascii="Times New Roman" w:hAnsi="Times New Roman" w:cs="Times New Roman"/>
                <w:sz w:val="22"/>
                <w:szCs w:val="22"/>
              </w:rPr>
            </w:pPr>
            <w:r w:rsidRPr="0044117E">
              <w:rPr>
                <w:rFonts w:ascii="Times New Roman" w:hAnsi="Times New Roman" w:cs="Times New Roman"/>
                <w:sz w:val="22"/>
                <w:szCs w:val="22"/>
              </w:rPr>
              <w:t>99.4%</w:t>
            </w:r>
          </w:p>
        </w:tc>
      </w:tr>
    </w:tbl>
    <w:p w:rsidR="004605D7" w:rsidRDefault="004605D7" w:rsidP="0044117E">
      <w:pPr>
        <w:tabs>
          <w:tab w:val="left" w:pos="720"/>
        </w:tabs>
        <w:rPr>
          <w:szCs w:val="24"/>
        </w:rPr>
      </w:pPr>
    </w:p>
    <w:p w:rsidR="002674D0" w:rsidRPr="009F694E" w:rsidRDefault="002674D0" w:rsidP="009A4EC2">
      <w:pPr>
        <w:pStyle w:val="ListParagraph"/>
        <w:numPr>
          <w:ilvl w:val="0"/>
          <w:numId w:val="24"/>
        </w:numPr>
        <w:ind w:left="567" w:hanging="567"/>
        <w:rPr>
          <w:szCs w:val="24"/>
          <w:u w:val="single"/>
        </w:rPr>
      </w:pPr>
      <w:r w:rsidRPr="009F694E">
        <w:rPr>
          <w:szCs w:val="24"/>
          <w:u w:val="single"/>
        </w:rPr>
        <w:t>Reduction in pulmonary artery pressure</w:t>
      </w:r>
    </w:p>
    <w:p w:rsidR="002674D0" w:rsidRPr="0044117E" w:rsidRDefault="002674D0" w:rsidP="0044117E">
      <w:pPr>
        <w:tabs>
          <w:tab w:val="left" w:pos="720"/>
        </w:tabs>
        <w:rPr>
          <w:szCs w:val="24"/>
        </w:rPr>
      </w:pPr>
      <w:r w:rsidRPr="0044117E">
        <w:rPr>
          <w:szCs w:val="24"/>
        </w:rPr>
        <w:t xml:space="preserve">Measures of pulmonary artery pressure were not reported in any of the five comparative studies. One case of pulmonary hypertensive crisis with cardiorespiratory arrest (with subsequent recovery) was reported in Oses </w:t>
      </w:r>
      <w:r w:rsidR="009A4EC2">
        <w:rPr>
          <w:szCs w:val="24"/>
        </w:rPr>
        <w:t>(</w:t>
      </w:r>
      <w:r w:rsidRPr="0044117E">
        <w:rPr>
          <w:szCs w:val="24"/>
        </w:rPr>
        <w:t>2010</w:t>
      </w:r>
      <w:r w:rsidR="009A4EC2">
        <w:rPr>
          <w:szCs w:val="24"/>
        </w:rPr>
        <w:t>), t</w:t>
      </w:r>
      <w:r w:rsidRPr="0044117E">
        <w:rPr>
          <w:szCs w:val="24"/>
        </w:rPr>
        <w:t>he patient had had surgical VSD closure.</w:t>
      </w:r>
    </w:p>
    <w:p w:rsidR="004605D7" w:rsidRDefault="004605D7" w:rsidP="0044117E">
      <w:pPr>
        <w:tabs>
          <w:tab w:val="left" w:pos="720"/>
        </w:tabs>
        <w:rPr>
          <w:szCs w:val="24"/>
        </w:rPr>
      </w:pPr>
    </w:p>
    <w:p w:rsidR="002674D0" w:rsidRPr="009F694E" w:rsidRDefault="00BA7FE7" w:rsidP="009A4EC2">
      <w:pPr>
        <w:pStyle w:val="ListParagraph"/>
        <w:numPr>
          <w:ilvl w:val="0"/>
          <w:numId w:val="24"/>
        </w:numPr>
        <w:ind w:left="567" w:hanging="567"/>
        <w:rPr>
          <w:szCs w:val="24"/>
          <w:u w:val="single"/>
        </w:rPr>
      </w:pPr>
      <w:r w:rsidRPr="009F694E">
        <w:rPr>
          <w:szCs w:val="24"/>
          <w:u w:val="single"/>
        </w:rPr>
        <w:t>Patient discomfort</w:t>
      </w:r>
    </w:p>
    <w:p w:rsidR="00BA7FE7" w:rsidRPr="0044117E" w:rsidRDefault="00BA7FE7" w:rsidP="0044117E">
      <w:pPr>
        <w:tabs>
          <w:tab w:val="left" w:pos="720"/>
        </w:tabs>
        <w:rPr>
          <w:szCs w:val="24"/>
        </w:rPr>
      </w:pPr>
      <w:r w:rsidRPr="0044117E">
        <w:rPr>
          <w:szCs w:val="24"/>
        </w:rPr>
        <w:t>Direct measures of patient discomfort were not reported in any of the five comparative studies. Two studies reported on time to resumption of normal activities, an endpoint that may reflect the level of patient discomfort. In both studies there was a statistically significant benefit with transcatheter closure.</w:t>
      </w:r>
    </w:p>
    <w:p w:rsidR="009F694E" w:rsidRDefault="009F694E" w:rsidP="0044117E">
      <w:pPr>
        <w:tabs>
          <w:tab w:val="left" w:pos="720"/>
        </w:tabs>
        <w:rPr>
          <w:szCs w:val="24"/>
        </w:rPr>
      </w:pPr>
    </w:p>
    <w:p w:rsidR="00BA7FE7" w:rsidRPr="009F694E" w:rsidRDefault="00BA7FE7" w:rsidP="009A4EC2">
      <w:pPr>
        <w:pStyle w:val="ListParagraph"/>
        <w:numPr>
          <w:ilvl w:val="0"/>
          <w:numId w:val="24"/>
        </w:numPr>
        <w:ind w:left="567" w:hanging="567"/>
        <w:rPr>
          <w:szCs w:val="24"/>
          <w:u w:val="single"/>
        </w:rPr>
      </w:pPr>
      <w:r w:rsidRPr="009F694E">
        <w:rPr>
          <w:szCs w:val="24"/>
          <w:u w:val="single"/>
        </w:rPr>
        <w:t>Hospital stay</w:t>
      </w:r>
    </w:p>
    <w:p w:rsidR="00BA7FE7" w:rsidRPr="0044117E" w:rsidRDefault="00BA7FE7" w:rsidP="0044117E">
      <w:pPr>
        <w:tabs>
          <w:tab w:val="left" w:pos="720"/>
        </w:tabs>
        <w:rPr>
          <w:szCs w:val="24"/>
        </w:rPr>
      </w:pPr>
      <w:r w:rsidRPr="0044117E">
        <w:rPr>
          <w:szCs w:val="24"/>
        </w:rPr>
        <w:t>Four of the studies measured length of hospital stay. In all these studies transcatheter closure was associated with a shorter average hospital stay. In three of the studies the difference reached statistical significance.</w:t>
      </w:r>
    </w:p>
    <w:p w:rsidR="004605D7" w:rsidRDefault="004605D7" w:rsidP="0044117E">
      <w:pPr>
        <w:tabs>
          <w:tab w:val="left" w:pos="720"/>
        </w:tabs>
        <w:rPr>
          <w:szCs w:val="24"/>
        </w:rPr>
      </w:pPr>
    </w:p>
    <w:p w:rsidR="00635704" w:rsidRPr="009F694E" w:rsidRDefault="00BA7FE7" w:rsidP="000E58F0">
      <w:pPr>
        <w:pStyle w:val="ListParagraph"/>
        <w:numPr>
          <w:ilvl w:val="0"/>
          <w:numId w:val="24"/>
        </w:numPr>
        <w:ind w:left="567" w:hanging="567"/>
        <w:rPr>
          <w:szCs w:val="24"/>
          <w:u w:val="single"/>
        </w:rPr>
      </w:pPr>
      <w:r w:rsidRPr="009F694E">
        <w:rPr>
          <w:szCs w:val="24"/>
          <w:u w:val="single"/>
        </w:rPr>
        <w:t>Long term effectiveness outcomes</w:t>
      </w:r>
    </w:p>
    <w:p w:rsidR="00BA7FE7" w:rsidRPr="0044117E" w:rsidRDefault="00BA7FE7" w:rsidP="0044117E">
      <w:pPr>
        <w:tabs>
          <w:tab w:val="left" w:pos="720"/>
        </w:tabs>
        <w:rPr>
          <w:szCs w:val="24"/>
        </w:rPr>
      </w:pPr>
      <w:r w:rsidRPr="0044117E">
        <w:rPr>
          <w:szCs w:val="24"/>
        </w:rPr>
        <w:t xml:space="preserve">The effectiveness outcomes described above are all outcomes obtained at long-term follow-up. However, duration of follow-up varied across studies. In Liu </w:t>
      </w:r>
      <w:r w:rsidR="000E58F0">
        <w:rPr>
          <w:szCs w:val="24"/>
        </w:rPr>
        <w:t>(</w:t>
      </w:r>
      <w:r w:rsidRPr="0044117E">
        <w:rPr>
          <w:szCs w:val="24"/>
        </w:rPr>
        <w:t>2012</w:t>
      </w:r>
      <w:r w:rsidR="000E58F0">
        <w:rPr>
          <w:szCs w:val="24"/>
        </w:rPr>
        <w:t>)</w:t>
      </w:r>
      <w:r w:rsidRPr="0044117E">
        <w:rPr>
          <w:szCs w:val="24"/>
        </w:rPr>
        <w:t>, average duration of follow-up was approximately 5 months. In Oses et al</w:t>
      </w:r>
      <w:r w:rsidR="00225FD4">
        <w:rPr>
          <w:szCs w:val="24"/>
        </w:rPr>
        <w:t xml:space="preserve"> (2010), the</w:t>
      </w:r>
      <w:r w:rsidRPr="0044117E">
        <w:rPr>
          <w:szCs w:val="24"/>
        </w:rPr>
        <w:t xml:space="preserve"> average duration of long-term follow-up was approximately 42 months (3.5 years). Duration of follow-up in the other three studies was approximately 12 months.</w:t>
      </w:r>
    </w:p>
    <w:p w:rsidR="004605D7" w:rsidRDefault="004605D7" w:rsidP="0044117E">
      <w:pPr>
        <w:tabs>
          <w:tab w:val="left" w:pos="720"/>
        </w:tabs>
        <w:rPr>
          <w:szCs w:val="24"/>
        </w:rPr>
      </w:pPr>
    </w:p>
    <w:p w:rsidR="00635704" w:rsidRPr="0044117E" w:rsidRDefault="00BA7FE7" w:rsidP="0044117E">
      <w:pPr>
        <w:tabs>
          <w:tab w:val="left" w:pos="720"/>
        </w:tabs>
        <w:rPr>
          <w:szCs w:val="24"/>
        </w:rPr>
      </w:pPr>
      <w:r w:rsidRPr="0044117E">
        <w:rPr>
          <w:szCs w:val="24"/>
        </w:rPr>
        <w:t xml:space="preserve">Oses </w:t>
      </w:r>
      <w:r w:rsidR="000E58F0">
        <w:rPr>
          <w:szCs w:val="24"/>
        </w:rPr>
        <w:t>(</w:t>
      </w:r>
      <w:r w:rsidRPr="0044117E">
        <w:rPr>
          <w:szCs w:val="24"/>
        </w:rPr>
        <w:t>2010</w:t>
      </w:r>
      <w:r w:rsidR="000E58F0">
        <w:rPr>
          <w:szCs w:val="24"/>
        </w:rPr>
        <w:t>)</w:t>
      </w:r>
      <w:r w:rsidRPr="0044117E">
        <w:rPr>
          <w:szCs w:val="24"/>
        </w:rPr>
        <w:t xml:space="preserve"> reported on the incidence of residual shunts both at hospital discharge and at long-term follow-up</w:t>
      </w:r>
      <w:r w:rsidR="009571BF" w:rsidRPr="0044117E">
        <w:rPr>
          <w:szCs w:val="24"/>
        </w:rPr>
        <w:t>.</w:t>
      </w:r>
    </w:p>
    <w:p w:rsidR="000E58F0" w:rsidRDefault="000E58F0" w:rsidP="0044117E">
      <w:pPr>
        <w:pStyle w:val="Caption"/>
        <w:keepNext/>
        <w:keepLines/>
        <w:spacing w:after="0"/>
        <w:rPr>
          <w:color w:val="auto"/>
          <w:sz w:val="22"/>
          <w:szCs w:val="22"/>
        </w:rPr>
      </w:pPr>
    </w:p>
    <w:p w:rsidR="00BA7FE7" w:rsidRPr="0044117E" w:rsidRDefault="00BA7FE7" w:rsidP="0044117E">
      <w:pPr>
        <w:pStyle w:val="Caption"/>
        <w:keepNext/>
        <w:keepLines/>
        <w:spacing w:after="0"/>
        <w:rPr>
          <w:color w:val="auto"/>
          <w:sz w:val="22"/>
          <w:szCs w:val="22"/>
        </w:rPr>
      </w:pPr>
      <w:r w:rsidRPr="0044117E">
        <w:rPr>
          <w:color w:val="auto"/>
          <w:sz w:val="22"/>
          <w:szCs w:val="22"/>
        </w:rPr>
        <w:t xml:space="preserve"> Incidence of residual shunt (%)</w:t>
      </w:r>
    </w:p>
    <w:tbl>
      <w:tblPr>
        <w:tblStyle w:val="TableGrid"/>
        <w:tblW w:w="0" w:type="auto"/>
        <w:tblLook w:val="04A0" w:firstRow="1" w:lastRow="0" w:firstColumn="1" w:lastColumn="0" w:noHBand="0" w:noVBand="1"/>
        <w:tblCaption w:val="Table 8 Incidence of residual shunt (%)"/>
      </w:tblPr>
      <w:tblGrid>
        <w:gridCol w:w="3080"/>
        <w:gridCol w:w="3081"/>
        <w:gridCol w:w="3081"/>
      </w:tblGrid>
      <w:tr w:rsidR="00BA7FE7" w:rsidRPr="0044117E" w:rsidTr="001E7769">
        <w:trPr>
          <w:trHeight w:val="397"/>
          <w:tblHeader/>
        </w:trPr>
        <w:tc>
          <w:tcPr>
            <w:tcW w:w="3080" w:type="dxa"/>
            <w:shd w:val="clear" w:color="auto" w:fill="FFFFCC"/>
            <w:vAlign w:val="center"/>
          </w:tcPr>
          <w:p w:rsidR="00BA7FE7" w:rsidRPr="0044117E" w:rsidRDefault="00BA7FE7" w:rsidP="0044117E">
            <w:pPr>
              <w:keepNext/>
              <w:keepLines/>
              <w:tabs>
                <w:tab w:val="left" w:pos="720"/>
              </w:tabs>
              <w:jc w:val="center"/>
              <w:rPr>
                <w:sz w:val="22"/>
                <w:szCs w:val="22"/>
              </w:rPr>
            </w:pPr>
          </w:p>
        </w:tc>
        <w:tc>
          <w:tcPr>
            <w:tcW w:w="3081" w:type="dxa"/>
            <w:shd w:val="clear" w:color="auto" w:fill="FFFFCC"/>
            <w:vAlign w:val="center"/>
          </w:tcPr>
          <w:p w:rsidR="00BA7FE7" w:rsidRPr="0044117E" w:rsidRDefault="009571BF"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b/>
                <w:bCs/>
                <w:sz w:val="22"/>
                <w:szCs w:val="22"/>
              </w:rPr>
              <w:t>At d</w:t>
            </w:r>
            <w:r w:rsidR="00BA7FE7" w:rsidRPr="0044117E">
              <w:rPr>
                <w:rFonts w:ascii="Times New Roman" w:hAnsi="Times New Roman" w:cs="Times New Roman"/>
                <w:b/>
                <w:bCs/>
                <w:sz w:val="22"/>
                <w:szCs w:val="22"/>
              </w:rPr>
              <w:t>ischarge</w:t>
            </w:r>
          </w:p>
        </w:tc>
        <w:tc>
          <w:tcPr>
            <w:tcW w:w="3081" w:type="dxa"/>
            <w:shd w:val="clear" w:color="auto" w:fill="FFFFCC"/>
            <w:vAlign w:val="center"/>
          </w:tcPr>
          <w:p w:rsidR="00BA7FE7" w:rsidRPr="0044117E" w:rsidRDefault="009571BF"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b/>
                <w:bCs/>
                <w:sz w:val="22"/>
                <w:szCs w:val="22"/>
              </w:rPr>
              <w:t>At l</w:t>
            </w:r>
            <w:r w:rsidR="00BA7FE7" w:rsidRPr="0044117E">
              <w:rPr>
                <w:rFonts w:ascii="Times New Roman" w:hAnsi="Times New Roman" w:cs="Times New Roman"/>
                <w:b/>
                <w:bCs/>
                <w:sz w:val="22"/>
                <w:szCs w:val="22"/>
              </w:rPr>
              <w:t xml:space="preserve">ong-term </w:t>
            </w:r>
            <w:r w:rsidRPr="0044117E">
              <w:rPr>
                <w:rFonts w:ascii="Times New Roman" w:hAnsi="Times New Roman" w:cs="Times New Roman"/>
                <w:b/>
                <w:bCs/>
                <w:sz w:val="22"/>
                <w:szCs w:val="22"/>
              </w:rPr>
              <w:t>follow-up</w:t>
            </w:r>
          </w:p>
        </w:tc>
      </w:tr>
      <w:tr w:rsidR="00BA7FE7" w:rsidRPr="0044117E" w:rsidTr="001E7769">
        <w:trPr>
          <w:trHeight w:val="397"/>
        </w:trPr>
        <w:tc>
          <w:tcPr>
            <w:tcW w:w="0" w:type="auto"/>
            <w:shd w:val="clear" w:color="auto" w:fill="FFFFCC"/>
            <w:vAlign w:val="center"/>
          </w:tcPr>
          <w:p w:rsidR="00BA7FE7" w:rsidRPr="0044117E" w:rsidRDefault="00BA7FE7" w:rsidP="0044117E">
            <w:pPr>
              <w:pStyle w:val="Default"/>
              <w:keepNext/>
              <w:keepLines/>
              <w:rPr>
                <w:rFonts w:ascii="Times New Roman" w:hAnsi="Times New Roman" w:cs="Times New Roman"/>
                <w:b/>
                <w:sz w:val="22"/>
                <w:szCs w:val="22"/>
              </w:rPr>
            </w:pPr>
            <w:r w:rsidRPr="0044117E">
              <w:rPr>
                <w:rFonts w:ascii="Times New Roman" w:hAnsi="Times New Roman" w:cs="Times New Roman"/>
                <w:b/>
                <w:sz w:val="22"/>
                <w:szCs w:val="22"/>
              </w:rPr>
              <w:t>Catheter</w:t>
            </w:r>
          </w:p>
        </w:tc>
        <w:tc>
          <w:tcPr>
            <w:tcW w:w="0" w:type="auto"/>
            <w:vAlign w:val="center"/>
          </w:tcPr>
          <w:p w:rsidR="00BA7FE7" w:rsidRPr="0044117E" w:rsidRDefault="00BA7FE7"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sz w:val="22"/>
                <w:szCs w:val="22"/>
              </w:rPr>
              <w:t>11.1%</w:t>
            </w:r>
          </w:p>
        </w:tc>
        <w:tc>
          <w:tcPr>
            <w:tcW w:w="0" w:type="auto"/>
            <w:vAlign w:val="center"/>
          </w:tcPr>
          <w:p w:rsidR="00BA7FE7" w:rsidRPr="0044117E" w:rsidRDefault="00BA7FE7"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sz w:val="22"/>
                <w:szCs w:val="22"/>
              </w:rPr>
              <w:t>5.4%</w:t>
            </w:r>
          </w:p>
        </w:tc>
      </w:tr>
      <w:tr w:rsidR="00BA7FE7" w:rsidRPr="0044117E" w:rsidTr="001E7769">
        <w:trPr>
          <w:trHeight w:val="397"/>
        </w:trPr>
        <w:tc>
          <w:tcPr>
            <w:tcW w:w="0" w:type="auto"/>
            <w:shd w:val="clear" w:color="auto" w:fill="FFFFCC"/>
            <w:vAlign w:val="center"/>
          </w:tcPr>
          <w:p w:rsidR="00BA7FE7" w:rsidRPr="0044117E" w:rsidRDefault="00BA7FE7" w:rsidP="0044117E">
            <w:pPr>
              <w:pStyle w:val="Default"/>
              <w:keepNext/>
              <w:keepLines/>
              <w:rPr>
                <w:rFonts w:ascii="Times New Roman" w:hAnsi="Times New Roman" w:cs="Times New Roman"/>
                <w:b/>
                <w:sz w:val="22"/>
                <w:szCs w:val="22"/>
              </w:rPr>
            </w:pPr>
            <w:r w:rsidRPr="0044117E">
              <w:rPr>
                <w:rFonts w:ascii="Times New Roman" w:hAnsi="Times New Roman" w:cs="Times New Roman"/>
                <w:b/>
                <w:sz w:val="22"/>
                <w:szCs w:val="22"/>
              </w:rPr>
              <w:t>Surgery</w:t>
            </w:r>
          </w:p>
        </w:tc>
        <w:tc>
          <w:tcPr>
            <w:tcW w:w="0" w:type="auto"/>
            <w:vAlign w:val="center"/>
          </w:tcPr>
          <w:p w:rsidR="00BA7FE7" w:rsidRPr="0044117E" w:rsidRDefault="00BA7FE7"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sz w:val="22"/>
                <w:szCs w:val="22"/>
              </w:rPr>
              <w:t>23.5%</w:t>
            </w:r>
          </w:p>
        </w:tc>
        <w:tc>
          <w:tcPr>
            <w:tcW w:w="0" w:type="auto"/>
            <w:vAlign w:val="center"/>
          </w:tcPr>
          <w:p w:rsidR="00BA7FE7" w:rsidRPr="0044117E" w:rsidRDefault="00BA7FE7"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sz w:val="22"/>
                <w:szCs w:val="22"/>
              </w:rPr>
              <w:t>8.8%</w:t>
            </w:r>
          </w:p>
        </w:tc>
      </w:tr>
      <w:tr w:rsidR="00BA7FE7" w:rsidRPr="0044117E" w:rsidTr="001E7769">
        <w:trPr>
          <w:trHeight w:val="397"/>
        </w:trPr>
        <w:tc>
          <w:tcPr>
            <w:tcW w:w="0" w:type="auto"/>
            <w:shd w:val="clear" w:color="auto" w:fill="FFFFCC"/>
            <w:vAlign w:val="center"/>
          </w:tcPr>
          <w:p w:rsidR="00BA7FE7" w:rsidRPr="0044117E" w:rsidRDefault="00BA7FE7" w:rsidP="0044117E">
            <w:pPr>
              <w:pStyle w:val="Default"/>
              <w:keepNext/>
              <w:keepLines/>
              <w:rPr>
                <w:rFonts w:ascii="Times New Roman" w:hAnsi="Times New Roman" w:cs="Times New Roman"/>
                <w:b/>
                <w:sz w:val="22"/>
                <w:szCs w:val="22"/>
              </w:rPr>
            </w:pPr>
            <w:r w:rsidRPr="0044117E">
              <w:rPr>
                <w:rFonts w:ascii="Times New Roman" w:hAnsi="Times New Roman" w:cs="Times New Roman"/>
                <w:b/>
                <w:sz w:val="22"/>
                <w:szCs w:val="22"/>
              </w:rPr>
              <w:t>p-value</w:t>
            </w:r>
          </w:p>
        </w:tc>
        <w:tc>
          <w:tcPr>
            <w:tcW w:w="0" w:type="auto"/>
            <w:vAlign w:val="center"/>
          </w:tcPr>
          <w:p w:rsidR="00BA7FE7" w:rsidRPr="0044117E" w:rsidRDefault="00BA7FE7"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sz w:val="22"/>
                <w:szCs w:val="22"/>
              </w:rPr>
              <w:t>0.26</w:t>
            </w:r>
          </w:p>
        </w:tc>
        <w:tc>
          <w:tcPr>
            <w:tcW w:w="0" w:type="auto"/>
            <w:vAlign w:val="center"/>
          </w:tcPr>
          <w:p w:rsidR="00BA7FE7" w:rsidRPr="0044117E" w:rsidRDefault="00BA7FE7" w:rsidP="0044117E">
            <w:pPr>
              <w:pStyle w:val="Default"/>
              <w:keepNext/>
              <w:keepLines/>
              <w:jc w:val="center"/>
              <w:rPr>
                <w:rFonts w:ascii="Times New Roman" w:hAnsi="Times New Roman" w:cs="Times New Roman"/>
                <w:sz w:val="22"/>
                <w:szCs w:val="22"/>
              </w:rPr>
            </w:pPr>
            <w:r w:rsidRPr="0044117E">
              <w:rPr>
                <w:rFonts w:ascii="Times New Roman" w:hAnsi="Times New Roman" w:cs="Times New Roman"/>
                <w:sz w:val="22"/>
                <w:szCs w:val="22"/>
              </w:rPr>
              <w:t>0.92</w:t>
            </w:r>
          </w:p>
        </w:tc>
      </w:tr>
    </w:tbl>
    <w:p w:rsidR="004605D7" w:rsidRDefault="004605D7" w:rsidP="0044117E">
      <w:pPr>
        <w:tabs>
          <w:tab w:val="left" w:pos="720"/>
        </w:tabs>
        <w:rPr>
          <w:b/>
          <w:szCs w:val="24"/>
        </w:rPr>
      </w:pPr>
    </w:p>
    <w:p w:rsidR="00F43280" w:rsidRPr="0044117E" w:rsidRDefault="00F43280" w:rsidP="0044117E">
      <w:pPr>
        <w:tabs>
          <w:tab w:val="left" w:pos="720"/>
        </w:tabs>
        <w:rPr>
          <w:b/>
          <w:szCs w:val="24"/>
        </w:rPr>
      </w:pPr>
      <w:r w:rsidRPr="0044117E">
        <w:rPr>
          <w:b/>
          <w:szCs w:val="24"/>
        </w:rPr>
        <w:t>Hybrid closure</w:t>
      </w:r>
    </w:p>
    <w:p w:rsidR="00F43280" w:rsidRPr="0044117E" w:rsidRDefault="00F43280" w:rsidP="0044117E">
      <w:pPr>
        <w:tabs>
          <w:tab w:val="left" w:pos="720"/>
        </w:tabs>
        <w:rPr>
          <w:szCs w:val="24"/>
        </w:rPr>
      </w:pPr>
      <w:r w:rsidRPr="0044117E">
        <w:rPr>
          <w:szCs w:val="24"/>
        </w:rPr>
        <w:t>The hybrid approach failed in 2/89 patients (2.2%). One subject developed transient complete AVB during the procedure. The other subject was considered a failure because of a residual shunt after deployment of the device. Both subjects underwent surgical correction of their VSD.</w:t>
      </w:r>
    </w:p>
    <w:p w:rsidR="000E58F0" w:rsidRDefault="000E58F0" w:rsidP="0044117E">
      <w:pPr>
        <w:tabs>
          <w:tab w:val="left" w:pos="720"/>
        </w:tabs>
        <w:rPr>
          <w:szCs w:val="24"/>
        </w:rPr>
      </w:pPr>
    </w:p>
    <w:p w:rsidR="00F43280" w:rsidRPr="0044117E" w:rsidRDefault="00F43280" w:rsidP="0044117E">
      <w:pPr>
        <w:tabs>
          <w:tab w:val="left" w:pos="720"/>
        </w:tabs>
        <w:rPr>
          <w:szCs w:val="24"/>
        </w:rPr>
      </w:pPr>
      <w:r w:rsidRPr="0044117E">
        <w:rPr>
          <w:szCs w:val="24"/>
        </w:rPr>
        <w:t>In the hybrid surgery group ‘tiny’ residual shunts were detected in 25.3% of subjects immediately after the procedure. However</w:t>
      </w:r>
      <w:r w:rsidR="00E85417">
        <w:rPr>
          <w:szCs w:val="24"/>
        </w:rPr>
        <w:t>,</w:t>
      </w:r>
      <w:r w:rsidRPr="0044117E">
        <w:rPr>
          <w:szCs w:val="24"/>
        </w:rPr>
        <w:t xml:space="preserve"> these all resolved within the first three months of follow-up.</w:t>
      </w:r>
    </w:p>
    <w:p w:rsidR="00F43280" w:rsidRPr="0044117E" w:rsidRDefault="00F43280" w:rsidP="0044117E">
      <w:pPr>
        <w:tabs>
          <w:tab w:val="left" w:pos="720"/>
        </w:tabs>
        <w:rPr>
          <w:szCs w:val="24"/>
        </w:rPr>
      </w:pPr>
      <w:r w:rsidRPr="0044117E">
        <w:rPr>
          <w:szCs w:val="24"/>
        </w:rPr>
        <w:lastRenderedPageBreak/>
        <w:t>In the conventional surgery group a residual shunt was detected in one subject (1.0%) one week after surgery. This was subsequently closed with a hybrid procedure.</w:t>
      </w:r>
    </w:p>
    <w:p w:rsidR="00E85417" w:rsidRDefault="00E85417" w:rsidP="0044117E">
      <w:pPr>
        <w:tabs>
          <w:tab w:val="left" w:pos="720"/>
        </w:tabs>
        <w:rPr>
          <w:szCs w:val="24"/>
        </w:rPr>
      </w:pPr>
    </w:p>
    <w:p w:rsidR="00F43280" w:rsidRPr="0044117E" w:rsidRDefault="00F43280" w:rsidP="0044117E">
      <w:pPr>
        <w:tabs>
          <w:tab w:val="left" w:pos="720"/>
        </w:tabs>
        <w:rPr>
          <w:szCs w:val="24"/>
        </w:rPr>
      </w:pPr>
      <w:r w:rsidRPr="0044117E">
        <w:rPr>
          <w:szCs w:val="24"/>
        </w:rPr>
        <w:t>Cardiopulmonary bypass was avoided by 97.8% of subjects assigned to the hybrid surgery procedure.</w:t>
      </w:r>
    </w:p>
    <w:p w:rsidR="004605D7" w:rsidRDefault="004605D7" w:rsidP="0044117E">
      <w:pPr>
        <w:tabs>
          <w:tab w:val="left" w:pos="720"/>
        </w:tabs>
        <w:rPr>
          <w:szCs w:val="24"/>
        </w:rPr>
      </w:pPr>
    </w:p>
    <w:p w:rsidR="00F43280" w:rsidRPr="0044117E" w:rsidRDefault="00F43280" w:rsidP="0044117E">
      <w:pPr>
        <w:tabs>
          <w:tab w:val="left" w:pos="720"/>
        </w:tabs>
        <w:rPr>
          <w:szCs w:val="24"/>
        </w:rPr>
      </w:pPr>
      <w:r w:rsidRPr="0044117E">
        <w:rPr>
          <w:szCs w:val="24"/>
        </w:rPr>
        <w:t>The reduction in pulmonary artery pressure at 12 months was comparable in the two groups</w:t>
      </w:r>
      <w:r w:rsidR="008154AA" w:rsidRPr="0044117E">
        <w:rPr>
          <w:szCs w:val="24"/>
        </w:rPr>
        <w:t>.</w:t>
      </w:r>
    </w:p>
    <w:p w:rsidR="008154AA" w:rsidRPr="0044117E" w:rsidRDefault="008154AA" w:rsidP="0044117E">
      <w:pPr>
        <w:tabs>
          <w:tab w:val="left" w:pos="720"/>
        </w:tabs>
        <w:rPr>
          <w:szCs w:val="24"/>
        </w:rPr>
      </w:pPr>
      <w:r w:rsidRPr="0044117E">
        <w:rPr>
          <w:szCs w:val="24"/>
        </w:rPr>
        <w:t>The study did not report any measures of patient discomfort.</w:t>
      </w:r>
    </w:p>
    <w:p w:rsidR="004605D7" w:rsidRDefault="004605D7" w:rsidP="0044117E">
      <w:pPr>
        <w:tabs>
          <w:tab w:val="left" w:pos="720"/>
        </w:tabs>
        <w:rPr>
          <w:szCs w:val="24"/>
        </w:rPr>
      </w:pPr>
    </w:p>
    <w:p w:rsidR="00E85417" w:rsidRDefault="008154AA" w:rsidP="0044117E">
      <w:pPr>
        <w:tabs>
          <w:tab w:val="left" w:pos="720"/>
        </w:tabs>
        <w:rPr>
          <w:szCs w:val="24"/>
        </w:rPr>
      </w:pPr>
      <w:r w:rsidRPr="0044117E">
        <w:rPr>
          <w:szCs w:val="24"/>
        </w:rPr>
        <w:t>The length of inpatient stay was significantly shorter in the hybrid surgery group.</w:t>
      </w:r>
      <w:r w:rsidR="00E85417">
        <w:rPr>
          <w:szCs w:val="24"/>
        </w:rPr>
        <w:t xml:space="preserve"> </w:t>
      </w:r>
    </w:p>
    <w:p w:rsidR="00E85417" w:rsidRDefault="00E85417" w:rsidP="0044117E">
      <w:pPr>
        <w:tabs>
          <w:tab w:val="left" w:pos="720"/>
        </w:tabs>
        <w:rPr>
          <w:szCs w:val="24"/>
        </w:rPr>
      </w:pPr>
    </w:p>
    <w:p w:rsidR="002F4095" w:rsidRDefault="008154AA" w:rsidP="0044117E">
      <w:pPr>
        <w:tabs>
          <w:tab w:val="left" w:pos="720"/>
        </w:tabs>
        <w:rPr>
          <w:szCs w:val="24"/>
        </w:rPr>
      </w:pPr>
      <w:r w:rsidRPr="0044117E">
        <w:rPr>
          <w:szCs w:val="24"/>
        </w:rPr>
        <w:t xml:space="preserve">Mean ± SD duration of follow-up in this study was 20.5 ± 3.2 months, with a range of </w:t>
      </w:r>
    </w:p>
    <w:p w:rsidR="008154AA" w:rsidRPr="0044117E" w:rsidRDefault="008154AA" w:rsidP="0044117E">
      <w:pPr>
        <w:tabs>
          <w:tab w:val="left" w:pos="720"/>
        </w:tabs>
        <w:rPr>
          <w:szCs w:val="24"/>
        </w:rPr>
      </w:pPr>
      <w:r w:rsidRPr="0044117E">
        <w:rPr>
          <w:szCs w:val="24"/>
        </w:rPr>
        <w:t>13-32</w:t>
      </w:r>
      <w:r w:rsidR="002F4095">
        <w:rPr>
          <w:szCs w:val="24"/>
        </w:rPr>
        <w:t> </w:t>
      </w:r>
      <w:r w:rsidRPr="0044117E">
        <w:rPr>
          <w:szCs w:val="24"/>
        </w:rPr>
        <w:t>months. Other long-term effectiveness outcomes reported in the study are summarised in the following table.</w:t>
      </w:r>
    </w:p>
    <w:p w:rsidR="004605D7" w:rsidRDefault="004605D7" w:rsidP="0044117E">
      <w:pPr>
        <w:pStyle w:val="Caption"/>
        <w:keepNext/>
        <w:keepLines/>
        <w:spacing w:after="0"/>
        <w:rPr>
          <w:color w:val="auto"/>
          <w:sz w:val="22"/>
          <w:szCs w:val="22"/>
        </w:rPr>
      </w:pPr>
    </w:p>
    <w:p w:rsidR="008154AA" w:rsidRPr="0044117E" w:rsidRDefault="008154AA" w:rsidP="0044117E">
      <w:pPr>
        <w:pStyle w:val="Caption"/>
        <w:keepNext/>
        <w:keepLines/>
        <w:spacing w:after="0"/>
        <w:rPr>
          <w:color w:val="auto"/>
          <w:sz w:val="22"/>
          <w:szCs w:val="22"/>
        </w:rPr>
      </w:pPr>
      <w:r w:rsidRPr="0044117E">
        <w:rPr>
          <w:color w:val="auto"/>
          <w:sz w:val="22"/>
          <w:szCs w:val="22"/>
        </w:rPr>
        <w:t>Long-term effectiveness outcomes (Xu 2012)</w:t>
      </w:r>
    </w:p>
    <w:tbl>
      <w:tblPr>
        <w:tblStyle w:val="TableGrid"/>
        <w:tblW w:w="0" w:type="auto"/>
        <w:tblLook w:val="04A0" w:firstRow="1" w:lastRow="0" w:firstColumn="1" w:lastColumn="0" w:noHBand="0" w:noVBand="1"/>
        <w:tblCaption w:val="Table 9 Long-term effectiveness outcomes (Xu 2012)"/>
      </w:tblPr>
      <w:tblGrid>
        <w:gridCol w:w="3969"/>
        <w:gridCol w:w="3402"/>
      </w:tblGrid>
      <w:tr w:rsidR="008154AA" w:rsidRPr="0044117E" w:rsidTr="001E7769">
        <w:trPr>
          <w:trHeight w:val="397"/>
          <w:tblHeader/>
        </w:trPr>
        <w:tc>
          <w:tcPr>
            <w:tcW w:w="7371" w:type="dxa"/>
            <w:gridSpan w:val="2"/>
            <w:shd w:val="clear" w:color="auto" w:fill="FFFFCC"/>
          </w:tcPr>
          <w:p w:rsidR="008154AA" w:rsidRPr="0044117E" w:rsidRDefault="008154AA" w:rsidP="0044117E">
            <w:pPr>
              <w:tabs>
                <w:tab w:val="left" w:pos="720"/>
              </w:tabs>
              <w:rPr>
                <w:sz w:val="22"/>
                <w:szCs w:val="22"/>
              </w:rPr>
            </w:pPr>
            <w:r w:rsidRPr="0044117E">
              <w:rPr>
                <w:b/>
                <w:bCs/>
                <w:sz w:val="22"/>
                <w:szCs w:val="22"/>
              </w:rPr>
              <w:t>RVSP at 1 month (mmHg) – mean ± SD</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Hybrid surgery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11.8 ± 3.6 </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Surgery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11.2 ± 3.2 </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p-value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1.000 </w:t>
            </w:r>
          </w:p>
        </w:tc>
      </w:tr>
      <w:tr w:rsidR="008154AA" w:rsidRPr="0044117E" w:rsidTr="001E7769">
        <w:tc>
          <w:tcPr>
            <w:tcW w:w="7371" w:type="dxa"/>
            <w:gridSpan w:val="2"/>
            <w:shd w:val="clear" w:color="auto" w:fill="FFFFCC"/>
          </w:tcPr>
          <w:p w:rsidR="008154AA" w:rsidRPr="0044117E" w:rsidRDefault="008154AA" w:rsidP="0044117E">
            <w:pPr>
              <w:tabs>
                <w:tab w:val="left" w:pos="720"/>
              </w:tabs>
              <w:rPr>
                <w:sz w:val="22"/>
                <w:szCs w:val="22"/>
              </w:rPr>
            </w:pPr>
            <w:r w:rsidRPr="0044117E">
              <w:rPr>
                <w:b/>
                <w:bCs/>
                <w:sz w:val="22"/>
                <w:szCs w:val="22"/>
              </w:rPr>
              <w:t>Percent decrease in LVEDD at 12 months – mean ± SD</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Hybrid surgery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10.4 ± 5.7 </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Surgery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9.5 ± 4.4 </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p-value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0.762 </w:t>
            </w:r>
          </w:p>
        </w:tc>
      </w:tr>
      <w:tr w:rsidR="008154AA" w:rsidRPr="0044117E" w:rsidTr="001E7769">
        <w:tc>
          <w:tcPr>
            <w:tcW w:w="7371" w:type="dxa"/>
            <w:gridSpan w:val="2"/>
            <w:shd w:val="clear" w:color="auto" w:fill="FFFFCC"/>
          </w:tcPr>
          <w:p w:rsidR="008154AA" w:rsidRPr="0044117E" w:rsidRDefault="008154AA" w:rsidP="0044117E">
            <w:pPr>
              <w:tabs>
                <w:tab w:val="left" w:pos="720"/>
              </w:tabs>
              <w:rPr>
                <w:sz w:val="22"/>
                <w:szCs w:val="22"/>
              </w:rPr>
            </w:pPr>
            <w:r w:rsidRPr="0044117E">
              <w:rPr>
                <w:b/>
                <w:bCs/>
                <w:sz w:val="22"/>
                <w:szCs w:val="22"/>
              </w:rPr>
              <w:t>Percent decrease in cardiothoracic ratio at 12 months – mean ± SD</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Hybrid surgery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7.2 ± 2.3 </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Surgery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7.8 ± 1.9 </w:t>
            </w:r>
          </w:p>
        </w:tc>
      </w:tr>
      <w:tr w:rsidR="008154AA" w:rsidRPr="0044117E" w:rsidTr="001E7769">
        <w:tc>
          <w:tcPr>
            <w:tcW w:w="3969" w:type="dxa"/>
          </w:tcPr>
          <w:p w:rsidR="008154AA" w:rsidRPr="0044117E" w:rsidRDefault="008154AA" w:rsidP="0044117E">
            <w:pPr>
              <w:pStyle w:val="Default"/>
              <w:rPr>
                <w:rFonts w:ascii="Times New Roman" w:hAnsi="Times New Roman" w:cs="Times New Roman"/>
                <w:b/>
                <w:sz w:val="22"/>
                <w:szCs w:val="22"/>
              </w:rPr>
            </w:pPr>
            <w:r w:rsidRPr="0044117E">
              <w:rPr>
                <w:rFonts w:ascii="Times New Roman" w:hAnsi="Times New Roman" w:cs="Times New Roman"/>
                <w:b/>
                <w:sz w:val="22"/>
                <w:szCs w:val="22"/>
              </w:rPr>
              <w:t xml:space="preserve">p-value </w:t>
            </w:r>
          </w:p>
        </w:tc>
        <w:tc>
          <w:tcPr>
            <w:tcW w:w="3402" w:type="dxa"/>
          </w:tcPr>
          <w:p w:rsidR="008154AA" w:rsidRPr="0044117E" w:rsidRDefault="008154AA" w:rsidP="0044117E">
            <w:pPr>
              <w:pStyle w:val="Default"/>
              <w:rPr>
                <w:rFonts w:ascii="Times New Roman" w:hAnsi="Times New Roman" w:cs="Times New Roman"/>
                <w:sz w:val="22"/>
                <w:szCs w:val="22"/>
              </w:rPr>
            </w:pPr>
            <w:r w:rsidRPr="0044117E">
              <w:rPr>
                <w:rFonts w:ascii="Times New Roman" w:hAnsi="Times New Roman" w:cs="Times New Roman"/>
                <w:sz w:val="22"/>
                <w:szCs w:val="22"/>
              </w:rPr>
              <w:t xml:space="preserve">0.894 </w:t>
            </w:r>
          </w:p>
        </w:tc>
      </w:tr>
    </w:tbl>
    <w:p w:rsidR="00591BE3" w:rsidRPr="0044117E" w:rsidRDefault="00591BE3" w:rsidP="0044117E">
      <w:pPr>
        <w:tabs>
          <w:tab w:val="left" w:pos="720"/>
          <w:tab w:val="left" w:pos="1140"/>
        </w:tabs>
      </w:pPr>
      <w:r w:rsidRPr="0044117E">
        <w:rPr>
          <w:sz w:val="20"/>
        </w:rPr>
        <w:t>RVSP=right ventricular systolic pressure; LVEDD = left ventricular end diastolic diameter</w:t>
      </w:r>
    </w:p>
    <w:p w:rsidR="004605D7" w:rsidRDefault="004605D7" w:rsidP="0044117E">
      <w:pPr>
        <w:tabs>
          <w:tab w:val="left" w:pos="720"/>
          <w:tab w:val="left" w:pos="1140"/>
        </w:tabs>
      </w:pPr>
    </w:p>
    <w:p w:rsidR="007B2A17" w:rsidRPr="0044117E" w:rsidRDefault="007B2A17" w:rsidP="0044117E">
      <w:pPr>
        <w:tabs>
          <w:tab w:val="left" w:pos="720"/>
          <w:tab w:val="left" w:pos="1140"/>
        </w:tabs>
      </w:pPr>
      <w:r w:rsidRPr="0044117E">
        <w:t>The studies of transcatheter closure of congenital VSD indicate</w:t>
      </w:r>
      <w:r w:rsidR="00C33F98">
        <w:t>d</w:t>
      </w:r>
      <w:r w:rsidRPr="0044117E">
        <w:t xml:space="preserve"> that the procedure has comparable effectiveness to surgical closure when used in an appropriately selected patient population. In such a population, the procedure is associated with a high rate of successful closure and a low incidence of significant residual shunt. In addition, transcatheter closure is associated with some advantages over surgical closure, such as:</w:t>
      </w:r>
    </w:p>
    <w:p w:rsidR="007B2A17" w:rsidRPr="0044117E" w:rsidRDefault="007B2A17" w:rsidP="0044117E">
      <w:pPr>
        <w:pStyle w:val="ListParagraph"/>
        <w:numPr>
          <w:ilvl w:val="0"/>
          <w:numId w:val="14"/>
        </w:numPr>
        <w:tabs>
          <w:tab w:val="left" w:pos="720"/>
          <w:tab w:val="left" w:pos="1140"/>
        </w:tabs>
        <w:ind w:left="714" w:hanging="357"/>
        <w:contextualSpacing w:val="0"/>
        <w:rPr>
          <w:szCs w:val="24"/>
        </w:rPr>
      </w:pPr>
      <w:r w:rsidRPr="0044117E">
        <w:rPr>
          <w:szCs w:val="24"/>
        </w:rPr>
        <w:t>Avoidance of the need for cardiopulmonary bypass;</w:t>
      </w:r>
    </w:p>
    <w:p w:rsidR="007B2A17" w:rsidRPr="0044117E" w:rsidRDefault="007B2A17" w:rsidP="0044117E">
      <w:pPr>
        <w:pStyle w:val="ListParagraph"/>
        <w:numPr>
          <w:ilvl w:val="0"/>
          <w:numId w:val="14"/>
        </w:numPr>
        <w:tabs>
          <w:tab w:val="left" w:pos="720"/>
          <w:tab w:val="left" w:pos="1140"/>
        </w:tabs>
        <w:ind w:left="714" w:hanging="357"/>
        <w:contextualSpacing w:val="0"/>
        <w:rPr>
          <w:szCs w:val="24"/>
        </w:rPr>
      </w:pPr>
      <w:r w:rsidRPr="0044117E">
        <w:rPr>
          <w:szCs w:val="24"/>
        </w:rPr>
        <w:t>A more rapid return to normal activities; and</w:t>
      </w:r>
    </w:p>
    <w:p w:rsidR="007B2A17" w:rsidRPr="0044117E" w:rsidRDefault="007B2A17" w:rsidP="0044117E">
      <w:pPr>
        <w:pStyle w:val="ListParagraph"/>
        <w:numPr>
          <w:ilvl w:val="0"/>
          <w:numId w:val="14"/>
        </w:numPr>
        <w:tabs>
          <w:tab w:val="left" w:pos="720"/>
          <w:tab w:val="left" w:pos="1140"/>
        </w:tabs>
        <w:ind w:left="714" w:hanging="357"/>
        <w:contextualSpacing w:val="0"/>
        <w:rPr>
          <w:szCs w:val="24"/>
        </w:rPr>
      </w:pPr>
      <w:r w:rsidRPr="0044117E">
        <w:rPr>
          <w:szCs w:val="24"/>
        </w:rPr>
        <w:t>A shorter hospital stay.</w:t>
      </w:r>
    </w:p>
    <w:p w:rsidR="004605D7" w:rsidRDefault="004605D7" w:rsidP="0044117E">
      <w:pPr>
        <w:tabs>
          <w:tab w:val="left" w:pos="720"/>
          <w:tab w:val="left" w:pos="1140"/>
        </w:tabs>
        <w:rPr>
          <w:szCs w:val="24"/>
        </w:rPr>
      </w:pPr>
    </w:p>
    <w:p w:rsidR="00062BDF" w:rsidRDefault="00062BDF" w:rsidP="0044117E">
      <w:pPr>
        <w:tabs>
          <w:tab w:val="left" w:pos="720"/>
          <w:tab w:val="left" w:pos="1140"/>
        </w:tabs>
        <w:rPr>
          <w:szCs w:val="24"/>
        </w:rPr>
      </w:pPr>
      <w:r w:rsidRPr="0044117E">
        <w:rPr>
          <w:szCs w:val="24"/>
        </w:rPr>
        <w:t>The single comparative study of intraoperative device closure (hybrid surgery) for congenital VSD also indicated effectiveness comparable to surgical closure, with the advantages of avoidance of cardiopulmonary bypass and a shorter hospital stay.</w:t>
      </w:r>
    </w:p>
    <w:p w:rsidR="00274947" w:rsidRDefault="00274947" w:rsidP="0044117E">
      <w:pPr>
        <w:tabs>
          <w:tab w:val="left" w:pos="720"/>
          <w:tab w:val="left" w:pos="1140"/>
        </w:tabs>
        <w:rPr>
          <w:szCs w:val="24"/>
        </w:rPr>
      </w:pPr>
    </w:p>
    <w:p w:rsidR="00274947" w:rsidRDefault="00C33F98" w:rsidP="0044117E">
      <w:pPr>
        <w:tabs>
          <w:tab w:val="left" w:pos="720"/>
          <w:tab w:val="left" w:pos="1140"/>
        </w:tabs>
        <w:rPr>
          <w:szCs w:val="24"/>
        </w:rPr>
      </w:pPr>
      <w:r>
        <w:rPr>
          <w:szCs w:val="24"/>
        </w:rPr>
        <w:t xml:space="preserve">Based on the studies presented, </w:t>
      </w:r>
      <w:r w:rsidRPr="00493F03">
        <w:rPr>
          <w:szCs w:val="24"/>
        </w:rPr>
        <w:t>MSAC</w:t>
      </w:r>
      <w:r>
        <w:rPr>
          <w:szCs w:val="24"/>
        </w:rPr>
        <w:t xml:space="preserve"> noted that transcatheter closure is associated</w:t>
      </w:r>
      <w:r w:rsidRPr="0026313A">
        <w:rPr>
          <w:szCs w:val="24"/>
        </w:rPr>
        <w:t xml:space="preserve"> with a high rate of successful closure </w:t>
      </w:r>
      <w:r>
        <w:rPr>
          <w:szCs w:val="24"/>
        </w:rPr>
        <w:t xml:space="preserve">(99.8%, Zheng </w:t>
      </w:r>
      <w:r w:rsidRPr="0063386F">
        <w:rPr>
          <w:i/>
          <w:szCs w:val="24"/>
        </w:rPr>
        <w:t>et al</w:t>
      </w:r>
      <w:r>
        <w:rPr>
          <w:szCs w:val="24"/>
        </w:rPr>
        <w:t xml:space="preserve"> 2009; 99.4%, Liu </w:t>
      </w:r>
      <w:r w:rsidRPr="0063386F">
        <w:rPr>
          <w:i/>
          <w:szCs w:val="24"/>
        </w:rPr>
        <w:t>et al</w:t>
      </w:r>
      <w:r>
        <w:rPr>
          <w:szCs w:val="24"/>
        </w:rPr>
        <w:t xml:space="preserve"> 2012) </w:t>
      </w:r>
      <w:r w:rsidRPr="0026313A">
        <w:rPr>
          <w:szCs w:val="24"/>
        </w:rPr>
        <w:t xml:space="preserve">and a low incidence </w:t>
      </w:r>
      <w:r>
        <w:rPr>
          <w:szCs w:val="24"/>
        </w:rPr>
        <w:t xml:space="preserve">(0.5% Zheng </w:t>
      </w:r>
      <w:r w:rsidRPr="0063386F">
        <w:rPr>
          <w:i/>
          <w:szCs w:val="24"/>
        </w:rPr>
        <w:t>et al</w:t>
      </w:r>
      <w:r>
        <w:rPr>
          <w:szCs w:val="24"/>
        </w:rPr>
        <w:t xml:space="preserve"> 2009; 3.8%, Liu </w:t>
      </w:r>
      <w:r w:rsidRPr="0063386F">
        <w:rPr>
          <w:i/>
          <w:szCs w:val="24"/>
        </w:rPr>
        <w:t>et al</w:t>
      </w:r>
      <w:r>
        <w:rPr>
          <w:szCs w:val="24"/>
        </w:rPr>
        <w:t xml:space="preserve"> 2012) </w:t>
      </w:r>
      <w:r w:rsidRPr="0026313A">
        <w:rPr>
          <w:szCs w:val="24"/>
        </w:rPr>
        <w:t>of significant residual shunt. In addition, transcatheter closure is associated with some advantages over surgical closure</w:t>
      </w:r>
      <w:r>
        <w:rPr>
          <w:szCs w:val="24"/>
        </w:rPr>
        <w:t>.</w:t>
      </w:r>
    </w:p>
    <w:p w:rsidR="00C33F98" w:rsidRDefault="00C33F98" w:rsidP="0044117E">
      <w:pPr>
        <w:tabs>
          <w:tab w:val="left" w:pos="720"/>
          <w:tab w:val="left" w:pos="1140"/>
        </w:tabs>
        <w:rPr>
          <w:szCs w:val="24"/>
        </w:rPr>
      </w:pPr>
    </w:p>
    <w:p w:rsidR="00C33F98" w:rsidRDefault="00C33F98" w:rsidP="0044117E">
      <w:pPr>
        <w:tabs>
          <w:tab w:val="left" w:pos="720"/>
          <w:tab w:val="left" w:pos="1140"/>
        </w:tabs>
        <w:rPr>
          <w:sz w:val="23"/>
          <w:szCs w:val="23"/>
        </w:rPr>
      </w:pPr>
      <w:r>
        <w:rPr>
          <w:szCs w:val="24"/>
        </w:rPr>
        <w:t xml:space="preserve">Overall, MSAC agreed </w:t>
      </w:r>
      <w:r>
        <w:rPr>
          <w:sz w:val="23"/>
          <w:szCs w:val="23"/>
        </w:rPr>
        <w:t>that transcatheter closure of VSD is likely to be non-inferior in terms of comparative safety and effectiveness despite issues with the limited evidence base.</w:t>
      </w:r>
    </w:p>
    <w:p w:rsidR="00C33F98" w:rsidRDefault="00C33F98" w:rsidP="0044117E">
      <w:pPr>
        <w:tabs>
          <w:tab w:val="left" w:pos="720"/>
          <w:tab w:val="left" w:pos="1140"/>
        </w:tabs>
        <w:rPr>
          <w:szCs w:val="24"/>
        </w:rPr>
      </w:pPr>
    </w:p>
    <w:p w:rsidR="004C0DCE" w:rsidRPr="003104C7" w:rsidRDefault="003104C7" w:rsidP="003104C7">
      <w:pPr>
        <w:pStyle w:val="Heading1"/>
      </w:pPr>
      <w:r w:rsidRPr="003104C7">
        <w:lastRenderedPageBreak/>
        <w:t>11.</w:t>
      </w:r>
      <w:r w:rsidRPr="003104C7">
        <w:tab/>
      </w:r>
      <w:r w:rsidR="004C0DCE" w:rsidRPr="003104C7">
        <w:t>Economic evaluation</w:t>
      </w:r>
    </w:p>
    <w:p w:rsidR="0030582B" w:rsidRDefault="00984AA4" w:rsidP="0044117E">
      <w:pPr>
        <w:tabs>
          <w:tab w:val="left" w:pos="720"/>
        </w:tabs>
        <w:rPr>
          <w:szCs w:val="24"/>
        </w:rPr>
      </w:pPr>
      <w:r>
        <w:rPr>
          <w:szCs w:val="24"/>
        </w:rPr>
        <w:t xml:space="preserve">A </w:t>
      </w:r>
      <w:r w:rsidR="004D77B4" w:rsidRPr="0044117E">
        <w:rPr>
          <w:szCs w:val="24"/>
        </w:rPr>
        <w:t>co</w:t>
      </w:r>
      <w:r w:rsidR="00914FED">
        <w:rPr>
          <w:szCs w:val="24"/>
        </w:rPr>
        <w:t>st-</w:t>
      </w:r>
      <w:r w:rsidR="00296A99" w:rsidRPr="0044117E">
        <w:rPr>
          <w:szCs w:val="24"/>
        </w:rPr>
        <w:t>minimisation analysis was</w:t>
      </w:r>
      <w:r w:rsidR="004D77B4" w:rsidRPr="0044117E">
        <w:rPr>
          <w:szCs w:val="24"/>
        </w:rPr>
        <w:t xml:space="preserve"> </w:t>
      </w:r>
      <w:r w:rsidR="00914FED">
        <w:rPr>
          <w:szCs w:val="24"/>
        </w:rPr>
        <w:t>presented</w:t>
      </w:r>
      <w:r w:rsidR="004D77B4" w:rsidRPr="0044117E">
        <w:rPr>
          <w:szCs w:val="24"/>
        </w:rPr>
        <w:t xml:space="preserve"> for the service relative to that of surgical closure of congenital VSD.</w:t>
      </w:r>
    </w:p>
    <w:p w:rsidR="00192465" w:rsidRPr="0044117E" w:rsidRDefault="00192465" w:rsidP="0044117E">
      <w:pPr>
        <w:tabs>
          <w:tab w:val="left" w:pos="720"/>
        </w:tabs>
        <w:rPr>
          <w:szCs w:val="24"/>
        </w:rPr>
      </w:pPr>
    </w:p>
    <w:p w:rsidR="00296A99" w:rsidRPr="0044117E" w:rsidRDefault="00525E0D" w:rsidP="0044117E">
      <w:pPr>
        <w:tabs>
          <w:tab w:val="left" w:pos="720"/>
        </w:tabs>
        <w:rPr>
          <w:szCs w:val="24"/>
        </w:rPr>
      </w:pPr>
      <w:r w:rsidRPr="0044117E">
        <w:rPr>
          <w:szCs w:val="24"/>
        </w:rPr>
        <w:t xml:space="preserve">The analysis did not restrict the service by the age of the patient or the type of the defect. </w:t>
      </w:r>
      <w:r w:rsidR="00914FED">
        <w:rPr>
          <w:szCs w:val="24"/>
        </w:rPr>
        <w:t>The analysis also took</w:t>
      </w:r>
      <w:r w:rsidR="00914FED" w:rsidRPr="0044117E">
        <w:rPr>
          <w:szCs w:val="24"/>
        </w:rPr>
        <w:t xml:space="preserve"> into account that the ser</w:t>
      </w:r>
      <w:r w:rsidR="00914FED">
        <w:rPr>
          <w:szCs w:val="24"/>
        </w:rPr>
        <w:t>vice is currently provided for</w:t>
      </w:r>
      <w:r w:rsidR="00914FED" w:rsidRPr="0044117E">
        <w:rPr>
          <w:szCs w:val="24"/>
        </w:rPr>
        <w:t xml:space="preserve"> small numbers of patients, and therefore the total government expenditure on the service is likely to be small. </w:t>
      </w:r>
      <w:r w:rsidRPr="0044117E">
        <w:rPr>
          <w:szCs w:val="24"/>
        </w:rPr>
        <w:t>The potential for use of the service in a wider population or setting than the target popul</w:t>
      </w:r>
      <w:r w:rsidR="00914FED">
        <w:rPr>
          <w:szCs w:val="24"/>
        </w:rPr>
        <w:t>ation and setting wa</w:t>
      </w:r>
      <w:r w:rsidR="00296A99" w:rsidRPr="0044117E">
        <w:rPr>
          <w:szCs w:val="24"/>
        </w:rPr>
        <w:t xml:space="preserve">s </w:t>
      </w:r>
      <w:r w:rsidR="00914FED">
        <w:rPr>
          <w:szCs w:val="24"/>
        </w:rPr>
        <w:t xml:space="preserve">considered </w:t>
      </w:r>
      <w:r w:rsidR="00296A99" w:rsidRPr="0044117E">
        <w:rPr>
          <w:szCs w:val="24"/>
        </w:rPr>
        <w:t>unlikely.</w:t>
      </w:r>
    </w:p>
    <w:p w:rsidR="004605D7" w:rsidRDefault="004605D7" w:rsidP="0044117E">
      <w:pPr>
        <w:tabs>
          <w:tab w:val="left" w:pos="720"/>
        </w:tabs>
        <w:rPr>
          <w:szCs w:val="24"/>
        </w:rPr>
      </w:pPr>
    </w:p>
    <w:p w:rsidR="00296A99" w:rsidRPr="0044117E" w:rsidRDefault="00525E0D" w:rsidP="0044117E">
      <w:pPr>
        <w:tabs>
          <w:tab w:val="left" w:pos="720"/>
        </w:tabs>
        <w:rPr>
          <w:szCs w:val="24"/>
        </w:rPr>
      </w:pPr>
      <w:r w:rsidRPr="0044117E">
        <w:rPr>
          <w:szCs w:val="24"/>
        </w:rPr>
        <w:t xml:space="preserve">After repair of a VSD, long-term follow-up is necessary. However, for the purposes of the analysis, the assumption </w:t>
      </w:r>
      <w:r w:rsidR="002A2DE3">
        <w:rPr>
          <w:szCs w:val="24"/>
        </w:rPr>
        <w:t>wa</w:t>
      </w:r>
      <w:r w:rsidRPr="0044117E">
        <w:rPr>
          <w:szCs w:val="24"/>
        </w:rPr>
        <w:t>s made that the follow-up would be of a similar nature for both transcatheter and surgical closure of VSD. Therefore</w:t>
      </w:r>
      <w:r w:rsidR="002A2DE3">
        <w:rPr>
          <w:szCs w:val="24"/>
        </w:rPr>
        <w:t>,</w:t>
      </w:r>
      <w:r w:rsidRPr="0044117E">
        <w:rPr>
          <w:szCs w:val="24"/>
        </w:rPr>
        <w:t xml:space="preserve"> the follow-up period </w:t>
      </w:r>
      <w:r w:rsidR="002A2DE3">
        <w:rPr>
          <w:szCs w:val="24"/>
        </w:rPr>
        <w:t>w</w:t>
      </w:r>
      <w:r w:rsidRPr="0044117E">
        <w:rPr>
          <w:szCs w:val="24"/>
        </w:rPr>
        <w:t xml:space="preserve">as not factored in to </w:t>
      </w:r>
      <w:r w:rsidR="00296A99" w:rsidRPr="0044117E">
        <w:rPr>
          <w:szCs w:val="24"/>
        </w:rPr>
        <w:t>the cost-minimisation analysis.</w:t>
      </w:r>
    </w:p>
    <w:p w:rsidR="004605D7" w:rsidRDefault="004605D7" w:rsidP="0044117E">
      <w:pPr>
        <w:tabs>
          <w:tab w:val="left" w:pos="720"/>
        </w:tabs>
        <w:rPr>
          <w:szCs w:val="24"/>
        </w:rPr>
      </w:pPr>
    </w:p>
    <w:p w:rsidR="00CB4AA5" w:rsidRPr="0044117E" w:rsidRDefault="00525E0D" w:rsidP="0044117E">
      <w:pPr>
        <w:tabs>
          <w:tab w:val="left" w:pos="720"/>
        </w:tabs>
        <w:rPr>
          <w:szCs w:val="24"/>
        </w:rPr>
      </w:pPr>
      <w:r w:rsidRPr="0044117E">
        <w:rPr>
          <w:szCs w:val="24"/>
        </w:rPr>
        <w:t>The costs and benefits of transcathe</w:t>
      </w:r>
      <w:r w:rsidR="002A2DE3">
        <w:rPr>
          <w:szCs w:val="24"/>
        </w:rPr>
        <w:t>ter or surgical closure of VSD we</w:t>
      </w:r>
      <w:r w:rsidRPr="0044117E">
        <w:rPr>
          <w:szCs w:val="24"/>
        </w:rPr>
        <w:t>re assumed to be similar post discharge from ho</w:t>
      </w:r>
      <w:r w:rsidR="002A2DE3">
        <w:rPr>
          <w:szCs w:val="24"/>
        </w:rPr>
        <w:t>spital. Therefore, discounting w</w:t>
      </w:r>
      <w:r w:rsidRPr="0044117E">
        <w:rPr>
          <w:szCs w:val="24"/>
        </w:rPr>
        <w:t>as not applied to the cost-minimisation analysis.</w:t>
      </w:r>
      <w:r w:rsidR="004F092A" w:rsidRPr="0044117E">
        <w:rPr>
          <w:szCs w:val="24"/>
        </w:rPr>
        <w:t xml:space="preserve"> </w:t>
      </w:r>
      <w:r w:rsidR="00CB4AA5" w:rsidRPr="0044117E">
        <w:rPr>
          <w:szCs w:val="24"/>
        </w:rPr>
        <w:t>Variables used in the economic evaluation include</w:t>
      </w:r>
      <w:r w:rsidR="002A2DE3">
        <w:rPr>
          <w:szCs w:val="24"/>
        </w:rPr>
        <w:t>d</w:t>
      </w:r>
      <w:r w:rsidR="00CB4AA5" w:rsidRPr="0044117E">
        <w:rPr>
          <w:szCs w:val="24"/>
        </w:rPr>
        <w:t xml:space="preserve"> MBS items, the prosthetic item and health care resources. </w:t>
      </w:r>
      <w:r w:rsidR="0063361D" w:rsidRPr="0044117E">
        <w:rPr>
          <w:szCs w:val="24"/>
        </w:rPr>
        <w:t xml:space="preserve">Specialist consultation and diagnostic services </w:t>
      </w:r>
      <w:r w:rsidR="002A2DE3">
        <w:rPr>
          <w:szCs w:val="24"/>
        </w:rPr>
        <w:t>were</w:t>
      </w:r>
      <w:r w:rsidR="0063361D" w:rsidRPr="0044117E">
        <w:rPr>
          <w:szCs w:val="24"/>
        </w:rPr>
        <w:t xml:space="preserve"> included in the analysis for all patients undergoing closure of VSD by either surgical or transcatheter technique. </w:t>
      </w:r>
      <w:r w:rsidR="00CB4AA5" w:rsidRPr="0044117E">
        <w:rPr>
          <w:szCs w:val="24"/>
        </w:rPr>
        <w:t xml:space="preserve">The health care resource items for which there would be a change in use associated with providing transcatheter closure of VSD include diagnostic and hospital services and the </w:t>
      </w:r>
      <w:r w:rsidRPr="0044117E">
        <w:rPr>
          <w:szCs w:val="24"/>
        </w:rPr>
        <w:t xml:space="preserve">cost of providing the </w:t>
      </w:r>
      <w:r w:rsidR="00CB4AA5" w:rsidRPr="0044117E">
        <w:rPr>
          <w:szCs w:val="24"/>
        </w:rPr>
        <w:t>device itself.</w:t>
      </w:r>
    </w:p>
    <w:p w:rsidR="004605D7" w:rsidRDefault="004605D7" w:rsidP="0044117E">
      <w:pPr>
        <w:tabs>
          <w:tab w:val="left" w:pos="720"/>
        </w:tabs>
        <w:rPr>
          <w:szCs w:val="24"/>
        </w:rPr>
      </w:pPr>
    </w:p>
    <w:p w:rsidR="0030582B" w:rsidRPr="0044117E" w:rsidRDefault="00525E0D" w:rsidP="0044117E">
      <w:pPr>
        <w:tabs>
          <w:tab w:val="left" w:pos="720"/>
        </w:tabs>
        <w:rPr>
          <w:szCs w:val="24"/>
        </w:rPr>
      </w:pPr>
      <w:r w:rsidRPr="0044117E">
        <w:rPr>
          <w:szCs w:val="24"/>
        </w:rPr>
        <w:t>Transcatheter closure of VSD aims to successfully deliver the device with no residual shunt and complete regression of signs of volume overload. The outcomes generated by the economic evaluation represent t</w:t>
      </w:r>
      <w:r w:rsidR="00296A99" w:rsidRPr="0044117E">
        <w:rPr>
          <w:szCs w:val="24"/>
        </w:rPr>
        <w:t>he final outcomes of treatment.</w:t>
      </w:r>
    </w:p>
    <w:p w:rsidR="004605D7" w:rsidRDefault="004605D7" w:rsidP="0044117E">
      <w:pPr>
        <w:tabs>
          <w:tab w:val="left" w:pos="720"/>
        </w:tabs>
        <w:rPr>
          <w:szCs w:val="24"/>
        </w:rPr>
      </w:pPr>
    </w:p>
    <w:p w:rsidR="00525E0D" w:rsidRPr="0044117E" w:rsidRDefault="00525E0D" w:rsidP="0044117E">
      <w:pPr>
        <w:tabs>
          <w:tab w:val="left" w:pos="720"/>
        </w:tabs>
        <w:rPr>
          <w:szCs w:val="24"/>
        </w:rPr>
      </w:pPr>
      <w:r w:rsidRPr="0044117E">
        <w:rPr>
          <w:szCs w:val="24"/>
        </w:rPr>
        <w:t xml:space="preserve">Transcatheter closure of VSD </w:t>
      </w:r>
      <w:r w:rsidR="002A2DE3">
        <w:rPr>
          <w:szCs w:val="24"/>
        </w:rPr>
        <w:t>was proposed</w:t>
      </w:r>
      <w:r w:rsidRPr="0044117E">
        <w:rPr>
          <w:szCs w:val="24"/>
        </w:rPr>
        <w:t xml:space="preserve"> to be non-inferior to surgical closure of VSD. The comparison of the cost per patient for transcatheter versus surgical closure of VSD is summarised </w:t>
      </w:r>
      <w:r w:rsidR="008409EA" w:rsidRPr="0044117E">
        <w:rPr>
          <w:szCs w:val="24"/>
        </w:rPr>
        <w:t xml:space="preserve">below. </w:t>
      </w:r>
      <w:r w:rsidRPr="0044117E">
        <w:rPr>
          <w:szCs w:val="24"/>
        </w:rPr>
        <w:t>The comparison indicate</w:t>
      </w:r>
      <w:r w:rsidR="002A2DE3">
        <w:rPr>
          <w:szCs w:val="24"/>
        </w:rPr>
        <w:t>d</w:t>
      </w:r>
      <w:r w:rsidRPr="0044117E">
        <w:rPr>
          <w:szCs w:val="24"/>
        </w:rPr>
        <w:t xml:space="preserve"> that transcatheter closure of VSD is less expensive compared to surgical closure ($17,011 and $18,638 respectively for 2012-13). </w:t>
      </w:r>
    </w:p>
    <w:p w:rsidR="004605D7" w:rsidRDefault="004605D7" w:rsidP="0044117E">
      <w:pPr>
        <w:tabs>
          <w:tab w:val="left" w:pos="720"/>
        </w:tabs>
        <w:rPr>
          <w:szCs w:val="24"/>
        </w:rPr>
      </w:pPr>
    </w:p>
    <w:p w:rsidR="00B97838" w:rsidRPr="004605D7" w:rsidRDefault="00525E0D" w:rsidP="004605D7">
      <w:pPr>
        <w:tabs>
          <w:tab w:val="left" w:pos="720"/>
        </w:tabs>
        <w:rPr>
          <w:szCs w:val="24"/>
        </w:rPr>
      </w:pPr>
      <w:r w:rsidRPr="0044117E">
        <w:rPr>
          <w:szCs w:val="24"/>
        </w:rPr>
        <w:t>The cost of the ADO device significantly adds to the overall cost of the procedure. However, in terms of cost-effectiveness of health resources (excluding the device cost), transcatheter closure of VSD provides relative benefit, for example shorter recovery time with a significantly decreased length of hospital stay, at lower costs.</w:t>
      </w:r>
    </w:p>
    <w:p w:rsidR="00B97838" w:rsidRPr="0044117E" w:rsidRDefault="00B97838" w:rsidP="0044117E">
      <w:pPr>
        <w:pStyle w:val="Caption"/>
        <w:spacing w:after="0"/>
        <w:rPr>
          <w:color w:val="auto"/>
          <w:sz w:val="20"/>
          <w:szCs w:val="20"/>
        </w:rPr>
      </w:pPr>
    </w:p>
    <w:p w:rsidR="00EC4190" w:rsidRDefault="00EC4190">
      <w:pPr>
        <w:rPr>
          <w:rFonts w:ascii="Arial" w:hAnsi="Arial" w:cs="Arial"/>
          <w:b/>
          <w:sz w:val="20"/>
        </w:rPr>
      </w:pPr>
      <w:r>
        <w:rPr>
          <w:rFonts w:ascii="Arial" w:hAnsi="Arial" w:cs="Arial"/>
          <w:bCs/>
          <w:sz w:val="20"/>
        </w:rPr>
        <w:br w:type="page"/>
      </w:r>
    </w:p>
    <w:p w:rsidR="008409EA" w:rsidRPr="002A2DE3" w:rsidRDefault="00296A99" w:rsidP="0044117E">
      <w:pPr>
        <w:pStyle w:val="Caption"/>
        <w:spacing w:after="0"/>
        <w:rPr>
          <w:rFonts w:ascii="Arial" w:hAnsi="Arial" w:cs="Arial"/>
          <w:bCs w:val="0"/>
          <w:color w:val="auto"/>
          <w:sz w:val="20"/>
          <w:szCs w:val="20"/>
        </w:rPr>
      </w:pPr>
      <w:r w:rsidRPr="002A2DE3">
        <w:rPr>
          <w:rFonts w:ascii="Arial" w:hAnsi="Arial" w:cs="Arial"/>
          <w:bCs w:val="0"/>
          <w:color w:val="auto"/>
          <w:sz w:val="20"/>
          <w:szCs w:val="20"/>
        </w:rPr>
        <w:lastRenderedPageBreak/>
        <w:t>Comparison of cost per patient</w:t>
      </w:r>
    </w:p>
    <w:tbl>
      <w:tblPr>
        <w:tblStyle w:val="TableGrid"/>
        <w:tblW w:w="9353" w:type="dxa"/>
        <w:tblLook w:val="04A0" w:firstRow="1" w:lastRow="0" w:firstColumn="1" w:lastColumn="0" w:noHBand="0" w:noVBand="1"/>
        <w:tblCaption w:val="Table 10: Comparison of cost per patient"/>
      </w:tblPr>
      <w:tblGrid>
        <w:gridCol w:w="3685"/>
        <w:gridCol w:w="1417"/>
        <w:gridCol w:w="1417"/>
        <w:gridCol w:w="1417"/>
        <w:gridCol w:w="1417"/>
      </w:tblGrid>
      <w:tr w:rsidR="00296A99" w:rsidRPr="0044117E" w:rsidTr="001E7769">
        <w:trPr>
          <w:tblHeader/>
        </w:trPr>
        <w:tc>
          <w:tcPr>
            <w:tcW w:w="3685" w:type="dxa"/>
            <w:vMerge w:val="restart"/>
            <w:vAlign w:val="center"/>
          </w:tcPr>
          <w:p w:rsidR="00296A99" w:rsidRPr="0044117E" w:rsidRDefault="00296A99" w:rsidP="0044117E">
            <w:pPr>
              <w:tabs>
                <w:tab w:val="left" w:pos="720"/>
              </w:tabs>
              <w:rPr>
                <w:b/>
                <w:bCs/>
                <w:color w:val="000000"/>
                <w:sz w:val="22"/>
                <w:szCs w:val="22"/>
              </w:rPr>
            </w:pPr>
          </w:p>
        </w:tc>
        <w:tc>
          <w:tcPr>
            <w:tcW w:w="2834" w:type="dxa"/>
            <w:gridSpan w:val="2"/>
            <w:shd w:val="clear" w:color="auto" w:fill="FFFFCC"/>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Transcatheter</w:t>
            </w:r>
          </w:p>
        </w:tc>
        <w:tc>
          <w:tcPr>
            <w:tcW w:w="2834" w:type="dxa"/>
            <w:gridSpan w:val="2"/>
            <w:shd w:val="clear" w:color="auto" w:fill="FFFFCC"/>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Surgery</w:t>
            </w:r>
          </w:p>
        </w:tc>
      </w:tr>
      <w:tr w:rsidR="00296A99" w:rsidRPr="0044117E" w:rsidTr="001E7769">
        <w:trPr>
          <w:tblHeader/>
        </w:trPr>
        <w:tc>
          <w:tcPr>
            <w:tcW w:w="3685" w:type="dxa"/>
            <w:vMerge/>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Units</w:t>
            </w:r>
          </w:p>
        </w:tc>
        <w:tc>
          <w:tcPr>
            <w:tcW w:w="1417" w:type="dxa"/>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Total</w:t>
            </w:r>
          </w:p>
        </w:tc>
        <w:tc>
          <w:tcPr>
            <w:tcW w:w="1417" w:type="dxa"/>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Units</w:t>
            </w:r>
          </w:p>
        </w:tc>
        <w:tc>
          <w:tcPr>
            <w:tcW w:w="1417" w:type="dxa"/>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Total</w:t>
            </w:r>
          </w:p>
        </w:tc>
      </w:tr>
      <w:tr w:rsidR="00296A99" w:rsidRPr="0044117E" w:rsidTr="00296A99">
        <w:tc>
          <w:tcPr>
            <w:tcW w:w="9353" w:type="dxa"/>
            <w:gridSpan w:val="5"/>
            <w:shd w:val="clear" w:color="auto" w:fill="FFFFCC"/>
            <w:vAlign w:val="center"/>
          </w:tcPr>
          <w:p w:rsidR="00296A99" w:rsidRPr="0044117E" w:rsidRDefault="00296A99" w:rsidP="0044117E">
            <w:pPr>
              <w:autoSpaceDE w:val="0"/>
              <w:autoSpaceDN w:val="0"/>
              <w:adjustRightInd w:val="0"/>
              <w:rPr>
                <w:color w:val="000000"/>
                <w:sz w:val="22"/>
                <w:szCs w:val="22"/>
              </w:rPr>
            </w:pPr>
            <w:r w:rsidRPr="0044117E">
              <w:rPr>
                <w:b/>
                <w:color w:val="000000"/>
                <w:sz w:val="22"/>
                <w:szCs w:val="22"/>
              </w:rPr>
              <w:t>Consultation and diagnostic</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Specialist initial consultation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$64.20</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$64.20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Electrocardiography (ECG)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2</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$46.90</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2</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$46.90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Chest x-ray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2</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$70.80</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2</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$70.80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Transthoracic echocardiography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2</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$346.00</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2</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$346.00</w:t>
            </w:r>
          </w:p>
        </w:tc>
      </w:tr>
      <w:tr w:rsidR="00296A99" w:rsidRPr="0044117E" w:rsidTr="00296A99">
        <w:tc>
          <w:tcPr>
            <w:tcW w:w="9353" w:type="dxa"/>
            <w:gridSpan w:val="5"/>
            <w:shd w:val="clear" w:color="auto" w:fill="FFFFCC"/>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Both surgery and transcatheter</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Operatin</w:t>
            </w:r>
            <w:r w:rsidR="00457E1B" w:rsidRPr="0044117E">
              <w:rPr>
                <w:color w:val="000000"/>
                <w:sz w:val="22"/>
                <w:szCs w:val="22"/>
              </w:rPr>
              <w:t>g theatre / Catheter lab</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$1,790.00</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$1,790.00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Ward stay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3</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$2,322.00</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8</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$6,192.00</w:t>
            </w:r>
          </w:p>
        </w:tc>
      </w:tr>
      <w:tr w:rsidR="00296A99" w:rsidRPr="0044117E" w:rsidTr="00296A99">
        <w:tc>
          <w:tcPr>
            <w:tcW w:w="9353" w:type="dxa"/>
            <w:gridSpan w:val="5"/>
            <w:shd w:val="clear" w:color="auto" w:fill="FFFFCC"/>
            <w:vAlign w:val="center"/>
          </w:tcPr>
          <w:p w:rsidR="00296A99" w:rsidRPr="0044117E" w:rsidRDefault="00296A99" w:rsidP="0044117E">
            <w:pPr>
              <w:tabs>
                <w:tab w:val="left" w:pos="720"/>
              </w:tabs>
              <w:rPr>
                <w:b/>
                <w:bCs/>
                <w:color w:val="000000"/>
                <w:sz w:val="22"/>
                <w:szCs w:val="22"/>
              </w:rPr>
            </w:pPr>
            <w:r w:rsidRPr="0044117E">
              <w:rPr>
                <w:b/>
                <w:bCs/>
                <w:color w:val="000000"/>
                <w:sz w:val="22"/>
                <w:szCs w:val="22"/>
              </w:rPr>
              <w:t>Transcatheter closure of VSD</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Device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$10,200.00</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Anaesthesia (cardiac catheterisation)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$103.95</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An</w:t>
            </w:r>
            <w:r w:rsidR="00457E1B" w:rsidRPr="0044117E">
              <w:rPr>
                <w:color w:val="000000"/>
                <w:sz w:val="22"/>
                <w:szCs w:val="22"/>
              </w:rPr>
              <w:t>aesthesia time (3:01 to 3:10 h</w:t>
            </w:r>
            <w:r w:rsidRPr="0044117E">
              <w:rPr>
                <w:color w:val="000000"/>
                <w:sz w:val="22"/>
                <w:szCs w:val="22"/>
              </w:rPr>
              <w:t xml:space="preserve">rs)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$237.60</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Surgical assistant (20% of fee)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$136.85</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Cardiac catheterisation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$482.00</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Transcatheter closure of VSD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$684.25</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Ventriculography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$399.20</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Transoesophageal echography </w:t>
            </w: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$127.50</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296A99" w:rsidP="0044117E">
            <w:pPr>
              <w:tabs>
                <w:tab w:val="left" w:pos="720"/>
              </w:tabs>
              <w:rPr>
                <w:b/>
                <w:bCs/>
                <w:color w:val="000000"/>
                <w:sz w:val="22"/>
                <w:szCs w:val="22"/>
              </w:rPr>
            </w:pPr>
          </w:p>
        </w:tc>
      </w:tr>
      <w:tr w:rsidR="00457E1B" w:rsidRPr="0044117E" w:rsidTr="00457E1B">
        <w:tc>
          <w:tcPr>
            <w:tcW w:w="9353" w:type="dxa"/>
            <w:gridSpan w:val="5"/>
            <w:shd w:val="clear" w:color="auto" w:fill="FFFFCC"/>
            <w:vAlign w:val="center"/>
          </w:tcPr>
          <w:p w:rsidR="00457E1B" w:rsidRPr="0044117E" w:rsidRDefault="00457E1B" w:rsidP="0044117E">
            <w:pPr>
              <w:tabs>
                <w:tab w:val="left" w:pos="720"/>
              </w:tabs>
              <w:rPr>
                <w:b/>
                <w:bCs/>
                <w:color w:val="000000"/>
                <w:sz w:val="22"/>
                <w:szCs w:val="22"/>
              </w:rPr>
            </w:pPr>
            <w:r w:rsidRPr="0044117E">
              <w:rPr>
                <w:b/>
                <w:bCs/>
                <w:color w:val="000000"/>
                <w:sz w:val="22"/>
                <w:szCs w:val="22"/>
              </w:rPr>
              <w:t>Surgical closure of VSD</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Initiation anaesthesia (open heart)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$297.00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An</w:t>
            </w:r>
            <w:r w:rsidR="00457E1B" w:rsidRPr="0044117E">
              <w:rPr>
                <w:color w:val="000000"/>
                <w:sz w:val="22"/>
                <w:szCs w:val="22"/>
              </w:rPr>
              <w:t>aesthesia time (4:01 to 4:10 h</w:t>
            </w:r>
            <w:r w:rsidRPr="0044117E">
              <w:rPr>
                <w:color w:val="000000"/>
                <w:sz w:val="22"/>
                <w:szCs w:val="22"/>
              </w:rPr>
              <w:t xml:space="preserve">rs)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$311.85</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Assistant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$320.18</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Surgical closure of VSD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296A99" w:rsidP="0044117E">
            <w:pPr>
              <w:autoSpaceDE w:val="0"/>
              <w:autoSpaceDN w:val="0"/>
              <w:adjustRightInd w:val="0"/>
              <w:jc w:val="right"/>
              <w:rPr>
                <w:color w:val="000000"/>
                <w:sz w:val="22"/>
                <w:szCs w:val="22"/>
              </w:rPr>
            </w:pPr>
            <w:r w:rsidRPr="0044117E">
              <w:rPr>
                <w:color w:val="000000"/>
                <w:sz w:val="22"/>
                <w:szCs w:val="22"/>
              </w:rPr>
              <w:t>$1,600.90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Cardiac bypass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296A99" w:rsidP="0044117E">
            <w:pPr>
              <w:autoSpaceDE w:val="0"/>
              <w:autoSpaceDN w:val="0"/>
              <w:adjustRightInd w:val="0"/>
              <w:jc w:val="right"/>
              <w:rPr>
                <w:color w:val="000000"/>
                <w:sz w:val="22"/>
                <w:szCs w:val="22"/>
              </w:rPr>
            </w:pPr>
            <w:r w:rsidRPr="0044117E">
              <w:rPr>
                <w:color w:val="000000"/>
                <w:sz w:val="22"/>
                <w:szCs w:val="22"/>
              </w:rPr>
              <w:t>$29</w:t>
            </w:r>
            <w:r w:rsidR="00457E1B" w:rsidRPr="0044117E">
              <w:rPr>
                <w:color w:val="000000"/>
                <w:sz w:val="22"/>
                <w:szCs w:val="22"/>
              </w:rPr>
              <w:t>7.00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ICU stay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3</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$6,627.00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ICU initial attendance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1</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$271.60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color w:val="000000"/>
                <w:sz w:val="22"/>
                <w:szCs w:val="22"/>
              </w:rPr>
              <w:t xml:space="preserve">ICU followup attendance </w:t>
            </w: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296A99" w:rsidP="0044117E">
            <w:pPr>
              <w:tabs>
                <w:tab w:val="left" w:pos="720"/>
              </w:tabs>
              <w:jc w:val="right"/>
              <w:rPr>
                <w:b/>
                <w:bCs/>
                <w:color w:val="000000"/>
                <w:sz w:val="22"/>
                <w:szCs w:val="22"/>
              </w:rPr>
            </w:pPr>
          </w:p>
        </w:tc>
        <w:tc>
          <w:tcPr>
            <w:tcW w:w="1417" w:type="dxa"/>
            <w:vAlign w:val="center"/>
          </w:tcPr>
          <w:p w:rsidR="00296A99" w:rsidRPr="0044117E" w:rsidRDefault="00457E1B" w:rsidP="0044117E">
            <w:pPr>
              <w:autoSpaceDE w:val="0"/>
              <w:autoSpaceDN w:val="0"/>
              <w:adjustRightInd w:val="0"/>
              <w:jc w:val="center"/>
              <w:rPr>
                <w:color w:val="000000"/>
                <w:sz w:val="22"/>
                <w:szCs w:val="22"/>
              </w:rPr>
            </w:pPr>
            <w:r w:rsidRPr="0044117E">
              <w:rPr>
                <w:color w:val="000000"/>
                <w:sz w:val="22"/>
                <w:szCs w:val="22"/>
              </w:rPr>
              <w:t>2</w:t>
            </w:r>
          </w:p>
        </w:tc>
        <w:tc>
          <w:tcPr>
            <w:tcW w:w="1417" w:type="dxa"/>
            <w:vAlign w:val="center"/>
          </w:tcPr>
          <w:p w:rsidR="00296A99" w:rsidRPr="0044117E" w:rsidRDefault="00457E1B" w:rsidP="0044117E">
            <w:pPr>
              <w:autoSpaceDE w:val="0"/>
              <w:autoSpaceDN w:val="0"/>
              <w:adjustRightInd w:val="0"/>
              <w:jc w:val="right"/>
              <w:rPr>
                <w:color w:val="000000"/>
                <w:sz w:val="22"/>
                <w:szCs w:val="22"/>
              </w:rPr>
            </w:pPr>
            <w:r w:rsidRPr="0044117E">
              <w:rPr>
                <w:color w:val="000000"/>
                <w:sz w:val="22"/>
                <w:szCs w:val="22"/>
              </w:rPr>
              <w:t>$402.90</w:t>
            </w:r>
          </w:p>
        </w:tc>
      </w:tr>
      <w:tr w:rsidR="00296A99" w:rsidRPr="0044117E" w:rsidTr="00457E1B">
        <w:tc>
          <w:tcPr>
            <w:tcW w:w="3685" w:type="dxa"/>
            <w:vAlign w:val="center"/>
          </w:tcPr>
          <w:p w:rsidR="00296A99" w:rsidRPr="0044117E" w:rsidRDefault="00296A99" w:rsidP="0044117E">
            <w:pPr>
              <w:autoSpaceDE w:val="0"/>
              <w:autoSpaceDN w:val="0"/>
              <w:adjustRightInd w:val="0"/>
              <w:rPr>
                <w:color w:val="000000"/>
                <w:sz w:val="22"/>
                <w:szCs w:val="22"/>
              </w:rPr>
            </w:pPr>
            <w:r w:rsidRPr="0044117E">
              <w:rPr>
                <w:b/>
                <w:bCs/>
                <w:color w:val="000000"/>
                <w:sz w:val="22"/>
                <w:szCs w:val="22"/>
              </w:rPr>
              <w:t xml:space="preserve">TOTAL </w:t>
            </w:r>
          </w:p>
        </w:tc>
        <w:tc>
          <w:tcPr>
            <w:tcW w:w="1417" w:type="dxa"/>
            <w:vAlign w:val="center"/>
          </w:tcPr>
          <w:p w:rsidR="00296A99" w:rsidRPr="0044117E" w:rsidRDefault="00296A99" w:rsidP="0044117E">
            <w:pPr>
              <w:tabs>
                <w:tab w:val="left" w:pos="720"/>
              </w:tabs>
              <w:rPr>
                <w:b/>
                <w:bCs/>
                <w:color w:val="000000"/>
                <w:sz w:val="22"/>
                <w:szCs w:val="22"/>
              </w:rPr>
            </w:pPr>
          </w:p>
        </w:tc>
        <w:tc>
          <w:tcPr>
            <w:tcW w:w="1417" w:type="dxa"/>
            <w:vAlign w:val="center"/>
          </w:tcPr>
          <w:p w:rsidR="00296A99" w:rsidRPr="0044117E" w:rsidRDefault="00457E1B" w:rsidP="0044117E">
            <w:pPr>
              <w:tabs>
                <w:tab w:val="left" w:pos="720"/>
              </w:tabs>
              <w:jc w:val="right"/>
              <w:rPr>
                <w:b/>
                <w:bCs/>
                <w:color w:val="000000"/>
                <w:sz w:val="22"/>
                <w:szCs w:val="22"/>
              </w:rPr>
            </w:pPr>
            <w:r w:rsidRPr="0044117E">
              <w:rPr>
                <w:b/>
                <w:bCs/>
                <w:color w:val="000000"/>
                <w:sz w:val="22"/>
                <w:szCs w:val="22"/>
              </w:rPr>
              <w:t>$17,011.25</w:t>
            </w:r>
          </w:p>
        </w:tc>
        <w:tc>
          <w:tcPr>
            <w:tcW w:w="1417" w:type="dxa"/>
            <w:vAlign w:val="center"/>
          </w:tcPr>
          <w:p w:rsidR="00296A99" w:rsidRPr="0044117E" w:rsidRDefault="00296A99" w:rsidP="0044117E">
            <w:pPr>
              <w:autoSpaceDE w:val="0"/>
              <w:autoSpaceDN w:val="0"/>
              <w:adjustRightInd w:val="0"/>
              <w:rPr>
                <w:color w:val="000000"/>
                <w:sz w:val="22"/>
                <w:szCs w:val="22"/>
              </w:rPr>
            </w:pPr>
          </w:p>
        </w:tc>
        <w:tc>
          <w:tcPr>
            <w:tcW w:w="1417" w:type="dxa"/>
            <w:vAlign w:val="center"/>
          </w:tcPr>
          <w:p w:rsidR="00296A99" w:rsidRPr="0044117E" w:rsidRDefault="00296A99" w:rsidP="0044117E">
            <w:pPr>
              <w:autoSpaceDE w:val="0"/>
              <w:autoSpaceDN w:val="0"/>
              <w:adjustRightInd w:val="0"/>
              <w:jc w:val="right"/>
              <w:rPr>
                <w:color w:val="000000"/>
                <w:sz w:val="22"/>
                <w:szCs w:val="22"/>
              </w:rPr>
            </w:pPr>
            <w:r w:rsidRPr="0044117E">
              <w:rPr>
                <w:b/>
                <w:bCs/>
                <w:color w:val="000000"/>
                <w:sz w:val="22"/>
                <w:szCs w:val="22"/>
              </w:rPr>
              <w:t>$18,638.33</w:t>
            </w:r>
          </w:p>
        </w:tc>
      </w:tr>
    </w:tbl>
    <w:p w:rsidR="004605D7" w:rsidRDefault="004605D7" w:rsidP="0044117E">
      <w:pPr>
        <w:tabs>
          <w:tab w:val="left" w:pos="720"/>
        </w:tabs>
        <w:rPr>
          <w:szCs w:val="24"/>
        </w:rPr>
      </w:pPr>
    </w:p>
    <w:p w:rsidR="00FD173F" w:rsidRPr="0044117E" w:rsidRDefault="00552CE9" w:rsidP="0044117E">
      <w:pPr>
        <w:tabs>
          <w:tab w:val="left" w:pos="720"/>
        </w:tabs>
        <w:rPr>
          <w:szCs w:val="24"/>
        </w:rPr>
      </w:pPr>
      <w:r>
        <w:rPr>
          <w:szCs w:val="24"/>
        </w:rPr>
        <w:t>T</w:t>
      </w:r>
      <w:r w:rsidR="00FD173F" w:rsidRPr="0044117E">
        <w:rPr>
          <w:szCs w:val="24"/>
        </w:rPr>
        <w:t xml:space="preserve">he proposed fee for transcatheter closure of ASD </w:t>
      </w:r>
      <w:r>
        <w:rPr>
          <w:szCs w:val="24"/>
        </w:rPr>
        <w:t>was</w:t>
      </w:r>
      <w:r w:rsidR="00FD173F" w:rsidRPr="0044117E">
        <w:rPr>
          <w:szCs w:val="24"/>
        </w:rPr>
        <w:t xml:space="preserve"> used for the financial evaluation of transcatheter closure of VSD. However, it should be noted that the proposed MBS item descriptor for transcatheter closure of </w:t>
      </w:r>
      <w:r w:rsidR="003836F7" w:rsidRPr="0044117E">
        <w:rPr>
          <w:szCs w:val="24"/>
        </w:rPr>
        <w:t>V</w:t>
      </w:r>
      <w:r w:rsidR="00FD173F" w:rsidRPr="0044117E">
        <w:rPr>
          <w:szCs w:val="24"/>
        </w:rPr>
        <w:t xml:space="preserve">SD </w:t>
      </w:r>
      <w:r>
        <w:rPr>
          <w:szCs w:val="24"/>
        </w:rPr>
        <w:t>did</w:t>
      </w:r>
      <w:r w:rsidR="00FD173F" w:rsidRPr="0044117E">
        <w:rPr>
          <w:szCs w:val="24"/>
        </w:rPr>
        <w:t xml:space="preserve"> not refer to any associated imaging and cardiac catheterisation that may be performed at the time of the procedure. </w:t>
      </w:r>
    </w:p>
    <w:p w:rsidR="004605D7" w:rsidRDefault="004605D7" w:rsidP="0044117E">
      <w:pPr>
        <w:tabs>
          <w:tab w:val="left" w:pos="720"/>
        </w:tabs>
        <w:rPr>
          <w:szCs w:val="24"/>
        </w:rPr>
      </w:pPr>
    </w:p>
    <w:p w:rsidR="00FD173F" w:rsidRPr="0044117E" w:rsidRDefault="00FD173F" w:rsidP="0044117E">
      <w:pPr>
        <w:tabs>
          <w:tab w:val="left" w:pos="720"/>
        </w:tabs>
        <w:rPr>
          <w:szCs w:val="24"/>
        </w:rPr>
      </w:pPr>
      <w:r w:rsidRPr="0044117E">
        <w:rPr>
          <w:szCs w:val="24"/>
        </w:rPr>
        <w:t>If imaging were included</w:t>
      </w:r>
      <w:r w:rsidR="00552CE9">
        <w:rPr>
          <w:szCs w:val="24"/>
        </w:rPr>
        <w:t>,</w:t>
      </w:r>
      <w:r w:rsidRPr="0044117E">
        <w:rPr>
          <w:szCs w:val="24"/>
        </w:rPr>
        <w:t xml:space="preserve"> th</w:t>
      </w:r>
      <w:r w:rsidR="00FC398B" w:rsidRPr="0044117E">
        <w:rPr>
          <w:szCs w:val="24"/>
        </w:rPr>
        <w:t xml:space="preserve">e </w:t>
      </w:r>
      <w:r w:rsidR="00552CE9">
        <w:rPr>
          <w:szCs w:val="24"/>
        </w:rPr>
        <w:t xml:space="preserve">proposed </w:t>
      </w:r>
      <w:r w:rsidR="00FC398B" w:rsidRPr="0044117E">
        <w:rPr>
          <w:szCs w:val="24"/>
        </w:rPr>
        <w:t>MBS item descriptor</w:t>
      </w:r>
      <w:r w:rsidR="00552CE9">
        <w:rPr>
          <w:szCs w:val="24"/>
        </w:rPr>
        <w:t xml:space="preserve"> would be as</w:t>
      </w:r>
      <w:r w:rsidR="00FC398B" w:rsidRPr="0044117E">
        <w:rPr>
          <w:szCs w:val="24"/>
        </w:rPr>
        <w:t xml:space="preserve"> presented in the following table</w:t>
      </w:r>
      <w:r w:rsidRPr="0044117E">
        <w:rPr>
          <w:szCs w:val="24"/>
        </w:rPr>
        <w:t>. This proposed descriptor would include the transcatheter closure of VSD plus cardiac catheterisation (</w:t>
      </w:r>
      <w:r w:rsidR="00FC398B" w:rsidRPr="0044117E">
        <w:rPr>
          <w:szCs w:val="24"/>
        </w:rPr>
        <w:t xml:space="preserve">item 38206: Schedule fee - </w:t>
      </w:r>
      <w:r w:rsidRPr="0044117E">
        <w:rPr>
          <w:szCs w:val="24"/>
        </w:rPr>
        <w:t>$642.65); ve</w:t>
      </w:r>
      <w:r w:rsidR="00FC398B" w:rsidRPr="0044117E">
        <w:rPr>
          <w:szCs w:val="24"/>
        </w:rPr>
        <w:t>ntriculography (</w:t>
      </w:r>
      <w:r w:rsidRPr="0044117E">
        <w:rPr>
          <w:szCs w:val="24"/>
        </w:rPr>
        <w:t xml:space="preserve">item 38218: Schedule fee - $532.25); and </w:t>
      </w:r>
      <w:r w:rsidR="00FC398B" w:rsidRPr="0044117E">
        <w:rPr>
          <w:szCs w:val="24"/>
        </w:rPr>
        <w:t>Transoesophageal echography (</w:t>
      </w:r>
      <w:r w:rsidRPr="0044117E">
        <w:rPr>
          <w:szCs w:val="24"/>
        </w:rPr>
        <w:t>item 55130: Schedule fee - $170.00).</w:t>
      </w:r>
    </w:p>
    <w:p w:rsidR="004605D7" w:rsidRDefault="004605D7" w:rsidP="0044117E">
      <w:pPr>
        <w:pStyle w:val="Caption"/>
        <w:spacing w:after="0"/>
        <w:rPr>
          <w:color w:val="auto"/>
          <w:sz w:val="20"/>
          <w:szCs w:val="20"/>
        </w:rPr>
      </w:pPr>
    </w:p>
    <w:p w:rsidR="00FC398B" w:rsidRPr="0044117E" w:rsidRDefault="006A7932" w:rsidP="0044117E">
      <w:pPr>
        <w:pStyle w:val="Caption"/>
        <w:spacing w:after="0"/>
        <w:rPr>
          <w:color w:val="auto"/>
          <w:sz w:val="20"/>
          <w:szCs w:val="20"/>
        </w:rPr>
      </w:pPr>
      <w:r>
        <w:rPr>
          <w:color w:val="auto"/>
          <w:sz w:val="20"/>
          <w:szCs w:val="20"/>
        </w:rPr>
        <w:t xml:space="preserve">Applicant </w:t>
      </w:r>
      <w:r w:rsidR="00FC398B" w:rsidRPr="0044117E">
        <w:rPr>
          <w:color w:val="auto"/>
          <w:sz w:val="20"/>
          <w:szCs w:val="20"/>
        </w:rPr>
        <w:t>Proposed MBS item descriptor with imaging and cardiac catheterisation</w:t>
      </w:r>
    </w:p>
    <w:p w:rsidR="00FC398B" w:rsidRPr="0044117E" w:rsidRDefault="00FC398B" w:rsidP="0044117E">
      <w:pPr>
        <w:pBdr>
          <w:top w:val="single" w:sz="4" w:space="1" w:color="auto"/>
          <w:left w:val="single" w:sz="4" w:space="4" w:color="auto"/>
          <w:bottom w:val="single" w:sz="4" w:space="1" w:color="auto"/>
          <w:right w:val="single" w:sz="4" w:space="4" w:color="auto"/>
        </w:pBdr>
        <w:tabs>
          <w:tab w:val="left" w:pos="720"/>
          <w:tab w:val="left" w:pos="1140"/>
        </w:tabs>
        <w:rPr>
          <w:color w:val="000000"/>
          <w:sz w:val="23"/>
          <w:szCs w:val="23"/>
        </w:rPr>
      </w:pPr>
      <w:r w:rsidRPr="0044117E">
        <w:rPr>
          <w:color w:val="000000"/>
          <w:sz w:val="23"/>
          <w:szCs w:val="23"/>
        </w:rPr>
        <w:t>VENTRICULAR SEPTAL DEFECT, transcatheter closure of, with imaging and cardiac catheterisation (Anaes.) (Assist.)</w:t>
      </w:r>
    </w:p>
    <w:p w:rsidR="00FC398B" w:rsidRPr="0044117E" w:rsidRDefault="00FC398B" w:rsidP="0044117E">
      <w:pPr>
        <w:pBdr>
          <w:top w:val="single" w:sz="4" w:space="1" w:color="auto"/>
          <w:left w:val="single" w:sz="4" w:space="4" w:color="auto"/>
          <w:bottom w:val="single" w:sz="4" w:space="1" w:color="auto"/>
          <w:right w:val="single" w:sz="4" w:space="4" w:color="auto"/>
        </w:pBdr>
        <w:tabs>
          <w:tab w:val="left" w:pos="720"/>
          <w:tab w:val="left" w:pos="1140"/>
        </w:tabs>
        <w:rPr>
          <w:szCs w:val="24"/>
        </w:rPr>
      </w:pPr>
      <w:r w:rsidRPr="0044117E">
        <w:rPr>
          <w:color w:val="000000"/>
          <w:sz w:val="23"/>
          <w:szCs w:val="23"/>
        </w:rPr>
        <w:t>Fee: to be determined Benefit: 75% =</w:t>
      </w:r>
    </w:p>
    <w:p w:rsidR="002B20B9" w:rsidRDefault="002B20B9" w:rsidP="002B20B9">
      <w:pPr>
        <w:pStyle w:val="Heading1"/>
        <w:ind w:left="720"/>
        <w:rPr>
          <w:rFonts w:ascii="Times New Roman" w:hAnsi="Times New Roman" w:cs="Times New Roman"/>
        </w:rPr>
      </w:pPr>
    </w:p>
    <w:p w:rsidR="00552CE9" w:rsidRDefault="00552CE9" w:rsidP="00552CE9">
      <w:r>
        <w:t>MSAC agreed that associated imaging and cardiac catheterisation should be included in the MBS descriptor and associated fee</w:t>
      </w:r>
      <w:r w:rsidRPr="00425954">
        <w:t xml:space="preserve"> when performed by the same operator</w:t>
      </w:r>
      <w:r>
        <w:t>. MSAC considered that the MBS fee should be modelled on the current MBS fee of $912.30 for item 38272 – transcatheter closure of atrial septal defect.</w:t>
      </w:r>
    </w:p>
    <w:p w:rsidR="009F694E" w:rsidRPr="009F694E" w:rsidRDefault="009F694E" w:rsidP="009F694E"/>
    <w:p w:rsidR="00937076" w:rsidRPr="003104C7" w:rsidRDefault="003104C7" w:rsidP="003104C7">
      <w:pPr>
        <w:pStyle w:val="Heading1"/>
      </w:pPr>
      <w:r w:rsidRPr="003104C7">
        <w:lastRenderedPageBreak/>
        <w:t>12.</w:t>
      </w:r>
      <w:r w:rsidRPr="003104C7">
        <w:tab/>
      </w:r>
      <w:r w:rsidR="0095175A" w:rsidRPr="003104C7">
        <w:t>Financial/budgetary impacts</w:t>
      </w:r>
    </w:p>
    <w:p w:rsidR="00823261" w:rsidRPr="0044117E" w:rsidRDefault="003836F7" w:rsidP="0044117E">
      <w:pPr>
        <w:tabs>
          <w:tab w:val="left" w:pos="720"/>
        </w:tabs>
        <w:rPr>
          <w:szCs w:val="24"/>
        </w:rPr>
      </w:pPr>
      <w:r w:rsidRPr="0044117E">
        <w:rPr>
          <w:szCs w:val="24"/>
        </w:rPr>
        <w:t>The estimated number of procedures for transcatheter closure of VSD is outlined in the following table. The percentage of procedures treated percutaneously is 2%</w:t>
      </w:r>
      <w:r w:rsidR="00305D0E">
        <w:rPr>
          <w:szCs w:val="24"/>
        </w:rPr>
        <w:t>,</w:t>
      </w:r>
      <w:r w:rsidRPr="0044117E">
        <w:rPr>
          <w:szCs w:val="24"/>
        </w:rPr>
        <w:t xml:space="preserve"> in line with AIHW procedures data for closure of VSD. As this procedure is already performed in the public setting, only private</w:t>
      </w:r>
      <w:r w:rsidR="00305D0E">
        <w:rPr>
          <w:szCs w:val="24"/>
        </w:rPr>
        <w:t xml:space="preserve"> percutaneous treatment of VSD wa</w:t>
      </w:r>
      <w:r w:rsidRPr="0044117E">
        <w:rPr>
          <w:szCs w:val="24"/>
        </w:rPr>
        <w:t>s relevant for the purposes of the financial analysis.</w:t>
      </w:r>
    </w:p>
    <w:p w:rsidR="004605D7" w:rsidRDefault="004605D7" w:rsidP="0044117E">
      <w:pPr>
        <w:pStyle w:val="Caption"/>
        <w:spacing w:after="0"/>
        <w:rPr>
          <w:color w:val="auto"/>
          <w:sz w:val="20"/>
          <w:szCs w:val="20"/>
        </w:rPr>
      </w:pPr>
    </w:p>
    <w:p w:rsidR="003836F7" w:rsidRPr="00305D0E" w:rsidRDefault="00127D25" w:rsidP="0044117E">
      <w:pPr>
        <w:pStyle w:val="Caption"/>
        <w:spacing w:after="0"/>
        <w:rPr>
          <w:rFonts w:ascii="Arial" w:hAnsi="Arial" w:cs="Arial"/>
          <w:color w:val="auto"/>
          <w:sz w:val="20"/>
          <w:szCs w:val="20"/>
        </w:rPr>
      </w:pPr>
      <w:r w:rsidRPr="00305D0E">
        <w:rPr>
          <w:rFonts w:ascii="Arial" w:hAnsi="Arial" w:cs="Arial"/>
          <w:color w:val="auto"/>
          <w:sz w:val="20"/>
          <w:szCs w:val="20"/>
        </w:rPr>
        <w:t>Estimated number of procedures</w:t>
      </w:r>
    </w:p>
    <w:tbl>
      <w:tblPr>
        <w:tblStyle w:val="TableGrid"/>
        <w:tblW w:w="0" w:type="auto"/>
        <w:tblLook w:val="04A0" w:firstRow="1" w:lastRow="0" w:firstColumn="1" w:lastColumn="0" w:noHBand="0" w:noVBand="1"/>
        <w:tblCaption w:val="Table 12 Estimated number of procedures"/>
      </w:tblPr>
      <w:tblGrid>
        <w:gridCol w:w="3685"/>
        <w:gridCol w:w="1134"/>
        <w:gridCol w:w="1134"/>
        <w:gridCol w:w="1134"/>
        <w:gridCol w:w="1134"/>
      </w:tblGrid>
      <w:tr w:rsidR="00127D25" w:rsidRPr="0044117E" w:rsidTr="001E7769">
        <w:trPr>
          <w:tblHeader/>
        </w:trPr>
        <w:tc>
          <w:tcPr>
            <w:tcW w:w="3685" w:type="dxa"/>
            <w:shd w:val="clear" w:color="auto" w:fill="FFFFCC"/>
          </w:tcPr>
          <w:p w:rsidR="00127D25" w:rsidRPr="0044117E" w:rsidRDefault="00127D25" w:rsidP="0044117E">
            <w:pPr>
              <w:tabs>
                <w:tab w:val="left" w:pos="720"/>
              </w:tabs>
              <w:rPr>
                <w:sz w:val="22"/>
                <w:szCs w:val="22"/>
              </w:rPr>
            </w:pPr>
          </w:p>
        </w:tc>
        <w:tc>
          <w:tcPr>
            <w:tcW w:w="1134" w:type="dxa"/>
            <w:shd w:val="clear" w:color="auto" w:fill="FFFFCC"/>
            <w:vAlign w:val="center"/>
          </w:tcPr>
          <w:p w:rsidR="00127D25" w:rsidRPr="0044117E" w:rsidRDefault="00127D25" w:rsidP="0044117E">
            <w:pPr>
              <w:autoSpaceDE w:val="0"/>
              <w:autoSpaceDN w:val="0"/>
              <w:adjustRightInd w:val="0"/>
              <w:jc w:val="center"/>
              <w:rPr>
                <w:color w:val="000000"/>
                <w:sz w:val="22"/>
                <w:szCs w:val="22"/>
              </w:rPr>
            </w:pPr>
            <w:r w:rsidRPr="0044117E">
              <w:rPr>
                <w:b/>
                <w:bCs/>
                <w:color w:val="000000"/>
                <w:sz w:val="22"/>
                <w:szCs w:val="22"/>
              </w:rPr>
              <w:t>2012-13</w:t>
            </w:r>
          </w:p>
        </w:tc>
        <w:tc>
          <w:tcPr>
            <w:tcW w:w="1134" w:type="dxa"/>
            <w:shd w:val="clear" w:color="auto" w:fill="FFFFCC"/>
            <w:vAlign w:val="center"/>
          </w:tcPr>
          <w:p w:rsidR="00127D25" w:rsidRPr="0044117E" w:rsidRDefault="00127D25" w:rsidP="0044117E">
            <w:pPr>
              <w:autoSpaceDE w:val="0"/>
              <w:autoSpaceDN w:val="0"/>
              <w:adjustRightInd w:val="0"/>
              <w:jc w:val="center"/>
              <w:rPr>
                <w:color w:val="000000"/>
                <w:sz w:val="22"/>
                <w:szCs w:val="22"/>
              </w:rPr>
            </w:pPr>
            <w:r w:rsidRPr="0044117E">
              <w:rPr>
                <w:b/>
                <w:bCs/>
                <w:color w:val="000000"/>
                <w:sz w:val="22"/>
                <w:szCs w:val="22"/>
              </w:rPr>
              <w:t>2013-14</w:t>
            </w:r>
          </w:p>
        </w:tc>
        <w:tc>
          <w:tcPr>
            <w:tcW w:w="1134" w:type="dxa"/>
            <w:shd w:val="clear" w:color="auto" w:fill="FFFFCC"/>
            <w:vAlign w:val="center"/>
          </w:tcPr>
          <w:p w:rsidR="00127D25" w:rsidRPr="0044117E" w:rsidRDefault="00127D25" w:rsidP="0044117E">
            <w:pPr>
              <w:autoSpaceDE w:val="0"/>
              <w:autoSpaceDN w:val="0"/>
              <w:adjustRightInd w:val="0"/>
              <w:jc w:val="center"/>
              <w:rPr>
                <w:color w:val="000000"/>
                <w:sz w:val="22"/>
                <w:szCs w:val="22"/>
              </w:rPr>
            </w:pPr>
            <w:r w:rsidRPr="0044117E">
              <w:rPr>
                <w:b/>
                <w:bCs/>
                <w:color w:val="000000"/>
                <w:sz w:val="22"/>
                <w:szCs w:val="22"/>
              </w:rPr>
              <w:t>2014-15</w:t>
            </w:r>
          </w:p>
        </w:tc>
        <w:tc>
          <w:tcPr>
            <w:tcW w:w="1134" w:type="dxa"/>
            <w:shd w:val="clear" w:color="auto" w:fill="FFFFCC"/>
            <w:vAlign w:val="center"/>
          </w:tcPr>
          <w:p w:rsidR="00127D25" w:rsidRPr="0044117E" w:rsidRDefault="00127D25" w:rsidP="0044117E">
            <w:pPr>
              <w:autoSpaceDE w:val="0"/>
              <w:autoSpaceDN w:val="0"/>
              <w:adjustRightInd w:val="0"/>
              <w:jc w:val="center"/>
              <w:rPr>
                <w:color w:val="000000"/>
                <w:sz w:val="22"/>
                <w:szCs w:val="22"/>
              </w:rPr>
            </w:pPr>
            <w:r w:rsidRPr="0044117E">
              <w:rPr>
                <w:b/>
                <w:bCs/>
                <w:color w:val="000000"/>
                <w:sz w:val="22"/>
                <w:szCs w:val="22"/>
              </w:rPr>
              <w:t>2015-16</w:t>
            </w:r>
          </w:p>
        </w:tc>
      </w:tr>
      <w:tr w:rsidR="00127D25" w:rsidRPr="0044117E" w:rsidTr="00127D25">
        <w:tc>
          <w:tcPr>
            <w:tcW w:w="3685" w:type="dxa"/>
            <w:shd w:val="clear" w:color="auto" w:fill="FFFFCC"/>
            <w:vAlign w:val="center"/>
          </w:tcPr>
          <w:p w:rsidR="00127D25" w:rsidRPr="0044117E" w:rsidRDefault="00127D25" w:rsidP="0044117E">
            <w:pPr>
              <w:tabs>
                <w:tab w:val="left" w:pos="720"/>
              </w:tabs>
              <w:rPr>
                <w:sz w:val="22"/>
                <w:szCs w:val="22"/>
              </w:rPr>
            </w:pPr>
            <w:r w:rsidRPr="0044117E">
              <w:rPr>
                <w:b/>
                <w:bCs/>
                <w:color w:val="000000"/>
                <w:sz w:val="22"/>
                <w:szCs w:val="22"/>
              </w:rPr>
              <w:t>Patients (increase 4.7% pa)</w:t>
            </w:r>
          </w:p>
        </w:tc>
        <w:tc>
          <w:tcPr>
            <w:tcW w:w="1134" w:type="dxa"/>
          </w:tcPr>
          <w:p w:rsidR="00127D25" w:rsidRPr="0044117E" w:rsidRDefault="00127D25" w:rsidP="0044117E">
            <w:pPr>
              <w:tabs>
                <w:tab w:val="left" w:pos="720"/>
              </w:tabs>
              <w:rPr>
                <w:sz w:val="22"/>
                <w:szCs w:val="22"/>
              </w:rPr>
            </w:pPr>
          </w:p>
        </w:tc>
        <w:tc>
          <w:tcPr>
            <w:tcW w:w="1134" w:type="dxa"/>
          </w:tcPr>
          <w:p w:rsidR="00127D25" w:rsidRPr="0044117E" w:rsidRDefault="00127D25" w:rsidP="0044117E">
            <w:pPr>
              <w:tabs>
                <w:tab w:val="left" w:pos="720"/>
              </w:tabs>
              <w:rPr>
                <w:sz w:val="22"/>
                <w:szCs w:val="22"/>
              </w:rPr>
            </w:pPr>
          </w:p>
        </w:tc>
        <w:tc>
          <w:tcPr>
            <w:tcW w:w="1134" w:type="dxa"/>
          </w:tcPr>
          <w:p w:rsidR="00127D25" w:rsidRPr="0044117E" w:rsidRDefault="00127D25" w:rsidP="0044117E">
            <w:pPr>
              <w:tabs>
                <w:tab w:val="left" w:pos="720"/>
              </w:tabs>
              <w:rPr>
                <w:sz w:val="22"/>
                <w:szCs w:val="22"/>
              </w:rPr>
            </w:pPr>
          </w:p>
        </w:tc>
        <w:tc>
          <w:tcPr>
            <w:tcW w:w="1134" w:type="dxa"/>
          </w:tcPr>
          <w:p w:rsidR="00127D25" w:rsidRPr="0044117E" w:rsidRDefault="00127D25" w:rsidP="0044117E">
            <w:pPr>
              <w:tabs>
                <w:tab w:val="left" w:pos="720"/>
              </w:tabs>
              <w:rPr>
                <w:sz w:val="22"/>
                <w:szCs w:val="22"/>
              </w:rPr>
            </w:pPr>
          </w:p>
        </w:tc>
      </w:tr>
      <w:tr w:rsidR="00127D25" w:rsidRPr="0044117E" w:rsidTr="00127D25">
        <w:tc>
          <w:tcPr>
            <w:tcW w:w="3685" w:type="dxa"/>
            <w:vAlign w:val="center"/>
          </w:tcPr>
          <w:p w:rsidR="00127D25" w:rsidRPr="0044117E" w:rsidRDefault="00127D25" w:rsidP="0044117E">
            <w:pPr>
              <w:autoSpaceDE w:val="0"/>
              <w:autoSpaceDN w:val="0"/>
              <w:adjustRightInd w:val="0"/>
              <w:rPr>
                <w:color w:val="000000"/>
                <w:sz w:val="22"/>
                <w:szCs w:val="22"/>
              </w:rPr>
            </w:pPr>
            <w:r w:rsidRPr="0044117E">
              <w:rPr>
                <w:color w:val="000000"/>
                <w:sz w:val="22"/>
                <w:szCs w:val="22"/>
              </w:rPr>
              <w:t>Surgical</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528</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552</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578</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605</w:t>
            </w:r>
          </w:p>
        </w:tc>
      </w:tr>
      <w:tr w:rsidR="00127D25" w:rsidRPr="0044117E" w:rsidTr="00127D25">
        <w:tc>
          <w:tcPr>
            <w:tcW w:w="3685" w:type="dxa"/>
            <w:vAlign w:val="center"/>
          </w:tcPr>
          <w:p w:rsidR="00127D25" w:rsidRPr="0044117E" w:rsidRDefault="00127D25" w:rsidP="0044117E">
            <w:pPr>
              <w:autoSpaceDE w:val="0"/>
              <w:autoSpaceDN w:val="0"/>
              <w:adjustRightInd w:val="0"/>
              <w:rPr>
                <w:color w:val="000000"/>
                <w:sz w:val="22"/>
                <w:szCs w:val="22"/>
              </w:rPr>
            </w:pPr>
            <w:r w:rsidRPr="0044117E">
              <w:rPr>
                <w:color w:val="000000"/>
                <w:sz w:val="22"/>
                <w:szCs w:val="22"/>
              </w:rPr>
              <w:t>Percutaneous</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12</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13</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14</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14</w:t>
            </w:r>
          </w:p>
        </w:tc>
      </w:tr>
      <w:tr w:rsidR="00127D25" w:rsidRPr="0044117E" w:rsidTr="00127D25">
        <w:tc>
          <w:tcPr>
            <w:tcW w:w="3685" w:type="dxa"/>
            <w:vAlign w:val="center"/>
          </w:tcPr>
          <w:p w:rsidR="00127D25" w:rsidRPr="0044117E" w:rsidRDefault="00127D25" w:rsidP="0044117E">
            <w:pPr>
              <w:autoSpaceDE w:val="0"/>
              <w:autoSpaceDN w:val="0"/>
              <w:adjustRightInd w:val="0"/>
              <w:rPr>
                <w:color w:val="000000"/>
                <w:sz w:val="22"/>
                <w:szCs w:val="22"/>
              </w:rPr>
            </w:pPr>
            <w:r w:rsidRPr="0044117E">
              <w:rPr>
                <w:color w:val="000000"/>
                <w:sz w:val="22"/>
                <w:szCs w:val="22"/>
              </w:rPr>
              <w:t>Total</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540</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565</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592</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619</w:t>
            </w:r>
          </w:p>
        </w:tc>
      </w:tr>
      <w:tr w:rsidR="00127D25" w:rsidRPr="0044117E" w:rsidTr="00127D25">
        <w:tc>
          <w:tcPr>
            <w:tcW w:w="3685" w:type="dxa"/>
            <w:shd w:val="clear" w:color="auto" w:fill="FFFFCC"/>
            <w:vAlign w:val="center"/>
          </w:tcPr>
          <w:p w:rsidR="00127D25" w:rsidRPr="0044117E" w:rsidRDefault="00127D25" w:rsidP="0044117E">
            <w:pPr>
              <w:tabs>
                <w:tab w:val="left" w:pos="720"/>
              </w:tabs>
              <w:rPr>
                <w:sz w:val="22"/>
                <w:szCs w:val="22"/>
              </w:rPr>
            </w:pPr>
            <w:r w:rsidRPr="0044117E">
              <w:rPr>
                <w:b/>
                <w:bCs/>
                <w:color w:val="000000"/>
                <w:sz w:val="22"/>
                <w:szCs w:val="22"/>
              </w:rPr>
              <w:t>Private hospital patients (26%)</w:t>
            </w:r>
          </w:p>
        </w:tc>
        <w:tc>
          <w:tcPr>
            <w:tcW w:w="1134" w:type="dxa"/>
          </w:tcPr>
          <w:p w:rsidR="00127D25" w:rsidRPr="0044117E" w:rsidRDefault="00127D25" w:rsidP="0044117E">
            <w:pPr>
              <w:tabs>
                <w:tab w:val="left" w:pos="720"/>
              </w:tabs>
              <w:rPr>
                <w:sz w:val="22"/>
                <w:szCs w:val="22"/>
              </w:rPr>
            </w:pPr>
          </w:p>
        </w:tc>
        <w:tc>
          <w:tcPr>
            <w:tcW w:w="1134" w:type="dxa"/>
          </w:tcPr>
          <w:p w:rsidR="00127D25" w:rsidRPr="0044117E" w:rsidRDefault="00127D25" w:rsidP="0044117E">
            <w:pPr>
              <w:tabs>
                <w:tab w:val="left" w:pos="720"/>
              </w:tabs>
              <w:rPr>
                <w:sz w:val="22"/>
                <w:szCs w:val="22"/>
              </w:rPr>
            </w:pPr>
          </w:p>
        </w:tc>
        <w:tc>
          <w:tcPr>
            <w:tcW w:w="1134" w:type="dxa"/>
          </w:tcPr>
          <w:p w:rsidR="00127D25" w:rsidRPr="0044117E" w:rsidRDefault="00127D25" w:rsidP="0044117E">
            <w:pPr>
              <w:tabs>
                <w:tab w:val="left" w:pos="720"/>
              </w:tabs>
              <w:rPr>
                <w:sz w:val="22"/>
                <w:szCs w:val="22"/>
              </w:rPr>
            </w:pPr>
          </w:p>
        </w:tc>
        <w:tc>
          <w:tcPr>
            <w:tcW w:w="1134" w:type="dxa"/>
          </w:tcPr>
          <w:p w:rsidR="00127D25" w:rsidRPr="0044117E" w:rsidRDefault="00127D25" w:rsidP="0044117E">
            <w:pPr>
              <w:tabs>
                <w:tab w:val="left" w:pos="720"/>
              </w:tabs>
              <w:rPr>
                <w:sz w:val="22"/>
                <w:szCs w:val="22"/>
              </w:rPr>
            </w:pPr>
          </w:p>
        </w:tc>
      </w:tr>
      <w:tr w:rsidR="00127D25" w:rsidRPr="0044117E" w:rsidTr="00127D25">
        <w:tc>
          <w:tcPr>
            <w:tcW w:w="3685" w:type="dxa"/>
            <w:vAlign w:val="center"/>
          </w:tcPr>
          <w:p w:rsidR="00127D25" w:rsidRPr="0044117E" w:rsidRDefault="00127D25" w:rsidP="0044117E">
            <w:pPr>
              <w:autoSpaceDE w:val="0"/>
              <w:autoSpaceDN w:val="0"/>
              <w:adjustRightInd w:val="0"/>
              <w:rPr>
                <w:color w:val="000000"/>
                <w:sz w:val="22"/>
                <w:szCs w:val="22"/>
              </w:rPr>
            </w:pPr>
            <w:r w:rsidRPr="0044117E">
              <w:rPr>
                <w:color w:val="000000"/>
                <w:sz w:val="22"/>
                <w:szCs w:val="22"/>
              </w:rPr>
              <w:t>Surgical</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135</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141</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148</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155</w:t>
            </w:r>
          </w:p>
        </w:tc>
      </w:tr>
      <w:tr w:rsidR="00127D25" w:rsidRPr="0044117E" w:rsidTr="00127D25">
        <w:tc>
          <w:tcPr>
            <w:tcW w:w="3685" w:type="dxa"/>
            <w:vAlign w:val="center"/>
          </w:tcPr>
          <w:p w:rsidR="00127D25" w:rsidRPr="0044117E" w:rsidRDefault="00127D25" w:rsidP="0044117E">
            <w:pPr>
              <w:autoSpaceDE w:val="0"/>
              <w:autoSpaceDN w:val="0"/>
              <w:adjustRightInd w:val="0"/>
              <w:rPr>
                <w:color w:val="000000"/>
                <w:sz w:val="22"/>
                <w:szCs w:val="22"/>
              </w:rPr>
            </w:pPr>
            <w:r w:rsidRPr="0044117E">
              <w:rPr>
                <w:color w:val="000000"/>
                <w:sz w:val="22"/>
                <w:szCs w:val="22"/>
              </w:rPr>
              <w:t>Percutaneous</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3</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3</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3</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4</w:t>
            </w:r>
          </w:p>
        </w:tc>
      </w:tr>
      <w:tr w:rsidR="00127D25" w:rsidRPr="0044117E" w:rsidTr="00127D25">
        <w:tc>
          <w:tcPr>
            <w:tcW w:w="3685" w:type="dxa"/>
            <w:vAlign w:val="center"/>
          </w:tcPr>
          <w:p w:rsidR="00127D25" w:rsidRPr="0044117E" w:rsidRDefault="00127D25" w:rsidP="0044117E">
            <w:pPr>
              <w:autoSpaceDE w:val="0"/>
              <w:autoSpaceDN w:val="0"/>
              <w:adjustRightInd w:val="0"/>
              <w:rPr>
                <w:color w:val="000000"/>
                <w:sz w:val="22"/>
                <w:szCs w:val="22"/>
              </w:rPr>
            </w:pPr>
            <w:r w:rsidRPr="0044117E">
              <w:rPr>
                <w:color w:val="000000"/>
                <w:sz w:val="22"/>
                <w:szCs w:val="22"/>
              </w:rPr>
              <w:t>Total</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138</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144</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151</w:t>
            </w:r>
          </w:p>
        </w:tc>
        <w:tc>
          <w:tcPr>
            <w:tcW w:w="1134" w:type="dxa"/>
            <w:vAlign w:val="center"/>
          </w:tcPr>
          <w:p w:rsidR="00127D25" w:rsidRPr="0044117E" w:rsidRDefault="00127D25" w:rsidP="0044117E">
            <w:pPr>
              <w:autoSpaceDE w:val="0"/>
              <w:autoSpaceDN w:val="0"/>
              <w:adjustRightInd w:val="0"/>
              <w:jc w:val="right"/>
              <w:rPr>
                <w:color w:val="000000"/>
                <w:sz w:val="22"/>
                <w:szCs w:val="22"/>
              </w:rPr>
            </w:pPr>
            <w:r w:rsidRPr="0044117E">
              <w:rPr>
                <w:color w:val="000000"/>
                <w:sz w:val="22"/>
                <w:szCs w:val="22"/>
              </w:rPr>
              <w:t>158</w:t>
            </w:r>
          </w:p>
        </w:tc>
      </w:tr>
    </w:tbl>
    <w:p w:rsidR="004605D7" w:rsidRDefault="004605D7" w:rsidP="0044117E">
      <w:pPr>
        <w:tabs>
          <w:tab w:val="left" w:pos="720"/>
        </w:tabs>
        <w:rPr>
          <w:szCs w:val="24"/>
        </w:rPr>
      </w:pPr>
    </w:p>
    <w:p w:rsidR="00823261" w:rsidRPr="0044117E" w:rsidRDefault="00155BB8" w:rsidP="0044117E">
      <w:pPr>
        <w:tabs>
          <w:tab w:val="left" w:pos="720"/>
        </w:tabs>
        <w:rPr>
          <w:szCs w:val="24"/>
        </w:rPr>
      </w:pPr>
      <w:r w:rsidRPr="0044117E">
        <w:rPr>
          <w:szCs w:val="24"/>
        </w:rPr>
        <w:t xml:space="preserve">For the purposes of the financial analysis, transcatheter closure of VSD </w:t>
      </w:r>
      <w:r w:rsidR="00305D0E">
        <w:rPr>
          <w:szCs w:val="24"/>
        </w:rPr>
        <w:t>was treated as</w:t>
      </w:r>
      <w:r w:rsidRPr="0044117E">
        <w:rPr>
          <w:szCs w:val="24"/>
        </w:rPr>
        <w:t xml:space="preserve"> a once-only procedure, i.e. successful insertion of the device will result in a resolution of the disease process.</w:t>
      </w:r>
    </w:p>
    <w:p w:rsidR="004605D7" w:rsidRDefault="004605D7" w:rsidP="0044117E">
      <w:pPr>
        <w:tabs>
          <w:tab w:val="left" w:pos="720"/>
        </w:tabs>
        <w:rPr>
          <w:szCs w:val="24"/>
        </w:rPr>
      </w:pPr>
    </w:p>
    <w:p w:rsidR="00823261" w:rsidRPr="0044117E" w:rsidRDefault="00155BB8" w:rsidP="0044117E">
      <w:pPr>
        <w:tabs>
          <w:tab w:val="left" w:pos="720"/>
        </w:tabs>
        <w:rPr>
          <w:szCs w:val="24"/>
        </w:rPr>
      </w:pPr>
      <w:r w:rsidRPr="0044117E">
        <w:rPr>
          <w:szCs w:val="24"/>
        </w:rPr>
        <w:t>With current technologies</w:t>
      </w:r>
      <w:r w:rsidR="00305D0E">
        <w:rPr>
          <w:szCs w:val="24"/>
        </w:rPr>
        <w:t>,</w:t>
      </w:r>
      <w:r w:rsidRPr="0044117E">
        <w:rPr>
          <w:szCs w:val="24"/>
        </w:rPr>
        <w:t xml:space="preserve"> the numbers of VSDs that would be closed by transcatheter technique in Australia would be low. The </w:t>
      </w:r>
      <w:r w:rsidR="00305D0E">
        <w:rPr>
          <w:szCs w:val="24"/>
        </w:rPr>
        <w:t>submission</w:t>
      </w:r>
      <w:r w:rsidRPr="0044117E">
        <w:rPr>
          <w:szCs w:val="24"/>
        </w:rPr>
        <w:t xml:space="preserve"> suggest</w:t>
      </w:r>
      <w:r w:rsidR="00305D0E">
        <w:rPr>
          <w:szCs w:val="24"/>
        </w:rPr>
        <w:t>ed</w:t>
      </w:r>
      <w:r w:rsidRPr="0044117E">
        <w:rPr>
          <w:szCs w:val="24"/>
        </w:rPr>
        <w:t xml:space="preserve"> that the numbers currently closed by this technique would be less than 100 per year. With improvement in technologies it is likely that the frequency of this intervention </w:t>
      </w:r>
      <w:r w:rsidR="00305D0E">
        <w:rPr>
          <w:szCs w:val="24"/>
        </w:rPr>
        <w:t>would</w:t>
      </w:r>
      <w:r w:rsidRPr="0044117E">
        <w:rPr>
          <w:szCs w:val="24"/>
        </w:rPr>
        <w:t xml:space="preserve"> increase and more </w:t>
      </w:r>
      <w:r w:rsidR="00305D0E">
        <w:rPr>
          <w:szCs w:val="24"/>
        </w:rPr>
        <w:t>would</w:t>
      </w:r>
      <w:r w:rsidRPr="0044117E">
        <w:rPr>
          <w:szCs w:val="24"/>
        </w:rPr>
        <w:t xml:space="preserve"> be closed in this way replacing surgical treatment. However, the total number of VSDs which require closure either by surgical or transcatheter technique should remain constant.</w:t>
      </w:r>
    </w:p>
    <w:p w:rsidR="004605D7" w:rsidRDefault="004605D7" w:rsidP="0044117E">
      <w:pPr>
        <w:tabs>
          <w:tab w:val="left" w:pos="720"/>
        </w:tabs>
        <w:rPr>
          <w:szCs w:val="24"/>
        </w:rPr>
      </w:pPr>
    </w:p>
    <w:p w:rsidR="00155BB8" w:rsidRPr="0044117E" w:rsidRDefault="00155BB8" w:rsidP="0044117E">
      <w:pPr>
        <w:tabs>
          <w:tab w:val="left" w:pos="720"/>
        </w:tabs>
        <w:rPr>
          <w:szCs w:val="24"/>
        </w:rPr>
      </w:pPr>
      <w:r w:rsidRPr="0044117E">
        <w:rPr>
          <w:szCs w:val="24"/>
        </w:rPr>
        <w:t>The majority of procedures for closure of VSD are performed in the public sector. AIHW separation statistics for 2010-11 indicate that 93% (460) of a total of 493 patients were treated in public hospitals. However, hospital data does not provide a breakdown of the surgical approach used.</w:t>
      </w:r>
    </w:p>
    <w:p w:rsidR="004605D7" w:rsidRDefault="004605D7" w:rsidP="0044117E">
      <w:pPr>
        <w:tabs>
          <w:tab w:val="left" w:pos="720"/>
        </w:tabs>
        <w:rPr>
          <w:szCs w:val="24"/>
        </w:rPr>
      </w:pPr>
    </w:p>
    <w:p w:rsidR="00155BB8" w:rsidRPr="0044117E" w:rsidRDefault="00155BB8" w:rsidP="0044117E">
      <w:pPr>
        <w:tabs>
          <w:tab w:val="left" w:pos="720"/>
        </w:tabs>
        <w:rPr>
          <w:szCs w:val="24"/>
        </w:rPr>
      </w:pPr>
      <w:r w:rsidRPr="0044117E">
        <w:rPr>
          <w:szCs w:val="24"/>
        </w:rPr>
        <w:t>AIHW procedure data for 2009-10 indicate</w:t>
      </w:r>
      <w:r w:rsidR="00305D0E">
        <w:rPr>
          <w:szCs w:val="24"/>
        </w:rPr>
        <w:t>d</w:t>
      </w:r>
      <w:r w:rsidRPr="0044117E">
        <w:rPr>
          <w:szCs w:val="24"/>
        </w:rPr>
        <w:t xml:space="preserve"> that only 2% (11) of the procedures performed for closure of VSD were by percutaneous approach. Children under 5 years of age accounted for 87% of the surgical procedures and 27% of the percutaneous procedures.</w:t>
      </w:r>
    </w:p>
    <w:p w:rsidR="00A10960" w:rsidRPr="0044117E" w:rsidRDefault="00A10960" w:rsidP="004605D7">
      <w:pPr>
        <w:tabs>
          <w:tab w:val="left" w:pos="720"/>
          <w:tab w:val="left" w:pos="1140"/>
        </w:tabs>
        <w:ind w:left="360"/>
        <w:rPr>
          <w:color w:val="3366FF"/>
          <w:szCs w:val="24"/>
        </w:rPr>
      </w:pPr>
    </w:p>
    <w:p w:rsidR="00823261" w:rsidRPr="0044117E" w:rsidRDefault="00305D0E" w:rsidP="0044117E">
      <w:pPr>
        <w:tabs>
          <w:tab w:val="left" w:pos="720"/>
        </w:tabs>
        <w:rPr>
          <w:szCs w:val="24"/>
        </w:rPr>
      </w:pPr>
      <w:r>
        <w:rPr>
          <w:szCs w:val="24"/>
        </w:rPr>
        <w:t>The MBS cost wa</w:t>
      </w:r>
      <w:r w:rsidR="00E133E5" w:rsidRPr="0044117E">
        <w:rPr>
          <w:szCs w:val="24"/>
        </w:rPr>
        <w:t xml:space="preserve">s based on the 75% benefit of the MBS items. </w:t>
      </w:r>
      <w:r w:rsidR="00D200C7" w:rsidRPr="0044117E">
        <w:rPr>
          <w:szCs w:val="24"/>
        </w:rPr>
        <w:t>The total cost of the proposed intervention to the MBS is $2,699.</w:t>
      </w:r>
    </w:p>
    <w:p w:rsidR="004605D7" w:rsidRDefault="004605D7" w:rsidP="0044117E">
      <w:pPr>
        <w:tabs>
          <w:tab w:val="left" w:pos="720"/>
        </w:tabs>
        <w:rPr>
          <w:szCs w:val="24"/>
        </w:rPr>
      </w:pPr>
    </w:p>
    <w:p w:rsidR="00823261" w:rsidRPr="0044117E" w:rsidRDefault="00D200C7" w:rsidP="0044117E">
      <w:pPr>
        <w:tabs>
          <w:tab w:val="left" w:pos="720"/>
        </w:tabs>
        <w:rPr>
          <w:szCs w:val="24"/>
        </w:rPr>
      </w:pPr>
      <w:r w:rsidRPr="0044117E">
        <w:rPr>
          <w:szCs w:val="24"/>
        </w:rPr>
        <w:t>A large proportion of the cost of transcatheter closure of VSD is the cost of the device. Devices currently listed on the Prostheses List have a list price of $10,200.</w:t>
      </w:r>
    </w:p>
    <w:p w:rsidR="00305D0E" w:rsidRDefault="00305D0E" w:rsidP="0044117E">
      <w:pPr>
        <w:tabs>
          <w:tab w:val="left" w:pos="720"/>
        </w:tabs>
        <w:rPr>
          <w:szCs w:val="24"/>
        </w:rPr>
      </w:pPr>
    </w:p>
    <w:p w:rsidR="00D200C7" w:rsidRPr="0044117E" w:rsidRDefault="00D200C7" w:rsidP="0044117E">
      <w:pPr>
        <w:tabs>
          <w:tab w:val="left" w:pos="720"/>
        </w:tabs>
        <w:rPr>
          <w:szCs w:val="24"/>
        </w:rPr>
      </w:pPr>
      <w:r w:rsidRPr="0044117E">
        <w:rPr>
          <w:szCs w:val="24"/>
        </w:rPr>
        <w:t xml:space="preserve">Overall, the cost of transcatheter closure of VSD (with device cost included) compared </w:t>
      </w:r>
      <w:r w:rsidR="00F602BA">
        <w:rPr>
          <w:szCs w:val="24"/>
        </w:rPr>
        <w:t>to that of open surgery wa</w:t>
      </w:r>
      <w:r w:rsidRPr="0044117E">
        <w:rPr>
          <w:szCs w:val="24"/>
        </w:rPr>
        <w:t xml:space="preserve">s </w:t>
      </w:r>
      <w:r w:rsidR="00F602BA">
        <w:rPr>
          <w:szCs w:val="24"/>
        </w:rPr>
        <w:t xml:space="preserve">estimated to be </w:t>
      </w:r>
      <w:r w:rsidRPr="0044117E">
        <w:rPr>
          <w:szCs w:val="24"/>
        </w:rPr>
        <w:t>$17,011 and $18,638 respectively.</w:t>
      </w:r>
    </w:p>
    <w:p w:rsidR="004605D7" w:rsidRDefault="004605D7" w:rsidP="0044117E">
      <w:pPr>
        <w:tabs>
          <w:tab w:val="left" w:pos="720"/>
        </w:tabs>
        <w:rPr>
          <w:szCs w:val="24"/>
        </w:rPr>
      </w:pPr>
    </w:p>
    <w:p w:rsidR="00E133E5" w:rsidRDefault="006A7932" w:rsidP="0044117E">
      <w:pPr>
        <w:tabs>
          <w:tab w:val="left" w:pos="720"/>
        </w:tabs>
        <w:rPr>
          <w:szCs w:val="24"/>
        </w:rPr>
      </w:pPr>
      <w:r>
        <w:rPr>
          <w:szCs w:val="24"/>
        </w:rPr>
        <w:t>In summary, for an estimated three</w:t>
      </w:r>
      <w:r w:rsidR="00E133E5" w:rsidRPr="0044117E">
        <w:rPr>
          <w:szCs w:val="24"/>
        </w:rPr>
        <w:t xml:space="preserve"> patients treated in the private healthcare setting in 2013-14</w:t>
      </w:r>
      <w:r w:rsidR="00305D0E">
        <w:rPr>
          <w:szCs w:val="24"/>
        </w:rPr>
        <w:t>, transcatheter closure of VSD wa</w:t>
      </w:r>
      <w:r w:rsidR="00E133E5" w:rsidRPr="0044117E">
        <w:rPr>
          <w:szCs w:val="24"/>
        </w:rPr>
        <w:t>s estimated to provide a small saving to the MBS of $4,516 over surgical closure of VSD.</w:t>
      </w:r>
    </w:p>
    <w:p w:rsidR="00FE100C" w:rsidRDefault="00FE100C" w:rsidP="0044117E">
      <w:pPr>
        <w:tabs>
          <w:tab w:val="left" w:pos="720"/>
        </w:tabs>
        <w:rPr>
          <w:szCs w:val="24"/>
        </w:rPr>
      </w:pPr>
    </w:p>
    <w:p w:rsidR="004C0DCE" w:rsidRPr="0044117E" w:rsidRDefault="003104C7" w:rsidP="003104C7">
      <w:pPr>
        <w:pStyle w:val="Heading1"/>
      </w:pPr>
      <w:bookmarkStart w:id="1" w:name="OLE_LINK1"/>
      <w:bookmarkStart w:id="2" w:name="OLE_LINK2"/>
      <w:r>
        <w:lastRenderedPageBreak/>
        <w:t>13.</w:t>
      </w:r>
      <w:r>
        <w:tab/>
      </w:r>
      <w:r w:rsidR="004C0DCE" w:rsidRPr="0044117E">
        <w:t>Other significant factors</w:t>
      </w:r>
    </w:p>
    <w:p w:rsidR="00C92C29" w:rsidRPr="0044117E" w:rsidRDefault="00E16B3B" w:rsidP="0044117E">
      <w:pPr>
        <w:autoSpaceDE w:val="0"/>
        <w:autoSpaceDN w:val="0"/>
        <w:adjustRightInd w:val="0"/>
        <w:rPr>
          <w:szCs w:val="24"/>
        </w:rPr>
      </w:pPr>
      <w:r>
        <w:rPr>
          <w:szCs w:val="24"/>
        </w:rPr>
        <w:t xml:space="preserve">Currently, MBS </w:t>
      </w:r>
      <w:r w:rsidR="00C92C29" w:rsidRPr="0044117E">
        <w:rPr>
          <w:szCs w:val="24"/>
        </w:rPr>
        <w:t xml:space="preserve">item </w:t>
      </w:r>
      <w:r>
        <w:rPr>
          <w:szCs w:val="24"/>
        </w:rPr>
        <w:t xml:space="preserve">38751 </w:t>
      </w:r>
      <w:r w:rsidR="00C92C29" w:rsidRPr="0044117E">
        <w:rPr>
          <w:szCs w:val="24"/>
        </w:rPr>
        <w:t xml:space="preserve">may only be claimed in association with the closure of congenital VSDs. However, clinical advice </w:t>
      </w:r>
      <w:r>
        <w:rPr>
          <w:szCs w:val="24"/>
        </w:rPr>
        <w:t>received wa</w:t>
      </w:r>
      <w:r w:rsidR="00C92C29" w:rsidRPr="0044117E">
        <w:rPr>
          <w:szCs w:val="24"/>
        </w:rPr>
        <w:t>s that surgery will remain the treatment of choice for acquired VSDs treated</w:t>
      </w:r>
      <w:r>
        <w:rPr>
          <w:szCs w:val="24"/>
        </w:rPr>
        <w:t xml:space="preserve"> in an emergency situation. Based on clinical a</w:t>
      </w:r>
      <w:r w:rsidR="00F15199">
        <w:rPr>
          <w:szCs w:val="24"/>
        </w:rPr>
        <w:t xml:space="preserve">dvice </w:t>
      </w:r>
      <w:r>
        <w:rPr>
          <w:szCs w:val="24"/>
        </w:rPr>
        <w:t xml:space="preserve">that </w:t>
      </w:r>
      <w:r w:rsidR="00C92C29" w:rsidRPr="0044117E">
        <w:rPr>
          <w:szCs w:val="24"/>
        </w:rPr>
        <w:t>item 38751</w:t>
      </w:r>
      <w:r w:rsidR="00C92C29" w:rsidRPr="0044117E">
        <w:rPr>
          <w:bCs/>
          <w:color w:val="000000"/>
          <w:szCs w:val="24"/>
        </w:rPr>
        <w:t xml:space="preserve"> does not reflect current practice</w:t>
      </w:r>
      <w:r w:rsidR="00F15199">
        <w:rPr>
          <w:bCs/>
          <w:color w:val="000000"/>
          <w:szCs w:val="24"/>
        </w:rPr>
        <w:t xml:space="preserve"> it was</w:t>
      </w:r>
      <w:r w:rsidR="00C92C29" w:rsidRPr="0044117E">
        <w:rPr>
          <w:bCs/>
          <w:color w:val="000000"/>
          <w:szCs w:val="24"/>
        </w:rPr>
        <w:t xml:space="preserve"> </w:t>
      </w:r>
      <w:r>
        <w:rPr>
          <w:bCs/>
          <w:color w:val="000000"/>
          <w:szCs w:val="24"/>
        </w:rPr>
        <w:t xml:space="preserve">suggested </w:t>
      </w:r>
      <w:r w:rsidR="00F15199">
        <w:rPr>
          <w:bCs/>
          <w:color w:val="000000"/>
          <w:szCs w:val="24"/>
        </w:rPr>
        <w:t>to</w:t>
      </w:r>
      <w:r w:rsidR="00C92C29" w:rsidRPr="0044117E">
        <w:rPr>
          <w:bCs/>
          <w:color w:val="000000"/>
          <w:szCs w:val="24"/>
        </w:rPr>
        <w:t xml:space="preserve"> amend as below by removing the words “for congenital heart disease” </w:t>
      </w:r>
      <w:r w:rsidR="00F15199">
        <w:rPr>
          <w:bCs/>
          <w:color w:val="000000"/>
          <w:szCs w:val="24"/>
        </w:rPr>
        <w:t xml:space="preserve">so </w:t>
      </w:r>
      <w:r w:rsidR="00C92C29" w:rsidRPr="0044117E">
        <w:rPr>
          <w:bCs/>
          <w:color w:val="000000"/>
          <w:szCs w:val="24"/>
        </w:rPr>
        <w:t xml:space="preserve">as not </w:t>
      </w:r>
      <w:r w:rsidR="00F15199">
        <w:rPr>
          <w:bCs/>
          <w:color w:val="000000"/>
          <w:szCs w:val="24"/>
        </w:rPr>
        <w:t xml:space="preserve">to </w:t>
      </w:r>
      <w:r w:rsidR="00C92C29" w:rsidRPr="0044117E">
        <w:rPr>
          <w:bCs/>
          <w:color w:val="000000"/>
          <w:szCs w:val="24"/>
        </w:rPr>
        <w:t>inhibit access to patient rebates.</w:t>
      </w:r>
    </w:p>
    <w:p w:rsidR="00C92C29" w:rsidRPr="0044117E" w:rsidRDefault="00C92C29" w:rsidP="0044117E">
      <w:pPr>
        <w:pStyle w:val="Default"/>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9"/>
      </w:tblGrid>
      <w:tr w:rsidR="00C92C29" w:rsidRPr="0044117E" w:rsidTr="00FB4394">
        <w:trPr>
          <w:trHeight w:val="120"/>
        </w:trPr>
        <w:tc>
          <w:tcPr>
            <w:tcW w:w="8289" w:type="dxa"/>
          </w:tcPr>
          <w:p w:rsidR="00C92C29" w:rsidRPr="0044117E" w:rsidRDefault="00C92C29" w:rsidP="0044117E">
            <w:pPr>
              <w:autoSpaceDE w:val="0"/>
              <w:autoSpaceDN w:val="0"/>
              <w:adjustRightInd w:val="0"/>
              <w:rPr>
                <w:color w:val="000000"/>
                <w:szCs w:val="24"/>
              </w:rPr>
            </w:pPr>
            <w:r w:rsidRPr="0044117E">
              <w:rPr>
                <w:b/>
                <w:bCs/>
                <w:color w:val="000000"/>
                <w:szCs w:val="24"/>
              </w:rPr>
              <w:t xml:space="preserve">MBS item  38751 – item descriptor as at 1 July2013 Category 3 – Cardio-Thoracic </w:t>
            </w:r>
          </w:p>
        </w:tc>
      </w:tr>
      <w:tr w:rsidR="00C92C29" w:rsidRPr="0044117E" w:rsidTr="00FB4394">
        <w:trPr>
          <w:trHeight w:val="1516"/>
        </w:trPr>
        <w:tc>
          <w:tcPr>
            <w:tcW w:w="8289" w:type="dxa"/>
          </w:tcPr>
          <w:p w:rsidR="00C92C29" w:rsidRPr="0044117E" w:rsidRDefault="00C92C29" w:rsidP="0044117E">
            <w:pPr>
              <w:autoSpaceDE w:val="0"/>
              <w:autoSpaceDN w:val="0"/>
              <w:adjustRightInd w:val="0"/>
              <w:rPr>
                <w:color w:val="000000"/>
                <w:szCs w:val="24"/>
              </w:rPr>
            </w:pPr>
            <w:r w:rsidRPr="0044117E">
              <w:rPr>
                <w:color w:val="000000"/>
                <w:szCs w:val="24"/>
              </w:rPr>
              <w:t>VENTRICULAR SEPTAL DEFECT, closure by direct suture or patch</w:t>
            </w:r>
            <w:r w:rsidRPr="0044117E">
              <w:rPr>
                <w:strike/>
                <w:color w:val="000000"/>
                <w:szCs w:val="24"/>
              </w:rPr>
              <w:t>, for congenital heart disease</w:t>
            </w:r>
            <w:r w:rsidRPr="0044117E">
              <w:rPr>
                <w:color w:val="000000"/>
                <w:szCs w:val="24"/>
              </w:rPr>
              <w:t xml:space="preserve"> (Anaes.) (Assist.) </w:t>
            </w:r>
          </w:p>
          <w:p w:rsidR="00C92C29" w:rsidRPr="0044117E" w:rsidRDefault="00C92C29" w:rsidP="0044117E">
            <w:pPr>
              <w:autoSpaceDE w:val="0"/>
              <w:autoSpaceDN w:val="0"/>
              <w:adjustRightInd w:val="0"/>
              <w:rPr>
                <w:color w:val="000000"/>
                <w:szCs w:val="24"/>
              </w:rPr>
            </w:pPr>
            <w:r w:rsidRPr="0044117E">
              <w:rPr>
                <w:color w:val="000000"/>
                <w:szCs w:val="24"/>
              </w:rPr>
              <w:t xml:space="preserve">(See para T8.70 of explanatory notes to this Category) </w:t>
            </w:r>
          </w:p>
          <w:p w:rsidR="00FB4394" w:rsidRDefault="00FB4394" w:rsidP="00FB4394">
            <w:pPr>
              <w:autoSpaceDE w:val="0"/>
              <w:autoSpaceDN w:val="0"/>
              <w:adjustRightInd w:val="0"/>
              <w:rPr>
                <w:color w:val="000000"/>
                <w:szCs w:val="24"/>
              </w:rPr>
            </w:pPr>
          </w:p>
          <w:p w:rsidR="002B20B9" w:rsidRPr="0044117E" w:rsidRDefault="00C92C29" w:rsidP="00FB4394">
            <w:pPr>
              <w:autoSpaceDE w:val="0"/>
              <w:autoSpaceDN w:val="0"/>
              <w:adjustRightInd w:val="0"/>
              <w:rPr>
                <w:color w:val="000000"/>
                <w:szCs w:val="24"/>
              </w:rPr>
            </w:pPr>
            <w:r w:rsidRPr="0044117E">
              <w:rPr>
                <w:color w:val="000000"/>
                <w:szCs w:val="24"/>
              </w:rPr>
              <w:t xml:space="preserve">Fee: $2,134.50 Benefit: 75% = $1,600.90 </w:t>
            </w:r>
          </w:p>
        </w:tc>
      </w:tr>
    </w:tbl>
    <w:p w:rsidR="00AF0F0E" w:rsidRDefault="00AF0F0E" w:rsidP="0044117E">
      <w:pPr>
        <w:tabs>
          <w:tab w:val="left" w:pos="720"/>
        </w:tabs>
        <w:rPr>
          <w:szCs w:val="24"/>
        </w:rPr>
      </w:pPr>
    </w:p>
    <w:p w:rsidR="00BE764A" w:rsidRDefault="00BE764A" w:rsidP="00BE764A">
      <w:pPr>
        <w:autoSpaceDE w:val="0"/>
        <w:autoSpaceDN w:val="0"/>
        <w:adjustRightInd w:val="0"/>
      </w:pPr>
      <w:r>
        <w:t>MSAC supported amending the current MBS item 38751 for surgical closure of VSD to reflect current clinical practice (that includes post infarct and other types of VSD) by removing the words ‘for congenital heart disease’.</w:t>
      </w:r>
    </w:p>
    <w:p w:rsidR="00BE764A" w:rsidRDefault="00BE764A" w:rsidP="0044117E">
      <w:pPr>
        <w:tabs>
          <w:tab w:val="left" w:pos="720"/>
        </w:tabs>
        <w:rPr>
          <w:szCs w:val="24"/>
        </w:rPr>
      </w:pPr>
    </w:p>
    <w:p w:rsidR="004C18A5" w:rsidRDefault="004C18A5" w:rsidP="0060440A">
      <w:pPr>
        <w:tabs>
          <w:tab w:val="left" w:pos="720"/>
        </w:tabs>
        <w:rPr>
          <w:szCs w:val="24"/>
        </w:rPr>
      </w:pPr>
      <w:r w:rsidRPr="002F5BBC">
        <w:rPr>
          <w:rStyle w:val="Heading1Char"/>
        </w:rPr>
        <w:t>14.</w:t>
      </w:r>
      <w:r w:rsidRPr="002F5BBC">
        <w:rPr>
          <w:rStyle w:val="Heading1Char"/>
        </w:rPr>
        <w:tab/>
        <w:t xml:space="preserve">Key issues for MSAC from ESC </w:t>
      </w:r>
      <w:r w:rsidRPr="002F5BBC">
        <w:rPr>
          <w:rStyle w:val="Heading1Char"/>
        </w:rPr>
        <w:br/>
      </w:r>
      <w:r w:rsidR="0060440A" w:rsidRPr="0060440A">
        <w:rPr>
          <w:szCs w:val="24"/>
        </w:rPr>
        <w:t>ESC raised concerns regarding the comparator, noting that surgical patients are often sicker and have larger VSDs.</w:t>
      </w:r>
      <w:r w:rsidR="0060440A">
        <w:rPr>
          <w:szCs w:val="24"/>
        </w:rPr>
        <w:t xml:space="preserve"> </w:t>
      </w:r>
      <w:r w:rsidR="0060440A" w:rsidRPr="0060440A">
        <w:rPr>
          <w:szCs w:val="24"/>
        </w:rPr>
        <w:t>ESC also noted that there was potential for “creep” in procedural numbers related to transcatheter closure of VSD for smaller defects that would currently be observed and managed medically.</w:t>
      </w:r>
    </w:p>
    <w:p w:rsidR="0060440A" w:rsidRDefault="0060440A" w:rsidP="0060440A">
      <w:pPr>
        <w:tabs>
          <w:tab w:val="left" w:pos="720"/>
        </w:tabs>
        <w:rPr>
          <w:szCs w:val="24"/>
        </w:rPr>
      </w:pPr>
    </w:p>
    <w:p w:rsidR="0060440A" w:rsidRDefault="0060440A" w:rsidP="0060440A">
      <w:pPr>
        <w:tabs>
          <w:tab w:val="left" w:pos="720"/>
        </w:tabs>
        <w:rPr>
          <w:szCs w:val="24"/>
        </w:rPr>
      </w:pPr>
      <w:r w:rsidRPr="0060440A">
        <w:rPr>
          <w:szCs w:val="24"/>
        </w:rPr>
        <w:t>ESC suggested that identification of overseas registries, if available, may provide further information on clinical effectiveness.</w:t>
      </w:r>
    </w:p>
    <w:p w:rsidR="0060440A" w:rsidRDefault="0060440A" w:rsidP="0060440A">
      <w:pPr>
        <w:tabs>
          <w:tab w:val="left" w:pos="720"/>
        </w:tabs>
        <w:rPr>
          <w:szCs w:val="24"/>
        </w:rPr>
      </w:pPr>
    </w:p>
    <w:p w:rsidR="0060440A" w:rsidRDefault="00CF0504" w:rsidP="0060440A">
      <w:pPr>
        <w:tabs>
          <w:tab w:val="left" w:pos="720"/>
        </w:tabs>
        <w:rPr>
          <w:szCs w:val="24"/>
        </w:rPr>
      </w:pPr>
      <w:r>
        <w:rPr>
          <w:szCs w:val="24"/>
        </w:rPr>
        <w:t>ESC considered that c</w:t>
      </w:r>
      <w:r w:rsidR="0060440A" w:rsidRPr="0060440A">
        <w:rPr>
          <w:szCs w:val="24"/>
        </w:rPr>
        <w:t xml:space="preserve">redentialing for the VSD technique </w:t>
      </w:r>
      <w:r>
        <w:rPr>
          <w:szCs w:val="24"/>
        </w:rPr>
        <w:t>would</w:t>
      </w:r>
      <w:r w:rsidR="0060440A" w:rsidRPr="0060440A">
        <w:rPr>
          <w:szCs w:val="24"/>
        </w:rPr>
        <w:t xml:space="preserve"> need to be robust given the low usage numbers and the necessity of maintaining the skill level to ensure the safety of the procedure.</w:t>
      </w:r>
    </w:p>
    <w:p w:rsidR="00CF0504" w:rsidRPr="0044117E" w:rsidRDefault="00CF0504" w:rsidP="0060440A">
      <w:pPr>
        <w:tabs>
          <w:tab w:val="left" w:pos="720"/>
        </w:tabs>
        <w:rPr>
          <w:szCs w:val="24"/>
        </w:rPr>
      </w:pPr>
    </w:p>
    <w:bookmarkEnd w:id="1"/>
    <w:bookmarkEnd w:id="2"/>
    <w:p w:rsidR="0078082F" w:rsidRDefault="004C18A5" w:rsidP="003104C7">
      <w:pPr>
        <w:pStyle w:val="Heading1"/>
      </w:pPr>
      <w:r>
        <w:t>15</w:t>
      </w:r>
      <w:r w:rsidR="0078082F" w:rsidRPr="002B20B9">
        <w:t>.</w:t>
      </w:r>
      <w:r w:rsidR="0078082F" w:rsidRPr="002B20B9">
        <w:tab/>
        <w:t xml:space="preserve">Summary of consideration and rationale for MSAC’s advice </w:t>
      </w:r>
    </w:p>
    <w:p w:rsidR="00324ADB" w:rsidRPr="00493F03" w:rsidRDefault="00324ADB" w:rsidP="00324ADB">
      <w:pPr>
        <w:rPr>
          <w:szCs w:val="24"/>
          <w:lang w:eastAsia="en-US"/>
        </w:rPr>
      </w:pPr>
      <w:r w:rsidRPr="00493F03">
        <w:rPr>
          <w:szCs w:val="24"/>
          <w:lang w:eastAsia="en-US"/>
        </w:rPr>
        <w:t>The applicant propose</w:t>
      </w:r>
      <w:r w:rsidR="00BE764A">
        <w:rPr>
          <w:szCs w:val="24"/>
          <w:lang w:eastAsia="en-US"/>
        </w:rPr>
        <w:t>d</w:t>
      </w:r>
      <w:r w:rsidRPr="00493F03">
        <w:rPr>
          <w:szCs w:val="24"/>
          <w:lang w:eastAsia="en-US"/>
        </w:rPr>
        <w:t xml:space="preserve"> </w:t>
      </w:r>
      <w:r>
        <w:rPr>
          <w:szCs w:val="24"/>
          <w:lang w:eastAsia="en-US"/>
        </w:rPr>
        <w:t>Medicare Benefits Schedule (</w:t>
      </w:r>
      <w:r w:rsidRPr="00493F03">
        <w:rPr>
          <w:szCs w:val="24"/>
          <w:lang w:eastAsia="en-US"/>
        </w:rPr>
        <w:t>MBS</w:t>
      </w:r>
      <w:r>
        <w:rPr>
          <w:szCs w:val="24"/>
          <w:lang w:eastAsia="en-US"/>
        </w:rPr>
        <w:t>)</w:t>
      </w:r>
      <w:r w:rsidRPr="00493F03">
        <w:rPr>
          <w:szCs w:val="24"/>
          <w:lang w:eastAsia="en-US"/>
        </w:rPr>
        <w:t xml:space="preserve"> listing of transcatheter closure of ventricular septal defect (VSD). </w:t>
      </w:r>
      <w:r>
        <w:rPr>
          <w:szCs w:val="24"/>
          <w:lang w:eastAsia="en-US"/>
        </w:rPr>
        <w:t>MSAC noted that a VSD</w:t>
      </w:r>
      <w:r w:rsidRPr="00493F03">
        <w:rPr>
          <w:szCs w:val="24"/>
          <w:lang w:eastAsia="en-US"/>
        </w:rPr>
        <w:t xml:space="preserve"> can occur as a common congenital abnormality, or </w:t>
      </w:r>
      <w:r>
        <w:rPr>
          <w:szCs w:val="24"/>
          <w:lang w:eastAsia="en-US"/>
        </w:rPr>
        <w:t xml:space="preserve">it </w:t>
      </w:r>
      <w:r w:rsidRPr="00493F03">
        <w:rPr>
          <w:szCs w:val="24"/>
          <w:lang w:eastAsia="en-US"/>
        </w:rPr>
        <w:t>can be acquired in the setting of acute myocardial infarction</w:t>
      </w:r>
      <w:r>
        <w:rPr>
          <w:szCs w:val="24"/>
          <w:lang w:eastAsia="en-US"/>
        </w:rPr>
        <w:t xml:space="preserve"> or</w:t>
      </w:r>
      <w:r w:rsidRPr="00493F03">
        <w:rPr>
          <w:szCs w:val="24"/>
          <w:lang w:eastAsia="en-US"/>
        </w:rPr>
        <w:t xml:space="preserve"> trauma.</w:t>
      </w:r>
    </w:p>
    <w:p w:rsidR="00324ADB" w:rsidRPr="00493F03" w:rsidRDefault="00324ADB" w:rsidP="00324ADB">
      <w:pPr>
        <w:rPr>
          <w:szCs w:val="24"/>
          <w:lang w:eastAsia="en-US"/>
        </w:rPr>
      </w:pPr>
    </w:p>
    <w:p w:rsidR="00324ADB" w:rsidRDefault="00324ADB" w:rsidP="00324ADB">
      <w:pPr>
        <w:rPr>
          <w:szCs w:val="24"/>
        </w:rPr>
      </w:pPr>
      <w:r>
        <w:rPr>
          <w:szCs w:val="24"/>
        </w:rPr>
        <w:t>MSAC noted that t</w:t>
      </w:r>
      <w:r w:rsidRPr="00493F03">
        <w:rPr>
          <w:szCs w:val="24"/>
        </w:rPr>
        <w:t>he majority of VSD</w:t>
      </w:r>
      <w:r>
        <w:rPr>
          <w:szCs w:val="24"/>
        </w:rPr>
        <w:t xml:space="preserve"> transcatheter</w:t>
      </w:r>
      <w:r w:rsidRPr="00493F03">
        <w:rPr>
          <w:szCs w:val="24"/>
        </w:rPr>
        <w:t xml:space="preserve"> interventions will be provided by paediatric interventional cardiologists. </w:t>
      </w:r>
    </w:p>
    <w:p w:rsidR="00324ADB" w:rsidRDefault="00324ADB" w:rsidP="00324ADB">
      <w:pPr>
        <w:rPr>
          <w:szCs w:val="24"/>
        </w:rPr>
      </w:pPr>
    </w:p>
    <w:p w:rsidR="00324ADB" w:rsidRPr="00493F03" w:rsidRDefault="00324ADB" w:rsidP="00324ADB">
      <w:pPr>
        <w:rPr>
          <w:szCs w:val="24"/>
        </w:rPr>
      </w:pPr>
      <w:r w:rsidRPr="00493F03">
        <w:rPr>
          <w:szCs w:val="24"/>
        </w:rPr>
        <w:t xml:space="preserve">The comparator </w:t>
      </w:r>
      <w:r>
        <w:rPr>
          <w:szCs w:val="24"/>
        </w:rPr>
        <w:t xml:space="preserve">nominated in the application </w:t>
      </w:r>
      <w:r w:rsidRPr="00493F03">
        <w:rPr>
          <w:szCs w:val="24"/>
        </w:rPr>
        <w:t>and the current practice for treatment of a VSD is open surg</w:t>
      </w:r>
      <w:r>
        <w:rPr>
          <w:szCs w:val="24"/>
        </w:rPr>
        <w:t>ical</w:t>
      </w:r>
      <w:r w:rsidRPr="00493F03">
        <w:rPr>
          <w:szCs w:val="24"/>
        </w:rPr>
        <w:t xml:space="preserve"> closure on cardiopulmonary bypass. However, MSAC noted </w:t>
      </w:r>
      <w:r>
        <w:rPr>
          <w:szCs w:val="24"/>
        </w:rPr>
        <w:t xml:space="preserve">that </w:t>
      </w:r>
      <w:r w:rsidRPr="00493F03">
        <w:rPr>
          <w:szCs w:val="24"/>
        </w:rPr>
        <w:t>the comparator item is restricted to patients with congenital heart disease (i.e.</w:t>
      </w:r>
      <w:r>
        <w:rPr>
          <w:szCs w:val="24"/>
        </w:rPr>
        <w:t>,</w:t>
      </w:r>
      <w:r w:rsidRPr="00493F03">
        <w:rPr>
          <w:szCs w:val="24"/>
        </w:rPr>
        <w:t xml:space="preserve"> it is not reimbursable for closure of an acquired VSD) and did not consider the comparator valid in the Australian context</w:t>
      </w:r>
      <w:r>
        <w:rPr>
          <w:szCs w:val="24"/>
        </w:rPr>
        <w:t>. The majority of surgical VSD closures are performed on neonates and infants who would not be considered candidates for transcatheter closure due to the increased risk of morbidity</w:t>
      </w:r>
      <w:r w:rsidRPr="00493F03">
        <w:rPr>
          <w:szCs w:val="24"/>
        </w:rPr>
        <w:t>.</w:t>
      </w:r>
      <w:r>
        <w:rPr>
          <w:szCs w:val="24"/>
        </w:rPr>
        <w:t xml:space="preserve"> </w:t>
      </w:r>
    </w:p>
    <w:p w:rsidR="00324ADB" w:rsidRPr="000132A2" w:rsidRDefault="00324ADB" w:rsidP="00324ADB">
      <w:pPr>
        <w:pStyle w:val="ListParagraph"/>
        <w:rPr>
          <w:szCs w:val="24"/>
        </w:rPr>
      </w:pPr>
    </w:p>
    <w:p w:rsidR="00324ADB" w:rsidRPr="00493F03" w:rsidRDefault="00324ADB" w:rsidP="00324ADB">
      <w:pPr>
        <w:rPr>
          <w:szCs w:val="24"/>
          <w:lang w:eastAsia="en-US"/>
        </w:rPr>
      </w:pPr>
      <w:r w:rsidRPr="00493F03">
        <w:rPr>
          <w:szCs w:val="24"/>
        </w:rPr>
        <w:t>MSAC noted safety issues associated with closure includ</w:t>
      </w:r>
      <w:r>
        <w:rPr>
          <w:szCs w:val="24"/>
        </w:rPr>
        <w:t>ed</w:t>
      </w:r>
      <w:r w:rsidRPr="00493F03">
        <w:rPr>
          <w:szCs w:val="24"/>
        </w:rPr>
        <w:t xml:space="preserve"> complications of transvascular access, heart block and </w:t>
      </w:r>
      <w:r>
        <w:rPr>
          <w:szCs w:val="24"/>
        </w:rPr>
        <w:t xml:space="preserve">the </w:t>
      </w:r>
      <w:r w:rsidRPr="00493F03">
        <w:rPr>
          <w:szCs w:val="24"/>
        </w:rPr>
        <w:t>need for</w:t>
      </w:r>
      <w:r>
        <w:rPr>
          <w:szCs w:val="24"/>
        </w:rPr>
        <w:t xml:space="preserve"> a</w:t>
      </w:r>
      <w:r w:rsidRPr="00493F03">
        <w:rPr>
          <w:szCs w:val="24"/>
        </w:rPr>
        <w:t xml:space="preserve"> pacemaker (low rate in “experienced hands”), and the need for cardiopulmonary bypass (low risk)</w:t>
      </w:r>
      <w:r>
        <w:rPr>
          <w:szCs w:val="24"/>
        </w:rPr>
        <w:t xml:space="preserve"> to address incomplete closure or device </w:t>
      </w:r>
      <w:r>
        <w:rPr>
          <w:szCs w:val="24"/>
        </w:rPr>
        <w:lastRenderedPageBreak/>
        <w:t>embolisation</w:t>
      </w:r>
      <w:r w:rsidRPr="00493F03">
        <w:rPr>
          <w:szCs w:val="24"/>
        </w:rPr>
        <w:t xml:space="preserve">. </w:t>
      </w:r>
      <w:r w:rsidRPr="00493F03">
        <w:rPr>
          <w:szCs w:val="24"/>
          <w:lang w:eastAsia="en-US"/>
        </w:rPr>
        <w:t>Data on long-term safety</w:t>
      </w:r>
      <w:r>
        <w:rPr>
          <w:szCs w:val="24"/>
          <w:lang w:eastAsia="en-US"/>
        </w:rPr>
        <w:t>,</w:t>
      </w:r>
      <w:r w:rsidRPr="00493F03">
        <w:rPr>
          <w:szCs w:val="24"/>
          <w:lang w:eastAsia="en-US"/>
        </w:rPr>
        <w:t xml:space="preserve"> e.g.</w:t>
      </w:r>
      <w:r>
        <w:rPr>
          <w:szCs w:val="24"/>
          <w:lang w:eastAsia="en-US"/>
        </w:rPr>
        <w:t>,</w:t>
      </w:r>
      <w:r w:rsidRPr="00493F03">
        <w:rPr>
          <w:szCs w:val="24"/>
          <w:lang w:eastAsia="en-US"/>
        </w:rPr>
        <w:t xml:space="preserve"> the increased risk of complete heart block</w:t>
      </w:r>
      <w:r>
        <w:rPr>
          <w:szCs w:val="24"/>
          <w:lang w:eastAsia="en-US"/>
        </w:rPr>
        <w:t>, are</w:t>
      </w:r>
      <w:r w:rsidRPr="00493F03">
        <w:rPr>
          <w:szCs w:val="24"/>
          <w:lang w:eastAsia="en-US"/>
        </w:rPr>
        <w:t xml:space="preserve"> not available.</w:t>
      </w:r>
      <w:r>
        <w:rPr>
          <w:szCs w:val="24"/>
          <w:lang w:eastAsia="en-US"/>
        </w:rPr>
        <w:t xml:space="preserve"> MSAC considered that overall, transcatheter closure and surgical closure have similar safety with different risk profiles.</w:t>
      </w:r>
    </w:p>
    <w:p w:rsidR="00324ADB" w:rsidRPr="00493F03" w:rsidRDefault="00324ADB" w:rsidP="00324ADB">
      <w:pPr>
        <w:rPr>
          <w:szCs w:val="24"/>
          <w:lang w:eastAsia="en-US"/>
        </w:rPr>
      </w:pPr>
    </w:p>
    <w:p w:rsidR="00324ADB" w:rsidRPr="00493F03" w:rsidRDefault="00324ADB" w:rsidP="00324ADB">
      <w:pPr>
        <w:rPr>
          <w:szCs w:val="24"/>
          <w:lang w:eastAsia="en-US"/>
        </w:rPr>
      </w:pPr>
      <w:r w:rsidRPr="00493F03">
        <w:rPr>
          <w:szCs w:val="24"/>
          <w:lang w:eastAsia="en-US"/>
        </w:rPr>
        <w:t xml:space="preserve">MSAC agreed </w:t>
      </w:r>
      <w:r>
        <w:rPr>
          <w:szCs w:val="24"/>
          <w:lang w:eastAsia="en-US"/>
        </w:rPr>
        <w:t xml:space="preserve">that </w:t>
      </w:r>
      <w:r w:rsidRPr="00493F03">
        <w:rPr>
          <w:szCs w:val="24"/>
          <w:lang w:eastAsia="en-US"/>
        </w:rPr>
        <w:t>this device should be entered into the cardiac devices registry (if this new registry takes place).</w:t>
      </w:r>
    </w:p>
    <w:p w:rsidR="00324ADB" w:rsidRPr="00493F03" w:rsidRDefault="00324ADB" w:rsidP="00324ADB">
      <w:pPr>
        <w:rPr>
          <w:szCs w:val="24"/>
          <w:lang w:eastAsia="en-US"/>
        </w:rPr>
      </w:pPr>
    </w:p>
    <w:p w:rsidR="00324ADB" w:rsidRDefault="00324ADB" w:rsidP="00324ADB">
      <w:pPr>
        <w:spacing w:after="240"/>
      </w:pPr>
      <w:r>
        <w:rPr>
          <w:szCs w:val="24"/>
        </w:rPr>
        <w:t>Clinical e</w:t>
      </w:r>
      <w:r w:rsidRPr="00493F03">
        <w:rPr>
          <w:szCs w:val="24"/>
        </w:rPr>
        <w:t xml:space="preserve">ffectiveness </w:t>
      </w:r>
      <w:r>
        <w:rPr>
          <w:szCs w:val="24"/>
        </w:rPr>
        <w:t xml:space="preserve">of </w:t>
      </w:r>
      <w:r w:rsidRPr="00493F03">
        <w:rPr>
          <w:szCs w:val="24"/>
        </w:rPr>
        <w:t xml:space="preserve">transcatheter closure versus surgical intervention was </w:t>
      </w:r>
      <w:r>
        <w:rPr>
          <w:szCs w:val="24"/>
        </w:rPr>
        <w:t>based on</w:t>
      </w:r>
      <w:r w:rsidRPr="00493F03">
        <w:rPr>
          <w:szCs w:val="24"/>
        </w:rPr>
        <w:t xml:space="preserve"> five non-randomised studies. </w:t>
      </w:r>
      <w:r>
        <w:rPr>
          <w:szCs w:val="24"/>
        </w:rPr>
        <w:t xml:space="preserve">MSAC noted that </w:t>
      </w:r>
      <w:r w:rsidRPr="00493F03">
        <w:rPr>
          <w:szCs w:val="24"/>
        </w:rPr>
        <w:t>the majority of these studies were undertaken overseas in older and heavier children</w:t>
      </w:r>
      <w:r>
        <w:rPr>
          <w:szCs w:val="24"/>
        </w:rPr>
        <w:t>, and the applicability of the</w:t>
      </w:r>
      <w:r w:rsidRPr="00493F03">
        <w:rPr>
          <w:szCs w:val="24"/>
        </w:rPr>
        <w:t xml:space="preserve"> results to </w:t>
      </w:r>
      <w:r>
        <w:rPr>
          <w:szCs w:val="24"/>
        </w:rPr>
        <w:t>the</w:t>
      </w:r>
      <w:r w:rsidRPr="00493F03">
        <w:rPr>
          <w:szCs w:val="24"/>
        </w:rPr>
        <w:t xml:space="preserve"> Australian population is uncertain</w:t>
      </w:r>
      <w:r>
        <w:rPr>
          <w:szCs w:val="24"/>
        </w:rPr>
        <w:t>, particularly as</w:t>
      </w:r>
      <w:r w:rsidRPr="00493F03">
        <w:rPr>
          <w:szCs w:val="24"/>
        </w:rPr>
        <w:t xml:space="preserve"> the patients </w:t>
      </w:r>
      <w:r>
        <w:rPr>
          <w:szCs w:val="24"/>
        </w:rPr>
        <w:t xml:space="preserve">in the studies </w:t>
      </w:r>
      <w:r w:rsidRPr="00493F03">
        <w:rPr>
          <w:szCs w:val="24"/>
        </w:rPr>
        <w:t>would</w:t>
      </w:r>
      <w:r>
        <w:rPr>
          <w:szCs w:val="24"/>
        </w:rPr>
        <w:t xml:space="preserve"> generally</w:t>
      </w:r>
      <w:r w:rsidRPr="00493F03">
        <w:rPr>
          <w:szCs w:val="24"/>
        </w:rPr>
        <w:t xml:space="preserve"> not be </w:t>
      </w:r>
      <w:r>
        <w:rPr>
          <w:szCs w:val="24"/>
        </w:rPr>
        <w:t xml:space="preserve">routinely </w:t>
      </w:r>
      <w:r w:rsidRPr="00493F03">
        <w:rPr>
          <w:szCs w:val="24"/>
        </w:rPr>
        <w:t>considered candidates for transvascular approaches</w:t>
      </w:r>
      <w:r>
        <w:rPr>
          <w:szCs w:val="24"/>
        </w:rPr>
        <w:t xml:space="preserve"> in Australia</w:t>
      </w:r>
      <w:r w:rsidRPr="00493F03">
        <w:rPr>
          <w:szCs w:val="24"/>
        </w:rPr>
        <w:t>.</w:t>
      </w:r>
      <w:r>
        <w:rPr>
          <w:szCs w:val="24"/>
        </w:rPr>
        <w:t xml:space="preserve"> However, MSAC noted that t</w:t>
      </w:r>
      <w:r>
        <w:t>here is unlikely to be a randomised trial conducted for transcatheter versus surgical closure of VSD due to the small number of patients and that transcatheter closure is now an established treatment in selected patients.</w:t>
      </w:r>
    </w:p>
    <w:p w:rsidR="00324ADB" w:rsidRPr="00B330FB" w:rsidRDefault="00324ADB" w:rsidP="00324ADB">
      <w:r>
        <w:rPr>
          <w:szCs w:val="24"/>
        </w:rPr>
        <w:t xml:space="preserve">Based on the studies presented, </w:t>
      </w:r>
      <w:r w:rsidRPr="00493F03">
        <w:rPr>
          <w:szCs w:val="24"/>
        </w:rPr>
        <w:t>MSAC</w:t>
      </w:r>
      <w:r>
        <w:rPr>
          <w:szCs w:val="24"/>
        </w:rPr>
        <w:t xml:space="preserve"> noted that transcatheter closure is associated</w:t>
      </w:r>
      <w:r w:rsidRPr="0026313A">
        <w:rPr>
          <w:szCs w:val="24"/>
        </w:rPr>
        <w:t xml:space="preserve"> with a high rate of successful closure </w:t>
      </w:r>
      <w:r>
        <w:rPr>
          <w:szCs w:val="24"/>
        </w:rPr>
        <w:t xml:space="preserve">(99.8%, Zheng </w:t>
      </w:r>
      <w:r w:rsidRPr="0063386F">
        <w:rPr>
          <w:i/>
          <w:szCs w:val="24"/>
        </w:rPr>
        <w:t>et al</w:t>
      </w:r>
      <w:r>
        <w:rPr>
          <w:szCs w:val="24"/>
        </w:rPr>
        <w:t xml:space="preserve"> 2009; 99.4%, Liu </w:t>
      </w:r>
      <w:r w:rsidRPr="0063386F">
        <w:rPr>
          <w:i/>
          <w:szCs w:val="24"/>
        </w:rPr>
        <w:t>et al</w:t>
      </w:r>
      <w:r>
        <w:rPr>
          <w:szCs w:val="24"/>
        </w:rPr>
        <w:t xml:space="preserve"> 2012) </w:t>
      </w:r>
      <w:r w:rsidRPr="0026313A">
        <w:rPr>
          <w:szCs w:val="24"/>
        </w:rPr>
        <w:t xml:space="preserve">and a low incidence </w:t>
      </w:r>
      <w:r>
        <w:rPr>
          <w:szCs w:val="24"/>
        </w:rPr>
        <w:t xml:space="preserve">(0.5% Zheng </w:t>
      </w:r>
      <w:r w:rsidRPr="0063386F">
        <w:rPr>
          <w:i/>
          <w:szCs w:val="24"/>
        </w:rPr>
        <w:t>et al</w:t>
      </w:r>
      <w:r>
        <w:rPr>
          <w:szCs w:val="24"/>
        </w:rPr>
        <w:t xml:space="preserve"> 2009; 3.8%, Liu </w:t>
      </w:r>
      <w:r w:rsidRPr="0063386F">
        <w:rPr>
          <w:i/>
          <w:szCs w:val="24"/>
        </w:rPr>
        <w:t>et al</w:t>
      </w:r>
      <w:r>
        <w:rPr>
          <w:szCs w:val="24"/>
        </w:rPr>
        <w:t xml:space="preserve"> 2012) </w:t>
      </w:r>
      <w:r w:rsidRPr="0026313A">
        <w:rPr>
          <w:szCs w:val="24"/>
        </w:rPr>
        <w:t>of significant residual shunt. In addition, transcatheter closure is associated with some advantages over surgical closure, such as:</w:t>
      </w:r>
    </w:p>
    <w:p w:rsidR="00324ADB" w:rsidRPr="0026313A" w:rsidRDefault="00324ADB" w:rsidP="00324ADB">
      <w:pPr>
        <w:ind w:left="567"/>
        <w:rPr>
          <w:szCs w:val="24"/>
        </w:rPr>
      </w:pPr>
      <w:r w:rsidRPr="0026313A">
        <w:rPr>
          <w:szCs w:val="24"/>
        </w:rPr>
        <w:t>• Avoidance of the need for cardiopulmonary bypass;</w:t>
      </w:r>
    </w:p>
    <w:p w:rsidR="00324ADB" w:rsidRPr="0026313A" w:rsidRDefault="00324ADB" w:rsidP="00324ADB">
      <w:pPr>
        <w:ind w:left="567"/>
        <w:rPr>
          <w:szCs w:val="24"/>
        </w:rPr>
      </w:pPr>
      <w:r w:rsidRPr="0026313A">
        <w:rPr>
          <w:szCs w:val="24"/>
        </w:rPr>
        <w:t xml:space="preserve">• A </w:t>
      </w:r>
      <w:r>
        <w:rPr>
          <w:szCs w:val="24"/>
        </w:rPr>
        <w:t xml:space="preserve">potentially </w:t>
      </w:r>
      <w:r w:rsidRPr="0026313A">
        <w:rPr>
          <w:szCs w:val="24"/>
        </w:rPr>
        <w:t>more rapid return to normal activities; and</w:t>
      </w:r>
    </w:p>
    <w:p w:rsidR="00324ADB" w:rsidRDefault="00324ADB" w:rsidP="00324ADB">
      <w:pPr>
        <w:ind w:left="567"/>
        <w:rPr>
          <w:szCs w:val="24"/>
        </w:rPr>
      </w:pPr>
      <w:r w:rsidRPr="0026313A">
        <w:rPr>
          <w:szCs w:val="24"/>
        </w:rPr>
        <w:t>• A shorter hospital stay.</w:t>
      </w:r>
    </w:p>
    <w:p w:rsidR="00324ADB" w:rsidRDefault="00324ADB" w:rsidP="00324ADB">
      <w:pPr>
        <w:rPr>
          <w:szCs w:val="24"/>
        </w:rPr>
      </w:pPr>
    </w:p>
    <w:p w:rsidR="00324ADB" w:rsidRDefault="00324ADB" w:rsidP="00324ADB">
      <w:pPr>
        <w:rPr>
          <w:sz w:val="23"/>
          <w:szCs w:val="23"/>
        </w:rPr>
      </w:pPr>
      <w:r>
        <w:rPr>
          <w:szCs w:val="24"/>
        </w:rPr>
        <w:t>MSAC also noted that transcatheter closure does not require</w:t>
      </w:r>
      <w:r w:rsidRPr="00493F03">
        <w:rPr>
          <w:szCs w:val="24"/>
        </w:rPr>
        <w:t xml:space="preserve"> </w:t>
      </w:r>
      <w:r>
        <w:rPr>
          <w:szCs w:val="24"/>
        </w:rPr>
        <w:t xml:space="preserve">a stay in a </w:t>
      </w:r>
      <w:r w:rsidRPr="00493F03">
        <w:rPr>
          <w:szCs w:val="24"/>
        </w:rPr>
        <w:t xml:space="preserve">paediatric intensive care unit. </w:t>
      </w:r>
      <w:r>
        <w:rPr>
          <w:szCs w:val="24"/>
        </w:rPr>
        <w:t xml:space="preserve">Overall, MSAC agreed </w:t>
      </w:r>
      <w:r>
        <w:rPr>
          <w:sz w:val="23"/>
          <w:szCs w:val="23"/>
        </w:rPr>
        <w:t>that transcatheter closure of VSD is likely to be non-inferior in terms of comparative safety and effectiveness despite issues with the limited evidence base.</w:t>
      </w:r>
    </w:p>
    <w:p w:rsidR="00324ADB" w:rsidRPr="00493F03" w:rsidRDefault="00324ADB" w:rsidP="00324ADB">
      <w:pPr>
        <w:rPr>
          <w:szCs w:val="24"/>
          <w:lang w:eastAsia="en-US"/>
        </w:rPr>
      </w:pPr>
    </w:p>
    <w:p w:rsidR="00324ADB" w:rsidRPr="00493F03" w:rsidRDefault="00324ADB" w:rsidP="00324ADB">
      <w:pPr>
        <w:rPr>
          <w:szCs w:val="24"/>
        </w:rPr>
      </w:pPr>
      <w:r w:rsidRPr="00493F03">
        <w:rPr>
          <w:szCs w:val="24"/>
        </w:rPr>
        <w:t xml:space="preserve">MSAC noted </w:t>
      </w:r>
      <w:r>
        <w:rPr>
          <w:szCs w:val="24"/>
        </w:rPr>
        <w:t>that the e</w:t>
      </w:r>
      <w:r w:rsidRPr="00493F03">
        <w:rPr>
          <w:szCs w:val="24"/>
        </w:rPr>
        <w:t>stimated utilisation is 10</w:t>
      </w:r>
      <w:r>
        <w:rPr>
          <w:szCs w:val="24"/>
        </w:rPr>
        <w:t>–</w:t>
      </w:r>
      <w:r w:rsidRPr="00493F03">
        <w:rPr>
          <w:szCs w:val="24"/>
        </w:rPr>
        <w:t xml:space="preserve">20 devices per year. </w:t>
      </w:r>
      <w:r>
        <w:rPr>
          <w:szCs w:val="24"/>
        </w:rPr>
        <w:t>T</w:t>
      </w:r>
      <w:r w:rsidRPr="00493F03">
        <w:rPr>
          <w:szCs w:val="24"/>
        </w:rPr>
        <w:t>his may</w:t>
      </w:r>
      <w:r>
        <w:rPr>
          <w:szCs w:val="24"/>
        </w:rPr>
        <w:t xml:space="preserve"> potentially</w:t>
      </w:r>
      <w:r w:rsidRPr="00493F03">
        <w:rPr>
          <w:szCs w:val="24"/>
        </w:rPr>
        <w:t xml:space="preserve"> increase over time in line with practice in China</w:t>
      </w:r>
      <w:r>
        <w:rPr>
          <w:szCs w:val="24"/>
        </w:rPr>
        <w:t>,</w:t>
      </w:r>
      <w:r w:rsidRPr="00493F03">
        <w:rPr>
          <w:szCs w:val="24"/>
        </w:rPr>
        <w:t xml:space="preserve"> where </w:t>
      </w:r>
      <w:r>
        <w:rPr>
          <w:szCs w:val="24"/>
        </w:rPr>
        <w:t>transcatheter</w:t>
      </w:r>
      <w:r w:rsidRPr="00493F03">
        <w:rPr>
          <w:szCs w:val="24"/>
        </w:rPr>
        <w:t xml:space="preserve"> closure is more readily considered</w:t>
      </w:r>
      <w:r>
        <w:rPr>
          <w:szCs w:val="24"/>
        </w:rPr>
        <w:t>. H</w:t>
      </w:r>
      <w:r w:rsidRPr="00493F03">
        <w:rPr>
          <w:szCs w:val="24"/>
        </w:rPr>
        <w:t>owever</w:t>
      </w:r>
      <w:r>
        <w:rPr>
          <w:szCs w:val="24"/>
        </w:rPr>
        <w:t>,</w:t>
      </w:r>
      <w:r w:rsidRPr="00493F03">
        <w:rPr>
          <w:szCs w:val="24"/>
        </w:rPr>
        <w:t xml:space="preserve"> </w:t>
      </w:r>
      <w:r>
        <w:rPr>
          <w:szCs w:val="24"/>
        </w:rPr>
        <w:t xml:space="preserve">MSAC noted that in Australia the risk of surgery is low and the standard of perioperative care is consistently high therefore any </w:t>
      </w:r>
      <w:r w:rsidRPr="00493F03">
        <w:rPr>
          <w:szCs w:val="24"/>
        </w:rPr>
        <w:t xml:space="preserve">increase would </w:t>
      </w:r>
      <w:r>
        <w:rPr>
          <w:szCs w:val="24"/>
        </w:rPr>
        <w:t xml:space="preserve">likely </w:t>
      </w:r>
      <w:r w:rsidRPr="00493F03">
        <w:rPr>
          <w:szCs w:val="24"/>
        </w:rPr>
        <w:t>be small.</w:t>
      </w:r>
    </w:p>
    <w:p w:rsidR="00324ADB" w:rsidRPr="00493F03" w:rsidRDefault="00324ADB" w:rsidP="00324ADB">
      <w:pPr>
        <w:rPr>
          <w:szCs w:val="24"/>
        </w:rPr>
      </w:pPr>
    </w:p>
    <w:p w:rsidR="00324ADB" w:rsidRPr="00493F03" w:rsidRDefault="00324ADB" w:rsidP="00324ADB">
      <w:pPr>
        <w:rPr>
          <w:szCs w:val="24"/>
        </w:rPr>
      </w:pPr>
      <w:r>
        <w:rPr>
          <w:szCs w:val="24"/>
        </w:rPr>
        <w:t>A</w:t>
      </w:r>
      <w:r>
        <w:rPr>
          <w:sz w:val="23"/>
          <w:szCs w:val="23"/>
        </w:rPr>
        <w:t xml:space="preserve"> cost minimisation analysis was undertaken for transcatheter closure relative to that of surgical closure of congenital VSD. </w:t>
      </w:r>
      <w:r>
        <w:rPr>
          <w:szCs w:val="24"/>
        </w:rPr>
        <w:t>MSAC noted that the cost of the device significantly adds to the overall cost of the transvascular procedure. However</w:t>
      </w:r>
      <w:r w:rsidRPr="00493F03">
        <w:rPr>
          <w:szCs w:val="24"/>
        </w:rPr>
        <w:t>,</w:t>
      </w:r>
      <w:r>
        <w:rPr>
          <w:szCs w:val="24"/>
        </w:rPr>
        <w:t xml:space="preserve"> the cost per patient comparison </w:t>
      </w:r>
      <w:r w:rsidRPr="00493F03">
        <w:rPr>
          <w:szCs w:val="24"/>
        </w:rPr>
        <w:t xml:space="preserve">(with device cost </w:t>
      </w:r>
      <w:r>
        <w:rPr>
          <w:szCs w:val="24"/>
        </w:rPr>
        <w:t>in</w:t>
      </w:r>
      <w:r w:rsidRPr="00493F03">
        <w:rPr>
          <w:szCs w:val="24"/>
        </w:rPr>
        <w:t>cluded)</w:t>
      </w:r>
      <w:r>
        <w:rPr>
          <w:szCs w:val="24"/>
        </w:rPr>
        <w:t xml:space="preserve"> indicates that there may be a small </w:t>
      </w:r>
      <w:r w:rsidRPr="00493F03">
        <w:rPr>
          <w:szCs w:val="24"/>
        </w:rPr>
        <w:t>cost saving of</w:t>
      </w:r>
      <w:r>
        <w:rPr>
          <w:szCs w:val="24"/>
        </w:rPr>
        <w:t xml:space="preserve"> approximately</w:t>
      </w:r>
      <w:r w:rsidRPr="00493F03">
        <w:rPr>
          <w:szCs w:val="24"/>
        </w:rPr>
        <w:t xml:space="preserve"> $1</w:t>
      </w:r>
      <w:r>
        <w:rPr>
          <w:szCs w:val="24"/>
        </w:rPr>
        <w:t>,</w:t>
      </w:r>
      <w:r w:rsidRPr="00493F03">
        <w:rPr>
          <w:szCs w:val="24"/>
        </w:rPr>
        <w:t>000</w:t>
      </w:r>
      <w:r>
        <w:rPr>
          <w:szCs w:val="24"/>
        </w:rPr>
        <w:t xml:space="preserve"> for transcatheter closure </w:t>
      </w:r>
      <w:r w:rsidRPr="00493F03">
        <w:rPr>
          <w:szCs w:val="24"/>
        </w:rPr>
        <w:t xml:space="preserve">compared with surgical closure. MSAC agreed </w:t>
      </w:r>
      <w:r>
        <w:rPr>
          <w:szCs w:val="24"/>
        </w:rPr>
        <w:t xml:space="preserve">that </w:t>
      </w:r>
      <w:r w:rsidRPr="00493F03">
        <w:rPr>
          <w:szCs w:val="24"/>
        </w:rPr>
        <w:t>both surgery and device interventions may occur in scenarios where there is diagnostic uncertainty</w:t>
      </w:r>
      <w:r>
        <w:rPr>
          <w:szCs w:val="24"/>
        </w:rPr>
        <w:t>,</w:t>
      </w:r>
      <w:r w:rsidRPr="00493F03">
        <w:rPr>
          <w:szCs w:val="24"/>
        </w:rPr>
        <w:t xml:space="preserve"> and additional costs may be incurred as a result of further intervention. </w:t>
      </w:r>
    </w:p>
    <w:p w:rsidR="00324ADB" w:rsidRPr="00493F03" w:rsidRDefault="00324ADB" w:rsidP="00324ADB">
      <w:pPr>
        <w:rPr>
          <w:szCs w:val="24"/>
        </w:rPr>
      </w:pPr>
    </w:p>
    <w:p w:rsidR="00324ADB" w:rsidRDefault="00324ADB" w:rsidP="00324ADB">
      <w:r>
        <w:t>MSAC agreed that associated imaging and cardiac catheterisation should be included in the MBS descriptor and associated fee</w:t>
      </w:r>
      <w:r w:rsidRPr="00425954">
        <w:t xml:space="preserve"> when performed by the same operator</w:t>
      </w:r>
      <w:r>
        <w:t>. MSAC considered that the MBS fee should be modelled on the current MBS fee of $912.30 for item 38272 – transcatheter closure of atrial septal defect.</w:t>
      </w:r>
    </w:p>
    <w:p w:rsidR="0096736F" w:rsidRDefault="0096736F" w:rsidP="00324ADB">
      <w:pPr>
        <w:tabs>
          <w:tab w:val="left" w:pos="720"/>
        </w:tabs>
        <w:rPr>
          <w:b/>
        </w:rPr>
      </w:pPr>
    </w:p>
    <w:p w:rsidR="00324ADB" w:rsidRDefault="00324ADB" w:rsidP="00324ADB">
      <w:pPr>
        <w:tabs>
          <w:tab w:val="left" w:pos="720"/>
        </w:tabs>
        <w:rPr>
          <w:b/>
        </w:rPr>
      </w:pPr>
      <w:r>
        <w:rPr>
          <w:b/>
        </w:rPr>
        <w:t>Lay</w:t>
      </w:r>
      <w:r w:rsidRPr="005371DC">
        <w:rPr>
          <w:b/>
        </w:rPr>
        <w:t xml:space="preserve"> summary</w:t>
      </w:r>
    </w:p>
    <w:p w:rsidR="00324ADB" w:rsidRDefault="00324ADB" w:rsidP="00324ADB">
      <w:pPr>
        <w:autoSpaceDE w:val="0"/>
        <w:autoSpaceDN w:val="0"/>
        <w:adjustRightInd w:val="0"/>
        <w:rPr>
          <w:rFonts w:eastAsiaTheme="minorHAnsi"/>
          <w:szCs w:val="24"/>
          <w:lang w:eastAsia="en-US"/>
        </w:rPr>
      </w:pPr>
      <w:r w:rsidRPr="00493F03">
        <w:rPr>
          <w:rFonts w:eastAsiaTheme="minorHAnsi"/>
          <w:szCs w:val="24"/>
          <w:lang w:eastAsia="en-US"/>
        </w:rPr>
        <w:t xml:space="preserve">Transcatheter closure of </w:t>
      </w:r>
      <w:r>
        <w:rPr>
          <w:rFonts w:eastAsiaTheme="minorHAnsi"/>
          <w:szCs w:val="24"/>
          <w:lang w:eastAsia="en-US"/>
        </w:rPr>
        <w:t xml:space="preserve">VSD is an </w:t>
      </w:r>
      <w:r w:rsidRPr="00493F03">
        <w:rPr>
          <w:rFonts w:eastAsiaTheme="minorHAnsi"/>
          <w:szCs w:val="24"/>
          <w:lang w:eastAsia="en-US"/>
        </w:rPr>
        <w:t xml:space="preserve">alternative to heart surgery for patients with this condition. </w:t>
      </w:r>
      <w:r>
        <w:rPr>
          <w:bCs/>
          <w:lang w:val="en"/>
        </w:rPr>
        <w:t>A transcatheter closure d</w:t>
      </w:r>
      <w:r w:rsidRPr="00EF76CA">
        <w:rPr>
          <w:bCs/>
          <w:lang w:val="en"/>
        </w:rPr>
        <w:t>evice</w:t>
      </w:r>
      <w:r w:rsidRPr="00EF76CA">
        <w:rPr>
          <w:b/>
          <w:bCs/>
          <w:lang w:val="en"/>
        </w:rPr>
        <w:t xml:space="preserve"> </w:t>
      </w:r>
      <w:r w:rsidRPr="00EF76CA">
        <w:rPr>
          <w:lang w:val="en"/>
        </w:rPr>
        <w:t>is placed in the heart through a tube (catheter</w:t>
      </w:r>
      <w:r>
        <w:rPr>
          <w:lang w:val="en"/>
        </w:rPr>
        <w:t>) to permanently close</w:t>
      </w:r>
      <w:r w:rsidRPr="00EF76CA">
        <w:rPr>
          <w:lang w:val="en"/>
        </w:rPr>
        <w:t xml:space="preserve"> the defective opening in the heart.</w:t>
      </w:r>
      <w:r>
        <w:rPr>
          <w:lang w:val="en"/>
        </w:rPr>
        <w:t xml:space="preserve"> </w:t>
      </w:r>
    </w:p>
    <w:p w:rsidR="00324ADB" w:rsidRDefault="00324ADB" w:rsidP="00324ADB">
      <w:pPr>
        <w:autoSpaceDE w:val="0"/>
        <w:autoSpaceDN w:val="0"/>
        <w:adjustRightInd w:val="0"/>
        <w:rPr>
          <w:rFonts w:eastAsiaTheme="minorHAnsi"/>
          <w:szCs w:val="24"/>
          <w:lang w:eastAsia="en-US"/>
        </w:rPr>
      </w:pPr>
    </w:p>
    <w:p w:rsidR="00324ADB" w:rsidRPr="00493F03" w:rsidRDefault="00324ADB" w:rsidP="00324ADB">
      <w:pPr>
        <w:autoSpaceDE w:val="0"/>
        <w:autoSpaceDN w:val="0"/>
        <w:adjustRightInd w:val="0"/>
        <w:rPr>
          <w:rFonts w:eastAsiaTheme="minorHAnsi"/>
          <w:szCs w:val="24"/>
          <w:lang w:eastAsia="en-US"/>
        </w:rPr>
      </w:pPr>
      <w:r>
        <w:rPr>
          <w:rFonts w:eastAsiaTheme="minorHAnsi"/>
          <w:szCs w:val="24"/>
          <w:lang w:eastAsia="en-US"/>
        </w:rPr>
        <w:t>MSAC acknowledged limitations with the evidence base.</w:t>
      </w:r>
      <w:r w:rsidRPr="00493F03">
        <w:rPr>
          <w:szCs w:val="24"/>
        </w:rPr>
        <w:t xml:space="preserve"> </w:t>
      </w:r>
      <w:r>
        <w:rPr>
          <w:szCs w:val="24"/>
        </w:rPr>
        <w:t xml:space="preserve">Overall, </w:t>
      </w:r>
      <w:r w:rsidRPr="00493F03">
        <w:rPr>
          <w:szCs w:val="24"/>
        </w:rPr>
        <w:t>MSAC</w:t>
      </w:r>
      <w:r>
        <w:rPr>
          <w:rFonts w:eastAsiaTheme="minorHAnsi"/>
          <w:szCs w:val="24"/>
          <w:lang w:eastAsia="en-US"/>
        </w:rPr>
        <w:t xml:space="preserve"> accepted that</w:t>
      </w:r>
      <w:r w:rsidRPr="00493F03">
        <w:rPr>
          <w:rFonts w:eastAsiaTheme="minorHAnsi"/>
          <w:szCs w:val="24"/>
          <w:lang w:eastAsia="en-US"/>
        </w:rPr>
        <w:t xml:space="preserve"> transcatheter closure</w:t>
      </w:r>
      <w:r>
        <w:rPr>
          <w:rFonts w:eastAsiaTheme="minorHAnsi"/>
          <w:szCs w:val="24"/>
          <w:lang w:eastAsia="en-US"/>
        </w:rPr>
        <w:t xml:space="preserve"> of VSD</w:t>
      </w:r>
      <w:r w:rsidRPr="00493F03">
        <w:rPr>
          <w:rFonts w:eastAsiaTheme="minorHAnsi"/>
          <w:szCs w:val="24"/>
          <w:lang w:eastAsia="en-US"/>
        </w:rPr>
        <w:t xml:space="preserve"> is similar to surgery in relation to safety, clinical effectiveness and cost-effectiveness</w:t>
      </w:r>
      <w:r>
        <w:rPr>
          <w:rFonts w:eastAsiaTheme="minorHAnsi"/>
          <w:szCs w:val="24"/>
          <w:lang w:eastAsia="en-US"/>
        </w:rPr>
        <w:t xml:space="preserve"> and supported public funding for the procedure</w:t>
      </w:r>
      <w:r w:rsidRPr="00493F03">
        <w:rPr>
          <w:rFonts w:eastAsiaTheme="minorHAnsi"/>
          <w:szCs w:val="24"/>
          <w:lang w:eastAsia="en-US"/>
        </w:rPr>
        <w:t>.</w:t>
      </w:r>
    </w:p>
    <w:p w:rsidR="003104C7" w:rsidRDefault="003104C7" w:rsidP="003104C7">
      <w:pPr>
        <w:pStyle w:val="Heading1"/>
      </w:pPr>
    </w:p>
    <w:p w:rsidR="0078082F" w:rsidRDefault="0078082F" w:rsidP="003104C7">
      <w:pPr>
        <w:pStyle w:val="Heading1"/>
      </w:pPr>
      <w:r w:rsidRPr="002B20B9">
        <w:t>1</w:t>
      </w:r>
      <w:r w:rsidR="004C18A5">
        <w:t>6</w:t>
      </w:r>
      <w:r w:rsidRPr="002B20B9">
        <w:t>.</w:t>
      </w:r>
      <w:r w:rsidRPr="002B20B9">
        <w:tab/>
        <w:t>MSAC’s advice to the Minister</w:t>
      </w:r>
    </w:p>
    <w:p w:rsidR="00324ADB" w:rsidRPr="00BA12E0" w:rsidRDefault="00324ADB" w:rsidP="00324ADB">
      <w:pPr>
        <w:tabs>
          <w:tab w:val="left" w:pos="720"/>
        </w:tabs>
        <w:rPr>
          <w:szCs w:val="24"/>
        </w:rPr>
      </w:pPr>
      <w:r>
        <w:rPr>
          <w:szCs w:val="24"/>
          <w:lang w:eastAsia="en-US"/>
        </w:rPr>
        <w:t xml:space="preserve">After considering the strength of the available evidence in relation to the safety, clinical effectiveness and cost-effectiveness of transcatheter closure of VSD, MSAC advises that it supports public funding </w:t>
      </w:r>
      <w:r>
        <w:t>of a new MBS item</w:t>
      </w:r>
      <w:r w:rsidRPr="00BA12E0">
        <w:rPr>
          <w:szCs w:val="24"/>
        </w:rPr>
        <w:t>, with an item descriptor of:</w:t>
      </w:r>
    </w:p>
    <w:p w:rsidR="00324ADB" w:rsidRDefault="00324ADB" w:rsidP="00324ADB"/>
    <w:p w:rsidR="00324ADB" w:rsidRDefault="00324ADB" w:rsidP="00324ADB">
      <w:pPr>
        <w:pBdr>
          <w:top w:val="single" w:sz="4" w:space="1" w:color="auto"/>
          <w:left w:val="single" w:sz="4" w:space="0" w:color="auto"/>
          <w:bottom w:val="single" w:sz="4" w:space="1" w:color="auto"/>
          <w:right w:val="single" w:sz="4" w:space="4" w:color="auto"/>
          <w:between w:val="single" w:sz="4" w:space="1" w:color="auto"/>
        </w:pBdr>
      </w:pPr>
      <w:r>
        <w:t>VENTRICULAR SEPTAL DEFECT, transcatheter closure of, with imaging and cardiac catheterisation (Anaes.) (Assist.)</w:t>
      </w:r>
    </w:p>
    <w:p w:rsidR="00324ADB" w:rsidRDefault="00324ADB" w:rsidP="00324ADB">
      <w:pPr>
        <w:pBdr>
          <w:top w:val="single" w:sz="4" w:space="1" w:color="auto"/>
          <w:left w:val="single" w:sz="4" w:space="0" w:color="auto"/>
          <w:bottom w:val="single" w:sz="4" w:space="1" w:color="auto"/>
          <w:right w:val="single" w:sz="4" w:space="4" w:color="auto"/>
          <w:between w:val="single" w:sz="4" w:space="1" w:color="auto"/>
        </w:pBdr>
      </w:pPr>
      <w:r>
        <w:t xml:space="preserve">Fee: $912.30 </w:t>
      </w:r>
    </w:p>
    <w:p w:rsidR="00324ADB" w:rsidRDefault="00324ADB" w:rsidP="00324ADB"/>
    <w:p w:rsidR="00324ADB" w:rsidRDefault="00324ADB" w:rsidP="00324ADB">
      <w:pPr>
        <w:autoSpaceDE w:val="0"/>
        <w:autoSpaceDN w:val="0"/>
        <w:adjustRightInd w:val="0"/>
      </w:pPr>
      <w:r>
        <w:t>MSAC also supports amending the current MBS item 38751 for surgical closure of VSD to reflect current clinical practice (that includes post infarct and other types of VSD) by removing the words ‘for congenital heart disease’.</w:t>
      </w:r>
    </w:p>
    <w:p w:rsidR="003104C7" w:rsidRDefault="003104C7" w:rsidP="005162F7">
      <w:pPr>
        <w:pStyle w:val="Heading1"/>
      </w:pPr>
    </w:p>
    <w:p w:rsidR="0078082F" w:rsidRPr="005162F7" w:rsidRDefault="0078082F" w:rsidP="005162F7">
      <w:pPr>
        <w:pStyle w:val="Heading1"/>
      </w:pPr>
      <w:r w:rsidRPr="005162F7">
        <w:t>1</w:t>
      </w:r>
      <w:r w:rsidR="004C18A5" w:rsidRPr="005162F7">
        <w:t>7</w:t>
      </w:r>
      <w:r w:rsidRPr="005162F7">
        <w:t>.</w:t>
      </w:r>
      <w:r w:rsidRPr="005162F7">
        <w:tab/>
        <w:t>Applicant’s comments on MSAC’s Public Summary Document</w:t>
      </w:r>
    </w:p>
    <w:p w:rsidR="003E1736" w:rsidRPr="00881393" w:rsidRDefault="00881393" w:rsidP="003E1736">
      <w:pPr>
        <w:rPr>
          <w:szCs w:val="24"/>
        </w:rPr>
      </w:pPr>
      <w:r w:rsidRPr="00881393">
        <w:rPr>
          <w:szCs w:val="24"/>
        </w:rPr>
        <w:t>No comment.</w:t>
      </w:r>
    </w:p>
    <w:p w:rsidR="003104C7" w:rsidRDefault="003104C7" w:rsidP="005162F7">
      <w:pPr>
        <w:pStyle w:val="Heading1"/>
      </w:pPr>
    </w:p>
    <w:p w:rsidR="0078082F" w:rsidRPr="002B20B9" w:rsidRDefault="0078082F" w:rsidP="005162F7">
      <w:pPr>
        <w:pStyle w:val="Heading1"/>
      </w:pPr>
      <w:r>
        <w:t>1</w:t>
      </w:r>
      <w:r w:rsidR="004C18A5">
        <w:t>8</w:t>
      </w:r>
      <w:r w:rsidRPr="002B20B9">
        <w:t>.</w:t>
      </w:r>
      <w:r w:rsidRPr="002B20B9">
        <w:tab/>
        <w:t xml:space="preserve">Context for decision </w:t>
      </w:r>
    </w:p>
    <w:p w:rsidR="0078082F" w:rsidRPr="002B20B9" w:rsidRDefault="0078082F" w:rsidP="003104C7">
      <w:pPr>
        <w:tabs>
          <w:tab w:val="left" w:pos="720"/>
        </w:tabs>
        <w:rPr>
          <w:szCs w:val="24"/>
        </w:rPr>
      </w:pPr>
      <w:r w:rsidRPr="002B20B9">
        <w:rPr>
          <w:szCs w:val="24"/>
        </w:rPr>
        <w:t>This advice was made under the MSAC Terms of Reference.</w:t>
      </w:r>
    </w:p>
    <w:p w:rsidR="003104C7" w:rsidRDefault="003104C7" w:rsidP="003104C7">
      <w:pPr>
        <w:rPr>
          <w:szCs w:val="24"/>
          <w:lang w:val="en-US" w:eastAsia="en-US"/>
        </w:rPr>
      </w:pPr>
    </w:p>
    <w:p w:rsidR="0078082F" w:rsidRPr="002B20B9" w:rsidRDefault="0078082F" w:rsidP="003104C7">
      <w:pPr>
        <w:rPr>
          <w:szCs w:val="24"/>
          <w:lang w:val="en-US" w:eastAsia="en-US"/>
        </w:rPr>
      </w:pPr>
      <w:r w:rsidRPr="002B20B9">
        <w:rPr>
          <w:szCs w:val="24"/>
          <w:lang w:val="en-US" w:eastAsia="en-US"/>
        </w:rPr>
        <w:t xml:space="preserve">MSAC is to: </w:t>
      </w:r>
    </w:p>
    <w:p w:rsidR="003104C7" w:rsidRDefault="003104C7" w:rsidP="003104C7">
      <w:pPr>
        <w:rPr>
          <w:szCs w:val="24"/>
          <w:lang w:val="en-US" w:eastAsia="en-US"/>
        </w:rPr>
      </w:pPr>
    </w:p>
    <w:p w:rsidR="0078082F" w:rsidRPr="002B20B9" w:rsidRDefault="0078082F" w:rsidP="003104C7">
      <w:pPr>
        <w:rPr>
          <w:szCs w:val="24"/>
          <w:lang w:val="en-US" w:eastAsia="en-US"/>
        </w:rPr>
      </w:pPr>
      <w:r w:rsidRPr="002B20B9">
        <w:rPr>
          <w:szCs w:val="24"/>
          <w:lang w:val="en-US" w:eastAsia="en-US"/>
        </w:rPr>
        <w:t>Advise the Minister for Health on medical services that involve new or emerging technologies and procedures</w:t>
      </w:r>
      <w:r w:rsidRPr="002B20B9">
        <w:rPr>
          <w:szCs w:val="24"/>
        </w:rPr>
        <w:t xml:space="preserve"> and, where relevant, amendment to existing MBS items</w:t>
      </w:r>
      <w:r w:rsidRPr="002B20B9">
        <w:rPr>
          <w:szCs w:val="24"/>
          <w:lang w:val="en-US" w:eastAsia="en-US"/>
        </w:rPr>
        <w:t xml:space="preserve">, in relation to: </w:t>
      </w:r>
    </w:p>
    <w:p w:rsidR="0078082F" w:rsidRPr="002B20B9" w:rsidRDefault="0078082F" w:rsidP="003104C7">
      <w:pPr>
        <w:numPr>
          <w:ilvl w:val="0"/>
          <w:numId w:val="21"/>
        </w:numPr>
        <w:tabs>
          <w:tab w:val="clear" w:pos="1080"/>
          <w:tab w:val="num" w:pos="360"/>
          <w:tab w:val="left" w:pos="810"/>
          <w:tab w:val="left" w:pos="1170"/>
        </w:tabs>
        <w:ind w:left="360"/>
        <w:rPr>
          <w:szCs w:val="24"/>
          <w:lang w:val="en-US" w:eastAsia="en-US"/>
        </w:rPr>
      </w:pPr>
      <w:r w:rsidRPr="002B20B9">
        <w:rPr>
          <w:szCs w:val="24"/>
          <w:lang w:val="en-US" w:eastAsia="en-US"/>
        </w:rPr>
        <w:t xml:space="preserve">the strength of evidence in relation to the comparative safety, effectiveness, cost-effectiveness and total cost of the medical service; </w:t>
      </w:r>
    </w:p>
    <w:p w:rsidR="0078082F" w:rsidRPr="002B20B9" w:rsidRDefault="0078082F" w:rsidP="0078082F">
      <w:pPr>
        <w:numPr>
          <w:ilvl w:val="0"/>
          <w:numId w:val="21"/>
        </w:numPr>
        <w:tabs>
          <w:tab w:val="clear" w:pos="1080"/>
          <w:tab w:val="num" w:pos="360"/>
          <w:tab w:val="left" w:pos="810"/>
          <w:tab w:val="left" w:pos="1170"/>
        </w:tabs>
        <w:spacing w:before="100" w:beforeAutospacing="1"/>
        <w:ind w:left="360"/>
        <w:rPr>
          <w:szCs w:val="24"/>
          <w:lang w:val="en-US" w:eastAsia="en-US"/>
        </w:rPr>
      </w:pPr>
      <w:r w:rsidRPr="002B20B9">
        <w:rPr>
          <w:szCs w:val="24"/>
          <w:lang w:val="en-US" w:eastAsia="en-US"/>
        </w:rPr>
        <w:t xml:space="preserve">whether public funding should be supported for the medical service and, if so, the circumstances under which public funding should be supported; </w:t>
      </w:r>
    </w:p>
    <w:p w:rsidR="0078082F" w:rsidRPr="002B20B9" w:rsidRDefault="0078082F" w:rsidP="0078082F">
      <w:pPr>
        <w:numPr>
          <w:ilvl w:val="0"/>
          <w:numId w:val="21"/>
        </w:numPr>
        <w:tabs>
          <w:tab w:val="clear" w:pos="1080"/>
          <w:tab w:val="num" w:pos="360"/>
          <w:tab w:val="left" w:pos="810"/>
          <w:tab w:val="left" w:pos="1170"/>
        </w:tabs>
        <w:spacing w:before="100" w:beforeAutospacing="1"/>
        <w:ind w:left="360"/>
        <w:rPr>
          <w:szCs w:val="24"/>
          <w:lang w:val="en-US" w:eastAsia="en-US"/>
        </w:rPr>
      </w:pPr>
      <w:r w:rsidRPr="002B20B9">
        <w:rPr>
          <w:szCs w:val="24"/>
          <w:lang w:val="en-US" w:eastAsia="en-US"/>
        </w:rPr>
        <w:t xml:space="preserve">the proposed Medicare Benefits Schedule (MBS) item descriptor and fee for the service where funding through the MBS is supported; </w:t>
      </w:r>
    </w:p>
    <w:p w:rsidR="0078082F" w:rsidRDefault="0078082F" w:rsidP="0078082F">
      <w:pPr>
        <w:numPr>
          <w:ilvl w:val="0"/>
          <w:numId w:val="21"/>
        </w:numPr>
        <w:tabs>
          <w:tab w:val="clear" w:pos="1080"/>
          <w:tab w:val="num" w:pos="360"/>
          <w:tab w:val="left" w:pos="810"/>
          <w:tab w:val="left" w:pos="1170"/>
        </w:tabs>
        <w:spacing w:before="100" w:beforeAutospacing="1"/>
        <w:ind w:left="360"/>
        <w:rPr>
          <w:szCs w:val="24"/>
          <w:lang w:val="en-US" w:eastAsia="en-US"/>
        </w:rPr>
      </w:pPr>
      <w:r w:rsidRPr="002B20B9">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r>
        <w:rPr>
          <w:szCs w:val="24"/>
          <w:lang w:val="en-US" w:eastAsia="en-US"/>
        </w:rPr>
        <w:t xml:space="preserve"> </w:t>
      </w:r>
      <w:r w:rsidRPr="0078082F">
        <w:rPr>
          <w:szCs w:val="24"/>
          <w:lang w:val="en-US" w:eastAsia="en-US"/>
        </w:rPr>
        <w:t>other matters related to the public funding of health services referred by the</w:t>
      </w:r>
      <w:r>
        <w:rPr>
          <w:szCs w:val="24"/>
          <w:lang w:val="en-US" w:eastAsia="en-US"/>
        </w:rPr>
        <w:t xml:space="preserve"> </w:t>
      </w:r>
      <w:r w:rsidRPr="0078082F">
        <w:rPr>
          <w:szCs w:val="24"/>
          <w:lang w:val="en-US" w:eastAsia="en-US"/>
        </w:rPr>
        <w:t>Minister.</w:t>
      </w:r>
    </w:p>
    <w:p w:rsidR="003104C7" w:rsidRDefault="003104C7" w:rsidP="0078082F">
      <w:pPr>
        <w:rPr>
          <w:szCs w:val="24"/>
          <w:lang w:val="en-US" w:eastAsia="en-US"/>
        </w:rPr>
      </w:pPr>
    </w:p>
    <w:p w:rsidR="0078082F" w:rsidRPr="002B20B9" w:rsidRDefault="0078082F" w:rsidP="0078082F">
      <w:pPr>
        <w:rPr>
          <w:szCs w:val="24"/>
          <w:lang w:val="en-US" w:eastAsia="en-US"/>
        </w:rPr>
      </w:pPr>
      <w:r w:rsidRPr="002B20B9">
        <w:rPr>
          <w:szCs w:val="24"/>
          <w:lang w:val="en-US" w:eastAsia="en-US"/>
        </w:rPr>
        <w:t xml:space="preserve">Advise the Australian Health Ministers’ Advisory Council (AHMAC) on health technology assessments referred under AHMAC arrangements. </w:t>
      </w:r>
    </w:p>
    <w:p w:rsidR="007B1B74" w:rsidRDefault="007B1B74" w:rsidP="003104C7">
      <w:pPr>
        <w:rPr>
          <w:szCs w:val="24"/>
          <w:lang w:val="en-US" w:eastAsia="en-US"/>
        </w:rPr>
      </w:pPr>
    </w:p>
    <w:p w:rsidR="0078082F" w:rsidRDefault="0078082F" w:rsidP="003104C7">
      <w:pPr>
        <w:rPr>
          <w:szCs w:val="24"/>
          <w:lang w:val="en-US" w:eastAsia="en-US"/>
        </w:rPr>
      </w:pPr>
      <w:r w:rsidRPr="002B20B9">
        <w:rPr>
          <w:szCs w:val="24"/>
          <w:lang w:val="en-US" w:eastAsia="en-US"/>
        </w:rPr>
        <w:t>MSAC may also establish sub-committees to assist MSAC to effectively undertake its role. MSAC may delegate some of its functions to its Executive sub-committee.</w:t>
      </w:r>
    </w:p>
    <w:p w:rsidR="003104C7" w:rsidRPr="002B20B9" w:rsidRDefault="003104C7" w:rsidP="003104C7">
      <w:pPr>
        <w:rPr>
          <w:szCs w:val="24"/>
          <w:lang w:val="en-US" w:eastAsia="en-US"/>
        </w:rPr>
      </w:pPr>
    </w:p>
    <w:p w:rsidR="0078082F" w:rsidRPr="002B20B9" w:rsidRDefault="0078082F" w:rsidP="003104C7">
      <w:pPr>
        <w:pStyle w:val="Heading1"/>
      </w:pPr>
      <w:r w:rsidRPr="002B20B9">
        <w:t>1</w:t>
      </w:r>
      <w:r w:rsidR="004C18A5">
        <w:t>9</w:t>
      </w:r>
      <w:r w:rsidRPr="002B20B9">
        <w:t>.</w:t>
      </w:r>
      <w:r w:rsidRPr="002B20B9">
        <w:tab/>
        <w:t xml:space="preserve">Linkages to other documents </w:t>
      </w:r>
    </w:p>
    <w:p w:rsidR="0078082F" w:rsidRPr="002B20B9" w:rsidRDefault="0078082F" w:rsidP="003104C7">
      <w:pPr>
        <w:tabs>
          <w:tab w:val="left" w:pos="720"/>
        </w:tabs>
        <w:rPr>
          <w:szCs w:val="24"/>
        </w:rPr>
      </w:pPr>
      <w:r w:rsidRPr="002B20B9">
        <w:rPr>
          <w:szCs w:val="24"/>
        </w:rPr>
        <w:t xml:space="preserve">MSAC’s processes are detailed on the MSAC Website at: </w:t>
      </w:r>
      <w:hyperlink r:id="rId10" w:tooltip="Medical services advisory committee website" w:history="1">
        <w:r w:rsidRPr="002B20B9">
          <w:rPr>
            <w:color w:val="0000FF"/>
            <w:szCs w:val="24"/>
            <w:u w:val="single"/>
          </w:rPr>
          <w:t>www.msac.gov.au</w:t>
        </w:r>
      </w:hyperlink>
      <w:r w:rsidRPr="002B20B9">
        <w:rPr>
          <w:szCs w:val="24"/>
        </w:rPr>
        <w:t xml:space="preserve">. </w:t>
      </w:r>
    </w:p>
    <w:p w:rsidR="0078082F" w:rsidRPr="0044117E" w:rsidRDefault="0078082F" w:rsidP="0078082F">
      <w:pPr>
        <w:tabs>
          <w:tab w:val="left" w:pos="720"/>
        </w:tabs>
        <w:ind w:left="720"/>
        <w:rPr>
          <w:szCs w:val="24"/>
        </w:rPr>
      </w:pPr>
    </w:p>
    <w:sectPr w:rsidR="0078082F" w:rsidRPr="0044117E" w:rsidSect="00A20A17">
      <w:footerReference w:type="even" r:id="rId11"/>
      <w:footerReference w:type="default" r:id="rId12"/>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BD" w:rsidRDefault="009E67BD">
      <w:r>
        <w:separator/>
      </w:r>
    </w:p>
  </w:endnote>
  <w:endnote w:type="continuationSeparator" w:id="0">
    <w:p w:rsidR="009E67BD" w:rsidRDefault="009E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75" w:rsidRDefault="00423375"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3375" w:rsidRDefault="00423375"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75" w:rsidRPr="00712AB3" w:rsidRDefault="00423375"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84398F">
      <w:rPr>
        <w:rFonts w:ascii="Arial Narrow" w:hAnsi="Arial Narrow"/>
        <w:noProof/>
      </w:rPr>
      <w:t>2</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84398F">
      <w:rPr>
        <w:rFonts w:ascii="Arial Narrow" w:hAnsi="Arial Narrow"/>
        <w:noProof/>
      </w:rPr>
      <w:t>15</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BD" w:rsidRDefault="009E67BD">
      <w:r>
        <w:separator/>
      </w:r>
    </w:p>
  </w:footnote>
  <w:footnote w:type="continuationSeparator" w:id="0">
    <w:p w:rsidR="009E67BD" w:rsidRDefault="009E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63787F"/>
    <w:multiLevelType w:val="hybridMultilevel"/>
    <w:tmpl w:val="BB066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8E2FC0"/>
    <w:multiLevelType w:val="hybridMultilevel"/>
    <w:tmpl w:val="0C2A1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C45476"/>
    <w:multiLevelType w:val="hybridMultilevel"/>
    <w:tmpl w:val="D1C2BC22"/>
    <w:lvl w:ilvl="0" w:tplc="DBFA83DC">
      <w:start w:val="1"/>
      <w:numFmt w:val="bullet"/>
      <w:lvlText w:val=""/>
      <w:lvlJc w:val="left"/>
      <w:pPr>
        <w:tabs>
          <w:tab w:val="num" w:pos="360"/>
        </w:tabs>
        <w:ind w:left="360" w:hanging="360"/>
      </w:pPr>
      <w:rPr>
        <w:rFonts w:ascii="Symbol" w:hAnsi="Symbol" w:hint="default"/>
        <w:color w:val="auto"/>
        <w:sz w:val="22"/>
        <w:szCs w:val="22"/>
      </w:rPr>
    </w:lvl>
    <w:lvl w:ilvl="1" w:tplc="DBFA83DC">
      <w:start w:val="1"/>
      <w:numFmt w:val="bullet"/>
      <w:lvlText w:val=""/>
      <w:lvlJc w:val="left"/>
      <w:pPr>
        <w:tabs>
          <w:tab w:val="num" w:pos="1440"/>
        </w:tabs>
        <w:ind w:left="1440" w:hanging="36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A95BAF"/>
    <w:multiLevelType w:val="hybridMultilevel"/>
    <w:tmpl w:val="494A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7B03C3"/>
    <w:multiLevelType w:val="hybridMultilevel"/>
    <w:tmpl w:val="EF762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1C445A"/>
    <w:multiLevelType w:val="hybridMultilevel"/>
    <w:tmpl w:val="CFBE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C0F63DC8"/>
    <w:lvl w:ilvl="0" w:tplc="DBFA83DC">
      <w:start w:val="1"/>
      <w:numFmt w:val="bullet"/>
      <w:lvlText w:val=""/>
      <w:lvlJc w:val="left"/>
      <w:pPr>
        <w:tabs>
          <w:tab w:val="num" w:pos="360"/>
        </w:tabs>
        <w:ind w:left="360" w:hanging="360"/>
      </w:pPr>
      <w:rPr>
        <w:rFonts w:ascii="Symbol" w:hAnsi="Symbol" w:hint="default"/>
        <w:color w:val="auto"/>
        <w:sz w:val="22"/>
        <w:szCs w:val="22"/>
      </w:rPr>
    </w:lvl>
    <w:lvl w:ilvl="1" w:tplc="DBFA83DC">
      <w:start w:val="1"/>
      <w:numFmt w:val="bullet"/>
      <w:lvlText w:val=""/>
      <w:lvlJc w:val="left"/>
      <w:pPr>
        <w:tabs>
          <w:tab w:val="num" w:pos="1440"/>
        </w:tabs>
        <w:ind w:left="1440" w:hanging="36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1040E"/>
    <w:multiLevelType w:val="hybridMultilevel"/>
    <w:tmpl w:val="0D305306"/>
    <w:lvl w:ilvl="0" w:tplc="0C090001">
      <w:start w:val="1"/>
      <w:numFmt w:val="bullet"/>
      <w:lvlText w:val=""/>
      <w:lvlJc w:val="left"/>
      <w:pPr>
        <w:ind w:left="1484" w:hanging="360"/>
      </w:pPr>
      <w:rPr>
        <w:rFonts w:ascii="Symbol" w:hAnsi="Symbol" w:hint="default"/>
      </w:rPr>
    </w:lvl>
    <w:lvl w:ilvl="1" w:tplc="0C090003">
      <w:start w:val="1"/>
      <w:numFmt w:val="bullet"/>
      <w:lvlText w:val="o"/>
      <w:lvlJc w:val="left"/>
      <w:pPr>
        <w:ind w:left="2204" w:hanging="360"/>
      </w:pPr>
      <w:rPr>
        <w:rFonts w:ascii="Courier New" w:hAnsi="Courier New" w:cs="Courier New" w:hint="default"/>
      </w:rPr>
    </w:lvl>
    <w:lvl w:ilvl="2" w:tplc="0C090005">
      <w:start w:val="1"/>
      <w:numFmt w:val="bullet"/>
      <w:lvlText w:val=""/>
      <w:lvlJc w:val="left"/>
      <w:pPr>
        <w:ind w:left="2924" w:hanging="360"/>
      </w:pPr>
      <w:rPr>
        <w:rFonts w:ascii="Wingdings" w:hAnsi="Wingdings" w:hint="default"/>
      </w:rPr>
    </w:lvl>
    <w:lvl w:ilvl="3" w:tplc="0C09000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11">
    <w:nsid w:val="45E10715"/>
    <w:multiLevelType w:val="hybridMultilevel"/>
    <w:tmpl w:val="A904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7706728"/>
    <w:multiLevelType w:val="hybridMultilevel"/>
    <w:tmpl w:val="CF7C472C"/>
    <w:lvl w:ilvl="0" w:tplc="E1168ED4">
      <w:start w:val="1"/>
      <w:numFmt w:val="decimal"/>
      <w:lvlText w:val="%1."/>
      <w:lvlJc w:val="left"/>
      <w:pPr>
        <w:ind w:left="420" w:hanging="360"/>
      </w:pPr>
      <w:rPr>
        <w:rFonts w:hint="default"/>
        <w:u w:val="none"/>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E9539C"/>
    <w:multiLevelType w:val="hybridMultilevel"/>
    <w:tmpl w:val="90381FF4"/>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FD3542"/>
    <w:multiLevelType w:val="hybridMultilevel"/>
    <w:tmpl w:val="FE78058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
  </w:num>
  <w:num w:numId="4">
    <w:abstractNumId w:val="18"/>
  </w:num>
  <w:num w:numId="5">
    <w:abstractNumId w:val="9"/>
  </w:num>
  <w:num w:numId="6">
    <w:abstractNumId w:val="17"/>
  </w:num>
  <w:num w:numId="7">
    <w:abstractNumId w:val="20"/>
  </w:num>
  <w:num w:numId="8">
    <w:abstractNumId w:val="12"/>
  </w:num>
  <w:num w:numId="9">
    <w:abstractNumId w:val="24"/>
  </w:num>
  <w:num w:numId="10">
    <w:abstractNumId w:val="0"/>
  </w:num>
  <w:num w:numId="11">
    <w:abstractNumId w:val="19"/>
  </w:num>
  <w:num w:numId="12">
    <w:abstractNumId w:val="21"/>
  </w:num>
  <w:num w:numId="13">
    <w:abstractNumId w:val="2"/>
  </w:num>
  <w:num w:numId="14">
    <w:abstractNumId w:val="11"/>
  </w:num>
  <w:num w:numId="15">
    <w:abstractNumId w:val="3"/>
  </w:num>
  <w:num w:numId="16">
    <w:abstractNumId w:val="6"/>
  </w:num>
  <w:num w:numId="17">
    <w:abstractNumId w:val="8"/>
  </w:num>
  <w:num w:numId="18">
    <w:abstractNumId w:val="10"/>
  </w:num>
  <w:num w:numId="19">
    <w:abstractNumId w:val="7"/>
  </w:num>
  <w:num w:numId="20">
    <w:abstractNumId w:val="4"/>
  </w:num>
  <w:num w:numId="21">
    <w:abstractNumId w:val="23"/>
  </w:num>
  <w:num w:numId="22">
    <w:abstractNumId w:val="14"/>
  </w:num>
  <w:num w:numId="23">
    <w:abstractNumId w:val="22"/>
  </w:num>
  <w:num w:numId="24">
    <w:abstractNumId w:val="15"/>
  </w:num>
  <w:num w:numId="25">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Butler">
    <w15:presenceInfo w15:providerId="None" w15:userId="Jim But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05F5B1-1017-4E09-A796-4FD434FBDC94}"/>
    <w:docVar w:name="dgnword-eventsink" w:val="173145728"/>
  </w:docVars>
  <w:rsids>
    <w:rsidRoot w:val="0011558F"/>
    <w:rsid w:val="00001C90"/>
    <w:rsid w:val="0000291D"/>
    <w:rsid w:val="00006E00"/>
    <w:rsid w:val="00007634"/>
    <w:rsid w:val="000107CC"/>
    <w:rsid w:val="00013DC7"/>
    <w:rsid w:val="00014E88"/>
    <w:rsid w:val="00017F63"/>
    <w:rsid w:val="00022A3A"/>
    <w:rsid w:val="000261E5"/>
    <w:rsid w:val="000309D3"/>
    <w:rsid w:val="00034C3A"/>
    <w:rsid w:val="00035317"/>
    <w:rsid w:val="000373E1"/>
    <w:rsid w:val="00042C59"/>
    <w:rsid w:val="00043105"/>
    <w:rsid w:val="000442E5"/>
    <w:rsid w:val="00050D96"/>
    <w:rsid w:val="00052A77"/>
    <w:rsid w:val="00060966"/>
    <w:rsid w:val="00062BDF"/>
    <w:rsid w:val="00093399"/>
    <w:rsid w:val="00094129"/>
    <w:rsid w:val="0009546B"/>
    <w:rsid w:val="000C7402"/>
    <w:rsid w:val="000D0603"/>
    <w:rsid w:val="000D2AB8"/>
    <w:rsid w:val="000D63B0"/>
    <w:rsid w:val="000E58F0"/>
    <w:rsid w:val="000E6C30"/>
    <w:rsid w:val="000F04AA"/>
    <w:rsid w:val="000F0F55"/>
    <w:rsid w:val="000F2579"/>
    <w:rsid w:val="000F2EF0"/>
    <w:rsid w:val="000F6455"/>
    <w:rsid w:val="000F6833"/>
    <w:rsid w:val="00105349"/>
    <w:rsid w:val="001055A9"/>
    <w:rsid w:val="0011558F"/>
    <w:rsid w:val="001206C8"/>
    <w:rsid w:val="001213EF"/>
    <w:rsid w:val="0012732A"/>
    <w:rsid w:val="00127D25"/>
    <w:rsid w:val="00130DF2"/>
    <w:rsid w:val="001335FE"/>
    <w:rsid w:val="00133D8B"/>
    <w:rsid w:val="00133E99"/>
    <w:rsid w:val="00143F8F"/>
    <w:rsid w:val="0015006C"/>
    <w:rsid w:val="00155BB8"/>
    <w:rsid w:val="001603AF"/>
    <w:rsid w:val="001609DA"/>
    <w:rsid w:val="001616F0"/>
    <w:rsid w:val="0016184B"/>
    <w:rsid w:val="001630F5"/>
    <w:rsid w:val="0016524E"/>
    <w:rsid w:val="001654ED"/>
    <w:rsid w:val="0017048E"/>
    <w:rsid w:val="00175758"/>
    <w:rsid w:val="0017654F"/>
    <w:rsid w:val="00181612"/>
    <w:rsid w:val="00183111"/>
    <w:rsid w:val="0018639D"/>
    <w:rsid w:val="0018656C"/>
    <w:rsid w:val="00190459"/>
    <w:rsid w:val="001918E6"/>
    <w:rsid w:val="00192465"/>
    <w:rsid w:val="001925B2"/>
    <w:rsid w:val="001B0E51"/>
    <w:rsid w:val="001B2FE6"/>
    <w:rsid w:val="001B4017"/>
    <w:rsid w:val="001B4B03"/>
    <w:rsid w:val="001B5A82"/>
    <w:rsid w:val="001C2532"/>
    <w:rsid w:val="001C5E73"/>
    <w:rsid w:val="001C6543"/>
    <w:rsid w:val="001D1845"/>
    <w:rsid w:val="001E2C40"/>
    <w:rsid w:val="001E2EE2"/>
    <w:rsid w:val="001E67A4"/>
    <w:rsid w:val="001E7769"/>
    <w:rsid w:val="001F6220"/>
    <w:rsid w:val="00201963"/>
    <w:rsid w:val="0020359D"/>
    <w:rsid w:val="00212C4A"/>
    <w:rsid w:val="00213C76"/>
    <w:rsid w:val="00215DE0"/>
    <w:rsid w:val="00220070"/>
    <w:rsid w:val="00225FD4"/>
    <w:rsid w:val="002303BF"/>
    <w:rsid w:val="002318CC"/>
    <w:rsid w:val="002418A7"/>
    <w:rsid w:val="00245EB1"/>
    <w:rsid w:val="00253474"/>
    <w:rsid w:val="00260379"/>
    <w:rsid w:val="0026583D"/>
    <w:rsid w:val="00266C75"/>
    <w:rsid w:val="002674D0"/>
    <w:rsid w:val="002679B1"/>
    <w:rsid w:val="00270369"/>
    <w:rsid w:val="00274947"/>
    <w:rsid w:val="00281396"/>
    <w:rsid w:val="00282BE5"/>
    <w:rsid w:val="002832E3"/>
    <w:rsid w:val="00285AE8"/>
    <w:rsid w:val="00286486"/>
    <w:rsid w:val="0028729B"/>
    <w:rsid w:val="00295F6B"/>
    <w:rsid w:val="00296A99"/>
    <w:rsid w:val="002A2DE3"/>
    <w:rsid w:val="002A3FC3"/>
    <w:rsid w:val="002A4C5C"/>
    <w:rsid w:val="002B20B9"/>
    <w:rsid w:val="002B70CE"/>
    <w:rsid w:val="002C11C7"/>
    <w:rsid w:val="002C4953"/>
    <w:rsid w:val="002C5AC5"/>
    <w:rsid w:val="002C6BF4"/>
    <w:rsid w:val="002D0DC6"/>
    <w:rsid w:val="002D5A59"/>
    <w:rsid w:val="002D5FD2"/>
    <w:rsid w:val="002D653C"/>
    <w:rsid w:val="002E1718"/>
    <w:rsid w:val="002E5CBB"/>
    <w:rsid w:val="002F289C"/>
    <w:rsid w:val="002F3450"/>
    <w:rsid w:val="002F4095"/>
    <w:rsid w:val="002F6507"/>
    <w:rsid w:val="00304C28"/>
    <w:rsid w:val="0030582B"/>
    <w:rsid w:val="00305D0E"/>
    <w:rsid w:val="003062CB"/>
    <w:rsid w:val="003104C7"/>
    <w:rsid w:val="00314B7B"/>
    <w:rsid w:val="00317D0E"/>
    <w:rsid w:val="0032021B"/>
    <w:rsid w:val="00322DDB"/>
    <w:rsid w:val="00323C78"/>
    <w:rsid w:val="00324ADB"/>
    <w:rsid w:val="00325FB2"/>
    <w:rsid w:val="0033148F"/>
    <w:rsid w:val="0033175F"/>
    <w:rsid w:val="00333DB2"/>
    <w:rsid w:val="0033624E"/>
    <w:rsid w:val="00350E19"/>
    <w:rsid w:val="003568CA"/>
    <w:rsid w:val="00360424"/>
    <w:rsid w:val="00361D4E"/>
    <w:rsid w:val="00375668"/>
    <w:rsid w:val="003836F7"/>
    <w:rsid w:val="0039128A"/>
    <w:rsid w:val="00391C38"/>
    <w:rsid w:val="00392AD4"/>
    <w:rsid w:val="003944CD"/>
    <w:rsid w:val="00396FC8"/>
    <w:rsid w:val="003A5CBC"/>
    <w:rsid w:val="003B1F82"/>
    <w:rsid w:val="003B208B"/>
    <w:rsid w:val="003B4B04"/>
    <w:rsid w:val="003B4F76"/>
    <w:rsid w:val="003B4FF5"/>
    <w:rsid w:val="003C2BE1"/>
    <w:rsid w:val="003C3A6F"/>
    <w:rsid w:val="003C4EEC"/>
    <w:rsid w:val="003D0F7D"/>
    <w:rsid w:val="003D2D5B"/>
    <w:rsid w:val="003E1736"/>
    <w:rsid w:val="003E2B1F"/>
    <w:rsid w:val="003E74BC"/>
    <w:rsid w:val="003F7753"/>
    <w:rsid w:val="00402A9A"/>
    <w:rsid w:val="00405950"/>
    <w:rsid w:val="00413CB6"/>
    <w:rsid w:val="00422B7E"/>
    <w:rsid w:val="00423375"/>
    <w:rsid w:val="00426F17"/>
    <w:rsid w:val="00426F5C"/>
    <w:rsid w:val="00430E83"/>
    <w:rsid w:val="00440B40"/>
    <w:rsid w:val="004410E3"/>
    <w:rsid w:val="0044117E"/>
    <w:rsid w:val="00455070"/>
    <w:rsid w:val="00457E1B"/>
    <w:rsid w:val="004605D7"/>
    <w:rsid w:val="00475771"/>
    <w:rsid w:val="00476451"/>
    <w:rsid w:val="00485642"/>
    <w:rsid w:val="004A1221"/>
    <w:rsid w:val="004A158D"/>
    <w:rsid w:val="004A772F"/>
    <w:rsid w:val="004B4C24"/>
    <w:rsid w:val="004B7FC2"/>
    <w:rsid w:val="004C0814"/>
    <w:rsid w:val="004C0DCE"/>
    <w:rsid w:val="004C18A5"/>
    <w:rsid w:val="004C4926"/>
    <w:rsid w:val="004C49E4"/>
    <w:rsid w:val="004C4B1B"/>
    <w:rsid w:val="004C6285"/>
    <w:rsid w:val="004D5353"/>
    <w:rsid w:val="004D77B4"/>
    <w:rsid w:val="004E2CF8"/>
    <w:rsid w:val="004E31A3"/>
    <w:rsid w:val="004E6F63"/>
    <w:rsid w:val="004F092A"/>
    <w:rsid w:val="004F286E"/>
    <w:rsid w:val="004F2D6E"/>
    <w:rsid w:val="00502428"/>
    <w:rsid w:val="00504C9D"/>
    <w:rsid w:val="00504FB9"/>
    <w:rsid w:val="0051150B"/>
    <w:rsid w:val="00512794"/>
    <w:rsid w:val="005134DF"/>
    <w:rsid w:val="00513B60"/>
    <w:rsid w:val="0051555B"/>
    <w:rsid w:val="005162F7"/>
    <w:rsid w:val="0051642B"/>
    <w:rsid w:val="0051735D"/>
    <w:rsid w:val="00525E0D"/>
    <w:rsid w:val="00537804"/>
    <w:rsid w:val="00540975"/>
    <w:rsid w:val="00542887"/>
    <w:rsid w:val="005440ED"/>
    <w:rsid w:val="0055118D"/>
    <w:rsid w:val="00552CE9"/>
    <w:rsid w:val="00556B74"/>
    <w:rsid w:val="00561E03"/>
    <w:rsid w:val="00565BFB"/>
    <w:rsid w:val="0057080E"/>
    <w:rsid w:val="00580346"/>
    <w:rsid w:val="005857A1"/>
    <w:rsid w:val="005865A8"/>
    <w:rsid w:val="0058665D"/>
    <w:rsid w:val="00591BE3"/>
    <w:rsid w:val="00597298"/>
    <w:rsid w:val="005A1883"/>
    <w:rsid w:val="005A4298"/>
    <w:rsid w:val="005B4AAA"/>
    <w:rsid w:val="005B5695"/>
    <w:rsid w:val="005C084D"/>
    <w:rsid w:val="005C1DDC"/>
    <w:rsid w:val="005D52A1"/>
    <w:rsid w:val="005D7085"/>
    <w:rsid w:val="005E1D0B"/>
    <w:rsid w:val="005F1591"/>
    <w:rsid w:val="005F3F55"/>
    <w:rsid w:val="00601648"/>
    <w:rsid w:val="00602287"/>
    <w:rsid w:val="0060440A"/>
    <w:rsid w:val="00610609"/>
    <w:rsid w:val="00612C82"/>
    <w:rsid w:val="006132E9"/>
    <w:rsid w:val="006156C1"/>
    <w:rsid w:val="006168F6"/>
    <w:rsid w:val="0062054F"/>
    <w:rsid w:val="0062170D"/>
    <w:rsid w:val="0063361D"/>
    <w:rsid w:val="00635704"/>
    <w:rsid w:val="006437A7"/>
    <w:rsid w:val="00647464"/>
    <w:rsid w:val="0065444D"/>
    <w:rsid w:val="00682688"/>
    <w:rsid w:val="00685063"/>
    <w:rsid w:val="0069231B"/>
    <w:rsid w:val="00692619"/>
    <w:rsid w:val="006956E3"/>
    <w:rsid w:val="006966E6"/>
    <w:rsid w:val="00696C68"/>
    <w:rsid w:val="006A6F67"/>
    <w:rsid w:val="006A7932"/>
    <w:rsid w:val="006C052B"/>
    <w:rsid w:val="006C0612"/>
    <w:rsid w:val="006C1744"/>
    <w:rsid w:val="006C2F93"/>
    <w:rsid w:val="006D0A45"/>
    <w:rsid w:val="006D596A"/>
    <w:rsid w:val="006D5AAA"/>
    <w:rsid w:val="006F0F76"/>
    <w:rsid w:val="00700761"/>
    <w:rsid w:val="00707544"/>
    <w:rsid w:val="00707947"/>
    <w:rsid w:val="00710028"/>
    <w:rsid w:val="0071174C"/>
    <w:rsid w:val="00712AB3"/>
    <w:rsid w:val="00717BE8"/>
    <w:rsid w:val="00724BFA"/>
    <w:rsid w:val="00730735"/>
    <w:rsid w:val="00733A84"/>
    <w:rsid w:val="0073487C"/>
    <w:rsid w:val="00735264"/>
    <w:rsid w:val="00741C3E"/>
    <w:rsid w:val="00747134"/>
    <w:rsid w:val="007503F6"/>
    <w:rsid w:val="007532F9"/>
    <w:rsid w:val="007567F5"/>
    <w:rsid w:val="00773E1D"/>
    <w:rsid w:val="00777406"/>
    <w:rsid w:val="007775EE"/>
    <w:rsid w:val="0078082F"/>
    <w:rsid w:val="00781E40"/>
    <w:rsid w:val="00784E7A"/>
    <w:rsid w:val="00785592"/>
    <w:rsid w:val="00786F37"/>
    <w:rsid w:val="00790C34"/>
    <w:rsid w:val="00791153"/>
    <w:rsid w:val="0079412A"/>
    <w:rsid w:val="007A14CC"/>
    <w:rsid w:val="007A18B0"/>
    <w:rsid w:val="007A4CDC"/>
    <w:rsid w:val="007B1B74"/>
    <w:rsid w:val="007B2A17"/>
    <w:rsid w:val="007B47D4"/>
    <w:rsid w:val="007B4B84"/>
    <w:rsid w:val="007B6BE0"/>
    <w:rsid w:val="007C086D"/>
    <w:rsid w:val="007C5C11"/>
    <w:rsid w:val="007C7B43"/>
    <w:rsid w:val="007D21A1"/>
    <w:rsid w:val="007D4080"/>
    <w:rsid w:val="007E041E"/>
    <w:rsid w:val="007E046E"/>
    <w:rsid w:val="007E60CD"/>
    <w:rsid w:val="007F149A"/>
    <w:rsid w:val="007F1D42"/>
    <w:rsid w:val="007F47D7"/>
    <w:rsid w:val="007F6884"/>
    <w:rsid w:val="008013CB"/>
    <w:rsid w:val="00810926"/>
    <w:rsid w:val="008154AA"/>
    <w:rsid w:val="00816FF8"/>
    <w:rsid w:val="00817CE6"/>
    <w:rsid w:val="00823261"/>
    <w:rsid w:val="00825F8A"/>
    <w:rsid w:val="00832BD3"/>
    <w:rsid w:val="008357A2"/>
    <w:rsid w:val="00837157"/>
    <w:rsid w:val="008409EA"/>
    <w:rsid w:val="0084398F"/>
    <w:rsid w:val="00851099"/>
    <w:rsid w:val="00851687"/>
    <w:rsid w:val="00852D13"/>
    <w:rsid w:val="0085682E"/>
    <w:rsid w:val="00857ED5"/>
    <w:rsid w:val="00865C26"/>
    <w:rsid w:val="00873D7A"/>
    <w:rsid w:val="00876089"/>
    <w:rsid w:val="008773C9"/>
    <w:rsid w:val="00877FE3"/>
    <w:rsid w:val="00881393"/>
    <w:rsid w:val="008814E3"/>
    <w:rsid w:val="0088330C"/>
    <w:rsid w:val="008925DA"/>
    <w:rsid w:val="0089565A"/>
    <w:rsid w:val="008A22AD"/>
    <w:rsid w:val="008A62BC"/>
    <w:rsid w:val="008C5A13"/>
    <w:rsid w:val="008C66BE"/>
    <w:rsid w:val="008D4282"/>
    <w:rsid w:val="008E168E"/>
    <w:rsid w:val="00900A98"/>
    <w:rsid w:val="009060E4"/>
    <w:rsid w:val="009109B9"/>
    <w:rsid w:val="009140DF"/>
    <w:rsid w:val="00914FED"/>
    <w:rsid w:val="009152BE"/>
    <w:rsid w:val="009238A2"/>
    <w:rsid w:val="00937076"/>
    <w:rsid w:val="00937BCC"/>
    <w:rsid w:val="00940AEB"/>
    <w:rsid w:val="009446ED"/>
    <w:rsid w:val="00946DAD"/>
    <w:rsid w:val="00947EE3"/>
    <w:rsid w:val="0095175A"/>
    <w:rsid w:val="00955306"/>
    <w:rsid w:val="009571BF"/>
    <w:rsid w:val="009578F4"/>
    <w:rsid w:val="00960C94"/>
    <w:rsid w:val="009637F2"/>
    <w:rsid w:val="00963D61"/>
    <w:rsid w:val="0096547C"/>
    <w:rsid w:val="00966F0A"/>
    <w:rsid w:val="0096736F"/>
    <w:rsid w:val="00975498"/>
    <w:rsid w:val="00981F60"/>
    <w:rsid w:val="00984189"/>
    <w:rsid w:val="00984AA4"/>
    <w:rsid w:val="0099105C"/>
    <w:rsid w:val="00992CFF"/>
    <w:rsid w:val="00994BBC"/>
    <w:rsid w:val="00996690"/>
    <w:rsid w:val="009A4EC2"/>
    <w:rsid w:val="009B0938"/>
    <w:rsid w:val="009B1213"/>
    <w:rsid w:val="009B1648"/>
    <w:rsid w:val="009B1DF6"/>
    <w:rsid w:val="009B596B"/>
    <w:rsid w:val="009B683B"/>
    <w:rsid w:val="009C32BA"/>
    <w:rsid w:val="009C5963"/>
    <w:rsid w:val="009D09F3"/>
    <w:rsid w:val="009D1FF0"/>
    <w:rsid w:val="009D2BAD"/>
    <w:rsid w:val="009D2D12"/>
    <w:rsid w:val="009D33C4"/>
    <w:rsid w:val="009E0DF2"/>
    <w:rsid w:val="009E67BD"/>
    <w:rsid w:val="009F47B9"/>
    <w:rsid w:val="009F5952"/>
    <w:rsid w:val="009F694E"/>
    <w:rsid w:val="00A020F8"/>
    <w:rsid w:val="00A02FB4"/>
    <w:rsid w:val="00A10960"/>
    <w:rsid w:val="00A112D1"/>
    <w:rsid w:val="00A16C44"/>
    <w:rsid w:val="00A17680"/>
    <w:rsid w:val="00A20A17"/>
    <w:rsid w:val="00A23360"/>
    <w:rsid w:val="00A34BD3"/>
    <w:rsid w:val="00A45528"/>
    <w:rsid w:val="00A45E22"/>
    <w:rsid w:val="00A46F4B"/>
    <w:rsid w:val="00A569E2"/>
    <w:rsid w:val="00A66619"/>
    <w:rsid w:val="00A72451"/>
    <w:rsid w:val="00A75C14"/>
    <w:rsid w:val="00A77860"/>
    <w:rsid w:val="00A8632A"/>
    <w:rsid w:val="00A86E44"/>
    <w:rsid w:val="00AA30A8"/>
    <w:rsid w:val="00AA71D6"/>
    <w:rsid w:val="00AB0782"/>
    <w:rsid w:val="00AB4085"/>
    <w:rsid w:val="00AB7826"/>
    <w:rsid w:val="00AC01FF"/>
    <w:rsid w:val="00AC066F"/>
    <w:rsid w:val="00AD00A8"/>
    <w:rsid w:val="00AD4063"/>
    <w:rsid w:val="00AE503E"/>
    <w:rsid w:val="00AF0F0E"/>
    <w:rsid w:val="00AF3808"/>
    <w:rsid w:val="00AF5337"/>
    <w:rsid w:val="00B006E6"/>
    <w:rsid w:val="00B1057B"/>
    <w:rsid w:val="00B12989"/>
    <w:rsid w:val="00B149C6"/>
    <w:rsid w:val="00B1606F"/>
    <w:rsid w:val="00B16BE7"/>
    <w:rsid w:val="00B22DA5"/>
    <w:rsid w:val="00B2594A"/>
    <w:rsid w:val="00B30021"/>
    <w:rsid w:val="00B33308"/>
    <w:rsid w:val="00B40A4B"/>
    <w:rsid w:val="00B517B7"/>
    <w:rsid w:val="00B704FD"/>
    <w:rsid w:val="00B7306D"/>
    <w:rsid w:val="00B731CC"/>
    <w:rsid w:val="00B80B98"/>
    <w:rsid w:val="00B85DB8"/>
    <w:rsid w:val="00B86140"/>
    <w:rsid w:val="00B87A9B"/>
    <w:rsid w:val="00B92ED4"/>
    <w:rsid w:val="00B94B8B"/>
    <w:rsid w:val="00B95DAF"/>
    <w:rsid w:val="00B97838"/>
    <w:rsid w:val="00BA0568"/>
    <w:rsid w:val="00BA7027"/>
    <w:rsid w:val="00BA7FE7"/>
    <w:rsid w:val="00BB418D"/>
    <w:rsid w:val="00BB4BAD"/>
    <w:rsid w:val="00BB5E41"/>
    <w:rsid w:val="00BB62F3"/>
    <w:rsid w:val="00BC0801"/>
    <w:rsid w:val="00BD5FC6"/>
    <w:rsid w:val="00BE0593"/>
    <w:rsid w:val="00BE09FF"/>
    <w:rsid w:val="00BE4593"/>
    <w:rsid w:val="00BE764A"/>
    <w:rsid w:val="00BF0960"/>
    <w:rsid w:val="00BF30C1"/>
    <w:rsid w:val="00BF577A"/>
    <w:rsid w:val="00BF6398"/>
    <w:rsid w:val="00C11EEB"/>
    <w:rsid w:val="00C11F69"/>
    <w:rsid w:val="00C334F0"/>
    <w:rsid w:val="00C33F98"/>
    <w:rsid w:val="00C34C31"/>
    <w:rsid w:val="00C41346"/>
    <w:rsid w:val="00C47F48"/>
    <w:rsid w:val="00C51BBA"/>
    <w:rsid w:val="00C51F91"/>
    <w:rsid w:val="00C61F5A"/>
    <w:rsid w:val="00C627A8"/>
    <w:rsid w:val="00C7572B"/>
    <w:rsid w:val="00C80C52"/>
    <w:rsid w:val="00C80CC7"/>
    <w:rsid w:val="00C82BE2"/>
    <w:rsid w:val="00C83FA9"/>
    <w:rsid w:val="00C91E46"/>
    <w:rsid w:val="00C92C29"/>
    <w:rsid w:val="00C92DE2"/>
    <w:rsid w:val="00C93A35"/>
    <w:rsid w:val="00CA2445"/>
    <w:rsid w:val="00CA66DC"/>
    <w:rsid w:val="00CA7588"/>
    <w:rsid w:val="00CA7B4D"/>
    <w:rsid w:val="00CB4AA5"/>
    <w:rsid w:val="00CD203C"/>
    <w:rsid w:val="00CD4624"/>
    <w:rsid w:val="00CE0914"/>
    <w:rsid w:val="00CE1D7F"/>
    <w:rsid w:val="00CF0504"/>
    <w:rsid w:val="00D003A5"/>
    <w:rsid w:val="00D00C2F"/>
    <w:rsid w:val="00D03BC1"/>
    <w:rsid w:val="00D0483F"/>
    <w:rsid w:val="00D16916"/>
    <w:rsid w:val="00D17C54"/>
    <w:rsid w:val="00D200C7"/>
    <w:rsid w:val="00D217B8"/>
    <w:rsid w:val="00D32311"/>
    <w:rsid w:val="00D36031"/>
    <w:rsid w:val="00D36736"/>
    <w:rsid w:val="00D37E55"/>
    <w:rsid w:val="00D43F5F"/>
    <w:rsid w:val="00D45913"/>
    <w:rsid w:val="00D4627E"/>
    <w:rsid w:val="00D537D5"/>
    <w:rsid w:val="00D56FC5"/>
    <w:rsid w:val="00D574D1"/>
    <w:rsid w:val="00D6007D"/>
    <w:rsid w:val="00D61DF6"/>
    <w:rsid w:val="00D66F58"/>
    <w:rsid w:val="00D72BCF"/>
    <w:rsid w:val="00D84C76"/>
    <w:rsid w:val="00D87E90"/>
    <w:rsid w:val="00D91C5F"/>
    <w:rsid w:val="00D9229A"/>
    <w:rsid w:val="00D92AD4"/>
    <w:rsid w:val="00D96846"/>
    <w:rsid w:val="00D974A7"/>
    <w:rsid w:val="00DA50A4"/>
    <w:rsid w:val="00DB140F"/>
    <w:rsid w:val="00DB1B59"/>
    <w:rsid w:val="00DB3042"/>
    <w:rsid w:val="00DB42E0"/>
    <w:rsid w:val="00DB6645"/>
    <w:rsid w:val="00DD3ADA"/>
    <w:rsid w:val="00DD744C"/>
    <w:rsid w:val="00DE11C4"/>
    <w:rsid w:val="00DE5644"/>
    <w:rsid w:val="00DF4B27"/>
    <w:rsid w:val="00E00AF8"/>
    <w:rsid w:val="00E02ADA"/>
    <w:rsid w:val="00E133E5"/>
    <w:rsid w:val="00E16B3B"/>
    <w:rsid w:val="00E179DC"/>
    <w:rsid w:val="00E2038B"/>
    <w:rsid w:val="00E22626"/>
    <w:rsid w:val="00E337AE"/>
    <w:rsid w:val="00E418D6"/>
    <w:rsid w:val="00E5044D"/>
    <w:rsid w:val="00E53837"/>
    <w:rsid w:val="00E53CAC"/>
    <w:rsid w:val="00E62708"/>
    <w:rsid w:val="00E66048"/>
    <w:rsid w:val="00E67C5A"/>
    <w:rsid w:val="00E7419C"/>
    <w:rsid w:val="00E74D69"/>
    <w:rsid w:val="00E8253A"/>
    <w:rsid w:val="00E85417"/>
    <w:rsid w:val="00E85750"/>
    <w:rsid w:val="00E857D4"/>
    <w:rsid w:val="00E86E50"/>
    <w:rsid w:val="00E86EA2"/>
    <w:rsid w:val="00EB08CC"/>
    <w:rsid w:val="00EB4004"/>
    <w:rsid w:val="00EB4FA1"/>
    <w:rsid w:val="00EC2429"/>
    <w:rsid w:val="00EC4190"/>
    <w:rsid w:val="00EC6858"/>
    <w:rsid w:val="00ED3635"/>
    <w:rsid w:val="00EE6575"/>
    <w:rsid w:val="00EE72FF"/>
    <w:rsid w:val="00EF4E85"/>
    <w:rsid w:val="00F0752C"/>
    <w:rsid w:val="00F15199"/>
    <w:rsid w:val="00F15A47"/>
    <w:rsid w:val="00F368B7"/>
    <w:rsid w:val="00F43280"/>
    <w:rsid w:val="00F46041"/>
    <w:rsid w:val="00F5279A"/>
    <w:rsid w:val="00F562B7"/>
    <w:rsid w:val="00F602BA"/>
    <w:rsid w:val="00F6145E"/>
    <w:rsid w:val="00F619F3"/>
    <w:rsid w:val="00F64553"/>
    <w:rsid w:val="00F649EC"/>
    <w:rsid w:val="00F65AD7"/>
    <w:rsid w:val="00F736E5"/>
    <w:rsid w:val="00F76AD2"/>
    <w:rsid w:val="00F77178"/>
    <w:rsid w:val="00F90FB6"/>
    <w:rsid w:val="00F94CD4"/>
    <w:rsid w:val="00F9546C"/>
    <w:rsid w:val="00FA09FD"/>
    <w:rsid w:val="00FA3597"/>
    <w:rsid w:val="00FA3CC0"/>
    <w:rsid w:val="00FB00D7"/>
    <w:rsid w:val="00FB0F31"/>
    <w:rsid w:val="00FB4394"/>
    <w:rsid w:val="00FB7E6D"/>
    <w:rsid w:val="00FC398B"/>
    <w:rsid w:val="00FD0A2F"/>
    <w:rsid w:val="00FD173F"/>
    <w:rsid w:val="00FD36AD"/>
    <w:rsid w:val="00FE100C"/>
    <w:rsid w:val="00FE4F81"/>
    <w:rsid w:val="00FF0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3104C7"/>
    <w:pPr>
      <w:keepNext/>
      <w:keepLines/>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3104C7"/>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3568CA"/>
    <w:pPr>
      <w:ind w:left="720"/>
      <w:contextualSpacing/>
    </w:pPr>
  </w:style>
  <w:style w:type="paragraph" w:customStyle="1" w:styleId="Default">
    <w:name w:val="Default"/>
    <w:rsid w:val="000F04AA"/>
    <w:pPr>
      <w:autoSpaceDE w:val="0"/>
      <w:autoSpaceDN w:val="0"/>
      <w:adjustRightInd w:val="0"/>
    </w:pPr>
    <w:rPr>
      <w:rFonts w:ascii="Cambria" w:hAnsi="Cambria" w:cs="Cambria"/>
      <w:color w:val="000000"/>
      <w:sz w:val="24"/>
      <w:szCs w:val="24"/>
    </w:rPr>
  </w:style>
  <w:style w:type="table" w:styleId="TableGrid">
    <w:name w:val="Table Grid"/>
    <w:basedOn w:val="TableNormal"/>
    <w:rsid w:val="000F0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966F0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3104C7"/>
    <w:pPr>
      <w:keepNext/>
      <w:keepLines/>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3104C7"/>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3568CA"/>
    <w:pPr>
      <w:ind w:left="720"/>
      <w:contextualSpacing/>
    </w:pPr>
  </w:style>
  <w:style w:type="paragraph" w:customStyle="1" w:styleId="Default">
    <w:name w:val="Default"/>
    <w:rsid w:val="000F04AA"/>
    <w:pPr>
      <w:autoSpaceDE w:val="0"/>
      <w:autoSpaceDN w:val="0"/>
      <w:adjustRightInd w:val="0"/>
    </w:pPr>
    <w:rPr>
      <w:rFonts w:ascii="Cambria" w:hAnsi="Cambria" w:cs="Cambria"/>
      <w:color w:val="000000"/>
      <w:sz w:val="24"/>
      <w:szCs w:val="24"/>
    </w:rPr>
  </w:style>
  <w:style w:type="table" w:styleId="TableGrid">
    <w:name w:val="Table Grid"/>
    <w:basedOn w:val="TableNormal"/>
    <w:rsid w:val="000F0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966F0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4964">
      <w:bodyDiv w:val="1"/>
      <w:marLeft w:val="0"/>
      <w:marRight w:val="0"/>
      <w:marTop w:val="0"/>
      <w:marBottom w:val="0"/>
      <w:divBdr>
        <w:top w:val="none" w:sz="0" w:space="0" w:color="auto"/>
        <w:left w:val="none" w:sz="0" w:space="0" w:color="auto"/>
        <w:bottom w:val="none" w:sz="0" w:space="0" w:color="auto"/>
        <w:right w:val="none" w:sz="0" w:space="0" w:color="auto"/>
      </w:divBdr>
      <w:divsChild>
        <w:div w:id="244918112">
          <w:marLeft w:val="0"/>
          <w:marRight w:val="0"/>
          <w:marTop w:val="0"/>
          <w:marBottom w:val="0"/>
          <w:divBdr>
            <w:top w:val="none" w:sz="0" w:space="0" w:color="auto"/>
            <w:left w:val="none" w:sz="0" w:space="0" w:color="auto"/>
            <w:bottom w:val="none" w:sz="0" w:space="0" w:color="auto"/>
            <w:right w:val="none" w:sz="0" w:space="0" w:color="auto"/>
          </w:divBdr>
          <w:divsChild>
            <w:div w:id="515538433">
              <w:marLeft w:val="0"/>
              <w:marRight w:val="0"/>
              <w:marTop w:val="0"/>
              <w:marBottom w:val="0"/>
              <w:divBdr>
                <w:top w:val="none" w:sz="0" w:space="0" w:color="auto"/>
                <w:left w:val="none" w:sz="0" w:space="0" w:color="auto"/>
                <w:bottom w:val="none" w:sz="0" w:space="0" w:color="auto"/>
                <w:right w:val="none" w:sz="0" w:space="0" w:color="auto"/>
              </w:divBdr>
              <w:divsChild>
                <w:div w:id="12094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00911">
      <w:bodyDiv w:val="1"/>
      <w:marLeft w:val="0"/>
      <w:marRight w:val="0"/>
      <w:marTop w:val="0"/>
      <w:marBottom w:val="0"/>
      <w:divBdr>
        <w:top w:val="none" w:sz="0" w:space="0" w:color="auto"/>
        <w:left w:val="none" w:sz="0" w:space="0" w:color="auto"/>
        <w:bottom w:val="none" w:sz="0" w:space="0" w:color="auto"/>
        <w:right w:val="none" w:sz="0" w:space="0" w:color="auto"/>
      </w:divBdr>
      <w:divsChild>
        <w:div w:id="1512143191">
          <w:marLeft w:val="0"/>
          <w:marRight w:val="0"/>
          <w:marTop w:val="0"/>
          <w:marBottom w:val="0"/>
          <w:divBdr>
            <w:top w:val="none" w:sz="0" w:space="0" w:color="auto"/>
            <w:left w:val="none" w:sz="0" w:space="0" w:color="auto"/>
            <w:bottom w:val="none" w:sz="0" w:space="0" w:color="auto"/>
            <w:right w:val="none" w:sz="0" w:space="0" w:color="auto"/>
          </w:divBdr>
          <w:divsChild>
            <w:div w:id="1780641740">
              <w:marLeft w:val="0"/>
              <w:marRight w:val="0"/>
              <w:marTop w:val="0"/>
              <w:marBottom w:val="0"/>
              <w:divBdr>
                <w:top w:val="none" w:sz="0" w:space="0" w:color="auto"/>
                <w:left w:val="none" w:sz="0" w:space="0" w:color="auto"/>
                <w:bottom w:val="none" w:sz="0" w:space="0" w:color="auto"/>
                <w:right w:val="none" w:sz="0" w:space="0" w:color="auto"/>
              </w:divBdr>
              <w:divsChild>
                <w:div w:id="1694499583">
                  <w:marLeft w:val="0"/>
                  <w:marRight w:val="0"/>
                  <w:marTop w:val="0"/>
                  <w:marBottom w:val="0"/>
                  <w:divBdr>
                    <w:top w:val="none" w:sz="0" w:space="0" w:color="auto"/>
                    <w:left w:val="none" w:sz="0" w:space="0" w:color="auto"/>
                    <w:bottom w:val="none" w:sz="0" w:space="0" w:color="auto"/>
                    <w:right w:val="none" w:sz="0" w:space="0" w:color="auto"/>
                  </w:divBdr>
                  <w:divsChild>
                    <w:div w:id="2233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3923-2C8D-49CB-96EF-1FFD1AB8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6001</Words>
  <Characters>33963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39885</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McCandless Sean</cp:lastModifiedBy>
  <cp:revision>3</cp:revision>
  <cp:lastPrinted>2014-09-03T01:41:00Z</cp:lastPrinted>
  <dcterms:created xsi:type="dcterms:W3CDTF">2014-09-01T08:40:00Z</dcterms:created>
  <dcterms:modified xsi:type="dcterms:W3CDTF">2014-09-03T01:42:00Z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