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736FB" w14:textId="64909EC3" w:rsidR="002C276C" w:rsidRPr="00065623" w:rsidRDefault="005F6A3D" w:rsidP="002C276C">
      <w:pPr>
        <w:jc w:val="center"/>
        <w:rPr>
          <w:rFonts w:ascii="Arial" w:hAnsi="Arial" w:cs="Arial"/>
          <w:b/>
          <w:i/>
          <w:szCs w:val="24"/>
          <w:highlight w:val="yellow"/>
        </w:rPr>
      </w:pPr>
      <w:r>
        <w:rPr>
          <w:rFonts w:ascii="Arial" w:hAnsi="Arial" w:cs="Arial"/>
          <w:b/>
          <w:noProof/>
          <w:color w:val="000080"/>
          <w:sz w:val="28"/>
          <w:szCs w:val="28"/>
        </w:rPr>
        <w:drawing>
          <wp:inline distT="0" distB="0" distL="0" distR="0" wp14:anchorId="40C7765D" wp14:editId="3F14AA52">
            <wp:extent cx="2627630" cy="1078865"/>
            <wp:effectExtent l="0" t="0" r="1270" b="6985"/>
            <wp:docPr id="1" name="Picture 1"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4F0D826F" w14:textId="77777777" w:rsidR="005F6A3D" w:rsidRPr="005F6A3D" w:rsidRDefault="005F6A3D" w:rsidP="00A80CC4">
      <w:pPr>
        <w:pStyle w:val="Subtitle"/>
        <w:rPr>
          <w:rFonts w:eastAsiaTheme="majorEastAsia"/>
          <w:i w:val="0"/>
          <w:sz w:val="20"/>
          <w:szCs w:val="20"/>
          <w:lang w:eastAsia="en-US"/>
        </w:rPr>
      </w:pPr>
    </w:p>
    <w:p w14:paraId="52C26D1C" w14:textId="07E09DAC" w:rsidR="005F6A3D" w:rsidRDefault="005F6A3D" w:rsidP="00A80CC4">
      <w:pPr>
        <w:pStyle w:val="Subtitle"/>
        <w:rPr>
          <w:rFonts w:eastAsiaTheme="majorEastAsia"/>
          <w:i w:val="0"/>
          <w:sz w:val="36"/>
          <w:szCs w:val="36"/>
          <w:lang w:eastAsia="en-US"/>
        </w:rPr>
      </w:pPr>
      <w:r w:rsidRPr="005F6A3D">
        <w:rPr>
          <w:rFonts w:eastAsiaTheme="majorEastAsia"/>
          <w:i w:val="0"/>
          <w:sz w:val="36"/>
          <w:szCs w:val="36"/>
          <w:lang w:eastAsia="en-US"/>
        </w:rPr>
        <w:t xml:space="preserve">Public Summary Document </w:t>
      </w:r>
    </w:p>
    <w:p w14:paraId="5E657D8D" w14:textId="625ADC4D" w:rsidR="00A80CC4" w:rsidRDefault="00A80CC4" w:rsidP="00A80CC4">
      <w:pPr>
        <w:pStyle w:val="Subtitle"/>
      </w:pPr>
      <w:r>
        <w:t>Application No. 1354.1 – Intravascular Ultrasound (IVUS) Guided Coronary Stent Insertion</w:t>
      </w:r>
    </w:p>
    <w:p w14:paraId="768E857A" w14:textId="77777777" w:rsidR="00A80CC4" w:rsidRPr="00A513B1" w:rsidRDefault="00A80CC4" w:rsidP="00D83DA2">
      <w:pPr>
        <w:tabs>
          <w:tab w:val="left" w:pos="3686"/>
        </w:tabs>
        <w:rPr>
          <w:rFonts w:ascii="Arial" w:hAnsi="Arial" w:cs="Arial"/>
          <w:b/>
        </w:rPr>
      </w:pPr>
      <w:r w:rsidRPr="00A513B1">
        <w:rPr>
          <w:rFonts w:ascii="Arial" w:hAnsi="Arial" w:cs="Arial"/>
          <w:b/>
        </w:rPr>
        <w:t>Applicant:</w:t>
      </w:r>
      <w:r w:rsidRPr="00A513B1">
        <w:rPr>
          <w:rFonts w:ascii="Arial" w:hAnsi="Arial" w:cs="Arial"/>
          <w:b/>
        </w:rPr>
        <w:tab/>
        <w:t>Boston Scientific Pty Ltd</w:t>
      </w:r>
    </w:p>
    <w:p w14:paraId="15DA9C4A" w14:textId="20A59BC6" w:rsidR="009A3778" w:rsidRPr="00A513B1" w:rsidRDefault="00A80CC4" w:rsidP="00D83DA2">
      <w:pPr>
        <w:tabs>
          <w:tab w:val="left" w:pos="3686"/>
        </w:tabs>
        <w:spacing w:after="360"/>
        <w:rPr>
          <w:rFonts w:ascii="Arial" w:hAnsi="Arial" w:cs="Arial"/>
          <w:b/>
          <w:highlight w:val="cyan"/>
        </w:rPr>
      </w:pPr>
      <w:r w:rsidRPr="00A513B1">
        <w:rPr>
          <w:rFonts w:ascii="Arial" w:hAnsi="Arial" w:cs="Arial"/>
          <w:b/>
        </w:rPr>
        <w:t xml:space="preserve">Date of </w:t>
      </w:r>
      <w:r w:rsidR="005F6A3D" w:rsidRPr="00A513B1">
        <w:rPr>
          <w:rFonts w:ascii="Arial" w:hAnsi="Arial" w:cs="Arial"/>
          <w:b/>
        </w:rPr>
        <w:t>MSAC</w:t>
      </w:r>
      <w:r w:rsidR="003550EF" w:rsidRPr="00A513B1">
        <w:rPr>
          <w:rFonts w:ascii="Arial" w:hAnsi="Arial" w:cs="Arial"/>
          <w:b/>
        </w:rPr>
        <w:t xml:space="preserve"> </w:t>
      </w:r>
      <w:r w:rsidRPr="00A513B1">
        <w:rPr>
          <w:rFonts w:ascii="Arial" w:hAnsi="Arial" w:cs="Arial"/>
          <w:b/>
        </w:rPr>
        <w:t>consideration:</w:t>
      </w:r>
      <w:r w:rsidRPr="00A513B1">
        <w:rPr>
          <w:rFonts w:ascii="Arial" w:hAnsi="Arial" w:cs="Arial"/>
          <w:b/>
        </w:rPr>
        <w:tab/>
      </w:r>
      <w:r w:rsidR="005F6A3D" w:rsidRPr="00A513B1">
        <w:rPr>
          <w:rFonts w:ascii="Arial" w:hAnsi="Arial" w:cs="Arial"/>
          <w:b/>
        </w:rPr>
        <w:t>31 March – 1 April</w:t>
      </w:r>
      <w:r w:rsidRPr="00A513B1">
        <w:rPr>
          <w:rFonts w:ascii="Arial" w:hAnsi="Arial" w:cs="Arial"/>
          <w:b/>
        </w:rPr>
        <w:t xml:space="preserve"> 2022</w:t>
      </w:r>
      <w:r w:rsidRPr="00A513B1" w:rsidDel="00A80CC4">
        <w:rPr>
          <w:rFonts w:ascii="Arial" w:hAnsi="Arial" w:cs="Arial"/>
          <w:i/>
          <w:iCs/>
          <w:color w:val="000000" w:themeColor="text1"/>
        </w:rPr>
        <w:t xml:space="preserve"> </w:t>
      </w:r>
    </w:p>
    <w:p w14:paraId="7EAA7262" w14:textId="77335A16" w:rsidR="00772829" w:rsidRPr="00CE28E3" w:rsidRDefault="00C36633" w:rsidP="00D83DA2">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6BF31FF2" w14:textId="01F296A2" w:rsidR="00772829" w:rsidRDefault="00772829" w:rsidP="00772829">
      <w:pPr>
        <w:spacing w:after="240"/>
        <w:rPr>
          <w:iCs/>
        </w:rPr>
      </w:pPr>
      <w:bookmarkStart w:id="1" w:name="_Hlk69734469"/>
      <w:r w:rsidRPr="009A3778">
        <w:rPr>
          <w:iCs/>
        </w:rPr>
        <w:t xml:space="preserve">An </w:t>
      </w:r>
      <w:r w:rsidRPr="0061736D">
        <w:rPr>
          <w:iCs/>
        </w:rPr>
        <w:t xml:space="preserve">application requesting Medicare Benefits Schedule (MBS) listing of </w:t>
      </w:r>
      <w:r w:rsidR="0061736D" w:rsidRPr="0061736D">
        <w:rPr>
          <w:iCs/>
        </w:rPr>
        <w:t>intravascular ultrasound (IVUS)</w:t>
      </w:r>
      <w:r w:rsidR="00691978">
        <w:rPr>
          <w:iCs/>
        </w:rPr>
        <w:t>-</w:t>
      </w:r>
      <w:r w:rsidR="0061736D" w:rsidRPr="0061736D">
        <w:rPr>
          <w:iCs/>
        </w:rPr>
        <w:t>guided coronary stent insertion as an adjunct to invasive coronary angiogram for patients undergoing percutaneous coronary intervention (PCI)</w:t>
      </w:r>
      <w:r w:rsidR="0061736D">
        <w:rPr>
          <w:iCs/>
        </w:rPr>
        <w:t xml:space="preserve"> </w:t>
      </w:r>
      <w:r w:rsidRPr="0061736D">
        <w:rPr>
          <w:iCs/>
        </w:rPr>
        <w:t xml:space="preserve">was received from </w:t>
      </w:r>
      <w:r w:rsidR="0061736D">
        <w:rPr>
          <w:iCs/>
        </w:rPr>
        <w:t>Boston Scientific Pty Ltd.</w:t>
      </w:r>
      <w:r w:rsidRPr="0061736D">
        <w:rPr>
          <w:iCs/>
        </w:rPr>
        <w:t xml:space="preserve"> by the Department of Health.</w:t>
      </w:r>
    </w:p>
    <w:p w14:paraId="49E400DA" w14:textId="0371CBDA" w:rsidR="005F6A3D" w:rsidRDefault="005F6A3D" w:rsidP="005F6A3D">
      <w:pPr>
        <w:pStyle w:val="Heading2"/>
        <w:numPr>
          <w:ilvl w:val="0"/>
          <w:numId w:val="0"/>
        </w:numPr>
      </w:pPr>
      <w:r>
        <w:t>2.</w:t>
      </w:r>
      <w:r>
        <w:tab/>
        <w:t>MSAC’s advice to the Minister</w:t>
      </w:r>
    </w:p>
    <w:p w14:paraId="75337697" w14:textId="7D6872B9" w:rsidR="004A2599" w:rsidRDefault="004A2599" w:rsidP="004A2599">
      <w:pPr>
        <w:spacing w:before="20" w:after="0"/>
        <w:rPr>
          <w:szCs w:val="24"/>
        </w:rPr>
      </w:pPr>
      <w:r w:rsidRPr="00D81A81">
        <w:t xml:space="preserve">After considering the strength of the available evidence in relation to comparative safety, clinical effectiveness and cost-effectiveness, </w:t>
      </w:r>
      <w:r w:rsidRPr="00F94921">
        <w:rPr>
          <w:szCs w:val="24"/>
        </w:rPr>
        <w:t>MSAC supported the creation of a new Medicare Benefits Schedule (MBS) item for intravascular ultrasound (IVUS) guided coronary stent insertion as an adjunct to invasive coronary angiogram for patients undergoing percutaneous coronary intervention (PCI) in patients with complex anatomical characteristics (lesions associated with the left main coronary artery or other lesion locations with lesion length ≥28 mm). MSAC accepted that in th</w:t>
      </w:r>
      <w:r>
        <w:rPr>
          <w:szCs w:val="24"/>
        </w:rPr>
        <w:t>is</w:t>
      </w:r>
      <w:r w:rsidRPr="00F94921">
        <w:rPr>
          <w:szCs w:val="24"/>
        </w:rPr>
        <w:t xml:space="preserve"> population</w:t>
      </w:r>
      <w:r w:rsidR="002401AB">
        <w:rPr>
          <w:szCs w:val="24"/>
        </w:rPr>
        <w:t xml:space="preserve"> </w:t>
      </w:r>
      <w:r w:rsidRPr="00F94921">
        <w:rPr>
          <w:szCs w:val="24"/>
        </w:rPr>
        <w:t xml:space="preserve">IVUS had superior effectiveness and acceptable cost-effectiveness and financial impact. MSAC did not support public funding for </w:t>
      </w:r>
      <w:r w:rsidR="006258C7">
        <w:rPr>
          <w:szCs w:val="24"/>
        </w:rPr>
        <w:t xml:space="preserve">generalised use in </w:t>
      </w:r>
      <w:r w:rsidRPr="00F94921">
        <w:rPr>
          <w:szCs w:val="24"/>
        </w:rPr>
        <w:t>the all-comers population as the evidence did not satisfactorily demonstrate clinical effectiveness or acceptable cost</w:t>
      </w:r>
      <w:r>
        <w:rPr>
          <w:szCs w:val="24"/>
        </w:rPr>
        <w:t>-</w:t>
      </w:r>
      <w:r w:rsidRPr="00F94921">
        <w:rPr>
          <w:szCs w:val="24"/>
        </w:rPr>
        <w:t xml:space="preserve">effectiveness and </w:t>
      </w:r>
      <w:r>
        <w:rPr>
          <w:szCs w:val="24"/>
        </w:rPr>
        <w:t xml:space="preserve">was associated </w:t>
      </w:r>
      <w:r w:rsidRPr="00F94921">
        <w:rPr>
          <w:szCs w:val="24"/>
        </w:rPr>
        <w:t>with significant financial implications.</w:t>
      </w:r>
    </w:p>
    <w:p w14:paraId="1A3CBAD0" w14:textId="57FB64D4" w:rsidR="005F6A3D" w:rsidRDefault="004A2599" w:rsidP="00AC6835">
      <w:pPr>
        <w:spacing w:before="240" w:after="240"/>
        <w:rPr>
          <w:szCs w:val="24"/>
        </w:rPr>
      </w:pPr>
      <w:r w:rsidRPr="004A2599">
        <w:rPr>
          <w:szCs w:val="24"/>
        </w:rPr>
        <w:t>MSAC advised that IVUS training and accreditation programs should be in place prior to implementation.</w:t>
      </w:r>
    </w:p>
    <w:p w14:paraId="02B28814" w14:textId="1E98F423" w:rsidR="00365DB7" w:rsidRDefault="00365DB7" w:rsidP="004A2599">
      <w:pPr>
        <w:spacing w:before="0" w:after="240"/>
        <w:rPr>
          <w:szCs w:val="24"/>
        </w:rPr>
      </w:pPr>
      <w:r>
        <w:rPr>
          <w:szCs w:val="24"/>
        </w:rPr>
        <w:t>The MSAC supported item descriptor</w:t>
      </w:r>
      <w:r w:rsidR="008F5BCD">
        <w:rPr>
          <w:szCs w:val="24"/>
        </w:rPr>
        <w:t xml:space="preserve"> </w:t>
      </w:r>
      <w:r w:rsidR="007923AA">
        <w:rPr>
          <w:szCs w:val="24"/>
        </w:rPr>
        <w:t xml:space="preserve">and draft explanatory note </w:t>
      </w:r>
      <w:r>
        <w:rPr>
          <w:szCs w:val="24"/>
        </w:rPr>
        <w:t xml:space="preserve">for </w:t>
      </w:r>
      <w:r w:rsidR="008F5BCD">
        <w:rPr>
          <w:szCs w:val="24"/>
        </w:rPr>
        <w:t>IVUS as an adjunct to</w:t>
      </w:r>
      <w:r w:rsidR="008F5BCD" w:rsidRPr="0061736D">
        <w:rPr>
          <w:iCs/>
        </w:rPr>
        <w:t xml:space="preserve"> invasive coronary angiogram for patients undergoing PCI</w:t>
      </w:r>
      <w:r w:rsidR="008F5BCD">
        <w:rPr>
          <w:iCs/>
        </w:rPr>
        <w:t xml:space="preserve"> with</w:t>
      </w:r>
      <w:r w:rsidR="008F5BCD">
        <w:rPr>
          <w:szCs w:val="24"/>
        </w:rPr>
        <w:t xml:space="preserve"> </w:t>
      </w:r>
      <w:r>
        <w:rPr>
          <w:szCs w:val="24"/>
        </w:rPr>
        <w:t xml:space="preserve">complex anatomical </w:t>
      </w:r>
      <w:r w:rsidR="008F5BCD">
        <w:rPr>
          <w:szCs w:val="24"/>
        </w:rPr>
        <w:t>characteristics</w:t>
      </w:r>
      <w:r>
        <w:rPr>
          <w:szCs w:val="24"/>
        </w:rPr>
        <w:t xml:space="preserve"> </w:t>
      </w:r>
      <w:r w:rsidR="007923AA">
        <w:rPr>
          <w:szCs w:val="24"/>
        </w:rPr>
        <w:t>are</w:t>
      </w:r>
      <w:r>
        <w:rPr>
          <w:szCs w:val="24"/>
        </w:rPr>
        <w:t xml:space="preserve"> </w:t>
      </w:r>
      <w:r w:rsidR="008F5BCD">
        <w:rPr>
          <w:szCs w:val="24"/>
        </w:rPr>
        <w:t>summarised</w:t>
      </w:r>
      <w:r>
        <w:rPr>
          <w:szCs w:val="24"/>
        </w:rPr>
        <w:t xml:space="preserve"> below: </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65DB7" w:rsidRPr="00CA05CD" w:rsidDel="00A134DA" w14:paraId="26067D6B" w14:textId="77777777" w:rsidTr="008F5BCD">
        <w:trPr>
          <w:cnfStyle w:val="100000000000" w:firstRow="1" w:lastRow="0" w:firstColumn="0" w:lastColumn="0" w:oddVBand="0" w:evenVBand="0" w:oddHBand="0" w:evenHBand="0" w:firstRowFirstColumn="0" w:firstRowLastColumn="0" w:lastRowFirstColumn="0" w:lastRowLastColumn="0"/>
        </w:trPr>
        <w:tc>
          <w:tcPr>
            <w:tcW w:w="5000" w:type="pct"/>
          </w:tcPr>
          <w:p w14:paraId="161B07CA" w14:textId="77777777" w:rsidR="00365DB7" w:rsidRPr="00CA05CD" w:rsidDel="00A134DA" w:rsidRDefault="00365DB7" w:rsidP="005E5F69">
            <w:pPr>
              <w:keepNext/>
              <w:spacing w:before="40"/>
              <w:jc w:val="right"/>
              <w:rPr>
                <w:rFonts w:ascii="Arial Narrow" w:hAnsi="Arial Narrow" w:cs="Tahoma"/>
              </w:rPr>
            </w:pPr>
            <w:r w:rsidRPr="00CA05CD">
              <w:rPr>
                <w:rFonts w:ascii="Arial Narrow" w:hAnsi="Arial Narrow" w:cs="Tahoma"/>
              </w:rPr>
              <w:lastRenderedPageBreak/>
              <w:t>Category 3 – Therapeutic Procedures</w:t>
            </w:r>
          </w:p>
        </w:tc>
      </w:tr>
      <w:tr w:rsidR="00365DB7" w:rsidRPr="00CA05CD" w:rsidDel="00A134DA" w14:paraId="780214AB" w14:textId="77777777" w:rsidTr="008F5BCD">
        <w:tc>
          <w:tcPr>
            <w:tcW w:w="5000" w:type="pct"/>
          </w:tcPr>
          <w:p w14:paraId="620642B8" w14:textId="77777777" w:rsidR="00365DB7" w:rsidRPr="00CA05CD" w:rsidRDefault="00365DB7" w:rsidP="008F5BCD">
            <w:pPr>
              <w:keepNext/>
              <w:spacing w:before="40"/>
              <w:jc w:val="both"/>
              <w:rPr>
                <w:rFonts w:ascii="Arial Narrow" w:hAnsi="Arial Narrow" w:cs="Tahoma"/>
              </w:rPr>
            </w:pPr>
            <w:r w:rsidRPr="00CA05CD">
              <w:rPr>
                <w:rFonts w:ascii="Arial Narrow" w:hAnsi="Arial Narrow" w:cs="Tahoma"/>
              </w:rPr>
              <w:t>MBS XXXXX</w:t>
            </w:r>
          </w:p>
          <w:p w14:paraId="4C73B9E4" w14:textId="2F203CFA" w:rsidR="00365DB7" w:rsidRPr="00CA05CD" w:rsidRDefault="00365DB7" w:rsidP="00AC6835">
            <w:pPr>
              <w:keepNext/>
              <w:jc w:val="both"/>
              <w:rPr>
                <w:rFonts w:ascii="Arial Narrow" w:hAnsi="Arial Narrow" w:cs="Tahoma"/>
              </w:rPr>
            </w:pPr>
            <w:r w:rsidRPr="00CA05CD">
              <w:rPr>
                <w:rFonts w:ascii="Arial Narrow" w:hAnsi="Arial Narrow" w:cs="Tahoma"/>
              </w:rPr>
              <w:t>Use of Intravascular Ultrasound (IVUS) during transluminal insertion of stents, to optimise procedural strategy, appropriate stent size and assessment of stent apposition for patients documented with:</w:t>
            </w:r>
          </w:p>
          <w:p w14:paraId="0EAF4DD4" w14:textId="2F2C9EE0" w:rsidR="00365DB7" w:rsidRPr="00CA05CD" w:rsidRDefault="00365DB7" w:rsidP="008F5BCD">
            <w:pPr>
              <w:keepNext/>
              <w:spacing w:before="40"/>
              <w:ind w:left="600" w:hanging="600"/>
              <w:jc w:val="both"/>
              <w:rPr>
                <w:rFonts w:ascii="Arial Narrow" w:hAnsi="Arial Narrow" w:cs="Tahoma"/>
              </w:rPr>
            </w:pPr>
            <w:r w:rsidRPr="00CA05CD">
              <w:rPr>
                <w:rFonts w:ascii="Arial Narrow" w:hAnsi="Arial Narrow" w:cs="Tahoma"/>
              </w:rPr>
              <w:t>a)</w:t>
            </w:r>
            <w:r w:rsidRPr="00CA05CD">
              <w:rPr>
                <w:rFonts w:ascii="Arial Narrow" w:hAnsi="Arial Narrow" w:cs="Tahoma"/>
              </w:rPr>
              <w:tab/>
              <w:t>Left main coronary artery lesions</w:t>
            </w:r>
            <w:r w:rsidR="00E52C33">
              <w:rPr>
                <w:rFonts w:ascii="Arial Narrow" w:hAnsi="Arial Narrow" w:cs="Tahoma"/>
              </w:rPr>
              <w:t>;</w:t>
            </w:r>
            <w:r w:rsidRPr="00CA05CD">
              <w:rPr>
                <w:rFonts w:ascii="Arial Narrow" w:hAnsi="Arial Narrow" w:cs="Tahoma"/>
              </w:rPr>
              <w:t xml:space="preserve"> or</w:t>
            </w:r>
          </w:p>
          <w:p w14:paraId="76496400" w14:textId="77777777" w:rsidR="00365DB7" w:rsidRPr="00CA05CD" w:rsidRDefault="00365DB7" w:rsidP="004B07E9">
            <w:pPr>
              <w:keepNext/>
              <w:tabs>
                <w:tab w:val="left" w:pos="599"/>
              </w:tabs>
              <w:spacing w:before="40"/>
              <w:jc w:val="both"/>
              <w:rPr>
                <w:rFonts w:ascii="Arial Narrow" w:hAnsi="Arial Narrow" w:cs="Tahoma"/>
              </w:rPr>
            </w:pPr>
            <w:r w:rsidRPr="00CA05CD">
              <w:rPr>
                <w:rFonts w:ascii="Arial Narrow" w:hAnsi="Arial Narrow" w:cs="Tahoma"/>
              </w:rPr>
              <w:t>b)</w:t>
            </w:r>
            <w:r w:rsidRPr="00CA05CD">
              <w:rPr>
                <w:rFonts w:ascii="Arial Narrow" w:hAnsi="Arial Narrow" w:cs="Tahoma"/>
              </w:rPr>
              <w:tab/>
              <w:t>Other lesion locations with lesion length ≥28mm.</w:t>
            </w:r>
          </w:p>
          <w:p w14:paraId="788E57B9" w14:textId="5DD7CD2B" w:rsidR="00365DB7" w:rsidRPr="00CA05CD" w:rsidRDefault="00365DB7" w:rsidP="008F5BCD">
            <w:pPr>
              <w:keepNext/>
              <w:spacing w:before="40"/>
              <w:jc w:val="both"/>
              <w:rPr>
                <w:rFonts w:ascii="Arial Narrow" w:hAnsi="Arial Narrow" w:cs="Tahoma"/>
              </w:rPr>
            </w:pPr>
            <w:r w:rsidRPr="00CA05CD">
              <w:rPr>
                <w:rFonts w:ascii="Arial Narrow" w:hAnsi="Arial Narrow" w:cs="Tahoma"/>
              </w:rPr>
              <w:t xml:space="preserve">Being a service associated with items 38307, 38308, 38310, 38311, 38313, 38314, 38316, 38317, 38319, 38320, 38322, 38323. </w:t>
            </w:r>
          </w:p>
          <w:p w14:paraId="07C83AA3" w14:textId="77777777" w:rsidR="00365DB7" w:rsidRPr="002401AB" w:rsidRDefault="00365DB7" w:rsidP="008F5BCD">
            <w:pPr>
              <w:keepNext/>
              <w:spacing w:before="40"/>
              <w:jc w:val="both"/>
              <w:rPr>
                <w:rFonts w:ascii="Arial Narrow" w:hAnsi="Arial Narrow" w:cs="Tahoma"/>
              </w:rPr>
            </w:pPr>
            <w:r w:rsidRPr="002401AB">
              <w:rPr>
                <w:rFonts w:ascii="Arial Narrow" w:hAnsi="Arial Narrow" w:cs="Tahoma"/>
              </w:rPr>
              <w:t xml:space="preserve">Service is claimable once in a single episode of care (for one or more lesions). </w:t>
            </w:r>
          </w:p>
          <w:p w14:paraId="277E3E62" w14:textId="4B08A664" w:rsidR="00365DB7" w:rsidRPr="005E5F69" w:rsidRDefault="00365DB7" w:rsidP="008F5BCD">
            <w:pPr>
              <w:keepNext/>
              <w:spacing w:before="40"/>
              <w:jc w:val="both"/>
              <w:rPr>
                <w:rFonts w:ascii="Arial Narrow" w:hAnsi="Arial Narrow" w:cs="Tahoma"/>
                <w:strike/>
              </w:rPr>
            </w:pPr>
            <w:r w:rsidRPr="002401AB">
              <w:rPr>
                <w:rFonts w:ascii="Arial Narrow" w:hAnsi="Arial Narrow" w:cs="Tahoma"/>
              </w:rPr>
              <w:t>Multiple Operation Rule</w:t>
            </w:r>
          </w:p>
          <w:p w14:paraId="312BEDCD" w14:textId="77777777" w:rsidR="00365DB7" w:rsidRPr="00CA05CD" w:rsidRDefault="00365DB7" w:rsidP="008F5BCD">
            <w:pPr>
              <w:keepNext/>
              <w:spacing w:before="40"/>
              <w:jc w:val="both"/>
              <w:rPr>
                <w:rFonts w:ascii="Arial Narrow" w:hAnsi="Arial Narrow" w:cs="Tahoma"/>
              </w:rPr>
            </w:pPr>
            <w:r w:rsidRPr="00CA05CD">
              <w:rPr>
                <w:rFonts w:ascii="Arial Narrow" w:hAnsi="Arial Narrow" w:cs="Tahoma"/>
              </w:rPr>
              <w:t>(Anaes.)</w:t>
            </w:r>
          </w:p>
          <w:p w14:paraId="7D4E8DC9" w14:textId="77777777" w:rsidR="00365DB7" w:rsidRPr="00CA05CD" w:rsidRDefault="00365DB7" w:rsidP="008F5BCD">
            <w:pPr>
              <w:spacing w:before="40"/>
              <w:jc w:val="both"/>
              <w:rPr>
                <w:rFonts w:ascii="Arial Narrow" w:hAnsi="Arial Narrow" w:cs="Tahoma"/>
              </w:rPr>
            </w:pPr>
            <w:r w:rsidRPr="00CA05CD">
              <w:rPr>
                <w:rFonts w:ascii="Arial Narrow" w:hAnsi="Arial Narrow" w:cs="Tahoma"/>
              </w:rPr>
              <w:t>Fee: $488.70 Benefit: 75% = $366.550 85% = $415.40</w:t>
            </w:r>
          </w:p>
          <w:p w14:paraId="756425C3" w14:textId="77777777" w:rsidR="00365DB7" w:rsidRPr="00CA05CD" w:rsidRDefault="00365DB7" w:rsidP="00AC6835">
            <w:pPr>
              <w:keepNext/>
              <w:spacing w:before="240" w:after="240"/>
              <w:jc w:val="both"/>
              <w:rPr>
                <w:rFonts w:ascii="Arial Narrow" w:hAnsi="Arial Narrow" w:cs="Tahoma"/>
              </w:rPr>
            </w:pPr>
            <w:r w:rsidRPr="00CA05CD">
              <w:rPr>
                <w:rFonts w:ascii="Arial Narrow" w:hAnsi="Arial Narrow" w:cs="Tahoma"/>
              </w:rPr>
              <w:t>[Relevant explanatory notes]</w:t>
            </w:r>
          </w:p>
          <w:p w14:paraId="72EFE3C6" w14:textId="77777777" w:rsidR="00365DB7" w:rsidRPr="00CA05CD" w:rsidDel="00A134DA" w:rsidRDefault="00365DB7" w:rsidP="008F5BCD">
            <w:pPr>
              <w:keepNext/>
              <w:spacing w:before="40"/>
              <w:jc w:val="both"/>
              <w:rPr>
                <w:rFonts w:ascii="Arial Narrow" w:hAnsi="Arial Narrow" w:cs="Tahoma"/>
              </w:rPr>
            </w:pPr>
            <w:r w:rsidRPr="00CA05CD">
              <w:rPr>
                <w:rFonts w:ascii="Arial Narrow" w:hAnsi="Arial Narrow" w:cs="Tahoma"/>
              </w:rPr>
              <w:t>Fee only payable when the service is provided in association with insertion of coronary stent/s (items 38307, 38308, 38310, 38311, 38313, 38314, 38316, 38317, 38319, 38320, 38322, 38323).</w:t>
            </w:r>
          </w:p>
        </w:tc>
      </w:tr>
    </w:tbl>
    <w:p w14:paraId="49A488E6" w14:textId="6CDAAEEA" w:rsidR="00365DB7" w:rsidRDefault="00365DB7" w:rsidP="004A2599">
      <w:pPr>
        <w:spacing w:before="0" w:after="240"/>
        <w:rPr>
          <w:szCs w:val="24"/>
        </w:rPr>
      </w:pPr>
    </w:p>
    <w:tbl>
      <w:tblPr>
        <w:tblStyle w:val="TableGrid"/>
        <w:tblW w:w="0" w:type="auto"/>
        <w:tblLook w:val="04A0" w:firstRow="1" w:lastRow="0" w:firstColumn="1" w:lastColumn="0" w:noHBand="0" w:noVBand="1"/>
      </w:tblPr>
      <w:tblGrid>
        <w:gridCol w:w="9016"/>
      </w:tblGrid>
      <w:tr w:rsidR="007923AA" w14:paraId="2A96C412" w14:textId="77777777" w:rsidTr="007923AA">
        <w:tc>
          <w:tcPr>
            <w:tcW w:w="9016" w:type="dxa"/>
          </w:tcPr>
          <w:p w14:paraId="72EDDF27" w14:textId="1F5B2494" w:rsidR="007923AA" w:rsidRPr="002401AB" w:rsidRDefault="007923AA" w:rsidP="002401AB">
            <w:pPr>
              <w:spacing w:before="40" w:after="40" w:line="192" w:lineRule="auto"/>
              <w:jc w:val="right"/>
              <w:rPr>
                <w:rFonts w:ascii="Arial Narrow" w:hAnsi="Arial Narrow"/>
                <w:b/>
                <w:bCs/>
                <w:sz w:val="20"/>
                <w:szCs w:val="20"/>
              </w:rPr>
            </w:pPr>
            <w:r w:rsidRPr="002401AB">
              <w:rPr>
                <w:rFonts w:ascii="Arial Narrow" w:hAnsi="Arial Narrow"/>
                <w:b/>
                <w:bCs/>
                <w:sz w:val="20"/>
                <w:szCs w:val="20"/>
              </w:rPr>
              <w:t>TN.8. XX</w:t>
            </w:r>
          </w:p>
        </w:tc>
      </w:tr>
      <w:tr w:rsidR="007923AA" w14:paraId="35924978" w14:textId="77777777" w:rsidTr="007923AA">
        <w:tc>
          <w:tcPr>
            <w:tcW w:w="9016" w:type="dxa"/>
          </w:tcPr>
          <w:p w14:paraId="2D4DEAC1" w14:textId="70FD002C" w:rsidR="007B1639" w:rsidRDefault="00136C81">
            <w:pPr>
              <w:spacing w:before="40" w:after="40" w:line="192" w:lineRule="auto"/>
              <w:rPr>
                <w:rFonts w:ascii="Arial Narrow" w:hAnsi="Arial Narrow"/>
                <w:b/>
                <w:bCs/>
                <w:sz w:val="20"/>
                <w:szCs w:val="20"/>
              </w:rPr>
            </w:pPr>
            <w:r w:rsidRPr="003C76DB">
              <w:rPr>
                <w:rFonts w:ascii="Arial Narrow" w:hAnsi="Arial Narrow"/>
                <w:b/>
                <w:bCs/>
                <w:sz w:val="20"/>
                <w:szCs w:val="20"/>
              </w:rPr>
              <w:t>Acute Coronary Syndromes</w:t>
            </w:r>
            <w:r>
              <w:rPr>
                <w:rFonts w:ascii="Arial Narrow" w:hAnsi="Arial Narrow"/>
                <w:b/>
                <w:bCs/>
                <w:sz w:val="20"/>
                <w:szCs w:val="20"/>
              </w:rPr>
              <w:t xml:space="preserve"> (ACS – items 38307, 38308, 38310, 38316, 38317, 38319)</w:t>
            </w:r>
          </w:p>
          <w:p w14:paraId="7A25831C" w14:textId="11D5C5F0" w:rsidR="00136C81" w:rsidRDefault="00136C81">
            <w:pPr>
              <w:spacing w:before="40" w:after="40" w:line="192" w:lineRule="auto"/>
              <w:rPr>
                <w:rFonts w:ascii="Arial Narrow" w:hAnsi="Arial Narrow"/>
                <w:b/>
                <w:bCs/>
                <w:sz w:val="20"/>
                <w:szCs w:val="20"/>
              </w:rPr>
            </w:pPr>
            <w:r>
              <w:rPr>
                <w:rFonts w:ascii="Arial Narrow" w:hAnsi="Arial Narrow"/>
                <w:sz w:val="20"/>
                <w:szCs w:val="20"/>
              </w:rPr>
              <w:t xml:space="preserve">Item XXXXX (IVUS) can only be claimed in association with items </w:t>
            </w:r>
            <w:r>
              <w:rPr>
                <w:rFonts w:ascii="Arial Narrow" w:hAnsi="Arial Narrow"/>
                <w:b/>
                <w:bCs/>
                <w:sz w:val="20"/>
                <w:szCs w:val="20"/>
              </w:rPr>
              <w:t>38307, 38308, 38310, 38316, 38317 or 38319 if;</w:t>
            </w:r>
          </w:p>
          <w:p w14:paraId="5117390A" w14:textId="288F0F75" w:rsidR="00136C81" w:rsidRDefault="00965D2B" w:rsidP="00965D2B">
            <w:pPr>
              <w:pStyle w:val="ListParagraph"/>
              <w:numPr>
                <w:ilvl w:val="0"/>
                <w:numId w:val="22"/>
              </w:numPr>
              <w:spacing w:before="40" w:after="40" w:line="192" w:lineRule="auto"/>
              <w:rPr>
                <w:rFonts w:ascii="Arial Narrow" w:hAnsi="Arial Narrow"/>
                <w:sz w:val="20"/>
                <w:szCs w:val="20"/>
              </w:rPr>
            </w:pPr>
            <w:r w:rsidRPr="003C76DB">
              <w:rPr>
                <w:rFonts w:ascii="Arial Narrow" w:hAnsi="Arial Narrow"/>
                <w:sz w:val="20"/>
                <w:szCs w:val="20"/>
              </w:rPr>
              <w:t xml:space="preserve">The patient meets one </w:t>
            </w:r>
            <w:r>
              <w:rPr>
                <w:rFonts w:ascii="Arial Narrow" w:hAnsi="Arial Narrow"/>
                <w:sz w:val="20"/>
                <w:szCs w:val="20"/>
              </w:rPr>
              <w:t xml:space="preserve">or more </w:t>
            </w:r>
            <w:r w:rsidRPr="003C76DB">
              <w:rPr>
                <w:rFonts w:ascii="Arial Narrow" w:hAnsi="Arial Narrow"/>
                <w:sz w:val="20"/>
                <w:szCs w:val="20"/>
              </w:rPr>
              <w:t xml:space="preserve">of the indications </w:t>
            </w:r>
            <w:r>
              <w:rPr>
                <w:rFonts w:ascii="Arial Narrow" w:hAnsi="Arial Narrow"/>
                <w:sz w:val="20"/>
                <w:szCs w:val="20"/>
              </w:rPr>
              <w:t>in</w:t>
            </w:r>
            <w:r w:rsidRPr="003C76DB">
              <w:rPr>
                <w:rFonts w:ascii="Arial Narrow" w:hAnsi="Arial Narrow"/>
                <w:sz w:val="20"/>
                <w:szCs w:val="20"/>
              </w:rPr>
              <w:t xml:space="preserve"> subclause 2 of explanatory note TR.8.2</w:t>
            </w:r>
            <w:r>
              <w:rPr>
                <w:rFonts w:ascii="Arial Narrow" w:hAnsi="Arial Narrow"/>
                <w:sz w:val="20"/>
                <w:szCs w:val="20"/>
              </w:rPr>
              <w:t>; and</w:t>
            </w:r>
          </w:p>
          <w:p w14:paraId="1350BEA5" w14:textId="1C3CE418" w:rsidR="00965D2B" w:rsidRPr="003C76DB" w:rsidRDefault="00965D2B" w:rsidP="003C76DB">
            <w:pPr>
              <w:pStyle w:val="ListParagraph"/>
              <w:numPr>
                <w:ilvl w:val="0"/>
                <w:numId w:val="22"/>
              </w:numPr>
              <w:spacing w:before="40" w:after="40" w:line="192" w:lineRule="auto"/>
              <w:rPr>
                <w:rFonts w:ascii="Arial Narrow" w:hAnsi="Arial Narrow"/>
                <w:sz w:val="20"/>
                <w:szCs w:val="20"/>
              </w:rPr>
            </w:pPr>
            <w:r>
              <w:rPr>
                <w:rFonts w:ascii="Arial Narrow" w:hAnsi="Arial Narrow"/>
                <w:sz w:val="20"/>
                <w:szCs w:val="20"/>
              </w:rPr>
              <w:t>The patient meets one of the indications</w:t>
            </w:r>
            <w:r w:rsidR="00CC3555">
              <w:rPr>
                <w:rFonts w:ascii="Arial Narrow" w:hAnsi="Arial Narrow"/>
                <w:sz w:val="20"/>
                <w:szCs w:val="20"/>
              </w:rPr>
              <w:t xml:space="preserve"> listed in item XXXXX for the lesion being treated.</w:t>
            </w:r>
          </w:p>
          <w:p w14:paraId="3176368D" w14:textId="04A32EC5" w:rsidR="00136C81" w:rsidRPr="003C76DB" w:rsidRDefault="00136C81" w:rsidP="00AC6835">
            <w:pPr>
              <w:spacing w:before="240" w:after="40" w:line="192" w:lineRule="auto"/>
              <w:rPr>
                <w:rFonts w:ascii="Arial Narrow" w:hAnsi="Arial Narrow"/>
                <w:b/>
                <w:bCs/>
                <w:sz w:val="20"/>
                <w:szCs w:val="20"/>
              </w:rPr>
            </w:pPr>
            <w:r>
              <w:rPr>
                <w:rFonts w:ascii="Arial Narrow" w:hAnsi="Arial Narrow"/>
                <w:b/>
                <w:bCs/>
                <w:sz w:val="20"/>
                <w:szCs w:val="20"/>
              </w:rPr>
              <w:t>Stable Coronary Syndromes (items 38311, 38313, 38314, 38320, 38322, 38323)</w:t>
            </w:r>
          </w:p>
          <w:p w14:paraId="3B7C4054" w14:textId="7F641588" w:rsidR="00CC3555" w:rsidRDefault="00CC3555" w:rsidP="00CC3555">
            <w:pPr>
              <w:spacing w:before="40" w:after="40" w:line="192" w:lineRule="auto"/>
              <w:rPr>
                <w:rFonts w:ascii="Arial Narrow" w:hAnsi="Arial Narrow"/>
                <w:b/>
                <w:bCs/>
                <w:sz w:val="20"/>
                <w:szCs w:val="20"/>
              </w:rPr>
            </w:pPr>
            <w:r>
              <w:rPr>
                <w:rFonts w:ascii="Arial Narrow" w:hAnsi="Arial Narrow"/>
                <w:sz w:val="20"/>
                <w:szCs w:val="20"/>
              </w:rPr>
              <w:t xml:space="preserve">Item XXXXX (IVUS) can only be claimed in association with items </w:t>
            </w:r>
            <w:r w:rsidRPr="003C76DB">
              <w:rPr>
                <w:rFonts w:ascii="Arial Narrow" w:hAnsi="Arial Narrow"/>
                <w:sz w:val="20"/>
                <w:szCs w:val="20"/>
              </w:rPr>
              <w:t>38311, 38313, 38314, 38320, 38322, 38323</w:t>
            </w:r>
            <w:r>
              <w:rPr>
                <w:rFonts w:ascii="Arial Narrow" w:hAnsi="Arial Narrow"/>
                <w:b/>
                <w:bCs/>
                <w:sz w:val="20"/>
                <w:szCs w:val="20"/>
              </w:rPr>
              <w:t xml:space="preserve"> if;</w:t>
            </w:r>
          </w:p>
          <w:p w14:paraId="28BCB4ED" w14:textId="5975EDA8" w:rsidR="00CC3555" w:rsidRDefault="00CC3555" w:rsidP="00CC3555">
            <w:pPr>
              <w:pStyle w:val="ListParagraph"/>
              <w:numPr>
                <w:ilvl w:val="0"/>
                <w:numId w:val="22"/>
              </w:numPr>
              <w:spacing w:before="40" w:after="40" w:line="192" w:lineRule="auto"/>
              <w:rPr>
                <w:rFonts w:ascii="Arial Narrow" w:hAnsi="Arial Narrow"/>
                <w:sz w:val="20"/>
                <w:szCs w:val="20"/>
              </w:rPr>
            </w:pPr>
            <w:r w:rsidRPr="00925EF8">
              <w:rPr>
                <w:rFonts w:ascii="Arial Narrow" w:hAnsi="Arial Narrow"/>
                <w:sz w:val="20"/>
                <w:szCs w:val="20"/>
              </w:rPr>
              <w:t xml:space="preserve">The patient meets </w:t>
            </w:r>
            <w:r w:rsidR="00294BF8">
              <w:rPr>
                <w:rFonts w:ascii="Arial Narrow" w:hAnsi="Arial Narrow"/>
                <w:sz w:val="20"/>
                <w:szCs w:val="20"/>
              </w:rPr>
              <w:t xml:space="preserve">the requirements of Clause 5.10.17C referenced in </w:t>
            </w:r>
            <w:r w:rsidRPr="00925EF8">
              <w:rPr>
                <w:rFonts w:ascii="Arial Narrow" w:hAnsi="Arial Narrow"/>
                <w:sz w:val="20"/>
                <w:szCs w:val="20"/>
              </w:rPr>
              <w:t>explanatory note TR.8.</w:t>
            </w:r>
            <w:r w:rsidR="00294BF8">
              <w:rPr>
                <w:rFonts w:ascii="Arial Narrow" w:hAnsi="Arial Narrow"/>
                <w:sz w:val="20"/>
                <w:szCs w:val="20"/>
              </w:rPr>
              <w:t>4</w:t>
            </w:r>
            <w:r>
              <w:rPr>
                <w:rFonts w:ascii="Arial Narrow" w:hAnsi="Arial Narrow"/>
                <w:sz w:val="20"/>
                <w:szCs w:val="20"/>
              </w:rPr>
              <w:t>; and</w:t>
            </w:r>
          </w:p>
          <w:p w14:paraId="74ECA567" w14:textId="7B9EA58C" w:rsidR="00136C81" w:rsidRPr="00AC6835" w:rsidRDefault="00CC3555" w:rsidP="003C76DB">
            <w:pPr>
              <w:pStyle w:val="ListParagraph"/>
              <w:numPr>
                <w:ilvl w:val="0"/>
                <w:numId w:val="22"/>
              </w:numPr>
              <w:spacing w:before="40" w:after="40" w:line="192" w:lineRule="auto"/>
              <w:rPr>
                <w:rFonts w:ascii="Arial Narrow" w:hAnsi="Arial Narrow"/>
                <w:sz w:val="20"/>
                <w:szCs w:val="20"/>
              </w:rPr>
            </w:pPr>
            <w:r>
              <w:rPr>
                <w:rFonts w:ascii="Arial Narrow" w:hAnsi="Arial Narrow"/>
                <w:sz w:val="20"/>
                <w:szCs w:val="20"/>
              </w:rPr>
              <w:t>The patient meets one of the indications listed in item XXXXX for the lesion being treated.</w:t>
            </w:r>
          </w:p>
        </w:tc>
      </w:tr>
    </w:tbl>
    <w:p w14:paraId="1C753CCC" w14:textId="77777777" w:rsidR="007923AA" w:rsidRPr="005E5F69" w:rsidRDefault="007923AA" w:rsidP="004A2599">
      <w:pPr>
        <w:spacing w:before="0" w:after="240"/>
        <w:rPr>
          <w:szCs w:val="24"/>
        </w:rPr>
      </w:pPr>
    </w:p>
    <w:tbl>
      <w:tblPr>
        <w:tblStyle w:val="TableGrid"/>
        <w:tblW w:w="0" w:type="auto"/>
        <w:tblLook w:val="04A0" w:firstRow="1" w:lastRow="0" w:firstColumn="1" w:lastColumn="0" w:noHBand="0" w:noVBand="1"/>
        <w:tblDescription w:val="Consumer summary of MSAC consideration"/>
      </w:tblPr>
      <w:tblGrid>
        <w:gridCol w:w="9016"/>
      </w:tblGrid>
      <w:tr w:rsidR="005F6A3D" w:rsidRPr="005F6A3D" w14:paraId="32FB8B18" w14:textId="77777777" w:rsidTr="005F6A3D">
        <w:trPr>
          <w:tblHeader/>
        </w:trPr>
        <w:tc>
          <w:tcPr>
            <w:tcW w:w="9016" w:type="dxa"/>
          </w:tcPr>
          <w:p w14:paraId="26D776F6" w14:textId="77777777" w:rsidR="005F6A3D" w:rsidRPr="00E04DF9" w:rsidRDefault="005F6A3D" w:rsidP="00D83DA2">
            <w:pPr>
              <w:pStyle w:val="Heading3"/>
              <w:spacing w:before="120" w:after="120"/>
              <w:outlineLvl w:val="2"/>
              <w:rPr>
                <w:rFonts w:ascii="Franklin Gothic Book" w:eastAsiaTheme="minorHAnsi" w:hAnsi="Franklin Gothic Book" w:cstheme="minorBidi"/>
                <w:b/>
                <w:bCs/>
                <w:iCs/>
                <w:sz w:val="22"/>
                <w:szCs w:val="22"/>
              </w:rPr>
            </w:pPr>
            <w:r w:rsidRPr="00E04DF9">
              <w:rPr>
                <w:b/>
                <w:bCs/>
                <w:sz w:val="22"/>
                <w:szCs w:val="22"/>
              </w:rPr>
              <w:t>Consumer summary</w:t>
            </w:r>
          </w:p>
        </w:tc>
      </w:tr>
      <w:tr w:rsidR="005F6A3D" w:rsidRPr="005F6A3D" w14:paraId="33159EE5" w14:textId="77777777" w:rsidTr="005F6A3D">
        <w:tc>
          <w:tcPr>
            <w:tcW w:w="9016" w:type="dxa"/>
          </w:tcPr>
          <w:p w14:paraId="216C7F7D" w14:textId="77777777" w:rsidR="004A2599" w:rsidRPr="004A2599" w:rsidRDefault="004A2599" w:rsidP="004A2599">
            <w:pPr>
              <w:pStyle w:val="Default"/>
              <w:spacing w:after="240"/>
              <w:rPr>
                <w:rFonts w:ascii="Franklin Gothic Book" w:eastAsiaTheme="minorHAnsi" w:hAnsi="Franklin Gothic Book" w:cstheme="minorBidi"/>
                <w:iCs/>
                <w:color w:val="auto"/>
                <w:sz w:val="22"/>
                <w:szCs w:val="22"/>
              </w:rPr>
            </w:pPr>
            <w:r w:rsidRPr="004A2599">
              <w:rPr>
                <w:rFonts w:ascii="Franklin Gothic Book" w:eastAsiaTheme="minorHAnsi" w:hAnsi="Franklin Gothic Book" w:cstheme="minorBidi"/>
                <w:iCs/>
                <w:color w:val="auto"/>
                <w:sz w:val="22"/>
                <w:szCs w:val="22"/>
              </w:rPr>
              <w:t>This is an application from Boston Scientific requesting Medicare Benefits Schedule (MBS) listing of intravascular ultrasound (IVUS) guided coronary stent insertion as an additional treatment to invasive coronary angiogram for patients undergoing percutaneous coronary intervention (PCI).</w:t>
            </w:r>
          </w:p>
          <w:p w14:paraId="5A639A47" w14:textId="77777777" w:rsidR="004A2599" w:rsidRPr="004A2599" w:rsidRDefault="004A2599" w:rsidP="004A2599">
            <w:pPr>
              <w:pStyle w:val="Default"/>
              <w:spacing w:after="240"/>
              <w:rPr>
                <w:rFonts w:ascii="Franklin Gothic Book" w:eastAsiaTheme="minorHAnsi" w:hAnsi="Franklin Gothic Book" w:cstheme="minorBidi"/>
                <w:iCs/>
                <w:color w:val="auto"/>
                <w:sz w:val="22"/>
                <w:szCs w:val="22"/>
              </w:rPr>
            </w:pPr>
            <w:r w:rsidRPr="004A2599">
              <w:rPr>
                <w:rFonts w:ascii="Franklin Gothic Book" w:eastAsiaTheme="minorHAnsi" w:hAnsi="Franklin Gothic Book" w:cstheme="minorBidi"/>
                <w:iCs/>
                <w:color w:val="auto"/>
                <w:sz w:val="22"/>
                <w:szCs w:val="22"/>
              </w:rPr>
              <w:t>Coronary artery disease is a narrowing (stenosis) or blockage of arteries in the heart due to plaque build-up (atherosclerosis). A coronary stent (a small tube) can be placed in these arteries to open them up and improve blood flow. This procedure is called percutaneous coronary intervention. To work out the best type of treatment and the type of stent that should be used, and to help guide stent placement, clinicians use imaging techniques to see the arteries. These include coronary angiogram (a type of X-ray) and intravascular ultrasound (a test that uses soundwaves to see inside blood vessels).</w:t>
            </w:r>
          </w:p>
          <w:p w14:paraId="3A2274A7" w14:textId="204A7DBB" w:rsidR="004A2599" w:rsidRPr="004A2599" w:rsidRDefault="004A2599" w:rsidP="004A2599">
            <w:pPr>
              <w:pStyle w:val="Default"/>
              <w:spacing w:after="240"/>
              <w:rPr>
                <w:rFonts w:ascii="Franklin Gothic Book" w:eastAsiaTheme="minorHAnsi" w:hAnsi="Franklin Gothic Book" w:cstheme="minorBidi"/>
                <w:iCs/>
                <w:color w:val="auto"/>
                <w:sz w:val="22"/>
                <w:szCs w:val="22"/>
              </w:rPr>
            </w:pPr>
            <w:r w:rsidRPr="004A2599">
              <w:rPr>
                <w:rFonts w:ascii="Franklin Gothic Book" w:eastAsiaTheme="minorHAnsi" w:hAnsi="Franklin Gothic Book" w:cstheme="minorBidi"/>
                <w:iCs/>
                <w:color w:val="auto"/>
                <w:sz w:val="22"/>
                <w:szCs w:val="22"/>
              </w:rPr>
              <w:t>MSAC considered IVUS-guided PCI to be a safe procedure when compared to PCI without IVUS. However, MSAC considered that IVUS would be more effective and cost-effective for people who have complex artery lesions (</w:t>
            </w:r>
            <w:r w:rsidR="00CF21B6">
              <w:rPr>
                <w:rFonts w:ascii="Franklin Gothic Book" w:eastAsiaTheme="minorHAnsi" w:hAnsi="Franklin Gothic Book" w:cstheme="minorBidi"/>
                <w:iCs/>
                <w:color w:val="auto"/>
                <w:sz w:val="22"/>
                <w:szCs w:val="22"/>
              </w:rPr>
              <w:t>narrowings</w:t>
            </w:r>
            <w:r w:rsidRPr="004A2599">
              <w:rPr>
                <w:rFonts w:ascii="Franklin Gothic Book" w:eastAsiaTheme="minorHAnsi" w:hAnsi="Franklin Gothic Book" w:cstheme="minorBidi"/>
                <w:iCs/>
                <w:color w:val="auto"/>
                <w:sz w:val="22"/>
                <w:szCs w:val="22"/>
              </w:rPr>
              <w:t xml:space="preserve">) – specifically, people with lesions in the left main coronary artery or lesions that are 28 mm or more in length – than an all-comers population (all patients </w:t>
            </w:r>
            <w:r w:rsidR="00CF21B6">
              <w:rPr>
                <w:rFonts w:ascii="Franklin Gothic Book" w:eastAsiaTheme="minorHAnsi" w:hAnsi="Franklin Gothic Book" w:cstheme="minorBidi"/>
                <w:iCs/>
                <w:color w:val="auto"/>
                <w:sz w:val="22"/>
                <w:szCs w:val="22"/>
              </w:rPr>
              <w:t>receiving</w:t>
            </w:r>
            <w:r w:rsidRPr="004A2599">
              <w:rPr>
                <w:rFonts w:ascii="Franklin Gothic Book" w:eastAsiaTheme="minorHAnsi" w:hAnsi="Franklin Gothic Book" w:cstheme="minorBidi"/>
                <w:iCs/>
                <w:color w:val="auto"/>
                <w:sz w:val="22"/>
                <w:szCs w:val="22"/>
              </w:rPr>
              <w:t xml:space="preserve"> PCI). MSAC considered that IVUS-guided PCI was </w:t>
            </w:r>
            <w:r w:rsidR="00CF21B6">
              <w:rPr>
                <w:rFonts w:ascii="Franklin Gothic Book" w:eastAsiaTheme="minorHAnsi" w:hAnsi="Franklin Gothic Book" w:cstheme="minorBidi"/>
                <w:iCs/>
                <w:color w:val="auto"/>
                <w:sz w:val="22"/>
                <w:szCs w:val="22"/>
              </w:rPr>
              <w:t xml:space="preserve">less </w:t>
            </w:r>
            <w:r w:rsidRPr="004A2599">
              <w:rPr>
                <w:rFonts w:ascii="Franklin Gothic Book" w:eastAsiaTheme="minorHAnsi" w:hAnsi="Franklin Gothic Book" w:cstheme="minorBidi"/>
                <w:iCs/>
                <w:color w:val="auto"/>
                <w:sz w:val="22"/>
                <w:szCs w:val="22"/>
              </w:rPr>
              <w:t>effective</w:t>
            </w:r>
            <w:r w:rsidR="00CF21B6">
              <w:rPr>
                <w:rFonts w:ascii="Franklin Gothic Book" w:eastAsiaTheme="minorHAnsi" w:hAnsi="Franklin Gothic Book" w:cstheme="minorBidi"/>
                <w:iCs/>
                <w:color w:val="auto"/>
                <w:sz w:val="22"/>
                <w:szCs w:val="22"/>
              </w:rPr>
              <w:t xml:space="preserve"> and</w:t>
            </w:r>
            <w:r w:rsidRPr="004A2599">
              <w:rPr>
                <w:rFonts w:ascii="Franklin Gothic Book" w:eastAsiaTheme="minorHAnsi" w:hAnsi="Franklin Gothic Book" w:cstheme="minorBidi"/>
                <w:iCs/>
                <w:color w:val="auto"/>
                <w:sz w:val="22"/>
                <w:szCs w:val="22"/>
              </w:rPr>
              <w:t xml:space="preserve"> cost-effective for </w:t>
            </w:r>
            <w:r w:rsidR="00475D78">
              <w:rPr>
                <w:rFonts w:ascii="Franklin Gothic Book" w:eastAsiaTheme="minorHAnsi" w:hAnsi="Franklin Gothic Book" w:cstheme="minorBidi"/>
                <w:iCs/>
                <w:color w:val="auto"/>
                <w:sz w:val="22"/>
                <w:szCs w:val="22"/>
              </w:rPr>
              <w:t xml:space="preserve">all patients </w:t>
            </w:r>
            <w:r w:rsidR="00CF21B6">
              <w:rPr>
                <w:rFonts w:ascii="Franklin Gothic Book" w:eastAsiaTheme="minorHAnsi" w:hAnsi="Franklin Gothic Book" w:cstheme="minorBidi"/>
                <w:iCs/>
                <w:color w:val="auto"/>
                <w:sz w:val="22"/>
                <w:szCs w:val="22"/>
              </w:rPr>
              <w:t xml:space="preserve">receiving </w:t>
            </w:r>
            <w:r w:rsidR="00475D78">
              <w:rPr>
                <w:rFonts w:ascii="Franklin Gothic Book" w:eastAsiaTheme="minorHAnsi" w:hAnsi="Franklin Gothic Book" w:cstheme="minorBidi"/>
                <w:iCs/>
                <w:color w:val="auto"/>
                <w:sz w:val="22"/>
                <w:szCs w:val="22"/>
              </w:rPr>
              <w:t>PCI</w:t>
            </w:r>
            <w:r w:rsidRPr="004A2599">
              <w:rPr>
                <w:rFonts w:ascii="Franklin Gothic Book" w:eastAsiaTheme="minorHAnsi" w:hAnsi="Franklin Gothic Book" w:cstheme="minorBidi"/>
                <w:iCs/>
                <w:color w:val="auto"/>
                <w:sz w:val="22"/>
                <w:szCs w:val="22"/>
              </w:rPr>
              <w:t>, and there would be large financial costs if IVUS could be claimed for these patients.</w:t>
            </w:r>
          </w:p>
          <w:p w14:paraId="6E17C8B6" w14:textId="64C621BC" w:rsidR="004A2599" w:rsidRDefault="004A2599" w:rsidP="004A2599">
            <w:pPr>
              <w:pStyle w:val="Heading3"/>
              <w:spacing w:before="120" w:after="120"/>
              <w:outlineLvl w:val="2"/>
              <w:rPr>
                <w:rFonts w:ascii="Franklin Gothic Book" w:eastAsiaTheme="minorHAnsi" w:hAnsi="Franklin Gothic Book" w:cstheme="minorBidi"/>
                <w:iCs/>
                <w:sz w:val="22"/>
                <w:szCs w:val="22"/>
              </w:rPr>
            </w:pPr>
            <w:r w:rsidRPr="004A2599">
              <w:rPr>
                <w:rFonts w:ascii="Franklin Gothic Book" w:eastAsiaTheme="minorHAnsi" w:hAnsi="Franklin Gothic Book" w:cstheme="minorBidi"/>
                <w:iCs/>
                <w:sz w:val="22"/>
                <w:szCs w:val="22"/>
              </w:rPr>
              <w:lastRenderedPageBreak/>
              <w:t>MSAC considered that IVUS should only be used by accredited providers or those with specific training and advised that appropriate standards and accreditation would need to be developed before this service is listed on the MBS.</w:t>
            </w:r>
          </w:p>
          <w:p w14:paraId="4EEDFD3F" w14:textId="22B3FDAE" w:rsidR="005F6A3D" w:rsidRPr="00E04DF9" w:rsidRDefault="005F6A3D" w:rsidP="004A2599">
            <w:pPr>
              <w:pStyle w:val="Heading3"/>
              <w:spacing w:before="120" w:after="120"/>
              <w:outlineLvl w:val="2"/>
              <w:rPr>
                <w:b/>
                <w:bCs/>
                <w:sz w:val="22"/>
                <w:szCs w:val="22"/>
              </w:rPr>
            </w:pPr>
            <w:r w:rsidRPr="00E04DF9">
              <w:rPr>
                <w:b/>
                <w:bCs/>
                <w:sz w:val="22"/>
                <w:szCs w:val="22"/>
              </w:rPr>
              <w:t>MSAC’s advice to the Commonwealth Minister for Health</w:t>
            </w:r>
          </w:p>
          <w:p w14:paraId="1B19426A" w14:textId="15AA5D4D" w:rsidR="005F6A3D" w:rsidRPr="005F6A3D" w:rsidRDefault="004A2599" w:rsidP="005F6A3D">
            <w:pPr>
              <w:pStyle w:val="Default"/>
              <w:spacing w:after="240"/>
              <w:rPr>
                <w:rFonts w:ascii="Franklin Gothic Book" w:eastAsiaTheme="minorHAnsi" w:hAnsi="Franklin Gothic Book" w:cstheme="minorBidi"/>
                <w:iCs/>
                <w:color w:val="auto"/>
                <w:sz w:val="22"/>
                <w:szCs w:val="22"/>
              </w:rPr>
            </w:pPr>
            <w:r w:rsidRPr="004A2599">
              <w:rPr>
                <w:rFonts w:ascii="Franklin Gothic Book" w:eastAsiaTheme="minorHAnsi" w:hAnsi="Franklin Gothic Book" w:cstheme="minorBidi"/>
                <w:iCs/>
                <w:color w:val="auto"/>
                <w:sz w:val="22"/>
                <w:szCs w:val="22"/>
              </w:rPr>
              <w:t xml:space="preserve">MSAC supported public funding for IVUS-guided coronary stent insertion for left main coronary artery lesions or lesions in other locations with a length of 28 mm or more. MSAC did not support funding this service for </w:t>
            </w:r>
            <w:r w:rsidR="00475D78">
              <w:rPr>
                <w:rFonts w:ascii="Franklin Gothic Book" w:eastAsiaTheme="minorHAnsi" w:hAnsi="Franklin Gothic Book" w:cstheme="minorBidi"/>
                <w:iCs/>
                <w:color w:val="auto"/>
                <w:sz w:val="22"/>
                <w:szCs w:val="22"/>
              </w:rPr>
              <w:t xml:space="preserve">all patients </w:t>
            </w:r>
            <w:r w:rsidR="00CF21B6">
              <w:rPr>
                <w:rFonts w:ascii="Franklin Gothic Book" w:eastAsiaTheme="minorHAnsi" w:hAnsi="Franklin Gothic Book" w:cstheme="minorBidi"/>
                <w:iCs/>
                <w:color w:val="auto"/>
                <w:sz w:val="22"/>
                <w:szCs w:val="22"/>
              </w:rPr>
              <w:t>receiving</w:t>
            </w:r>
            <w:r w:rsidR="00475D78">
              <w:rPr>
                <w:rFonts w:ascii="Franklin Gothic Book" w:eastAsiaTheme="minorHAnsi" w:hAnsi="Franklin Gothic Book" w:cstheme="minorBidi"/>
                <w:iCs/>
                <w:color w:val="auto"/>
                <w:sz w:val="22"/>
                <w:szCs w:val="22"/>
              </w:rPr>
              <w:t xml:space="preserve"> PCI</w:t>
            </w:r>
            <w:r w:rsidRPr="004A2599">
              <w:rPr>
                <w:rFonts w:ascii="Franklin Gothic Book" w:eastAsiaTheme="minorHAnsi" w:hAnsi="Franklin Gothic Book" w:cstheme="minorBidi"/>
                <w:iCs/>
                <w:color w:val="auto"/>
                <w:sz w:val="22"/>
                <w:szCs w:val="22"/>
              </w:rPr>
              <w:t xml:space="preserve">. MSAC considered IVUS to have superior effectiveness, acceptable cost-effectiveness and financial impact for the higher risk population with complex lesions, and that this was not satisfactorily demonstrated for </w:t>
            </w:r>
            <w:r w:rsidR="00475D78">
              <w:rPr>
                <w:rFonts w:ascii="Franklin Gothic Book" w:eastAsiaTheme="minorHAnsi" w:hAnsi="Franklin Gothic Book" w:cstheme="minorBidi"/>
                <w:iCs/>
                <w:color w:val="auto"/>
                <w:sz w:val="22"/>
                <w:szCs w:val="22"/>
              </w:rPr>
              <w:t xml:space="preserve">all patients </w:t>
            </w:r>
            <w:r w:rsidR="00CF21B6">
              <w:rPr>
                <w:rFonts w:ascii="Franklin Gothic Book" w:eastAsiaTheme="minorHAnsi" w:hAnsi="Franklin Gothic Book" w:cstheme="minorBidi"/>
                <w:iCs/>
                <w:color w:val="auto"/>
                <w:sz w:val="22"/>
                <w:szCs w:val="22"/>
              </w:rPr>
              <w:t>receiving</w:t>
            </w:r>
            <w:r w:rsidR="00475D78">
              <w:rPr>
                <w:rFonts w:ascii="Franklin Gothic Book" w:eastAsiaTheme="minorHAnsi" w:hAnsi="Franklin Gothic Book" w:cstheme="minorBidi"/>
                <w:iCs/>
                <w:color w:val="auto"/>
                <w:sz w:val="22"/>
                <w:szCs w:val="22"/>
              </w:rPr>
              <w:t xml:space="preserve"> PCI</w:t>
            </w:r>
            <w:r w:rsidRPr="004A2599">
              <w:rPr>
                <w:rFonts w:ascii="Franklin Gothic Book" w:eastAsiaTheme="minorHAnsi" w:hAnsi="Franklin Gothic Book" w:cstheme="minorBidi"/>
                <w:iCs/>
                <w:color w:val="auto"/>
                <w:sz w:val="22"/>
                <w:szCs w:val="22"/>
              </w:rPr>
              <w:t>. MSAC advised that IVUS training and accreditation programs should be in place before implementation.</w:t>
            </w:r>
          </w:p>
        </w:tc>
      </w:tr>
    </w:tbl>
    <w:p w14:paraId="4D0C6319" w14:textId="190F0221" w:rsidR="005F6A3D" w:rsidRDefault="005F6A3D" w:rsidP="002A18BE">
      <w:pPr>
        <w:pStyle w:val="Heading2"/>
        <w:numPr>
          <w:ilvl w:val="0"/>
          <w:numId w:val="0"/>
        </w:numPr>
      </w:pPr>
      <w:bookmarkStart w:id="2" w:name="_Toc69491416"/>
      <w:bookmarkEnd w:id="1"/>
      <w:r w:rsidRPr="005F6A3D">
        <w:lastRenderedPageBreak/>
        <w:t>3.</w:t>
      </w:r>
      <w:r w:rsidRPr="005F6A3D">
        <w:tab/>
        <w:t>Summary of consideration and rationale for MSAC’s advice</w:t>
      </w:r>
    </w:p>
    <w:p w14:paraId="45A6469C" w14:textId="77777777" w:rsidR="004A2599" w:rsidRDefault="004A2599" w:rsidP="004A2599">
      <w:r w:rsidRPr="00516D4E">
        <w:t>MSAC</w:t>
      </w:r>
      <w:r>
        <w:t xml:space="preserve"> noted that this application from Boston Scientific is for Medicare Benefits Schedule (MBS) listing of intravascular ultrasound– (IVUS-) guided coronary stent insertion as an adjunct to invasive coronary angiogram for patients undergoing percutaneous coronary intervention (PCI). The service would be exclusively used in the catheterisation laboratory setting for the treatment of coronary artery disease.</w:t>
      </w:r>
    </w:p>
    <w:p w14:paraId="16EFAE35" w14:textId="2B0610E7" w:rsidR="004A2599" w:rsidRDefault="004A2599" w:rsidP="004A2599">
      <w:r>
        <w:t>MSAC noted that there have been two previous applications to MSAC for IVUS. In the first application (MSAC Application 1032) submitted in 2001, IVUS was assessed as both a diagnostic and therapeutic tool for cardiac stent optimisation; MSAC deemed the clinical evidence and cost-effectiveness data insufficient to support IVUS use. In the second application (MSAC Application 1354) submitted in 2015, IVUS was assessed as a therapeutic tool for optimisation of drug eluting stent (DES) or bare metal stent (BMS) placement; MSAC did not support the application due to uncertain clinical effectiveness and cost-effectiveness estimates in the proposed patient population. MSAC noted that the current application is for the use of IVUS as a therapeutic tool.</w:t>
      </w:r>
    </w:p>
    <w:p w14:paraId="03FAF170" w14:textId="4CF081C5" w:rsidR="004A2599" w:rsidRPr="00516D4E" w:rsidRDefault="004A2599" w:rsidP="004A2599">
      <w:r>
        <w:t xml:space="preserve">MSAC noted that there were two population group options included in the </w:t>
      </w:r>
      <w:r w:rsidR="00681DC9">
        <w:t>resubmission</w:t>
      </w:r>
      <w:r>
        <w:t xml:space="preserve">: </w:t>
      </w:r>
      <w:r w:rsidR="006258C7">
        <w:t xml:space="preserve">- </w:t>
      </w:r>
      <w:r>
        <w:t>an all-comers population</w:t>
      </w:r>
      <w:r w:rsidR="00681DC9" w:rsidRPr="00681DC9">
        <w:t xml:space="preserve"> </w:t>
      </w:r>
      <w:r w:rsidR="00681DC9">
        <w:t xml:space="preserve">(population 1) </w:t>
      </w:r>
      <w:r w:rsidR="006258C7">
        <w:t xml:space="preserve">as an adjunct </w:t>
      </w:r>
      <w:r>
        <w:t xml:space="preserve">to PCI for </w:t>
      </w:r>
      <w:r w:rsidRPr="00B10F8D">
        <w:t>DES</w:t>
      </w:r>
      <w:r>
        <w:t xml:space="preserve"> insertion, and an alternative option of patients with a coronary lesion eligible for DES insertion and complex anatomical characteristics</w:t>
      </w:r>
      <w:r w:rsidR="00681DC9">
        <w:t xml:space="preserve"> (population 2)</w:t>
      </w:r>
      <w:r w:rsidR="006258C7">
        <w:t>.</w:t>
      </w:r>
      <w:r>
        <w:t xml:space="preserve"> </w:t>
      </w:r>
      <w:r w:rsidR="006258C7">
        <w:t>W</w:t>
      </w:r>
      <w:r>
        <w:t>ith</w:t>
      </w:r>
      <w:r w:rsidR="006258C7">
        <w:t xml:space="preserve">in </w:t>
      </w:r>
      <w:r w:rsidR="00681DC9">
        <w:t>the complex anatomical characteristics population</w:t>
      </w:r>
      <w:r w:rsidR="006258C7">
        <w:t>,</w:t>
      </w:r>
      <w:r>
        <w:t xml:space="preserve"> two subpopulations </w:t>
      </w:r>
      <w:r w:rsidR="006258C7">
        <w:t xml:space="preserve">were </w:t>
      </w:r>
      <w:r>
        <w:t xml:space="preserve">defined as either </w:t>
      </w:r>
      <w:r w:rsidR="006258C7">
        <w:t xml:space="preserve">a </w:t>
      </w:r>
      <w:r>
        <w:t>left main coronary artery lesion (i.e. left main lesions) or lesion length of 28 mm or more (i.e. long lesions).</w:t>
      </w:r>
    </w:p>
    <w:p w14:paraId="4D0D026B" w14:textId="77777777" w:rsidR="004A2599" w:rsidRDefault="004A2599" w:rsidP="004A2599">
      <w:r>
        <w:t>MSAC noted there were two item descriptors proposed – one for each population group.</w:t>
      </w:r>
    </w:p>
    <w:p w14:paraId="0722AD93" w14:textId="77777777" w:rsidR="004A2599" w:rsidRDefault="004A2599" w:rsidP="004A2599">
      <w:r>
        <w:t>MSAC noted several issues with the proposed item descriptors. MSAC considered that the item descriptors should state that the service is claimable once in a single episode of care (for one or more lesions). MSAC acknowledged that the pre-MSAC response agreed to remove “invasive coronary angiogram-percutaneous angioplasty” from the item descriptor, as it may unintentionally preclude use of IVUS with standalone PCI where selective angiography has been performed in the previous 3 months.</w:t>
      </w:r>
    </w:p>
    <w:p w14:paraId="586986B1" w14:textId="67CCE326" w:rsidR="004A2599" w:rsidRPr="00FD21FD" w:rsidRDefault="004A2599" w:rsidP="004A2599">
      <w:pPr>
        <w:rPr>
          <w:color w:val="FF0000"/>
        </w:rPr>
      </w:pPr>
      <w:r>
        <w:t xml:space="preserve">MSAC noted that the proposed item descriptor for the all-comers population limited the use of IVUS to patients with significant stenoses. MSAC noted the threshold of stenosis, defined as 50% of the lumen or more, does not </w:t>
      </w:r>
      <w:r w:rsidR="006258C7">
        <w:t>match</w:t>
      </w:r>
      <w:r>
        <w:t xml:space="preserve"> the threshold specified in MBS explanatory note TR.8.4 for stable PCI indications (defined as 70%). </w:t>
      </w:r>
      <w:r w:rsidRPr="0086159A">
        <w:t xml:space="preserve">The degree of vessel stenosis measured in two dimensions alone does not necessarily reflect the three-dimensional anatomy of the vessel </w:t>
      </w:r>
      <w:r w:rsidRPr="0086159A">
        <w:lastRenderedPageBreak/>
        <w:t>(proposed to be determinable by IVUS) or consequent complexity of stent insertion. Therefore, despite the stenosis threshold of 50% mentioned in the proposed descriptor, IVUS could not be used unless the patient meets the stenosis threshold specified in explanatory note TR.8.4</w:t>
      </w:r>
      <w:r w:rsidR="006258C7">
        <w:t>.</w:t>
      </w:r>
    </w:p>
    <w:p w14:paraId="6361072B" w14:textId="4E5D17C0" w:rsidR="004A2599" w:rsidRDefault="004A2599" w:rsidP="004A2599">
      <w:r>
        <w:t>MSAC also noted that the proposed item descriptor for patients with complex anatomical characteristics</w:t>
      </w:r>
      <w:r w:rsidR="006258C7">
        <w:t>,</w:t>
      </w:r>
      <w:r>
        <w:t xml:space="preserve"> did not include a stenosis threshold, and considered this should be added. MSAC </w:t>
      </w:r>
      <w:r w:rsidR="00181016">
        <w:t xml:space="preserve">noted the pre-MSAC response which </w:t>
      </w:r>
      <w:r>
        <w:t xml:space="preserve">the applicant agreed with ESC that the item descriptor can remove the need for PCI to be appropriately determined by a heart team, as this is already part of explanatory note TR.8.4 for PCI. Also, regarding the explanatory note, MSAC considered that the item descriptor could include </w:t>
      </w:r>
      <w:r w:rsidR="00956BB0">
        <w:t>sub</w:t>
      </w:r>
      <w:r>
        <w:t>clause 2 of TR.8.2, which relates to PCI with stenting for selective coronary angiography indications, as a reminder that this service is a part of the PCI recommendations.</w:t>
      </w:r>
    </w:p>
    <w:p w14:paraId="35C0C34F" w14:textId="1E7D5889" w:rsidR="004A2599" w:rsidRDefault="004A2599" w:rsidP="004A2599">
      <w:r>
        <w:t xml:space="preserve">MSAC noted that MBS fee for IVUS ($488.70) was based on MBS item 38241 for use of a coronary pressure wire to measure fractional flow reserve (FFR). MSAC considered that </w:t>
      </w:r>
      <w:r w:rsidR="00BD1E14">
        <w:t>despite differences in complexity and resource use</w:t>
      </w:r>
      <w:r w:rsidR="00A947A3">
        <w:t>,</w:t>
      </w:r>
      <w:r w:rsidR="00BD1E14">
        <w:t xml:space="preserve"> the fee was reasonable. </w:t>
      </w:r>
    </w:p>
    <w:p w14:paraId="42743CE8" w14:textId="7616A970" w:rsidR="004A2599" w:rsidRDefault="004A2599" w:rsidP="004A2599">
      <w:pPr>
        <w:spacing w:before="240"/>
      </w:pPr>
      <w:r>
        <w:t>MSAC noted that, since the previous submission in 2015, five randomised controlled trials (RCTs) with extended follow-up have been published that support the use of IVUS in these patient populations. MSAC noted that this evidence was supported by a published meta-analysis</w:t>
      </w:r>
      <w:r w:rsidR="00D044FE">
        <w:rPr>
          <w:rStyle w:val="FootnoteReference"/>
        </w:rPr>
        <w:footnoteReference w:id="2"/>
      </w:r>
      <w:r>
        <w:t>, a real-world study</w:t>
      </w:r>
      <w:r w:rsidR="00D044FE">
        <w:rPr>
          <w:rStyle w:val="FootnoteReference"/>
        </w:rPr>
        <w:footnoteReference w:id="3"/>
      </w:r>
      <w:r>
        <w:t>, and a large-scale, prospective, multicentre, nonrandomised all-comers study that demonstrates IVUS-guided PCI is associated with reduced risk of myocardial infarction (MI) and death.</w:t>
      </w:r>
    </w:p>
    <w:p w14:paraId="00516973" w14:textId="3A03A8CF" w:rsidR="004A2599" w:rsidRDefault="004A2599" w:rsidP="004A2599">
      <w:r>
        <w:t>MSAC noted the main source of evidence for the all-comers population was an adequately sized (approximately 1,500 patients) RCT from China (ULTIMATE trial</w:t>
      </w:r>
      <w:r>
        <w:rPr>
          <w:rStyle w:val="FootnoteReference"/>
        </w:rPr>
        <w:footnoteReference w:id="4"/>
      </w:r>
      <w:r>
        <w:t>) that had 1- and 3</w:t>
      </w:r>
      <w:r>
        <w:noBreakHyphen/>
        <w:t>year follow-up data (with plans for 5</w:t>
      </w:r>
      <w:r>
        <w:noBreakHyphen/>
        <w:t xml:space="preserve">year follow-up). MSAC noted there was some concern raised in the commentary about the potential risk of selection bias for the ULTIMATE trial but considered </w:t>
      </w:r>
      <w:r w:rsidR="00753D02">
        <w:t>the risk low</w:t>
      </w:r>
      <w:r>
        <w:t xml:space="preserve"> because participants were randomised using a valid, although old-fashioned, method. MSAC also acknowledged the open-label nature of the trial could introduce the risk of performance bias, but considered it was difficult to eliminate this risk in an ethical way for this type of study as patients and centres cannot be blinded from knowing that they are receiving IVUS.</w:t>
      </w:r>
    </w:p>
    <w:p w14:paraId="18C10934" w14:textId="6E3A1766" w:rsidR="004A2599" w:rsidRDefault="004A2599" w:rsidP="004A2599">
      <w:r>
        <w:t>MSAC noted that the evidence for the subpopulation</w:t>
      </w:r>
      <w:r w:rsidR="00FD6F40">
        <w:t xml:space="preserve"> of patients with</w:t>
      </w:r>
      <w:r>
        <w:t xml:space="preserve"> </w:t>
      </w:r>
      <w:r w:rsidR="00BA7148">
        <w:t>long lesions</w:t>
      </w:r>
      <w:r w:rsidR="00BA7148" w:rsidRPr="00FD6F40" w:rsidDel="00BA7148">
        <w:t xml:space="preserve"> </w:t>
      </w:r>
      <w:r>
        <w:t xml:space="preserve">comprised two open-label RCTs and a meta-analysis. MSAC noted the results from the meta-analysis were not used in the economic analysis. MSAC acknowledged there </w:t>
      </w:r>
      <w:r w:rsidR="00CB22EE">
        <w:t xml:space="preserve">were </w:t>
      </w:r>
      <w:r>
        <w:t>some concerns raised in the commentary about the risk of performance bias for the open-label trials, but considered the quality of the data to be moderate.</w:t>
      </w:r>
    </w:p>
    <w:p w14:paraId="408AC2C4" w14:textId="3A8BC626" w:rsidR="004A2599" w:rsidRDefault="004A2599" w:rsidP="004A2599">
      <w:r>
        <w:t xml:space="preserve">MSAC noted the evidence for </w:t>
      </w:r>
      <w:r w:rsidRPr="00BC3C25">
        <w:t>the left main lesion subpopulation</w:t>
      </w:r>
      <w:r>
        <w:t xml:space="preserve"> comprised two RCTs. MSAC noted both studies were underpowered due to small patient numbers. However, due to the seriousness of the condition, MSAC considered the </w:t>
      </w:r>
      <w:r w:rsidR="00FD6F40">
        <w:t>risk for adverse outcomes</w:t>
      </w:r>
      <w:r>
        <w:t xml:space="preserve"> to be higher for the left main lesion subpopulation than for the other populations</w:t>
      </w:r>
      <w:r w:rsidR="00753D02">
        <w:t xml:space="preserve"> </w:t>
      </w:r>
      <w:r>
        <w:t>and noted the evidence for IVUS in the left main lesion population was favourable.</w:t>
      </w:r>
    </w:p>
    <w:p w14:paraId="265EBFDB" w14:textId="1BDF0D24" w:rsidR="004A2599" w:rsidRDefault="004A2599" w:rsidP="004A2599">
      <w:r>
        <w:lastRenderedPageBreak/>
        <w:t xml:space="preserve">MSAC noted that the safety outcomes specified in the PICO confirmation were in-hospital adverse events and complications from the use of IVUS. However, MSAC noted that the applicant-developed assessment report (ADAR) did not address these outcomes, and very limited information was available from the trial publications. Where reported, MSAC noted </w:t>
      </w:r>
      <w:r w:rsidR="00A618A4">
        <w:t xml:space="preserve">adverse </w:t>
      </w:r>
      <w:r>
        <w:t>event rates were low and there was no significant difference between arms.</w:t>
      </w:r>
    </w:p>
    <w:p w14:paraId="1BF3088E" w14:textId="6E5F160B" w:rsidR="004A2599" w:rsidRPr="00BC3C25" w:rsidRDefault="004A2599" w:rsidP="004A2599">
      <w:r>
        <w:t xml:space="preserve">For comparative safety in the all-comers population, MSAC noted the ULTIMATE trial showed that </w:t>
      </w:r>
      <w:r w:rsidR="00A618A4">
        <w:t>overall</w:t>
      </w:r>
      <w:r w:rsidR="00124A8C">
        <w:t>, clinically significant</w:t>
      </w:r>
      <w:r w:rsidR="00A618A4">
        <w:t xml:space="preserve"> </w:t>
      </w:r>
      <w:r>
        <w:t xml:space="preserve">stent thrombosis rates were significantly </w:t>
      </w:r>
      <w:r w:rsidR="00597049">
        <w:t xml:space="preserve">lower </w:t>
      </w:r>
      <w:r>
        <w:t>in patients receiving IVUS-guided PCI at 2- and 3</w:t>
      </w:r>
      <w:r>
        <w:noBreakHyphen/>
        <w:t>year follow-up</w:t>
      </w:r>
      <w:r w:rsidR="000F62ED">
        <w:t>, a</w:t>
      </w:r>
      <w:r>
        <w:t>lthough the numbers</w:t>
      </w:r>
      <w:r w:rsidR="00A618A4">
        <w:t xml:space="preserve"> of events</w:t>
      </w:r>
      <w:r>
        <w:t xml:space="preserve"> in the studies for patients with </w:t>
      </w:r>
      <w:r w:rsidR="00BA7148">
        <w:t>long lesions</w:t>
      </w:r>
      <w:r w:rsidR="00BA7148" w:rsidRPr="00A618A4" w:rsidDel="00BA7148">
        <w:t xml:space="preserve"> </w:t>
      </w:r>
      <w:r>
        <w:t>and left main lesions were quite small</w:t>
      </w:r>
      <w:r w:rsidR="000F62ED">
        <w:t xml:space="preserve">. </w:t>
      </w:r>
    </w:p>
    <w:p w14:paraId="7D066265" w14:textId="2FA31D3D" w:rsidR="00DB51A1" w:rsidRDefault="00A769AB" w:rsidP="004A2599">
      <w:r>
        <w:t>MSAC noted a</w:t>
      </w:r>
      <w:r w:rsidRPr="00A769AB">
        <w:t>ll trials were powered for composite outcomes and were unable to show statistically significant differences in cardiac mortality or myocardial infarction (MI) at any of the time points reported</w:t>
      </w:r>
      <w:r w:rsidR="004A2599">
        <w:t xml:space="preserve">. </w:t>
      </w:r>
      <w:r w:rsidR="00DB51A1" w:rsidRPr="0033269C">
        <w:t xml:space="preserve">MSAC noted the rate of MI in patients with </w:t>
      </w:r>
      <w:r w:rsidR="00DB51A1">
        <w:t>long lesions</w:t>
      </w:r>
      <w:r w:rsidR="00DB51A1" w:rsidRPr="00A618A4" w:rsidDel="00BA7148">
        <w:t xml:space="preserve"> </w:t>
      </w:r>
      <w:r w:rsidR="00DB51A1" w:rsidRPr="0033269C">
        <w:t xml:space="preserve">from the meta-analysis were very low, and there was no statistically significant difference </w:t>
      </w:r>
      <w:r w:rsidR="00DB51A1">
        <w:t>between groups</w:t>
      </w:r>
      <w:r w:rsidR="00DB51A1" w:rsidRPr="0033269C">
        <w:t xml:space="preserve">. MSAC noted that the </w:t>
      </w:r>
      <w:r w:rsidR="00DB51A1">
        <w:t xml:space="preserve">limited </w:t>
      </w:r>
      <w:r w:rsidR="00DB51A1" w:rsidRPr="0033269C">
        <w:t xml:space="preserve">results </w:t>
      </w:r>
      <w:r w:rsidR="00DB51A1">
        <w:t xml:space="preserve">could not confirm </w:t>
      </w:r>
      <w:r w:rsidR="00DB51A1" w:rsidRPr="0033269C">
        <w:t>a benefit for IVUS</w:t>
      </w:r>
      <w:r w:rsidR="00DB51A1">
        <w:t xml:space="preserve"> (but trial results were not powered to detect differences in MI).</w:t>
      </w:r>
    </w:p>
    <w:p w14:paraId="36A8C3F5" w14:textId="035F9FBA" w:rsidR="00282390" w:rsidRPr="001342D1" w:rsidRDefault="00282390" w:rsidP="00282390">
      <w:r>
        <w:t>MSAC noted further concerns raised in the commentary, and agreed with ESC, that the population in the ULTIMATE trial included relatively high-risk patients with complex coronary lesions and was not comparable to an all</w:t>
      </w:r>
      <w:r w:rsidR="0079679E">
        <w:t>-</w:t>
      </w:r>
      <w:r>
        <w:t>comers population, as these patients would be referred from low-throughput centres to high-throughput centres for speciality care. MSAC noted that proportions of complex patients recorded by the Queensland Cardiac Outcomes Registry (QCOR) were similar to those seen in the ULTIMATE trial, but only public hospitals are included in QCOR, and there are a greater proportion of less complex patients in private hospitals (where the proposed service will be accessed). MSAC noted from the commentary that subgroup analyses suggest that high-risk patients and those with complex PCI receive the greatest benefit from IVUS, so the trial may overestimate the efficacy of IVUS in Australian practice. MSAC agreed that high-risk patients with complex lesions would comparatively benefit more from this service, noting findings from the ULTIMATE trial showing greater benefit for complex lesions.</w:t>
      </w:r>
    </w:p>
    <w:p w14:paraId="358DBB00" w14:textId="77777777" w:rsidR="00282390" w:rsidRDefault="00282390" w:rsidP="00282390">
      <w:r>
        <w:t>For target lesion revascularisation rates, MSAC noted IVUS showed superior effectiveness for all populations (especially for long lesions), including at follow-up. For the all-comers population, MSAC also noted that IVUS showed some benefit for reducing the need for revascularisation.</w:t>
      </w:r>
    </w:p>
    <w:p w14:paraId="5BF1E57D" w14:textId="6F82D957" w:rsidR="004A2599" w:rsidRDefault="00DB51A1" w:rsidP="004A2599">
      <w:r>
        <w:t xml:space="preserve">In addition, </w:t>
      </w:r>
      <w:r w:rsidR="004A2599">
        <w:t>MSAC noted the ADAR included a real-world study (Mentias et al. [2020]</w:t>
      </w:r>
      <w:r w:rsidR="004A2599">
        <w:rPr>
          <w:rStyle w:val="FootnoteReference"/>
        </w:rPr>
        <w:footnoteReference w:id="5"/>
      </w:r>
      <w:r w:rsidR="004A2599">
        <w:t xml:space="preserve">) </w:t>
      </w:r>
      <w:r w:rsidR="00631EAA">
        <w:t>and IVUS meta-analysis by Elgendy et al. [2019]</w:t>
      </w:r>
      <w:r w:rsidR="00631EAA">
        <w:rPr>
          <w:rStyle w:val="FootnoteReference"/>
        </w:rPr>
        <w:footnoteReference w:id="6"/>
      </w:r>
      <w:r w:rsidR="00631EAA">
        <w:t xml:space="preserve"> </w:t>
      </w:r>
      <w:r w:rsidR="004A2599">
        <w:t>to support the effect of IVUS on mortality</w:t>
      </w:r>
      <w:r w:rsidR="00B118CA">
        <w:t xml:space="preserve"> and MI</w:t>
      </w:r>
      <w:r w:rsidR="004A2599">
        <w:t xml:space="preserve">. MSAC noted the baseline characteristics of the participants in the study </w:t>
      </w:r>
      <w:r w:rsidR="00A53DDA">
        <w:t>showed</w:t>
      </w:r>
      <w:r w:rsidR="004A2599">
        <w:t xml:space="preserve"> that the intervention group had sicker patients with more comorbidities and prior treatment. However, the sicker patients had a higher rate of stable disease, lower rates of MI and much higher rates of complex coronary intervention. MSAC considered that the underlying differences between the groups in the study introduced a potential for bias</w:t>
      </w:r>
      <w:r w:rsidR="0079679E">
        <w:t xml:space="preserve"> </w:t>
      </w:r>
      <w:r w:rsidR="004A2599">
        <w:t xml:space="preserve">and was not convinced these differences were </w:t>
      </w:r>
      <w:r w:rsidR="00A53DDA">
        <w:t xml:space="preserve">adequately </w:t>
      </w:r>
      <w:r w:rsidR="004A2599">
        <w:t>corrected for. As a result, MSAC considered the</w:t>
      </w:r>
      <w:r w:rsidR="006D61ED">
        <w:t xml:space="preserve"> supportive </w:t>
      </w:r>
      <w:r w:rsidR="004A2599">
        <w:t xml:space="preserve">data to be </w:t>
      </w:r>
      <w:r w:rsidR="00A53DDA">
        <w:t xml:space="preserve">of </w:t>
      </w:r>
      <w:r w:rsidR="004A2599">
        <w:t>low quality.</w:t>
      </w:r>
    </w:p>
    <w:p w14:paraId="474C7B31" w14:textId="2B243028" w:rsidR="004A2599" w:rsidRDefault="004A2599" w:rsidP="004A2599">
      <w:r>
        <w:t xml:space="preserve">MSAC noted two separate CUAs were conducted to model the cost-effectiveness and IVUS in the two patient populations specified in the ratified PICO and considered this to be appropriate. </w:t>
      </w:r>
    </w:p>
    <w:p w14:paraId="5C1ECEBB" w14:textId="2AFED5CE" w:rsidR="004A2599" w:rsidRDefault="004A2599" w:rsidP="004A2599">
      <w:r>
        <w:t>MSAC noted</w:t>
      </w:r>
      <w:r w:rsidR="005E6115">
        <w:t xml:space="preserve"> the</w:t>
      </w:r>
      <w:r>
        <w:t xml:space="preserve"> </w:t>
      </w:r>
      <w:r w:rsidR="005E6115">
        <w:t xml:space="preserve">ESC advice and agreed </w:t>
      </w:r>
      <w:r>
        <w:t>the main driver of the economic model was the time horizon</w:t>
      </w:r>
      <w:r w:rsidR="005E5F69">
        <w:t xml:space="preserve">. </w:t>
      </w:r>
      <w:r>
        <w:t xml:space="preserve">MSAC considered </w:t>
      </w:r>
      <w:r w:rsidR="006D61ED">
        <w:t xml:space="preserve">that rather than assuming incremental benefits of IVUS applied to 5 </w:t>
      </w:r>
      <w:r w:rsidR="006D61ED">
        <w:lastRenderedPageBreak/>
        <w:t xml:space="preserve">years based on trial follow up from 1 subpopulation only (long lesion subpopulation), </w:t>
      </w:r>
      <w:r>
        <w:t>it</w:t>
      </w:r>
      <w:r w:rsidR="006D61ED">
        <w:t xml:space="preserve"> was more</w:t>
      </w:r>
      <w:r>
        <w:t xml:space="preserve"> appropriate to </w:t>
      </w:r>
      <w:r w:rsidR="004B4F31">
        <w:t>apply only the incremental benefit of IVUS based</w:t>
      </w:r>
      <w:r>
        <w:t xml:space="preserve"> on available </w:t>
      </w:r>
      <w:r w:rsidR="005E5F69">
        <w:t xml:space="preserve">trial </w:t>
      </w:r>
      <w:r>
        <w:t xml:space="preserve">follow-up data </w:t>
      </w:r>
      <w:r w:rsidR="004B4F31">
        <w:t>for each population</w:t>
      </w:r>
      <w:r w:rsidR="006D61ED">
        <w:t>:</w:t>
      </w:r>
    </w:p>
    <w:p w14:paraId="24EDC429" w14:textId="77777777" w:rsidR="004A2599" w:rsidRDefault="004A2599" w:rsidP="004A2599">
      <w:pPr>
        <w:pStyle w:val="ListParagraph"/>
        <w:numPr>
          <w:ilvl w:val="0"/>
          <w:numId w:val="19"/>
        </w:numPr>
      </w:pPr>
      <w:r>
        <w:t>3 years for the all-comers population (ULTIMATE trial</w:t>
      </w:r>
      <w:r w:rsidRPr="0079679E">
        <w:rPr>
          <w:vertAlign w:val="superscript"/>
        </w:rPr>
        <w:footnoteReference w:id="7"/>
      </w:r>
      <w:r>
        <w:t>)</w:t>
      </w:r>
    </w:p>
    <w:p w14:paraId="508B25C5" w14:textId="778B7483" w:rsidR="004A2599" w:rsidRDefault="004A2599" w:rsidP="004A2599">
      <w:pPr>
        <w:pStyle w:val="ListParagraph"/>
        <w:numPr>
          <w:ilvl w:val="0"/>
          <w:numId w:val="19"/>
        </w:numPr>
      </w:pPr>
      <w:r>
        <w:t>2 years for the left main lesion subpopulation (Tan et al.</w:t>
      </w:r>
      <w:r w:rsidR="00E9339D">
        <w:rPr>
          <w:rStyle w:val="FootnoteReference"/>
        </w:rPr>
        <w:footnoteReference w:id="8"/>
      </w:r>
      <w:r>
        <w:t>)</w:t>
      </w:r>
    </w:p>
    <w:p w14:paraId="0534DE59" w14:textId="77777777" w:rsidR="004A2599" w:rsidRDefault="004A2599" w:rsidP="004A2599">
      <w:pPr>
        <w:pStyle w:val="ListParagraph"/>
        <w:numPr>
          <w:ilvl w:val="0"/>
          <w:numId w:val="19"/>
        </w:numPr>
      </w:pPr>
      <w:r>
        <w:t>5 years for the long lesion subpopulation (IVUS-XPL trial</w:t>
      </w:r>
      <w:r w:rsidRPr="0079679E">
        <w:rPr>
          <w:vertAlign w:val="superscript"/>
        </w:rPr>
        <w:footnoteReference w:id="9"/>
      </w:r>
      <w:r>
        <w:t>).</w:t>
      </w:r>
    </w:p>
    <w:p w14:paraId="58429F66" w14:textId="42F1CA18" w:rsidR="004A2599" w:rsidRDefault="004A2599" w:rsidP="004A2599">
      <w:r>
        <w:t xml:space="preserve">MSAC </w:t>
      </w:r>
      <w:r w:rsidRPr="00B26E4D">
        <w:t xml:space="preserve">noted </w:t>
      </w:r>
      <w:r w:rsidRPr="0086159A">
        <w:t>the pre-</w:t>
      </w:r>
      <w:r w:rsidRPr="00EB0BEF">
        <w:t>MSAC</w:t>
      </w:r>
      <w:r w:rsidRPr="00B26E4D">
        <w:t xml:space="preserve"> </w:t>
      </w:r>
      <w:r w:rsidRPr="0086159A">
        <w:t>response stated there</w:t>
      </w:r>
      <w:r>
        <w:t xml:space="preserve"> is no clinical reason as to why the effectiveness would not be maintained in all groups. However, given that time horizon is the main driver of the model, MSAC considered a conservative estimate to be appropriate in the base case models. MSAC also considered the removal of </w:t>
      </w:r>
      <w:r w:rsidR="008D7230">
        <w:t xml:space="preserve">post-intervention </w:t>
      </w:r>
      <w:r>
        <w:t>MI from the model to be appropriate, as the trials reported no statistically significant between-group differences for this outcome.</w:t>
      </w:r>
    </w:p>
    <w:p w14:paraId="0EE9E632" w14:textId="236B7BA6" w:rsidR="004A2599" w:rsidRDefault="004A2599" w:rsidP="004A2599">
      <w:r>
        <w:t xml:space="preserve">MSAC considered the incremental cost-effectiveness ratio (ICER) to be high for the all-comers population. MSAC noted that when a 3-year incremental benefit and no statistically significant difference in the rate of MI is assumed, the ICER for the all-comers population increases from $16,317 to $67,149 (for the lifetime time horizon). At the 10-year time horizon (added for the commentary), the ICER is estimated to be $148,701. MSAC considered the ICER for the complex anatomical lesions population to be reasonable – assuming a 2-year incremental benefit for left main lesions, a 5-year incremental benefit for </w:t>
      </w:r>
      <w:r w:rsidR="00BA7148">
        <w:t>long</w:t>
      </w:r>
      <w:r>
        <w:t xml:space="preserve"> lesions, and no statistically significant difference in the rate of MI increased the overall ICER from $17,873 to $32,425 (for the lifetime time horizon). At the 10-year time horizon (added for the commentary), the ICER is estimated to be $71,405.</w:t>
      </w:r>
      <w:r w:rsidR="00282390">
        <w:t xml:space="preserve"> Overall, MSAC considered that sensitivity analysis showed that the ICER for the </w:t>
      </w:r>
      <w:r w:rsidR="00AE5598">
        <w:t>all</w:t>
      </w:r>
      <w:r w:rsidR="00E9339D">
        <w:t>-</w:t>
      </w:r>
      <w:r w:rsidR="00AE5598">
        <w:t>comers population was higher and more sensitive (and uncertain) to variation in model parameters than the ICER for the complex anatomical characteristics.</w:t>
      </w:r>
      <w:r w:rsidR="00282390">
        <w:t xml:space="preserve"> </w:t>
      </w:r>
    </w:p>
    <w:p w14:paraId="31FEDC25" w14:textId="6A7240C4" w:rsidR="00282390" w:rsidRPr="00CA2F42" w:rsidRDefault="00282390" w:rsidP="004A2599">
      <w:r>
        <w:t xml:space="preserve">MSAC noted the pre-ESC response claimed that because the rate of MI is of high clinical </w:t>
      </w:r>
      <w:r w:rsidRPr="0033269C">
        <w:t>significance, the rates of MI should be included in the cost</w:t>
      </w:r>
      <w:r>
        <w:t>-</w:t>
      </w:r>
      <w:r w:rsidRPr="0033269C">
        <w:t xml:space="preserve">utility analysis (CUA). MSAC acknowledged the </w:t>
      </w:r>
      <w:r>
        <w:t xml:space="preserve">pre-MSAC response, which the </w:t>
      </w:r>
      <w:r w:rsidRPr="0033269C">
        <w:t>applicant provided a revised model</w:t>
      </w:r>
      <w:r>
        <w:t xml:space="preserve"> base case where the difference in the rate of MI (from the trials) was only applied for the first 12 months on the basis that the difference in MI was sustained over trial follow-up and included supplementary evidence of an IVUS meta-analysis by Elgendy et al. [2019]</w:t>
      </w:r>
      <w:r>
        <w:rPr>
          <w:rStyle w:val="FootnoteReference"/>
        </w:rPr>
        <w:footnoteReference w:id="10"/>
      </w:r>
      <w:r>
        <w:t xml:space="preserve"> that showed a statistically significant reduction in MI at 12 months. However, MSAC noted that the applicant’s revised base case did not include other assumptions challenged by the commentary (such as assuming no incremental benefit of IVUS beyond trial follow-up for each population), so considered it to be uncertain.</w:t>
      </w:r>
    </w:p>
    <w:p w14:paraId="3E30D359" w14:textId="6D7358F5" w:rsidR="004A2599" w:rsidRDefault="004A2599" w:rsidP="004A2599">
      <w:r>
        <w:t>Regarding the financial impact, MSAC noted concern from the commentary that there was potential for the number of services to be greater than estimated, as uptake (estimated to be five new hospitals</w:t>
      </w:r>
      <w:r w:rsidR="008D7230">
        <w:t>-worth</w:t>
      </w:r>
      <w:r>
        <w:t xml:space="preserve"> per year) was based on conservative assumptions based on high capital outlay. MSAC considered the estimated uptake to be appropriate, especially if the service is confined to the population with more complex anatomical characteristics. Regarding the impact of newer technologies on the use of IVUS, such as intravascular optical coherence tomography </w:t>
      </w:r>
      <w:r>
        <w:lastRenderedPageBreak/>
        <w:t>(OCT), MSAC considered that, as OCT is not suitable for large lesions and is not applicable to left main lesions, IVUS will not be replaced for the population with complex lesions.</w:t>
      </w:r>
    </w:p>
    <w:p w14:paraId="7228C63C" w14:textId="79F9164F" w:rsidR="004A2599" w:rsidRDefault="004A2599" w:rsidP="004A2599">
      <w:r>
        <w:t>MSAC noted there were several implementation issues raised for this application. MSAC agreed that the service should be restricted to accredited providers or those with specific training, as skilled operators are needed to interpret the ultrasound. MSAC noted that letters from the Cardiac Society of Australia and New Zealand (CSANZ), requested by ESC, stated that CSANZ did not have an accreditation program for IVUS.</w:t>
      </w:r>
      <w:r w:rsidRPr="0071283A">
        <w:t xml:space="preserve"> </w:t>
      </w:r>
      <w:r>
        <w:t xml:space="preserve">MSAC acknowledged </w:t>
      </w:r>
      <w:r w:rsidR="00AE2CEF">
        <w:t xml:space="preserve">that </w:t>
      </w:r>
      <w:r>
        <w:t>the pre-MSAC response agreed with the need for training, with the applicant willing to work with CSANZ and other IVUS providers to develop appropriate training standards and accreditation. MSAC also acknowledged the issue raised around equity – because of the additional training required for the proposed services, as well as the large capital cost of the machine, it was believed that IVUS would not be available in regional and rural centres. However, MSAC considered that experts trained in IVUS would go to rural centres with catheterisation laboratories that perform PCI to provide the service.</w:t>
      </w:r>
    </w:p>
    <w:p w14:paraId="7166BD95" w14:textId="394E8B5B" w:rsidR="00454CEF" w:rsidRDefault="00454CEF" w:rsidP="004A2599">
      <w:r>
        <w:t>MSAC was concerned about the likelihood of high out-of-pocket expenses for patients, noting that IVUS capital and consumables are high (</w:t>
      </w:r>
      <w:r w:rsidR="00AC5872" w:rsidRPr="00652FBB">
        <w:t>between $1,000 and $1,500</w:t>
      </w:r>
      <w:r w:rsidRPr="00652FBB">
        <w:t xml:space="preserve"> </w:t>
      </w:r>
      <w:r w:rsidRPr="00C908FA">
        <w:t>per procedure</w:t>
      </w:r>
      <w:r>
        <w:t xml:space="preserve">), with MBS costs comprising approximately </w:t>
      </w:r>
      <w:r w:rsidRPr="00DA12C1">
        <w:t>25</w:t>
      </w:r>
      <w:r>
        <w:t xml:space="preserve">% of overall financial costs, </w:t>
      </w:r>
      <w:r w:rsidR="009713FD">
        <w:t>and uncertainty regarding listing of IVUS consumables on the Protheses List (PL). MSAC did not consider this to be adequately addressed in the pre-MSAC response and advised that it may be appropriate to review the listing after 2 years to evaluate uptake and out-of-pocket costs.</w:t>
      </w:r>
    </w:p>
    <w:p w14:paraId="2A6B7F22" w14:textId="7C49132A" w:rsidR="004A2599" w:rsidRDefault="004A2599" w:rsidP="004A2599">
      <w:r>
        <w:t xml:space="preserve">MSAC </w:t>
      </w:r>
      <w:r w:rsidR="00454CEF">
        <w:t xml:space="preserve">did not support </w:t>
      </w:r>
      <w:r>
        <w:t>listing this service for the all-comers population</w:t>
      </w:r>
      <w:r w:rsidR="009713FD">
        <w:t xml:space="preserve"> </w:t>
      </w:r>
      <w:r>
        <w:t xml:space="preserve">but supported public funding for IVUS-guided coronary stent insertion for left main coronary artery lesions or lesions in other locations with a length of 28 mm or more. Overall, MSAC considered IVUS-guided PCI to be clinically safe compared to PCI without IVUS. However, MSAC considered the population with complex lesions would benefit more from the </w:t>
      </w:r>
      <w:r w:rsidRPr="00FD40EA">
        <w:t>service</w:t>
      </w:r>
      <w:r>
        <w:t xml:space="preserve"> than the all-comers population. Based on the evidence, MSAC considered IVUS to have superior effectiveness, acceptable cost-effectiveness and financial impact for the higher risk population with complex lesions (especially the </w:t>
      </w:r>
      <w:r w:rsidR="00BA7148">
        <w:t>long lesions</w:t>
      </w:r>
      <w:r>
        <w:t xml:space="preserve"> subpopulation) but did not consider that the evidence for the all-comers population satisfactorily demonstrated clinical effectiveness or acceptable cost effectiveness and was associated with significant financial implications. MSAC considered the population in the ULTIMATE trial, which was the evidence presented for the all-comers population, to not be fully representative of the all-comers population in Australia</w:t>
      </w:r>
      <w:r w:rsidR="003E1CA5">
        <w:t>, or</w:t>
      </w:r>
      <w:r>
        <w:t xml:space="preserve"> how the service will be u</w:t>
      </w:r>
      <w:r w:rsidR="003E1CA5">
        <w:t>tilised</w:t>
      </w:r>
      <w:r>
        <w:t xml:space="preserve"> in private practice. MSAC considered the ICER for the all-comers population to be high, and that this population had the highest potential for increased uptake. MSAC also considered</w:t>
      </w:r>
      <w:r w:rsidRPr="00FD40EA">
        <w:t xml:space="preserve"> the risk </w:t>
      </w:r>
      <w:r>
        <w:t>for</w:t>
      </w:r>
      <w:r w:rsidRPr="00FD40EA">
        <w:t xml:space="preserve"> </w:t>
      </w:r>
      <w:r w:rsidRPr="00EB0BEF">
        <w:t>leakage</w:t>
      </w:r>
      <w:r w:rsidRPr="00FD40EA">
        <w:t xml:space="preserve"> would be </w:t>
      </w:r>
      <w:r>
        <w:t>high</w:t>
      </w:r>
      <w:r w:rsidRPr="00FD40EA">
        <w:t xml:space="preserve"> for the all-comers population.</w:t>
      </w:r>
    </w:p>
    <w:p w14:paraId="78F901A2" w14:textId="62B1B89C" w:rsidR="004A2599" w:rsidRPr="00386802" w:rsidRDefault="004A2599" w:rsidP="004A2599">
      <w:r>
        <w:t xml:space="preserve">MSAC advised that issues needed to be </w:t>
      </w:r>
      <w:r w:rsidR="003E1CA5">
        <w:t xml:space="preserve">satisfactorily </w:t>
      </w:r>
      <w:r>
        <w:t xml:space="preserve">addressed </w:t>
      </w:r>
      <w:r w:rsidR="003E1CA5">
        <w:t xml:space="preserve">regarding physician </w:t>
      </w:r>
      <w:r>
        <w:t>training and credentialling (with CSANZ</w:t>
      </w:r>
      <w:r w:rsidR="009A36F9">
        <w:t xml:space="preserve"> providing a credentialling guideline to the Department that can be referenced in the </w:t>
      </w:r>
      <w:r w:rsidR="004B66A7">
        <w:t>associated explanatory</w:t>
      </w:r>
      <w:r w:rsidR="00CC3555">
        <w:t xml:space="preserve"> note</w:t>
      </w:r>
      <w:r>
        <w:t xml:space="preserve">) and </w:t>
      </w:r>
      <w:r w:rsidR="003E1CA5">
        <w:t>the funding mechanism for</w:t>
      </w:r>
      <w:r w:rsidR="00CC3555">
        <w:t xml:space="preserve"> specific </w:t>
      </w:r>
      <w:r w:rsidR="003E1CA5">
        <w:t xml:space="preserve">consumables associated with the procedure (and </w:t>
      </w:r>
      <w:r>
        <w:t>possible out-of-pocket costs for patients</w:t>
      </w:r>
      <w:r w:rsidR="003E1CA5">
        <w:t>)</w:t>
      </w:r>
      <w:r>
        <w:t xml:space="preserve"> </w:t>
      </w:r>
      <w:r w:rsidR="00CC3555">
        <w:t xml:space="preserve">be completed </w:t>
      </w:r>
      <w:r>
        <w:t>before implementation.</w:t>
      </w:r>
    </w:p>
    <w:p w14:paraId="6710B69D" w14:textId="0944376D" w:rsidR="00772829" w:rsidRDefault="005F6A3D" w:rsidP="002A18BE">
      <w:pPr>
        <w:pStyle w:val="Heading2"/>
        <w:numPr>
          <w:ilvl w:val="0"/>
          <w:numId w:val="0"/>
        </w:numPr>
      </w:pPr>
      <w:r>
        <w:t>4.</w:t>
      </w:r>
      <w:r>
        <w:tab/>
      </w:r>
      <w:r w:rsidR="00772829" w:rsidRPr="00CE28E3">
        <w:t>Background</w:t>
      </w:r>
      <w:bookmarkEnd w:id="2"/>
    </w:p>
    <w:p w14:paraId="19C0E27D" w14:textId="6DDCC38F" w:rsidR="0048535A" w:rsidRDefault="0048535A" w:rsidP="0048535A">
      <w:r>
        <w:t>The Medical Services Advisory Committee (</w:t>
      </w:r>
      <w:r w:rsidRPr="0048535A">
        <w:t>MSAC</w:t>
      </w:r>
      <w:r>
        <w:t>)</w:t>
      </w:r>
      <w:r w:rsidRPr="0048535A">
        <w:t xml:space="preserve"> has considered </w:t>
      </w:r>
      <w:r>
        <w:t>IVUS</w:t>
      </w:r>
      <w:r w:rsidRPr="0048535A">
        <w:t xml:space="preserve"> on two previous occasions, neither of which </w:t>
      </w:r>
      <w:r>
        <w:t>resulted in a</w:t>
      </w:r>
      <w:r w:rsidRPr="0048535A">
        <w:t xml:space="preserve"> recommend</w:t>
      </w:r>
      <w:r>
        <w:t>ation</w:t>
      </w:r>
      <w:r w:rsidRPr="0048535A">
        <w:t xml:space="preserve"> for </w:t>
      </w:r>
      <w:r w:rsidR="005E6E3F">
        <w:t xml:space="preserve">public </w:t>
      </w:r>
      <w:r w:rsidRPr="0048535A">
        <w:t>funding.</w:t>
      </w:r>
    </w:p>
    <w:p w14:paraId="2F186279" w14:textId="58E43590" w:rsidR="0048535A" w:rsidRDefault="0048535A" w:rsidP="004A2599">
      <w:pPr>
        <w:spacing w:before="240"/>
      </w:pPr>
      <w:r w:rsidRPr="002C1697">
        <w:t xml:space="preserve">MSAC Application </w:t>
      </w:r>
      <w:hyperlink r:id="rId9" w:history="1">
        <w:r w:rsidR="00253DF8" w:rsidRPr="00253DF8">
          <w:rPr>
            <w:rStyle w:val="Hyperlink"/>
          </w:rPr>
          <w:t>1032</w:t>
        </w:r>
      </w:hyperlink>
      <w:r>
        <w:t xml:space="preserve"> </w:t>
      </w:r>
      <w:r w:rsidR="005E6E3F">
        <w:t>(</w:t>
      </w:r>
      <w:r>
        <w:t>considered in July 2001</w:t>
      </w:r>
      <w:r w:rsidR="005E6E3F">
        <w:t>)</w:t>
      </w:r>
      <w:r>
        <w:t xml:space="preserve"> </w:t>
      </w:r>
      <w:r w:rsidR="005E6E3F">
        <w:t xml:space="preserve">assessed the safety, clinical effectiveness and cost-effectiveness of IVUS </w:t>
      </w:r>
      <w:r w:rsidR="005E6E3F" w:rsidRPr="002C1697">
        <w:t xml:space="preserve">as both a diagnostic and a therapeutic tool for cardiac stent </w:t>
      </w:r>
      <w:r w:rsidR="005E6E3F" w:rsidRPr="002C1697">
        <w:lastRenderedPageBreak/>
        <w:t>optimisation</w:t>
      </w:r>
      <w:r w:rsidR="005E6E3F">
        <w:t>.</w:t>
      </w:r>
      <w:r w:rsidR="00B02CD1">
        <w:t xml:space="preserve"> </w:t>
      </w:r>
      <w:r w:rsidR="00B02CD1" w:rsidRPr="00B02CD1">
        <w:t xml:space="preserve">MSAC deemed the clinical evidence and cost-effectiveness data insufficient to support IVUS </w:t>
      </w:r>
      <w:r w:rsidR="002E3A03" w:rsidRPr="002E3A03">
        <w:t>as either a diagnostic or therapeutic tool</w:t>
      </w:r>
      <w:r w:rsidR="00B02CD1">
        <w:t>.</w:t>
      </w:r>
    </w:p>
    <w:p w14:paraId="0C8EFBB0" w14:textId="4EAD0D97" w:rsidR="002E3A03" w:rsidRDefault="0048535A" w:rsidP="004A2599">
      <w:pPr>
        <w:spacing w:before="240"/>
      </w:pPr>
      <w:r w:rsidRPr="002C1697">
        <w:t xml:space="preserve">MSAC Application </w:t>
      </w:r>
      <w:hyperlink r:id="rId10" w:history="1">
        <w:r w:rsidRPr="002C1697">
          <w:rPr>
            <w:rStyle w:val="Hyperlink"/>
          </w:rPr>
          <w:t>1354</w:t>
        </w:r>
      </w:hyperlink>
      <w:r>
        <w:t xml:space="preserve"> </w:t>
      </w:r>
      <w:r w:rsidR="005E6E3F">
        <w:t>(</w:t>
      </w:r>
      <w:r>
        <w:t>considered in April 2015</w:t>
      </w:r>
      <w:r w:rsidR="005E6E3F">
        <w:t xml:space="preserve">) </w:t>
      </w:r>
      <w:r w:rsidR="00B02CD1">
        <w:t xml:space="preserve">assessed the safety, clinical effectiveness and cost-effectiveness of IVUS </w:t>
      </w:r>
      <w:r w:rsidR="00B02CD1" w:rsidRPr="002C1697">
        <w:t>as a therapeutic tool for optimisation of drug eluting stent (DES) or bare metal stent (BMS) placement</w:t>
      </w:r>
      <w:r w:rsidR="00B02CD1">
        <w:t xml:space="preserve">. MSAC did not support public funding </w:t>
      </w:r>
      <w:r w:rsidR="00B02CD1" w:rsidRPr="00B02CD1">
        <w:t xml:space="preserve">due to uncertain clinical effectiveness and </w:t>
      </w:r>
      <w:r w:rsidR="00B02CD1">
        <w:t xml:space="preserve">uncertainty around the </w:t>
      </w:r>
      <w:r w:rsidR="00B02CD1" w:rsidRPr="00B02CD1">
        <w:t>cost-effectiveness</w:t>
      </w:r>
      <w:r w:rsidR="00B02CD1">
        <w:t xml:space="preserve"> of the procedure</w:t>
      </w:r>
      <w:r w:rsidR="00B02CD1" w:rsidRPr="00B02CD1">
        <w:t>.</w:t>
      </w:r>
      <w:r w:rsidR="00B02CD1">
        <w:t xml:space="preserve"> In particular, MSAC was concerned about the limited number of primary studies included in the analysis and the reliance on</w:t>
      </w:r>
      <w:r w:rsidR="002E3A03">
        <w:t xml:space="preserve"> published</w:t>
      </w:r>
      <w:r w:rsidR="00B02CD1">
        <w:t xml:space="preserve"> systematic reviews and meta-analyses, which </w:t>
      </w:r>
      <w:r w:rsidR="003F1C4F">
        <w:t>did</w:t>
      </w:r>
      <w:r w:rsidR="00B02CD1">
        <w:t xml:space="preserve"> not allow assessment of the safety and efficacy of IVUS guidance for stent insertion of either BMS or DES for the types of 'high-risk' patients nominated in the protocol.</w:t>
      </w:r>
      <w:r w:rsidR="002E3A03">
        <w:t xml:space="preserve"> The ‘high-risk’ population in the protocol </w:t>
      </w:r>
      <w:r w:rsidR="003F1C4F">
        <w:t xml:space="preserve">for Application 1354 </w:t>
      </w:r>
      <w:r w:rsidR="002E3A03">
        <w:t>was defined based on coronary anatomy, lesion type and complexity:</w:t>
      </w:r>
    </w:p>
    <w:p w14:paraId="645A4363" w14:textId="0666F8CA" w:rsidR="002E3A03" w:rsidRDefault="002E3A03" w:rsidP="00691978">
      <w:pPr>
        <w:pStyle w:val="Bullet"/>
        <w:spacing w:before="0"/>
        <w:ind w:left="714" w:hanging="357"/>
      </w:pPr>
      <w:r>
        <w:t>intermediate left main coronary stenosis</w:t>
      </w:r>
      <w:r w:rsidR="003F1C4F">
        <w:t>;</w:t>
      </w:r>
    </w:p>
    <w:p w14:paraId="75D817FF" w14:textId="3763191A" w:rsidR="002E3A03" w:rsidRDefault="002E3A03" w:rsidP="00691978">
      <w:pPr>
        <w:pStyle w:val="Bullet"/>
        <w:spacing w:before="0"/>
        <w:ind w:left="714" w:hanging="357"/>
      </w:pPr>
      <w:r>
        <w:t>complex coronary lesions (e.g. ostial or bifurcation lesions, calcified lesions, chronic total occlusions)</w:t>
      </w:r>
      <w:r w:rsidR="003F1C4F">
        <w:t>;</w:t>
      </w:r>
    </w:p>
    <w:p w14:paraId="7E1D90DD" w14:textId="1BA27856" w:rsidR="002E3A03" w:rsidRDefault="002E3A03" w:rsidP="00691978">
      <w:pPr>
        <w:pStyle w:val="Bullet"/>
        <w:spacing w:before="0"/>
        <w:ind w:left="714" w:hanging="357"/>
      </w:pPr>
      <w:r>
        <w:t>challenging coronary anatomy (e.g. coronary artery ectasia, giant coronary arteries, hazy coronary lesions); and</w:t>
      </w:r>
    </w:p>
    <w:p w14:paraId="3AD32E0F" w14:textId="44E6E4C8" w:rsidR="0048535A" w:rsidRDefault="002E3A03" w:rsidP="00691978">
      <w:pPr>
        <w:pStyle w:val="Bullet"/>
        <w:spacing w:before="0" w:after="240"/>
        <w:ind w:left="714" w:hanging="357"/>
      </w:pPr>
      <w:r>
        <w:t>previous stents.</w:t>
      </w:r>
    </w:p>
    <w:p w14:paraId="68E3B16F" w14:textId="60EA0EEE" w:rsidR="002E3A03" w:rsidRPr="0048535A" w:rsidRDefault="003F1C4F" w:rsidP="002E3A03">
      <w:r w:rsidRPr="003F1C4F">
        <w:t xml:space="preserve">This resubmission </w:t>
      </w:r>
      <w:r w:rsidR="007B01EF">
        <w:t>(Application 1354.1) includes</w:t>
      </w:r>
      <w:r w:rsidRPr="003F1C4F">
        <w:t xml:space="preserve"> new randomised evidence on a broader population </w:t>
      </w:r>
      <w:r w:rsidR="007B01EF">
        <w:t>of ‘all</w:t>
      </w:r>
      <w:r w:rsidR="00A80CC4">
        <w:t>-</w:t>
      </w:r>
      <w:r w:rsidR="007B01EF">
        <w:t xml:space="preserve"> </w:t>
      </w:r>
      <w:r w:rsidR="00E763DD">
        <w:t>c</w:t>
      </w:r>
      <w:r w:rsidR="007B01EF">
        <w:t xml:space="preserve">omers’ to PCI, as well as </w:t>
      </w:r>
      <w:r w:rsidRPr="003F1C4F">
        <w:t xml:space="preserve">a </w:t>
      </w:r>
      <w:r w:rsidR="007B01EF">
        <w:t>narrower</w:t>
      </w:r>
      <w:r w:rsidRPr="003F1C4F">
        <w:t xml:space="preserve"> high-risk </w:t>
      </w:r>
      <w:r w:rsidR="007B01EF">
        <w:t xml:space="preserve">population </w:t>
      </w:r>
      <w:r w:rsidR="00C75543">
        <w:t>defined using objective and measurable</w:t>
      </w:r>
      <w:r w:rsidR="007B01EF">
        <w:t xml:space="preserve"> anatomical characteristics</w:t>
      </w:r>
      <w:r w:rsidRPr="003F1C4F">
        <w:t>.</w:t>
      </w:r>
    </w:p>
    <w:p w14:paraId="6EC12EDF" w14:textId="1AC7B550" w:rsidR="0068682C" w:rsidRPr="00CE28E3" w:rsidRDefault="0068682C" w:rsidP="0068682C">
      <w:pPr>
        <w:pStyle w:val="Caption"/>
      </w:pPr>
      <w:bookmarkStart w:id="3" w:name="_Ref69480768"/>
      <w:bookmarkStart w:id="4" w:name="_Hlk69734557"/>
      <w:r w:rsidRPr="00CE28E3">
        <w:t>Table</w:t>
      </w:r>
      <w:r w:rsidR="004A4FDF">
        <w:t> </w:t>
      </w:r>
      <w:fldSimple w:instr=" SEQ Table \* ARABIC ">
        <w:r w:rsidR="00F03488">
          <w:rPr>
            <w:noProof/>
          </w:rPr>
          <w:t>1</w:t>
        </w:r>
      </w:fldSimple>
      <w:bookmarkEnd w:id="3"/>
      <w:r w:rsidRPr="00CE28E3">
        <w:tab/>
        <w:t>Summary of key matters of concern</w:t>
      </w:r>
      <w:r w:rsidR="0021249F">
        <w:t xml:space="preserve"> noted in </w:t>
      </w:r>
      <w:hyperlink r:id="rId11" w:tooltip="Link to MSAC applications website" w:history="1">
        <w:r w:rsidR="0021249F" w:rsidRPr="0021249F">
          <w:rPr>
            <w:rStyle w:val="Hyperlink"/>
          </w:rPr>
          <w:t>MSAC PSD for Application 1354</w:t>
        </w:r>
      </w:hyperlink>
    </w:p>
    <w:tbl>
      <w:tblPr>
        <w:tblStyle w:val="TableGrid1"/>
        <w:tblW w:w="5000" w:type="pct"/>
        <w:tblLook w:val="04A0" w:firstRow="1" w:lastRow="0" w:firstColumn="1" w:lastColumn="0" w:noHBand="0" w:noVBand="1"/>
        <w:tblDescription w:val="Summary of key matters of concern noted in MSAC PSD for Application 1354"/>
      </w:tblPr>
      <w:tblGrid>
        <w:gridCol w:w="1271"/>
        <w:gridCol w:w="3260"/>
        <w:gridCol w:w="4485"/>
      </w:tblGrid>
      <w:tr w:rsidR="00F57885" w:rsidRPr="00CE28E3" w14:paraId="2BDCC27B" w14:textId="77777777" w:rsidTr="00413A53">
        <w:trPr>
          <w:cnfStyle w:val="100000000000" w:firstRow="1" w:lastRow="0" w:firstColumn="0" w:lastColumn="0" w:oddVBand="0" w:evenVBand="0" w:oddHBand="0" w:evenHBand="0" w:firstRowFirstColumn="0" w:firstRowLastColumn="0" w:lastRowFirstColumn="0" w:lastRowLastColumn="0"/>
          <w:cantSplit/>
          <w:tblHeader/>
        </w:trPr>
        <w:tc>
          <w:tcPr>
            <w:tcW w:w="705" w:type="pct"/>
            <w:shd w:val="clear" w:color="auto" w:fill="auto"/>
          </w:tcPr>
          <w:p w14:paraId="58F6A808" w14:textId="77777777" w:rsidR="00F57885" w:rsidRPr="00CE28E3" w:rsidRDefault="00F57885" w:rsidP="00824458">
            <w:pPr>
              <w:pStyle w:val="In-tableHeading"/>
            </w:pPr>
            <w:bookmarkStart w:id="5" w:name="ColumnTitle_Table1"/>
            <w:bookmarkStart w:id="6" w:name="_Hlk68275590"/>
            <w:bookmarkEnd w:id="5"/>
            <w:r w:rsidRPr="00CE28E3">
              <w:t>Component</w:t>
            </w:r>
          </w:p>
        </w:tc>
        <w:tc>
          <w:tcPr>
            <w:tcW w:w="1808" w:type="pct"/>
            <w:shd w:val="clear" w:color="auto" w:fill="auto"/>
          </w:tcPr>
          <w:p w14:paraId="09992FB9" w14:textId="77777777" w:rsidR="00F57885" w:rsidRPr="00CE28E3" w:rsidRDefault="00F57885" w:rsidP="00824458">
            <w:pPr>
              <w:pStyle w:val="In-tableHeading"/>
            </w:pPr>
            <w:r w:rsidRPr="00CE28E3">
              <w:t>Matter of concern</w:t>
            </w:r>
          </w:p>
        </w:tc>
        <w:tc>
          <w:tcPr>
            <w:tcW w:w="2487" w:type="pct"/>
            <w:shd w:val="clear" w:color="auto" w:fill="auto"/>
          </w:tcPr>
          <w:p w14:paraId="54C88680" w14:textId="77777777" w:rsidR="00F57885" w:rsidRPr="00CE28E3" w:rsidRDefault="00F57885" w:rsidP="00824458">
            <w:pPr>
              <w:pStyle w:val="In-tableHeading"/>
            </w:pPr>
            <w:r w:rsidRPr="00CE28E3">
              <w:t>How the current assessment report addresses it</w:t>
            </w:r>
          </w:p>
        </w:tc>
      </w:tr>
      <w:tr w:rsidR="003F3623" w:rsidRPr="00CE28E3" w14:paraId="02EFA171" w14:textId="77777777" w:rsidTr="00413A53">
        <w:trPr>
          <w:cantSplit/>
        </w:trPr>
        <w:tc>
          <w:tcPr>
            <w:tcW w:w="705" w:type="pct"/>
          </w:tcPr>
          <w:p w14:paraId="2AB36A8A" w14:textId="2FD344B7" w:rsidR="003F3623" w:rsidRPr="00CE28E3" w:rsidRDefault="0010698F" w:rsidP="00824458">
            <w:pPr>
              <w:pStyle w:val="TableText"/>
            </w:pPr>
            <w:r>
              <w:t>Patient population</w:t>
            </w:r>
          </w:p>
        </w:tc>
        <w:tc>
          <w:tcPr>
            <w:tcW w:w="1808" w:type="pct"/>
          </w:tcPr>
          <w:p w14:paraId="400B07E0" w14:textId="58E1BAB9" w:rsidR="003F3623" w:rsidRPr="00CE28E3" w:rsidRDefault="00E609E8" w:rsidP="00824458">
            <w:pPr>
              <w:pStyle w:val="TableText"/>
              <w:rPr>
                <w:rFonts w:cs="Arial"/>
                <w:snapToGrid w:val="0"/>
              </w:rPr>
            </w:pPr>
            <w:r w:rsidRPr="00E609E8">
              <w:rPr>
                <w:rFonts w:cs="Arial"/>
                <w:snapToGrid w:val="0"/>
              </w:rPr>
              <w:t>MSAC noted that the algorithm in the submission allowed ‘low/medium risk’ patients to receive IVUS guidance. However</w:t>
            </w:r>
            <w:r>
              <w:rPr>
                <w:rFonts w:cs="Arial"/>
                <w:snapToGrid w:val="0"/>
              </w:rPr>
              <w:t>,</w:t>
            </w:r>
            <w:r w:rsidRPr="00E609E8">
              <w:rPr>
                <w:rFonts w:cs="Arial"/>
                <w:snapToGrid w:val="0"/>
              </w:rPr>
              <w:t xml:space="preserve"> in the protocol, IVUS guidance was restricted to only ‘high-risk’ patients. Evidence was lacking on the benefit of IVUS for coronary stent insertion in ‘low-risk’ patient</w:t>
            </w:r>
            <w:r w:rsidR="00320D28">
              <w:rPr>
                <w:rFonts w:cs="Arial"/>
                <w:snapToGrid w:val="0"/>
              </w:rPr>
              <w:t>. [PSD, p</w:t>
            </w:r>
            <w:r w:rsidR="001A129B">
              <w:rPr>
                <w:rFonts w:cs="Arial"/>
                <w:snapToGrid w:val="0"/>
              </w:rPr>
              <w:t>p</w:t>
            </w:r>
            <w:r w:rsidR="00320D28">
              <w:rPr>
                <w:rFonts w:cs="Arial"/>
                <w:snapToGrid w:val="0"/>
              </w:rPr>
              <w:t>.1</w:t>
            </w:r>
            <w:r w:rsidR="001A129B">
              <w:rPr>
                <w:rFonts w:cs="Arial"/>
                <w:snapToGrid w:val="0"/>
              </w:rPr>
              <w:t>-2</w:t>
            </w:r>
            <w:r w:rsidR="00320D28">
              <w:rPr>
                <w:rFonts w:cs="Arial"/>
                <w:snapToGrid w:val="0"/>
              </w:rPr>
              <w:t>]</w:t>
            </w:r>
          </w:p>
        </w:tc>
        <w:tc>
          <w:tcPr>
            <w:tcW w:w="2487" w:type="pct"/>
          </w:tcPr>
          <w:p w14:paraId="0239EAC1" w14:textId="2335A8C6" w:rsidR="003F3623" w:rsidRPr="00CE28E3" w:rsidRDefault="00E609E8" w:rsidP="0010698F">
            <w:pPr>
              <w:pStyle w:val="TableText"/>
              <w:rPr>
                <w:rFonts w:cs="Arial"/>
                <w:snapToGrid w:val="0"/>
              </w:rPr>
            </w:pPr>
            <w:r w:rsidRPr="00E378C5">
              <w:rPr>
                <w:rFonts w:cs="Arial"/>
                <w:b/>
                <w:bCs/>
                <w:snapToGrid w:val="0"/>
              </w:rPr>
              <w:t>Addressed.</w:t>
            </w:r>
            <w:r w:rsidR="0017620D">
              <w:rPr>
                <w:rFonts w:cs="Arial"/>
                <w:snapToGrid w:val="0"/>
              </w:rPr>
              <w:br/>
            </w:r>
            <w:r w:rsidRPr="00E609E8">
              <w:rPr>
                <w:rFonts w:cs="Arial"/>
                <w:snapToGrid w:val="0"/>
              </w:rPr>
              <w:t>The patient populations in the ADAR are consistent with the ratified PICO Confirmation</w:t>
            </w:r>
            <w:r w:rsidR="0010698F">
              <w:rPr>
                <w:rFonts w:cs="Arial"/>
                <w:snapToGrid w:val="0"/>
              </w:rPr>
              <w:t xml:space="preserve"> for Application 1354.1, which defines</w:t>
            </w:r>
            <w:r>
              <w:rPr>
                <w:rFonts w:cs="Arial"/>
                <w:snapToGrid w:val="0"/>
              </w:rPr>
              <w:t xml:space="preserve"> </w:t>
            </w:r>
            <w:r w:rsidRPr="00E609E8">
              <w:rPr>
                <w:rFonts w:cs="Arial"/>
                <w:snapToGrid w:val="0"/>
              </w:rPr>
              <w:t xml:space="preserve">a broader population (‘all-comers to PCI with DES’), and a </w:t>
            </w:r>
            <w:r w:rsidR="0010698F">
              <w:rPr>
                <w:rFonts w:cs="Arial"/>
                <w:snapToGrid w:val="0"/>
              </w:rPr>
              <w:t xml:space="preserve">narrower population with </w:t>
            </w:r>
            <w:r w:rsidRPr="00E609E8">
              <w:rPr>
                <w:rFonts w:cs="Arial"/>
                <w:snapToGrid w:val="0"/>
              </w:rPr>
              <w:t>complex anatomical characteristics</w:t>
            </w:r>
            <w:r w:rsidR="0010698F" w:rsidRPr="00E609E8">
              <w:rPr>
                <w:rFonts w:cs="Arial"/>
                <w:snapToGrid w:val="0"/>
              </w:rPr>
              <w:t>. The evidence presented in the ADAR is aligned with these population</w:t>
            </w:r>
            <w:r w:rsidR="0010698F">
              <w:rPr>
                <w:rFonts w:cs="Arial"/>
                <w:snapToGrid w:val="0"/>
              </w:rPr>
              <w:t xml:space="preserve">s </w:t>
            </w:r>
            <w:r>
              <w:rPr>
                <w:rFonts w:cs="Arial"/>
                <w:snapToGrid w:val="0"/>
              </w:rPr>
              <w:t xml:space="preserve">(although </w:t>
            </w:r>
            <w:r w:rsidRPr="00E609E8">
              <w:rPr>
                <w:rFonts w:cs="Arial"/>
                <w:snapToGrid w:val="0"/>
              </w:rPr>
              <w:t xml:space="preserve">the characteristics of </w:t>
            </w:r>
            <w:r>
              <w:rPr>
                <w:rFonts w:cs="Arial"/>
                <w:snapToGrid w:val="0"/>
              </w:rPr>
              <w:t>study participants</w:t>
            </w:r>
            <w:r w:rsidRPr="00E609E8">
              <w:rPr>
                <w:rFonts w:cs="Arial"/>
                <w:snapToGrid w:val="0"/>
              </w:rPr>
              <w:t xml:space="preserve"> in the all</w:t>
            </w:r>
            <w:r w:rsidR="000066A0">
              <w:rPr>
                <w:rFonts w:cs="Arial"/>
                <w:snapToGrid w:val="0"/>
              </w:rPr>
              <w:t>-</w:t>
            </w:r>
            <w:r w:rsidRPr="00E609E8">
              <w:rPr>
                <w:rFonts w:cs="Arial"/>
                <w:snapToGrid w:val="0"/>
              </w:rPr>
              <w:t>comers population appears to be skewed towards complex CAD rather than all</w:t>
            </w:r>
            <w:r w:rsidR="000066A0">
              <w:rPr>
                <w:rFonts w:cs="Arial"/>
                <w:snapToGrid w:val="0"/>
              </w:rPr>
              <w:t>-</w:t>
            </w:r>
            <w:r w:rsidRPr="00E609E8">
              <w:rPr>
                <w:rFonts w:cs="Arial"/>
                <w:snapToGrid w:val="0"/>
              </w:rPr>
              <w:t>comers in the Australian setting</w:t>
            </w:r>
            <w:r>
              <w:rPr>
                <w:rFonts w:cs="Arial"/>
                <w:snapToGrid w:val="0"/>
              </w:rPr>
              <w:t>).</w:t>
            </w:r>
          </w:p>
        </w:tc>
      </w:tr>
      <w:tr w:rsidR="003F3623" w:rsidRPr="00CE28E3" w14:paraId="40A55914" w14:textId="77777777" w:rsidTr="00413A53">
        <w:trPr>
          <w:cantSplit/>
        </w:trPr>
        <w:tc>
          <w:tcPr>
            <w:tcW w:w="705" w:type="pct"/>
          </w:tcPr>
          <w:p w14:paraId="3E112FCA" w14:textId="7CC65003" w:rsidR="003F3623" w:rsidRPr="00CE28E3" w:rsidRDefault="00320D28" w:rsidP="00824458">
            <w:pPr>
              <w:pStyle w:val="TableText"/>
            </w:pPr>
            <w:r>
              <w:t>Clinical place in therapy</w:t>
            </w:r>
          </w:p>
        </w:tc>
        <w:tc>
          <w:tcPr>
            <w:tcW w:w="1808" w:type="pct"/>
          </w:tcPr>
          <w:p w14:paraId="34632AA7" w14:textId="114D5B9F" w:rsidR="003F3623" w:rsidRPr="00CE28E3" w:rsidRDefault="0010698F" w:rsidP="00824458">
            <w:pPr>
              <w:pStyle w:val="TableText"/>
              <w:rPr>
                <w:rFonts w:cs="Arial"/>
                <w:snapToGrid w:val="0"/>
              </w:rPr>
            </w:pPr>
            <w:r>
              <w:rPr>
                <w:rFonts w:cs="Arial"/>
                <w:snapToGrid w:val="0"/>
              </w:rPr>
              <w:t>I</w:t>
            </w:r>
            <w:r w:rsidRPr="0010698F">
              <w:rPr>
                <w:rFonts w:cs="Arial"/>
                <w:snapToGrid w:val="0"/>
              </w:rPr>
              <w:t>n the submission, both ‘low/medium-risk’ and ‘high-risk’ patients can receive simultaneous stent insertions at a subsequent occasion under guidance of angiography alone. This was not an option in the protocol</w:t>
            </w:r>
            <w:r w:rsidR="00320D28">
              <w:rPr>
                <w:rFonts w:cs="Arial"/>
                <w:snapToGrid w:val="0"/>
              </w:rPr>
              <w:t>. [PSD, p.1]</w:t>
            </w:r>
          </w:p>
        </w:tc>
        <w:tc>
          <w:tcPr>
            <w:tcW w:w="2487" w:type="pct"/>
          </w:tcPr>
          <w:p w14:paraId="5B68056F" w14:textId="5A3BC711" w:rsidR="003F3623" w:rsidRPr="00CE28E3" w:rsidRDefault="00642FB2" w:rsidP="00824458">
            <w:pPr>
              <w:pStyle w:val="TableText"/>
              <w:rPr>
                <w:rFonts w:cs="Arial"/>
                <w:snapToGrid w:val="0"/>
              </w:rPr>
            </w:pPr>
            <w:r w:rsidRPr="00E378C5">
              <w:rPr>
                <w:rFonts w:cs="Arial"/>
                <w:b/>
                <w:bCs/>
                <w:snapToGrid w:val="0"/>
              </w:rPr>
              <w:t>Addressed</w:t>
            </w:r>
            <w:r w:rsidR="00320D28" w:rsidRPr="00E378C5">
              <w:rPr>
                <w:rFonts w:cs="Arial"/>
                <w:b/>
                <w:bCs/>
                <w:snapToGrid w:val="0"/>
              </w:rPr>
              <w:t>.</w:t>
            </w:r>
            <w:r w:rsidR="0017620D">
              <w:rPr>
                <w:rFonts w:cs="Arial"/>
                <w:snapToGrid w:val="0"/>
              </w:rPr>
              <w:br/>
            </w:r>
            <w:r w:rsidR="00320D28" w:rsidRPr="00320D28">
              <w:rPr>
                <w:rFonts w:cs="Arial"/>
                <w:snapToGrid w:val="0"/>
              </w:rPr>
              <w:t xml:space="preserve">The algorithm </w:t>
            </w:r>
            <w:r>
              <w:rPr>
                <w:rFonts w:cs="Arial"/>
                <w:snapToGrid w:val="0"/>
              </w:rPr>
              <w:t xml:space="preserve">in the </w:t>
            </w:r>
            <w:r w:rsidR="0017620D">
              <w:rPr>
                <w:rFonts w:cs="Arial"/>
                <w:snapToGrid w:val="0"/>
              </w:rPr>
              <w:t xml:space="preserve">ratified </w:t>
            </w:r>
            <w:r>
              <w:rPr>
                <w:rFonts w:cs="Arial"/>
                <w:snapToGrid w:val="0"/>
              </w:rPr>
              <w:t xml:space="preserve">PICO Confirmation </w:t>
            </w:r>
            <w:r w:rsidR="00320D28" w:rsidRPr="00320D28">
              <w:rPr>
                <w:rFonts w:cs="Arial"/>
                <w:snapToGrid w:val="0"/>
              </w:rPr>
              <w:t xml:space="preserve">allows for simultaneous stent insertion at the time of diagnostic angiography </w:t>
            </w:r>
            <w:r>
              <w:rPr>
                <w:rFonts w:cs="Arial"/>
                <w:snapToGrid w:val="0"/>
              </w:rPr>
              <w:t>(</w:t>
            </w:r>
            <w:r w:rsidRPr="00320D28">
              <w:rPr>
                <w:rFonts w:cs="Arial"/>
                <w:snapToGrid w:val="0"/>
              </w:rPr>
              <w:t>with or without IVUS</w:t>
            </w:r>
            <w:r>
              <w:rPr>
                <w:rFonts w:cs="Arial"/>
                <w:snapToGrid w:val="0"/>
              </w:rPr>
              <w:t xml:space="preserve">) </w:t>
            </w:r>
            <w:r w:rsidR="00320D28" w:rsidRPr="00320D28">
              <w:rPr>
                <w:rFonts w:cs="Arial"/>
                <w:snapToGrid w:val="0"/>
              </w:rPr>
              <w:t>or stent insertion at a separate occasion under guidance of angiography</w:t>
            </w:r>
            <w:r>
              <w:rPr>
                <w:rFonts w:cs="Arial"/>
                <w:snapToGrid w:val="0"/>
              </w:rPr>
              <w:t xml:space="preserve"> (</w:t>
            </w:r>
            <w:r w:rsidR="00320D28" w:rsidRPr="00320D28">
              <w:rPr>
                <w:rFonts w:cs="Arial"/>
                <w:snapToGrid w:val="0"/>
              </w:rPr>
              <w:t>with or without IVUS</w:t>
            </w:r>
            <w:r>
              <w:rPr>
                <w:rFonts w:cs="Arial"/>
                <w:snapToGrid w:val="0"/>
              </w:rPr>
              <w:t>)</w:t>
            </w:r>
            <w:r w:rsidR="00320D28" w:rsidRPr="00320D28">
              <w:rPr>
                <w:rFonts w:cs="Arial"/>
                <w:snapToGrid w:val="0"/>
              </w:rPr>
              <w:t>.</w:t>
            </w:r>
            <w:r w:rsidR="0017620D">
              <w:rPr>
                <w:rFonts w:cs="Arial"/>
                <w:snapToGrid w:val="0"/>
              </w:rPr>
              <w:t xml:space="preserve"> This aligns with the current suite of MBS items for PCI.</w:t>
            </w:r>
          </w:p>
        </w:tc>
      </w:tr>
      <w:tr w:rsidR="00835CA4" w:rsidRPr="00CE28E3" w14:paraId="3F2C544F" w14:textId="77777777" w:rsidTr="00413A53">
        <w:trPr>
          <w:cantSplit/>
        </w:trPr>
        <w:tc>
          <w:tcPr>
            <w:tcW w:w="705" w:type="pct"/>
          </w:tcPr>
          <w:p w14:paraId="38F61201" w14:textId="77777777" w:rsidR="00835CA4" w:rsidRPr="00CE28E3" w:rsidRDefault="00835CA4" w:rsidP="00824458">
            <w:pPr>
              <w:pStyle w:val="TableText"/>
            </w:pPr>
            <w:r>
              <w:t>Clinical place in therapy</w:t>
            </w:r>
          </w:p>
        </w:tc>
        <w:tc>
          <w:tcPr>
            <w:tcW w:w="1808" w:type="pct"/>
          </w:tcPr>
          <w:p w14:paraId="531D82EF" w14:textId="77777777" w:rsidR="00835CA4" w:rsidRPr="00CE28E3" w:rsidRDefault="00835CA4" w:rsidP="00824458">
            <w:pPr>
              <w:pStyle w:val="TableText"/>
              <w:rPr>
                <w:rFonts w:cs="Arial"/>
                <w:snapToGrid w:val="0"/>
              </w:rPr>
            </w:pPr>
            <w:r>
              <w:rPr>
                <w:rFonts w:cs="Arial"/>
                <w:snapToGrid w:val="0"/>
              </w:rPr>
              <w:t>S</w:t>
            </w:r>
            <w:r w:rsidRPr="006E26F3">
              <w:rPr>
                <w:rFonts w:cs="Arial"/>
                <w:snapToGrid w:val="0"/>
              </w:rPr>
              <w:t xml:space="preserve">tent technology </w:t>
            </w:r>
            <w:r>
              <w:rPr>
                <w:rFonts w:cs="Arial"/>
                <w:snapToGrid w:val="0"/>
              </w:rPr>
              <w:t>i</w:t>
            </w:r>
            <w:r w:rsidRPr="006E26F3">
              <w:rPr>
                <w:rFonts w:cs="Arial"/>
                <w:snapToGrid w:val="0"/>
              </w:rPr>
              <w:t xml:space="preserve">s evolving with incomplete stent deployment </w:t>
            </w:r>
            <w:r>
              <w:rPr>
                <w:rFonts w:cs="Arial"/>
                <w:snapToGrid w:val="0"/>
              </w:rPr>
              <w:t xml:space="preserve">now </w:t>
            </w:r>
            <w:r w:rsidRPr="006E26F3">
              <w:rPr>
                <w:rFonts w:cs="Arial"/>
                <w:snapToGrid w:val="0"/>
              </w:rPr>
              <w:t>being less of a problem compared with earlier generation stents.</w:t>
            </w:r>
            <w:r>
              <w:rPr>
                <w:rFonts w:cs="Arial"/>
                <w:snapToGrid w:val="0"/>
              </w:rPr>
              <w:t xml:space="preserve"> [PSD, p.2]</w:t>
            </w:r>
          </w:p>
        </w:tc>
        <w:tc>
          <w:tcPr>
            <w:tcW w:w="2487" w:type="pct"/>
          </w:tcPr>
          <w:p w14:paraId="2E34EB1C" w14:textId="2359D2B1" w:rsidR="00835CA4" w:rsidRPr="00CE28E3" w:rsidRDefault="00835CA4" w:rsidP="00824458">
            <w:pPr>
              <w:pStyle w:val="TableText"/>
              <w:rPr>
                <w:rFonts w:cs="Arial"/>
                <w:snapToGrid w:val="0"/>
              </w:rPr>
            </w:pPr>
            <w:r w:rsidRPr="00E378C5">
              <w:rPr>
                <w:rFonts w:cs="Arial"/>
                <w:b/>
                <w:bCs/>
                <w:snapToGrid w:val="0"/>
              </w:rPr>
              <w:t>Incompletely addressed</w:t>
            </w:r>
            <w:r w:rsidR="00E378C5" w:rsidRPr="00E378C5">
              <w:rPr>
                <w:rFonts w:cs="Arial"/>
                <w:b/>
                <w:bCs/>
                <w:snapToGrid w:val="0"/>
              </w:rPr>
              <w:t>.</w:t>
            </w:r>
            <w:r>
              <w:rPr>
                <w:rFonts w:cs="Arial"/>
                <w:snapToGrid w:val="0"/>
              </w:rPr>
              <w:br/>
            </w:r>
            <w:r w:rsidRPr="00191A35">
              <w:rPr>
                <w:rFonts w:cs="Arial"/>
                <w:snapToGrid w:val="0"/>
              </w:rPr>
              <w:t xml:space="preserve">The applicant has not clarified whether </w:t>
            </w:r>
            <w:r w:rsidRPr="00D917DA">
              <w:rPr>
                <w:rFonts w:cs="Arial"/>
                <w:snapToGrid w:val="0"/>
                <w:u w:val="single"/>
              </w:rPr>
              <w:t>all</w:t>
            </w:r>
            <w:r w:rsidRPr="00191A35">
              <w:rPr>
                <w:rFonts w:cs="Arial"/>
                <w:snapToGrid w:val="0"/>
              </w:rPr>
              <w:t xml:space="preserve"> included RCTs use second-generation DES. In particular, the</w:t>
            </w:r>
            <w:r>
              <w:rPr>
                <w:rFonts w:cs="Arial"/>
                <w:snapToGrid w:val="0"/>
              </w:rPr>
              <w:t xml:space="preserve"> publication for the</w:t>
            </w:r>
            <w:r w:rsidRPr="00191A35">
              <w:rPr>
                <w:rFonts w:cs="Arial"/>
                <w:snapToGrid w:val="0"/>
              </w:rPr>
              <w:t xml:space="preserve"> Liu 2019 </w:t>
            </w:r>
            <w:r>
              <w:rPr>
                <w:rFonts w:cs="Arial"/>
                <w:snapToGrid w:val="0"/>
              </w:rPr>
              <w:t>RCT</w:t>
            </w:r>
            <w:r w:rsidRPr="00191A35">
              <w:rPr>
                <w:rFonts w:cs="Arial"/>
                <w:snapToGrid w:val="0"/>
              </w:rPr>
              <w:t xml:space="preserve"> </w:t>
            </w:r>
            <w:r>
              <w:rPr>
                <w:rFonts w:cs="Arial"/>
                <w:snapToGrid w:val="0"/>
              </w:rPr>
              <w:t xml:space="preserve">(left main lesions) </w:t>
            </w:r>
            <w:r w:rsidRPr="00191A35">
              <w:rPr>
                <w:rFonts w:cs="Arial"/>
                <w:snapToGrid w:val="0"/>
              </w:rPr>
              <w:t>does not mention the type of DES used.</w:t>
            </w:r>
          </w:p>
        </w:tc>
      </w:tr>
      <w:tr w:rsidR="0017620D" w:rsidRPr="00CE28E3" w14:paraId="75C9E2AA" w14:textId="77777777" w:rsidTr="00413A53">
        <w:trPr>
          <w:cantSplit/>
        </w:trPr>
        <w:tc>
          <w:tcPr>
            <w:tcW w:w="705" w:type="pct"/>
          </w:tcPr>
          <w:p w14:paraId="567CEF97" w14:textId="14250ECD" w:rsidR="0017620D" w:rsidRPr="00CE28E3" w:rsidRDefault="00835CA4" w:rsidP="00824458">
            <w:pPr>
              <w:pStyle w:val="TableText"/>
            </w:pPr>
            <w:r>
              <w:lastRenderedPageBreak/>
              <w:t>Clinical e</w:t>
            </w:r>
            <w:r w:rsidR="0029241D">
              <w:t>vidence base</w:t>
            </w:r>
          </w:p>
        </w:tc>
        <w:tc>
          <w:tcPr>
            <w:tcW w:w="1808" w:type="pct"/>
          </w:tcPr>
          <w:p w14:paraId="120053D7" w14:textId="5F2851EE" w:rsidR="0017620D" w:rsidRDefault="006E26F3" w:rsidP="00824458">
            <w:pPr>
              <w:pStyle w:val="TableText"/>
              <w:rPr>
                <w:rFonts w:cs="Arial"/>
                <w:snapToGrid w:val="0"/>
              </w:rPr>
            </w:pPr>
            <w:r w:rsidRPr="006E26F3">
              <w:rPr>
                <w:rFonts w:cs="Arial"/>
                <w:snapToGrid w:val="0"/>
              </w:rPr>
              <w:t>MSAC was concerned about the limited number of primary studies included in the analysis and the reliance on systematic reviews and meta-analyses, which do not allow assessment of the safety and efficacy of IVUS guidance for stent insertion</w:t>
            </w:r>
            <w:r>
              <w:rPr>
                <w:rFonts w:cs="Arial"/>
                <w:snapToGrid w:val="0"/>
              </w:rPr>
              <w:t xml:space="preserve"> </w:t>
            </w:r>
            <w:r w:rsidRPr="006E26F3">
              <w:rPr>
                <w:rFonts w:cs="Arial"/>
                <w:snapToGrid w:val="0"/>
              </w:rPr>
              <w:t>for the types of 'high-risk' patients nominated in the protocol.</w:t>
            </w:r>
            <w:r>
              <w:rPr>
                <w:rFonts w:cs="Arial"/>
                <w:snapToGrid w:val="0"/>
              </w:rPr>
              <w:t xml:space="preserve"> [PSD, p.2]</w:t>
            </w:r>
          </w:p>
        </w:tc>
        <w:tc>
          <w:tcPr>
            <w:tcW w:w="2487" w:type="pct"/>
          </w:tcPr>
          <w:p w14:paraId="319D2CBB" w14:textId="68AFC335" w:rsidR="0017620D" w:rsidRPr="00CE28E3" w:rsidRDefault="0029241D" w:rsidP="00824458">
            <w:pPr>
              <w:pStyle w:val="TableText"/>
              <w:rPr>
                <w:rFonts w:cs="Arial"/>
                <w:snapToGrid w:val="0"/>
              </w:rPr>
            </w:pPr>
            <w:r w:rsidRPr="00E378C5">
              <w:rPr>
                <w:rFonts w:cs="Arial"/>
                <w:b/>
                <w:bCs/>
                <w:snapToGrid w:val="0"/>
              </w:rPr>
              <w:t>Incompletely addressed.</w:t>
            </w:r>
            <w:r>
              <w:rPr>
                <w:rFonts w:cs="Arial"/>
                <w:snapToGrid w:val="0"/>
              </w:rPr>
              <w:br/>
            </w:r>
            <w:r w:rsidRPr="0029241D">
              <w:rPr>
                <w:rFonts w:cs="Arial"/>
                <w:snapToGrid w:val="0"/>
              </w:rPr>
              <w:t>The current ADAR does not rely on published meta-analyses; however, the evidence base consists of five RCTs from China and Korea</w:t>
            </w:r>
            <w:r w:rsidR="003B3CF6">
              <w:rPr>
                <w:rFonts w:cs="Arial"/>
                <w:snapToGrid w:val="0"/>
              </w:rPr>
              <w:t xml:space="preserve"> (1 RCT of all</w:t>
            </w:r>
            <w:r w:rsidR="000066A0">
              <w:rPr>
                <w:rFonts w:cs="Arial"/>
                <w:snapToGrid w:val="0"/>
              </w:rPr>
              <w:t>-</w:t>
            </w:r>
            <w:r w:rsidR="003B3CF6">
              <w:rPr>
                <w:rFonts w:cs="Arial"/>
                <w:snapToGrid w:val="0"/>
              </w:rPr>
              <w:t>comers, 2 RCTs of patients with long lesions and 2 RCTs of patients with left main lesions). N</w:t>
            </w:r>
            <w:r w:rsidRPr="0029241D">
              <w:rPr>
                <w:rFonts w:cs="Arial"/>
                <w:snapToGrid w:val="0"/>
              </w:rPr>
              <w:t>one</w:t>
            </w:r>
            <w:r w:rsidR="003B3CF6">
              <w:rPr>
                <w:rFonts w:cs="Arial"/>
                <w:snapToGrid w:val="0"/>
              </w:rPr>
              <w:t xml:space="preserve"> of the RCTs</w:t>
            </w:r>
            <w:r w:rsidRPr="0029241D">
              <w:rPr>
                <w:rFonts w:cs="Arial"/>
                <w:snapToGrid w:val="0"/>
              </w:rPr>
              <w:t xml:space="preserve"> are powered for the key outcomes specified in the ratified PICO. Based on judgements made during preparation of the Commentary, </w:t>
            </w:r>
            <w:r w:rsidR="003B3CF6">
              <w:rPr>
                <w:rFonts w:cs="Arial"/>
                <w:snapToGrid w:val="0"/>
              </w:rPr>
              <w:t>t</w:t>
            </w:r>
            <w:r w:rsidRPr="0029241D">
              <w:rPr>
                <w:rFonts w:cs="Arial"/>
                <w:snapToGrid w:val="0"/>
              </w:rPr>
              <w:t xml:space="preserve">he </w:t>
            </w:r>
            <w:r w:rsidR="00191A35">
              <w:rPr>
                <w:rFonts w:cs="Arial"/>
                <w:snapToGrid w:val="0"/>
              </w:rPr>
              <w:t>2</w:t>
            </w:r>
            <w:r w:rsidRPr="0029241D">
              <w:rPr>
                <w:rFonts w:cs="Arial"/>
                <w:snapToGrid w:val="0"/>
              </w:rPr>
              <w:t xml:space="preserve"> RCTs in patients with left main lesions are at high risk of bias</w:t>
            </w:r>
            <w:r w:rsidR="00191A35">
              <w:rPr>
                <w:rFonts w:cs="Arial"/>
                <w:snapToGrid w:val="0"/>
              </w:rPr>
              <w:t xml:space="preserve"> and the remaining 3 RCTs have concerns regarding risk of bias.</w:t>
            </w:r>
          </w:p>
        </w:tc>
      </w:tr>
      <w:tr w:rsidR="00835CA4" w:rsidRPr="00CE28E3" w14:paraId="67D0DB46" w14:textId="77777777" w:rsidTr="00413A53">
        <w:trPr>
          <w:cantSplit/>
        </w:trPr>
        <w:tc>
          <w:tcPr>
            <w:tcW w:w="705" w:type="pct"/>
          </w:tcPr>
          <w:p w14:paraId="7B925917" w14:textId="77777777" w:rsidR="00835CA4" w:rsidRPr="00CE28E3" w:rsidRDefault="00835CA4" w:rsidP="00824458">
            <w:pPr>
              <w:pStyle w:val="TableText"/>
            </w:pPr>
            <w:r>
              <w:t>Clinical evidence base</w:t>
            </w:r>
          </w:p>
        </w:tc>
        <w:tc>
          <w:tcPr>
            <w:tcW w:w="1808" w:type="pct"/>
          </w:tcPr>
          <w:p w14:paraId="3870AF35" w14:textId="77777777" w:rsidR="00835CA4" w:rsidRPr="006E26F3" w:rsidRDefault="00835CA4" w:rsidP="00824458">
            <w:pPr>
              <w:pStyle w:val="TableText"/>
              <w:rPr>
                <w:rFonts w:cs="Arial"/>
                <w:snapToGrid w:val="0"/>
              </w:rPr>
            </w:pPr>
            <w:r w:rsidRPr="006E26F3">
              <w:rPr>
                <w:rFonts w:cs="Arial"/>
                <w:snapToGrid w:val="0"/>
              </w:rPr>
              <w:t>It remained unclear, due to lack of research evidence, whether there is benefit of IVUS in PCI stent insertion for naive patients compared to re-stenting procedures.</w:t>
            </w:r>
            <w:r>
              <w:rPr>
                <w:rFonts w:cs="Arial"/>
                <w:snapToGrid w:val="0"/>
              </w:rPr>
              <w:t xml:space="preserve"> [PSD, p.2]</w:t>
            </w:r>
          </w:p>
        </w:tc>
        <w:tc>
          <w:tcPr>
            <w:tcW w:w="2487" w:type="pct"/>
          </w:tcPr>
          <w:p w14:paraId="55FE54CD" w14:textId="500F9577" w:rsidR="00835CA4" w:rsidRDefault="00835CA4" w:rsidP="00824458">
            <w:pPr>
              <w:pStyle w:val="TableText"/>
              <w:rPr>
                <w:rFonts w:cs="Arial"/>
                <w:snapToGrid w:val="0"/>
              </w:rPr>
            </w:pPr>
            <w:r w:rsidRPr="00E378C5">
              <w:rPr>
                <w:rFonts w:cs="Arial"/>
                <w:b/>
                <w:bCs/>
                <w:snapToGrid w:val="0"/>
              </w:rPr>
              <w:t>Not resolved</w:t>
            </w:r>
            <w:r w:rsidR="00E378C5" w:rsidRPr="00E378C5">
              <w:rPr>
                <w:rFonts w:cs="Arial"/>
                <w:b/>
                <w:bCs/>
                <w:snapToGrid w:val="0"/>
              </w:rPr>
              <w:t>.</w:t>
            </w:r>
            <w:r>
              <w:rPr>
                <w:rFonts w:cs="Arial"/>
                <w:snapToGrid w:val="0"/>
              </w:rPr>
              <w:br/>
            </w:r>
            <w:r w:rsidRPr="00D917DA">
              <w:rPr>
                <w:rFonts w:cs="Arial"/>
                <w:snapToGrid w:val="0"/>
              </w:rPr>
              <w:t xml:space="preserve">The included RCTs enrolled patients requiring PCI for </w:t>
            </w:r>
            <w:r w:rsidR="005B3E0C">
              <w:rPr>
                <w:rFonts w:cs="Arial"/>
                <w:snapToGrid w:val="0"/>
              </w:rPr>
              <w:t>new</w:t>
            </w:r>
            <w:r w:rsidRPr="00D917DA">
              <w:rPr>
                <w:rFonts w:cs="Arial"/>
                <w:snapToGrid w:val="0"/>
              </w:rPr>
              <w:t xml:space="preserve"> lesions (although this is not clear </w:t>
            </w:r>
            <w:r w:rsidR="005B3E0C">
              <w:rPr>
                <w:rFonts w:cs="Arial"/>
                <w:snapToGrid w:val="0"/>
              </w:rPr>
              <w:t>for</w:t>
            </w:r>
            <w:r w:rsidRPr="00D917DA">
              <w:rPr>
                <w:rFonts w:cs="Arial"/>
                <w:snapToGrid w:val="0"/>
              </w:rPr>
              <w:t xml:space="preserve"> the </w:t>
            </w:r>
            <w:r w:rsidR="005B3E0C">
              <w:rPr>
                <w:rFonts w:cs="Arial"/>
                <w:snapToGrid w:val="0"/>
              </w:rPr>
              <w:t>2 RCTs</w:t>
            </w:r>
            <w:r w:rsidRPr="00D917DA">
              <w:rPr>
                <w:rFonts w:cs="Arial"/>
                <w:snapToGrid w:val="0"/>
              </w:rPr>
              <w:t xml:space="preserve"> relating to left main lesions)</w:t>
            </w:r>
            <w:r w:rsidR="00E378C5">
              <w:rPr>
                <w:rFonts w:cs="Arial"/>
                <w:snapToGrid w:val="0"/>
              </w:rPr>
              <w:t>. N</w:t>
            </w:r>
            <w:r>
              <w:rPr>
                <w:rFonts w:cs="Arial"/>
                <w:snapToGrid w:val="0"/>
              </w:rPr>
              <w:t>o evidence was presented to support the use of IVUS in re-stenting procedures.</w:t>
            </w:r>
          </w:p>
          <w:p w14:paraId="1908206E" w14:textId="38986D94" w:rsidR="00835CA4" w:rsidRPr="00CE28E3" w:rsidRDefault="00835CA4" w:rsidP="00824458">
            <w:pPr>
              <w:pStyle w:val="TableText"/>
              <w:rPr>
                <w:rFonts w:cs="Arial"/>
                <w:snapToGrid w:val="0"/>
              </w:rPr>
            </w:pPr>
            <w:r w:rsidRPr="007B7924">
              <w:rPr>
                <w:rFonts w:cs="Arial"/>
                <w:snapToGrid w:val="0"/>
              </w:rPr>
              <w:t>The</w:t>
            </w:r>
            <w:r>
              <w:rPr>
                <w:rFonts w:cs="Arial"/>
                <w:snapToGrid w:val="0"/>
              </w:rPr>
              <w:t xml:space="preserve"> applicant claims: “The</w:t>
            </w:r>
            <w:r w:rsidRPr="007B7924">
              <w:rPr>
                <w:rFonts w:cs="Arial"/>
                <w:snapToGrid w:val="0"/>
              </w:rPr>
              <w:t xml:space="preserve">re is no evidence to suggest that IVUS is of greater benefit to patients receiving primary stent insertion or those receiving a re-stenting procedure. There is no clinically plausible reason as to why naïve or re-stenting patient populations would receive greater benefit than the </w:t>
            </w:r>
            <w:r w:rsidR="00E378C5" w:rsidRPr="007B7924">
              <w:rPr>
                <w:rFonts w:cs="Arial"/>
                <w:snapToGrid w:val="0"/>
              </w:rPr>
              <w:t>other.</w:t>
            </w:r>
            <w:r w:rsidR="00E378C5">
              <w:rPr>
                <w:rFonts w:cs="Arial"/>
                <w:snapToGrid w:val="0"/>
              </w:rPr>
              <w:t>”</w:t>
            </w:r>
          </w:p>
        </w:tc>
      </w:tr>
      <w:tr w:rsidR="005B3E0C" w:rsidRPr="00CE28E3" w14:paraId="6C42C119" w14:textId="77777777" w:rsidTr="00413A53">
        <w:trPr>
          <w:cantSplit/>
        </w:trPr>
        <w:tc>
          <w:tcPr>
            <w:tcW w:w="705" w:type="pct"/>
          </w:tcPr>
          <w:p w14:paraId="4C61FAA1" w14:textId="77777777" w:rsidR="005B3E0C" w:rsidRPr="00CE28E3" w:rsidRDefault="005B3E0C" w:rsidP="00824458">
            <w:pPr>
              <w:pStyle w:val="TableText"/>
            </w:pPr>
            <w:r>
              <w:t>Clinical evidence base</w:t>
            </w:r>
          </w:p>
        </w:tc>
        <w:tc>
          <w:tcPr>
            <w:tcW w:w="1808" w:type="pct"/>
          </w:tcPr>
          <w:p w14:paraId="65D8DC96" w14:textId="77777777" w:rsidR="005B3E0C" w:rsidRPr="006E26F3" w:rsidRDefault="005B3E0C" w:rsidP="00824458">
            <w:pPr>
              <w:pStyle w:val="TableText"/>
              <w:rPr>
                <w:rFonts w:cs="Arial"/>
                <w:snapToGrid w:val="0"/>
              </w:rPr>
            </w:pPr>
            <w:r w:rsidRPr="007B7924">
              <w:rPr>
                <w:rFonts w:cs="Arial"/>
                <w:snapToGrid w:val="0"/>
              </w:rPr>
              <w:t>In addition, due to the short follow-up (2-3 years) in the clinical evidence base, it is not possible to assess whether the short-term benefits of IVUS are maintained over a longer period of time.</w:t>
            </w:r>
            <w:r>
              <w:rPr>
                <w:rFonts w:cs="Arial"/>
                <w:snapToGrid w:val="0"/>
              </w:rPr>
              <w:t xml:space="preserve"> [PSD, p.2]</w:t>
            </w:r>
          </w:p>
        </w:tc>
        <w:tc>
          <w:tcPr>
            <w:tcW w:w="2487" w:type="pct"/>
          </w:tcPr>
          <w:p w14:paraId="4B934820" w14:textId="523B17B7" w:rsidR="005B3E0C" w:rsidRPr="00CE28E3" w:rsidRDefault="005B3E0C" w:rsidP="00824458">
            <w:pPr>
              <w:pStyle w:val="TableText"/>
              <w:rPr>
                <w:rFonts w:cs="Arial"/>
                <w:snapToGrid w:val="0"/>
              </w:rPr>
            </w:pPr>
            <w:r w:rsidRPr="00E378C5">
              <w:rPr>
                <w:rFonts w:cs="Arial"/>
                <w:b/>
                <w:bCs/>
                <w:snapToGrid w:val="0"/>
              </w:rPr>
              <w:t>Incompletely addressed.</w:t>
            </w:r>
            <w:r>
              <w:rPr>
                <w:rFonts w:cs="Arial"/>
                <w:snapToGrid w:val="0"/>
              </w:rPr>
              <w:br/>
              <w:t>F</w:t>
            </w:r>
            <w:r w:rsidRPr="005B3E0C">
              <w:rPr>
                <w:rFonts w:cs="Arial"/>
                <w:snapToGrid w:val="0"/>
              </w:rPr>
              <w:t xml:space="preserve">ollow-up </w:t>
            </w:r>
            <w:r>
              <w:rPr>
                <w:rFonts w:cs="Arial"/>
                <w:snapToGrid w:val="0"/>
              </w:rPr>
              <w:t xml:space="preserve">in the included RCTs was </w:t>
            </w:r>
            <w:r w:rsidRPr="005B3E0C">
              <w:rPr>
                <w:rFonts w:cs="Arial"/>
                <w:snapToGrid w:val="0"/>
              </w:rPr>
              <w:t>3 years for all</w:t>
            </w:r>
            <w:r w:rsidR="000066A0">
              <w:rPr>
                <w:rFonts w:cs="Arial"/>
                <w:snapToGrid w:val="0"/>
              </w:rPr>
              <w:t>-</w:t>
            </w:r>
            <w:r w:rsidRPr="005B3E0C">
              <w:rPr>
                <w:rFonts w:cs="Arial"/>
                <w:snapToGrid w:val="0"/>
              </w:rPr>
              <w:t>comers</w:t>
            </w:r>
            <w:r>
              <w:rPr>
                <w:rFonts w:cs="Arial"/>
                <w:snapToGrid w:val="0"/>
              </w:rPr>
              <w:t xml:space="preserve"> to PCI</w:t>
            </w:r>
            <w:r w:rsidRPr="005B3E0C">
              <w:rPr>
                <w:rFonts w:cs="Arial"/>
                <w:snapToGrid w:val="0"/>
              </w:rPr>
              <w:t>, up to 5 years for patients with long lesions</w:t>
            </w:r>
            <w:r>
              <w:rPr>
                <w:rFonts w:cs="Arial"/>
                <w:snapToGrid w:val="0"/>
              </w:rPr>
              <w:t>,</w:t>
            </w:r>
            <w:r w:rsidRPr="005B3E0C">
              <w:rPr>
                <w:rFonts w:cs="Arial"/>
                <w:snapToGrid w:val="0"/>
              </w:rPr>
              <w:t xml:space="preserve"> and up to 2 years for patients with left main lesions</w:t>
            </w:r>
            <w:r>
              <w:rPr>
                <w:rFonts w:cs="Arial"/>
                <w:snapToGrid w:val="0"/>
              </w:rPr>
              <w:t>.</w:t>
            </w:r>
          </w:p>
        </w:tc>
      </w:tr>
      <w:tr w:rsidR="00835CA4" w:rsidRPr="00CE28E3" w14:paraId="2E98EFCE" w14:textId="77777777" w:rsidTr="00413A53">
        <w:trPr>
          <w:cantSplit/>
        </w:trPr>
        <w:tc>
          <w:tcPr>
            <w:tcW w:w="705" w:type="pct"/>
          </w:tcPr>
          <w:p w14:paraId="50FB847B" w14:textId="77777777" w:rsidR="00835CA4" w:rsidRPr="00CE28E3" w:rsidRDefault="00835CA4" w:rsidP="00824458">
            <w:pPr>
              <w:pStyle w:val="TableText"/>
            </w:pPr>
            <w:r>
              <w:t>Analysis of the clinical evidence</w:t>
            </w:r>
          </w:p>
        </w:tc>
        <w:tc>
          <w:tcPr>
            <w:tcW w:w="1808" w:type="pct"/>
          </w:tcPr>
          <w:p w14:paraId="5C1639F9" w14:textId="77777777" w:rsidR="00835CA4" w:rsidRDefault="00835CA4" w:rsidP="00824458">
            <w:pPr>
              <w:pStyle w:val="TableText"/>
              <w:rPr>
                <w:rFonts w:cs="Arial"/>
                <w:snapToGrid w:val="0"/>
              </w:rPr>
            </w:pPr>
            <w:r w:rsidRPr="0017620D">
              <w:rPr>
                <w:rFonts w:cs="Arial"/>
                <w:snapToGrid w:val="0"/>
              </w:rPr>
              <w:t>Due to lack of evidence</w:t>
            </w:r>
            <w:r>
              <w:rPr>
                <w:rFonts w:cs="Arial"/>
                <w:snapToGrid w:val="0"/>
              </w:rPr>
              <w:t>,</w:t>
            </w:r>
            <w:r w:rsidRPr="0017620D">
              <w:rPr>
                <w:rFonts w:cs="Arial"/>
                <w:snapToGrid w:val="0"/>
              </w:rPr>
              <w:t xml:space="preserve"> no sub-group analysis was performed for the ‘high-risk’ patient groups, as defined in the protocol in the submission. The applicant instead presented subgroup analysis for patients with acute coronary syndrome, diabetes and renal insufficiency; however</w:t>
            </w:r>
            <w:r>
              <w:rPr>
                <w:rFonts w:cs="Arial"/>
                <w:snapToGrid w:val="0"/>
              </w:rPr>
              <w:t>,</w:t>
            </w:r>
            <w:r w:rsidRPr="0017620D">
              <w:rPr>
                <w:rFonts w:cs="Arial"/>
                <w:snapToGrid w:val="0"/>
              </w:rPr>
              <w:t xml:space="preserve"> MSAC was concerned that this was not what the protocol mandated.</w:t>
            </w:r>
            <w:r>
              <w:rPr>
                <w:rFonts w:cs="Arial"/>
                <w:snapToGrid w:val="0"/>
              </w:rPr>
              <w:t xml:space="preserve"> [PSD, p.2]</w:t>
            </w:r>
          </w:p>
        </w:tc>
        <w:tc>
          <w:tcPr>
            <w:tcW w:w="2487" w:type="pct"/>
          </w:tcPr>
          <w:p w14:paraId="5BBAF6BF" w14:textId="5EC6B2CB" w:rsidR="00835CA4" w:rsidRPr="00CE28E3" w:rsidRDefault="00835CA4" w:rsidP="00824458">
            <w:pPr>
              <w:pStyle w:val="TableText"/>
              <w:rPr>
                <w:rFonts w:cs="Arial"/>
                <w:snapToGrid w:val="0"/>
              </w:rPr>
            </w:pPr>
            <w:r w:rsidRPr="00E378C5">
              <w:rPr>
                <w:rFonts w:cs="Arial"/>
                <w:b/>
                <w:bCs/>
                <w:snapToGrid w:val="0"/>
              </w:rPr>
              <w:t>Addressed.</w:t>
            </w:r>
            <w:r>
              <w:rPr>
                <w:rFonts w:cs="Arial"/>
                <w:snapToGrid w:val="0"/>
              </w:rPr>
              <w:br/>
            </w:r>
            <w:r w:rsidRPr="0017620D">
              <w:rPr>
                <w:rFonts w:cs="Arial"/>
                <w:snapToGrid w:val="0"/>
              </w:rPr>
              <w:t>The evidence presented in the ADAR is aligned with the populations defined in the ratified PICO.</w:t>
            </w:r>
            <w:r>
              <w:rPr>
                <w:rFonts w:cs="Arial"/>
                <w:snapToGrid w:val="0"/>
              </w:rPr>
              <w:t xml:space="preserve"> S</w:t>
            </w:r>
            <w:r w:rsidRPr="00E536A1">
              <w:rPr>
                <w:rFonts w:cs="Arial"/>
                <w:snapToGrid w:val="0"/>
              </w:rPr>
              <w:t>eparate analys</w:t>
            </w:r>
            <w:r>
              <w:rPr>
                <w:rFonts w:cs="Arial"/>
                <w:snapToGrid w:val="0"/>
              </w:rPr>
              <w:t>e</w:t>
            </w:r>
            <w:r w:rsidRPr="00E536A1">
              <w:rPr>
                <w:rFonts w:cs="Arial"/>
                <w:snapToGrid w:val="0"/>
              </w:rPr>
              <w:t xml:space="preserve">s </w:t>
            </w:r>
            <w:r>
              <w:rPr>
                <w:rFonts w:cs="Arial"/>
                <w:snapToGrid w:val="0"/>
              </w:rPr>
              <w:t xml:space="preserve">have been conducted </w:t>
            </w:r>
            <w:r w:rsidRPr="00E536A1">
              <w:rPr>
                <w:rFonts w:cs="Arial"/>
                <w:snapToGrid w:val="0"/>
              </w:rPr>
              <w:t xml:space="preserve">for </w:t>
            </w:r>
            <w:r>
              <w:rPr>
                <w:rFonts w:cs="Arial"/>
                <w:snapToGrid w:val="0"/>
              </w:rPr>
              <w:t xml:space="preserve">the two subpopulations with </w:t>
            </w:r>
            <w:r w:rsidRPr="00E536A1">
              <w:rPr>
                <w:rFonts w:cs="Arial"/>
                <w:snapToGrid w:val="0"/>
              </w:rPr>
              <w:t>complex anatomical characteristics</w:t>
            </w:r>
            <w:r>
              <w:rPr>
                <w:rFonts w:cs="Arial"/>
                <w:snapToGrid w:val="0"/>
              </w:rPr>
              <w:t xml:space="preserve">: </w:t>
            </w:r>
            <w:r w:rsidRPr="00E536A1">
              <w:rPr>
                <w:rFonts w:cs="Arial"/>
                <w:snapToGrid w:val="0"/>
              </w:rPr>
              <w:t>(</w:t>
            </w:r>
            <w:r>
              <w:rPr>
                <w:rFonts w:cs="Arial"/>
                <w:snapToGrid w:val="0"/>
              </w:rPr>
              <w:t>1</w:t>
            </w:r>
            <w:r w:rsidRPr="00E536A1">
              <w:rPr>
                <w:rFonts w:cs="Arial"/>
                <w:snapToGrid w:val="0"/>
              </w:rPr>
              <w:t xml:space="preserve">) </w:t>
            </w:r>
            <w:r>
              <w:rPr>
                <w:rFonts w:cs="Arial"/>
                <w:snapToGrid w:val="0"/>
              </w:rPr>
              <w:t>long</w:t>
            </w:r>
            <w:r w:rsidRPr="00E536A1">
              <w:rPr>
                <w:rFonts w:cs="Arial"/>
                <w:snapToGrid w:val="0"/>
              </w:rPr>
              <w:t xml:space="preserve"> lesion</w:t>
            </w:r>
            <w:r>
              <w:rPr>
                <w:rFonts w:cs="Arial"/>
                <w:snapToGrid w:val="0"/>
              </w:rPr>
              <w:t>s</w:t>
            </w:r>
            <w:r w:rsidRPr="00E536A1">
              <w:rPr>
                <w:rFonts w:cs="Arial"/>
                <w:snapToGrid w:val="0"/>
              </w:rPr>
              <w:t xml:space="preserve"> ≥</w:t>
            </w:r>
            <w:r>
              <w:rPr>
                <w:rFonts w:cs="Arial"/>
                <w:snapToGrid w:val="0"/>
              </w:rPr>
              <w:t xml:space="preserve"> </w:t>
            </w:r>
            <w:r w:rsidRPr="00E536A1">
              <w:rPr>
                <w:rFonts w:cs="Arial"/>
                <w:snapToGrid w:val="0"/>
              </w:rPr>
              <w:t>28</w:t>
            </w:r>
            <w:r>
              <w:rPr>
                <w:rFonts w:cs="Arial"/>
                <w:snapToGrid w:val="0"/>
              </w:rPr>
              <w:t xml:space="preserve"> </w:t>
            </w:r>
            <w:r w:rsidRPr="00E536A1">
              <w:rPr>
                <w:rFonts w:cs="Arial"/>
                <w:snapToGrid w:val="0"/>
              </w:rPr>
              <w:t>mm</w:t>
            </w:r>
            <w:r>
              <w:rPr>
                <w:rFonts w:cs="Arial"/>
                <w:snapToGrid w:val="0"/>
              </w:rPr>
              <w:t>; and</w:t>
            </w:r>
            <w:r w:rsidRPr="00E536A1">
              <w:rPr>
                <w:rFonts w:cs="Arial"/>
                <w:snapToGrid w:val="0"/>
              </w:rPr>
              <w:t xml:space="preserve"> (</w:t>
            </w:r>
            <w:r>
              <w:rPr>
                <w:rFonts w:cs="Arial"/>
                <w:snapToGrid w:val="0"/>
              </w:rPr>
              <w:t>2</w:t>
            </w:r>
            <w:r w:rsidRPr="00E536A1">
              <w:rPr>
                <w:rFonts w:cs="Arial"/>
                <w:snapToGrid w:val="0"/>
              </w:rPr>
              <w:t>) lesions associated with the left main coronary artery. Th</w:t>
            </w:r>
            <w:r>
              <w:rPr>
                <w:rFonts w:cs="Arial"/>
                <w:snapToGrid w:val="0"/>
              </w:rPr>
              <w:t>e</w:t>
            </w:r>
            <w:r w:rsidRPr="00E536A1">
              <w:rPr>
                <w:rFonts w:cs="Arial"/>
                <w:snapToGrid w:val="0"/>
              </w:rPr>
              <w:t xml:space="preserve"> definition</w:t>
            </w:r>
            <w:r>
              <w:rPr>
                <w:rFonts w:cs="Arial"/>
                <w:snapToGrid w:val="0"/>
              </w:rPr>
              <w:t>s</w:t>
            </w:r>
            <w:r w:rsidRPr="00E536A1">
              <w:rPr>
                <w:rFonts w:cs="Arial"/>
                <w:snapToGrid w:val="0"/>
              </w:rPr>
              <w:t xml:space="preserve"> </w:t>
            </w:r>
            <w:r>
              <w:rPr>
                <w:rFonts w:cs="Arial"/>
                <w:snapToGrid w:val="0"/>
              </w:rPr>
              <w:t xml:space="preserve">for these subpopulations </w:t>
            </w:r>
            <w:r w:rsidR="0051440C">
              <w:rPr>
                <w:rFonts w:cs="Arial"/>
                <w:snapToGrid w:val="0"/>
              </w:rPr>
              <w:t>is</w:t>
            </w:r>
            <w:r w:rsidRPr="00E536A1">
              <w:rPr>
                <w:rFonts w:cs="Arial"/>
                <w:snapToGrid w:val="0"/>
              </w:rPr>
              <w:t xml:space="preserve"> based on the consensus of a</w:t>
            </w:r>
            <w:r w:rsidR="0051440C">
              <w:rPr>
                <w:rFonts w:cs="Arial"/>
                <w:snapToGrid w:val="0"/>
              </w:rPr>
              <w:t>n</w:t>
            </w:r>
            <w:r w:rsidRPr="00E536A1">
              <w:rPr>
                <w:rFonts w:cs="Arial"/>
                <w:snapToGrid w:val="0"/>
              </w:rPr>
              <w:t xml:space="preserve"> Australian KOL expert panel </w:t>
            </w:r>
            <w:r w:rsidR="0051440C">
              <w:rPr>
                <w:rFonts w:cs="Arial"/>
                <w:snapToGrid w:val="0"/>
              </w:rPr>
              <w:t xml:space="preserve">convened by the applicant </w:t>
            </w:r>
            <w:r w:rsidRPr="00E536A1">
              <w:rPr>
                <w:rFonts w:cs="Arial"/>
                <w:snapToGrid w:val="0"/>
              </w:rPr>
              <w:t>in August 2020.</w:t>
            </w:r>
          </w:p>
        </w:tc>
      </w:tr>
      <w:tr w:rsidR="00835CA4" w:rsidRPr="00CE28E3" w14:paraId="453FCDCB" w14:textId="77777777" w:rsidTr="00413A53">
        <w:trPr>
          <w:cantSplit/>
        </w:trPr>
        <w:tc>
          <w:tcPr>
            <w:tcW w:w="705" w:type="pct"/>
          </w:tcPr>
          <w:p w14:paraId="055B8717" w14:textId="77777777" w:rsidR="00835CA4" w:rsidRPr="00CE28E3" w:rsidRDefault="00835CA4" w:rsidP="00824458">
            <w:pPr>
              <w:pStyle w:val="TableText"/>
            </w:pPr>
            <w:r>
              <w:t>Safety</w:t>
            </w:r>
          </w:p>
        </w:tc>
        <w:tc>
          <w:tcPr>
            <w:tcW w:w="1808" w:type="pct"/>
          </w:tcPr>
          <w:p w14:paraId="235A3F72" w14:textId="77777777" w:rsidR="00835CA4" w:rsidRDefault="00835CA4" w:rsidP="00AC3954">
            <w:pPr>
              <w:pStyle w:val="TableText"/>
              <w:rPr>
                <w:rFonts w:cs="Arial"/>
                <w:snapToGrid w:val="0"/>
              </w:rPr>
            </w:pPr>
            <w:r w:rsidRPr="00AC3954">
              <w:rPr>
                <w:rFonts w:cs="Arial"/>
                <w:snapToGrid w:val="0"/>
              </w:rPr>
              <w:t>It was noted that there were no safety concerns identified, although MSAC was concerned</w:t>
            </w:r>
            <w:r>
              <w:rPr>
                <w:rFonts w:cs="Arial"/>
                <w:snapToGrid w:val="0"/>
              </w:rPr>
              <w:t xml:space="preserve"> </w:t>
            </w:r>
            <w:r w:rsidRPr="00AC3954">
              <w:rPr>
                <w:rFonts w:cs="Arial"/>
                <w:snapToGrid w:val="0"/>
              </w:rPr>
              <w:t>that the safety analysis was not robust.</w:t>
            </w:r>
            <w:r>
              <w:rPr>
                <w:rFonts w:cs="Arial"/>
                <w:snapToGrid w:val="0"/>
              </w:rPr>
              <w:t xml:space="preserve"> [PSD, p.2]</w:t>
            </w:r>
          </w:p>
        </w:tc>
        <w:tc>
          <w:tcPr>
            <w:tcW w:w="2487" w:type="pct"/>
          </w:tcPr>
          <w:p w14:paraId="5840B3D5" w14:textId="7945C16E" w:rsidR="00835CA4" w:rsidRPr="00CE28E3" w:rsidRDefault="00835CA4" w:rsidP="00824458">
            <w:pPr>
              <w:pStyle w:val="TableText"/>
              <w:rPr>
                <w:rFonts w:cs="Arial"/>
                <w:snapToGrid w:val="0"/>
              </w:rPr>
            </w:pPr>
            <w:r w:rsidRPr="00E378C5">
              <w:rPr>
                <w:rFonts w:cs="Arial"/>
                <w:b/>
                <w:bCs/>
                <w:snapToGrid w:val="0"/>
              </w:rPr>
              <w:t>Incompletely addressed.</w:t>
            </w:r>
            <w:r>
              <w:rPr>
                <w:rFonts w:cs="Arial"/>
                <w:snapToGrid w:val="0"/>
              </w:rPr>
              <w:br/>
            </w:r>
            <w:r w:rsidRPr="006E26F3">
              <w:rPr>
                <w:rFonts w:cs="Arial"/>
                <w:snapToGrid w:val="0"/>
              </w:rPr>
              <w:t xml:space="preserve">The ADAR does not capture </w:t>
            </w:r>
            <w:r>
              <w:rPr>
                <w:rFonts w:cs="Arial"/>
                <w:snapToGrid w:val="0"/>
              </w:rPr>
              <w:t xml:space="preserve">the safety outcomes specified in the ratified PICO, namely </w:t>
            </w:r>
            <w:r w:rsidRPr="006E26F3">
              <w:rPr>
                <w:rFonts w:cs="Arial"/>
                <w:snapToGrid w:val="0"/>
              </w:rPr>
              <w:t xml:space="preserve">adverse events </w:t>
            </w:r>
            <w:r>
              <w:rPr>
                <w:rFonts w:cs="Arial"/>
                <w:snapToGrid w:val="0"/>
              </w:rPr>
              <w:t>and</w:t>
            </w:r>
            <w:r w:rsidRPr="006E26F3">
              <w:rPr>
                <w:rFonts w:cs="Arial"/>
                <w:snapToGrid w:val="0"/>
              </w:rPr>
              <w:t xml:space="preserve"> complications</w:t>
            </w:r>
            <w:r>
              <w:rPr>
                <w:rFonts w:cs="Arial"/>
                <w:snapToGrid w:val="0"/>
              </w:rPr>
              <w:t xml:space="preserve"> (including in-hospital events). The ADAR</w:t>
            </w:r>
            <w:r w:rsidRPr="006E26F3">
              <w:rPr>
                <w:rFonts w:cs="Arial"/>
                <w:snapToGrid w:val="0"/>
              </w:rPr>
              <w:t xml:space="preserve"> relies on stent thrombosis as the sole safety outcome</w:t>
            </w:r>
            <w:r>
              <w:rPr>
                <w:rFonts w:cs="Arial"/>
                <w:snapToGrid w:val="0"/>
              </w:rPr>
              <w:t>. S</w:t>
            </w:r>
            <w:r w:rsidRPr="006E26F3">
              <w:rPr>
                <w:rFonts w:cs="Arial"/>
                <w:snapToGrid w:val="0"/>
              </w:rPr>
              <w:t xml:space="preserve">tent thrombosis was </w:t>
            </w:r>
            <w:r>
              <w:rPr>
                <w:rFonts w:cs="Arial"/>
                <w:snapToGrid w:val="0"/>
              </w:rPr>
              <w:t>classified as</w:t>
            </w:r>
            <w:r w:rsidRPr="006E26F3">
              <w:rPr>
                <w:rFonts w:cs="Arial"/>
                <w:snapToGrid w:val="0"/>
              </w:rPr>
              <w:t xml:space="preserve"> an efficacy outcome in the PICO Confirmation.</w:t>
            </w:r>
          </w:p>
        </w:tc>
      </w:tr>
      <w:tr w:rsidR="006E26F3" w:rsidRPr="00CE28E3" w14:paraId="1F55923B" w14:textId="77777777" w:rsidTr="00413A53">
        <w:trPr>
          <w:cantSplit/>
        </w:trPr>
        <w:tc>
          <w:tcPr>
            <w:tcW w:w="705" w:type="pct"/>
          </w:tcPr>
          <w:p w14:paraId="734B8B9A" w14:textId="1318079A" w:rsidR="006E26F3" w:rsidRPr="00CE28E3" w:rsidRDefault="00835CA4" w:rsidP="00824458">
            <w:pPr>
              <w:pStyle w:val="TableText"/>
            </w:pPr>
            <w:r>
              <w:lastRenderedPageBreak/>
              <w:t>Clinical effectiveness</w:t>
            </w:r>
          </w:p>
        </w:tc>
        <w:tc>
          <w:tcPr>
            <w:tcW w:w="1808" w:type="pct"/>
          </w:tcPr>
          <w:p w14:paraId="34379B04" w14:textId="73FD2D5C" w:rsidR="006E26F3" w:rsidRPr="006E26F3" w:rsidRDefault="007B7924" w:rsidP="00824458">
            <w:pPr>
              <w:pStyle w:val="TableText"/>
              <w:rPr>
                <w:rFonts w:cs="Arial"/>
                <w:snapToGrid w:val="0"/>
              </w:rPr>
            </w:pPr>
            <w:r w:rsidRPr="007B7924">
              <w:rPr>
                <w:rFonts w:cs="Arial"/>
                <w:snapToGrid w:val="0"/>
              </w:rPr>
              <w:t xml:space="preserve">MSAC noted that there were small differences favouring IVUS. However, the data were heterogeneous and therefore the 95% CIs approached 1. MSAC was concerned that there were no significant differences in important clinical outcomes such as MIs and mortality and that pooling of major adverse cardiac events (MACE) may be inappropriate. </w:t>
            </w:r>
            <w:r w:rsidR="00835CA4">
              <w:rPr>
                <w:rFonts w:cs="Arial"/>
                <w:snapToGrid w:val="0"/>
              </w:rPr>
              <w:t>[PSD, p.2]</w:t>
            </w:r>
          </w:p>
        </w:tc>
        <w:tc>
          <w:tcPr>
            <w:tcW w:w="2487" w:type="pct"/>
          </w:tcPr>
          <w:p w14:paraId="2726CE47" w14:textId="2F29BA53" w:rsidR="00835CA4" w:rsidRPr="00835CA4" w:rsidRDefault="00E378C5" w:rsidP="00835CA4">
            <w:pPr>
              <w:pStyle w:val="TableText"/>
              <w:rPr>
                <w:rFonts w:cs="Arial"/>
                <w:snapToGrid w:val="0"/>
              </w:rPr>
            </w:pPr>
            <w:r w:rsidRPr="00E378C5">
              <w:rPr>
                <w:rFonts w:cs="Arial"/>
                <w:b/>
                <w:bCs/>
                <w:snapToGrid w:val="0"/>
              </w:rPr>
              <w:t>Incompletely</w:t>
            </w:r>
            <w:r w:rsidR="00835CA4" w:rsidRPr="00E378C5">
              <w:rPr>
                <w:rFonts w:cs="Arial"/>
                <w:b/>
                <w:bCs/>
                <w:snapToGrid w:val="0"/>
              </w:rPr>
              <w:t xml:space="preserve"> resolved</w:t>
            </w:r>
            <w:r>
              <w:rPr>
                <w:rFonts w:cs="Arial"/>
                <w:b/>
                <w:bCs/>
                <w:snapToGrid w:val="0"/>
              </w:rPr>
              <w:t>.</w:t>
            </w:r>
            <w:r>
              <w:rPr>
                <w:rFonts w:cs="Arial"/>
                <w:snapToGrid w:val="0"/>
              </w:rPr>
              <w:br/>
            </w:r>
            <w:r w:rsidR="00835CA4" w:rsidRPr="00835CA4">
              <w:rPr>
                <w:rFonts w:cs="Arial"/>
                <w:snapToGrid w:val="0"/>
              </w:rPr>
              <w:t>None of the included RCTs showed a statistically significant difference between IVUS guidance and angiography guidance in terms of cardiac mortality</w:t>
            </w:r>
            <w:r>
              <w:rPr>
                <w:rFonts w:cs="Arial"/>
                <w:snapToGrid w:val="0"/>
              </w:rPr>
              <w:t xml:space="preserve"> </w:t>
            </w:r>
            <w:r w:rsidR="00835CA4" w:rsidRPr="00835CA4">
              <w:rPr>
                <w:rFonts w:cs="Arial"/>
                <w:snapToGrid w:val="0"/>
              </w:rPr>
              <w:t>or MI at any of the time points reported</w:t>
            </w:r>
            <w:r>
              <w:rPr>
                <w:rFonts w:cs="Arial"/>
                <w:snapToGrid w:val="0"/>
              </w:rPr>
              <w:t xml:space="preserve"> (although </w:t>
            </w:r>
            <w:r w:rsidR="00835CA4" w:rsidRPr="00835CA4">
              <w:rPr>
                <w:rFonts w:cs="Arial"/>
                <w:snapToGrid w:val="0"/>
              </w:rPr>
              <w:t>the trials were not powered for these outcomes</w:t>
            </w:r>
            <w:r w:rsidR="00B2507F">
              <w:rPr>
                <w:rFonts w:cs="Arial"/>
                <w:snapToGrid w:val="0"/>
              </w:rPr>
              <w:t xml:space="preserve"> individually</w:t>
            </w:r>
            <w:r>
              <w:rPr>
                <w:rFonts w:cs="Arial"/>
                <w:snapToGrid w:val="0"/>
              </w:rPr>
              <w:t>)</w:t>
            </w:r>
            <w:r w:rsidR="00835CA4" w:rsidRPr="00835CA4">
              <w:rPr>
                <w:rFonts w:cs="Arial"/>
                <w:snapToGrid w:val="0"/>
              </w:rPr>
              <w:t>.</w:t>
            </w:r>
          </w:p>
          <w:p w14:paraId="5442BCE5" w14:textId="5C0FF1AA" w:rsidR="006E26F3" w:rsidRPr="00CE28E3" w:rsidRDefault="00835CA4" w:rsidP="00835CA4">
            <w:pPr>
              <w:pStyle w:val="TableText"/>
              <w:rPr>
                <w:rFonts w:cs="Arial"/>
                <w:snapToGrid w:val="0"/>
              </w:rPr>
            </w:pPr>
            <w:r w:rsidRPr="00835CA4">
              <w:rPr>
                <w:rFonts w:cs="Arial"/>
                <w:snapToGrid w:val="0"/>
              </w:rPr>
              <w:t>Although the ADAR presented supplementary studies that all showed statistically significant reductions in the risk of mortality and MI, these studies are all at risk of bias and included BMS and/or first-generation DES, limiting the applicability of the findings to contemporary practice.</w:t>
            </w:r>
            <w:r w:rsidR="0073107B">
              <w:rPr>
                <w:rFonts w:cs="Arial"/>
                <w:snapToGrid w:val="0"/>
              </w:rPr>
              <w:t xml:space="preserve"> </w:t>
            </w:r>
            <w:bookmarkStart w:id="7" w:name="_Hlk90964978"/>
            <w:r w:rsidR="0073107B">
              <w:rPr>
                <w:rFonts w:cs="Arial"/>
                <w:snapToGrid w:val="0"/>
              </w:rPr>
              <w:t>Comparison of treatment effect size across the supplementary studies is hampered by differences in duration of follow-up risk and risk measures reported.</w:t>
            </w:r>
            <w:bookmarkEnd w:id="7"/>
          </w:p>
        </w:tc>
      </w:tr>
      <w:tr w:rsidR="006E26F3" w:rsidRPr="00CE28E3" w14:paraId="28F72DAD" w14:textId="77777777" w:rsidTr="00413A53">
        <w:trPr>
          <w:cantSplit/>
        </w:trPr>
        <w:tc>
          <w:tcPr>
            <w:tcW w:w="705" w:type="pct"/>
          </w:tcPr>
          <w:p w14:paraId="24BB3912" w14:textId="6B5CA281" w:rsidR="006E26F3" w:rsidRPr="00CE28E3" w:rsidRDefault="005B3E0C" w:rsidP="00824458">
            <w:pPr>
              <w:pStyle w:val="TableText"/>
            </w:pPr>
            <w:r>
              <w:t>Economic evaluation</w:t>
            </w:r>
          </w:p>
        </w:tc>
        <w:tc>
          <w:tcPr>
            <w:tcW w:w="1808" w:type="pct"/>
          </w:tcPr>
          <w:p w14:paraId="3D892428" w14:textId="15B44FDE" w:rsidR="006E26F3" w:rsidRPr="006E26F3" w:rsidRDefault="005B3E0C" w:rsidP="00824458">
            <w:pPr>
              <w:pStyle w:val="TableText"/>
              <w:rPr>
                <w:rFonts w:cs="Arial"/>
                <w:snapToGrid w:val="0"/>
              </w:rPr>
            </w:pPr>
            <w:r w:rsidRPr="005B3E0C">
              <w:rPr>
                <w:rFonts w:cs="Arial"/>
                <w:snapToGrid w:val="0"/>
              </w:rPr>
              <w:t>MSAC noted that a cost utility and cost-effectiveness analysis was performed with the modelled economic evaluation developed in two major steps: a trial-based evaluation (year 1) and extrapolation to a lifetime time horizon. MSAC was concerned, however, with the lack of evidence to support the lifetime time horizon of the model as the published data do not exceed 3 years and therefore, the lifetime benefits remain unknown</w:t>
            </w:r>
            <w:r w:rsidR="00EF2603">
              <w:rPr>
                <w:rFonts w:cs="Arial"/>
                <w:snapToGrid w:val="0"/>
              </w:rPr>
              <w:t>.</w:t>
            </w:r>
            <w:r w:rsidR="00436F7C">
              <w:rPr>
                <w:rFonts w:cs="Arial"/>
                <w:snapToGrid w:val="0"/>
              </w:rPr>
              <w:t xml:space="preserve"> [PSD, p.2]</w:t>
            </w:r>
          </w:p>
        </w:tc>
        <w:tc>
          <w:tcPr>
            <w:tcW w:w="2487" w:type="pct"/>
          </w:tcPr>
          <w:p w14:paraId="513CEA59" w14:textId="3BDECD26" w:rsidR="006E26F3" w:rsidRPr="00CE28E3" w:rsidRDefault="00EF2603" w:rsidP="005C1283">
            <w:pPr>
              <w:pStyle w:val="TableText"/>
              <w:rPr>
                <w:rFonts w:cs="Arial"/>
                <w:snapToGrid w:val="0"/>
              </w:rPr>
            </w:pPr>
            <w:r>
              <w:rPr>
                <w:rFonts w:cs="Arial"/>
                <w:b/>
                <w:bCs/>
                <w:snapToGrid w:val="0"/>
              </w:rPr>
              <w:t xml:space="preserve">Not </w:t>
            </w:r>
            <w:r w:rsidR="00F815DC">
              <w:rPr>
                <w:rFonts w:cs="Arial"/>
                <w:b/>
                <w:bCs/>
                <w:snapToGrid w:val="0"/>
              </w:rPr>
              <w:t>resolved</w:t>
            </w:r>
            <w:r w:rsidRPr="00EF2603">
              <w:rPr>
                <w:rFonts w:cs="Arial"/>
                <w:b/>
                <w:bCs/>
                <w:snapToGrid w:val="0"/>
              </w:rPr>
              <w:t>.</w:t>
            </w:r>
            <w:r>
              <w:rPr>
                <w:rFonts w:cs="Arial"/>
                <w:snapToGrid w:val="0"/>
              </w:rPr>
              <w:br/>
            </w:r>
            <w:r w:rsidR="005C1283" w:rsidRPr="005C1283">
              <w:rPr>
                <w:rFonts w:cs="Arial"/>
                <w:snapToGrid w:val="0"/>
              </w:rPr>
              <w:t>The economic evaluation uses trial-based follow-up data up to 5 years and assumes no incremental effect of IVUS beyond 5 years to a lifetime time horizon.</w:t>
            </w:r>
            <w:r w:rsidR="00436F7C">
              <w:rPr>
                <w:rFonts w:cs="Arial"/>
                <w:snapToGrid w:val="0"/>
              </w:rPr>
              <w:br/>
            </w:r>
            <w:r w:rsidR="00F815DC">
              <w:rPr>
                <w:rFonts w:cs="Arial"/>
                <w:snapToGrid w:val="0"/>
              </w:rPr>
              <w:t>For</w:t>
            </w:r>
            <w:r w:rsidRPr="00EF2603">
              <w:rPr>
                <w:rFonts w:cs="Arial"/>
                <w:snapToGrid w:val="0"/>
              </w:rPr>
              <w:t xml:space="preserve"> the all</w:t>
            </w:r>
            <w:r w:rsidR="000066A0">
              <w:rPr>
                <w:rFonts w:cs="Arial"/>
                <w:snapToGrid w:val="0"/>
              </w:rPr>
              <w:t>-</w:t>
            </w:r>
            <w:r w:rsidRPr="00EF2603">
              <w:rPr>
                <w:rFonts w:cs="Arial"/>
                <w:snapToGrid w:val="0"/>
              </w:rPr>
              <w:t xml:space="preserve">comer population, it may be more reasonable to assume no incremental benefit beyond </w:t>
            </w:r>
            <w:r w:rsidR="005C1283">
              <w:rPr>
                <w:rFonts w:cs="Arial"/>
                <w:snapToGrid w:val="0"/>
              </w:rPr>
              <w:t xml:space="preserve">the trial-based follow-up of </w:t>
            </w:r>
            <w:r w:rsidRPr="00EF2603">
              <w:rPr>
                <w:rFonts w:cs="Arial"/>
                <w:snapToGrid w:val="0"/>
              </w:rPr>
              <w:t>3 years</w:t>
            </w:r>
            <w:r w:rsidR="00F815DC">
              <w:rPr>
                <w:rFonts w:cs="Arial"/>
                <w:snapToGrid w:val="0"/>
              </w:rPr>
              <w:t>, and for left main lesions</w:t>
            </w:r>
            <w:r w:rsidR="005C1283">
              <w:rPr>
                <w:rFonts w:cs="Arial"/>
                <w:snapToGrid w:val="0"/>
              </w:rPr>
              <w:t xml:space="preserve"> </w:t>
            </w:r>
            <w:r w:rsidR="005C1283" w:rsidRPr="00EF2603">
              <w:rPr>
                <w:rFonts w:cs="Arial"/>
                <w:snapToGrid w:val="0"/>
              </w:rPr>
              <w:t>it may be more reasonable</w:t>
            </w:r>
            <w:r w:rsidR="005C1283">
              <w:rPr>
                <w:rFonts w:cs="Arial"/>
                <w:snapToGrid w:val="0"/>
              </w:rPr>
              <w:t xml:space="preserve"> to</w:t>
            </w:r>
            <w:r w:rsidR="00F815DC">
              <w:rPr>
                <w:rFonts w:cs="Arial"/>
                <w:snapToGrid w:val="0"/>
              </w:rPr>
              <w:t xml:space="preserve"> assume no incremental benefit beyond </w:t>
            </w:r>
            <w:r w:rsidR="005C1283">
              <w:rPr>
                <w:rFonts w:cs="Arial"/>
                <w:snapToGrid w:val="0"/>
              </w:rPr>
              <w:t xml:space="preserve">the trial-based follow-up of </w:t>
            </w:r>
            <w:r w:rsidR="00F815DC">
              <w:rPr>
                <w:rFonts w:cs="Arial"/>
                <w:snapToGrid w:val="0"/>
              </w:rPr>
              <w:t>2 years.</w:t>
            </w:r>
            <w:r w:rsidR="00182FE8">
              <w:rPr>
                <w:rFonts w:cs="Arial"/>
                <w:snapToGrid w:val="0"/>
              </w:rPr>
              <w:t xml:space="preserve"> The impact of these changes has been </w:t>
            </w:r>
            <w:r w:rsidR="00F8133B">
              <w:rPr>
                <w:rFonts w:cs="Arial"/>
                <w:snapToGrid w:val="0"/>
              </w:rPr>
              <w:t>explored</w:t>
            </w:r>
            <w:r w:rsidR="00182FE8">
              <w:rPr>
                <w:rFonts w:cs="Arial"/>
                <w:snapToGrid w:val="0"/>
              </w:rPr>
              <w:t xml:space="preserve"> in the Commentary.</w:t>
            </w:r>
          </w:p>
        </w:tc>
      </w:tr>
      <w:tr w:rsidR="006E26F3" w:rsidRPr="00CE28E3" w14:paraId="75217E7A" w14:textId="77777777" w:rsidTr="00413A53">
        <w:trPr>
          <w:cantSplit/>
        </w:trPr>
        <w:tc>
          <w:tcPr>
            <w:tcW w:w="705" w:type="pct"/>
          </w:tcPr>
          <w:p w14:paraId="2DA01B6B" w14:textId="452F22ED" w:rsidR="006E26F3" w:rsidRPr="00CE28E3" w:rsidRDefault="00F815DC" w:rsidP="00824458">
            <w:pPr>
              <w:pStyle w:val="TableText"/>
            </w:pPr>
            <w:r>
              <w:t>Financial analysis</w:t>
            </w:r>
          </w:p>
        </w:tc>
        <w:tc>
          <w:tcPr>
            <w:tcW w:w="1808" w:type="pct"/>
          </w:tcPr>
          <w:p w14:paraId="72489BFA" w14:textId="67293FEA" w:rsidR="006E26F3" w:rsidRPr="006E26F3" w:rsidRDefault="00F815DC" w:rsidP="00F815DC">
            <w:pPr>
              <w:pStyle w:val="TableText"/>
              <w:rPr>
                <w:rFonts w:cs="Arial"/>
                <w:snapToGrid w:val="0"/>
              </w:rPr>
            </w:pPr>
            <w:r w:rsidRPr="00F815DC">
              <w:rPr>
                <w:rFonts w:cs="Arial"/>
                <w:snapToGrid w:val="0"/>
              </w:rPr>
              <w:t>MSAC noted that a conservative uptake rate is assumed by the applicant, based on estimated</w:t>
            </w:r>
            <w:r>
              <w:rPr>
                <w:rFonts w:cs="Arial"/>
                <w:snapToGrid w:val="0"/>
              </w:rPr>
              <w:t xml:space="preserve"> </w:t>
            </w:r>
            <w:r w:rsidRPr="00F815DC">
              <w:rPr>
                <w:rFonts w:cs="Arial"/>
                <w:snapToGrid w:val="0"/>
              </w:rPr>
              <w:t>procurement of IVUS capital equipment by hospitals. In addition, no changes in PBS costs</w:t>
            </w:r>
            <w:r>
              <w:rPr>
                <w:rFonts w:cs="Arial"/>
                <w:snapToGrid w:val="0"/>
              </w:rPr>
              <w:t xml:space="preserve"> </w:t>
            </w:r>
            <w:r w:rsidRPr="00F815DC">
              <w:rPr>
                <w:rFonts w:cs="Arial"/>
                <w:snapToGrid w:val="0"/>
              </w:rPr>
              <w:t>are expected, although reductions in adverse events such as revascularisations and MIs could</w:t>
            </w:r>
            <w:r>
              <w:rPr>
                <w:rFonts w:cs="Arial"/>
                <w:snapToGrid w:val="0"/>
              </w:rPr>
              <w:t xml:space="preserve"> </w:t>
            </w:r>
            <w:r w:rsidRPr="00F815DC">
              <w:rPr>
                <w:rFonts w:cs="Arial"/>
                <w:snapToGrid w:val="0"/>
              </w:rPr>
              <w:t>result in possible cost savings to the PBS in the form of reduced medications. MSAC</w:t>
            </w:r>
            <w:r>
              <w:rPr>
                <w:rFonts w:cs="Arial"/>
                <w:snapToGrid w:val="0"/>
              </w:rPr>
              <w:t xml:space="preserve"> </w:t>
            </w:r>
            <w:r w:rsidRPr="00F815DC">
              <w:rPr>
                <w:rFonts w:cs="Arial"/>
                <w:snapToGrid w:val="0"/>
              </w:rPr>
              <w:t>considered this claim was uncertain as it was supported by evidence and thus claimed PBS</w:t>
            </w:r>
            <w:r>
              <w:rPr>
                <w:rFonts w:cs="Arial"/>
                <w:snapToGrid w:val="0"/>
              </w:rPr>
              <w:t xml:space="preserve"> </w:t>
            </w:r>
            <w:r w:rsidRPr="00F815DC">
              <w:rPr>
                <w:rFonts w:cs="Arial"/>
                <w:snapToGrid w:val="0"/>
              </w:rPr>
              <w:t>savings were unlikely to be realised</w:t>
            </w:r>
            <w:r>
              <w:rPr>
                <w:rFonts w:cs="Arial"/>
                <w:snapToGrid w:val="0"/>
              </w:rPr>
              <w:t>.</w:t>
            </w:r>
            <w:r w:rsidR="00436F7C">
              <w:rPr>
                <w:rFonts w:cs="Arial"/>
                <w:snapToGrid w:val="0"/>
              </w:rPr>
              <w:t xml:space="preserve"> [PSD, p.2]</w:t>
            </w:r>
          </w:p>
        </w:tc>
        <w:tc>
          <w:tcPr>
            <w:tcW w:w="2487" w:type="pct"/>
          </w:tcPr>
          <w:p w14:paraId="6694CA4B" w14:textId="2AF9C5E8" w:rsidR="006E26F3" w:rsidRPr="00182FE8" w:rsidRDefault="00436F7C" w:rsidP="00824458">
            <w:pPr>
              <w:pStyle w:val="TableText"/>
              <w:rPr>
                <w:rFonts w:cs="Arial"/>
                <w:snapToGrid w:val="0"/>
              </w:rPr>
            </w:pPr>
            <w:r>
              <w:rPr>
                <w:rFonts w:cs="Arial"/>
                <w:b/>
                <w:bCs/>
                <w:snapToGrid w:val="0"/>
              </w:rPr>
              <w:t>Incompletely addressed</w:t>
            </w:r>
            <w:r w:rsidRPr="00436F7C">
              <w:rPr>
                <w:rFonts w:cs="Arial"/>
                <w:b/>
                <w:bCs/>
                <w:snapToGrid w:val="0"/>
              </w:rPr>
              <w:t>.</w:t>
            </w:r>
            <w:r w:rsidRPr="00436F7C">
              <w:rPr>
                <w:rFonts w:cs="Arial"/>
                <w:b/>
                <w:bCs/>
                <w:snapToGrid w:val="0"/>
              </w:rPr>
              <w:br/>
            </w:r>
            <w:r w:rsidRPr="00436F7C">
              <w:rPr>
                <w:rFonts w:cs="Arial"/>
                <w:snapToGrid w:val="0"/>
              </w:rPr>
              <w:t xml:space="preserve">The financial analysis </w:t>
            </w:r>
            <w:r w:rsidR="00182FE8">
              <w:rPr>
                <w:rFonts w:cs="Arial"/>
                <w:snapToGrid w:val="0"/>
              </w:rPr>
              <w:t xml:space="preserve">in the ADAR </w:t>
            </w:r>
            <w:r w:rsidR="00084007">
              <w:rPr>
                <w:rFonts w:cs="Arial"/>
                <w:snapToGrid w:val="0"/>
              </w:rPr>
              <w:t>incorporates</w:t>
            </w:r>
            <w:r>
              <w:rPr>
                <w:rFonts w:cs="Arial"/>
                <w:snapToGrid w:val="0"/>
              </w:rPr>
              <w:t xml:space="preserve"> a conservative uptake rate, which </w:t>
            </w:r>
            <w:r w:rsidR="00413A53">
              <w:rPr>
                <w:rFonts w:cs="Arial"/>
                <w:snapToGrid w:val="0"/>
              </w:rPr>
              <w:t>is</w:t>
            </w:r>
            <w:r>
              <w:rPr>
                <w:rFonts w:cs="Arial"/>
                <w:snapToGrid w:val="0"/>
              </w:rPr>
              <w:t xml:space="preserve"> inadequately </w:t>
            </w:r>
            <w:r w:rsidR="00413A53">
              <w:rPr>
                <w:rFonts w:cs="Arial"/>
                <w:snapToGrid w:val="0"/>
              </w:rPr>
              <w:t xml:space="preserve">tested </w:t>
            </w:r>
            <w:r>
              <w:rPr>
                <w:rFonts w:cs="Arial"/>
                <w:snapToGrid w:val="0"/>
              </w:rPr>
              <w:t>in sensitivity analysis</w:t>
            </w:r>
            <w:r w:rsidRPr="00084007">
              <w:rPr>
                <w:rFonts w:cs="Arial"/>
                <w:snapToGrid w:val="0"/>
              </w:rPr>
              <w:t xml:space="preserve">. </w:t>
            </w:r>
            <w:r w:rsidR="00084007" w:rsidRPr="00084007">
              <w:rPr>
                <w:rFonts w:cs="Arial"/>
                <w:snapToGrid w:val="0"/>
              </w:rPr>
              <w:t>The financial forecasts are sensitive to uptake assumptions.</w:t>
            </w:r>
            <w:r w:rsidR="00BE074F">
              <w:rPr>
                <w:rFonts w:cs="Arial"/>
                <w:b/>
                <w:snapToGrid w:val="0"/>
              </w:rPr>
              <w:br/>
            </w:r>
            <w:r w:rsidR="00084007" w:rsidRPr="00084007">
              <w:rPr>
                <w:rFonts w:cs="Arial"/>
                <w:snapToGrid w:val="0"/>
              </w:rPr>
              <w:t>Although</w:t>
            </w:r>
            <w:r w:rsidRPr="00084007">
              <w:rPr>
                <w:rFonts w:cs="Arial"/>
                <w:snapToGrid w:val="0"/>
              </w:rPr>
              <w:t xml:space="preserve"> the economic evaluation incorporates cost-offsets </w:t>
            </w:r>
            <w:r w:rsidR="00084007" w:rsidRPr="00084007">
              <w:rPr>
                <w:rFonts w:cs="Arial"/>
                <w:snapToGrid w:val="0"/>
              </w:rPr>
              <w:t>through reduced revascularisations and MIs in the IVUS-guided arm, the financial analysis does not model these cost-offsets to the MBS (reduced services for revascularisations) or the PBS (reduced medical treatments).</w:t>
            </w:r>
          </w:p>
        </w:tc>
      </w:tr>
    </w:tbl>
    <w:p w14:paraId="3EA0F47E" w14:textId="1B98C5E8" w:rsidR="00F57885" w:rsidRPr="00CE28E3" w:rsidRDefault="005C1283" w:rsidP="00D86BA7">
      <w:pPr>
        <w:pStyle w:val="TableFigureFooter"/>
        <w:spacing w:before="60"/>
      </w:pPr>
      <w:bookmarkStart w:id="8" w:name="_Hlk68275617"/>
      <w:bookmarkEnd w:id="6"/>
      <w:r>
        <w:t xml:space="preserve">ADAR = applicant developed assessment report; BMS = bare metal stent; </w:t>
      </w:r>
      <w:r w:rsidR="00835CA4">
        <w:t xml:space="preserve">CI = confidence interval; </w:t>
      </w:r>
      <w:r w:rsidR="00EF2603">
        <w:t xml:space="preserve">CUA = cost-utility analysis; </w:t>
      </w:r>
      <w:r>
        <w:t xml:space="preserve">DES = drug-eluting stent; IVUS = intravascular ultrasound; </w:t>
      </w:r>
      <w:r w:rsidR="00AC3954">
        <w:t xml:space="preserve">KOL = key opinion leader; </w:t>
      </w:r>
      <w:r w:rsidR="00835CA4">
        <w:t xml:space="preserve">MI = myocardial infarction; </w:t>
      </w:r>
      <w:r w:rsidR="00F57885" w:rsidRPr="00CE28E3">
        <w:t xml:space="preserve">MSAC = Medical Services Advisory Committee; </w:t>
      </w:r>
      <w:r w:rsidR="00413A53">
        <w:t xml:space="preserve">PBS = Pharmaceutical Benefits Scheme; </w:t>
      </w:r>
      <w:r w:rsidR="00F57885" w:rsidRPr="00CE28E3">
        <w:t>PSD = Public Summary Document</w:t>
      </w:r>
      <w:r>
        <w:t>; RCT = randomised controlled trial</w:t>
      </w:r>
      <w:r w:rsidR="0087277A">
        <w:t>.</w:t>
      </w:r>
    </w:p>
    <w:p w14:paraId="6F52500A" w14:textId="430E4D11" w:rsidR="00772829" w:rsidRDefault="005F6A3D" w:rsidP="002A18BE">
      <w:pPr>
        <w:pStyle w:val="Heading2"/>
        <w:numPr>
          <w:ilvl w:val="0"/>
          <w:numId w:val="0"/>
        </w:numPr>
      </w:pPr>
      <w:bookmarkStart w:id="9" w:name="_Toc69491417"/>
      <w:bookmarkEnd w:id="4"/>
      <w:bookmarkEnd w:id="8"/>
      <w:r>
        <w:t>5</w:t>
      </w:r>
      <w:r w:rsidR="00C36633">
        <w:t>.</w:t>
      </w:r>
      <w:r w:rsidR="00C36633">
        <w:tab/>
      </w:r>
      <w:r w:rsidR="00772829" w:rsidRPr="00CE28E3">
        <w:t>Prerequisites to implementation of any funding advice</w:t>
      </w:r>
      <w:bookmarkEnd w:id="9"/>
    </w:p>
    <w:p w14:paraId="006DEDE6" w14:textId="1544EB0B" w:rsidR="002960A6" w:rsidRDefault="002960A6" w:rsidP="00180ABB">
      <w:r>
        <w:t>The IVUS system include an imaging catheter, a mini-transducer, console and generator</w:t>
      </w:r>
      <w:r w:rsidR="00F8133B">
        <w:t xml:space="preserve"> (termed consumables)</w:t>
      </w:r>
      <w:r>
        <w:t xml:space="preserve">. The </w:t>
      </w:r>
      <w:r w:rsidR="00F8133B">
        <w:t xml:space="preserve">IVUS </w:t>
      </w:r>
      <w:r>
        <w:t xml:space="preserve">generator is capital equipment (purchased by hospitals) with a life span </w:t>
      </w:r>
      <w:r w:rsidRPr="00652FBB">
        <w:t xml:space="preserve">of </w:t>
      </w:r>
      <w:r w:rsidR="00C908FA" w:rsidRPr="00652FBB">
        <w:t>8</w:t>
      </w:r>
      <w:r>
        <w:t xml:space="preserve"> years.</w:t>
      </w:r>
    </w:p>
    <w:p w14:paraId="25F33BF0" w14:textId="6940F8F2" w:rsidR="00180ABB" w:rsidRDefault="00180ABB" w:rsidP="00180ABB">
      <w:r>
        <w:t xml:space="preserve">Several </w:t>
      </w:r>
      <w:r w:rsidR="002960A6">
        <w:t xml:space="preserve">brands of imaging </w:t>
      </w:r>
      <w:r>
        <w:t>c</w:t>
      </w:r>
      <w:r w:rsidR="00FC0B6D">
        <w:t xml:space="preserve">atheters for ultrasound examination of coronary </w:t>
      </w:r>
      <w:r w:rsidR="0046600C">
        <w:t xml:space="preserve">intravascular </w:t>
      </w:r>
      <w:r w:rsidR="00236615">
        <w:t xml:space="preserve">pathology </w:t>
      </w:r>
      <w:r>
        <w:t xml:space="preserve">are </w:t>
      </w:r>
      <w:r w:rsidR="002960A6">
        <w:t xml:space="preserve">currently </w:t>
      </w:r>
      <w:r>
        <w:t xml:space="preserve">included </w:t>
      </w:r>
      <w:r w:rsidR="00CB6E36">
        <w:t>i</w:t>
      </w:r>
      <w:r>
        <w:t>n the ARTG</w:t>
      </w:r>
      <w:r w:rsidR="00236615">
        <w:t xml:space="preserve"> (</w:t>
      </w:r>
      <w:r w:rsidR="00236615">
        <w:fldChar w:fldCharType="begin"/>
      </w:r>
      <w:r w:rsidR="00236615">
        <w:instrText xml:space="preserve"> REF _Ref89008488 \h </w:instrText>
      </w:r>
      <w:r w:rsidR="00236615">
        <w:fldChar w:fldCharType="separate"/>
      </w:r>
      <w:r w:rsidR="00F03488" w:rsidRPr="00CE28E3">
        <w:t>Table</w:t>
      </w:r>
      <w:r w:rsidR="00F03488">
        <w:t> </w:t>
      </w:r>
      <w:r w:rsidR="00F03488">
        <w:rPr>
          <w:noProof/>
        </w:rPr>
        <w:t>2</w:t>
      </w:r>
      <w:r w:rsidR="00236615">
        <w:fldChar w:fldCharType="end"/>
      </w:r>
      <w:r w:rsidR="00236615">
        <w:t>)</w:t>
      </w:r>
      <w:r>
        <w:t xml:space="preserve">. The catheters are all Class III devices and are associated with three </w:t>
      </w:r>
      <w:r w:rsidR="00F8133B" w:rsidRPr="00F8133B">
        <w:t xml:space="preserve">Global Medical Device Nomenclature </w:t>
      </w:r>
      <w:r w:rsidR="00F8133B">
        <w:t>(</w:t>
      </w:r>
      <w:r>
        <w:t>GMDN</w:t>
      </w:r>
      <w:r w:rsidR="00F8133B">
        <w:t>)</w:t>
      </w:r>
      <w:r>
        <w:t xml:space="preserve"> codes:</w:t>
      </w:r>
    </w:p>
    <w:p w14:paraId="7F4F305D" w14:textId="0F94153D" w:rsidR="00180ABB" w:rsidRDefault="00180ABB" w:rsidP="00180ABB">
      <w:pPr>
        <w:pStyle w:val="Bullet"/>
      </w:pPr>
      <w:r>
        <w:t>40763 – Ultrasound system, imaging, cardiovascular</w:t>
      </w:r>
    </w:p>
    <w:p w14:paraId="2E0F8A4C" w14:textId="6A846E38" w:rsidR="00180ABB" w:rsidRDefault="00180ABB" w:rsidP="00180ABB">
      <w:pPr>
        <w:pStyle w:val="Bullet"/>
      </w:pPr>
      <w:r>
        <w:t>37895 – Transducer assembly, ultrasound, diagnostic, intracorporeal, intravascular</w:t>
      </w:r>
    </w:p>
    <w:p w14:paraId="2420FB2F" w14:textId="75855287" w:rsidR="00180ABB" w:rsidRDefault="00180ABB" w:rsidP="00180ABB">
      <w:pPr>
        <w:pStyle w:val="Bullet"/>
      </w:pPr>
      <w:r>
        <w:lastRenderedPageBreak/>
        <w:t>44141 – Transducer assembly, ultrasound, diagnostic, intracorporeal, intravascular, single-use</w:t>
      </w:r>
    </w:p>
    <w:p w14:paraId="4A2522BE" w14:textId="20678890" w:rsidR="00F4250C" w:rsidRPr="00CE28E3" w:rsidRDefault="00F4250C" w:rsidP="00F4250C">
      <w:pPr>
        <w:pStyle w:val="Caption"/>
        <w:rPr>
          <w:sz w:val="16"/>
          <w:szCs w:val="16"/>
        </w:rPr>
      </w:pPr>
      <w:bookmarkStart w:id="10" w:name="_Ref89008488"/>
      <w:r w:rsidRPr="00CE28E3">
        <w:t>Table</w:t>
      </w:r>
      <w:r>
        <w:t> </w:t>
      </w:r>
      <w:fldSimple w:instr=" SEQ Table \* ARABIC ">
        <w:r w:rsidR="00F03488">
          <w:rPr>
            <w:noProof/>
          </w:rPr>
          <w:t>2</w:t>
        </w:r>
      </w:fldSimple>
      <w:bookmarkEnd w:id="10"/>
      <w:r w:rsidRPr="00CE28E3">
        <w:tab/>
      </w:r>
      <w:r>
        <w:t xml:space="preserve">Intravascular ultrasound </w:t>
      </w:r>
      <w:r w:rsidR="00236615">
        <w:t>catheters</w:t>
      </w:r>
      <w:r>
        <w:t xml:space="preserve"> included </w:t>
      </w:r>
      <w:r w:rsidR="00CB6E36">
        <w:t>in</w:t>
      </w:r>
      <w:r>
        <w:t xml:space="preserve"> the ARTG</w:t>
      </w:r>
    </w:p>
    <w:tbl>
      <w:tblPr>
        <w:tblStyle w:val="TableGrid1"/>
        <w:tblW w:w="5000" w:type="pct"/>
        <w:tblLook w:val="04A0" w:firstRow="1" w:lastRow="0" w:firstColumn="1" w:lastColumn="0" w:noHBand="0" w:noVBand="1"/>
        <w:tblDescription w:val="Intravascular ultrasound catheters included in the ARTG"/>
      </w:tblPr>
      <w:tblGrid>
        <w:gridCol w:w="1414"/>
        <w:gridCol w:w="4063"/>
        <w:gridCol w:w="2032"/>
        <w:gridCol w:w="1507"/>
      </w:tblGrid>
      <w:tr w:rsidR="00180ABB" w:rsidRPr="00CE28E3" w14:paraId="4CAA8282" w14:textId="4BD79DE0" w:rsidTr="00180ABB">
        <w:trPr>
          <w:cnfStyle w:val="100000000000" w:firstRow="1" w:lastRow="0" w:firstColumn="0" w:lastColumn="0" w:oddVBand="0" w:evenVBand="0" w:oddHBand="0" w:evenHBand="0" w:firstRowFirstColumn="0" w:firstRowLastColumn="0" w:lastRowFirstColumn="0" w:lastRowLastColumn="0"/>
          <w:tblHeader/>
        </w:trPr>
        <w:tc>
          <w:tcPr>
            <w:tcW w:w="784" w:type="pct"/>
            <w:tcBorders>
              <w:top w:val="single" w:sz="4" w:space="0" w:color="auto"/>
              <w:left w:val="single" w:sz="4" w:space="0" w:color="auto"/>
              <w:bottom w:val="single" w:sz="4" w:space="0" w:color="auto"/>
              <w:right w:val="single" w:sz="4" w:space="0" w:color="auto"/>
            </w:tcBorders>
            <w:vAlign w:val="center"/>
          </w:tcPr>
          <w:p w14:paraId="0270BBC8" w14:textId="1A027379" w:rsidR="00180ABB" w:rsidRDefault="00180ABB" w:rsidP="00180ABB">
            <w:pPr>
              <w:pStyle w:val="TableText"/>
              <w:rPr>
                <w:b/>
              </w:rPr>
            </w:pPr>
            <w:r>
              <w:rPr>
                <w:b/>
              </w:rPr>
              <w:t>ARTG no.</w:t>
            </w:r>
          </w:p>
        </w:tc>
        <w:tc>
          <w:tcPr>
            <w:tcW w:w="2253" w:type="pct"/>
            <w:tcBorders>
              <w:top w:val="single" w:sz="4" w:space="0" w:color="auto"/>
              <w:left w:val="single" w:sz="4" w:space="0" w:color="auto"/>
              <w:bottom w:val="single" w:sz="4" w:space="0" w:color="auto"/>
              <w:right w:val="single" w:sz="4" w:space="0" w:color="auto"/>
            </w:tcBorders>
            <w:vAlign w:val="center"/>
          </w:tcPr>
          <w:p w14:paraId="77BDB291" w14:textId="683039E7" w:rsidR="00180ABB" w:rsidRDefault="00180ABB" w:rsidP="00180ABB">
            <w:pPr>
              <w:pStyle w:val="TableText"/>
              <w:jc w:val="center"/>
              <w:rPr>
                <w:b/>
              </w:rPr>
            </w:pPr>
            <w:r>
              <w:rPr>
                <w:b/>
              </w:rPr>
              <w:t>Product Name</w:t>
            </w:r>
          </w:p>
        </w:tc>
        <w:tc>
          <w:tcPr>
            <w:tcW w:w="1127" w:type="pct"/>
            <w:tcBorders>
              <w:top w:val="single" w:sz="4" w:space="0" w:color="auto"/>
              <w:left w:val="single" w:sz="4" w:space="0" w:color="auto"/>
              <w:bottom w:val="single" w:sz="4" w:space="0" w:color="auto"/>
              <w:right w:val="single" w:sz="4" w:space="0" w:color="auto"/>
            </w:tcBorders>
            <w:vAlign w:val="center"/>
          </w:tcPr>
          <w:p w14:paraId="5700FE4D" w14:textId="70B009FF" w:rsidR="00180ABB" w:rsidRDefault="00180ABB" w:rsidP="00180ABB">
            <w:pPr>
              <w:pStyle w:val="TableText"/>
              <w:jc w:val="center"/>
              <w:rPr>
                <w:b/>
              </w:rPr>
            </w:pPr>
            <w:r>
              <w:rPr>
                <w:b/>
              </w:rPr>
              <w:t>Sponsor</w:t>
            </w:r>
          </w:p>
        </w:tc>
        <w:tc>
          <w:tcPr>
            <w:tcW w:w="836" w:type="pct"/>
            <w:tcBorders>
              <w:top w:val="single" w:sz="4" w:space="0" w:color="auto"/>
              <w:left w:val="single" w:sz="4" w:space="0" w:color="auto"/>
              <w:bottom w:val="single" w:sz="4" w:space="0" w:color="auto"/>
              <w:right w:val="single" w:sz="4" w:space="0" w:color="auto"/>
            </w:tcBorders>
            <w:vAlign w:val="center"/>
          </w:tcPr>
          <w:p w14:paraId="2524507E" w14:textId="204D1144" w:rsidR="00180ABB" w:rsidRDefault="00180ABB" w:rsidP="00180ABB">
            <w:pPr>
              <w:pStyle w:val="TableText"/>
              <w:jc w:val="center"/>
              <w:rPr>
                <w:b/>
              </w:rPr>
            </w:pPr>
            <w:r>
              <w:rPr>
                <w:b/>
              </w:rPr>
              <w:t>Approval date</w:t>
            </w:r>
          </w:p>
        </w:tc>
      </w:tr>
      <w:tr w:rsidR="00180ABB" w:rsidRPr="00CE28E3" w14:paraId="4654A5F5" w14:textId="3E6BA39E" w:rsidTr="00180ABB">
        <w:tc>
          <w:tcPr>
            <w:tcW w:w="784" w:type="pct"/>
            <w:tcBorders>
              <w:top w:val="single" w:sz="4" w:space="0" w:color="auto"/>
              <w:left w:val="single" w:sz="4" w:space="0" w:color="auto"/>
              <w:bottom w:val="single" w:sz="4" w:space="0" w:color="auto"/>
              <w:right w:val="nil"/>
            </w:tcBorders>
            <w:vAlign w:val="center"/>
          </w:tcPr>
          <w:p w14:paraId="75FD37EF" w14:textId="6B14AEB7" w:rsidR="00180ABB" w:rsidRPr="009E2264" w:rsidRDefault="00180ABB" w:rsidP="00180ABB">
            <w:pPr>
              <w:pStyle w:val="TableText"/>
              <w:rPr>
                <w:b/>
                <w:bCs/>
              </w:rPr>
            </w:pPr>
            <w:r w:rsidRPr="009E2264">
              <w:rPr>
                <w:b/>
                <w:bCs/>
              </w:rPr>
              <w:t>GMDN 40763</w:t>
            </w:r>
          </w:p>
        </w:tc>
        <w:tc>
          <w:tcPr>
            <w:tcW w:w="2253" w:type="pct"/>
            <w:tcBorders>
              <w:top w:val="single" w:sz="4" w:space="0" w:color="auto"/>
              <w:left w:val="nil"/>
              <w:bottom w:val="single" w:sz="4" w:space="0" w:color="auto"/>
              <w:right w:val="nil"/>
            </w:tcBorders>
          </w:tcPr>
          <w:p w14:paraId="7DBCF24E" w14:textId="7A0A61BF" w:rsidR="00180ABB" w:rsidRPr="009E2264" w:rsidRDefault="00180ABB" w:rsidP="00180ABB">
            <w:pPr>
              <w:pStyle w:val="TableText"/>
              <w:rPr>
                <w:b/>
                <w:bCs/>
              </w:rPr>
            </w:pPr>
          </w:p>
        </w:tc>
        <w:tc>
          <w:tcPr>
            <w:tcW w:w="1127" w:type="pct"/>
            <w:tcBorders>
              <w:top w:val="single" w:sz="4" w:space="0" w:color="auto"/>
              <w:left w:val="nil"/>
              <w:bottom w:val="single" w:sz="4" w:space="0" w:color="auto"/>
              <w:right w:val="nil"/>
            </w:tcBorders>
            <w:vAlign w:val="center"/>
          </w:tcPr>
          <w:p w14:paraId="5977F3D7" w14:textId="77777777" w:rsidR="00180ABB" w:rsidRPr="009E2264" w:rsidRDefault="00180ABB" w:rsidP="00180ABB">
            <w:pPr>
              <w:pStyle w:val="TableText"/>
              <w:jc w:val="center"/>
              <w:rPr>
                <w:b/>
                <w:bCs/>
              </w:rPr>
            </w:pPr>
          </w:p>
        </w:tc>
        <w:tc>
          <w:tcPr>
            <w:tcW w:w="836" w:type="pct"/>
            <w:tcBorders>
              <w:top w:val="single" w:sz="4" w:space="0" w:color="auto"/>
              <w:left w:val="nil"/>
              <w:bottom w:val="single" w:sz="4" w:space="0" w:color="auto"/>
              <w:right w:val="single" w:sz="4" w:space="0" w:color="auto"/>
            </w:tcBorders>
            <w:vAlign w:val="center"/>
          </w:tcPr>
          <w:p w14:paraId="4E6B77FB" w14:textId="77777777" w:rsidR="00180ABB" w:rsidRPr="009E2264" w:rsidRDefault="00180ABB" w:rsidP="00180ABB">
            <w:pPr>
              <w:pStyle w:val="TableText"/>
              <w:jc w:val="center"/>
              <w:rPr>
                <w:b/>
                <w:bCs/>
              </w:rPr>
            </w:pPr>
          </w:p>
        </w:tc>
      </w:tr>
      <w:tr w:rsidR="00180ABB" w:rsidRPr="00CE28E3" w14:paraId="464BD629" w14:textId="785651D0" w:rsidTr="00180ABB">
        <w:tc>
          <w:tcPr>
            <w:tcW w:w="784" w:type="pct"/>
            <w:tcBorders>
              <w:top w:val="single" w:sz="4" w:space="0" w:color="auto"/>
              <w:left w:val="single" w:sz="4" w:space="0" w:color="auto"/>
              <w:bottom w:val="single" w:sz="4" w:space="0" w:color="auto"/>
              <w:right w:val="single" w:sz="4" w:space="0" w:color="auto"/>
            </w:tcBorders>
            <w:vAlign w:val="center"/>
          </w:tcPr>
          <w:p w14:paraId="54FC6B2D" w14:textId="2FFA9CA6" w:rsidR="00180ABB" w:rsidRDefault="00E30E49" w:rsidP="00180ABB">
            <w:pPr>
              <w:pStyle w:val="TableText"/>
            </w:pPr>
            <w:hyperlink r:id="rId12" w:tooltip="Link to ARTG entry" w:history="1">
              <w:r w:rsidR="00180ABB" w:rsidRPr="00D64B8F">
                <w:rPr>
                  <w:rStyle w:val="Hyperlink"/>
                </w:rPr>
                <w:t>315943</w:t>
              </w:r>
            </w:hyperlink>
          </w:p>
        </w:tc>
        <w:tc>
          <w:tcPr>
            <w:tcW w:w="2253" w:type="pct"/>
            <w:tcBorders>
              <w:top w:val="single" w:sz="4" w:space="0" w:color="auto"/>
              <w:left w:val="single" w:sz="4" w:space="0" w:color="auto"/>
              <w:bottom w:val="single" w:sz="4" w:space="0" w:color="auto"/>
              <w:right w:val="single" w:sz="4" w:space="0" w:color="auto"/>
            </w:tcBorders>
          </w:tcPr>
          <w:p w14:paraId="63461191" w14:textId="7E18C735" w:rsidR="00180ABB" w:rsidRPr="00EB7BD5" w:rsidRDefault="00180ABB" w:rsidP="00180ABB">
            <w:pPr>
              <w:pStyle w:val="TableText"/>
            </w:pPr>
            <w:r>
              <w:t>Opticross HD 60 MHz Coronary Imaging Catheter</w:t>
            </w:r>
          </w:p>
        </w:tc>
        <w:tc>
          <w:tcPr>
            <w:tcW w:w="1127" w:type="pct"/>
            <w:tcBorders>
              <w:top w:val="single" w:sz="4" w:space="0" w:color="auto"/>
              <w:left w:val="single" w:sz="4" w:space="0" w:color="auto"/>
              <w:bottom w:val="single" w:sz="4" w:space="0" w:color="auto"/>
              <w:right w:val="single" w:sz="4" w:space="0" w:color="auto"/>
            </w:tcBorders>
            <w:vAlign w:val="center"/>
          </w:tcPr>
          <w:p w14:paraId="1FFE971D" w14:textId="29D171CE" w:rsidR="00180ABB" w:rsidRPr="00CE28E3" w:rsidRDefault="00180ABB" w:rsidP="00180ABB">
            <w:pPr>
              <w:pStyle w:val="TableText"/>
              <w:jc w:val="center"/>
            </w:pPr>
            <w:r w:rsidRPr="008664F0">
              <w:t>Boston Scientific Pty Ltd</w:t>
            </w:r>
          </w:p>
        </w:tc>
        <w:tc>
          <w:tcPr>
            <w:tcW w:w="836" w:type="pct"/>
            <w:tcBorders>
              <w:top w:val="single" w:sz="4" w:space="0" w:color="auto"/>
              <w:left w:val="single" w:sz="4" w:space="0" w:color="auto"/>
              <w:bottom w:val="single" w:sz="4" w:space="0" w:color="auto"/>
              <w:right w:val="single" w:sz="4" w:space="0" w:color="auto"/>
            </w:tcBorders>
            <w:vAlign w:val="center"/>
          </w:tcPr>
          <w:p w14:paraId="2E7608C4" w14:textId="479C1A2C" w:rsidR="00180ABB" w:rsidRPr="008664F0" w:rsidRDefault="00180ABB" w:rsidP="00180ABB">
            <w:pPr>
              <w:pStyle w:val="TableText"/>
              <w:jc w:val="center"/>
            </w:pPr>
            <w:r w:rsidRPr="00900451">
              <w:t>29/03/2019</w:t>
            </w:r>
          </w:p>
        </w:tc>
      </w:tr>
      <w:tr w:rsidR="00180ABB" w:rsidRPr="00CE28E3" w14:paraId="533CDF4E" w14:textId="2E9A5866" w:rsidTr="00180ABB">
        <w:tc>
          <w:tcPr>
            <w:tcW w:w="784" w:type="pct"/>
            <w:tcBorders>
              <w:top w:val="single" w:sz="4" w:space="0" w:color="auto"/>
              <w:left w:val="single" w:sz="4" w:space="0" w:color="auto"/>
              <w:bottom w:val="single" w:sz="4" w:space="0" w:color="auto"/>
              <w:right w:val="single" w:sz="4" w:space="0" w:color="auto"/>
            </w:tcBorders>
            <w:vAlign w:val="center"/>
          </w:tcPr>
          <w:p w14:paraId="42A6ACFB" w14:textId="3C585AAE" w:rsidR="00180ABB" w:rsidRDefault="00E30E49" w:rsidP="00180ABB">
            <w:pPr>
              <w:pStyle w:val="TableText"/>
            </w:pPr>
            <w:hyperlink r:id="rId13" w:tooltip="Link to ARTG entry" w:history="1">
              <w:r w:rsidR="00180ABB" w:rsidRPr="00D64B8F">
                <w:rPr>
                  <w:rStyle w:val="Hyperlink"/>
                </w:rPr>
                <w:t>315942</w:t>
              </w:r>
            </w:hyperlink>
          </w:p>
        </w:tc>
        <w:tc>
          <w:tcPr>
            <w:tcW w:w="2253" w:type="pct"/>
            <w:tcBorders>
              <w:top w:val="single" w:sz="4" w:space="0" w:color="auto"/>
              <w:left w:val="single" w:sz="4" w:space="0" w:color="auto"/>
              <w:bottom w:val="single" w:sz="4" w:space="0" w:color="auto"/>
              <w:right w:val="single" w:sz="4" w:space="0" w:color="auto"/>
            </w:tcBorders>
          </w:tcPr>
          <w:p w14:paraId="7463D4AF" w14:textId="524F6CB7" w:rsidR="00180ABB" w:rsidRPr="00EB7BD5" w:rsidRDefault="00180ABB" w:rsidP="00180ABB">
            <w:pPr>
              <w:pStyle w:val="TableText"/>
            </w:pPr>
            <w:r>
              <w:t>Opticross 6 HD 60 MHz Coronary Imaging Catheter</w:t>
            </w:r>
          </w:p>
        </w:tc>
        <w:tc>
          <w:tcPr>
            <w:tcW w:w="1127" w:type="pct"/>
            <w:tcBorders>
              <w:top w:val="single" w:sz="4" w:space="0" w:color="auto"/>
              <w:left w:val="single" w:sz="4" w:space="0" w:color="auto"/>
              <w:bottom w:val="single" w:sz="4" w:space="0" w:color="auto"/>
              <w:right w:val="single" w:sz="4" w:space="0" w:color="auto"/>
            </w:tcBorders>
            <w:vAlign w:val="center"/>
          </w:tcPr>
          <w:p w14:paraId="39B5FE1A" w14:textId="6307AAA0" w:rsidR="00180ABB" w:rsidRPr="00CE28E3" w:rsidRDefault="00180ABB" w:rsidP="00180ABB">
            <w:pPr>
              <w:pStyle w:val="TableText"/>
              <w:jc w:val="center"/>
            </w:pPr>
            <w:r w:rsidRPr="008664F0">
              <w:t>Boston Scientific Pty Ltd</w:t>
            </w:r>
          </w:p>
        </w:tc>
        <w:tc>
          <w:tcPr>
            <w:tcW w:w="836" w:type="pct"/>
            <w:tcBorders>
              <w:top w:val="single" w:sz="4" w:space="0" w:color="auto"/>
              <w:left w:val="single" w:sz="4" w:space="0" w:color="auto"/>
              <w:bottom w:val="single" w:sz="4" w:space="0" w:color="auto"/>
              <w:right w:val="single" w:sz="4" w:space="0" w:color="auto"/>
            </w:tcBorders>
            <w:vAlign w:val="center"/>
          </w:tcPr>
          <w:p w14:paraId="4F8A2D0E" w14:textId="4AA4D3DD" w:rsidR="00180ABB" w:rsidRPr="008664F0" w:rsidRDefault="00180ABB" w:rsidP="00180ABB">
            <w:pPr>
              <w:pStyle w:val="TableText"/>
              <w:jc w:val="center"/>
            </w:pPr>
            <w:r w:rsidRPr="00900451">
              <w:t>29/03/2019</w:t>
            </w:r>
          </w:p>
        </w:tc>
      </w:tr>
      <w:tr w:rsidR="00180ABB" w:rsidRPr="00CE28E3" w14:paraId="2D1D8CA1" w14:textId="5044DB46" w:rsidTr="00180ABB">
        <w:tc>
          <w:tcPr>
            <w:tcW w:w="784" w:type="pct"/>
            <w:tcBorders>
              <w:top w:val="single" w:sz="4" w:space="0" w:color="auto"/>
              <w:left w:val="single" w:sz="4" w:space="0" w:color="auto"/>
              <w:bottom w:val="single" w:sz="4" w:space="0" w:color="auto"/>
              <w:right w:val="nil"/>
            </w:tcBorders>
            <w:vAlign w:val="center"/>
          </w:tcPr>
          <w:p w14:paraId="31DFE817" w14:textId="500A32FC" w:rsidR="00180ABB" w:rsidRPr="009E2264" w:rsidRDefault="00180ABB" w:rsidP="00180ABB">
            <w:pPr>
              <w:pStyle w:val="TableText"/>
              <w:rPr>
                <w:b/>
                <w:bCs/>
              </w:rPr>
            </w:pPr>
            <w:r w:rsidRPr="009E2264">
              <w:rPr>
                <w:b/>
                <w:bCs/>
              </w:rPr>
              <w:t>GMDN 37895</w:t>
            </w:r>
          </w:p>
        </w:tc>
        <w:tc>
          <w:tcPr>
            <w:tcW w:w="2253" w:type="pct"/>
            <w:tcBorders>
              <w:top w:val="single" w:sz="4" w:space="0" w:color="auto"/>
              <w:left w:val="nil"/>
              <w:bottom w:val="single" w:sz="4" w:space="0" w:color="auto"/>
              <w:right w:val="nil"/>
            </w:tcBorders>
          </w:tcPr>
          <w:p w14:paraId="0930D639" w14:textId="4D5291A3" w:rsidR="00180ABB" w:rsidRPr="009E2264" w:rsidRDefault="00180ABB" w:rsidP="00180ABB">
            <w:pPr>
              <w:pStyle w:val="TableText"/>
              <w:rPr>
                <w:b/>
                <w:bCs/>
              </w:rPr>
            </w:pPr>
          </w:p>
        </w:tc>
        <w:tc>
          <w:tcPr>
            <w:tcW w:w="1127" w:type="pct"/>
            <w:tcBorders>
              <w:top w:val="single" w:sz="4" w:space="0" w:color="auto"/>
              <w:left w:val="nil"/>
              <w:bottom w:val="single" w:sz="4" w:space="0" w:color="auto"/>
              <w:right w:val="nil"/>
            </w:tcBorders>
            <w:vAlign w:val="center"/>
          </w:tcPr>
          <w:p w14:paraId="4C6E6D84" w14:textId="77777777" w:rsidR="00180ABB" w:rsidRPr="009E2264" w:rsidRDefault="00180ABB" w:rsidP="00180ABB">
            <w:pPr>
              <w:pStyle w:val="TableText"/>
              <w:jc w:val="center"/>
              <w:rPr>
                <w:b/>
                <w:bCs/>
              </w:rPr>
            </w:pPr>
          </w:p>
        </w:tc>
        <w:tc>
          <w:tcPr>
            <w:tcW w:w="836" w:type="pct"/>
            <w:tcBorders>
              <w:top w:val="single" w:sz="4" w:space="0" w:color="auto"/>
              <w:left w:val="nil"/>
              <w:bottom w:val="single" w:sz="4" w:space="0" w:color="auto"/>
              <w:right w:val="single" w:sz="4" w:space="0" w:color="auto"/>
            </w:tcBorders>
            <w:vAlign w:val="center"/>
          </w:tcPr>
          <w:p w14:paraId="303DEBE0" w14:textId="77777777" w:rsidR="00180ABB" w:rsidRPr="009E2264" w:rsidRDefault="00180ABB" w:rsidP="00180ABB">
            <w:pPr>
              <w:pStyle w:val="TableText"/>
              <w:jc w:val="center"/>
              <w:rPr>
                <w:b/>
                <w:bCs/>
              </w:rPr>
            </w:pPr>
          </w:p>
        </w:tc>
      </w:tr>
      <w:tr w:rsidR="00180ABB" w:rsidRPr="00CE28E3" w14:paraId="3AB996FF" w14:textId="299F7DB9" w:rsidTr="00180ABB">
        <w:tc>
          <w:tcPr>
            <w:tcW w:w="784" w:type="pct"/>
            <w:tcBorders>
              <w:top w:val="single" w:sz="4" w:space="0" w:color="auto"/>
              <w:left w:val="single" w:sz="4" w:space="0" w:color="auto"/>
              <w:bottom w:val="single" w:sz="4" w:space="0" w:color="auto"/>
              <w:right w:val="single" w:sz="4" w:space="0" w:color="auto"/>
            </w:tcBorders>
            <w:vAlign w:val="center"/>
          </w:tcPr>
          <w:p w14:paraId="6AD5CE67" w14:textId="249B9EE7" w:rsidR="00180ABB" w:rsidRDefault="00E30E49" w:rsidP="00180ABB">
            <w:pPr>
              <w:pStyle w:val="TableText"/>
            </w:pPr>
            <w:hyperlink r:id="rId14" w:tooltip="Link to ARTG entry" w:history="1">
              <w:r w:rsidR="00180ABB" w:rsidRPr="00D64B8F">
                <w:rPr>
                  <w:rStyle w:val="Hyperlink"/>
                </w:rPr>
                <w:t>219096</w:t>
              </w:r>
            </w:hyperlink>
          </w:p>
        </w:tc>
        <w:tc>
          <w:tcPr>
            <w:tcW w:w="2253" w:type="pct"/>
            <w:tcBorders>
              <w:top w:val="single" w:sz="4" w:space="0" w:color="auto"/>
              <w:left w:val="single" w:sz="4" w:space="0" w:color="auto"/>
              <w:bottom w:val="single" w:sz="4" w:space="0" w:color="auto"/>
              <w:right w:val="single" w:sz="4" w:space="0" w:color="auto"/>
            </w:tcBorders>
          </w:tcPr>
          <w:p w14:paraId="09CDF7CF" w14:textId="5B5A9F5E" w:rsidR="00180ABB" w:rsidRPr="00EB7BD5" w:rsidRDefault="00180ABB" w:rsidP="00180ABB">
            <w:pPr>
              <w:pStyle w:val="TableText"/>
            </w:pPr>
            <w:r>
              <w:t>OptiCross Coronary Imaging Catheter</w:t>
            </w:r>
          </w:p>
        </w:tc>
        <w:tc>
          <w:tcPr>
            <w:tcW w:w="1127" w:type="pct"/>
            <w:tcBorders>
              <w:top w:val="single" w:sz="4" w:space="0" w:color="auto"/>
              <w:left w:val="single" w:sz="4" w:space="0" w:color="auto"/>
              <w:bottom w:val="single" w:sz="4" w:space="0" w:color="auto"/>
              <w:right w:val="single" w:sz="4" w:space="0" w:color="auto"/>
            </w:tcBorders>
            <w:vAlign w:val="center"/>
          </w:tcPr>
          <w:p w14:paraId="19706486" w14:textId="38299E35" w:rsidR="00180ABB" w:rsidRPr="00CE28E3" w:rsidRDefault="00180ABB" w:rsidP="00180ABB">
            <w:pPr>
              <w:pStyle w:val="TableText"/>
              <w:jc w:val="center"/>
            </w:pPr>
            <w:r w:rsidRPr="008664F0">
              <w:t>Boston Scientific Pty Ltd</w:t>
            </w:r>
          </w:p>
        </w:tc>
        <w:tc>
          <w:tcPr>
            <w:tcW w:w="836" w:type="pct"/>
            <w:tcBorders>
              <w:top w:val="single" w:sz="4" w:space="0" w:color="auto"/>
              <w:left w:val="single" w:sz="4" w:space="0" w:color="auto"/>
              <w:bottom w:val="single" w:sz="4" w:space="0" w:color="auto"/>
              <w:right w:val="single" w:sz="4" w:space="0" w:color="auto"/>
            </w:tcBorders>
            <w:vAlign w:val="center"/>
          </w:tcPr>
          <w:p w14:paraId="47C30D41" w14:textId="3060A2DF" w:rsidR="00180ABB" w:rsidRPr="008664F0" w:rsidRDefault="00180ABB" w:rsidP="00180ABB">
            <w:pPr>
              <w:pStyle w:val="TableText"/>
              <w:jc w:val="center"/>
            </w:pPr>
            <w:r w:rsidRPr="00900451">
              <w:t>10/01/2014</w:t>
            </w:r>
          </w:p>
        </w:tc>
      </w:tr>
      <w:tr w:rsidR="00180ABB" w:rsidRPr="00CE28E3" w14:paraId="7AA6ABFA" w14:textId="2DE9B800" w:rsidTr="00180ABB">
        <w:tc>
          <w:tcPr>
            <w:tcW w:w="784" w:type="pct"/>
            <w:tcBorders>
              <w:top w:val="single" w:sz="4" w:space="0" w:color="auto"/>
              <w:left w:val="single" w:sz="4" w:space="0" w:color="auto"/>
              <w:bottom w:val="single" w:sz="4" w:space="0" w:color="auto"/>
              <w:right w:val="single" w:sz="4" w:space="0" w:color="auto"/>
            </w:tcBorders>
            <w:vAlign w:val="center"/>
          </w:tcPr>
          <w:p w14:paraId="16E5592C" w14:textId="012BC7A8" w:rsidR="00180ABB" w:rsidRDefault="00E30E49" w:rsidP="00180ABB">
            <w:pPr>
              <w:pStyle w:val="TableText"/>
            </w:pPr>
            <w:hyperlink r:id="rId15" w:tooltip="Link to ARTG entry" w:history="1">
              <w:r w:rsidR="00180ABB" w:rsidRPr="00D64B8F">
                <w:rPr>
                  <w:rStyle w:val="Hyperlink"/>
                </w:rPr>
                <w:t>144141</w:t>
              </w:r>
            </w:hyperlink>
          </w:p>
        </w:tc>
        <w:tc>
          <w:tcPr>
            <w:tcW w:w="2253" w:type="pct"/>
            <w:tcBorders>
              <w:top w:val="single" w:sz="4" w:space="0" w:color="auto"/>
              <w:left w:val="single" w:sz="4" w:space="0" w:color="auto"/>
              <w:bottom w:val="single" w:sz="4" w:space="0" w:color="auto"/>
              <w:right w:val="single" w:sz="4" w:space="0" w:color="auto"/>
            </w:tcBorders>
          </w:tcPr>
          <w:p w14:paraId="01EEEB16" w14:textId="373017E0" w:rsidR="00180ABB" w:rsidRPr="00EB7BD5" w:rsidRDefault="00180ABB" w:rsidP="00180ABB">
            <w:pPr>
              <w:pStyle w:val="TableText"/>
            </w:pPr>
            <w:r>
              <w:t>ACUNAV Ultrasound Catheter</w:t>
            </w:r>
          </w:p>
        </w:tc>
        <w:tc>
          <w:tcPr>
            <w:tcW w:w="1127" w:type="pct"/>
            <w:tcBorders>
              <w:top w:val="single" w:sz="4" w:space="0" w:color="auto"/>
              <w:left w:val="single" w:sz="4" w:space="0" w:color="auto"/>
              <w:bottom w:val="single" w:sz="4" w:space="0" w:color="auto"/>
              <w:right w:val="single" w:sz="4" w:space="0" w:color="auto"/>
            </w:tcBorders>
            <w:vAlign w:val="center"/>
          </w:tcPr>
          <w:p w14:paraId="1D4781C0" w14:textId="77777777" w:rsidR="00180ABB" w:rsidRPr="00CE28E3" w:rsidRDefault="00180ABB" w:rsidP="00180ABB">
            <w:pPr>
              <w:pStyle w:val="TableText"/>
              <w:jc w:val="center"/>
            </w:pPr>
            <w:r w:rsidRPr="008664F0">
              <w:t>Johnson &amp; Johnson Medical Pty Ltd</w:t>
            </w:r>
          </w:p>
        </w:tc>
        <w:tc>
          <w:tcPr>
            <w:tcW w:w="836" w:type="pct"/>
            <w:tcBorders>
              <w:top w:val="single" w:sz="4" w:space="0" w:color="auto"/>
              <w:left w:val="single" w:sz="4" w:space="0" w:color="auto"/>
              <w:bottom w:val="single" w:sz="4" w:space="0" w:color="auto"/>
              <w:right w:val="single" w:sz="4" w:space="0" w:color="auto"/>
            </w:tcBorders>
            <w:vAlign w:val="center"/>
          </w:tcPr>
          <w:p w14:paraId="595B79B9" w14:textId="065519D6" w:rsidR="00180ABB" w:rsidRPr="008664F0" w:rsidRDefault="00180ABB" w:rsidP="00180ABB">
            <w:pPr>
              <w:pStyle w:val="TableText"/>
              <w:jc w:val="center"/>
            </w:pPr>
            <w:r w:rsidRPr="00900451">
              <w:t>3/09/2007</w:t>
            </w:r>
          </w:p>
        </w:tc>
      </w:tr>
      <w:tr w:rsidR="00180ABB" w:rsidRPr="00CE28E3" w14:paraId="3ED9EC81" w14:textId="360BB1F0" w:rsidTr="00180ABB">
        <w:tc>
          <w:tcPr>
            <w:tcW w:w="784" w:type="pct"/>
            <w:tcBorders>
              <w:top w:val="single" w:sz="4" w:space="0" w:color="auto"/>
              <w:left w:val="single" w:sz="4" w:space="0" w:color="auto"/>
              <w:bottom w:val="single" w:sz="4" w:space="0" w:color="auto"/>
              <w:right w:val="single" w:sz="4" w:space="0" w:color="auto"/>
            </w:tcBorders>
            <w:vAlign w:val="center"/>
          </w:tcPr>
          <w:p w14:paraId="01CE4342" w14:textId="0797334E" w:rsidR="00180ABB" w:rsidRDefault="00E30E49" w:rsidP="00180ABB">
            <w:pPr>
              <w:pStyle w:val="TableText"/>
            </w:pPr>
            <w:hyperlink r:id="rId16" w:tooltip="Link to ARTG entry" w:history="1">
              <w:r w:rsidR="00180ABB" w:rsidRPr="00D64B8F">
                <w:rPr>
                  <w:rStyle w:val="Hyperlink"/>
                </w:rPr>
                <w:t>153484</w:t>
              </w:r>
            </w:hyperlink>
          </w:p>
        </w:tc>
        <w:tc>
          <w:tcPr>
            <w:tcW w:w="2253" w:type="pct"/>
            <w:tcBorders>
              <w:top w:val="single" w:sz="4" w:space="0" w:color="auto"/>
              <w:left w:val="single" w:sz="4" w:space="0" w:color="auto"/>
              <w:bottom w:val="single" w:sz="4" w:space="0" w:color="auto"/>
              <w:right w:val="single" w:sz="4" w:space="0" w:color="auto"/>
            </w:tcBorders>
          </w:tcPr>
          <w:p w14:paraId="0A9C2D44" w14:textId="5B469809" w:rsidR="00180ABB" w:rsidRPr="00A015FB" w:rsidRDefault="00180ABB" w:rsidP="00180ABB">
            <w:pPr>
              <w:pStyle w:val="TableText"/>
            </w:pPr>
            <w:r>
              <w:t>Revolution 45 MHz Rotational Intravascular Ultrasound Imaging Catheter</w:t>
            </w:r>
          </w:p>
        </w:tc>
        <w:tc>
          <w:tcPr>
            <w:tcW w:w="1127" w:type="pct"/>
            <w:tcBorders>
              <w:top w:val="single" w:sz="4" w:space="0" w:color="auto"/>
              <w:left w:val="single" w:sz="4" w:space="0" w:color="auto"/>
              <w:bottom w:val="single" w:sz="4" w:space="0" w:color="auto"/>
              <w:right w:val="single" w:sz="4" w:space="0" w:color="auto"/>
            </w:tcBorders>
            <w:vAlign w:val="center"/>
          </w:tcPr>
          <w:p w14:paraId="27007523" w14:textId="77777777" w:rsidR="00180ABB" w:rsidRPr="00CE28E3" w:rsidRDefault="00180ABB" w:rsidP="00180ABB">
            <w:pPr>
              <w:pStyle w:val="TableText"/>
              <w:jc w:val="center"/>
            </w:pPr>
            <w:r w:rsidRPr="007532F3">
              <w:t>Philips Electronics Australia Ltd</w:t>
            </w:r>
          </w:p>
        </w:tc>
        <w:tc>
          <w:tcPr>
            <w:tcW w:w="836" w:type="pct"/>
            <w:tcBorders>
              <w:top w:val="single" w:sz="4" w:space="0" w:color="auto"/>
              <w:left w:val="single" w:sz="4" w:space="0" w:color="auto"/>
              <w:bottom w:val="single" w:sz="4" w:space="0" w:color="auto"/>
              <w:right w:val="single" w:sz="4" w:space="0" w:color="auto"/>
            </w:tcBorders>
            <w:vAlign w:val="center"/>
          </w:tcPr>
          <w:p w14:paraId="7A45DDAE" w14:textId="09CCCB89" w:rsidR="00180ABB" w:rsidRPr="007532F3" w:rsidRDefault="00180ABB" w:rsidP="00180ABB">
            <w:pPr>
              <w:pStyle w:val="TableText"/>
              <w:jc w:val="center"/>
            </w:pPr>
            <w:r w:rsidRPr="00900451">
              <w:t>7/07/2008</w:t>
            </w:r>
          </w:p>
        </w:tc>
      </w:tr>
      <w:tr w:rsidR="00180ABB" w:rsidRPr="00CE28E3" w14:paraId="75D9A2EE" w14:textId="580FE238" w:rsidTr="00180ABB">
        <w:tc>
          <w:tcPr>
            <w:tcW w:w="784" w:type="pct"/>
            <w:tcBorders>
              <w:top w:val="single" w:sz="4" w:space="0" w:color="auto"/>
              <w:left w:val="single" w:sz="4" w:space="0" w:color="auto"/>
              <w:bottom w:val="single" w:sz="4" w:space="0" w:color="auto"/>
              <w:right w:val="single" w:sz="4" w:space="0" w:color="auto"/>
            </w:tcBorders>
            <w:vAlign w:val="center"/>
          </w:tcPr>
          <w:p w14:paraId="7D90D984" w14:textId="4E97DE73" w:rsidR="00180ABB" w:rsidRDefault="00E30E49" w:rsidP="00180ABB">
            <w:pPr>
              <w:pStyle w:val="TableText"/>
            </w:pPr>
            <w:hyperlink r:id="rId17" w:tooltip="Link to ARTG entry" w:history="1">
              <w:r w:rsidR="00180ABB" w:rsidRPr="000957FB">
                <w:rPr>
                  <w:rStyle w:val="Hyperlink"/>
                </w:rPr>
                <w:t>153485</w:t>
              </w:r>
            </w:hyperlink>
          </w:p>
        </w:tc>
        <w:tc>
          <w:tcPr>
            <w:tcW w:w="2253" w:type="pct"/>
            <w:tcBorders>
              <w:top w:val="single" w:sz="4" w:space="0" w:color="auto"/>
              <w:left w:val="single" w:sz="4" w:space="0" w:color="auto"/>
              <w:bottom w:val="single" w:sz="4" w:space="0" w:color="auto"/>
              <w:right w:val="single" w:sz="4" w:space="0" w:color="auto"/>
            </w:tcBorders>
          </w:tcPr>
          <w:p w14:paraId="0E1D537D" w14:textId="3AE12950" w:rsidR="00180ABB" w:rsidRPr="00EE4AF8" w:rsidRDefault="00180ABB" w:rsidP="00180ABB">
            <w:pPr>
              <w:pStyle w:val="TableText"/>
            </w:pPr>
            <w:r>
              <w:t>Visions PV 0.018 Intravascular Ultrasound Imaging Catheter</w:t>
            </w:r>
          </w:p>
        </w:tc>
        <w:tc>
          <w:tcPr>
            <w:tcW w:w="1127" w:type="pct"/>
            <w:tcBorders>
              <w:top w:val="single" w:sz="4" w:space="0" w:color="auto"/>
              <w:left w:val="single" w:sz="4" w:space="0" w:color="auto"/>
              <w:bottom w:val="single" w:sz="4" w:space="0" w:color="auto"/>
              <w:right w:val="single" w:sz="4" w:space="0" w:color="auto"/>
            </w:tcBorders>
            <w:vAlign w:val="center"/>
          </w:tcPr>
          <w:p w14:paraId="0A2C87BC" w14:textId="77777777" w:rsidR="00180ABB" w:rsidRPr="00CE28E3" w:rsidRDefault="00180ABB" w:rsidP="00180ABB">
            <w:pPr>
              <w:pStyle w:val="TableText"/>
              <w:jc w:val="center"/>
            </w:pPr>
            <w:r w:rsidRPr="007532F3">
              <w:t>Philips Electronics Australia Ltd</w:t>
            </w:r>
          </w:p>
        </w:tc>
        <w:tc>
          <w:tcPr>
            <w:tcW w:w="836" w:type="pct"/>
            <w:tcBorders>
              <w:top w:val="single" w:sz="4" w:space="0" w:color="auto"/>
              <w:left w:val="single" w:sz="4" w:space="0" w:color="auto"/>
              <w:bottom w:val="single" w:sz="4" w:space="0" w:color="auto"/>
              <w:right w:val="single" w:sz="4" w:space="0" w:color="auto"/>
            </w:tcBorders>
            <w:vAlign w:val="center"/>
          </w:tcPr>
          <w:p w14:paraId="3A1C032C" w14:textId="10A9015E" w:rsidR="00180ABB" w:rsidRPr="007532F3" w:rsidRDefault="00180ABB" w:rsidP="00180ABB">
            <w:pPr>
              <w:pStyle w:val="TableText"/>
              <w:jc w:val="center"/>
            </w:pPr>
            <w:r w:rsidRPr="00AE097C">
              <w:t>7/07/2008</w:t>
            </w:r>
          </w:p>
        </w:tc>
      </w:tr>
      <w:tr w:rsidR="00180ABB" w:rsidRPr="00CE28E3" w14:paraId="7798A848" w14:textId="14D35A70" w:rsidTr="00180ABB">
        <w:tc>
          <w:tcPr>
            <w:tcW w:w="784" w:type="pct"/>
            <w:tcBorders>
              <w:top w:val="single" w:sz="4" w:space="0" w:color="auto"/>
              <w:left w:val="single" w:sz="4" w:space="0" w:color="auto"/>
              <w:bottom w:val="single" w:sz="4" w:space="0" w:color="auto"/>
              <w:right w:val="nil"/>
            </w:tcBorders>
            <w:vAlign w:val="center"/>
          </w:tcPr>
          <w:p w14:paraId="41E875DD" w14:textId="2C4A555D" w:rsidR="00180ABB" w:rsidRPr="009E2264" w:rsidRDefault="00180ABB" w:rsidP="00180ABB">
            <w:pPr>
              <w:pStyle w:val="TableText"/>
              <w:rPr>
                <w:b/>
                <w:bCs/>
              </w:rPr>
            </w:pPr>
            <w:r w:rsidRPr="009E2264">
              <w:rPr>
                <w:b/>
                <w:bCs/>
              </w:rPr>
              <w:t>GMDN 44141</w:t>
            </w:r>
          </w:p>
        </w:tc>
        <w:tc>
          <w:tcPr>
            <w:tcW w:w="2253" w:type="pct"/>
            <w:tcBorders>
              <w:top w:val="single" w:sz="4" w:space="0" w:color="auto"/>
              <w:left w:val="nil"/>
              <w:bottom w:val="single" w:sz="4" w:space="0" w:color="auto"/>
              <w:right w:val="nil"/>
            </w:tcBorders>
          </w:tcPr>
          <w:p w14:paraId="48D63027" w14:textId="2C588903" w:rsidR="00180ABB" w:rsidRPr="009E2264" w:rsidRDefault="00180ABB" w:rsidP="00180ABB">
            <w:pPr>
              <w:pStyle w:val="TableText"/>
              <w:rPr>
                <w:b/>
                <w:bCs/>
              </w:rPr>
            </w:pPr>
          </w:p>
        </w:tc>
        <w:tc>
          <w:tcPr>
            <w:tcW w:w="1127" w:type="pct"/>
            <w:tcBorders>
              <w:top w:val="single" w:sz="4" w:space="0" w:color="auto"/>
              <w:left w:val="nil"/>
              <w:bottom w:val="single" w:sz="4" w:space="0" w:color="auto"/>
              <w:right w:val="nil"/>
            </w:tcBorders>
            <w:vAlign w:val="center"/>
          </w:tcPr>
          <w:p w14:paraId="3366A4CF" w14:textId="77777777" w:rsidR="00180ABB" w:rsidRPr="009E2264" w:rsidRDefault="00180ABB" w:rsidP="00180ABB">
            <w:pPr>
              <w:pStyle w:val="TableText"/>
              <w:jc w:val="center"/>
              <w:rPr>
                <w:b/>
                <w:bCs/>
              </w:rPr>
            </w:pPr>
          </w:p>
        </w:tc>
        <w:tc>
          <w:tcPr>
            <w:tcW w:w="836" w:type="pct"/>
            <w:tcBorders>
              <w:top w:val="single" w:sz="4" w:space="0" w:color="auto"/>
              <w:left w:val="nil"/>
              <w:bottom w:val="single" w:sz="4" w:space="0" w:color="auto"/>
              <w:right w:val="single" w:sz="4" w:space="0" w:color="auto"/>
            </w:tcBorders>
            <w:vAlign w:val="center"/>
          </w:tcPr>
          <w:p w14:paraId="6037ACD0" w14:textId="77777777" w:rsidR="00180ABB" w:rsidRPr="009E2264" w:rsidRDefault="00180ABB" w:rsidP="00180ABB">
            <w:pPr>
              <w:pStyle w:val="TableText"/>
              <w:jc w:val="center"/>
              <w:rPr>
                <w:b/>
                <w:bCs/>
              </w:rPr>
            </w:pPr>
          </w:p>
        </w:tc>
      </w:tr>
      <w:tr w:rsidR="00180ABB" w:rsidRPr="00CE28E3" w14:paraId="0E5EC283" w14:textId="62B6A356" w:rsidTr="00180ABB">
        <w:tc>
          <w:tcPr>
            <w:tcW w:w="784" w:type="pct"/>
            <w:tcBorders>
              <w:top w:val="single" w:sz="4" w:space="0" w:color="auto"/>
              <w:left w:val="single" w:sz="4" w:space="0" w:color="auto"/>
              <w:bottom w:val="nil"/>
              <w:right w:val="single" w:sz="4" w:space="0" w:color="auto"/>
            </w:tcBorders>
            <w:vAlign w:val="center"/>
          </w:tcPr>
          <w:p w14:paraId="7351D6A2" w14:textId="333DC013" w:rsidR="00180ABB" w:rsidRDefault="00E30E49" w:rsidP="00180ABB">
            <w:pPr>
              <w:pStyle w:val="TableText"/>
            </w:pPr>
            <w:hyperlink r:id="rId18" w:tooltip="Link to ARTG entry" w:history="1">
              <w:r w:rsidR="00180ABB" w:rsidRPr="000957FB">
                <w:rPr>
                  <w:rStyle w:val="Hyperlink"/>
                </w:rPr>
                <w:t>289984</w:t>
              </w:r>
            </w:hyperlink>
          </w:p>
        </w:tc>
        <w:tc>
          <w:tcPr>
            <w:tcW w:w="2253" w:type="pct"/>
            <w:tcBorders>
              <w:top w:val="single" w:sz="4" w:space="0" w:color="auto"/>
              <w:left w:val="single" w:sz="4" w:space="0" w:color="auto"/>
              <w:bottom w:val="nil"/>
              <w:right w:val="single" w:sz="4" w:space="0" w:color="auto"/>
            </w:tcBorders>
          </w:tcPr>
          <w:p w14:paraId="59F36BFB" w14:textId="49835C58" w:rsidR="00180ABB" w:rsidRPr="00EB7BD5" w:rsidRDefault="00180ABB" w:rsidP="00180ABB">
            <w:pPr>
              <w:pStyle w:val="TableText"/>
            </w:pPr>
            <w:r>
              <w:t>ACIST Kodama Coronary Imaging Catheter</w:t>
            </w:r>
          </w:p>
        </w:tc>
        <w:tc>
          <w:tcPr>
            <w:tcW w:w="1127" w:type="pct"/>
            <w:tcBorders>
              <w:top w:val="single" w:sz="4" w:space="0" w:color="auto"/>
              <w:left w:val="single" w:sz="4" w:space="0" w:color="auto"/>
              <w:bottom w:val="nil"/>
              <w:right w:val="single" w:sz="4" w:space="0" w:color="auto"/>
            </w:tcBorders>
            <w:vAlign w:val="center"/>
          </w:tcPr>
          <w:p w14:paraId="64F162DA" w14:textId="2FA7282E" w:rsidR="00180ABB" w:rsidRPr="00CE28E3" w:rsidRDefault="00180ABB" w:rsidP="00180ABB">
            <w:pPr>
              <w:pStyle w:val="TableText"/>
              <w:jc w:val="center"/>
            </w:pPr>
            <w:r w:rsidRPr="008664F0">
              <w:t>Bracco Pty Ltd</w:t>
            </w:r>
          </w:p>
        </w:tc>
        <w:tc>
          <w:tcPr>
            <w:tcW w:w="836" w:type="pct"/>
            <w:tcBorders>
              <w:top w:val="single" w:sz="4" w:space="0" w:color="auto"/>
              <w:left w:val="single" w:sz="4" w:space="0" w:color="auto"/>
              <w:bottom w:val="nil"/>
              <w:right w:val="single" w:sz="4" w:space="0" w:color="auto"/>
            </w:tcBorders>
            <w:vAlign w:val="center"/>
          </w:tcPr>
          <w:p w14:paraId="7EFFA1C4" w14:textId="3EA62846" w:rsidR="00180ABB" w:rsidRPr="008664F0" w:rsidRDefault="00180ABB" w:rsidP="00180ABB">
            <w:pPr>
              <w:pStyle w:val="TableText"/>
              <w:jc w:val="center"/>
            </w:pPr>
            <w:r w:rsidRPr="00900451">
              <w:t>9/06/2017</w:t>
            </w:r>
          </w:p>
        </w:tc>
      </w:tr>
      <w:tr w:rsidR="00180ABB" w:rsidRPr="00CE28E3" w14:paraId="6BFB221B" w14:textId="3CD53D0A" w:rsidTr="00180ABB">
        <w:tc>
          <w:tcPr>
            <w:tcW w:w="784" w:type="pct"/>
            <w:tcBorders>
              <w:top w:val="single" w:sz="4" w:space="0" w:color="auto"/>
              <w:left w:val="single" w:sz="4" w:space="0" w:color="auto"/>
              <w:bottom w:val="single" w:sz="4" w:space="0" w:color="auto"/>
              <w:right w:val="single" w:sz="4" w:space="0" w:color="auto"/>
            </w:tcBorders>
            <w:vAlign w:val="center"/>
          </w:tcPr>
          <w:p w14:paraId="21629040" w14:textId="62FE7669" w:rsidR="00180ABB" w:rsidRDefault="00E30E49" w:rsidP="00180ABB">
            <w:pPr>
              <w:pStyle w:val="TableText"/>
            </w:pPr>
            <w:hyperlink r:id="rId19" w:tooltip="Link to ARTG entry" w:history="1">
              <w:r w:rsidR="00180ABB" w:rsidRPr="000957FB">
                <w:rPr>
                  <w:rStyle w:val="Hyperlink"/>
                </w:rPr>
                <w:t>321187</w:t>
              </w:r>
            </w:hyperlink>
          </w:p>
        </w:tc>
        <w:tc>
          <w:tcPr>
            <w:tcW w:w="2253" w:type="pct"/>
            <w:tcBorders>
              <w:top w:val="single" w:sz="4" w:space="0" w:color="auto"/>
              <w:left w:val="single" w:sz="4" w:space="0" w:color="auto"/>
              <w:bottom w:val="single" w:sz="4" w:space="0" w:color="auto"/>
              <w:right w:val="single" w:sz="4" w:space="0" w:color="auto"/>
            </w:tcBorders>
          </w:tcPr>
          <w:p w14:paraId="290D891B" w14:textId="2B0E74F4" w:rsidR="00180ABB" w:rsidRPr="00EE4AF8" w:rsidRDefault="00180ABB" w:rsidP="00180ABB">
            <w:pPr>
              <w:pStyle w:val="TableText"/>
            </w:pPr>
            <w:r>
              <w:t>REFINITY ST Rotational IVUS Catheter Model 89900</w:t>
            </w:r>
          </w:p>
        </w:tc>
        <w:tc>
          <w:tcPr>
            <w:tcW w:w="1127" w:type="pct"/>
            <w:tcBorders>
              <w:top w:val="single" w:sz="4" w:space="0" w:color="auto"/>
              <w:left w:val="single" w:sz="4" w:space="0" w:color="auto"/>
              <w:bottom w:val="single" w:sz="4" w:space="0" w:color="auto"/>
              <w:right w:val="single" w:sz="4" w:space="0" w:color="auto"/>
            </w:tcBorders>
            <w:vAlign w:val="center"/>
          </w:tcPr>
          <w:p w14:paraId="1DF3F413" w14:textId="7CA06592" w:rsidR="00180ABB" w:rsidRPr="00CE28E3" w:rsidRDefault="00180ABB" w:rsidP="00180ABB">
            <w:pPr>
              <w:pStyle w:val="TableText"/>
              <w:jc w:val="center"/>
            </w:pPr>
            <w:r w:rsidRPr="007532F3">
              <w:t>Philips Electronics Australia Ltd</w:t>
            </w:r>
          </w:p>
        </w:tc>
        <w:tc>
          <w:tcPr>
            <w:tcW w:w="836" w:type="pct"/>
            <w:tcBorders>
              <w:top w:val="single" w:sz="4" w:space="0" w:color="auto"/>
              <w:left w:val="single" w:sz="4" w:space="0" w:color="auto"/>
              <w:bottom w:val="single" w:sz="4" w:space="0" w:color="auto"/>
              <w:right w:val="single" w:sz="4" w:space="0" w:color="auto"/>
            </w:tcBorders>
            <w:vAlign w:val="center"/>
          </w:tcPr>
          <w:p w14:paraId="5016D704" w14:textId="0763D6F5" w:rsidR="00180ABB" w:rsidRPr="007532F3" w:rsidRDefault="00180ABB" w:rsidP="00180ABB">
            <w:pPr>
              <w:pStyle w:val="TableText"/>
              <w:jc w:val="center"/>
            </w:pPr>
            <w:r w:rsidRPr="00AE097C">
              <w:t>1/08/2019</w:t>
            </w:r>
          </w:p>
        </w:tc>
      </w:tr>
      <w:tr w:rsidR="00180ABB" w:rsidRPr="00CE28E3" w14:paraId="10CBB036" w14:textId="4426B775" w:rsidTr="00180ABB">
        <w:tc>
          <w:tcPr>
            <w:tcW w:w="784" w:type="pct"/>
            <w:tcBorders>
              <w:top w:val="single" w:sz="4" w:space="0" w:color="auto"/>
              <w:left w:val="single" w:sz="4" w:space="0" w:color="auto"/>
              <w:bottom w:val="single" w:sz="4" w:space="0" w:color="auto"/>
              <w:right w:val="single" w:sz="4" w:space="0" w:color="auto"/>
            </w:tcBorders>
            <w:vAlign w:val="center"/>
          </w:tcPr>
          <w:p w14:paraId="2E6626EC" w14:textId="57118E5B" w:rsidR="00180ABB" w:rsidRDefault="00E30E49" w:rsidP="00180ABB">
            <w:pPr>
              <w:pStyle w:val="TableText"/>
            </w:pPr>
            <w:hyperlink r:id="rId20" w:tooltip="Link to ARTG entry" w:history="1">
              <w:r w:rsidR="00180ABB" w:rsidRPr="000957FB">
                <w:rPr>
                  <w:rStyle w:val="Hyperlink"/>
                </w:rPr>
                <w:t>321186</w:t>
              </w:r>
            </w:hyperlink>
          </w:p>
        </w:tc>
        <w:tc>
          <w:tcPr>
            <w:tcW w:w="2253" w:type="pct"/>
            <w:tcBorders>
              <w:top w:val="single" w:sz="4" w:space="0" w:color="auto"/>
              <w:left w:val="single" w:sz="4" w:space="0" w:color="auto"/>
              <w:bottom w:val="single" w:sz="4" w:space="0" w:color="auto"/>
              <w:right w:val="single" w:sz="4" w:space="0" w:color="auto"/>
            </w:tcBorders>
          </w:tcPr>
          <w:p w14:paraId="6203FFDF" w14:textId="57B4D764" w:rsidR="00180ABB" w:rsidRPr="00EE4AF8" w:rsidRDefault="00180ABB" w:rsidP="00180ABB">
            <w:pPr>
              <w:pStyle w:val="TableText"/>
            </w:pPr>
            <w:r>
              <w:t>REFINITY Rotational IVUS Catheter Model 89800</w:t>
            </w:r>
          </w:p>
        </w:tc>
        <w:tc>
          <w:tcPr>
            <w:tcW w:w="1127" w:type="pct"/>
            <w:tcBorders>
              <w:top w:val="single" w:sz="4" w:space="0" w:color="auto"/>
              <w:left w:val="single" w:sz="4" w:space="0" w:color="auto"/>
              <w:bottom w:val="single" w:sz="4" w:space="0" w:color="auto"/>
              <w:right w:val="single" w:sz="4" w:space="0" w:color="auto"/>
            </w:tcBorders>
            <w:vAlign w:val="center"/>
          </w:tcPr>
          <w:p w14:paraId="531170E1" w14:textId="30657C37" w:rsidR="00180ABB" w:rsidRPr="00CE28E3" w:rsidRDefault="00180ABB" w:rsidP="00180ABB">
            <w:pPr>
              <w:pStyle w:val="TableText"/>
              <w:jc w:val="center"/>
            </w:pPr>
            <w:r w:rsidRPr="007532F3">
              <w:t>Philips Electronics Australia Ltd</w:t>
            </w:r>
          </w:p>
        </w:tc>
        <w:tc>
          <w:tcPr>
            <w:tcW w:w="836" w:type="pct"/>
            <w:tcBorders>
              <w:top w:val="single" w:sz="4" w:space="0" w:color="auto"/>
              <w:left w:val="single" w:sz="4" w:space="0" w:color="auto"/>
              <w:bottom w:val="single" w:sz="4" w:space="0" w:color="auto"/>
              <w:right w:val="single" w:sz="4" w:space="0" w:color="auto"/>
            </w:tcBorders>
            <w:vAlign w:val="center"/>
          </w:tcPr>
          <w:p w14:paraId="18C1A1E0" w14:textId="1C3A1A19" w:rsidR="00180ABB" w:rsidRPr="007532F3" w:rsidRDefault="00180ABB" w:rsidP="00180ABB">
            <w:pPr>
              <w:pStyle w:val="TableText"/>
              <w:jc w:val="center"/>
            </w:pPr>
            <w:r w:rsidRPr="00AE097C">
              <w:t>1/08/2019</w:t>
            </w:r>
          </w:p>
        </w:tc>
      </w:tr>
      <w:tr w:rsidR="00180ABB" w:rsidRPr="00CE28E3" w14:paraId="6A255D76" w14:textId="1910808E" w:rsidTr="00180ABB">
        <w:tc>
          <w:tcPr>
            <w:tcW w:w="784" w:type="pct"/>
            <w:tcBorders>
              <w:top w:val="single" w:sz="4" w:space="0" w:color="auto"/>
              <w:left w:val="single" w:sz="4" w:space="0" w:color="auto"/>
              <w:bottom w:val="single" w:sz="4" w:space="0" w:color="auto"/>
              <w:right w:val="single" w:sz="4" w:space="0" w:color="auto"/>
            </w:tcBorders>
            <w:vAlign w:val="center"/>
          </w:tcPr>
          <w:p w14:paraId="52FC2DA3" w14:textId="578F2EB2" w:rsidR="00180ABB" w:rsidRDefault="00E30E49" w:rsidP="00180ABB">
            <w:pPr>
              <w:pStyle w:val="TableText"/>
            </w:pPr>
            <w:hyperlink r:id="rId21" w:tooltip="Link to ARTG entry" w:history="1">
              <w:r w:rsidR="00180ABB" w:rsidRPr="000957FB">
                <w:rPr>
                  <w:rStyle w:val="Hyperlink"/>
                </w:rPr>
                <w:t>299651</w:t>
              </w:r>
            </w:hyperlink>
          </w:p>
        </w:tc>
        <w:tc>
          <w:tcPr>
            <w:tcW w:w="2253" w:type="pct"/>
            <w:tcBorders>
              <w:top w:val="single" w:sz="4" w:space="0" w:color="auto"/>
              <w:left w:val="single" w:sz="4" w:space="0" w:color="auto"/>
              <w:bottom w:val="single" w:sz="4" w:space="0" w:color="auto"/>
              <w:right w:val="single" w:sz="4" w:space="0" w:color="auto"/>
            </w:tcBorders>
          </w:tcPr>
          <w:p w14:paraId="077C6E31" w14:textId="5DCB9A61" w:rsidR="00180ABB" w:rsidRPr="00F85443" w:rsidRDefault="00180ABB" w:rsidP="00180ABB">
            <w:pPr>
              <w:pStyle w:val="TableText"/>
            </w:pPr>
            <w:r>
              <w:t>Eagle Eye Platinum ST RX Digital IVUS Catheter</w:t>
            </w:r>
          </w:p>
        </w:tc>
        <w:tc>
          <w:tcPr>
            <w:tcW w:w="1127" w:type="pct"/>
            <w:tcBorders>
              <w:top w:val="single" w:sz="4" w:space="0" w:color="auto"/>
              <w:left w:val="single" w:sz="4" w:space="0" w:color="auto"/>
              <w:bottom w:val="single" w:sz="4" w:space="0" w:color="auto"/>
              <w:right w:val="single" w:sz="4" w:space="0" w:color="auto"/>
            </w:tcBorders>
            <w:vAlign w:val="center"/>
          </w:tcPr>
          <w:p w14:paraId="04D4543D" w14:textId="27126559" w:rsidR="00180ABB" w:rsidRPr="00CE28E3" w:rsidRDefault="00180ABB" w:rsidP="00180ABB">
            <w:pPr>
              <w:pStyle w:val="TableText"/>
              <w:jc w:val="center"/>
            </w:pPr>
            <w:r w:rsidRPr="007532F3">
              <w:t>Philips Electronics Australia Ltd</w:t>
            </w:r>
          </w:p>
        </w:tc>
        <w:tc>
          <w:tcPr>
            <w:tcW w:w="836" w:type="pct"/>
            <w:tcBorders>
              <w:top w:val="single" w:sz="4" w:space="0" w:color="auto"/>
              <w:left w:val="single" w:sz="4" w:space="0" w:color="auto"/>
              <w:bottom w:val="single" w:sz="4" w:space="0" w:color="auto"/>
              <w:right w:val="single" w:sz="4" w:space="0" w:color="auto"/>
            </w:tcBorders>
            <w:vAlign w:val="center"/>
          </w:tcPr>
          <w:p w14:paraId="5B438203" w14:textId="7C07E12F" w:rsidR="00180ABB" w:rsidRPr="007532F3" w:rsidRDefault="00180ABB" w:rsidP="00180ABB">
            <w:pPr>
              <w:pStyle w:val="TableText"/>
              <w:jc w:val="center"/>
            </w:pPr>
            <w:r w:rsidRPr="00143DEA">
              <w:t>14/02/2018</w:t>
            </w:r>
          </w:p>
        </w:tc>
      </w:tr>
      <w:tr w:rsidR="00180ABB" w:rsidRPr="00CE28E3" w14:paraId="3A7C2B5D" w14:textId="619EBE22" w:rsidTr="00180ABB">
        <w:tc>
          <w:tcPr>
            <w:tcW w:w="784" w:type="pct"/>
            <w:tcBorders>
              <w:top w:val="single" w:sz="4" w:space="0" w:color="auto"/>
              <w:left w:val="single" w:sz="4" w:space="0" w:color="auto"/>
              <w:bottom w:val="single" w:sz="4" w:space="0" w:color="auto"/>
              <w:right w:val="single" w:sz="4" w:space="0" w:color="auto"/>
            </w:tcBorders>
            <w:vAlign w:val="center"/>
          </w:tcPr>
          <w:p w14:paraId="6B6707B5" w14:textId="2AFF4340" w:rsidR="00180ABB" w:rsidRDefault="00E30E49" w:rsidP="00180ABB">
            <w:pPr>
              <w:pStyle w:val="TableText"/>
            </w:pPr>
            <w:hyperlink r:id="rId22" w:tooltip="Link to ARTG entry" w:history="1">
              <w:r w:rsidR="00180ABB" w:rsidRPr="000957FB">
                <w:rPr>
                  <w:rStyle w:val="Hyperlink"/>
                </w:rPr>
                <w:t>299650</w:t>
              </w:r>
            </w:hyperlink>
          </w:p>
        </w:tc>
        <w:tc>
          <w:tcPr>
            <w:tcW w:w="2253" w:type="pct"/>
            <w:tcBorders>
              <w:top w:val="single" w:sz="4" w:space="0" w:color="auto"/>
              <w:left w:val="single" w:sz="4" w:space="0" w:color="auto"/>
              <w:bottom w:val="single" w:sz="4" w:space="0" w:color="auto"/>
              <w:right w:val="single" w:sz="4" w:space="0" w:color="auto"/>
            </w:tcBorders>
          </w:tcPr>
          <w:p w14:paraId="3B5CCD4B" w14:textId="625F199F" w:rsidR="00180ABB" w:rsidRPr="00F85443" w:rsidRDefault="00180ABB" w:rsidP="00180ABB">
            <w:pPr>
              <w:pStyle w:val="TableText"/>
            </w:pPr>
            <w:r>
              <w:t>Eagle Eye Platinum RX Digital IVUS Catheter</w:t>
            </w:r>
          </w:p>
        </w:tc>
        <w:tc>
          <w:tcPr>
            <w:tcW w:w="1127" w:type="pct"/>
            <w:tcBorders>
              <w:top w:val="single" w:sz="4" w:space="0" w:color="auto"/>
              <w:left w:val="single" w:sz="4" w:space="0" w:color="auto"/>
              <w:bottom w:val="single" w:sz="4" w:space="0" w:color="auto"/>
              <w:right w:val="single" w:sz="4" w:space="0" w:color="auto"/>
            </w:tcBorders>
            <w:vAlign w:val="center"/>
          </w:tcPr>
          <w:p w14:paraId="3906EE56" w14:textId="07C6BF3B" w:rsidR="00180ABB" w:rsidRPr="00CE28E3" w:rsidRDefault="00180ABB" w:rsidP="00180ABB">
            <w:pPr>
              <w:pStyle w:val="TableText"/>
              <w:jc w:val="center"/>
            </w:pPr>
            <w:r w:rsidRPr="007532F3">
              <w:t>Philips Electronics Australia Ltd</w:t>
            </w:r>
          </w:p>
        </w:tc>
        <w:tc>
          <w:tcPr>
            <w:tcW w:w="836" w:type="pct"/>
            <w:tcBorders>
              <w:top w:val="single" w:sz="4" w:space="0" w:color="auto"/>
              <w:left w:val="single" w:sz="4" w:space="0" w:color="auto"/>
              <w:bottom w:val="single" w:sz="4" w:space="0" w:color="auto"/>
              <w:right w:val="single" w:sz="4" w:space="0" w:color="auto"/>
            </w:tcBorders>
            <w:vAlign w:val="center"/>
          </w:tcPr>
          <w:p w14:paraId="69A09815" w14:textId="5556B971" w:rsidR="00180ABB" w:rsidRPr="007532F3" w:rsidRDefault="00180ABB" w:rsidP="00180ABB">
            <w:pPr>
              <w:pStyle w:val="TableText"/>
              <w:jc w:val="center"/>
            </w:pPr>
            <w:r w:rsidRPr="00143DEA">
              <w:t>14/02/2018</w:t>
            </w:r>
          </w:p>
        </w:tc>
      </w:tr>
    </w:tbl>
    <w:p w14:paraId="5EF5CC9C" w14:textId="015E8C2D" w:rsidR="00F4250C" w:rsidRPr="00CE28E3" w:rsidRDefault="00F4250C" w:rsidP="00D86BA7">
      <w:pPr>
        <w:pStyle w:val="TableFigureFooter"/>
        <w:spacing w:before="60"/>
      </w:pPr>
      <w:r>
        <w:t xml:space="preserve">ARTG </w:t>
      </w:r>
      <w:r w:rsidRPr="00CE28E3">
        <w:t>=</w:t>
      </w:r>
      <w:r>
        <w:t xml:space="preserve"> Australian Register of Therapeutic Goods; GMDN = </w:t>
      </w:r>
      <w:r w:rsidR="00A015FB" w:rsidRPr="00A015FB">
        <w:t>Global Medical Device Nomenclature</w:t>
      </w:r>
      <w:r>
        <w:t>.</w:t>
      </w:r>
    </w:p>
    <w:p w14:paraId="44C3B242" w14:textId="62837B1D" w:rsidR="00772829" w:rsidRDefault="005F6A3D" w:rsidP="002A18BE">
      <w:pPr>
        <w:pStyle w:val="Heading2"/>
        <w:numPr>
          <w:ilvl w:val="0"/>
          <w:numId w:val="0"/>
        </w:numPr>
      </w:pPr>
      <w:bookmarkStart w:id="11" w:name="_Toc69491418"/>
      <w:r>
        <w:t>6</w:t>
      </w:r>
      <w:r w:rsidR="00C36633">
        <w:t>.</w:t>
      </w:r>
      <w:r w:rsidR="00C36633">
        <w:tab/>
      </w:r>
      <w:r w:rsidR="00772829" w:rsidRPr="00CE28E3">
        <w:t>Proposal for public funding</w:t>
      </w:r>
      <w:bookmarkEnd w:id="11"/>
    </w:p>
    <w:p w14:paraId="7D6A9723" w14:textId="7FF63523" w:rsidR="0029766B" w:rsidRDefault="0029766B" w:rsidP="00E81042">
      <w:r w:rsidRPr="0029766B">
        <w:t>For the purposes of this application, the intervention is the therapeutic use of IVUS when used for the placement of coronary stents. This excludes the use of IVUS for diagnostic purposes</w:t>
      </w:r>
      <w:r>
        <w:t xml:space="preserve"> and for </w:t>
      </w:r>
      <w:r w:rsidRPr="0029766B">
        <w:t xml:space="preserve">peripheral vascular </w:t>
      </w:r>
      <w:r>
        <w:t>applications</w:t>
      </w:r>
      <w:r w:rsidRPr="0029766B">
        <w:t>.</w:t>
      </w:r>
    </w:p>
    <w:p w14:paraId="695D3BD6" w14:textId="5C81DF91" w:rsidR="00E81042" w:rsidRDefault="00E81042" w:rsidP="00E81042">
      <w:r w:rsidRPr="00E81042">
        <w:t>Interventional cardiologists who perform coronary stent insertion in Australia are currently guided by the use of angiography which provides a two-dimensional image of the coronary artery. IVUS is the generic name provided to any ultrasound technology that provides tomographic, three-dimensional, 360-degree images from inside the lumen of a blood vessel. During PCI, IVUS may be used to guide coronary stent insertion as an adjunct to angiography. To use IVUS, physicians use a guide wire, and the IVUS-tipped catheter is then fed over the guide wire. Angiography is used to guide the IVUS catheter to the area of the vessel to be imaged.</w:t>
      </w:r>
    </w:p>
    <w:p w14:paraId="0008FA2B" w14:textId="5303F049" w:rsidR="00151DBB" w:rsidRDefault="00151DBB" w:rsidP="00151DBB">
      <w:pPr>
        <w:spacing w:after="240"/>
        <w:rPr>
          <w:iCs/>
        </w:rPr>
      </w:pPr>
      <w:r>
        <w:rPr>
          <w:iCs/>
        </w:rPr>
        <w:t>IVUS plays multiple roles in coronary stenting including determining suitability for stenting, guidance of stent selection and placement, and ensuring adequate stent deployment.</w:t>
      </w:r>
    </w:p>
    <w:p w14:paraId="5925FF14" w14:textId="6AE63610" w:rsidR="00E755F3" w:rsidRDefault="00E755F3" w:rsidP="00151DBB">
      <w:pPr>
        <w:spacing w:after="240"/>
        <w:rPr>
          <w:iCs/>
        </w:rPr>
      </w:pPr>
      <w:r w:rsidRPr="00E755F3">
        <w:rPr>
          <w:iCs/>
        </w:rPr>
        <w:t>The service may be useful in both elective and emergency PCI procedures. It is provided at public or private hospital</w:t>
      </w:r>
      <w:r w:rsidR="00BA1BAF">
        <w:rPr>
          <w:iCs/>
        </w:rPr>
        <w:t>s</w:t>
      </w:r>
      <w:r w:rsidRPr="00E755F3">
        <w:rPr>
          <w:iCs/>
        </w:rPr>
        <w:t xml:space="preserve"> as an inpatient procedure. IVUS imaging takes 10–15 minutes; this is in addition to the stent insertion procedure, which usually takes 10–20 minutes.</w:t>
      </w:r>
    </w:p>
    <w:p w14:paraId="5E550E0D" w14:textId="05FBD7A7" w:rsidR="00151DBB" w:rsidRDefault="00D3126B" w:rsidP="00E81042">
      <w:r>
        <w:lastRenderedPageBreak/>
        <w:t xml:space="preserve">Several </w:t>
      </w:r>
      <w:r w:rsidR="00151DBB">
        <w:t>h</w:t>
      </w:r>
      <w:r w:rsidR="00151DBB" w:rsidRPr="00151DBB">
        <w:t>ybrid IVUS intracoronary imaging modalities have also been developed</w:t>
      </w:r>
      <w:r>
        <w:t>, including</w:t>
      </w:r>
      <w:r w:rsidR="00151DBB">
        <w:t xml:space="preserve"> n</w:t>
      </w:r>
      <w:r w:rsidR="00151DBB" w:rsidRPr="00151DBB">
        <w:t>ear infrared spectroscopy-IVUS (NIRS-IVUS)</w:t>
      </w:r>
      <w:r w:rsidR="00151DBB">
        <w:t>, v</w:t>
      </w:r>
      <w:r w:rsidR="00151DBB" w:rsidRPr="00151DBB">
        <w:t>irtual histology-IVUS (VH-IVUS)</w:t>
      </w:r>
      <w:r w:rsidR="00151DBB">
        <w:t xml:space="preserve">, and </w:t>
      </w:r>
      <w:r w:rsidR="00345D78">
        <w:t xml:space="preserve">IVUS combined with </w:t>
      </w:r>
      <w:r w:rsidR="00345D78" w:rsidRPr="00151DBB">
        <w:t xml:space="preserve">optical coherence tomography </w:t>
      </w:r>
      <w:r w:rsidR="00151DBB" w:rsidRPr="00151DBB">
        <w:t>(IVUS-OCT)</w:t>
      </w:r>
      <w:r w:rsidR="00345D78">
        <w:t xml:space="preserve">. Other combined </w:t>
      </w:r>
      <w:r w:rsidR="0029766B">
        <w:t xml:space="preserve">imaging </w:t>
      </w:r>
      <w:r w:rsidR="00345D78">
        <w:t>technologies are on the horizon.</w:t>
      </w:r>
    </w:p>
    <w:p w14:paraId="3DD410E7" w14:textId="64B924A9" w:rsidR="00345D78" w:rsidRDefault="0029766B" w:rsidP="00E81042">
      <w:r w:rsidRPr="0029766B">
        <w:t>IVUS is not listed on the MBS and is currently not routinely used in Australia during percutaneous coronary stent insertion</w:t>
      </w:r>
      <w:r>
        <w:t xml:space="preserve">. According to </w:t>
      </w:r>
      <w:r w:rsidRPr="0029766B">
        <w:t xml:space="preserve">the </w:t>
      </w:r>
      <w:r>
        <w:t xml:space="preserve">Victorian Cardiac </w:t>
      </w:r>
      <w:r w:rsidR="006D7F13">
        <w:t xml:space="preserve">Outcomes Registry </w:t>
      </w:r>
      <w:hyperlink r:id="rId23" w:tooltip="Link to VCOR website" w:history="1">
        <w:r w:rsidR="006D7F13" w:rsidRPr="00513C97">
          <w:rPr>
            <w:rStyle w:val="Hyperlink"/>
          </w:rPr>
          <w:t>(</w:t>
        </w:r>
        <w:r w:rsidRPr="00513C97">
          <w:rPr>
            <w:rStyle w:val="Hyperlink"/>
          </w:rPr>
          <w:t>VCOR</w:t>
        </w:r>
        <w:r w:rsidR="006D7F13" w:rsidRPr="00513C97">
          <w:rPr>
            <w:rStyle w:val="Hyperlink"/>
          </w:rPr>
          <w:t>)</w:t>
        </w:r>
        <w:r w:rsidRPr="00513C97">
          <w:rPr>
            <w:rStyle w:val="Hyperlink"/>
          </w:rPr>
          <w:t xml:space="preserve"> </w:t>
        </w:r>
        <w:r w:rsidR="00513C97" w:rsidRPr="00513C97">
          <w:rPr>
            <w:rStyle w:val="Hyperlink"/>
          </w:rPr>
          <w:t xml:space="preserve">2020 </w:t>
        </w:r>
        <w:r w:rsidR="00247054" w:rsidRPr="00513C97">
          <w:rPr>
            <w:rStyle w:val="Hyperlink"/>
          </w:rPr>
          <w:t>A</w:t>
        </w:r>
        <w:r w:rsidRPr="00513C97">
          <w:rPr>
            <w:rStyle w:val="Hyperlink"/>
          </w:rPr>
          <w:t xml:space="preserve">nnual </w:t>
        </w:r>
        <w:r w:rsidR="00247054" w:rsidRPr="00513C97">
          <w:rPr>
            <w:rStyle w:val="Hyperlink"/>
          </w:rPr>
          <w:t>R</w:t>
        </w:r>
        <w:r w:rsidRPr="00513C97">
          <w:rPr>
            <w:rStyle w:val="Hyperlink"/>
          </w:rPr>
          <w:t>eport</w:t>
        </w:r>
      </w:hyperlink>
      <w:r w:rsidRPr="0029766B">
        <w:t xml:space="preserve"> (Lefkovits et al. 2021</w:t>
      </w:r>
      <w:r w:rsidR="00201CFC">
        <w:rPr>
          <w:rStyle w:val="FootnoteReference"/>
        </w:rPr>
        <w:footnoteReference w:id="11"/>
      </w:r>
      <w:r w:rsidRPr="0029766B">
        <w:t>), IVUS was used in 2.6% of PCI cases in Victoria in 2020 (2.8% of cases in the public sector and 2.5% of cases in the private sector). In left main coronary artery PCI (</w:t>
      </w:r>
      <w:r w:rsidR="006D7F13">
        <w:t xml:space="preserve">which accounted for </w:t>
      </w:r>
      <w:r w:rsidRPr="0029766B">
        <w:t>2.3% of all PCI procedures in Victoria in 2020), the rate of adjunctive imaging with IVUS or OCT was 37.7%.</w:t>
      </w:r>
    </w:p>
    <w:p w14:paraId="5C915537" w14:textId="527595F6" w:rsidR="00674D98" w:rsidRDefault="00674D98" w:rsidP="00674D98">
      <w:pPr>
        <w:pStyle w:val="Heading3"/>
      </w:pPr>
      <w:r>
        <w:t>Proposed MBS item descriptors</w:t>
      </w:r>
    </w:p>
    <w:p w14:paraId="05A7FD2B" w14:textId="1D1E63FE" w:rsidR="00742AAB" w:rsidRDefault="007B3ED9" w:rsidP="00742AAB">
      <w:r>
        <w:t xml:space="preserve">The ADAR </w:t>
      </w:r>
      <w:r w:rsidR="00B535E9">
        <w:t xml:space="preserve">proposes </w:t>
      </w:r>
      <w:r w:rsidR="00B020C0">
        <w:t xml:space="preserve">alternative listings for </w:t>
      </w:r>
      <w:r w:rsidR="00B535E9">
        <w:t>IVUS, either for</w:t>
      </w:r>
      <w:r w:rsidR="00044BB7">
        <w:t xml:space="preserve"> all</w:t>
      </w:r>
      <w:r w:rsidR="000066A0">
        <w:t>-</w:t>
      </w:r>
      <w:r w:rsidR="00044BB7">
        <w:t>comers to PCI</w:t>
      </w:r>
      <w:r w:rsidR="00B535E9">
        <w:t xml:space="preserve"> or for </w:t>
      </w:r>
      <w:r w:rsidR="00044BB7">
        <w:t xml:space="preserve">patients with complex anatomical characteristics. </w:t>
      </w:r>
      <w:r w:rsidR="00B020C0">
        <w:t>Separate</w:t>
      </w:r>
      <w:r w:rsidR="00742AAB">
        <w:t xml:space="preserve"> </w:t>
      </w:r>
      <w:r w:rsidR="00B535E9">
        <w:t>MBS descriptor</w:t>
      </w:r>
      <w:r w:rsidR="00B020C0">
        <w:t>s</w:t>
      </w:r>
      <w:r w:rsidR="00B535E9">
        <w:t xml:space="preserve"> </w:t>
      </w:r>
      <w:r w:rsidR="00B020C0">
        <w:t xml:space="preserve">have been developed </w:t>
      </w:r>
      <w:r w:rsidR="00B535E9">
        <w:t xml:space="preserve">for </w:t>
      </w:r>
      <w:r w:rsidR="0013580F">
        <w:t>each</w:t>
      </w:r>
      <w:r w:rsidR="00B535E9">
        <w:t xml:space="preserve"> population</w:t>
      </w:r>
      <w:r w:rsidR="0013580F">
        <w:t>.</w:t>
      </w:r>
      <w:r w:rsidR="0036113E">
        <w:t xml:space="preserve"> </w:t>
      </w:r>
      <w:r w:rsidR="000A4015" w:rsidRPr="00692BF1">
        <w:t xml:space="preserve">The intention is for the proposed item </w:t>
      </w:r>
      <w:r w:rsidR="00692BF1" w:rsidRPr="00692BF1">
        <w:t xml:space="preserve">for IVUS </w:t>
      </w:r>
      <w:r w:rsidR="000A4015" w:rsidRPr="00692BF1">
        <w:t xml:space="preserve">to be claimed in conjunction with an </w:t>
      </w:r>
      <w:r w:rsidR="0099487C">
        <w:t xml:space="preserve">existing </w:t>
      </w:r>
      <w:r w:rsidR="000A4015" w:rsidRPr="00692BF1">
        <w:t xml:space="preserve">MBS item for </w:t>
      </w:r>
      <w:r w:rsidR="0099487C" w:rsidRPr="00692BF1">
        <w:t>transluminal insertion of coronary stents</w:t>
      </w:r>
      <w:r w:rsidR="00B020C0">
        <w:t xml:space="preserve"> </w:t>
      </w:r>
      <w:r w:rsidR="00E21EAB">
        <w:t>(</w:t>
      </w:r>
      <w:r w:rsidR="00B020C0">
        <w:t xml:space="preserve">or </w:t>
      </w:r>
      <w:r w:rsidR="00E21EAB">
        <w:t>transluminal rotational atherectomy if stenting does not proceed as planned)</w:t>
      </w:r>
      <w:r w:rsidR="000A4015" w:rsidRPr="00692BF1">
        <w:t>.</w:t>
      </w:r>
      <w:r w:rsidR="00E21EAB">
        <w:t xml:space="preserve"> </w:t>
      </w:r>
      <w:r w:rsidR="00E21EAB" w:rsidRPr="00B020C0">
        <w:t>The phrase</w:t>
      </w:r>
      <w:r w:rsidR="001861A4">
        <w:t xml:space="preserve"> </w:t>
      </w:r>
      <w:r w:rsidR="00E21EAB" w:rsidRPr="00B020C0">
        <w:t xml:space="preserve">‘percutaneous angioplasty or transluminal insertion of stents’ was added to the descriptor post-PASC in recognition </w:t>
      </w:r>
      <w:r w:rsidR="00E21EAB">
        <w:t>of this</w:t>
      </w:r>
      <w:r w:rsidR="00E21EAB" w:rsidRPr="00B020C0">
        <w:t>.</w:t>
      </w:r>
    </w:p>
    <w:p w14:paraId="1D576B99" w14:textId="1E653B16" w:rsidR="00544A1D" w:rsidRDefault="00544A1D" w:rsidP="00742AAB">
      <w:bookmarkStart w:id="12" w:name="_Hlk90965361"/>
      <w:r>
        <w:t xml:space="preserve">The proposed descriptor refers to </w:t>
      </w:r>
      <w:r w:rsidR="00041DAE">
        <w:t>‘</w:t>
      </w:r>
      <w:r>
        <w:t>invasive coronary angiogram</w:t>
      </w:r>
      <w:r w:rsidR="00041DAE">
        <w:t xml:space="preserve">’, which may </w:t>
      </w:r>
      <w:r w:rsidR="00BB793B">
        <w:t xml:space="preserve">unintentionally </w:t>
      </w:r>
      <w:r w:rsidR="00041DAE">
        <w:t xml:space="preserve">preclude use of IVUS </w:t>
      </w:r>
      <w:r w:rsidR="00041DAE" w:rsidRPr="00041DAE">
        <w:t>with standalone PCI where selective angiography has been performed in the previous 3 months</w:t>
      </w:r>
      <w:r w:rsidR="00041DAE">
        <w:t>.</w:t>
      </w:r>
      <w:bookmarkEnd w:id="12"/>
    </w:p>
    <w:p w14:paraId="3FD9878F" w14:textId="19F941E0" w:rsidR="00742AAB" w:rsidRDefault="00742AAB" w:rsidP="00E81042">
      <w:pPr>
        <w:rPr>
          <w:i/>
          <w:iCs/>
        </w:rPr>
      </w:pPr>
      <w:r>
        <w:t xml:space="preserve">The proposed descriptor for </w:t>
      </w:r>
      <w:r w:rsidRPr="00742AAB">
        <w:t>the all</w:t>
      </w:r>
      <w:r w:rsidR="000066A0">
        <w:t>-</w:t>
      </w:r>
      <w:r w:rsidRPr="00742AAB">
        <w:t xml:space="preserve">comers population </w:t>
      </w:r>
      <w:r w:rsidR="0036113E">
        <w:t>(</w:t>
      </w:r>
      <w:r w:rsidR="00C50610">
        <w:t xml:space="preserve">shown in </w:t>
      </w:r>
      <w:r w:rsidR="0036113E">
        <w:fldChar w:fldCharType="begin"/>
      </w:r>
      <w:r w:rsidR="0036113E">
        <w:instrText xml:space="preserve"> REF _Ref69481033 \h </w:instrText>
      </w:r>
      <w:r w:rsidR="0036113E">
        <w:fldChar w:fldCharType="separate"/>
      </w:r>
      <w:r w:rsidR="00F03488">
        <w:t>Table </w:t>
      </w:r>
      <w:r w:rsidR="00F03488">
        <w:rPr>
          <w:noProof/>
        </w:rPr>
        <w:t>3</w:t>
      </w:r>
      <w:r w:rsidR="0036113E">
        <w:fldChar w:fldCharType="end"/>
      </w:r>
      <w:r w:rsidR="0036113E">
        <w:t xml:space="preserve">) </w:t>
      </w:r>
      <w:r>
        <w:t xml:space="preserve">includes a </w:t>
      </w:r>
      <w:r w:rsidRPr="00742AAB">
        <w:t>definition for significant stenosis diagnos</w:t>
      </w:r>
      <w:r>
        <w:t>ed</w:t>
      </w:r>
      <w:r w:rsidRPr="00742AAB">
        <w:t xml:space="preserve"> using angiography</w:t>
      </w:r>
      <w:r w:rsidR="00584885">
        <w:t>, which is consistent with the clinical evidence</w:t>
      </w:r>
      <w:r w:rsidRPr="00742AAB">
        <w:t xml:space="preserve">. </w:t>
      </w:r>
      <w:r w:rsidRPr="001F42E9">
        <w:rPr>
          <w:i/>
          <w:iCs/>
        </w:rPr>
        <w:t xml:space="preserve">As the explanatory notes relating to PCI items </w:t>
      </w:r>
      <w:r w:rsidR="00566AAC">
        <w:rPr>
          <w:i/>
          <w:iCs/>
        </w:rPr>
        <w:t xml:space="preserve">are regulated requirements of the service and </w:t>
      </w:r>
      <w:r w:rsidRPr="001F42E9">
        <w:rPr>
          <w:i/>
          <w:iCs/>
        </w:rPr>
        <w:t>already provide detailed patient indications</w:t>
      </w:r>
      <w:r w:rsidR="007E17DA">
        <w:rPr>
          <w:i/>
          <w:iCs/>
        </w:rPr>
        <w:t xml:space="preserve"> (</w:t>
      </w:r>
      <w:r w:rsidR="0072101E" w:rsidRPr="001F42E9">
        <w:rPr>
          <w:i/>
          <w:iCs/>
        </w:rPr>
        <w:t>including the extent of stenosis</w:t>
      </w:r>
      <w:r w:rsidR="007E17DA">
        <w:rPr>
          <w:i/>
          <w:iCs/>
        </w:rPr>
        <w:t>)</w:t>
      </w:r>
      <w:r w:rsidR="0072101E" w:rsidRPr="001F42E9">
        <w:rPr>
          <w:i/>
          <w:iCs/>
        </w:rPr>
        <w:t xml:space="preserve">, inclusion of a stenosis threshold in the item descriptor for IVUS may be </w:t>
      </w:r>
      <w:r w:rsidR="001F42E9">
        <w:rPr>
          <w:i/>
          <w:iCs/>
        </w:rPr>
        <w:t>superfluous</w:t>
      </w:r>
      <w:r w:rsidR="0072101E" w:rsidRPr="001F42E9">
        <w:rPr>
          <w:i/>
          <w:iCs/>
        </w:rPr>
        <w:t xml:space="preserve"> and/or create confusion</w:t>
      </w:r>
      <w:r w:rsidRPr="00742AAB">
        <w:t xml:space="preserve">. </w:t>
      </w:r>
      <w:r w:rsidRPr="00C50610">
        <w:rPr>
          <w:i/>
          <w:iCs/>
        </w:rPr>
        <w:t xml:space="preserve">For example, Explanatory Note </w:t>
      </w:r>
      <w:hyperlink r:id="rId24" w:tooltip="Link to MBS Online" w:history="1">
        <w:r w:rsidRPr="00513C97">
          <w:rPr>
            <w:rStyle w:val="Hyperlink"/>
            <w:i/>
            <w:iCs/>
          </w:rPr>
          <w:t>TR.8.4</w:t>
        </w:r>
      </w:hyperlink>
      <w:r w:rsidRPr="00C50610">
        <w:rPr>
          <w:i/>
          <w:iCs/>
        </w:rPr>
        <w:t xml:space="preserve"> for stable PCI indications refers to stenosis of 70% or more.</w:t>
      </w:r>
      <w:r w:rsidR="00BB793B">
        <w:rPr>
          <w:i/>
          <w:iCs/>
        </w:rPr>
        <w:t xml:space="preserve"> </w:t>
      </w:r>
      <w:bookmarkStart w:id="13" w:name="_Hlk90965496"/>
      <w:r w:rsidR="00BB793B">
        <w:rPr>
          <w:i/>
          <w:iCs/>
        </w:rPr>
        <w:t>Therefore</w:t>
      </w:r>
      <w:r w:rsidR="00D21A0C">
        <w:rPr>
          <w:i/>
          <w:iCs/>
        </w:rPr>
        <w:t xml:space="preserve">, despite the stenosis threshold </w:t>
      </w:r>
      <w:r w:rsidR="00584885">
        <w:rPr>
          <w:i/>
          <w:iCs/>
        </w:rPr>
        <w:t xml:space="preserve">of 50% </w:t>
      </w:r>
      <w:r w:rsidR="008E7A3D">
        <w:rPr>
          <w:i/>
          <w:iCs/>
        </w:rPr>
        <w:t xml:space="preserve">mentioned </w:t>
      </w:r>
      <w:r w:rsidR="00D21A0C">
        <w:rPr>
          <w:i/>
          <w:iCs/>
        </w:rPr>
        <w:t>in the proposed descriptor,</w:t>
      </w:r>
      <w:r w:rsidR="00BB793B">
        <w:rPr>
          <w:i/>
          <w:iCs/>
        </w:rPr>
        <w:t xml:space="preserve"> IVUS could not be used </w:t>
      </w:r>
      <w:r w:rsidR="00D21A0C">
        <w:rPr>
          <w:i/>
          <w:iCs/>
        </w:rPr>
        <w:t xml:space="preserve">unless </w:t>
      </w:r>
      <w:r w:rsidR="00A029E3">
        <w:rPr>
          <w:i/>
          <w:iCs/>
        </w:rPr>
        <w:t xml:space="preserve">the </w:t>
      </w:r>
      <w:r w:rsidR="00D21A0C">
        <w:rPr>
          <w:i/>
          <w:iCs/>
        </w:rPr>
        <w:t>patient meet</w:t>
      </w:r>
      <w:r w:rsidR="00A029E3">
        <w:rPr>
          <w:i/>
          <w:iCs/>
        </w:rPr>
        <w:t>s</w:t>
      </w:r>
      <w:r w:rsidR="00D21A0C">
        <w:rPr>
          <w:i/>
          <w:iCs/>
        </w:rPr>
        <w:t xml:space="preserve"> the stenosis threshold specified in the </w:t>
      </w:r>
      <w:r w:rsidR="00A029E3">
        <w:rPr>
          <w:i/>
          <w:iCs/>
        </w:rPr>
        <w:t>e</w:t>
      </w:r>
      <w:r w:rsidR="00D21A0C">
        <w:rPr>
          <w:i/>
          <w:iCs/>
        </w:rPr>
        <w:t xml:space="preserve">xplanatory </w:t>
      </w:r>
      <w:r w:rsidR="00A029E3">
        <w:rPr>
          <w:i/>
          <w:iCs/>
        </w:rPr>
        <w:t>n</w:t>
      </w:r>
      <w:r w:rsidR="00D21A0C">
        <w:rPr>
          <w:i/>
          <w:iCs/>
        </w:rPr>
        <w:t>otes</w:t>
      </w:r>
      <w:r w:rsidR="00A82B1C">
        <w:rPr>
          <w:i/>
          <w:iCs/>
        </w:rPr>
        <w:t xml:space="preserve"> for PCI</w:t>
      </w:r>
      <w:r w:rsidR="00584885">
        <w:rPr>
          <w:i/>
          <w:iCs/>
        </w:rPr>
        <w:t>, which may be 70% depending on</w:t>
      </w:r>
      <w:r w:rsidR="00A029E3">
        <w:rPr>
          <w:i/>
          <w:iCs/>
        </w:rPr>
        <w:t xml:space="preserve"> indication</w:t>
      </w:r>
      <w:r w:rsidR="00D64E44">
        <w:rPr>
          <w:i/>
          <w:iCs/>
        </w:rPr>
        <w:t xml:space="preserve"> </w:t>
      </w:r>
      <w:r w:rsidR="00CD6CAB">
        <w:rPr>
          <w:i/>
          <w:iCs/>
        </w:rPr>
        <w:t>(</w:t>
      </w:r>
      <w:r w:rsidR="00D64E44">
        <w:rPr>
          <w:i/>
          <w:iCs/>
        </w:rPr>
        <w:t xml:space="preserve">and not consistent with the </w:t>
      </w:r>
      <w:r w:rsidR="00584885">
        <w:rPr>
          <w:i/>
          <w:iCs/>
        </w:rPr>
        <w:t>clinical evidence presented</w:t>
      </w:r>
      <w:r w:rsidR="00CD6CAB">
        <w:rPr>
          <w:i/>
          <w:iCs/>
        </w:rPr>
        <w:t xml:space="preserve"> in Section </w:t>
      </w:r>
      <w:r w:rsidR="00AE1DA5">
        <w:rPr>
          <w:i/>
          <w:iCs/>
        </w:rPr>
        <w:t>10</w:t>
      </w:r>
      <w:r w:rsidR="00CD6CAB">
        <w:rPr>
          <w:i/>
          <w:iCs/>
        </w:rPr>
        <w:t>)</w:t>
      </w:r>
      <w:r w:rsidR="00584885">
        <w:rPr>
          <w:i/>
          <w:iCs/>
        </w:rPr>
        <w:t>.</w:t>
      </w:r>
      <w:bookmarkEnd w:id="13"/>
    </w:p>
    <w:p w14:paraId="39392CFD" w14:textId="5338FFD1" w:rsidR="003328A9" w:rsidRDefault="00310C3F" w:rsidP="00310C3F">
      <w:pPr>
        <w:pStyle w:val="Caption"/>
        <w:rPr>
          <w:rFonts w:cs="Arial"/>
        </w:rPr>
      </w:pPr>
      <w:bookmarkStart w:id="14" w:name="_Ref69481033"/>
      <w:r>
        <w:lastRenderedPageBreak/>
        <w:t>Table</w:t>
      </w:r>
      <w:r w:rsidR="004A4FDF">
        <w:t> </w:t>
      </w:r>
      <w:fldSimple w:instr=" SEQ Table \* ARABIC ">
        <w:r w:rsidR="00F03488">
          <w:rPr>
            <w:noProof/>
          </w:rPr>
          <w:t>3</w:t>
        </w:r>
      </w:fldSimple>
      <w:bookmarkEnd w:id="14"/>
      <w:r w:rsidR="003328A9" w:rsidRPr="00CE28E3">
        <w:rPr>
          <w:rFonts w:cs="Arial"/>
        </w:rPr>
        <w:tab/>
      </w:r>
      <w:r w:rsidR="00AA5317">
        <w:rPr>
          <w:rFonts w:cs="Arial"/>
        </w:rPr>
        <w:t>N</w:t>
      </w:r>
      <w:r w:rsidR="00B26622" w:rsidRPr="00CE28E3">
        <w:rPr>
          <w:rFonts w:cs="Arial"/>
        </w:rPr>
        <w:t>ew proposed MBS item</w:t>
      </w:r>
      <w:r w:rsidR="00AA5317">
        <w:rPr>
          <w:rFonts w:cs="Arial"/>
        </w:rPr>
        <w:t xml:space="preserve"> for IVUS-guided PCI with stent insertion – Patients with a coronary lesion eligible for DES insertion (all</w:t>
      </w:r>
      <w:r w:rsidR="000066A0">
        <w:rPr>
          <w:rFonts w:cs="Arial"/>
        </w:rPr>
        <w:t>-</w:t>
      </w:r>
      <w:r w:rsidR="00AA5317">
        <w:rPr>
          <w:rFonts w:cs="Arial"/>
        </w:rPr>
        <w:t>comers)</w:t>
      </w:r>
      <w:r w:rsidR="00333DFE">
        <w:rPr>
          <w:rFonts w:cs="Arial"/>
        </w:rPr>
        <w:t xml:space="preserve">. </w:t>
      </w:r>
      <w:r w:rsidR="00AC2FFF" w:rsidRPr="00DC09C4">
        <w:rPr>
          <w:rFonts w:cs="Arial"/>
          <w:i/>
          <w:iCs/>
        </w:rPr>
        <w:t>ESC</w:t>
      </w:r>
      <w:r w:rsidR="00333DFE" w:rsidRPr="00DC4A96">
        <w:rPr>
          <w:rFonts w:cs="Arial"/>
          <w:i/>
          <w:iCs/>
        </w:rPr>
        <w:t xml:space="preserve"> amendments in </w:t>
      </w:r>
      <w:r w:rsidR="00333DFE" w:rsidRPr="00A30E1F">
        <w:rPr>
          <w:rFonts w:cs="Arial"/>
          <w:i/>
          <w:iCs/>
        </w:rPr>
        <w:t>mark-up</w:t>
      </w:r>
      <w:r w:rsidR="00333DFE" w:rsidRPr="00DC4A96">
        <w:rPr>
          <w:rFonts w:cs="Arial"/>
          <w:i/>
          <w:iCs/>
        </w:rPr>
        <w:t>.</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MBS item descriptor"/>
        <w:tblDescription w:val="New proposed MBS item for IVUS-guided PCI with stent insertion – Patients with a coronary lesion eligible for DES insertion (all-comers). ESC amendments in mark-up"/>
      </w:tblPr>
      <w:tblGrid>
        <w:gridCol w:w="9016"/>
      </w:tblGrid>
      <w:tr w:rsidR="00AA5317" w:rsidRPr="002C1697" w:rsidDel="00A134DA" w14:paraId="57674C7B" w14:textId="77777777" w:rsidTr="0036113E">
        <w:trPr>
          <w:cnfStyle w:val="100000000000" w:firstRow="1" w:lastRow="0" w:firstColumn="0" w:lastColumn="0" w:oddVBand="0" w:evenVBand="0" w:oddHBand="0" w:evenHBand="0" w:firstRowFirstColumn="0" w:firstRowLastColumn="0" w:lastRowFirstColumn="0" w:lastRowLastColumn="0"/>
        </w:trPr>
        <w:tc>
          <w:tcPr>
            <w:tcW w:w="5000" w:type="pct"/>
          </w:tcPr>
          <w:p w14:paraId="223B48DF" w14:textId="10E0FF2B" w:rsidR="00AA5317" w:rsidRPr="002C1697" w:rsidDel="00A134DA" w:rsidRDefault="00AA5317" w:rsidP="00C675B9">
            <w:pPr>
              <w:pStyle w:val="Tabletext0"/>
              <w:keepNext/>
              <w:jc w:val="right"/>
            </w:pPr>
            <w:r w:rsidRPr="002C1697">
              <w:t xml:space="preserve">Category 3 – Therapeutic </w:t>
            </w:r>
            <w:r w:rsidR="00C675B9">
              <w:t>P</w:t>
            </w:r>
            <w:r w:rsidRPr="002C1697">
              <w:t>rocedures</w:t>
            </w:r>
          </w:p>
        </w:tc>
      </w:tr>
      <w:tr w:rsidR="00AA5317" w:rsidRPr="002C1697" w:rsidDel="00A134DA" w14:paraId="04B5249E" w14:textId="77777777" w:rsidTr="0036113E">
        <w:tc>
          <w:tcPr>
            <w:tcW w:w="5000" w:type="pct"/>
          </w:tcPr>
          <w:p w14:paraId="30EDF0BD" w14:textId="77777777" w:rsidR="00AA5317" w:rsidRPr="002C1697" w:rsidRDefault="00AA5317" w:rsidP="0009246B">
            <w:pPr>
              <w:pStyle w:val="Tabletext0"/>
              <w:keepNext/>
            </w:pPr>
            <w:r w:rsidRPr="002C1697">
              <w:t>MBS XXXXX</w:t>
            </w:r>
          </w:p>
          <w:p w14:paraId="37235444" w14:textId="73311F5A" w:rsidR="00AA5317" w:rsidRPr="002C1697" w:rsidRDefault="00AA5317" w:rsidP="00054C03">
            <w:pPr>
              <w:pStyle w:val="Tabletext0"/>
              <w:keepNext/>
              <w:spacing w:before="240"/>
            </w:pPr>
            <w:r w:rsidRPr="002C1697">
              <w:t xml:space="preserve">The use of intravascular ultrasound (IVUS) during </w:t>
            </w:r>
            <w:r w:rsidR="00E94925" w:rsidRPr="00411872">
              <w:t>invasive coronary angiogram</w:t>
            </w:r>
            <w:r w:rsidR="00E94925" w:rsidRPr="006E72B3">
              <w:rPr>
                <w:strike/>
              </w:rPr>
              <w:t xml:space="preserve"> </w:t>
            </w:r>
            <w:r w:rsidRPr="002C1697">
              <w:t>percutaneous angioplasty or transluminal insertion of stents, to optimise procedural strategy, appropriate stent size and assessment of stent apposition in coronary vessels with significant stenoses</w:t>
            </w:r>
            <w:r w:rsidR="00333DFE">
              <w:t>.</w:t>
            </w:r>
            <w:r w:rsidRPr="002C1697">
              <w:t xml:space="preserve"> </w:t>
            </w:r>
            <w:r w:rsidR="00DC09C4" w:rsidRPr="004B2A82">
              <w:rPr>
                <w:strike/>
              </w:rPr>
              <w:t>(≥50% stenosis as defined by the diagnostic angiography).</w:t>
            </w:r>
            <w:r w:rsidR="00DC09C4" w:rsidRPr="004B2A82" w:rsidDel="00DC09C4">
              <w:rPr>
                <w:strike/>
              </w:rPr>
              <w:t xml:space="preserve"> </w:t>
            </w:r>
          </w:p>
          <w:p w14:paraId="65A6EB3E" w14:textId="77777777" w:rsidR="00AA5317" w:rsidRPr="002C1697" w:rsidRDefault="00AA5317" w:rsidP="00054C03">
            <w:pPr>
              <w:pStyle w:val="Tabletext0"/>
              <w:keepNext/>
              <w:spacing w:before="240"/>
            </w:pPr>
            <w:r w:rsidRPr="002C1697">
              <w:t>Being a service associated with items 38307, 38308, 38310, 38311, 38313, 38314, 38316, 38317, 38319, 38320, 38322, 38323.</w:t>
            </w:r>
          </w:p>
          <w:p w14:paraId="4F9B86CF" w14:textId="1C0116AF" w:rsidR="00AA5317" w:rsidRPr="00DC09C4" w:rsidRDefault="0068694D" w:rsidP="0009246B">
            <w:pPr>
              <w:pStyle w:val="Tabletext0"/>
              <w:keepNext/>
              <w:rPr>
                <w:b/>
                <w:bCs/>
                <w:i/>
                <w:iCs/>
              </w:rPr>
            </w:pPr>
            <w:r w:rsidRPr="00DC09C4">
              <w:rPr>
                <w:b/>
                <w:bCs/>
                <w:i/>
                <w:iCs/>
              </w:rPr>
              <w:t xml:space="preserve">service is claimable once in a single episode of care (for one or more lesions). </w:t>
            </w:r>
          </w:p>
          <w:p w14:paraId="1C8F9283" w14:textId="73513C0A" w:rsidR="00AA5317" w:rsidRPr="0068694D" w:rsidRDefault="00AA5317" w:rsidP="0009246B">
            <w:pPr>
              <w:pStyle w:val="Tabletext0"/>
              <w:keepNext/>
              <w:rPr>
                <w:i/>
                <w:iCs/>
                <w:strike/>
              </w:rPr>
            </w:pPr>
            <w:r w:rsidRPr="0068694D">
              <w:rPr>
                <w:strike/>
              </w:rPr>
              <w:t>Multiple Services Rule</w:t>
            </w:r>
            <w:r w:rsidR="00333DFE">
              <w:rPr>
                <w:strike/>
              </w:rPr>
              <w:t xml:space="preserve"> </w:t>
            </w:r>
            <w:r w:rsidR="00333DFE" w:rsidRPr="00DC09C4">
              <w:rPr>
                <w:b/>
                <w:bCs/>
                <w:i/>
                <w:iCs/>
              </w:rPr>
              <w:t>Multiple operations rule</w:t>
            </w:r>
          </w:p>
          <w:p w14:paraId="4AF460DD" w14:textId="77777777" w:rsidR="00AA5317" w:rsidRPr="002C1697" w:rsidRDefault="00AA5317" w:rsidP="0009246B">
            <w:pPr>
              <w:pStyle w:val="Tabletext0"/>
              <w:keepNext/>
            </w:pPr>
            <w:r w:rsidRPr="002C1697">
              <w:t>(Anaes.)</w:t>
            </w:r>
          </w:p>
          <w:p w14:paraId="1C34DDBF" w14:textId="77777777" w:rsidR="00AA5317" w:rsidRPr="002C1697" w:rsidRDefault="00AA5317" w:rsidP="0009246B">
            <w:pPr>
              <w:pStyle w:val="Tabletext0"/>
              <w:keepNext/>
            </w:pPr>
            <w:r w:rsidRPr="002C1697">
              <w:t>Fee: $488.70 Benefit: 75% = $366.550 85% = $415.40</w:t>
            </w:r>
          </w:p>
          <w:p w14:paraId="2D62E3CD" w14:textId="77777777" w:rsidR="00AA5317" w:rsidRPr="002C1697" w:rsidRDefault="00AA5317" w:rsidP="00054C03">
            <w:pPr>
              <w:pStyle w:val="Tabletext0"/>
              <w:keepNext/>
              <w:spacing w:before="240" w:after="240"/>
            </w:pPr>
            <w:r w:rsidRPr="002C1697">
              <w:t>[Relevant explanatory notes]</w:t>
            </w:r>
          </w:p>
          <w:p w14:paraId="6F8CB97F" w14:textId="77777777" w:rsidR="00AA5317" w:rsidRPr="002C1697" w:rsidDel="00A134DA" w:rsidRDefault="00AA5317" w:rsidP="0009246B">
            <w:pPr>
              <w:pStyle w:val="Tabletext0"/>
              <w:keepNext/>
            </w:pPr>
            <w:r w:rsidRPr="002C1697">
              <w:t>Fee only payable when the service is provided in association with insertion of coronary stent/s (items 38307, 38308, 38310, 38311, 38313, 38314, 38316, 38317, 38319, 38320, 38322, 38323).</w:t>
            </w:r>
          </w:p>
        </w:tc>
      </w:tr>
    </w:tbl>
    <w:p w14:paraId="6EDE6175" w14:textId="0065B291" w:rsidR="00044BB7" w:rsidRDefault="00DB552C" w:rsidP="00D86BA7">
      <w:pPr>
        <w:pStyle w:val="TableFigureFooter"/>
        <w:spacing w:before="60"/>
      </w:pPr>
      <w:r>
        <w:t>DES = drug-eluting stent; IVUS = intravascular ultrasound; MBS = Medica</w:t>
      </w:r>
      <w:r w:rsidR="0031634D">
        <w:t>re</w:t>
      </w:r>
      <w:r>
        <w:t xml:space="preserve"> Benefits Schedule; PCI = percutaneous coronary intervention.</w:t>
      </w:r>
    </w:p>
    <w:p w14:paraId="43ABEB48" w14:textId="5A4F203E" w:rsidR="00944295" w:rsidRDefault="0036113E" w:rsidP="00944295">
      <w:r>
        <w:t>The proposed descriptor for the narrower population with complex anatomical characteristics (</w:t>
      </w:r>
      <w:r w:rsidR="00C50610">
        <w:t xml:space="preserve">shown in </w:t>
      </w:r>
      <w:r w:rsidR="002105B2">
        <w:fldChar w:fldCharType="begin"/>
      </w:r>
      <w:r w:rsidR="002105B2">
        <w:instrText xml:space="preserve"> REF _Ref89017023 \h </w:instrText>
      </w:r>
      <w:r w:rsidR="002105B2">
        <w:fldChar w:fldCharType="separate"/>
      </w:r>
      <w:r w:rsidR="00F03488">
        <w:t>Table </w:t>
      </w:r>
      <w:r w:rsidR="00F03488">
        <w:rPr>
          <w:noProof/>
        </w:rPr>
        <w:t>4</w:t>
      </w:r>
      <w:r w:rsidR="002105B2">
        <w:fldChar w:fldCharType="end"/>
      </w:r>
      <w:r>
        <w:t>) does not limit use of IVUS to coronary vessels with significant stenosis</w:t>
      </w:r>
      <w:r w:rsidR="004462C2">
        <w:t xml:space="preserve">. No justification </w:t>
      </w:r>
      <w:r w:rsidR="00944295">
        <w:t>i</w:t>
      </w:r>
      <w:r w:rsidR="004462C2">
        <w:t>s provided in the ADAR for this omission</w:t>
      </w:r>
      <w:r>
        <w:t>. Explanatory Note TR.8.2, includes stenoses thresholds for patients with significant left main coronary artery disease</w:t>
      </w:r>
      <w:r w:rsidR="00944295">
        <w:t xml:space="preserve"> but</w:t>
      </w:r>
      <w:r>
        <w:t xml:space="preserve"> </w:t>
      </w:r>
      <w:r w:rsidR="00944295">
        <w:t>t</w:t>
      </w:r>
      <w:r>
        <w:t xml:space="preserve">he MBS explanatory notes do not </w:t>
      </w:r>
      <w:r w:rsidR="001F42E9">
        <w:t>refer to lesion length</w:t>
      </w:r>
      <w:r>
        <w:t xml:space="preserve">. </w:t>
      </w:r>
      <w:bookmarkStart w:id="15" w:name="_Hlk90965567"/>
      <w:r w:rsidR="00944295">
        <w:t xml:space="preserve">Any patient eligible for the proposed service under the proposed descriptor for lesion length would </w:t>
      </w:r>
      <w:r w:rsidR="00B262EF">
        <w:t xml:space="preserve">firstly </w:t>
      </w:r>
      <w:r w:rsidR="00944295">
        <w:t>need be indicated for PCI according to the criteria in the explanatory notes.</w:t>
      </w:r>
      <w:bookmarkEnd w:id="15"/>
    </w:p>
    <w:p w14:paraId="7756331C" w14:textId="54C098D1" w:rsidR="00B262EF" w:rsidRDefault="00B262EF" w:rsidP="00944295">
      <w:bookmarkStart w:id="16" w:name="_Hlk90965639"/>
      <w:r w:rsidRPr="00B262EF">
        <w:t xml:space="preserve">As </w:t>
      </w:r>
      <w:r>
        <w:t xml:space="preserve">noted above </w:t>
      </w:r>
      <w:r w:rsidRPr="00B262EF">
        <w:t xml:space="preserve">for the </w:t>
      </w:r>
      <w:r>
        <w:t xml:space="preserve">proposed </w:t>
      </w:r>
      <w:r w:rsidRPr="00B262EF">
        <w:t>all-comers descriptor,</w:t>
      </w:r>
      <w:r>
        <w:rPr>
          <w:i/>
          <w:iCs/>
        </w:rPr>
        <w:t xml:space="preserve"> </w:t>
      </w:r>
      <w:r>
        <w:t xml:space="preserve">the proposed descriptor for the high-risk population refers to ‘invasive coronary angiogram’, which may unintentionally preclude use of IVUS </w:t>
      </w:r>
      <w:r w:rsidRPr="00041DAE">
        <w:t>with standalone PCI where selective angiography has been performed in the previous 3 months</w:t>
      </w:r>
      <w:r>
        <w:t>.</w:t>
      </w:r>
    </w:p>
    <w:p w14:paraId="445F6143" w14:textId="494CB57E" w:rsidR="00B262EF" w:rsidRDefault="00B262EF" w:rsidP="00944295">
      <w:r>
        <w:t xml:space="preserve">The descriptor does not </w:t>
      </w:r>
      <w:r w:rsidR="00F82DDF">
        <w:t xml:space="preserve">refer to involvement of the </w:t>
      </w:r>
      <w:r>
        <w:t>bifurcation</w:t>
      </w:r>
      <w:r w:rsidR="00F82DDF">
        <w:t xml:space="preserve"> and this was not a requirement (or exclusion criteria) for study participation in the trials that evaluated IVUS for left main lesions.</w:t>
      </w:r>
    </w:p>
    <w:p w14:paraId="46BC8607" w14:textId="4469E1D2" w:rsidR="00FC694A" w:rsidRPr="00051B4B" w:rsidRDefault="00FC694A" w:rsidP="00944295">
      <w:r>
        <w:t xml:space="preserve">The descriptor mentions ‘and/or where suitability of PCI has appropriately been determined by a Heart </w:t>
      </w:r>
      <w:r w:rsidRPr="00051B4B">
        <w:t xml:space="preserve">Team’. </w:t>
      </w:r>
      <w:r w:rsidRPr="0079679E">
        <w:t>Heart Team decisions only apply to stable interventions</w:t>
      </w:r>
      <w:r w:rsidR="000E1660" w:rsidRPr="0079679E">
        <w:t>, whereas PCI may be used for left main lesions in stable or acute procedures. The use of ‘or’ in the sentence opens this descriptor up to all stable indications for PCI, which is presumably not the intention.</w:t>
      </w:r>
      <w:r w:rsidR="000E1660" w:rsidRPr="00051B4B">
        <w:t xml:space="preserve"> </w:t>
      </w:r>
    </w:p>
    <w:p w14:paraId="1B094D3E" w14:textId="048EABEA" w:rsidR="00AA5317" w:rsidRDefault="00AA5317" w:rsidP="00AA5317">
      <w:pPr>
        <w:pStyle w:val="Caption"/>
        <w:rPr>
          <w:rFonts w:cs="Arial"/>
        </w:rPr>
      </w:pPr>
      <w:bookmarkStart w:id="17" w:name="_Ref89017023"/>
      <w:bookmarkEnd w:id="16"/>
      <w:r>
        <w:lastRenderedPageBreak/>
        <w:t>Table </w:t>
      </w:r>
      <w:fldSimple w:instr=" SEQ Table \* ARABIC ">
        <w:r w:rsidR="00F03488">
          <w:rPr>
            <w:noProof/>
          </w:rPr>
          <w:t>4</w:t>
        </w:r>
      </w:fldSimple>
      <w:bookmarkEnd w:id="17"/>
      <w:r w:rsidRPr="00CE28E3">
        <w:rPr>
          <w:rFonts w:cs="Arial"/>
        </w:rPr>
        <w:tab/>
      </w:r>
      <w:r>
        <w:rPr>
          <w:rFonts w:cs="Arial"/>
        </w:rPr>
        <w:t>N</w:t>
      </w:r>
      <w:r w:rsidRPr="00CE28E3">
        <w:rPr>
          <w:rFonts w:cs="Arial"/>
        </w:rPr>
        <w:t>ew proposed MBS item</w:t>
      </w:r>
      <w:r>
        <w:rPr>
          <w:rFonts w:cs="Arial"/>
        </w:rPr>
        <w:t xml:space="preserve"> for IVUS-guided PCI with stent insertion – Patients with a coronary lesion eligible for DES insertion and complex anatomical characteristics</w:t>
      </w:r>
      <w:r w:rsidR="00DC4A96">
        <w:rPr>
          <w:rFonts w:cs="Arial"/>
        </w:rPr>
        <w:t xml:space="preserve">. </w:t>
      </w:r>
      <w:r w:rsidR="00AC2FFF" w:rsidRPr="00596064">
        <w:rPr>
          <w:rFonts w:cs="Arial"/>
          <w:i/>
          <w:iCs/>
        </w:rPr>
        <w:t>ESC</w:t>
      </w:r>
      <w:r w:rsidR="00AC2FFF">
        <w:rPr>
          <w:rFonts w:cs="Arial"/>
          <w:i/>
          <w:iCs/>
        </w:rPr>
        <w:t xml:space="preserve"> </w:t>
      </w:r>
      <w:r w:rsidR="00DC4A96" w:rsidRPr="00DC4A96">
        <w:rPr>
          <w:rFonts w:cs="Arial"/>
          <w:i/>
          <w:iCs/>
        </w:rPr>
        <w:t>amendments in mark-up.</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MBS item descriptor"/>
        <w:tblDescription w:val="New proposed MBS item for IVUS-guided PCI with stent insertion – Patients with a coronary lesion eligible for DES insertion and complex anatomical characteristics. ESC amendments in mark-up"/>
      </w:tblPr>
      <w:tblGrid>
        <w:gridCol w:w="9016"/>
      </w:tblGrid>
      <w:tr w:rsidR="00AA5317" w:rsidRPr="002C1697" w:rsidDel="00A134DA" w14:paraId="2A5EC2E0" w14:textId="77777777" w:rsidTr="0036113E">
        <w:trPr>
          <w:cnfStyle w:val="100000000000" w:firstRow="1" w:lastRow="0" w:firstColumn="0" w:lastColumn="0" w:oddVBand="0" w:evenVBand="0" w:oddHBand="0" w:evenHBand="0" w:firstRowFirstColumn="0" w:firstRowLastColumn="0" w:lastRowFirstColumn="0" w:lastRowLastColumn="0"/>
        </w:trPr>
        <w:tc>
          <w:tcPr>
            <w:tcW w:w="5000" w:type="pct"/>
          </w:tcPr>
          <w:p w14:paraId="45C825CB" w14:textId="67684D80" w:rsidR="00AA5317" w:rsidRPr="002C1697" w:rsidDel="00A134DA" w:rsidRDefault="00AA5317" w:rsidP="00C675B9">
            <w:pPr>
              <w:pStyle w:val="Tabletext0"/>
              <w:keepNext/>
              <w:jc w:val="right"/>
            </w:pPr>
            <w:r w:rsidRPr="002C1697">
              <w:t xml:space="preserve">Category 3 – Therapeutic </w:t>
            </w:r>
            <w:r w:rsidR="00C675B9">
              <w:t>P</w:t>
            </w:r>
            <w:r w:rsidRPr="002C1697">
              <w:t>rocedures</w:t>
            </w:r>
          </w:p>
        </w:tc>
      </w:tr>
      <w:tr w:rsidR="00AA5317" w:rsidRPr="002C1697" w:rsidDel="00A134DA" w14:paraId="10D52790" w14:textId="77777777" w:rsidTr="0036113E">
        <w:tc>
          <w:tcPr>
            <w:tcW w:w="5000" w:type="pct"/>
          </w:tcPr>
          <w:p w14:paraId="1066D4F5" w14:textId="77777777" w:rsidR="00AA5317" w:rsidRPr="002C1697" w:rsidRDefault="00AA5317" w:rsidP="0009246B">
            <w:pPr>
              <w:pStyle w:val="Tabletext0"/>
              <w:keepNext/>
            </w:pPr>
            <w:r w:rsidRPr="002C1697">
              <w:t>MBS XXXXX</w:t>
            </w:r>
          </w:p>
          <w:p w14:paraId="4B315DC8" w14:textId="5F609C6E" w:rsidR="00AA5317" w:rsidRPr="002C1697" w:rsidRDefault="00AA5317" w:rsidP="00054C03">
            <w:pPr>
              <w:pStyle w:val="Tabletext0"/>
              <w:keepNext/>
              <w:spacing w:before="240"/>
            </w:pPr>
            <w:r w:rsidRPr="002C1697">
              <w:t xml:space="preserve">Use of Intravascular Ultrasound (IVUS) during </w:t>
            </w:r>
            <w:r w:rsidR="00DC09C4" w:rsidRPr="00411872">
              <w:t>invasive coronary angiogram</w:t>
            </w:r>
            <w:r w:rsidR="00DC09C4" w:rsidRPr="006E72B3">
              <w:rPr>
                <w:strike/>
              </w:rPr>
              <w:t xml:space="preserve"> </w:t>
            </w:r>
            <w:r w:rsidRPr="002C1697">
              <w:t>percutaneous angioplasty or transluminal insertion of stents, to optimise procedural strategy, appropriate stent size and assessment of stent apposition for patients documented with:</w:t>
            </w:r>
          </w:p>
          <w:p w14:paraId="3FE7B1AD" w14:textId="77777777" w:rsidR="00AA5317" w:rsidRPr="002C1697" w:rsidRDefault="00AA5317" w:rsidP="0009246B">
            <w:pPr>
              <w:pStyle w:val="Tabletext0"/>
              <w:keepNext/>
              <w:ind w:left="600" w:hanging="600"/>
            </w:pPr>
            <w:r w:rsidRPr="002C1697">
              <w:t>a)</w:t>
            </w:r>
            <w:r w:rsidRPr="002C1697">
              <w:tab/>
              <w:t xml:space="preserve">Left main coronary artery lesions, </w:t>
            </w:r>
            <w:r w:rsidRPr="00DC09C4">
              <w:rPr>
                <w:strike/>
              </w:rPr>
              <w:t>and/or where suitability of percutaneous coronary intervention has appropriately been determined by a Heart Team;</w:t>
            </w:r>
            <w:r w:rsidRPr="00DC09C4">
              <w:t xml:space="preserve"> </w:t>
            </w:r>
            <w:r w:rsidRPr="002C1697">
              <w:t>or</w:t>
            </w:r>
          </w:p>
          <w:p w14:paraId="36980287" w14:textId="77777777" w:rsidR="00AA5317" w:rsidRPr="002C1697" w:rsidRDefault="00AA5317" w:rsidP="0009246B">
            <w:pPr>
              <w:pStyle w:val="Tabletext0"/>
              <w:keepNext/>
            </w:pPr>
            <w:r w:rsidRPr="002C1697">
              <w:t>b)</w:t>
            </w:r>
            <w:r w:rsidRPr="002C1697">
              <w:tab/>
              <w:t>Other lesion locations with lesion length ≥28mm.</w:t>
            </w:r>
          </w:p>
          <w:p w14:paraId="00A5D63B" w14:textId="77777777" w:rsidR="00AA5317" w:rsidRPr="002C1697" w:rsidRDefault="00AA5317" w:rsidP="0009246B">
            <w:pPr>
              <w:pStyle w:val="Tabletext0"/>
              <w:keepNext/>
            </w:pPr>
            <w:r w:rsidRPr="002C1697">
              <w:t xml:space="preserve">Being a service associated with items 38307, 38308, 38310, 38311, 38313, 38314, 38316, 38317, 38319, 38320, 38322, 38323). </w:t>
            </w:r>
          </w:p>
          <w:p w14:paraId="75183919" w14:textId="01FE74D1" w:rsidR="00AA5317" w:rsidRPr="00F050D2" w:rsidRDefault="0027573C" w:rsidP="0009246B">
            <w:pPr>
              <w:pStyle w:val="Tabletext0"/>
              <w:keepNext/>
              <w:rPr>
                <w:b/>
                <w:bCs/>
                <w:i/>
                <w:iCs/>
              </w:rPr>
            </w:pPr>
            <w:r w:rsidRPr="00F050D2">
              <w:rPr>
                <w:b/>
                <w:bCs/>
                <w:i/>
                <w:iCs/>
              </w:rPr>
              <w:t xml:space="preserve">Service is claimable once in a single episode of care (for one or more lesions). </w:t>
            </w:r>
          </w:p>
          <w:p w14:paraId="3D535F9B" w14:textId="0D832FC1" w:rsidR="00AA5317" w:rsidRPr="00DC09C4" w:rsidRDefault="00AA5317" w:rsidP="0009246B">
            <w:pPr>
              <w:pStyle w:val="Tabletext0"/>
              <w:keepNext/>
              <w:rPr>
                <w:strike/>
              </w:rPr>
            </w:pPr>
            <w:r w:rsidRPr="00DC09C4">
              <w:rPr>
                <w:strike/>
              </w:rPr>
              <w:t>Multiple Services Rule</w:t>
            </w:r>
            <w:r w:rsidR="0027573C">
              <w:rPr>
                <w:strike/>
              </w:rPr>
              <w:t xml:space="preserve"> </w:t>
            </w:r>
            <w:r w:rsidR="0027573C" w:rsidRPr="00DC09C4">
              <w:rPr>
                <w:b/>
                <w:bCs/>
                <w:i/>
                <w:iCs/>
              </w:rPr>
              <w:t>Multiple Operation Rule</w:t>
            </w:r>
          </w:p>
          <w:p w14:paraId="42879580" w14:textId="77777777" w:rsidR="00AA5317" w:rsidRPr="002C1697" w:rsidRDefault="00AA5317" w:rsidP="0009246B">
            <w:pPr>
              <w:pStyle w:val="Tabletext0"/>
              <w:keepNext/>
            </w:pPr>
            <w:r w:rsidRPr="002C1697">
              <w:t>(Anaes.)</w:t>
            </w:r>
          </w:p>
          <w:p w14:paraId="667F2152" w14:textId="77777777" w:rsidR="00AA5317" w:rsidRPr="002C1697" w:rsidRDefault="00AA5317" w:rsidP="0009246B">
            <w:pPr>
              <w:pStyle w:val="Tabletext0"/>
            </w:pPr>
            <w:r w:rsidRPr="002C1697">
              <w:t>Fee: $488.70 Benefit: 75% = $366.550 85% = $415.40</w:t>
            </w:r>
          </w:p>
          <w:p w14:paraId="24ABFAE2" w14:textId="77777777" w:rsidR="00AA5317" w:rsidRPr="002C1697" w:rsidRDefault="00AA5317" w:rsidP="00054C03">
            <w:pPr>
              <w:pStyle w:val="Tabletext0"/>
              <w:keepNext/>
              <w:spacing w:before="240" w:after="240"/>
            </w:pPr>
            <w:r w:rsidRPr="002C1697">
              <w:t>[Relevant explanatory notes]</w:t>
            </w:r>
          </w:p>
          <w:p w14:paraId="30ED0B3E" w14:textId="77777777" w:rsidR="00AA5317" w:rsidRPr="002C1697" w:rsidDel="00A134DA" w:rsidRDefault="00AA5317" w:rsidP="0009246B">
            <w:pPr>
              <w:pStyle w:val="Tabletext0"/>
              <w:keepNext/>
            </w:pPr>
            <w:r w:rsidRPr="002C1697">
              <w:t>Fee only payable when the service is provided in association with insertion of coronary stent/s (items 38307, 38308, 38310, 38311, 38313, 38314, 38316, 38317, 38319, 38320, 38322, 38323).</w:t>
            </w:r>
          </w:p>
        </w:tc>
      </w:tr>
    </w:tbl>
    <w:p w14:paraId="200662DD" w14:textId="4107C812" w:rsidR="00D86BA7" w:rsidRDefault="00D86BA7" w:rsidP="00D86BA7">
      <w:pPr>
        <w:pStyle w:val="TableFigureFooter"/>
        <w:spacing w:before="60"/>
      </w:pPr>
      <w:r>
        <w:t>DES = drug-eluting stent; IVUS = intravascular ultrasound; MBS = Medica</w:t>
      </w:r>
      <w:r w:rsidR="0031634D">
        <w:t xml:space="preserve">re </w:t>
      </w:r>
      <w:r>
        <w:t>Benefits Schedule; PCI = percutaneous coronary intervention.</w:t>
      </w:r>
    </w:p>
    <w:p w14:paraId="2FE38A76" w14:textId="7ABD1372" w:rsidR="00AA5317" w:rsidRDefault="00C50610" w:rsidP="00044BB7">
      <w:pPr>
        <w:rPr>
          <w:i/>
          <w:iCs/>
        </w:rPr>
      </w:pPr>
      <w:bookmarkStart w:id="18" w:name="_Hlk89020458"/>
      <w:r w:rsidRPr="00C50610">
        <w:t xml:space="preserve">The </w:t>
      </w:r>
      <w:r>
        <w:t xml:space="preserve">descriptors nominate </w:t>
      </w:r>
      <w:r w:rsidRPr="00C50610">
        <w:t xml:space="preserve">Category 3 – Therapeutic </w:t>
      </w:r>
      <w:r w:rsidR="00C675B9">
        <w:t>P</w:t>
      </w:r>
      <w:r w:rsidRPr="00C50610">
        <w:t>rocedures</w:t>
      </w:r>
      <w:r>
        <w:t xml:space="preserve"> – as the app</w:t>
      </w:r>
      <w:r w:rsidR="00830FC4">
        <w:t xml:space="preserve">ropriate category for an MBS item for IVUS. </w:t>
      </w:r>
      <w:bookmarkStart w:id="19" w:name="_Hlk90965788"/>
      <w:r w:rsidR="00B347EC" w:rsidRPr="0079679E">
        <w:t>A</w:t>
      </w:r>
      <w:r w:rsidR="000158EE" w:rsidRPr="0079679E">
        <w:t xml:space="preserve">s the standalone item is not </w:t>
      </w:r>
      <w:r w:rsidR="00B347EC" w:rsidRPr="0079679E">
        <w:t>therapeutic</w:t>
      </w:r>
      <w:r w:rsidR="000158EE" w:rsidRPr="0079679E">
        <w:t xml:space="preserve"> per se</w:t>
      </w:r>
      <w:r w:rsidR="00CD6CAB" w:rsidRPr="0079679E">
        <w:t>,</w:t>
      </w:r>
      <w:r w:rsidR="00B347EC" w:rsidRPr="0079679E">
        <w:t xml:space="preserve"> and IVUS is proposed as an adjunct</w:t>
      </w:r>
      <w:r w:rsidR="000158EE" w:rsidRPr="0079679E">
        <w:t xml:space="preserve">, </w:t>
      </w:r>
      <w:r w:rsidR="00B347EC" w:rsidRPr="0079679E">
        <w:t xml:space="preserve">an alternative is to place the proposed item in </w:t>
      </w:r>
      <w:r w:rsidR="000158EE" w:rsidRPr="0079679E">
        <w:t>Category 2 – Diagnostic Procedures and Investigations</w:t>
      </w:r>
      <w:r w:rsidR="003E518D" w:rsidRPr="0079679E">
        <w:t>.</w:t>
      </w:r>
      <w:bookmarkEnd w:id="19"/>
      <w:r w:rsidR="000158EE" w:rsidRPr="0079679E">
        <w:t xml:space="preserve"> </w:t>
      </w:r>
      <w:r w:rsidR="00830FC4" w:rsidRPr="0079679E">
        <w:t>IVUS is not</w:t>
      </w:r>
      <w:r w:rsidR="00B347EC" w:rsidRPr="0079679E">
        <w:t xml:space="preserve"> proposed</w:t>
      </w:r>
      <w:r w:rsidR="00830FC4" w:rsidRPr="0079679E">
        <w:t xml:space="preserve"> for</w:t>
      </w:r>
      <w:r w:rsidRPr="0079679E">
        <w:t xml:space="preserve"> diagnostic purposes</w:t>
      </w:r>
      <w:r w:rsidR="00B347EC" w:rsidRPr="0079679E">
        <w:t xml:space="preserve"> in the current application</w:t>
      </w:r>
      <w:r w:rsidR="00BA46A0" w:rsidRPr="0079679E">
        <w:t>;</w:t>
      </w:r>
      <w:r w:rsidRPr="0079679E">
        <w:t xml:space="preserve"> </w:t>
      </w:r>
      <w:bookmarkEnd w:id="18"/>
      <w:r w:rsidR="00473644" w:rsidRPr="0079679E">
        <w:t>however</w:t>
      </w:r>
      <w:r w:rsidRPr="0079679E">
        <w:t xml:space="preserve">, the Multiple Services Rule </w:t>
      </w:r>
      <w:r w:rsidR="00BA46A0" w:rsidRPr="0079679E">
        <w:t xml:space="preserve">(which applies to diagnostic services) </w:t>
      </w:r>
      <w:r w:rsidRPr="0079679E">
        <w:t xml:space="preserve">is included in the descriptor. </w:t>
      </w:r>
      <w:r w:rsidR="003E518D" w:rsidRPr="0079679E">
        <w:t>T</w:t>
      </w:r>
      <w:r w:rsidRPr="0079679E">
        <w:t xml:space="preserve">he Multiple Operation Rule </w:t>
      </w:r>
      <w:r w:rsidR="00BA46A0" w:rsidRPr="0079679E">
        <w:t>may</w:t>
      </w:r>
      <w:r w:rsidRPr="0079679E">
        <w:t xml:space="preserve"> apply </w:t>
      </w:r>
      <w:r w:rsidR="00BA46A0" w:rsidRPr="0079679E">
        <w:t xml:space="preserve">if </w:t>
      </w:r>
      <w:r w:rsidR="00FD1767" w:rsidRPr="0079679E">
        <w:t xml:space="preserve">the proposed </w:t>
      </w:r>
      <w:r w:rsidR="00BA46A0" w:rsidRPr="0079679E">
        <w:t xml:space="preserve">IVUS </w:t>
      </w:r>
      <w:r w:rsidR="00FD1767" w:rsidRPr="0079679E">
        <w:t xml:space="preserve">item </w:t>
      </w:r>
      <w:r w:rsidR="00BA46A0" w:rsidRPr="0079679E">
        <w:t>remains in Category 3</w:t>
      </w:r>
      <w:r w:rsidRPr="0079679E">
        <w:t xml:space="preserve">. </w:t>
      </w:r>
      <w:r w:rsidR="00591702" w:rsidRPr="0079679E">
        <w:t>The economic and financial analyses in</w:t>
      </w:r>
      <w:r w:rsidRPr="0079679E">
        <w:t xml:space="preserve"> the ADAR do not apply any rules in the calculation of costs </w:t>
      </w:r>
      <w:r w:rsidR="00580CEF" w:rsidRPr="0079679E">
        <w:t>for</w:t>
      </w:r>
      <w:r w:rsidRPr="0079679E">
        <w:t xml:space="preserve"> IVUS</w:t>
      </w:r>
      <w:r w:rsidR="00580CEF" w:rsidRPr="0079679E">
        <w:t xml:space="preserve"> services</w:t>
      </w:r>
      <w:r w:rsidRPr="0079679E">
        <w:t>.</w:t>
      </w:r>
    </w:p>
    <w:p w14:paraId="118DD309" w14:textId="310DE52F" w:rsidR="00674D98" w:rsidRDefault="00674D98" w:rsidP="00674D98">
      <w:pPr>
        <w:pStyle w:val="Heading3"/>
      </w:pPr>
      <w:r>
        <w:t xml:space="preserve">Proposed </w:t>
      </w:r>
      <w:r w:rsidR="00C46D83">
        <w:t>schedule</w:t>
      </w:r>
      <w:r>
        <w:t xml:space="preserve"> fee</w:t>
      </w:r>
    </w:p>
    <w:p w14:paraId="31A35E46" w14:textId="342F3194" w:rsidR="009A39AD" w:rsidRDefault="00591702" w:rsidP="00044BB7">
      <w:r w:rsidRPr="00591702">
        <w:t>The proposed schedule fee is based on MBS item 38241</w:t>
      </w:r>
      <w:r>
        <w:t xml:space="preserve">, which the applicant claims </w:t>
      </w:r>
      <w:r w:rsidRPr="00591702">
        <w:t>most closely resembles IVUS in terms of complexity and time</w:t>
      </w:r>
      <w:r>
        <w:t xml:space="preserve">. MBS item 38241 is for </w:t>
      </w:r>
      <w:r w:rsidRPr="00591702">
        <w:t xml:space="preserve">use of a coronary pressure wire during selective coronary angiography to measure fractional flow reserve </w:t>
      </w:r>
      <w:r w:rsidR="009A39AD">
        <w:t>(</w:t>
      </w:r>
      <w:r w:rsidRPr="00591702">
        <w:t>FFR</w:t>
      </w:r>
      <w:r w:rsidR="009A39AD">
        <w:t>)</w:t>
      </w:r>
      <w:r w:rsidRPr="00591702">
        <w:t xml:space="preserve">, non-hyperaemic pressure ratios or coronary flow reserve </w:t>
      </w:r>
      <w:r w:rsidR="009A39AD">
        <w:t>(</w:t>
      </w:r>
      <w:r w:rsidRPr="00591702">
        <w:t>CFR</w:t>
      </w:r>
      <w:r w:rsidR="009A39AD">
        <w:t>)</w:t>
      </w:r>
      <w:r w:rsidRPr="00591702">
        <w:t xml:space="preserve"> in one or more intermediate coronary artery or graft lesions (stenosis of 50-70%), to determine whether revascularisation should be performed.</w:t>
      </w:r>
    </w:p>
    <w:p w14:paraId="489AF0E1" w14:textId="70BEC8D2" w:rsidR="009A39AD" w:rsidRDefault="009A39AD" w:rsidP="009A39AD">
      <w:r w:rsidRPr="009A39AD">
        <w:t xml:space="preserve">PASC noted that the proposed MBS fee for IVUS was twice as high as that for intraoperative transoesophageal echocardiography (TOE), which was considered </w:t>
      </w:r>
      <w:r w:rsidR="00C407C0">
        <w:t xml:space="preserve">by PASC to be </w:t>
      </w:r>
      <w:r w:rsidRPr="009A39AD">
        <w:t>a comparable modality with an MBS fee of $185.40.</w:t>
      </w:r>
      <w:r>
        <w:t xml:space="preserve"> The applicant claims that TOE is substantially different to IVUS</w:t>
      </w:r>
      <w:r w:rsidR="00C407C0">
        <w:t xml:space="preserve"> </w:t>
      </w:r>
      <w:r>
        <w:t xml:space="preserve">as it requires </w:t>
      </w:r>
      <w:r w:rsidR="00F11C11">
        <w:t xml:space="preserve">the </w:t>
      </w:r>
      <w:r>
        <w:t>presence of additional experts (TOE technician and anaesthetist) and additional drugs. FFR is similar to IVUS in terms of procedural access site, indication (symptomatic coronary artery disease)</w:t>
      </w:r>
      <w:r w:rsidR="00543F89">
        <w:t>,</w:t>
      </w:r>
      <w:r>
        <w:t xml:space="preserve"> with no additional healthcare resources as it is performed by the same interventional cardiologist who may perform the PCI procedure.</w:t>
      </w:r>
    </w:p>
    <w:p w14:paraId="622B2210" w14:textId="77777777" w:rsidR="0079679E" w:rsidRDefault="0079679E" w:rsidP="009A39AD"/>
    <w:p w14:paraId="34E0B08F" w14:textId="2C3CDA39" w:rsidR="00772829" w:rsidRDefault="005F6A3D" w:rsidP="002A18BE">
      <w:pPr>
        <w:pStyle w:val="Heading2"/>
        <w:numPr>
          <w:ilvl w:val="0"/>
          <w:numId w:val="0"/>
        </w:numPr>
      </w:pPr>
      <w:bookmarkStart w:id="20" w:name="_Toc69491419"/>
      <w:r>
        <w:lastRenderedPageBreak/>
        <w:t>7</w:t>
      </w:r>
      <w:r w:rsidR="00C36633">
        <w:t>.</w:t>
      </w:r>
      <w:r w:rsidR="00C36633">
        <w:tab/>
      </w:r>
      <w:r w:rsidR="00772829" w:rsidRPr="00CE28E3">
        <w:t>Population</w:t>
      </w:r>
      <w:bookmarkEnd w:id="20"/>
    </w:p>
    <w:p w14:paraId="0D67DB28" w14:textId="0D5A3CD7" w:rsidR="00D311A6" w:rsidRDefault="00340DE3" w:rsidP="00D311A6">
      <w:r>
        <w:t xml:space="preserve">The </w:t>
      </w:r>
      <w:r w:rsidR="006E792B">
        <w:t xml:space="preserve">patient </w:t>
      </w:r>
      <w:r>
        <w:t>popula</w:t>
      </w:r>
      <w:r w:rsidR="006E792B">
        <w:t>ti</w:t>
      </w:r>
      <w:r>
        <w:t xml:space="preserve">ons </w:t>
      </w:r>
      <w:r w:rsidR="006E792B">
        <w:t xml:space="preserve">specified in the PICO Confirmation </w:t>
      </w:r>
      <w:r w:rsidR="005D56B8">
        <w:t xml:space="preserve">were recommended by an expert KOL </w:t>
      </w:r>
      <w:r w:rsidR="00190D2D">
        <w:t xml:space="preserve">(Key Opinion Leader) </w:t>
      </w:r>
      <w:r w:rsidR="005D56B8">
        <w:t xml:space="preserve">panel convened by the applicant in August 2020 to provide guidance on the resubmission. </w:t>
      </w:r>
      <w:r w:rsidR="00D311A6">
        <w:t xml:space="preserve">Based on </w:t>
      </w:r>
      <w:r w:rsidR="005D56B8">
        <w:t>the</w:t>
      </w:r>
      <w:r w:rsidR="00D311A6">
        <w:t xml:space="preserve"> availability of </w:t>
      </w:r>
      <w:r w:rsidR="006E36D4">
        <w:t xml:space="preserve">new, high level </w:t>
      </w:r>
      <w:r w:rsidR="00D311A6">
        <w:t>clinical evidence, the KOL panel recommended two alternative patient criteria options for IVUS use in combination with DES (noting BMS is no longer used in clinical practice):</w:t>
      </w:r>
    </w:p>
    <w:p w14:paraId="38779581" w14:textId="5EAF35ED" w:rsidR="005D56B8" w:rsidRDefault="00D311A6" w:rsidP="00D83DA2">
      <w:pPr>
        <w:pStyle w:val="ListParagraph"/>
        <w:numPr>
          <w:ilvl w:val="0"/>
          <w:numId w:val="11"/>
        </w:numPr>
      </w:pPr>
      <w:r>
        <w:t>All-comers to PCI with DES.</w:t>
      </w:r>
    </w:p>
    <w:p w14:paraId="28084E8F" w14:textId="77777777" w:rsidR="005D56B8" w:rsidRDefault="00D311A6" w:rsidP="00D83DA2">
      <w:pPr>
        <w:pStyle w:val="ListParagraph"/>
        <w:numPr>
          <w:ilvl w:val="0"/>
          <w:numId w:val="11"/>
        </w:numPr>
      </w:pPr>
      <w:r>
        <w:t>Patients undergoing PCI who have had a coronary lesion eligible for DES implantation with either:</w:t>
      </w:r>
    </w:p>
    <w:p w14:paraId="1E69801E" w14:textId="36E5589C" w:rsidR="005D56B8" w:rsidRDefault="005D56B8" w:rsidP="00D83DA2">
      <w:pPr>
        <w:pStyle w:val="ListParagraph"/>
        <w:numPr>
          <w:ilvl w:val="1"/>
          <w:numId w:val="11"/>
        </w:numPr>
        <w:ind w:left="1134" w:hanging="425"/>
      </w:pPr>
      <w:r>
        <w:t>l</w:t>
      </w:r>
      <w:r w:rsidR="00D311A6">
        <w:t xml:space="preserve">esions associated with the left main coronary artery; and/or where suitability of </w:t>
      </w:r>
      <w:r>
        <w:t>PCI</w:t>
      </w:r>
      <w:r w:rsidR="00D311A6">
        <w:t xml:space="preserve"> has appropriately been determined by a Heart Team approach for significant stenoses (≥</w:t>
      </w:r>
      <w:r w:rsidR="000402CC">
        <w:t xml:space="preserve"> </w:t>
      </w:r>
      <w:r w:rsidR="00D311A6">
        <w:t>50% as defined by the coronary angiogram) of the left main coronary artery, including in cases of unprotected left main lesions (i.e.</w:t>
      </w:r>
      <w:r w:rsidR="006E36D4">
        <w:t>,</w:t>
      </w:r>
      <w:r w:rsidR="00D311A6">
        <w:t xml:space="preserve"> left main lesions); or</w:t>
      </w:r>
    </w:p>
    <w:p w14:paraId="1FEB0098" w14:textId="17853669" w:rsidR="00D311A6" w:rsidRDefault="000402CC" w:rsidP="00D83DA2">
      <w:pPr>
        <w:pStyle w:val="ListParagraph"/>
        <w:numPr>
          <w:ilvl w:val="1"/>
          <w:numId w:val="11"/>
        </w:numPr>
        <w:ind w:left="1134" w:hanging="425"/>
      </w:pPr>
      <w:r>
        <w:t>o</w:t>
      </w:r>
      <w:r w:rsidR="00D311A6">
        <w:t>ther lesion locations where lesion length ≥</w:t>
      </w:r>
      <w:r>
        <w:t xml:space="preserve"> </w:t>
      </w:r>
      <w:r w:rsidR="00D311A6">
        <w:t>28</w:t>
      </w:r>
      <w:r>
        <w:t xml:space="preserve"> </w:t>
      </w:r>
      <w:r w:rsidR="00D311A6">
        <w:t>mm (i.e.</w:t>
      </w:r>
      <w:r w:rsidR="006E36D4">
        <w:t>,</w:t>
      </w:r>
      <w:r w:rsidR="00D311A6">
        <w:t xml:space="preserve"> long lesions).</w:t>
      </w:r>
    </w:p>
    <w:p w14:paraId="18D8B4AF" w14:textId="3B972A81" w:rsidR="00473644" w:rsidRDefault="00473644" w:rsidP="000402CC">
      <w:bookmarkStart w:id="21" w:name="_Hlk90966261"/>
      <w:r>
        <w:t>Both populations must also meet one of the regulated indications specified in the explanatory notes for the PCI items.</w:t>
      </w:r>
      <w:bookmarkEnd w:id="21"/>
    </w:p>
    <w:p w14:paraId="6C892AD4" w14:textId="48559E34" w:rsidR="00521608" w:rsidRDefault="006E36D4" w:rsidP="000402CC">
      <w:r>
        <w:t xml:space="preserve">In contrast to the previous application, the ‘high-risk’ population in the current ADAR is </w:t>
      </w:r>
      <w:r w:rsidR="000402CC" w:rsidRPr="000402CC">
        <w:t xml:space="preserve">well-defined </w:t>
      </w:r>
      <w:r>
        <w:t>on the basis of objective and measurable</w:t>
      </w:r>
      <w:r w:rsidR="000402CC" w:rsidRPr="000402CC">
        <w:t xml:space="preserve"> anatomical characteristics.</w:t>
      </w:r>
      <w:r w:rsidR="00521608" w:rsidRPr="00521608">
        <w:t xml:space="preserve"> </w:t>
      </w:r>
      <w:r w:rsidR="00521608">
        <w:t xml:space="preserve">In relation to the current MBS items for PCI </w:t>
      </w:r>
      <w:r w:rsidR="00521608" w:rsidRPr="0079679E">
        <w:t>a lesion length of ≥ 28 mm is not universally recognised as the cut-off for a ‘long lesion’.</w:t>
      </w:r>
    </w:p>
    <w:p w14:paraId="66BDFCC1" w14:textId="6A9E2B61" w:rsidR="00772829" w:rsidRDefault="005F6A3D" w:rsidP="002A18BE">
      <w:pPr>
        <w:pStyle w:val="Heading2"/>
        <w:numPr>
          <w:ilvl w:val="0"/>
          <w:numId w:val="0"/>
        </w:numPr>
      </w:pPr>
      <w:bookmarkStart w:id="22" w:name="_Toc69491420"/>
      <w:r>
        <w:t>8</w:t>
      </w:r>
      <w:r w:rsidR="00C36633">
        <w:t>.</w:t>
      </w:r>
      <w:r w:rsidR="00C36633">
        <w:tab/>
      </w:r>
      <w:r w:rsidR="00772829" w:rsidRPr="00CE28E3">
        <w:t>Comparator</w:t>
      </w:r>
      <w:bookmarkEnd w:id="22"/>
    </w:p>
    <w:p w14:paraId="033B2E9E" w14:textId="765D0368" w:rsidR="00086513" w:rsidRDefault="0099487C" w:rsidP="0099487C">
      <w:r>
        <w:t>The comparator is p</w:t>
      </w:r>
      <w:r w:rsidRPr="0099487C">
        <w:t>lacement of coronary stent</w:t>
      </w:r>
      <w:r>
        <w:t>s</w:t>
      </w:r>
      <w:r w:rsidRPr="0099487C">
        <w:t xml:space="preserve"> under guidance of angiography alone.</w:t>
      </w:r>
    </w:p>
    <w:p w14:paraId="57646D98" w14:textId="64798418" w:rsidR="00064348" w:rsidRDefault="0099487C" w:rsidP="00064348">
      <w:r w:rsidRPr="00692BF1">
        <w:t xml:space="preserve">As of July 2021, </w:t>
      </w:r>
      <w:r w:rsidR="0077740F">
        <w:t>12</w:t>
      </w:r>
      <w:r w:rsidRPr="00692BF1">
        <w:t xml:space="preserve"> MBS items are available for transluminal insertion of coronary stents, split according to whether PCI is performed within three months of selective coronary angiography (</w:t>
      </w:r>
      <w:r w:rsidR="00082CD2">
        <w:t>Items 38316, 38317, 38319, 38320, 38322, 38323)</w:t>
      </w:r>
      <w:r w:rsidRPr="00692BF1">
        <w:t>, or selective coronary angiography has not been completed in the previous three months</w:t>
      </w:r>
      <w:r w:rsidR="00082CD2">
        <w:t xml:space="preserve"> (Items 38307, 38308, 38310, 38311, 38313, 38314)</w:t>
      </w:r>
      <w:r w:rsidRPr="00692BF1">
        <w:t xml:space="preserve">. Each category is then split based on whether patients meet the clinical indications for acute coronary syndrome (ACS) or </w:t>
      </w:r>
      <w:r w:rsidR="00086513">
        <w:t xml:space="preserve">not (i.e., </w:t>
      </w:r>
      <w:r w:rsidRPr="00692BF1">
        <w:t>stable PCI indications</w:t>
      </w:r>
      <w:r w:rsidR="00086513">
        <w:t>)</w:t>
      </w:r>
      <w:r w:rsidRPr="00692BF1">
        <w:t xml:space="preserve"> and how many vascular territories are treated</w:t>
      </w:r>
      <w:r w:rsidR="0077740F">
        <w:t xml:space="preserve"> (see </w:t>
      </w:r>
      <w:r w:rsidR="0077740F">
        <w:fldChar w:fldCharType="begin"/>
      </w:r>
      <w:r w:rsidR="0077740F">
        <w:instrText xml:space="preserve"> REF _Ref89029859 \h </w:instrText>
      </w:r>
      <w:r w:rsidR="0077740F">
        <w:fldChar w:fldCharType="separate"/>
      </w:r>
      <w:r w:rsidR="00F03488">
        <w:t>Table </w:t>
      </w:r>
      <w:r w:rsidR="00F03488">
        <w:rPr>
          <w:noProof/>
        </w:rPr>
        <w:t>5</w:t>
      </w:r>
      <w:r w:rsidR="0077740F">
        <w:fldChar w:fldCharType="end"/>
      </w:r>
      <w:r w:rsidR="0077740F">
        <w:t>)</w:t>
      </w:r>
      <w:r w:rsidRPr="00692BF1">
        <w:t>.</w:t>
      </w:r>
    </w:p>
    <w:p w14:paraId="5C47FC70" w14:textId="78393081" w:rsidR="00DB552C" w:rsidRDefault="00DB552C" w:rsidP="00DB552C">
      <w:pPr>
        <w:pStyle w:val="Caption"/>
        <w:rPr>
          <w:rFonts w:cs="Arial"/>
        </w:rPr>
      </w:pPr>
      <w:bookmarkStart w:id="23" w:name="_Ref89029859"/>
      <w:r>
        <w:lastRenderedPageBreak/>
        <w:t>Table </w:t>
      </w:r>
      <w:fldSimple w:instr=" SEQ Table \* ARABIC ">
        <w:r w:rsidR="00F03488">
          <w:rPr>
            <w:noProof/>
          </w:rPr>
          <w:t>5</w:t>
        </w:r>
      </w:fldSimple>
      <w:bookmarkEnd w:id="23"/>
      <w:r w:rsidRPr="00CE28E3">
        <w:rPr>
          <w:rFonts w:cs="Arial"/>
        </w:rPr>
        <w:tab/>
      </w:r>
      <w:r>
        <w:rPr>
          <w:rFonts w:cs="Arial"/>
        </w:rPr>
        <w:t>MBS items relating to PCI with coronary stent insertion</w:t>
      </w:r>
    </w:p>
    <w:p w14:paraId="0005B7A4" w14:textId="51AAA86A" w:rsidR="00DB552C" w:rsidRDefault="002C11A3" w:rsidP="00054C03">
      <w:pPr>
        <w:keepNext/>
        <w:keepLines/>
        <w:spacing w:after="0" w:line="240" w:lineRule="auto"/>
      </w:pPr>
      <w:r>
        <w:rPr>
          <w:noProof/>
        </w:rPr>
        <w:drawing>
          <wp:inline distT="0" distB="0" distL="0" distR="0" wp14:anchorId="1B0BC9D2" wp14:editId="2E4A3291">
            <wp:extent cx="5570027" cy="2218414"/>
            <wp:effectExtent l="0" t="0" r="0" b="0"/>
            <wp:docPr id="24" name="Picture 24" descr="FIGURE 2 NEW MBS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2 NEW MBS ITEMS"/>
                    <pic:cNvPicPr>
                      <a:picLocks noChangeAspect="1" noChangeArrowheads="1"/>
                    </pic:cNvPicPr>
                  </pic:nvPicPr>
                  <pic:blipFill rotWithShape="1">
                    <a:blip r:embed="rId25" cstate="print">
                      <a:extLst>
                        <a:ext uri="{BEBA8EAE-BF5A-486C-A8C5-ECC9F3942E4B}">
                          <a14:imgProps xmlns:a14="http://schemas.microsoft.com/office/drawing/2010/main">
                            <a14:imgLayer r:embed="rId26">
                              <a14:imgEffect>
                                <a14:sharpenSoften amount="24000"/>
                              </a14:imgEffect>
                              <a14:imgEffect>
                                <a14:brightnessContrast bright="3000" contrast="29000"/>
                              </a14:imgEffect>
                            </a14:imgLayer>
                          </a14:imgProps>
                        </a:ext>
                        <a:ext uri="{28A0092B-C50C-407E-A947-70E740481C1C}">
                          <a14:useLocalDpi xmlns:a14="http://schemas.microsoft.com/office/drawing/2010/main" val="0"/>
                        </a:ext>
                      </a:extLst>
                    </a:blip>
                    <a:srcRect l="3215" t="21823" r="10106" b="16732"/>
                    <a:stretch/>
                  </pic:blipFill>
                  <pic:spPr bwMode="auto">
                    <a:xfrm>
                      <a:off x="0" y="0"/>
                      <a:ext cx="5680390" cy="2262369"/>
                    </a:xfrm>
                    <a:prstGeom prst="rect">
                      <a:avLst/>
                    </a:prstGeom>
                    <a:noFill/>
                    <a:ln>
                      <a:noFill/>
                    </a:ln>
                    <a:extLst>
                      <a:ext uri="{53640926-AAD7-44D8-BBD7-CCE9431645EC}">
                        <a14:shadowObscured xmlns:a14="http://schemas.microsoft.com/office/drawing/2010/main"/>
                      </a:ext>
                    </a:extLst>
                  </pic:spPr>
                </pic:pic>
              </a:graphicData>
            </a:graphic>
          </wp:inline>
        </w:drawing>
      </w:r>
    </w:p>
    <w:p w14:paraId="3CC13CD8" w14:textId="60EC29E2" w:rsidR="00DB552C" w:rsidRDefault="00DB552C" w:rsidP="00054C03">
      <w:pPr>
        <w:pStyle w:val="TableFigureFooter"/>
        <w:keepNext/>
        <w:keepLines/>
        <w:spacing w:before="60"/>
      </w:pPr>
      <w:r>
        <w:t>CT = computed tomography; MBS = Medica</w:t>
      </w:r>
      <w:r w:rsidR="0031634D">
        <w:t>re</w:t>
      </w:r>
      <w:r>
        <w:t xml:space="preserve"> Benefits Schedule; PCI = percutaneous coronary intervention.</w:t>
      </w:r>
    </w:p>
    <w:p w14:paraId="071740A3" w14:textId="6FE0AE72" w:rsidR="00064348" w:rsidRDefault="00064348" w:rsidP="00064348">
      <w:r>
        <w:t>The associated MBS explanatory notes provide details of the indications for selective coronary angiography (</w:t>
      </w:r>
      <w:hyperlink r:id="rId27" w:tooltip="Link to MBS Online" w:history="1">
        <w:r w:rsidRPr="00BE4D8B">
          <w:rPr>
            <w:rStyle w:val="Hyperlink"/>
          </w:rPr>
          <w:t>TR.8.2</w:t>
        </w:r>
      </w:hyperlink>
      <w:r>
        <w:t>) and stable PCI indications (</w:t>
      </w:r>
      <w:hyperlink r:id="rId28" w:tooltip="Link to MBS Online" w:history="1">
        <w:r w:rsidRPr="00BE4D8B">
          <w:rPr>
            <w:rStyle w:val="Hyperlink"/>
          </w:rPr>
          <w:t>TR.8.4</w:t>
        </w:r>
      </w:hyperlink>
      <w:r>
        <w:t>), documentation requirements (</w:t>
      </w:r>
      <w:hyperlink r:id="rId29" w:tooltip="Lnk to MBS Online" w:history="1">
        <w:r w:rsidRPr="00BE4D8B">
          <w:rPr>
            <w:rStyle w:val="Hyperlink"/>
          </w:rPr>
          <w:t>TR.8.5</w:t>
        </w:r>
      </w:hyperlink>
      <w:r>
        <w:t>), Heart Team conferences (</w:t>
      </w:r>
      <w:hyperlink r:id="rId30" w:tooltip="Link to MBS Online" w:history="1">
        <w:r w:rsidRPr="00BE4D8B">
          <w:rPr>
            <w:rStyle w:val="Hyperlink"/>
          </w:rPr>
          <w:t>TR.8.6</w:t>
        </w:r>
      </w:hyperlink>
      <w:r>
        <w:t xml:space="preserve"> &amp; </w:t>
      </w:r>
      <w:hyperlink r:id="rId31" w:tooltip="Link to MBS Online" w:history="1">
        <w:r w:rsidRPr="00BE4D8B">
          <w:rPr>
            <w:rStyle w:val="Hyperlink"/>
          </w:rPr>
          <w:t>TR.8.7</w:t>
        </w:r>
      </w:hyperlink>
      <w:r>
        <w:t>), staging rules and disease definitions (</w:t>
      </w:r>
      <w:hyperlink r:id="rId32" w:tooltip="Link to MBS Online" w:history="1">
        <w:r w:rsidRPr="00FB4CDA">
          <w:rPr>
            <w:rStyle w:val="Hyperlink"/>
          </w:rPr>
          <w:t>TN.8.217</w:t>
        </w:r>
      </w:hyperlink>
      <w:r>
        <w:t xml:space="preserve">, </w:t>
      </w:r>
      <w:hyperlink r:id="rId33" w:tooltip="Link to MBS Online" w:history="1">
        <w:r w:rsidRPr="00513C97">
          <w:rPr>
            <w:rStyle w:val="Hyperlink"/>
          </w:rPr>
          <w:t>TN.8.218</w:t>
        </w:r>
      </w:hyperlink>
      <w:r>
        <w:t xml:space="preserve">, </w:t>
      </w:r>
      <w:hyperlink r:id="rId34" w:tooltip="Link to MBS Online" w:history="1">
        <w:r w:rsidRPr="00513C97">
          <w:rPr>
            <w:rStyle w:val="Hyperlink"/>
          </w:rPr>
          <w:t>TN.8.219</w:t>
        </w:r>
      </w:hyperlink>
      <w:r>
        <w:t xml:space="preserve">, </w:t>
      </w:r>
      <w:hyperlink r:id="rId35" w:tooltip="Link to MBS Online" w:history="1">
        <w:r w:rsidRPr="002B4643">
          <w:rPr>
            <w:rStyle w:val="Hyperlink"/>
          </w:rPr>
          <w:t>TN.8.225</w:t>
        </w:r>
      </w:hyperlink>
      <w:r>
        <w:t xml:space="preserve"> &amp; </w:t>
      </w:r>
      <w:hyperlink r:id="rId36" w:tooltip="Link to MBS Online" w:history="1">
        <w:r w:rsidRPr="002B4643">
          <w:rPr>
            <w:rStyle w:val="Hyperlink"/>
          </w:rPr>
          <w:t>TN.8.226</w:t>
        </w:r>
      </w:hyperlink>
      <w:r>
        <w:t>).</w:t>
      </w:r>
    </w:p>
    <w:p w14:paraId="2CA26BBE" w14:textId="19914F4A" w:rsidR="00064348" w:rsidRDefault="00064348" w:rsidP="00064348">
      <w:r>
        <w:t xml:space="preserve">Where percutaneous transluminal coronary rotational atherectomy is considered prior to stenting, MBS item 38309 is appropriate (indications are explained in </w:t>
      </w:r>
      <w:hyperlink r:id="rId37" w:tooltip="Link to MBS Online" w:history="1">
        <w:r w:rsidRPr="002B4643">
          <w:rPr>
            <w:rStyle w:val="Hyperlink"/>
          </w:rPr>
          <w:t>TN.8.222</w:t>
        </w:r>
      </w:hyperlink>
      <w:r>
        <w:t>).</w:t>
      </w:r>
    </w:p>
    <w:p w14:paraId="6E0C2413" w14:textId="0A60F8C8" w:rsidR="00064348" w:rsidRDefault="00064348" w:rsidP="00064348">
      <w:r>
        <w:t xml:space="preserve">MBS items for PCI with coronary stent insertion and transluminal rotational atherectomy (and relevant explanatory notes) are presented in </w:t>
      </w:r>
      <w:hyperlink w:anchor="_Appendix_A_–" w:history="1">
        <w:r w:rsidRPr="0050256D">
          <w:rPr>
            <w:rStyle w:val="Hyperlink"/>
          </w:rPr>
          <w:t>Appendix A</w:t>
        </w:r>
      </w:hyperlink>
      <w:r w:rsidR="00190D2D">
        <w:rPr>
          <w:rStyle w:val="Hyperlink"/>
        </w:rPr>
        <w:t>.</w:t>
      </w:r>
      <w:r>
        <w:t>.</w:t>
      </w:r>
    </w:p>
    <w:p w14:paraId="5F0FA3C2" w14:textId="0F97B83A" w:rsidR="00064348" w:rsidRDefault="00064348" w:rsidP="00064348">
      <w:r>
        <w:t xml:space="preserve">The ADAR </w:t>
      </w:r>
      <w:r w:rsidRPr="007E17D9">
        <w:t>n</w:t>
      </w:r>
      <w:r>
        <w:t>otes that in</w:t>
      </w:r>
      <w:r w:rsidRPr="007E17D9">
        <w:t xml:space="preserve"> some cases, such as patients with renal impairment, IVUS may be used as a replacement for angiography in order to avoid the use of contrast dyes</w:t>
      </w:r>
      <w:r w:rsidR="0079679E">
        <w:t xml:space="preserve"> however, c</w:t>
      </w:r>
      <w:r w:rsidRPr="0079679E">
        <w:t>linical data are not provided to support use of IVUS as a replacement for angiography in patients with renal impairment or other conditions. Significant renal dysfunction was an exclusion criterion in three of the five RCTs presented in</w:t>
      </w:r>
      <w:r w:rsidR="0079679E">
        <w:t xml:space="preserve"> the </w:t>
      </w:r>
      <w:r w:rsidR="00251AEF">
        <w:t>ADAR</w:t>
      </w:r>
      <w:r w:rsidRPr="004C4141">
        <w:t>. The Assessment Report for the previous IVUS MSAC application (</w:t>
      </w:r>
      <w:hyperlink r:id="rId38" w:history="1">
        <w:r w:rsidR="00190D2D" w:rsidRPr="00251AEF">
          <w:rPr>
            <w:rStyle w:val="Hyperlink"/>
          </w:rPr>
          <w:t>1354</w:t>
        </w:r>
      </w:hyperlink>
      <w:r w:rsidRPr="004C4141">
        <w:t>) included an analysis of patients with impaired renal function, but no clinical data were provided to support the analysis.</w:t>
      </w:r>
    </w:p>
    <w:p w14:paraId="2B1211DD" w14:textId="77777777" w:rsidR="005017C4" w:rsidRPr="00CE28E3" w:rsidRDefault="005017C4" w:rsidP="005017C4">
      <w:pPr>
        <w:pStyle w:val="Heading2"/>
        <w:numPr>
          <w:ilvl w:val="0"/>
          <w:numId w:val="0"/>
        </w:numPr>
      </w:pPr>
      <w:bookmarkStart w:id="24" w:name="_Toc69491421"/>
      <w:r>
        <w:t>9.</w:t>
      </w:r>
      <w:r>
        <w:tab/>
      </w:r>
      <w:r w:rsidRPr="00CE28E3">
        <w:t xml:space="preserve">Summary of public consultation </w:t>
      </w:r>
      <w:r>
        <w:t>input</w:t>
      </w:r>
      <w:bookmarkEnd w:id="24"/>
    </w:p>
    <w:p w14:paraId="6BFF8BC5" w14:textId="5491F718" w:rsidR="005F7752" w:rsidRPr="005F7752" w:rsidRDefault="005F7752" w:rsidP="005F7752">
      <w:r w:rsidRPr="005F7752">
        <w:t>Targeted consultation feedback was received from one (1) consultant interventional cardiologist. Overall feedback was strongly supportive of public funding for the inclusion of IVUS on the Medicare Benefits Schedule for use as a therapeutic device to guide and optimize coronary drug-eluting stent (DES) insertion during percutaneous coronary intervention (PCI) to treat coronary artery disease (CAD).</w:t>
      </w:r>
    </w:p>
    <w:p w14:paraId="45A1FF13" w14:textId="77777777" w:rsidR="005F7752" w:rsidRPr="005F7752" w:rsidRDefault="005F7752" w:rsidP="005F7752">
      <w:r w:rsidRPr="005F7752">
        <w:t xml:space="preserve">Key benefits of the proposed therapeutic device were identified as </w:t>
      </w:r>
    </w:p>
    <w:p w14:paraId="72C35524" w14:textId="77777777" w:rsidR="005F7752" w:rsidRPr="005F7752" w:rsidRDefault="005F7752" w:rsidP="005F7752">
      <w:pPr>
        <w:pStyle w:val="ListParagraph"/>
        <w:numPr>
          <w:ilvl w:val="0"/>
          <w:numId w:val="27"/>
        </w:numPr>
      </w:pPr>
      <w:r w:rsidRPr="005F7752">
        <w:t xml:space="preserve">IVUS provides a better understanding of atherosclerotic disease than angiography alone </w:t>
      </w:r>
    </w:p>
    <w:p w14:paraId="4AA62CBB" w14:textId="31E512AB" w:rsidR="005F7752" w:rsidRPr="005F7752" w:rsidRDefault="005F7752" w:rsidP="005F7752">
      <w:pPr>
        <w:pStyle w:val="ListParagraph"/>
        <w:numPr>
          <w:ilvl w:val="0"/>
          <w:numId w:val="27"/>
        </w:numPr>
      </w:pPr>
      <w:r w:rsidRPr="005F7752">
        <w:t xml:space="preserve">IVUS </w:t>
      </w:r>
      <w:r w:rsidR="00831F4A">
        <w:t xml:space="preserve">assists </w:t>
      </w:r>
      <w:r w:rsidRPr="005F7752">
        <w:t xml:space="preserve">in deciding which patients require stents and those who do not </w:t>
      </w:r>
    </w:p>
    <w:p w14:paraId="640ED614" w14:textId="77777777" w:rsidR="005F7752" w:rsidRPr="005F7752" w:rsidRDefault="005F7752" w:rsidP="005F7752">
      <w:pPr>
        <w:pStyle w:val="ListParagraph"/>
        <w:numPr>
          <w:ilvl w:val="0"/>
          <w:numId w:val="27"/>
        </w:numPr>
      </w:pPr>
      <w:r w:rsidRPr="005F7752">
        <w:t>IVUS has the ability to overcome limitations of coronary angiography such as assessing the severity of coronary stenosis thus supporting optimal treatment strategy, stent selection, stent placement, stent apposition to the vessel, and adequate deployment to restore blood flow at the target site.</w:t>
      </w:r>
    </w:p>
    <w:p w14:paraId="7792D9A4" w14:textId="3CD52F05" w:rsidR="005F7752" w:rsidRPr="005F7752" w:rsidRDefault="005F7752" w:rsidP="005F7752">
      <w:pPr>
        <w:pStyle w:val="ListParagraph"/>
        <w:numPr>
          <w:ilvl w:val="0"/>
          <w:numId w:val="27"/>
        </w:numPr>
      </w:pPr>
      <w:r w:rsidRPr="005F7752">
        <w:lastRenderedPageBreak/>
        <w:t xml:space="preserve">IVUS ensures that procedures to coronary vessels are performed at the highest quality standard </w:t>
      </w:r>
    </w:p>
    <w:p w14:paraId="57B4670E" w14:textId="77777777" w:rsidR="005F7752" w:rsidRPr="005F7752" w:rsidRDefault="005F7752" w:rsidP="005F7752">
      <w:r w:rsidRPr="005F7752">
        <w:t xml:space="preserve">Potential disadvantages of the proposed therapeutic device were identified as: </w:t>
      </w:r>
    </w:p>
    <w:p w14:paraId="10BAF66C" w14:textId="2E93E2B8" w:rsidR="005F7752" w:rsidRPr="005F7752" w:rsidRDefault="005F7752" w:rsidP="005F7752">
      <w:pPr>
        <w:pStyle w:val="ListParagraph"/>
        <w:numPr>
          <w:ilvl w:val="0"/>
          <w:numId w:val="28"/>
        </w:numPr>
      </w:pPr>
      <w:r w:rsidRPr="005F7752">
        <w:t>There were no identified potential disadvantages of IVUS</w:t>
      </w:r>
    </w:p>
    <w:p w14:paraId="6F8C52D7" w14:textId="77777777" w:rsidR="005F7752" w:rsidRPr="005F7752" w:rsidRDefault="005F7752" w:rsidP="005F7752">
      <w:r w:rsidRPr="005F7752">
        <w:t xml:space="preserve">Other technical comments made in the consultation feedback were: </w:t>
      </w:r>
    </w:p>
    <w:p w14:paraId="7552F87D" w14:textId="77777777" w:rsidR="005F7752" w:rsidRPr="005F7752" w:rsidRDefault="005F7752" w:rsidP="005F7752">
      <w:pPr>
        <w:pStyle w:val="ListParagraph"/>
        <w:numPr>
          <w:ilvl w:val="0"/>
          <w:numId w:val="28"/>
        </w:numPr>
      </w:pPr>
      <w:r w:rsidRPr="005F7752">
        <w:t xml:space="preserve">The ULTIMATE trial highlighted how the use of IVUS guidance in all-comers population led to significantly less stent thrombosis (ST) events over the long-term follow up </w:t>
      </w:r>
    </w:p>
    <w:p w14:paraId="0B13D351" w14:textId="77777777" w:rsidR="005F7752" w:rsidRPr="005F7752" w:rsidRDefault="005F7752" w:rsidP="005F7752">
      <w:pPr>
        <w:pStyle w:val="ListParagraph"/>
        <w:numPr>
          <w:ilvl w:val="0"/>
          <w:numId w:val="28"/>
        </w:numPr>
      </w:pPr>
      <w:r w:rsidRPr="005F7752">
        <w:t xml:space="preserve">At two years, IVUS was associated with a lower risk of ST compared to angiography alone </w:t>
      </w:r>
    </w:p>
    <w:p w14:paraId="129E804D" w14:textId="77777777" w:rsidR="005F7752" w:rsidRPr="005F7752" w:rsidRDefault="005F7752" w:rsidP="005F7752">
      <w:pPr>
        <w:pStyle w:val="ListParagraph"/>
        <w:numPr>
          <w:ilvl w:val="0"/>
          <w:numId w:val="28"/>
        </w:numPr>
      </w:pPr>
      <w:r w:rsidRPr="005F7752">
        <w:t xml:space="preserve">At three-year follow up there was a statistically significant reduction in the relative risk of ST for patients receiving IVUS guidance compared to angiography alone </w:t>
      </w:r>
    </w:p>
    <w:p w14:paraId="65ACD473" w14:textId="77777777" w:rsidR="005F7752" w:rsidRPr="005F7752" w:rsidRDefault="005F7752" w:rsidP="005F7752">
      <w:pPr>
        <w:pStyle w:val="ListParagraph"/>
        <w:numPr>
          <w:ilvl w:val="0"/>
          <w:numId w:val="28"/>
        </w:numPr>
      </w:pPr>
      <w:r w:rsidRPr="005F7752">
        <w:t xml:space="preserve">Over nine randomized control trials showed the benefit of IVUS to patients’ outcomes </w:t>
      </w:r>
    </w:p>
    <w:p w14:paraId="08912F9B" w14:textId="2EC85B51" w:rsidR="005F7752" w:rsidRPr="005F7752" w:rsidRDefault="005F7752" w:rsidP="005F7752">
      <w:pPr>
        <w:pStyle w:val="ListParagraph"/>
        <w:numPr>
          <w:ilvl w:val="0"/>
          <w:numId w:val="28"/>
        </w:numPr>
      </w:pPr>
      <w:r w:rsidRPr="005F7752">
        <w:t xml:space="preserve">Funding of IVUS will assist physicians and improve patient outcomes </w:t>
      </w:r>
    </w:p>
    <w:p w14:paraId="44DBF518" w14:textId="4FE230DB" w:rsidR="005F7752" w:rsidRPr="005F7752" w:rsidRDefault="005F7752" w:rsidP="005F7752">
      <w:r w:rsidRPr="005F7752">
        <w:t>As sought by ESC, targeted consultation input was received from the Cardiac Society of Australia and New Zealand (CSANZ) regarding appropriate IVUS training and accreditation standards in Australia. The CSANZ advised that there are currently there are no specific detailed IVUS training requirements set out in US or Europe, noted the 1995 American College of Cardiology (ACC) Core Cardiovascular Training Statement (COCATS) and more recently the 2020 European Association of Percutaneous Coronary Intervention core curriculum published online 2020 (EuroIntervention 2021;17:23-31). In this document, IVUS training should be accomplished to Level IV standard, namely, performance as first operator without supervision.</w:t>
      </w:r>
    </w:p>
    <w:p w14:paraId="4A8352F3" w14:textId="69F2C320" w:rsidR="005017C4" w:rsidRDefault="005F7752" w:rsidP="00064348">
      <w:r w:rsidRPr="005F7752">
        <w:t>In addition, the CSANZ also noted that there are no major international guidelines with the adequate rigour of a mandated training to attain competency and maintenance of such in Australia and New Zealand.</w:t>
      </w:r>
    </w:p>
    <w:p w14:paraId="03C7A1F1" w14:textId="4904D4AF" w:rsidR="00772829" w:rsidRDefault="005F6A3D" w:rsidP="002A18BE">
      <w:pPr>
        <w:pStyle w:val="Heading2"/>
        <w:numPr>
          <w:ilvl w:val="0"/>
          <w:numId w:val="0"/>
        </w:numPr>
      </w:pPr>
      <w:bookmarkStart w:id="25" w:name="_Toc69491422"/>
      <w:r>
        <w:t>10</w:t>
      </w:r>
      <w:r w:rsidR="00C36633">
        <w:t>.</w:t>
      </w:r>
      <w:r w:rsidR="00C36633">
        <w:tab/>
      </w:r>
      <w:r w:rsidR="00772829" w:rsidRPr="00CE28E3">
        <w:t>Characteristics of the evidence base</w:t>
      </w:r>
      <w:bookmarkEnd w:id="25"/>
    </w:p>
    <w:p w14:paraId="3600CBCD" w14:textId="38FD5EE5" w:rsidR="00674D98" w:rsidRDefault="00674D98" w:rsidP="00674D98">
      <w:r>
        <w:t xml:space="preserve">The </w:t>
      </w:r>
      <w:r w:rsidR="00D915D2">
        <w:t xml:space="preserve">applicant’s </w:t>
      </w:r>
      <w:r>
        <w:t xml:space="preserve">literature search identified </w:t>
      </w:r>
      <w:r w:rsidR="00C46D83">
        <w:t xml:space="preserve">five </w:t>
      </w:r>
      <w:r>
        <w:t xml:space="preserve">RCTs </w:t>
      </w:r>
      <w:r w:rsidR="003B0408">
        <w:t xml:space="preserve">(all from China or Korea) </w:t>
      </w:r>
      <w:r w:rsidR="00C46D83">
        <w:t>comparing IVUS-guided PCI with angiography-guided PCI, of which one enrolled all-comers to PCI</w:t>
      </w:r>
      <w:r w:rsidR="00721001">
        <w:t xml:space="preserve"> (ULTIMATE)</w:t>
      </w:r>
      <w:r w:rsidR="00C46D83">
        <w:t xml:space="preserve">, two enrolled patients with long lesions </w:t>
      </w:r>
      <w:r w:rsidR="00721001">
        <w:t xml:space="preserve">(IVUS-XPL, RESET) </w:t>
      </w:r>
      <w:r w:rsidR="00C46D83">
        <w:t>and two enrolled patients with left main lesions</w:t>
      </w:r>
      <w:r w:rsidR="00721001">
        <w:t xml:space="preserve"> (</w:t>
      </w:r>
      <w:r w:rsidR="004C2F1C">
        <w:t>Liu 2019</w:t>
      </w:r>
      <w:r w:rsidR="00201CFC">
        <w:rPr>
          <w:rStyle w:val="FootnoteReference"/>
        </w:rPr>
        <w:footnoteReference w:id="12"/>
      </w:r>
      <w:r w:rsidR="004C2F1C">
        <w:t xml:space="preserve">; </w:t>
      </w:r>
      <w:r w:rsidR="00721001">
        <w:t>Tan 2015</w:t>
      </w:r>
      <w:r w:rsidR="00201CFC">
        <w:rPr>
          <w:rStyle w:val="FootnoteReference"/>
        </w:rPr>
        <w:footnoteReference w:id="13"/>
      </w:r>
      <w:r w:rsidR="00721001">
        <w:t>)</w:t>
      </w:r>
      <w:r w:rsidR="00C46D83">
        <w:t xml:space="preserve">. The key features of the RCTs are summarised in </w:t>
      </w:r>
      <w:r w:rsidR="00C46D83">
        <w:fldChar w:fldCharType="begin"/>
      </w:r>
      <w:r w:rsidR="00C46D83">
        <w:instrText xml:space="preserve"> REF _Ref69725651 \h </w:instrText>
      </w:r>
      <w:r w:rsidR="00C46D83">
        <w:fldChar w:fldCharType="separate"/>
      </w:r>
      <w:r w:rsidR="00F03488" w:rsidRPr="00CE28E3">
        <w:t>Table</w:t>
      </w:r>
      <w:r w:rsidR="00F03488">
        <w:t> </w:t>
      </w:r>
      <w:r w:rsidR="00F03488">
        <w:rPr>
          <w:noProof/>
        </w:rPr>
        <w:t>6</w:t>
      </w:r>
      <w:r w:rsidR="00C46D83">
        <w:fldChar w:fldCharType="end"/>
      </w:r>
      <w:r w:rsidR="00C46D83">
        <w:t xml:space="preserve">. </w:t>
      </w:r>
      <w:r w:rsidR="0054791A">
        <w:t>Follow-up is ongoing</w:t>
      </w:r>
      <w:r w:rsidR="00677FE3">
        <w:t xml:space="preserve"> in at least two of the trials</w:t>
      </w:r>
      <w:r w:rsidR="0054791A">
        <w:t xml:space="preserve"> (ULTIMATE</w:t>
      </w:r>
      <w:r w:rsidR="00677FE3">
        <w:t xml:space="preserve"> and</w:t>
      </w:r>
      <w:r w:rsidR="0054791A">
        <w:t xml:space="preserve"> IVUS-XPL).</w:t>
      </w:r>
    </w:p>
    <w:p w14:paraId="3BD61431" w14:textId="6A2C8C9B" w:rsidR="00D915D2" w:rsidRDefault="00721001" w:rsidP="00674D98">
      <w:r>
        <w:t>Although t</w:t>
      </w:r>
      <w:r w:rsidR="00D915D2" w:rsidRPr="00D915D2">
        <w:t xml:space="preserve">he </w:t>
      </w:r>
      <w:r w:rsidR="00D915D2">
        <w:t>literature search was restricted to</w:t>
      </w:r>
      <w:r w:rsidR="00D915D2" w:rsidRPr="00D915D2">
        <w:t xml:space="preserve"> RCTs</w:t>
      </w:r>
      <w:r w:rsidR="00A24F5D">
        <w:t xml:space="preserve">, </w:t>
      </w:r>
      <w:r w:rsidR="00B024B9">
        <w:t>The ADAR</w:t>
      </w:r>
      <w:r w:rsidR="00D915D2" w:rsidRPr="00D915D2">
        <w:t xml:space="preserve"> introduce</w:t>
      </w:r>
      <w:r w:rsidR="00A24F5D">
        <w:t>d</w:t>
      </w:r>
      <w:r w:rsidR="00D915D2" w:rsidRPr="00D915D2">
        <w:t xml:space="preserve"> a published meta-analysis, a large scale non-randomised study and a large real-world study. </w:t>
      </w:r>
      <w:r w:rsidR="00064348">
        <w:t>S</w:t>
      </w:r>
      <w:r w:rsidR="00A24F5D">
        <w:t>uch</w:t>
      </w:r>
      <w:r w:rsidR="00A24F5D" w:rsidRPr="00A24F5D">
        <w:t xml:space="preserve"> studies are potentially useful to examine safety outcomes and rare events</w:t>
      </w:r>
      <w:r w:rsidR="00064348">
        <w:t>; however,</w:t>
      </w:r>
      <w:r w:rsidR="00A24F5D" w:rsidRPr="00A24F5D">
        <w:t xml:space="preserve"> no information </w:t>
      </w:r>
      <w:r w:rsidR="00677FE3">
        <w:t>wa</w:t>
      </w:r>
      <w:r w:rsidR="00A24F5D" w:rsidRPr="00A24F5D">
        <w:t>s provided on how these studies were identified</w:t>
      </w:r>
      <w:r w:rsidR="00A24F5D">
        <w:t xml:space="preserve"> </w:t>
      </w:r>
      <w:r w:rsidR="00701AE7">
        <w:t>or selected</w:t>
      </w:r>
      <w:r>
        <w:t xml:space="preserve"> for inclusion</w:t>
      </w:r>
      <w:r w:rsidR="00A24F5D" w:rsidRPr="00A24F5D">
        <w:t>.</w:t>
      </w:r>
      <w:r w:rsidR="00701AE7">
        <w:t xml:space="preserve"> The applicability of this additional evidence is also of concern as n</w:t>
      </w:r>
      <w:r w:rsidR="00701AE7" w:rsidRPr="00701AE7">
        <w:t>one of these studies were restricted to PCI with second-generation DES.</w:t>
      </w:r>
    </w:p>
    <w:p w14:paraId="0FA32CCC" w14:textId="6E4125CD" w:rsidR="0027104A" w:rsidRDefault="0027104A" w:rsidP="0027104A">
      <w:r>
        <w:t xml:space="preserve">The Assessment Report for the previous application (1354) included 14 observational studies and three RCTs relating to </w:t>
      </w:r>
      <w:r w:rsidR="00064348">
        <w:t xml:space="preserve">the </w:t>
      </w:r>
      <w:r>
        <w:t xml:space="preserve">use of IVUS guidance during DES deployment. One of these RCTs </w:t>
      </w:r>
      <w:r>
        <w:lastRenderedPageBreak/>
        <w:t xml:space="preserve">(RESET) is included in the current ADAR. The other two RCTs included </w:t>
      </w:r>
      <w:r w:rsidR="00064348">
        <w:t>participants</w:t>
      </w:r>
      <w:r>
        <w:t xml:space="preserve"> with complex patient characteristics and/or a range of complex coronary lesions (</w:t>
      </w:r>
      <w:r w:rsidRPr="00701AE7">
        <w:t>not exclusively long lesions or left main lesions</w:t>
      </w:r>
      <w:r>
        <w:t>)</w:t>
      </w:r>
      <w:r w:rsidRPr="00701AE7">
        <w:t>.</w:t>
      </w:r>
    </w:p>
    <w:p w14:paraId="76D30DDE" w14:textId="6381BF5A" w:rsidR="00D91BE9" w:rsidRDefault="0027104A" w:rsidP="00674D98">
      <w:r>
        <w:t xml:space="preserve">The five trials </w:t>
      </w:r>
      <w:r w:rsidR="00064348">
        <w:t xml:space="preserve">included in the current ADAR </w:t>
      </w:r>
      <w:r>
        <w:t>were not powered</w:t>
      </w:r>
      <w:r w:rsidR="00B2507F">
        <w:t xml:space="preserve"> individually</w:t>
      </w:r>
      <w:r>
        <w:t xml:space="preserve"> for the critical outcomes specified in the </w:t>
      </w:r>
      <w:r w:rsidR="00064348">
        <w:t xml:space="preserve">ratified </w:t>
      </w:r>
      <w:r>
        <w:t>PICO: cardiac mortality,</w:t>
      </w:r>
      <w:r w:rsidR="001D5A38">
        <w:t xml:space="preserve"> myocardial infarction (</w:t>
      </w:r>
      <w:r>
        <w:t>MI</w:t>
      </w:r>
      <w:r w:rsidR="001D5A38">
        <w:t>)</w:t>
      </w:r>
      <w:r>
        <w:t>, target lesion revascularisation (TLR) and stent thrombosis. The primary outcome in</w:t>
      </w:r>
      <w:r w:rsidR="001D5A38">
        <w:t xml:space="preserve"> the all-comers trial (</w:t>
      </w:r>
      <w:r>
        <w:t>ULTIMATE</w:t>
      </w:r>
      <w:r w:rsidR="001D5A38">
        <w:t>)</w:t>
      </w:r>
      <w:r>
        <w:t xml:space="preserve"> was target vessel failure (TVF)</w:t>
      </w:r>
      <w:r w:rsidR="00CA4C94">
        <w:t xml:space="preserve">, which </w:t>
      </w:r>
      <w:r w:rsidR="00CA4C94" w:rsidRPr="002C1697">
        <w:t>was defined as a composite of cardiac death, target-vessel MI, and clinically driven target vessel revascularisation</w:t>
      </w:r>
      <w:r w:rsidR="00CA4C94">
        <w:t xml:space="preserve"> (TVR)</w:t>
      </w:r>
      <w:r>
        <w:t>.</w:t>
      </w:r>
      <w:r w:rsidR="001D5A38">
        <w:t xml:space="preserve"> The primary outcome in all trials of patients with complex anatomical characteristics was the composite of major cardiac adverse events (MACE)</w:t>
      </w:r>
      <w:r w:rsidR="00CA4C94">
        <w:t>, which was defined differently in each trial reporting this outcome (see footnote to</w:t>
      </w:r>
      <w:r w:rsidR="00C05F41">
        <w:t xml:space="preserve"> </w:t>
      </w:r>
      <w:r w:rsidR="00C05F41">
        <w:fldChar w:fldCharType="begin"/>
      </w:r>
      <w:r w:rsidR="00C05F41">
        <w:instrText xml:space="preserve"> REF _Ref69725651 \h </w:instrText>
      </w:r>
      <w:r w:rsidR="00C05F41">
        <w:fldChar w:fldCharType="separate"/>
      </w:r>
      <w:r w:rsidR="00F03488" w:rsidRPr="00CE28E3">
        <w:t>Table</w:t>
      </w:r>
      <w:r w:rsidR="00F03488">
        <w:t> </w:t>
      </w:r>
      <w:r w:rsidR="00F03488">
        <w:rPr>
          <w:noProof/>
        </w:rPr>
        <w:t>6</w:t>
      </w:r>
      <w:r w:rsidR="00C05F41">
        <w:fldChar w:fldCharType="end"/>
      </w:r>
      <w:r w:rsidR="000A33FE">
        <w:t>)</w:t>
      </w:r>
      <w:r w:rsidR="001D5A38">
        <w:t>.</w:t>
      </w:r>
    </w:p>
    <w:p w14:paraId="692BCA4B" w14:textId="29612BA4" w:rsidR="00956ACE" w:rsidRPr="00D86BA7" w:rsidRDefault="00956ACE" w:rsidP="009A06F4">
      <w:pPr>
        <w:pStyle w:val="Caption"/>
        <w:rPr>
          <w:sz w:val="16"/>
          <w:szCs w:val="16"/>
        </w:rPr>
      </w:pPr>
      <w:bookmarkStart w:id="26" w:name="_Ref69725651"/>
      <w:r w:rsidRPr="00CE28E3">
        <w:t>Table</w:t>
      </w:r>
      <w:r w:rsidR="004A4FDF">
        <w:t> </w:t>
      </w:r>
      <w:fldSimple w:instr=" SEQ Table \* ARABIC ">
        <w:r w:rsidR="00F03488">
          <w:rPr>
            <w:noProof/>
          </w:rPr>
          <w:t>6</w:t>
        </w:r>
      </w:fldSimple>
      <w:bookmarkEnd w:id="26"/>
      <w:r w:rsidRPr="00CE28E3">
        <w:tab/>
        <w:t>Key features of the included evidence</w:t>
      </w:r>
    </w:p>
    <w:tbl>
      <w:tblPr>
        <w:tblStyle w:val="TableGrid1"/>
        <w:tblW w:w="5000" w:type="pct"/>
        <w:tblLayout w:type="fixed"/>
        <w:tblCellMar>
          <w:left w:w="28" w:type="dxa"/>
          <w:right w:w="28" w:type="dxa"/>
        </w:tblCellMar>
        <w:tblLook w:val="04A0" w:firstRow="1" w:lastRow="0" w:firstColumn="1" w:lastColumn="0" w:noHBand="0" w:noVBand="1"/>
        <w:tblDescription w:val="Key features of the included evidence"/>
      </w:tblPr>
      <w:tblGrid>
        <w:gridCol w:w="1413"/>
        <w:gridCol w:w="709"/>
        <w:gridCol w:w="1134"/>
        <w:gridCol w:w="994"/>
        <w:gridCol w:w="1556"/>
        <w:gridCol w:w="2220"/>
        <w:gridCol w:w="990"/>
      </w:tblGrid>
      <w:tr w:rsidR="000859C7" w:rsidRPr="00CE28E3" w14:paraId="475D8C60" w14:textId="77777777" w:rsidTr="00CC1910">
        <w:trPr>
          <w:cnfStyle w:val="100000000000" w:firstRow="1" w:lastRow="0" w:firstColumn="0" w:lastColumn="0" w:oddVBand="0" w:evenVBand="0" w:oddHBand="0" w:evenHBand="0" w:firstRowFirstColumn="0" w:firstRowLastColumn="0" w:lastRowFirstColumn="0" w:lastRowLastColumn="0"/>
          <w:cantSplit/>
          <w:tblHeader/>
        </w:trPr>
        <w:tc>
          <w:tcPr>
            <w:tcW w:w="784" w:type="pct"/>
            <w:tcBorders>
              <w:bottom w:val="single" w:sz="4" w:space="0" w:color="auto"/>
            </w:tcBorders>
            <w:shd w:val="clear" w:color="auto" w:fill="auto"/>
            <w:vAlign w:val="center"/>
          </w:tcPr>
          <w:p w14:paraId="4FFC981B" w14:textId="5FFC5B65" w:rsidR="00956ACE" w:rsidRPr="00CE28E3" w:rsidRDefault="00721001" w:rsidP="00E27AF4">
            <w:pPr>
              <w:pStyle w:val="In-tableHeading"/>
              <w:keepNext w:val="0"/>
              <w:spacing w:before="0"/>
            </w:pPr>
            <w:bookmarkStart w:id="27" w:name="ColumnTitle_Table3"/>
            <w:bookmarkStart w:id="28" w:name="_Hlk68276112"/>
            <w:bookmarkEnd w:id="27"/>
            <w:r>
              <w:t>Trial ID</w:t>
            </w:r>
          </w:p>
        </w:tc>
        <w:tc>
          <w:tcPr>
            <w:tcW w:w="393" w:type="pct"/>
            <w:tcBorders>
              <w:bottom w:val="single" w:sz="4" w:space="0" w:color="auto"/>
            </w:tcBorders>
            <w:shd w:val="clear" w:color="auto" w:fill="auto"/>
            <w:vAlign w:val="center"/>
          </w:tcPr>
          <w:p w14:paraId="28641D20" w14:textId="0701B589" w:rsidR="00956ACE" w:rsidRPr="00CE28E3" w:rsidRDefault="00956ACE" w:rsidP="00E27AF4">
            <w:pPr>
              <w:pStyle w:val="In-tableHeading"/>
              <w:keepNext w:val="0"/>
              <w:spacing w:before="0"/>
              <w:jc w:val="center"/>
            </w:pPr>
            <w:r w:rsidRPr="00CE28E3">
              <w:t>N</w:t>
            </w:r>
          </w:p>
        </w:tc>
        <w:tc>
          <w:tcPr>
            <w:tcW w:w="629" w:type="pct"/>
            <w:tcBorders>
              <w:bottom w:val="single" w:sz="4" w:space="0" w:color="auto"/>
            </w:tcBorders>
            <w:shd w:val="clear" w:color="auto" w:fill="auto"/>
            <w:vAlign w:val="center"/>
          </w:tcPr>
          <w:p w14:paraId="23BE1BE2" w14:textId="1037C0A5" w:rsidR="00956ACE" w:rsidRPr="00CE28E3" w:rsidRDefault="00956ACE" w:rsidP="00E27AF4">
            <w:pPr>
              <w:pStyle w:val="In-tableHeading"/>
              <w:keepNext w:val="0"/>
              <w:spacing w:before="0"/>
              <w:jc w:val="center"/>
            </w:pPr>
            <w:r w:rsidRPr="00CE28E3">
              <w:t>Design/</w:t>
            </w:r>
            <w:r w:rsidR="00847D9F">
              <w:t xml:space="preserve"> </w:t>
            </w:r>
            <w:r w:rsidR="00742F90">
              <w:t>follow-up</w:t>
            </w:r>
            <w:r w:rsidR="0054791A">
              <w:t xml:space="preserve"> </w:t>
            </w:r>
            <w:r w:rsidR="0054791A" w:rsidRPr="00654764">
              <w:t>/ Country</w:t>
            </w:r>
          </w:p>
        </w:tc>
        <w:tc>
          <w:tcPr>
            <w:tcW w:w="551" w:type="pct"/>
            <w:tcBorders>
              <w:bottom w:val="single" w:sz="4" w:space="0" w:color="auto"/>
            </w:tcBorders>
            <w:shd w:val="clear" w:color="auto" w:fill="auto"/>
            <w:vAlign w:val="center"/>
          </w:tcPr>
          <w:p w14:paraId="4F407CF9" w14:textId="3CFA1F80" w:rsidR="00956ACE" w:rsidRPr="00CE28E3" w:rsidRDefault="00956ACE" w:rsidP="00E27AF4">
            <w:pPr>
              <w:pStyle w:val="In-tableHeading"/>
              <w:keepNext w:val="0"/>
              <w:spacing w:before="0"/>
              <w:jc w:val="center"/>
            </w:pPr>
            <w:r w:rsidRPr="00CE28E3">
              <w:t>Risk of bias</w:t>
            </w:r>
            <w:r w:rsidR="007542EA">
              <w:t>**</w:t>
            </w:r>
          </w:p>
        </w:tc>
        <w:tc>
          <w:tcPr>
            <w:tcW w:w="863" w:type="pct"/>
            <w:tcBorders>
              <w:bottom w:val="single" w:sz="4" w:space="0" w:color="auto"/>
            </w:tcBorders>
            <w:shd w:val="clear" w:color="auto" w:fill="auto"/>
            <w:vAlign w:val="center"/>
          </w:tcPr>
          <w:p w14:paraId="78074E6B" w14:textId="77777777" w:rsidR="00956ACE" w:rsidRPr="00CE28E3" w:rsidRDefault="00956ACE" w:rsidP="00E27AF4">
            <w:pPr>
              <w:pStyle w:val="In-tableHeading"/>
              <w:keepNext w:val="0"/>
              <w:spacing w:before="0"/>
              <w:jc w:val="center"/>
            </w:pPr>
            <w:r w:rsidRPr="00CE28E3">
              <w:t>Patient population</w:t>
            </w:r>
          </w:p>
        </w:tc>
        <w:tc>
          <w:tcPr>
            <w:tcW w:w="1231" w:type="pct"/>
            <w:tcBorders>
              <w:bottom w:val="single" w:sz="4" w:space="0" w:color="auto"/>
            </w:tcBorders>
            <w:shd w:val="clear" w:color="auto" w:fill="auto"/>
            <w:vAlign w:val="center"/>
          </w:tcPr>
          <w:p w14:paraId="4B5869A3" w14:textId="77777777" w:rsidR="00956ACE" w:rsidRPr="00CE28E3" w:rsidRDefault="00956ACE" w:rsidP="00E27AF4">
            <w:pPr>
              <w:pStyle w:val="In-tableHeading"/>
              <w:keepNext w:val="0"/>
              <w:spacing w:before="0"/>
              <w:jc w:val="center"/>
            </w:pPr>
            <w:r w:rsidRPr="00CE28E3">
              <w:t>Outcome(s)</w:t>
            </w:r>
          </w:p>
        </w:tc>
        <w:tc>
          <w:tcPr>
            <w:tcW w:w="549" w:type="pct"/>
            <w:shd w:val="clear" w:color="auto" w:fill="auto"/>
            <w:vAlign w:val="center"/>
          </w:tcPr>
          <w:p w14:paraId="19D97B58" w14:textId="77777777" w:rsidR="00956ACE" w:rsidRPr="00CE28E3" w:rsidRDefault="00956ACE" w:rsidP="00E27AF4">
            <w:pPr>
              <w:pStyle w:val="In-tableHeading"/>
              <w:keepNext w:val="0"/>
              <w:spacing w:before="0"/>
              <w:jc w:val="center"/>
            </w:pPr>
            <w:r w:rsidRPr="00CE28E3">
              <w:t>Use in modelled evaluation</w:t>
            </w:r>
          </w:p>
        </w:tc>
      </w:tr>
      <w:tr w:rsidR="000859C7" w:rsidRPr="00CE28E3" w14:paraId="385B2D3C" w14:textId="77777777" w:rsidTr="00CC1910">
        <w:trPr>
          <w:cantSplit/>
        </w:trPr>
        <w:tc>
          <w:tcPr>
            <w:tcW w:w="784" w:type="pct"/>
            <w:tcBorders>
              <w:right w:val="nil"/>
            </w:tcBorders>
            <w:shd w:val="clear" w:color="auto" w:fill="auto"/>
            <w:vAlign w:val="center"/>
          </w:tcPr>
          <w:p w14:paraId="08F9F724" w14:textId="599DF9CE" w:rsidR="000D33E6" w:rsidRPr="000D33E6" w:rsidRDefault="000D33E6" w:rsidP="00E27AF4">
            <w:pPr>
              <w:pStyle w:val="TableText"/>
              <w:spacing w:before="0" w:after="0"/>
              <w:rPr>
                <w:b/>
                <w:bCs/>
                <w:lang w:val="en-US"/>
              </w:rPr>
            </w:pPr>
            <w:r w:rsidRPr="000D33E6">
              <w:rPr>
                <w:b/>
                <w:bCs/>
                <w:lang w:val="en-US"/>
              </w:rPr>
              <w:t>All-comers</w:t>
            </w:r>
          </w:p>
        </w:tc>
        <w:tc>
          <w:tcPr>
            <w:tcW w:w="393" w:type="pct"/>
            <w:tcBorders>
              <w:left w:val="nil"/>
              <w:right w:val="nil"/>
            </w:tcBorders>
            <w:shd w:val="clear" w:color="auto" w:fill="auto"/>
            <w:vAlign w:val="center"/>
          </w:tcPr>
          <w:p w14:paraId="788AE250" w14:textId="77777777" w:rsidR="000D33E6" w:rsidRPr="000D33E6" w:rsidRDefault="000D33E6" w:rsidP="00E27AF4">
            <w:pPr>
              <w:pStyle w:val="TableText"/>
              <w:spacing w:before="0" w:after="0"/>
              <w:jc w:val="center"/>
              <w:rPr>
                <w:b/>
                <w:bCs/>
                <w:lang w:val="en-US"/>
              </w:rPr>
            </w:pPr>
          </w:p>
        </w:tc>
        <w:tc>
          <w:tcPr>
            <w:tcW w:w="629" w:type="pct"/>
            <w:tcBorders>
              <w:left w:val="nil"/>
              <w:right w:val="nil"/>
            </w:tcBorders>
            <w:shd w:val="clear" w:color="auto" w:fill="auto"/>
            <w:vAlign w:val="center"/>
          </w:tcPr>
          <w:p w14:paraId="031906C9" w14:textId="77777777" w:rsidR="000D33E6" w:rsidRPr="000D33E6" w:rsidRDefault="000D33E6" w:rsidP="00E27AF4">
            <w:pPr>
              <w:pStyle w:val="TableText"/>
              <w:spacing w:before="0" w:after="0"/>
              <w:jc w:val="center"/>
              <w:rPr>
                <w:b/>
                <w:bCs/>
                <w:lang w:val="en-US"/>
              </w:rPr>
            </w:pPr>
          </w:p>
        </w:tc>
        <w:tc>
          <w:tcPr>
            <w:tcW w:w="551" w:type="pct"/>
            <w:tcBorders>
              <w:left w:val="nil"/>
              <w:right w:val="nil"/>
            </w:tcBorders>
            <w:shd w:val="clear" w:color="auto" w:fill="auto"/>
            <w:vAlign w:val="center"/>
          </w:tcPr>
          <w:p w14:paraId="7225F9E6" w14:textId="77777777" w:rsidR="000D33E6" w:rsidRPr="000D33E6" w:rsidRDefault="000D33E6" w:rsidP="00E27AF4">
            <w:pPr>
              <w:pStyle w:val="TableText"/>
              <w:spacing w:before="0" w:after="0"/>
              <w:jc w:val="center"/>
              <w:rPr>
                <w:b/>
                <w:bCs/>
                <w:i/>
                <w:lang w:val="en-US"/>
              </w:rPr>
            </w:pPr>
          </w:p>
        </w:tc>
        <w:tc>
          <w:tcPr>
            <w:tcW w:w="863" w:type="pct"/>
            <w:tcBorders>
              <w:left w:val="nil"/>
              <w:right w:val="nil"/>
            </w:tcBorders>
            <w:shd w:val="clear" w:color="auto" w:fill="auto"/>
            <w:vAlign w:val="center"/>
          </w:tcPr>
          <w:p w14:paraId="35F0E531" w14:textId="77777777" w:rsidR="000D33E6" w:rsidRPr="000D33E6" w:rsidRDefault="000D33E6" w:rsidP="00E27AF4">
            <w:pPr>
              <w:pStyle w:val="TableText"/>
              <w:spacing w:before="0" w:after="0"/>
              <w:jc w:val="center"/>
              <w:rPr>
                <w:b/>
                <w:bCs/>
                <w:lang w:val="en-US"/>
              </w:rPr>
            </w:pPr>
          </w:p>
        </w:tc>
        <w:tc>
          <w:tcPr>
            <w:tcW w:w="1231" w:type="pct"/>
            <w:tcBorders>
              <w:left w:val="nil"/>
              <w:right w:val="nil"/>
            </w:tcBorders>
            <w:shd w:val="clear" w:color="auto" w:fill="auto"/>
            <w:vAlign w:val="center"/>
          </w:tcPr>
          <w:p w14:paraId="75956449" w14:textId="77777777" w:rsidR="000D33E6" w:rsidRPr="000D33E6" w:rsidRDefault="000D33E6" w:rsidP="00E27AF4">
            <w:pPr>
              <w:pStyle w:val="TableText"/>
              <w:spacing w:before="0" w:after="0"/>
              <w:jc w:val="center"/>
              <w:rPr>
                <w:b/>
                <w:bCs/>
                <w:lang w:val="en-US"/>
              </w:rPr>
            </w:pPr>
          </w:p>
        </w:tc>
        <w:tc>
          <w:tcPr>
            <w:tcW w:w="549" w:type="pct"/>
            <w:tcBorders>
              <w:left w:val="nil"/>
            </w:tcBorders>
            <w:shd w:val="clear" w:color="auto" w:fill="auto"/>
            <w:vAlign w:val="center"/>
          </w:tcPr>
          <w:p w14:paraId="7F353C67" w14:textId="77777777" w:rsidR="000D33E6" w:rsidRPr="000D33E6" w:rsidRDefault="000D33E6" w:rsidP="00E27AF4">
            <w:pPr>
              <w:pStyle w:val="TableText"/>
              <w:spacing w:before="0" w:after="0"/>
              <w:jc w:val="center"/>
              <w:rPr>
                <w:b/>
                <w:bCs/>
                <w:lang w:val="en-US"/>
              </w:rPr>
            </w:pPr>
          </w:p>
        </w:tc>
      </w:tr>
      <w:tr w:rsidR="000859C7" w:rsidRPr="00CE28E3" w14:paraId="7E776818" w14:textId="77777777" w:rsidTr="00CC1910">
        <w:trPr>
          <w:cantSplit/>
        </w:trPr>
        <w:tc>
          <w:tcPr>
            <w:tcW w:w="784" w:type="pct"/>
            <w:tcBorders>
              <w:bottom w:val="single" w:sz="4" w:space="0" w:color="auto"/>
            </w:tcBorders>
            <w:shd w:val="clear" w:color="auto" w:fill="auto"/>
            <w:vAlign w:val="center"/>
          </w:tcPr>
          <w:p w14:paraId="75FFA552" w14:textId="77777777" w:rsidR="00956ACE" w:rsidRDefault="00721001" w:rsidP="00E27AF4">
            <w:pPr>
              <w:pStyle w:val="TableText"/>
              <w:spacing w:before="0" w:after="0"/>
              <w:rPr>
                <w:lang w:val="en-US"/>
              </w:rPr>
            </w:pPr>
            <w:r>
              <w:rPr>
                <w:lang w:val="en-US"/>
              </w:rPr>
              <w:t>ULTIMATE</w:t>
            </w:r>
          </w:p>
          <w:p w14:paraId="563AC767" w14:textId="1514A921" w:rsidR="000859C7" w:rsidRPr="0054791A" w:rsidRDefault="0054791A" w:rsidP="00E27AF4">
            <w:pPr>
              <w:pStyle w:val="TableText"/>
              <w:spacing w:before="0" w:after="0"/>
              <w:rPr>
                <w:i/>
                <w:iCs/>
                <w:lang w:val="en-US"/>
              </w:rPr>
            </w:pPr>
            <w:r>
              <w:rPr>
                <w:rStyle w:val="Commentaryemphasisformid-paragraphtext"/>
                <w:i w:val="0"/>
                <w:iCs/>
                <w:color w:val="auto"/>
              </w:rPr>
              <w:t>[</w:t>
            </w:r>
            <w:hyperlink r:id="rId39" w:tooltip="This link is to the ClinicalTrials.gov entry for this trial" w:history="1">
              <w:r w:rsidR="000859C7" w:rsidRPr="0054791A">
                <w:rPr>
                  <w:rStyle w:val="Hyperlink"/>
                  <w:iCs/>
                </w:rPr>
                <w:t>NCT02215915</w:t>
              </w:r>
            </w:hyperlink>
            <w:r>
              <w:rPr>
                <w:rStyle w:val="Commentaryemphasisformid-paragraphtext"/>
                <w:i w:val="0"/>
                <w:iCs/>
                <w:color w:val="auto"/>
              </w:rPr>
              <w:t>]</w:t>
            </w:r>
          </w:p>
        </w:tc>
        <w:tc>
          <w:tcPr>
            <w:tcW w:w="393" w:type="pct"/>
            <w:tcBorders>
              <w:bottom w:val="single" w:sz="4" w:space="0" w:color="auto"/>
            </w:tcBorders>
            <w:shd w:val="clear" w:color="auto" w:fill="auto"/>
            <w:vAlign w:val="center"/>
          </w:tcPr>
          <w:p w14:paraId="280096E2" w14:textId="4C567265" w:rsidR="00956ACE" w:rsidRPr="00CE28E3" w:rsidRDefault="00847D9F" w:rsidP="00E27AF4">
            <w:pPr>
              <w:pStyle w:val="TableText"/>
              <w:spacing w:before="0" w:after="0"/>
              <w:jc w:val="center"/>
              <w:rPr>
                <w:lang w:val="en-US"/>
              </w:rPr>
            </w:pPr>
            <w:r>
              <w:rPr>
                <w:lang w:val="en-US"/>
              </w:rPr>
              <w:t>1,448</w:t>
            </w:r>
          </w:p>
        </w:tc>
        <w:tc>
          <w:tcPr>
            <w:tcW w:w="629" w:type="pct"/>
            <w:tcBorders>
              <w:bottom w:val="single" w:sz="4" w:space="0" w:color="auto"/>
            </w:tcBorders>
            <w:shd w:val="clear" w:color="auto" w:fill="auto"/>
            <w:vAlign w:val="center"/>
          </w:tcPr>
          <w:p w14:paraId="38B6CE82" w14:textId="77777777" w:rsidR="0054791A" w:rsidRPr="00654764" w:rsidRDefault="00847D9F" w:rsidP="00E27AF4">
            <w:pPr>
              <w:pStyle w:val="TableText"/>
              <w:spacing w:before="0" w:after="0"/>
              <w:jc w:val="center"/>
              <w:rPr>
                <w:lang w:val="en-US"/>
              </w:rPr>
            </w:pPr>
            <w:r w:rsidRPr="00654764">
              <w:rPr>
                <w:lang w:val="en-US"/>
              </w:rPr>
              <w:t>RCT, MC, OL</w:t>
            </w:r>
            <w:r w:rsidRPr="00654764">
              <w:rPr>
                <w:lang w:val="en-US"/>
              </w:rPr>
              <w:br/>
            </w:r>
            <w:r w:rsidR="00742F90" w:rsidRPr="00654764">
              <w:rPr>
                <w:lang w:val="en-US"/>
              </w:rPr>
              <w:t xml:space="preserve">30 d, 1 yr, 2 yrs, </w:t>
            </w:r>
            <w:r w:rsidRPr="00654764">
              <w:rPr>
                <w:lang w:val="en-US"/>
              </w:rPr>
              <w:t>3 yrs</w:t>
            </w:r>
            <w:r w:rsidR="00CC49D4" w:rsidRPr="00654764">
              <w:rPr>
                <w:lang w:val="en-US"/>
              </w:rPr>
              <w:br/>
              <w:t>(ongoing to 5 yrs)</w:t>
            </w:r>
          </w:p>
          <w:p w14:paraId="39A9151F" w14:textId="296C3EED" w:rsidR="00956ACE" w:rsidRPr="00654764" w:rsidRDefault="00847D9F" w:rsidP="00E27AF4">
            <w:pPr>
              <w:pStyle w:val="TableText"/>
              <w:spacing w:before="0" w:after="0"/>
              <w:jc w:val="center"/>
              <w:rPr>
                <w:lang w:val="en-US"/>
              </w:rPr>
            </w:pPr>
            <w:r w:rsidRPr="00654764">
              <w:rPr>
                <w:lang w:val="en-US"/>
              </w:rPr>
              <w:t>China</w:t>
            </w:r>
          </w:p>
        </w:tc>
        <w:tc>
          <w:tcPr>
            <w:tcW w:w="551" w:type="pct"/>
            <w:tcBorders>
              <w:bottom w:val="single" w:sz="4" w:space="0" w:color="auto"/>
            </w:tcBorders>
            <w:shd w:val="clear" w:color="auto" w:fill="auto"/>
            <w:vAlign w:val="center"/>
          </w:tcPr>
          <w:p w14:paraId="269C28DF" w14:textId="2066FAE5" w:rsidR="00956ACE" w:rsidRPr="00CE28E3" w:rsidRDefault="00847D9F" w:rsidP="00E27AF4">
            <w:pPr>
              <w:pStyle w:val="TableText"/>
              <w:spacing w:before="0" w:after="0"/>
              <w:jc w:val="center"/>
              <w:rPr>
                <w:i/>
                <w:lang w:val="en-US"/>
              </w:rPr>
            </w:pPr>
            <w:r>
              <w:rPr>
                <w:i/>
                <w:lang w:val="en-US"/>
              </w:rPr>
              <w:t>Some concerns</w:t>
            </w:r>
          </w:p>
        </w:tc>
        <w:tc>
          <w:tcPr>
            <w:tcW w:w="863" w:type="pct"/>
            <w:tcBorders>
              <w:bottom w:val="single" w:sz="4" w:space="0" w:color="auto"/>
            </w:tcBorders>
            <w:shd w:val="clear" w:color="auto" w:fill="auto"/>
            <w:vAlign w:val="center"/>
          </w:tcPr>
          <w:p w14:paraId="4FD8A7FC" w14:textId="019DCBEE" w:rsidR="00956ACE" w:rsidRPr="00CE28E3" w:rsidRDefault="00847D9F" w:rsidP="00E27AF4">
            <w:pPr>
              <w:pStyle w:val="TableText"/>
              <w:spacing w:before="0" w:after="0"/>
              <w:jc w:val="center"/>
              <w:rPr>
                <w:lang w:val="en-US"/>
              </w:rPr>
            </w:pPr>
            <w:r>
              <w:rPr>
                <w:lang w:val="en-US"/>
              </w:rPr>
              <w:t xml:space="preserve">Patients </w:t>
            </w:r>
            <w:r w:rsidR="00742F90">
              <w:rPr>
                <w:lang w:val="en-US"/>
              </w:rPr>
              <w:t xml:space="preserve">with </w:t>
            </w:r>
            <w:r w:rsidR="00742F90" w:rsidRPr="00B70F00">
              <w:rPr>
                <w:i/>
                <w:iCs/>
                <w:lang w:val="en-US"/>
              </w:rPr>
              <w:t>de novo</w:t>
            </w:r>
            <w:r w:rsidR="00742F90">
              <w:rPr>
                <w:lang w:val="en-US"/>
              </w:rPr>
              <w:t xml:space="preserve"> coronary lesion </w:t>
            </w:r>
            <w:r>
              <w:rPr>
                <w:lang w:val="en-US"/>
              </w:rPr>
              <w:t>eligible for DES implantation</w:t>
            </w:r>
            <w:r w:rsidR="00CC49D4">
              <w:rPr>
                <w:lang w:val="en-US"/>
              </w:rPr>
              <w:t xml:space="preserve"> (everolimus-, zotarolimus- or sirolimus-eluting)</w:t>
            </w:r>
          </w:p>
        </w:tc>
        <w:tc>
          <w:tcPr>
            <w:tcW w:w="1231" w:type="pct"/>
            <w:tcBorders>
              <w:bottom w:val="single" w:sz="4" w:space="0" w:color="auto"/>
            </w:tcBorders>
            <w:shd w:val="clear" w:color="auto" w:fill="auto"/>
            <w:vAlign w:val="center"/>
          </w:tcPr>
          <w:p w14:paraId="65E2D868" w14:textId="272493FB" w:rsidR="00956ACE" w:rsidRDefault="00363048" w:rsidP="00E27AF4">
            <w:pPr>
              <w:pStyle w:val="TableText"/>
              <w:spacing w:before="0" w:after="0"/>
              <w:jc w:val="center"/>
              <w:rPr>
                <w:lang w:val="en-US"/>
              </w:rPr>
            </w:pPr>
            <w:r>
              <w:rPr>
                <w:u w:val="single"/>
                <w:lang w:val="en-US"/>
              </w:rPr>
              <w:t>Critical</w:t>
            </w:r>
            <w:r>
              <w:rPr>
                <w:lang w:val="en-US"/>
              </w:rPr>
              <w:t>:</w:t>
            </w:r>
            <w:r>
              <w:rPr>
                <w:lang w:val="en-US"/>
              </w:rPr>
              <w:br/>
            </w:r>
            <w:r w:rsidRPr="000D33E6">
              <w:rPr>
                <w:lang w:val="en-US"/>
              </w:rPr>
              <w:t>Cardiac death</w:t>
            </w:r>
            <w:r w:rsidR="00CA7C5C">
              <w:rPr>
                <w:lang w:val="en-US"/>
              </w:rPr>
              <w:br/>
            </w:r>
            <w:r w:rsidR="000D33E6" w:rsidRPr="000D33E6">
              <w:rPr>
                <w:lang w:val="en-US"/>
              </w:rPr>
              <w:t>Target-vessel MI</w:t>
            </w:r>
            <w:r>
              <w:rPr>
                <w:lang w:val="en-US"/>
              </w:rPr>
              <w:br/>
            </w:r>
            <w:r w:rsidR="000D33E6" w:rsidRPr="000D33E6">
              <w:rPr>
                <w:lang w:val="en-US"/>
              </w:rPr>
              <w:t>Clinically driven TLR</w:t>
            </w:r>
            <w:r>
              <w:rPr>
                <w:lang w:val="en-US"/>
              </w:rPr>
              <w:br/>
            </w:r>
            <w:r w:rsidR="000D33E6" w:rsidRPr="000D33E6">
              <w:rPr>
                <w:lang w:val="en-US"/>
              </w:rPr>
              <w:t>Stent thrombosis</w:t>
            </w:r>
            <w:r w:rsidR="00CA7C5C">
              <w:rPr>
                <w:lang w:val="en-US"/>
              </w:rPr>
              <w:t xml:space="preserve"> (definite/probable)</w:t>
            </w:r>
          </w:p>
          <w:p w14:paraId="45B1587F" w14:textId="35F03DDC" w:rsidR="00363048" w:rsidRPr="00CE28E3" w:rsidRDefault="00A1564D" w:rsidP="00E27AF4">
            <w:pPr>
              <w:pStyle w:val="TableText"/>
              <w:spacing w:before="0" w:after="0"/>
              <w:jc w:val="center"/>
              <w:rPr>
                <w:lang w:val="en-US"/>
              </w:rPr>
            </w:pPr>
            <w:r>
              <w:rPr>
                <w:u w:val="single"/>
                <w:lang w:val="en-US"/>
              </w:rPr>
              <w:t>Other</w:t>
            </w:r>
            <w:r w:rsidR="00363048">
              <w:rPr>
                <w:lang w:val="en-US"/>
              </w:rPr>
              <w:t>:</w:t>
            </w:r>
            <w:r w:rsidR="00363048">
              <w:rPr>
                <w:lang w:val="en-US"/>
              </w:rPr>
              <w:br/>
            </w:r>
            <w:r w:rsidR="00850787">
              <w:rPr>
                <w:lang w:val="en-US"/>
              </w:rPr>
              <w:t>All-cause death</w:t>
            </w:r>
            <w:r w:rsidR="00850787">
              <w:rPr>
                <w:lang w:val="en-US"/>
              </w:rPr>
              <w:br/>
            </w:r>
            <w:r w:rsidR="00363048" w:rsidRPr="000D33E6">
              <w:rPr>
                <w:lang w:val="en-US"/>
              </w:rPr>
              <w:t xml:space="preserve">Target </w:t>
            </w:r>
            <w:r>
              <w:rPr>
                <w:lang w:val="en-US"/>
              </w:rPr>
              <w:t>vessel</w:t>
            </w:r>
            <w:r w:rsidR="00363048" w:rsidRPr="000D33E6">
              <w:rPr>
                <w:lang w:val="en-US"/>
              </w:rPr>
              <w:t xml:space="preserve"> failure</w:t>
            </w:r>
            <w:r>
              <w:rPr>
                <w:lang w:val="en-US"/>
              </w:rPr>
              <w:t xml:space="preserve"> (TVF)</w:t>
            </w:r>
            <w:r w:rsidR="00622D3B" w:rsidRPr="00622D3B">
              <w:rPr>
                <w:lang w:val="en-US"/>
              </w:rPr>
              <w:t>*</w:t>
            </w:r>
            <w:r>
              <w:rPr>
                <w:lang w:val="en-US"/>
              </w:rPr>
              <w:br/>
            </w:r>
            <w:r w:rsidRPr="000D33E6">
              <w:rPr>
                <w:lang w:val="en-US"/>
              </w:rPr>
              <w:t>Clinically driven TVR</w:t>
            </w:r>
            <w:r w:rsidR="00622D3B">
              <w:rPr>
                <w:vertAlign w:val="superscript"/>
                <w:lang w:val="en-US"/>
              </w:rPr>
              <w:t>#</w:t>
            </w:r>
          </w:p>
        </w:tc>
        <w:tc>
          <w:tcPr>
            <w:tcW w:w="549" w:type="pct"/>
            <w:shd w:val="clear" w:color="auto" w:fill="auto"/>
            <w:vAlign w:val="center"/>
          </w:tcPr>
          <w:p w14:paraId="3F9CD3D5" w14:textId="116A83C2" w:rsidR="00956ACE" w:rsidRPr="00CE28E3" w:rsidRDefault="000D33E6" w:rsidP="00E27AF4">
            <w:pPr>
              <w:pStyle w:val="TableText"/>
              <w:spacing w:before="0" w:after="0"/>
              <w:jc w:val="center"/>
              <w:rPr>
                <w:lang w:val="en-US"/>
              </w:rPr>
            </w:pPr>
            <w:r>
              <w:rPr>
                <w:lang w:val="en-US"/>
              </w:rPr>
              <w:t>TLR</w:t>
            </w:r>
            <w:r>
              <w:rPr>
                <w:lang w:val="en-US"/>
              </w:rPr>
              <w:br/>
              <w:t>Target-vessel MI</w:t>
            </w:r>
          </w:p>
        </w:tc>
      </w:tr>
      <w:tr w:rsidR="000859C7" w:rsidRPr="00CE28E3" w14:paraId="4EB76D63" w14:textId="77777777" w:rsidTr="00CC1910">
        <w:trPr>
          <w:cantSplit/>
        </w:trPr>
        <w:tc>
          <w:tcPr>
            <w:tcW w:w="784" w:type="pct"/>
            <w:tcBorders>
              <w:right w:val="nil"/>
            </w:tcBorders>
            <w:shd w:val="clear" w:color="auto" w:fill="auto"/>
            <w:vAlign w:val="center"/>
          </w:tcPr>
          <w:p w14:paraId="6DFD0035" w14:textId="4915FE31" w:rsidR="000D33E6" w:rsidRPr="000D33E6" w:rsidRDefault="000D33E6" w:rsidP="00E27AF4">
            <w:pPr>
              <w:pStyle w:val="TableText"/>
              <w:spacing w:before="0" w:after="0"/>
              <w:rPr>
                <w:b/>
                <w:bCs/>
                <w:lang w:val="en-US"/>
              </w:rPr>
            </w:pPr>
            <w:r w:rsidRPr="000D33E6">
              <w:rPr>
                <w:b/>
                <w:bCs/>
                <w:lang w:val="en-US"/>
              </w:rPr>
              <w:t>Long lesions</w:t>
            </w:r>
          </w:p>
        </w:tc>
        <w:tc>
          <w:tcPr>
            <w:tcW w:w="393" w:type="pct"/>
            <w:tcBorders>
              <w:left w:val="nil"/>
              <w:right w:val="nil"/>
            </w:tcBorders>
            <w:shd w:val="clear" w:color="auto" w:fill="auto"/>
            <w:vAlign w:val="center"/>
          </w:tcPr>
          <w:p w14:paraId="1DFDEEFC" w14:textId="77777777" w:rsidR="000D33E6" w:rsidRPr="000D33E6" w:rsidRDefault="000D33E6" w:rsidP="00E27AF4">
            <w:pPr>
              <w:pStyle w:val="TableText"/>
              <w:spacing w:before="0" w:after="0"/>
              <w:jc w:val="center"/>
              <w:rPr>
                <w:b/>
                <w:bCs/>
                <w:lang w:val="en-US"/>
              </w:rPr>
            </w:pPr>
          </w:p>
        </w:tc>
        <w:tc>
          <w:tcPr>
            <w:tcW w:w="629" w:type="pct"/>
            <w:tcBorders>
              <w:left w:val="nil"/>
              <w:right w:val="nil"/>
            </w:tcBorders>
            <w:shd w:val="clear" w:color="auto" w:fill="auto"/>
            <w:vAlign w:val="center"/>
          </w:tcPr>
          <w:p w14:paraId="31C60B98" w14:textId="77777777" w:rsidR="000D33E6" w:rsidRPr="00654764" w:rsidRDefault="000D33E6" w:rsidP="00E27AF4">
            <w:pPr>
              <w:pStyle w:val="TableText"/>
              <w:spacing w:before="0" w:after="0"/>
              <w:jc w:val="center"/>
              <w:rPr>
                <w:b/>
                <w:bCs/>
                <w:lang w:val="en-US"/>
              </w:rPr>
            </w:pPr>
          </w:p>
        </w:tc>
        <w:tc>
          <w:tcPr>
            <w:tcW w:w="551" w:type="pct"/>
            <w:tcBorders>
              <w:left w:val="nil"/>
              <w:right w:val="nil"/>
            </w:tcBorders>
            <w:shd w:val="clear" w:color="auto" w:fill="auto"/>
            <w:vAlign w:val="center"/>
          </w:tcPr>
          <w:p w14:paraId="15B79C17" w14:textId="77777777" w:rsidR="000D33E6" w:rsidRPr="000D33E6" w:rsidRDefault="000D33E6" w:rsidP="00E27AF4">
            <w:pPr>
              <w:pStyle w:val="TableText"/>
              <w:spacing w:before="0" w:after="0"/>
              <w:jc w:val="center"/>
              <w:rPr>
                <w:b/>
                <w:bCs/>
                <w:i/>
                <w:lang w:val="en-US"/>
              </w:rPr>
            </w:pPr>
          </w:p>
        </w:tc>
        <w:tc>
          <w:tcPr>
            <w:tcW w:w="863" w:type="pct"/>
            <w:tcBorders>
              <w:left w:val="nil"/>
              <w:right w:val="nil"/>
            </w:tcBorders>
            <w:shd w:val="clear" w:color="auto" w:fill="auto"/>
            <w:vAlign w:val="center"/>
          </w:tcPr>
          <w:p w14:paraId="3FEBD7FA" w14:textId="77777777" w:rsidR="000D33E6" w:rsidRPr="000D33E6" w:rsidRDefault="000D33E6" w:rsidP="00E27AF4">
            <w:pPr>
              <w:pStyle w:val="TableText"/>
              <w:spacing w:before="0" w:after="0"/>
              <w:jc w:val="center"/>
              <w:rPr>
                <w:b/>
                <w:bCs/>
                <w:lang w:val="en-US"/>
              </w:rPr>
            </w:pPr>
          </w:p>
        </w:tc>
        <w:tc>
          <w:tcPr>
            <w:tcW w:w="1231" w:type="pct"/>
            <w:tcBorders>
              <w:left w:val="nil"/>
              <w:right w:val="nil"/>
            </w:tcBorders>
            <w:shd w:val="clear" w:color="auto" w:fill="auto"/>
            <w:vAlign w:val="center"/>
          </w:tcPr>
          <w:p w14:paraId="55C95F72" w14:textId="77777777" w:rsidR="000D33E6" w:rsidRPr="000D33E6" w:rsidRDefault="000D33E6" w:rsidP="00E27AF4">
            <w:pPr>
              <w:pStyle w:val="TableText"/>
              <w:spacing w:before="0" w:after="0"/>
              <w:jc w:val="center"/>
              <w:rPr>
                <w:b/>
                <w:bCs/>
                <w:lang w:val="en-US"/>
              </w:rPr>
            </w:pPr>
          </w:p>
        </w:tc>
        <w:tc>
          <w:tcPr>
            <w:tcW w:w="549" w:type="pct"/>
            <w:tcBorders>
              <w:left w:val="nil"/>
            </w:tcBorders>
            <w:shd w:val="clear" w:color="auto" w:fill="auto"/>
            <w:vAlign w:val="center"/>
          </w:tcPr>
          <w:p w14:paraId="295F7926" w14:textId="77777777" w:rsidR="000D33E6" w:rsidRPr="000D33E6" w:rsidRDefault="000D33E6" w:rsidP="00E27AF4">
            <w:pPr>
              <w:pStyle w:val="TableText"/>
              <w:spacing w:before="0" w:after="0"/>
              <w:jc w:val="center"/>
              <w:rPr>
                <w:b/>
                <w:bCs/>
                <w:lang w:val="en-US"/>
              </w:rPr>
            </w:pPr>
          </w:p>
        </w:tc>
      </w:tr>
      <w:tr w:rsidR="000859C7" w:rsidRPr="00CE28E3" w14:paraId="6E4E23A7" w14:textId="77777777" w:rsidTr="00CC1910">
        <w:trPr>
          <w:cantSplit/>
        </w:trPr>
        <w:tc>
          <w:tcPr>
            <w:tcW w:w="784" w:type="pct"/>
            <w:shd w:val="clear" w:color="auto" w:fill="auto"/>
            <w:vAlign w:val="center"/>
          </w:tcPr>
          <w:p w14:paraId="69E3F937" w14:textId="6165C0C5" w:rsidR="00956ACE" w:rsidRDefault="00721001" w:rsidP="00E27AF4">
            <w:pPr>
              <w:pStyle w:val="TableText"/>
              <w:spacing w:before="0" w:after="0"/>
              <w:rPr>
                <w:lang w:val="en-US"/>
              </w:rPr>
            </w:pPr>
            <w:r w:rsidRPr="000859C7">
              <w:rPr>
                <w:lang w:val="en-US"/>
              </w:rPr>
              <w:t>IVUS-XPL</w:t>
            </w:r>
          </w:p>
          <w:p w14:paraId="293068A4" w14:textId="54A918D0" w:rsidR="00C07319" w:rsidRDefault="00C07319" w:rsidP="00E27AF4">
            <w:pPr>
              <w:pStyle w:val="TableText"/>
              <w:spacing w:before="0" w:after="0"/>
              <w:rPr>
                <w:rStyle w:val="Commentaryemphasisformid-paragraphtext"/>
                <w:i w:val="0"/>
                <w:iCs/>
                <w:color w:val="auto"/>
              </w:rPr>
            </w:pPr>
            <w:r>
              <w:rPr>
                <w:lang w:val="en-US"/>
              </w:rPr>
              <w:t>1 yr:</w:t>
            </w:r>
            <w:r>
              <w:rPr>
                <w:lang w:val="en-US"/>
              </w:rPr>
              <w:br/>
            </w:r>
            <w:r w:rsidR="0054791A" w:rsidRPr="00C07319">
              <w:rPr>
                <w:rStyle w:val="Commentaryemphasisformid-paragraphtext"/>
                <w:i w:val="0"/>
                <w:iCs/>
                <w:color w:val="auto"/>
              </w:rPr>
              <w:t>[</w:t>
            </w:r>
            <w:hyperlink r:id="rId40" w:tooltip="Links to ClinicalTrials.gov record for the IVUS-XPL RCT" w:history="1">
              <w:r w:rsidR="00881AC7" w:rsidRPr="0047702D">
                <w:rPr>
                  <w:rStyle w:val="Hyperlink"/>
                  <w:iCs/>
                </w:rPr>
                <w:t>NCT01308281</w:t>
              </w:r>
            </w:hyperlink>
            <w:r>
              <w:rPr>
                <w:rStyle w:val="Commentaryemphasisformid-paragraphtext"/>
                <w:i w:val="0"/>
                <w:iCs/>
                <w:color w:val="auto"/>
              </w:rPr>
              <w:t>]</w:t>
            </w:r>
          </w:p>
          <w:p w14:paraId="45E15921" w14:textId="7629C022" w:rsidR="00881AC7" w:rsidRPr="000859C7" w:rsidRDefault="00C07319" w:rsidP="00E27AF4">
            <w:pPr>
              <w:pStyle w:val="TableText"/>
              <w:spacing w:before="0" w:after="0"/>
              <w:rPr>
                <w:lang w:val="en-US"/>
              </w:rPr>
            </w:pPr>
            <w:r>
              <w:rPr>
                <w:iCs/>
                <w:lang w:val="en-US"/>
              </w:rPr>
              <w:t>To 10 yrs:</w:t>
            </w:r>
            <w:r>
              <w:rPr>
                <w:iCs/>
                <w:lang w:val="en-US"/>
              </w:rPr>
              <w:br/>
            </w:r>
            <w:r>
              <w:rPr>
                <w:rStyle w:val="Commentaryemphasisformid-paragraphtext"/>
                <w:i w:val="0"/>
                <w:iCs/>
                <w:color w:val="auto"/>
              </w:rPr>
              <w:t>[</w:t>
            </w:r>
            <w:hyperlink r:id="rId41" w:history="1">
              <w:r w:rsidR="00881AC7" w:rsidRPr="0047702D">
                <w:rPr>
                  <w:rStyle w:val="Hyperlink"/>
                  <w:iCs/>
                </w:rPr>
                <w:t>NCT03866486</w:t>
              </w:r>
            </w:hyperlink>
            <w:r>
              <w:rPr>
                <w:rStyle w:val="Commentaryemphasisformid-paragraphtext"/>
                <w:i w:val="0"/>
                <w:iCs/>
                <w:color w:val="auto"/>
              </w:rPr>
              <w:t>]</w:t>
            </w:r>
          </w:p>
        </w:tc>
        <w:tc>
          <w:tcPr>
            <w:tcW w:w="393" w:type="pct"/>
            <w:shd w:val="clear" w:color="auto" w:fill="auto"/>
            <w:vAlign w:val="center"/>
          </w:tcPr>
          <w:p w14:paraId="71251CEE" w14:textId="2EDF9637" w:rsidR="00956ACE" w:rsidRPr="000859C7" w:rsidRDefault="00847D9F" w:rsidP="00E27AF4">
            <w:pPr>
              <w:pStyle w:val="TableText"/>
              <w:spacing w:before="0" w:after="0"/>
              <w:jc w:val="center"/>
              <w:rPr>
                <w:lang w:val="en-US"/>
              </w:rPr>
            </w:pPr>
            <w:r w:rsidRPr="000859C7">
              <w:rPr>
                <w:lang w:val="en-US"/>
              </w:rPr>
              <w:t>1,400</w:t>
            </w:r>
          </w:p>
        </w:tc>
        <w:tc>
          <w:tcPr>
            <w:tcW w:w="629" w:type="pct"/>
            <w:shd w:val="clear" w:color="auto" w:fill="auto"/>
            <w:vAlign w:val="center"/>
          </w:tcPr>
          <w:p w14:paraId="28F83AB1" w14:textId="77777777" w:rsidR="0054791A" w:rsidRPr="00654764" w:rsidRDefault="00847D9F" w:rsidP="00E27AF4">
            <w:pPr>
              <w:pStyle w:val="TableText"/>
              <w:spacing w:before="0" w:after="0"/>
              <w:jc w:val="center"/>
              <w:rPr>
                <w:lang w:val="en-US"/>
              </w:rPr>
            </w:pPr>
            <w:r w:rsidRPr="00654764">
              <w:rPr>
                <w:lang w:val="en-US"/>
              </w:rPr>
              <w:t>R, MC, OL</w:t>
            </w:r>
            <w:r w:rsidRPr="00654764">
              <w:rPr>
                <w:lang w:val="en-US"/>
              </w:rPr>
              <w:br/>
              <w:t>1 yr, 5 yrs</w:t>
            </w:r>
            <w:r w:rsidR="00CC49D4" w:rsidRPr="00654764">
              <w:rPr>
                <w:lang w:val="en-US"/>
              </w:rPr>
              <w:br/>
              <w:t>(ongoing to 10 yrs)</w:t>
            </w:r>
          </w:p>
          <w:p w14:paraId="37D3BD6A" w14:textId="11A95A41" w:rsidR="00847D9F" w:rsidRPr="00654764" w:rsidRDefault="00847D9F" w:rsidP="00E27AF4">
            <w:pPr>
              <w:pStyle w:val="TableText"/>
              <w:spacing w:before="0" w:after="0"/>
              <w:jc w:val="center"/>
              <w:rPr>
                <w:lang w:val="en-US"/>
              </w:rPr>
            </w:pPr>
            <w:r w:rsidRPr="00654764">
              <w:rPr>
                <w:lang w:val="en-US"/>
              </w:rPr>
              <w:t>Korea</w:t>
            </w:r>
          </w:p>
        </w:tc>
        <w:tc>
          <w:tcPr>
            <w:tcW w:w="551" w:type="pct"/>
            <w:shd w:val="clear" w:color="auto" w:fill="auto"/>
            <w:vAlign w:val="center"/>
          </w:tcPr>
          <w:p w14:paraId="51165529" w14:textId="773D4C3A" w:rsidR="00956ACE" w:rsidRPr="00CE28E3" w:rsidRDefault="00847D9F" w:rsidP="00E27AF4">
            <w:pPr>
              <w:pStyle w:val="TableText"/>
              <w:spacing w:before="0" w:after="0"/>
              <w:jc w:val="center"/>
              <w:rPr>
                <w:i/>
                <w:lang w:val="en-US"/>
              </w:rPr>
            </w:pPr>
            <w:r>
              <w:rPr>
                <w:i/>
                <w:lang w:val="en-US"/>
              </w:rPr>
              <w:t>Some concerns</w:t>
            </w:r>
          </w:p>
        </w:tc>
        <w:tc>
          <w:tcPr>
            <w:tcW w:w="863" w:type="pct"/>
            <w:shd w:val="clear" w:color="auto" w:fill="auto"/>
            <w:vAlign w:val="center"/>
          </w:tcPr>
          <w:p w14:paraId="41F12155" w14:textId="1001E6EC" w:rsidR="00956ACE" w:rsidRDefault="000D33E6" w:rsidP="00E27AF4">
            <w:pPr>
              <w:pStyle w:val="TableText"/>
              <w:spacing w:before="0" w:after="0"/>
              <w:jc w:val="center"/>
              <w:rPr>
                <w:lang w:val="en-US"/>
              </w:rPr>
            </w:pPr>
            <w:r>
              <w:rPr>
                <w:lang w:val="en-US"/>
              </w:rPr>
              <w:t>Patients with long coronary lesion</w:t>
            </w:r>
            <w:r w:rsidR="00881AC7">
              <w:rPr>
                <w:lang w:val="en-US"/>
              </w:rPr>
              <w:t>s</w:t>
            </w:r>
            <w:r>
              <w:rPr>
                <w:lang w:val="en-US"/>
              </w:rPr>
              <w:t xml:space="preserve"> (stent length ≥28 mm)</w:t>
            </w:r>
          </w:p>
          <w:p w14:paraId="60CDF4F0" w14:textId="364D2890" w:rsidR="00CC49D4" w:rsidRPr="00CE28E3" w:rsidRDefault="00CC49D4" w:rsidP="00E27AF4">
            <w:pPr>
              <w:pStyle w:val="TableText"/>
              <w:spacing w:before="0" w:after="0"/>
              <w:jc w:val="center"/>
              <w:rPr>
                <w:lang w:val="en-US"/>
              </w:rPr>
            </w:pPr>
            <w:r>
              <w:rPr>
                <w:lang w:val="en-US"/>
              </w:rPr>
              <w:t>DES: everolimus-eluting</w:t>
            </w:r>
          </w:p>
        </w:tc>
        <w:tc>
          <w:tcPr>
            <w:tcW w:w="1231" w:type="pct"/>
            <w:shd w:val="clear" w:color="auto" w:fill="auto"/>
            <w:vAlign w:val="center"/>
          </w:tcPr>
          <w:p w14:paraId="23A6AAE5" w14:textId="6ED4EE32" w:rsidR="00956ACE" w:rsidRDefault="00A1564D" w:rsidP="00E27AF4">
            <w:pPr>
              <w:pStyle w:val="TableText"/>
              <w:spacing w:before="0" w:after="0"/>
              <w:jc w:val="center"/>
              <w:rPr>
                <w:lang w:val="en-US"/>
              </w:rPr>
            </w:pPr>
            <w:r>
              <w:rPr>
                <w:u w:val="single"/>
                <w:lang w:val="en-US"/>
              </w:rPr>
              <w:t>Critical</w:t>
            </w:r>
            <w:r>
              <w:rPr>
                <w:lang w:val="en-US"/>
              </w:rPr>
              <w:t>:</w:t>
            </w:r>
            <w:r>
              <w:rPr>
                <w:lang w:val="en-US"/>
              </w:rPr>
              <w:br/>
            </w:r>
            <w:r w:rsidRPr="00363048">
              <w:rPr>
                <w:lang w:val="en-US"/>
              </w:rPr>
              <w:t>Cardiac death</w:t>
            </w:r>
            <w:r>
              <w:rPr>
                <w:lang w:val="en-US"/>
              </w:rPr>
              <w:br/>
            </w:r>
            <w:r w:rsidR="00363048" w:rsidRPr="00363048">
              <w:rPr>
                <w:lang w:val="en-US"/>
              </w:rPr>
              <w:t>Target-lesion MI</w:t>
            </w:r>
            <w:r w:rsidR="00363048">
              <w:rPr>
                <w:lang w:val="en-US"/>
              </w:rPr>
              <w:br/>
            </w:r>
            <w:r w:rsidR="00363048" w:rsidRPr="00363048">
              <w:rPr>
                <w:lang w:val="en-US"/>
              </w:rPr>
              <w:t>Ischaemia-driven TLR</w:t>
            </w:r>
            <w:r w:rsidR="00363048">
              <w:rPr>
                <w:lang w:val="en-US"/>
              </w:rPr>
              <w:br/>
            </w:r>
            <w:r w:rsidR="00363048" w:rsidRPr="00363048">
              <w:rPr>
                <w:lang w:val="en-US"/>
              </w:rPr>
              <w:t>Stent thrombosis</w:t>
            </w:r>
            <w:r w:rsidR="00CA7C5C">
              <w:rPr>
                <w:lang w:val="en-US"/>
              </w:rPr>
              <w:t xml:space="preserve"> (definite/probable)</w:t>
            </w:r>
          </w:p>
          <w:p w14:paraId="583A7C5E" w14:textId="611484B9" w:rsidR="00A1564D" w:rsidRPr="00CE28E3" w:rsidRDefault="00A1564D" w:rsidP="00E27AF4">
            <w:pPr>
              <w:pStyle w:val="TableText"/>
              <w:spacing w:before="0" w:after="0"/>
              <w:jc w:val="center"/>
              <w:rPr>
                <w:lang w:val="en-US"/>
              </w:rPr>
            </w:pPr>
            <w:r w:rsidRPr="00A1564D">
              <w:rPr>
                <w:u w:val="single"/>
                <w:lang w:val="en-US"/>
              </w:rPr>
              <w:t>Other</w:t>
            </w:r>
            <w:r>
              <w:rPr>
                <w:lang w:val="en-US"/>
              </w:rPr>
              <w:t>:</w:t>
            </w:r>
            <w:r w:rsidR="00850787">
              <w:rPr>
                <w:lang w:val="en-US"/>
              </w:rPr>
              <w:br/>
            </w:r>
            <w:r>
              <w:rPr>
                <w:lang w:val="en-US"/>
              </w:rPr>
              <w:t>MACE</w:t>
            </w:r>
            <w:r w:rsidR="00622D3B" w:rsidRPr="00622D3B">
              <w:rPr>
                <w:lang w:val="en-US"/>
              </w:rPr>
              <w:t>^</w:t>
            </w:r>
          </w:p>
        </w:tc>
        <w:tc>
          <w:tcPr>
            <w:tcW w:w="549" w:type="pct"/>
            <w:shd w:val="clear" w:color="auto" w:fill="auto"/>
            <w:vAlign w:val="center"/>
          </w:tcPr>
          <w:p w14:paraId="56C2128A" w14:textId="190E02F0" w:rsidR="00956ACE" w:rsidRPr="00CE28E3" w:rsidRDefault="00363048" w:rsidP="00E27AF4">
            <w:pPr>
              <w:pStyle w:val="TableText"/>
              <w:spacing w:before="0" w:after="0"/>
              <w:jc w:val="center"/>
              <w:rPr>
                <w:lang w:val="en-US"/>
              </w:rPr>
            </w:pPr>
            <w:r>
              <w:rPr>
                <w:lang w:val="en-US"/>
              </w:rPr>
              <w:t>TLR</w:t>
            </w:r>
            <w:r>
              <w:rPr>
                <w:lang w:val="en-US"/>
              </w:rPr>
              <w:br/>
              <w:t>Target-lesion MI</w:t>
            </w:r>
          </w:p>
        </w:tc>
      </w:tr>
      <w:tr w:rsidR="000859C7" w:rsidRPr="00CE28E3" w14:paraId="764EB7FF" w14:textId="77777777" w:rsidTr="00E27AF4">
        <w:trPr>
          <w:cantSplit/>
          <w:trHeight w:val="2156"/>
        </w:trPr>
        <w:tc>
          <w:tcPr>
            <w:tcW w:w="784" w:type="pct"/>
            <w:tcBorders>
              <w:bottom w:val="single" w:sz="4" w:space="0" w:color="auto"/>
            </w:tcBorders>
            <w:shd w:val="clear" w:color="auto" w:fill="auto"/>
            <w:vAlign w:val="center"/>
          </w:tcPr>
          <w:p w14:paraId="54C96631" w14:textId="77777777" w:rsidR="00881AC7" w:rsidRDefault="00721001" w:rsidP="00E27AF4">
            <w:pPr>
              <w:pStyle w:val="TableText"/>
              <w:spacing w:before="0" w:after="0"/>
              <w:rPr>
                <w:lang w:val="en-US"/>
              </w:rPr>
            </w:pPr>
            <w:r>
              <w:rPr>
                <w:lang w:val="en-US"/>
              </w:rPr>
              <w:t>RESET</w:t>
            </w:r>
          </w:p>
          <w:p w14:paraId="46BAB09C" w14:textId="3ABCD555" w:rsidR="00956ACE" w:rsidRPr="00C07319" w:rsidRDefault="00C07319" w:rsidP="00E27AF4">
            <w:pPr>
              <w:pStyle w:val="TableText"/>
              <w:spacing w:before="0" w:after="0"/>
              <w:rPr>
                <w:lang w:val="en-US"/>
              </w:rPr>
            </w:pPr>
            <w:r w:rsidRPr="00C07319">
              <w:rPr>
                <w:lang w:val="en-US"/>
              </w:rPr>
              <w:t>[</w:t>
            </w:r>
            <w:hyperlink r:id="rId42" w:tooltip="This link is to CLinicalTrials.gov entry for this trial" w:history="1">
              <w:r w:rsidR="00881AC7" w:rsidRPr="00C07319">
                <w:rPr>
                  <w:rStyle w:val="Hyperlink"/>
                  <w:lang w:val="en-US"/>
                </w:rPr>
                <w:t>NCT01145079</w:t>
              </w:r>
            </w:hyperlink>
            <w:r w:rsidRPr="00C07319">
              <w:rPr>
                <w:lang w:val="en-US"/>
              </w:rPr>
              <w:t>]</w:t>
            </w:r>
          </w:p>
        </w:tc>
        <w:tc>
          <w:tcPr>
            <w:tcW w:w="393" w:type="pct"/>
            <w:tcBorders>
              <w:bottom w:val="single" w:sz="4" w:space="0" w:color="auto"/>
            </w:tcBorders>
            <w:shd w:val="clear" w:color="auto" w:fill="auto"/>
            <w:vAlign w:val="center"/>
          </w:tcPr>
          <w:p w14:paraId="03161CBA" w14:textId="4ECBC1F7" w:rsidR="00956ACE" w:rsidRPr="00CE28E3" w:rsidRDefault="00721001" w:rsidP="00E27AF4">
            <w:pPr>
              <w:pStyle w:val="TableText"/>
              <w:spacing w:before="0" w:after="0"/>
              <w:jc w:val="center"/>
              <w:rPr>
                <w:lang w:val="en-US"/>
              </w:rPr>
            </w:pPr>
            <w:r>
              <w:rPr>
                <w:lang w:val="en-US"/>
              </w:rPr>
              <w:t>543</w:t>
            </w:r>
          </w:p>
        </w:tc>
        <w:tc>
          <w:tcPr>
            <w:tcW w:w="629" w:type="pct"/>
            <w:tcBorders>
              <w:bottom w:val="single" w:sz="4" w:space="0" w:color="auto"/>
            </w:tcBorders>
            <w:shd w:val="clear" w:color="auto" w:fill="auto"/>
            <w:vAlign w:val="center"/>
          </w:tcPr>
          <w:p w14:paraId="0D4B92ED" w14:textId="77777777" w:rsidR="0054791A" w:rsidRPr="00654764" w:rsidRDefault="00847D9F" w:rsidP="00E27AF4">
            <w:pPr>
              <w:pStyle w:val="TableText"/>
              <w:spacing w:before="0" w:after="0"/>
              <w:jc w:val="center"/>
              <w:rPr>
                <w:lang w:val="en-US"/>
              </w:rPr>
            </w:pPr>
            <w:r w:rsidRPr="00654764">
              <w:rPr>
                <w:lang w:val="en-US"/>
              </w:rPr>
              <w:t>R, MC, OL</w:t>
            </w:r>
            <w:r w:rsidR="00742F90" w:rsidRPr="00654764">
              <w:rPr>
                <w:lang w:val="en-US"/>
              </w:rPr>
              <w:t xml:space="preserve"> substudy</w:t>
            </w:r>
            <w:r w:rsidRPr="00654764">
              <w:rPr>
                <w:lang w:val="en-US"/>
              </w:rPr>
              <w:br/>
              <w:t>1 yr</w:t>
            </w:r>
          </w:p>
          <w:p w14:paraId="0258CD10" w14:textId="045D607F" w:rsidR="00956ACE" w:rsidRPr="00654764" w:rsidRDefault="00847D9F" w:rsidP="00E27AF4">
            <w:pPr>
              <w:pStyle w:val="TableText"/>
              <w:spacing w:before="0" w:after="0"/>
              <w:jc w:val="center"/>
              <w:rPr>
                <w:lang w:val="en-US"/>
              </w:rPr>
            </w:pPr>
            <w:r w:rsidRPr="00654764">
              <w:rPr>
                <w:lang w:val="en-US"/>
              </w:rPr>
              <w:t>Korea</w:t>
            </w:r>
          </w:p>
        </w:tc>
        <w:tc>
          <w:tcPr>
            <w:tcW w:w="551" w:type="pct"/>
            <w:tcBorders>
              <w:bottom w:val="single" w:sz="4" w:space="0" w:color="auto"/>
            </w:tcBorders>
            <w:shd w:val="clear" w:color="auto" w:fill="auto"/>
            <w:vAlign w:val="center"/>
          </w:tcPr>
          <w:p w14:paraId="23BF88DA" w14:textId="60CE6403" w:rsidR="00956ACE" w:rsidRPr="00CE28E3" w:rsidRDefault="00847D9F" w:rsidP="00E27AF4">
            <w:pPr>
              <w:pStyle w:val="TableText"/>
              <w:spacing w:before="0" w:after="0"/>
              <w:jc w:val="center"/>
              <w:rPr>
                <w:i/>
                <w:lang w:val="en-US"/>
              </w:rPr>
            </w:pPr>
            <w:r>
              <w:rPr>
                <w:i/>
                <w:lang w:val="en-US"/>
              </w:rPr>
              <w:t>Some concerns</w:t>
            </w:r>
          </w:p>
        </w:tc>
        <w:tc>
          <w:tcPr>
            <w:tcW w:w="863" w:type="pct"/>
            <w:tcBorders>
              <w:bottom w:val="single" w:sz="4" w:space="0" w:color="auto"/>
            </w:tcBorders>
            <w:shd w:val="clear" w:color="auto" w:fill="auto"/>
            <w:vAlign w:val="center"/>
          </w:tcPr>
          <w:p w14:paraId="6109AA4F" w14:textId="3404A4FC" w:rsidR="00956ACE" w:rsidRDefault="000D33E6" w:rsidP="00E27AF4">
            <w:pPr>
              <w:pStyle w:val="TableText"/>
              <w:spacing w:before="0" w:after="0"/>
              <w:jc w:val="center"/>
              <w:rPr>
                <w:lang w:val="en-US"/>
              </w:rPr>
            </w:pPr>
            <w:r>
              <w:rPr>
                <w:lang w:val="en-US"/>
              </w:rPr>
              <w:t xml:space="preserve">Patients with </w:t>
            </w:r>
            <w:r w:rsidR="00B70F00" w:rsidRPr="00B70F00">
              <w:rPr>
                <w:i/>
                <w:iCs/>
                <w:lang w:val="en-US"/>
              </w:rPr>
              <w:t>de novo</w:t>
            </w:r>
            <w:r w:rsidR="00B70F00">
              <w:rPr>
                <w:lang w:val="en-US"/>
              </w:rPr>
              <w:t xml:space="preserve"> </w:t>
            </w:r>
            <w:r>
              <w:rPr>
                <w:lang w:val="en-US"/>
              </w:rPr>
              <w:t>long coronary lesion</w:t>
            </w:r>
            <w:r w:rsidR="00881AC7">
              <w:rPr>
                <w:lang w:val="en-US"/>
              </w:rPr>
              <w:t>s</w:t>
            </w:r>
            <w:r>
              <w:rPr>
                <w:lang w:val="en-US"/>
              </w:rPr>
              <w:t xml:space="preserve"> (stent length ≥28 mm)</w:t>
            </w:r>
          </w:p>
          <w:p w14:paraId="05F1D9DA" w14:textId="1DA512D3" w:rsidR="00B70F00" w:rsidRPr="00CE28E3" w:rsidRDefault="00B70F00" w:rsidP="00E27AF4">
            <w:pPr>
              <w:pStyle w:val="TableText"/>
              <w:spacing w:before="0" w:after="0"/>
              <w:jc w:val="center"/>
              <w:rPr>
                <w:lang w:val="en-US"/>
              </w:rPr>
            </w:pPr>
            <w:r>
              <w:rPr>
                <w:lang w:val="en-US"/>
              </w:rPr>
              <w:t xml:space="preserve">DES: </w:t>
            </w:r>
            <w:r w:rsidR="00CC49D4">
              <w:rPr>
                <w:lang w:val="en-US"/>
              </w:rPr>
              <w:t>everolimus- or zotarolimus-eluting</w:t>
            </w:r>
          </w:p>
        </w:tc>
        <w:tc>
          <w:tcPr>
            <w:tcW w:w="1231" w:type="pct"/>
            <w:tcBorders>
              <w:bottom w:val="single" w:sz="4" w:space="0" w:color="auto"/>
            </w:tcBorders>
            <w:shd w:val="clear" w:color="auto" w:fill="auto"/>
            <w:vAlign w:val="center"/>
          </w:tcPr>
          <w:p w14:paraId="1586E8E1" w14:textId="3E36C743" w:rsidR="00956ACE" w:rsidRDefault="00A1564D" w:rsidP="00E27AF4">
            <w:pPr>
              <w:pStyle w:val="TableText"/>
              <w:spacing w:before="0" w:after="0"/>
              <w:jc w:val="center"/>
              <w:rPr>
                <w:lang w:val="en-US"/>
              </w:rPr>
            </w:pPr>
            <w:r>
              <w:rPr>
                <w:u w:val="single"/>
                <w:lang w:val="en-US"/>
              </w:rPr>
              <w:t>Critical</w:t>
            </w:r>
            <w:r>
              <w:rPr>
                <w:lang w:val="en-US"/>
              </w:rPr>
              <w:t>:</w:t>
            </w:r>
            <w:r>
              <w:rPr>
                <w:lang w:val="en-US"/>
              </w:rPr>
              <w:br/>
            </w:r>
            <w:r w:rsidR="00363048" w:rsidRPr="00363048">
              <w:rPr>
                <w:lang w:val="en-US"/>
              </w:rPr>
              <w:t xml:space="preserve">Cardiovascular </w:t>
            </w:r>
            <w:r w:rsidR="00363048">
              <w:rPr>
                <w:lang w:val="en-US"/>
              </w:rPr>
              <w:t>d</w:t>
            </w:r>
            <w:r w:rsidR="00363048" w:rsidRPr="00363048">
              <w:rPr>
                <w:lang w:val="en-US"/>
              </w:rPr>
              <w:t>eath</w:t>
            </w:r>
            <w:r w:rsidR="00363048">
              <w:rPr>
                <w:lang w:val="en-US"/>
              </w:rPr>
              <w:br/>
            </w:r>
            <w:r w:rsidRPr="00363048">
              <w:rPr>
                <w:lang w:val="en-US"/>
              </w:rPr>
              <w:t>MI</w:t>
            </w:r>
            <w:r>
              <w:rPr>
                <w:lang w:val="en-US"/>
              </w:rPr>
              <w:br/>
            </w:r>
            <w:r w:rsidR="00363048" w:rsidRPr="00363048">
              <w:rPr>
                <w:lang w:val="en-US"/>
              </w:rPr>
              <w:t>Stent thrombosis</w:t>
            </w:r>
            <w:r w:rsidR="00CA7C5C">
              <w:rPr>
                <w:lang w:val="en-US"/>
              </w:rPr>
              <w:t xml:space="preserve"> (definite/probable/possible)</w:t>
            </w:r>
          </w:p>
          <w:p w14:paraId="1CA53850" w14:textId="7A7DE892" w:rsidR="00A1564D" w:rsidRDefault="00A1564D" w:rsidP="00E27AF4">
            <w:pPr>
              <w:pStyle w:val="TableText"/>
              <w:spacing w:before="0" w:after="0"/>
              <w:jc w:val="center"/>
              <w:rPr>
                <w:lang w:val="en-US"/>
              </w:rPr>
            </w:pPr>
            <w:r w:rsidRPr="00A1564D">
              <w:rPr>
                <w:u w:val="single"/>
                <w:lang w:val="en-US"/>
              </w:rPr>
              <w:t>Other</w:t>
            </w:r>
            <w:r>
              <w:rPr>
                <w:lang w:val="en-US"/>
              </w:rPr>
              <w:t>:</w:t>
            </w:r>
            <w:r w:rsidR="00850787">
              <w:rPr>
                <w:lang w:val="en-US"/>
              </w:rPr>
              <w:br/>
              <w:t>All-cause death</w:t>
            </w:r>
            <w:r w:rsidR="00850787">
              <w:rPr>
                <w:lang w:val="en-US"/>
              </w:rPr>
              <w:br/>
            </w:r>
            <w:r>
              <w:rPr>
                <w:lang w:val="en-US"/>
              </w:rPr>
              <w:t>MACE</w:t>
            </w:r>
            <w:r w:rsidR="00622D3B" w:rsidRPr="00622D3B">
              <w:rPr>
                <w:lang w:val="en-US"/>
              </w:rPr>
              <w:t>^</w:t>
            </w:r>
          </w:p>
          <w:p w14:paraId="2A3F370B" w14:textId="72D8312F" w:rsidR="00AC6835" w:rsidRPr="00CE28E3" w:rsidRDefault="00654764" w:rsidP="00E27AF4">
            <w:pPr>
              <w:pStyle w:val="TableText"/>
              <w:spacing w:before="0" w:after="0"/>
              <w:jc w:val="center"/>
              <w:rPr>
                <w:lang w:val="en-US"/>
              </w:rPr>
            </w:pPr>
            <w:r w:rsidRPr="00363048">
              <w:rPr>
                <w:lang w:val="en-US"/>
              </w:rPr>
              <w:t>TVR</w:t>
            </w:r>
          </w:p>
        </w:tc>
        <w:tc>
          <w:tcPr>
            <w:tcW w:w="549" w:type="pct"/>
            <w:shd w:val="clear" w:color="auto" w:fill="auto"/>
            <w:vAlign w:val="center"/>
          </w:tcPr>
          <w:p w14:paraId="562F7956" w14:textId="0A281C9A" w:rsidR="00956ACE" w:rsidRPr="00CE28E3" w:rsidRDefault="00363048" w:rsidP="00E27AF4">
            <w:pPr>
              <w:pStyle w:val="TableText"/>
              <w:spacing w:before="0" w:after="0"/>
              <w:jc w:val="center"/>
              <w:rPr>
                <w:lang w:val="en-US"/>
              </w:rPr>
            </w:pPr>
            <w:r>
              <w:rPr>
                <w:lang w:val="en-US"/>
              </w:rPr>
              <w:t>MI</w:t>
            </w:r>
          </w:p>
        </w:tc>
      </w:tr>
      <w:tr w:rsidR="000859C7" w:rsidRPr="00CE28E3" w14:paraId="271A4AD0" w14:textId="77777777" w:rsidTr="00CC1910">
        <w:trPr>
          <w:cantSplit/>
        </w:trPr>
        <w:tc>
          <w:tcPr>
            <w:tcW w:w="784" w:type="pct"/>
            <w:tcBorders>
              <w:right w:val="nil"/>
            </w:tcBorders>
            <w:shd w:val="clear" w:color="auto" w:fill="auto"/>
            <w:vAlign w:val="center"/>
          </w:tcPr>
          <w:p w14:paraId="525AFFD8" w14:textId="462C8382" w:rsidR="000D33E6" w:rsidRPr="000D33E6" w:rsidRDefault="000D33E6" w:rsidP="00E27AF4">
            <w:pPr>
              <w:pStyle w:val="TableText"/>
              <w:spacing w:before="0" w:after="0"/>
              <w:rPr>
                <w:b/>
                <w:bCs/>
                <w:lang w:val="en-US"/>
              </w:rPr>
            </w:pPr>
            <w:r w:rsidRPr="000D33E6">
              <w:rPr>
                <w:b/>
                <w:bCs/>
                <w:lang w:val="en-US"/>
              </w:rPr>
              <w:t>Left main lesions</w:t>
            </w:r>
          </w:p>
        </w:tc>
        <w:tc>
          <w:tcPr>
            <w:tcW w:w="393" w:type="pct"/>
            <w:tcBorders>
              <w:left w:val="nil"/>
              <w:right w:val="nil"/>
            </w:tcBorders>
            <w:shd w:val="clear" w:color="auto" w:fill="auto"/>
            <w:vAlign w:val="center"/>
          </w:tcPr>
          <w:p w14:paraId="0815EEA5" w14:textId="77777777" w:rsidR="000D33E6" w:rsidRPr="000D33E6" w:rsidRDefault="000D33E6" w:rsidP="00E27AF4">
            <w:pPr>
              <w:pStyle w:val="TableText"/>
              <w:spacing w:before="0" w:after="0"/>
              <w:jc w:val="center"/>
              <w:rPr>
                <w:b/>
                <w:bCs/>
                <w:lang w:val="en-US"/>
              </w:rPr>
            </w:pPr>
          </w:p>
        </w:tc>
        <w:tc>
          <w:tcPr>
            <w:tcW w:w="629" w:type="pct"/>
            <w:tcBorders>
              <w:left w:val="nil"/>
              <w:right w:val="nil"/>
            </w:tcBorders>
            <w:shd w:val="clear" w:color="auto" w:fill="auto"/>
            <w:vAlign w:val="center"/>
          </w:tcPr>
          <w:p w14:paraId="4C70D601" w14:textId="77777777" w:rsidR="000D33E6" w:rsidRPr="00654764" w:rsidRDefault="000D33E6" w:rsidP="00E27AF4">
            <w:pPr>
              <w:pStyle w:val="TableText"/>
              <w:spacing w:before="0" w:after="0"/>
              <w:jc w:val="center"/>
              <w:rPr>
                <w:b/>
                <w:bCs/>
                <w:lang w:val="en-US"/>
              </w:rPr>
            </w:pPr>
          </w:p>
        </w:tc>
        <w:tc>
          <w:tcPr>
            <w:tcW w:w="551" w:type="pct"/>
            <w:tcBorders>
              <w:left w:val="nil"/>
              <w:right w:val="nil"/>
            </w:tcBorders>
            <w:shd w:val="clear" w:color="auto" w:fill="auto"/>
            <w:vAlign w:val="center"/>
          </w:tcPr>
          <w:p w14:paraId="1FCEC8B2" w14:textId="77777777" w:rsidR="000D33E6" w:rsidRPr="000D33E6" w:rsidRDefault="000D33E6" w:rsidP="00E27AF4">
            <w:pPr>
              <w:pStyle w:val="TableText"/>
              <w:spacing w:before="0" w:after="0"/>
              <w:jc w:val="center"/>
              <w:rPr>
                <w:b/>
                <w:bCs/>
                <w:i/>
                <w:iCs/>
                <w:lang w:val="en-US"/>
              </w:rPr>
            </w:pPr>
          </w:p>
        </w:tc>
        <w:tc>
          <w:tcPr>
            <w:tcW w:w="863" w:type="pct"/>
            <w:tcBorders>
              <w:left w:val="nil"/>
              <w:right w:val="nil"/>
            </w:tcBorders>
            <w:shd w:val="clear" w:color="auto" w:fill="auto"/>
            <w:vAlign w:val="center"/>
          </w:tcPr>
          <w:p w14:paraId="5AF61075" w14:textId="77777777" w:rsidR="000D33E6" w:rsidRPr="000D33E6" w:rsidRDefault="000D33E6" w:rsidP="00E27AF4">
            <w:pPr>
              <w:pStyle w:val="TableText"/>
              <w:spacing w:before="0" w:after="0"/>
              <w:jc w:val="center"/>
              <w:rPr>
                <w:b/>
                <w:bCs/>
                <w:lang w:val="en-US"/>
              </w:rPr>
            </w:pPr>
          </w:p>
        </w:tc>
        <w:tc>
          <w:tcPr>
            <w:tcW w:w="1231" w:type="pct"/>
            <w:tcBorders>
              <w:left w:val="nil"/>
              <w:right w:val="nil"/>
            </w:tcBorders>
            <w:shd w:val="clear" w:color="auto" w:fill="auto"/>
            <w:vAlign w:val="center"/>
          </w:tcPr>
          <w:p w14:paraId="2CE23065" w14:textId="77777777" w:rsidR="000D33E6" w:rsidRPr="000D33E6" w:rsidRDefault="000D33E6" w:rsidP="00E27AF4">
            <w:pPr>
              <w:pStyle w:val="TableText"/>
              <w:spacing w:before="0" w:after="0"/>
              <w:jc w:val="center"/>
              <w:rPr>
                <w:b/>
                <w:bCs/>
                <w:lang w:val="en-US"/>
              </w:rPr>
            </w:pPr>
          </w:p>
        </w:tc>
        <w:tc>
          <w:tcPr>
            <w:tcW w:w="549" w:type="pct"/>
            <w:tcBorders>
              <w:left w:val="nil"/>
            </w:tcBorders>
            <w:shd w:val="clear" w:color="auto" w:fill="auto"/>
            <w:vAlign w:val="center"/>
          </w:tcPr>
          <w:p w14:paraId="7C676F00" w14:textId="77777777" w:rsidR="000D33E6" w:rsidRPr="000D33E6" w:rsidRDefault="000D33E6" w:rsidP="00E27AF4">
            <w:pPr>
              <w:pStyle w:val="TableText"/>
              <w:spacing w:before="0" w:after="0"/>
              <w:jc w:val="center"/>
              <w:rPr>
                <w:b/>
                <w:bCs/>
                <w:lang w:val="en-US"/>
              </w:rPr>
            </w:pPr>
          </w:p>
        </w:tc>
      </w:tr>
      <w:tr w:rsidR="004C2F1C" w:rsidRPr="00CE28E3" w14:paraId="40000E32" w14:textId="77777777" w:rsidTr="00CC1910">
        <w:trPr>
          <w:cantSplit/>
        </w:trPr>
        <w:tc>
          <w:tcPr>
            <w:tcW w:w="784" w:type="pct"/>
            <w:shd w:val="clear" w:color="auto" w:fill="auto"/>
            <w:vAlign w:val="center"/>
          </w:tcPr>
          <w:p w14:paraId="0E237A0F" w14:textId="77777777" w:rsidR="004C2F1C" w:rsidRPr="00CE28E3" w:rsidRDefault="004C2F1C" w:rsidP="00E27AF4">
            <w:pPr>
              <w:pStyle w:val="TableText"/>
              <w:spacing w:before="0" w:after="0"/>
              <w:rPr>
                <w:lang w:val="en-US"/>
              </w:rPr>
            </w:pPr>
            <w:r>
              <w:rPr>
                <w:lang w:val="en-US"/>
              </w:rPr>
              <w:t>Liu 2019</w:t>
            </w:r>
          </w:p>
        </w:tc>
        <w:tc>
          <w:tcPr>
            <w:tcW w:w="393" w:type="pct"/>
            <w:shd w:val="clear" w:color="auto" w:fill="auto"/>
            <w:vAlign w:val="center"/>
          </w:tcPr>
          <w:p w14:paraId="020E3798" w14:textId="77777777" w:rsidR="004C2F1C" w:rsidRPr="00CE28E3" w:rsidRDefault="004C2F1C" w:rsidP="00E27AF4">
            <w:pPr>
              <w:pStyle w:val="TableText"/>
              <w:spacing w:before="0" w:after="0"/>
              <w:jc w:val="center"/>
              <w:rPr>
                <w:lang w:val="en-US"/>
              </w:rPr>
            </w:pPr>
            <w:r>
              <w:rPr>
                <w:lang w:val="en-US"/>
              </w:rPr>
              <w:t>348</w:t>
            </w:r>
          </w:p>
        </w:tc>
        <w:tc>
          <w:tcPr>
            <w:tcW w:w="629" w:type="pct"/>
            <w:shd w:val="clear" w:color="auto" w:fill="auto"/>
            <w:vAlign w:val="center"/>
          </w:tcPr>
          <w:p w14:paraId="767760C9" w14:textId="77777777" w:rsidR="004C2F1C" w:rsidRPr="00654764" w:rsidRDefault="004C2F1C" w:rsidP="00E27AF4">
            <w:pPr>
              <w:pStyle w:val="TableText"/>
              <w:spacing w:before="0" w:after="0"/>
              <w:jc w:val="center"/>
              <w:rPr>
                <w:lang w:val="en-US"/>
              </w:rPr>
            </w:pPr>
            <w:r w:rsidRPr="00654764">
              <w:rPr>
                <w:lang w:val="en-US"/>
              </w:rPr>
              <w:t>R, SC, OL</w:t>
            </w:r>
            <w:r w:rsidRPr="00654764">
              <w:rPr>
                <w:lang w:val="en-US"/>
              </w:rPr>
              <w:br/>
              <w:t>1 yr</w:t>
            </w:r>
          </w:p>
          <w:p w14:paraId="5CC9036B" w14:textId="77777777" w:rsidR="004C2F1C" w:rsidRPr="00654764" w:rsidRDefault="004C2F1C" w:rsidP="00E27AF4">
            <w:pPr>
              <w:pStyle w:val="TableText"/>
              <w:spacing w:before="0" w:after="0"/>
              <w:jc w:val="center"/>
              <w:rPr>
                <w:lang w:val="en-US"/>
              </w:rPr>
            </w:pPr>
            <w:r w:rsidRPr="00654764">
              <w:rPr>
                <w:lang w:val="en-US"/>
              </w:rPr>
              <w:t>China</w:t>
            </w:r>
          </w:p>
        </w:tc>
        <w:tc>
          <w:tcPr>
            <w:tcW w:w="551" w:type="pct"/>
            <w:shd w:val="clear" w:color="auto" w:fill="auto"/>
            <w:vAlign w:val="center"/>
          </w:tcPr>
          <w:p w14:paraId="26950F24" w14:textId="77777777" w:rsidR="004C2F1C" w:rsidRPr="00847D9F" w:rsidRDefault="004C2F1C" w:rsidP="00E27AF4">
            <w:pPr>
              <w:pStyle w:val="TableText"/>
              <w:spacing w:before="0" w:after="0"/>
              <w:jc w:val="center"/>
              <w:rPr>
                <w:i/>
                <w:iCs/>
                <w:lang w:val="en-US"/>
              </w:rPr>
            </w:pPr>
            <w:r w:rsidRPr="00847D9F">
              <w:rPr>
                <w:i/>
                <w:iCs/>
                <w:lang w:val="en-US"/>
              </w:rPr>
              <w:t>High risk</w:t>
            </w:r>
          </w:p>
        </w:tc>
        <w:tc>
          <w:tcPr>
            <w:tcW w:w="863" w:type="pct"/>
            <w:shd w:val="clear" w:color="auto" w:fill="auto"/>
            <w:vAlign w:val="center"/>
          </w:tcPr>
          <w:p w14:paraId="3F72A7CD" w14:textId="77777777" w:rsidR="004C2F1C" w:rsidRDefault="004C2F1C" w:rsidP="00E27AF4">
            <w:pPr>
              <w:pStyle w:val="TableText"/>
              <w:spacing w:before="0" w:after="0"/>
              <w:jc w:val="center"/>
              <w:rPr>
                <w:lang w:val="en-US"/>
              </w:rPr>
            </w:pPr>
            <w:r>
              <w:rPr>
                <w:lang w:val="en-US"/>
              </w:rPr>
              <w:t>Patients with unprotected left main lesions</w:t>
            </w:r>
          </w:p>
          <w:p w14:paraId="2C9C4781" w14:textId="77777777" w:rsidR="004C2F1C" w:rsidRPr="00CE28E3" w:rsidRDefault="004C2F1C" w:rsidP="00E27AF4">
            <w:pPr>
              <w:pStyle w:val="TableText"/>
              <w:spacing w:before="0" w:after="0"/>
              <w:jc w:val="center"/>
              <w:rPr>
                <w:lang w:val="en-US"/>
              </w:rPr>
            </w:pPr>
            <w:r>
              <w:rPr>
                <w:lang w:val="en-US"/>
              </w:rPr>
              <w:t>DES at discretion of operator (type not reported)</w:t>
            </w:r>
          </w:p>
        </w:tc>
        <w:tc>
          <w:tcPr>
            <w:tcW w:w="1231" w:type="pct"/>
            <w:shd w:val="clear" w:color="auto" w:fill="auto"/>
            <w:vAlign w:val="center"/>
          </w:tcPr>
          <w:p w14:paraId="026FE626" w14:textId="4FC1EA95" w:rsidR="004C2F1C" w:rsidRDefault="004C2F1C" w:rsidP="00E27AF4">
            <w:pPr>
              <w:pStyle w:val="TableText"/>
              <w:spacing w:before="0" w:after="0"/>
              <w:jc w:val="center"/>
              <w:rPr>
                <w:lang w:val="en-US"/>
              </w:rPr>
            </w:pPr>
            <w:r>
              <w:rPr>
                <w:u w:val="single"/>
                <w:lang w:val="en-US"/>
              </w:rPr>
              <w:t>Critical</w:t>
            </w:r>
            <w:r>
              <w:rPr>
                <w:lang w:val="en-US"/>
              </w:rPr>
              <w:t>:</w:t>
            </w:r>
            <w:r>
              <w:rPr>
                <w:lang w:val="en-US"/>
              </w:rPr>
              <w:br/>
            </w:r>
            <w:r w:rsidRPr="00363048">
              <w:rPr>
                <w:lang w:val="en-US"/>
              </w:rPr>
              <w:t>Cardiac death</w:t>
            </w:r>
            <w:r>
              <w:rPr>
                <w:lang w:val="en-US"/>
              </w:rPr>
              <w:br/>
            </w:r>
            <w:r w:rsidRPr="00363048">
              <w:rPr>
                <w:lang w:val="en-US"/>
              </w:rPr>
              <w:t>MI</w:t>
            </w:r>
            <w:r>
              <w:rPr>
                <w:lang w:val="en-US"/>
              </w:rPr>
              <w:br/>
            </w:r>
            <w:r w:rsidRPr="00363048">
              <w:rPr>
                <w:lang w:val="en-US"/>
              </w:rPr>
              <w:t>TLR</w:t>
            </w:r>
            <w:r>
              <w:rPr>
                <w:lang w:val="en-US"/>
              </w:rPr>
              <w:br/>
            </w:r>
            <w:r w:rsidRPr="00363048">
              <w:rPr>
                <w:lang w:val="en-US"/>
              </w:rPr>
              <w:t>Stent thrombosis</w:t>
            </w:r>
            <w:r>
              <w:rPr>
                <w:lang w:val="en-US"/>
              </w:rPr>
              <w:t xml:space="preserve"> (definite/probable)</w:t>
            </w:r>
          </w:p>
          <w:p w14:paraId="19DD01D2" w14:textId="1FE61161" w:rsidR="004C2F1C" w:rsidRPr="00CE28E3" w:rsidRDefault="004C2F1C" w:rsidP="00E27AF4">
            <w:pPr>
              <w:pStyle w:val="TableText"/>
              <w:spacing w:before="0" w:after="0"/>
              <w:jc w:val="center"/>
              <w:rPr>
                <w:lang w:val="en-US"/>
              </w:rPr>
            </w:pPr>
            <w:r w:rsidRPr="00A1564D">
              <w:rPr>
                <w:u w:val="single"/>
                <w:lang w:val="en-US"/>
              </w:rPr>
              <w:t>Other</w:t>
            </w:r>
            <w:r>
              <w:rPr>
                <w:lang w:val="en-US"/>
              </w:rPr>
              <w:t>:</w:t>
            </w:r>
            <w:r>
              <w:rPr>
                <w:lang w:val="en-US"/>
              </w:rPr>
              <w:br/>
              <w:t>MACE</w:t>
            </w:r>
            <w:r w:rsidR="00622D3B" w:rsidRPr="00622D3B">
              <w:rPr>
                <w:lang w:val="en-US"/>
              </w:rPr>
              <w:t>^</w:t>
            </w:r>
            <w:r>
              <w:rPr>
                <w:lang w:val="en-US"/>
              </w:rPr>
              <w:br/>
            </w:r>
            <w:r w:rsidRPr="00363048">
              <w:rPr>
                <w:lang w:val="en-US"/>
              </w:rPr>
              <w:t>TVR</w:t>
            </w:r>
          </w:p>
        </w:tc>
        <w:tc>
          <w:tcPr>
            <w:tcW w:w="549" w:type="pct"/>
            <w:shd w:val="clear" w:color="auto" w:fill="auto"/>
            <w:vAlign w:val="center"/>
          </w:tcPr>
          <w:p w14:paraId="4E9B89BE" w14:textId="77777777" w:rsidR="004C2F1C" w:rsidRPr="00CE28E3" w:rsidRDefault="004C2F1C" w:rsidP="00E27AF4">
            <w:pPr>
              <w:pStyle w:val="TableText"/>
              <w:spacing w:before="0" w:after="0"/>
              <w:jc w:val="center"/>
              <w:rPr>
                <w:lang w:val="en-US"/>
              </w:rPr>
            </w:pPr>
            <w:r>
              <w:rPr>
                <w:lang w:val="en-US"/>
              </w:rPr>
              <w:t>TLR</w:t>
            </w:r>
            <w:r>
              <w:rPr>
                <w:lang w:val="en-US"/>
              </w:rPr>
              <w:br/>
              <w:t>MI</w:t>
            </w:r>
          </w:p>
        </w:tc>
      </w:tr>
      <w:tr w:rsidR="000859C7" w:rsidRPr="00CE28E3" w14:paraId="4C0FCC71" w14:textId="77777777" w:rsidTr="00CC1910">
        <w:trPr>
          <w:cantSplit/>
        </w:trPr>
        <w:tc>
          <w:tcPr>
            <w:tcW w:w="784" w:type="pct"/>
            <w:shd w:val="clear" w:color="auto" w:fill="auto"/>
            <w:vAlign w:val="center"/>
          </w:tcPr>
          <w:p w14:paraId="6D249FDD" w14:textId="5B167FEA" w:rsidR="00956ACE" w:rsidRPr="00CE28E3" w:rsidRDefault="00721001" w:rsidP="00E27AF4">
            <w:pPr>
              <w:pStyle w:val="TableText"/>
              <w:spacing w:before="0" w:after="0"/>
              <w:rPr>
                <w:lang w:val="en-US"/>
              </w:rPr>
            </w:pPr>
            <w:r>
              <w:rPr>
                <w:lang w:val="en-US"/>
              </w:rPr>
              <w:lastRenderedPageBreak/>
              <w:t>Tan 2015</w:t>
            </w:r>
          </w:p>
        </w:tc>
        <w:tc>
          <w:tcPr>
            <w:tcW w:w="393" w:type="pct"/>
            <w:shd w:val="clear" w:color="auto" w:fill="auto"/>
            <w:vAlign w:val="center"/>
          </w:tcPr>
          <w:p w14:paraId="3115E3F6" w14:textId="558CBF7E" w:rsidR="00956ACE" w:rsidRPr="00CE28E3" w:rsidRDefault="00721001" w:rsidP="00E27AF4">
            <w:pPr>
              <w:pStyle w:val="TableText"/>
              <w:spacing w:before="0" w:after="0"/>
              <w:jc w:val="center"/>
              <w:rPr>
                <w:lang w:val="en-US"/>
              </w:rPr>
            </w:pPr>
            <w:r>
              <w:rPr>
                <w:lang w:val="en-US"/>
              </w:rPr>
              <w:t>123</w:t>
            </w:r>
          </w:p>
        </w:tc>
        <w:tc>
          <w:tcPr>
            <w:tcW w:w="629" w:type="pct"/>
            <w:shd w:val="clear" w:color="auto" w:fill="auto"/>
            <w:vAlign w:val="center"/>
          </w:tcPr>
          <w:p w14:paraId="4A0C9625" w14:textId="77777777" w:rsidR="0054791A" w:rsidRPr="00654764" w:rsidRDefault="00847D9F" w:rsidP="00E27AF4">
            <w:pPr>
              <w:pStyle w:val="TableText"/>
              <w:spacing w:before="0" w:after="0"/>
              <w:jc w:val="center"/>
              <w:rPr>
                <w:lang w:val="en-US"/>
              </w:rPr>
            </w:pPr>
            <w:r w:rsidRPr="00654764">
              <w:rPr>
                <w:lang w:val="en-US"/>
              </w:rPr>
              <w:t>R, SC, OL</w:t>
            </w:r>
            <w:r w:rsidRPr="00654764">
              <w:rPr>
                <w:lang w:val="en-US"/>
              </w:rPr>
              <w:br/>
              <w:t>2 yrs</w:t>
            </w:r>
          </w:p>
          <w:p w14:paraId="2FD725D1" w14:textId="4B4FA8D3" w:rsidR="00956ACE" w:rsidRPr="00654764" w:rsidRDefault="00847D9F" w:rsidP="00E27AF4">
            <w:pPr>
              <w:pStyle w:val="TableText"/>
              <w:spacing w:before="0" w:after="0"/>
              <w:jc w:val="center"/>
              <w:rPr>
                <w:lang w:val="en-US"/>
              </w:rPr>
            </w:pPr>
            <w:r w:rsidRPr="00654764">
              <w:rPr>
                <w:lang w:val="en-US"/>
              </w:rPr>
              <w:t>China</w:t>
            </w:r>
          </w:p>
        </w:tc>
        <w:tc>
          <w:tcPr>
            <w:tcW w:w="551" w:type="pct"/>
            <w:shd w:val="clear" w:color="auto" w:fill="auto"/>
            <w:vAlign w:val="center"/>
          </w:tcPr>
          <w:p w14:paraId="6BD28768" w14:textId="5FF45C76" w:rsidR="00956ACE" w:rsidRPr="00847D9F" w:rsidRDefault="00847D9F" w:rsidP="00E27AF4">
            <w:pPr>
              <w:pStyle w:val="TableText"/>
              <w:spacing w:before="0" w:after="0"/>
              <w:jc w:val="center"/>
              <w:rPr>
                <w:i/>
                <w:iCs/>
                <w:lang w:val="en-US"/>
              </w:rPr>
            </w:pPr>
            <w:r w:rsidRPr="00847D9F">
              <w:rPr>
                <w:i/>
                <w:iCs/>
                <w:lang w:val="en-US"/>
              </w:rPr>
              <w:t>High risk</w:t>
            </w:r>
          </w:p>
        </w:tc>
        <w:tc>
          <w:tcPr>
            <w:tcW w:w="863" w:type="pct"/>
            <w:shd w:val="clear" w:color="auto" w:fill="auto"/>
            <w:vAlign w:val="center"/>
          </w:tcPr>
          <w:p w14:paraId="12BBAA5F" w14:textId="0045B96B" w:rsidR="00956ACE" w:rsidRDefault="000D33E6" w:rsidP="00E27AF4">
            <w:pPr>
              <w:pStyle w:val="TableText"/>
              <w:spacing w:before="0" w:after="0"/>
              <w:jc w:val="center"/>
              <w:rPr>
                <w:lang w:val="en-US"/>
              </w:rPr>
            </w:pPr>
            <w:r>
              <w:rPr>
                <w:lang w:val="en-US"/>
              </w:rPr>
              <w:t xml:space="preserve">Elderly patients </w:t>
            </w:r>
            <w:r w:rsidR="00CC49D4">
              <w:rPr>
                <w:lang w:val="en-US"/>
              </w:rPr>
              <w:t xml:space="preserve">(≥70 yrs) </w:t>
            </w:r>
            <w:r>
              <w:rPr>
                <w:lang w:val="en-US"/>
              </w:rPr>
              <w:t xml:space="preserve">with </w:t>
            </w:r>
            <w:r w:rsidR="00B70F00">
              <w:rPr>
                <w:lang w:val="en-US"/>
              </w:rPr>
              <w:t xml:space="preserve">unprotected </w:t>
            </w:r>
            <w:r>
              <w:rPr>
                <w:lang w:val="en-US"/>
              </w:rPr>
              <w:t>left main lesion</w:t>
            </w:r>
            <w:r w:rsidR="00CC49D4">
              <w:rPr>
                <w:lang w:val="en-US"/>
              </w:rPr>
              <w:t>s</w:t>
            </w:r>
          </w:p>
          <w:p w14:paraId="06A1A1BD" w14:textId="11BB553F" w:rsidR="00B70F00" w:rsidRPr="00CE28E3" w:rsidRDefault="00B70F00" w:rsidP="00E27AF4">
            <w:pPr>
              <w:pStyle w:val="TableText"/>
              <w:spacing w:before="0" w:after="0"/>
              <w:jc w:val="center"/>
              <w:rPr>
                <w:lang w:val="en-US"/>
              </w:rPr>
            </w:pPr>
            <w:r>
              <w:rPr>
                <w:lang w:val="en-US"/>
              </w:rPr>
              <w:t>DES: sirolimus-eluting</w:t>
            </w:r>
          </w:p>
        </w:tc>
        <w:tc>
          <w:tcPr>
            <w:tcW w:w="1231" w:type="pct"/>
            <w:shd w:val="clear" w:color="auto" w:fill="auto"/>
            <w:vAlign w:val="center"/>
          </w:tcPr>
          <w:p w14:paraId="107282FA" w14:textId="5FF50A51" w:rsidR="00956ACE" w:rsidRDefault="00A1564D" w:rsidP="00E27AF4">
            <w:pPr>
              <w:pStyle w:val="TableText"/>
              <w:spacing w:before="0" w:after="0"/>
              <w:jc w:val="center"/>
              <w:rPr>
                <w:lang w:val="en-US"/>
              </w:rPr>
            </w:pPr>
            <w:r>
              <w:rPr>
                <w:u w:val="single"/>
                <w:lang w:val="en-US"/>
              </w:rPr>
              <w:t>Critical</w:t>
            </w:r>
            <w:r>
              <w:rPr>
                <w:lang w:val="en-US"/>
              </w:rPr>
              <w:t>:</w:t>
            </w:r>
            <w:r>
              <w:rPr>
                <w:lang w:val="en-US"/>
              </w:rPr>
              <w:br/>
            </w:r>
            <w:r w:rsidRPr="00363048">
              <w:rPr>
                <w:lang w:val="en-US"/>
              </w:rPr>
              <w:t>Cardiovascular death</w:t>
            </w:r>
            <w:r>
              <w:rPr>
                <w:lang w:val="en-US"/>
              </w:rPr>
              <w:br/>
            </w:r>
            <w:r w:rsidR="00363048" w:rsidRPr="00363048">
              <w:rPr>
                <w:lang w:val="en-US"/>
              </w:rPr>
              <w:t>Non-fatal MI</w:t>
            </w:r>
            <w:r w:rsidR="00363048">
              <w:rPr>
                <w:lang w:val="en-US"/>
              </w:rPr>
              <w:br/>
            </w:r>
            <w:r w:rsidR="00363048" w:rsidRPr="00363048">
              <w:rPr>
                <w:lang w:val="en-US"/>
              </w:rPr>
              <w:t>TLR</w:t>
            </w:r>
            <w:r w:rsidR="00363048">
              <w:rPr>
                <w:lang w:val="en-US"/>
              </w:rPr>
              <w:br/>
            </w:r>
            <w:r w:rsidR="00363048" w:rsidRPr="00363048">
              <w:rPr>
                <w:lang w:val="en-US"/>
              </w:rPr>
              <w:t>Stent thrombosis</w:t>
            </w:r>
            <w:r w:rsidR="00CA7C5C">
              <w:rPr>
                <w:lang w:val="en-US"/>
              </w:rPr>
              <w:t xml:space="preserve"> (definite/probable)</w:t>
            </w:r>
          </w:p>
          <w:p w14:paraId="01C67401" w14:textId="2553363D" w:rsidR="00A1564D" w:rsidRPr="00CE28E3" w:rsidRDefault="00A1564D" w:rsidP="00E27AF4">
            <w:pPr>
              <w:pStyle w:val="TableText"/>
              <w:spacing w:before="0" w:after="0"/>
              <w:jc w:val="center"/>
              <w:rPr>
                <w:lang w:val="en-US"/>
              </w:rPr>
            </w:pPr>
            <w:r w:rsidRPr="00A1564D">
              <w:rPr>
                <w:u w:val="single"/>
                <w:lang w:val="en-US"/>
              </w:rPr>
              <w:t>Other</w:t>
            </w:r>
            <w:r>
              <w:rPr>
                <w:lang w:val="en-US"/>
              </w:rPr>
              <w:t>:</w:t>
            </w:r>
            <w:r w:rsidR="00850787">
              <w:rPr>
                <w:lang w:val="en-US"/>
              </w:rPr>
              <w:br/>
            </w:r>
            <w:r>
              <w:rPr>
                <w:lang w:val="en-US"/>
              </w:rPr>
              <w:t>MACE</w:t>
            </w:r>
            <w:r w:rsidR="00622D3B" w:rsidRPr="00622D3B">
              <w:rPr>
                <w:lang w:val="en-US"/>
              </w:rPr>
              <w:t>^</w:t>
            </w:r>
          </w:p>
        </w:tc>
        <w:tc>
          <w:tcPr>
            <w:tcW w:w="549" w:type="pct"/>
            <w:shd w:val="clear" w:color="auto" w:fill="auto"/>
            <w:vAlign w:val="center"/>
          </w:tcPr>
          <w:p w14:paraId="355D0183" w14:textId="21AA765E" w:rsidR="00956ACE" w:rsidRPr="00CE28E3" w:rsidRDefault="00363048" w:rsidP="00E27AF4">
            <w:pPr>
              <w:pStyle w:val="TableText"/>
              <w:spacing w:before="0" w:after="0"/>
              <w:jc w:val="center"/>
              <w:rPr>
                <w:lang w:val="en-US"/>
              </w:rPr>
            </w:pPr>
            <w:r>
              <w:rPr>
                <w:lang w:val="en-US"/>
              </w:rPr>
              <w:t>TLR</w:t>
            </w:r>
          </w:p>
        </w:tc>
      </w:tr>
    </w:tbl>
    <w:p w14:paraId="1EF89252" w14:textId="2A14F1CE" w:rsidR="000859C7" w:rsidRDefault="00B72988" w:rsidP="000A33FE">
      <w:pPr>
        <w:pStyle w:val="TableFigureFooter"/>
        <w:spacing w:before="60" w:after="0"/>
      </w:pPr>
      <w:bookmarkStart w:id="29" w:name="_Hlk68276176"/>
      <w:bookmarkEnd w:id="28"/>
      <w:r>
        <w:t xml:space="preserve">MACE = major cardiac adverse event; </w:t>
      </w:r>
      <w:r w:rsidR="00956ACE" w:rsidRPr="00CE28E3">
        <w:t xml:space="preserve">MC = multicentre; </w:t>
      </w:r>
      <w:r>
        <w:t xml:space="preserve">MI = myocardial infarction; </w:t>
      </w:r>
      <w:r w:rsidR="000859C7">
        <w:t xml:space="preserve">N = number randomised; </w:t>
      </w:r>
      <w:r w:rsidR="00956ACE" w:rsidRPr="00CE28E3">
        <w:t>OL = open label</w:t>
      </w:r>
      <w:r>
        <w:t xml:space="preserve">; </w:t>
      </w:r>
      <w:r w:rsidR="00956ACE" w:rsidRPr="00CE28E3">
        <w:t>R = randomised</w:t>
      </w:r>
      <w:r>
        <w:t>; SC = single centre; TLR = target lesion revascularisation; TVR = target vessel revascularisation; TVF = target vessel failure.</w:t>
      </w:r>
    </w:p>
    <w:p w14:paraId="23E007AB" w14:textId="2F29B722" w:rsidR="007542EA" w:rsidRDefault="007542EA" w:rsidP="00CC1910">
      <w:pPr>
        <w:pStyle w:val="TableFigureFooter"/>
        <w:spacing w:before="0" w:after="0"/>
      </w:pPr>
      <w:r>
        <w:t xml:space="preserve">** Assessed using Cochrane risk of bias tool suitable for RCTs. </w:t>
      </w:r>
      <w:r w:rsidRPr="00D91BE9">
        <w:t xml:space="preserve">The risk of bias for all trials were upgraded in the </w:t>
      </w:r>
      <w:r>
        <w:t>C</w:t>
      </w:r>
      <w:r w:rsidRPr="00D91BE9">
        <w:t>ommentary</w:t>
      </w:r>
      <w:r>
        <w:t>.</w:t>
      </w:r>
    </w:p>
    <w:p w14:paraId="008D2815" w14:textId="72A44B0C" w:rsidR="000A33FE" w:rsidRDefault="00622D3B" w:rsidP="00CC1910">
      <w:pPr>
        <w:pStyle w:val="TableFigureFooter"/>
        <w:spacing w:before="0" w:after="0"/>
      </w:pPr>
      <w:r w:rsidRPr="00622D3B">
        <w:t>*</w:t>
      </w:r>
      <w:r w:rsidR="000A33FE">
        <w:t xml:space="preserve"> Composite of </w:t>
      </w:r>
      <w:r w:rsidR="000A33FE" w:rsidRPr="000A33FE">
        <w:t xml:space="preserve">cardiac death, target-vessel MI, and clinically driven </w:t>
      </w:r>
      <w:r w:rsidR="000A33FE">
        <w:t>TVR.</w:t>
      </w:r>
    </w:p>
    <w:p w14:paraId="6D47E0FF" w14:textId="60543AD2" w:rsidR="00DC2AF0" w:rsidRDefault="00622D3B" w:rsidP="00CC1910">
      <w:pPr>
        <w:pStyle w:val="TableFigureFooter"/>
        <w:spacing w:before="0" w:after="0"/>
      </w:pPr>
      <w:r w:rsidRPr="00622D3B">
        <w:rPr>
          <w:vertAlign w:val="superscript"/>
        </w:rPr>
        <w:t>#</w:t>
      </w:r>
      <w:r w:rsidR="00DC2AF0">
        <w:t xml:space="preserve"> Defined as angina or ischaemia referable to the target vessel requiring repeat PCI or coronary artery bypass graft (CABG).</w:t>
      </w:r>
    </w:p>
    <w:p w14:paraId="32465C0A" w14:textId="1E9715B2" w:rsidR="00D50155" w:rsidRDefault="00622D3B" w:rsidP="00CC1910">
      <w:pPr>
        <w:pStyle w:val="TableFigureFooter"/>
        <w:spacing w:before="0"/>
      </w:pPr>
      <w:r>
        <w:t>^</w:t>
      </w:r>
      <w:r w:rsidR="00D50155">
        <w:t xml:space="preserve"> MACE was defined differently in each trial. In IVUS-XPL, c</w:t>
      </w:r>
      <w:r w:rsidR="00D50155" w:rsidRPr="007E6C58">
        <w:t xml:space="preserve">omposite </w:t>
      </w:r>
      <w:r w:rsidR="00D50155">
        <w:t>of</w:t>
      </w:r>
      <w:r w:rsidR="00D50155" w:rsidRPr="007E6C58">
        <w:t xml:space="preserve"> cardiac death, target lesion</w:t>
      </w:r>
      <w:r w:rsidR="00D50155">
        <w:t xml:space="preserve"> </w:t>
      </w:r>
      <w:r w:rsidR="00D50155" w:rsidRPr="007E6C58">
        <w:t>related MI or ischemia</w:t>
      </w:r>
      <w:r w:rsidR="00D50155">
        <w:t xml:space="preserve"> </w:t>
      </w:r>
      <w:r w:rsidR="00D50155" w:rsidRPr="007E6C58">
        <w:t>driven TLR</w:t>
      </w:r>
      <w:r w:rsidR="00D50155">
        <w:t xml:space="preserve">. In RESET, composite of </w:t>
      </w:r>
      <w:r w:rsidR="00D50155" w:rsidRPr="007E6C58">
        <w:t>cardiovascular death, MI, stent thrombosis or TVR</w:t>
      </w:r>
      <w:r w:rsidR="00D50155">
        <w:t xml:space="preserve">. </w:t>
      </w:r>
      <w:r w:rsidR="00C05F41">
        <w:t>In Liu 2019, c</w:t>
      </w:r>
      <w:r w:rsidR="00D50155" w:rsidRPr="00985C44">
        <w:t xml:space="preserve">omposite of cardiac death, MI </w:t>
      </w:r>
      <w:r w:rsidR="00D50155">
        <w:t>or</w:t>
      </w:r>
      <w:r w:rsidR="00D50155" w:rsidRPr="00985C44">
        <w:t xml:space="preserve"> TVR.</w:t>
      </w:r>
      <w:r w:rsidR="00C05F41">
        <w:t xml:space="preserve"> In Tan 2015, c</w:t>
      </w:r>
      <w:r w:rsidR="00D50155" w:rsidRPr="00985C44">
        <w:t xml:space="preserve">omposite of death, non-fatal MI </w:t>
      </w:r>
      <w:r w:rsidR="00D50155">
        <w:t>or</w:t>
      </w:r>
      <w:r w:rsidR="00D50155" w:rsidRPr="00985C44">
        <w:t xml:space="preserve"> TLR.</w:t>
      </w:r>
    </w:p>
    <w:p w14:paraId="42C66F5B" w14:textId="68535CBA" w:rsidR="0031634D" w:rsidRDefault="0031634D" w:rsidP="00ED365B">
      <w:pPr>
        <w:keepNext/>
      </w:pPr>
      <w:r>
        <w:t>There are several notable</w:t>
      </w:r>
      <w:r w:rsidRPr="00677FE3">
        <w:t xml:space="preserve"> issues </w:t>
      </w:r>
      <w:r>
        <w:t>with</w:t>
      </w:r>
      <w:r w:rsidRPr="00677FE3">
        <w:t xml:space="preserve"> the </w:t>
      </w:r>
      <w:r>
        <w:t>included trials: variable definitions in the</w:t>
      </w:r>
      <w:r w:rsidRPr="00677FE3">
        <w:t xml:space="preserve"> clinical outcomes assessed,</w:t>
      </w:r>
      <w:r>
        <w:t xml:space="preserve"> lack of clarity around how IVUS was being used (after DES implantation and in some cases also during or before implantation), variation in study eligibility criteria relating to recent MI, potential for reporting bias (Liu 2019 and Tan 2015), </w:t>
      </w:r>
      <w:r w:rsidR="00234C01" w:rsidRPr="00677FE3">
        <w:t>the inability to blind the surgeon to the intervention</w:t>
      </w:r>
      <w:r w:rsidR="00234C01">
        <w:t xml:space="preserve"> (potentially introducing performance bias)</w:t>
      </w:r>
      <w:r w:rsidR="00234C01" w:rsidRPr="00677FE3">
        <w:t xml:space="preserve">, </w:t>
      </w:r>
      <w:r>
        <w:t>and crossover between groups.</w:t>
      </w:r>
    </w:p>
    <w:p w14:paraId="489DBCA1" w14:textId="76325FD1" w:rsidR="00045093" w:rsidRDefault="007C4A51" w:rsidP="005B0D66">
      <w:r>
        <w:t>Across the trials</w:t>
      </w:r>
      <w:r w:rsidR="00E51F28">
        <w:t xml:space="preserve"> that reported crossover (ULTIMATE, IVUS-XPL and RESET)</w:t>
      </w:r>
      <w:r>
        <w:t xml:space="preserve">, </w:t>
      </w:r>
      <w:r w:rsidR="00E51F28">
        <w:t xml:space="preserve">the reasons provided for </w:t>
      </w:r>
      <w:r w:rsidR="00045093">
        <w:t xml:space="preserve">patients </w:t>
      </w:r>
      <w:r w:rsidR="00E51F28">
        <w:t>crossing</w:t>
      </w:r>
      <w:r>
        <w:t xml:space="preserve"> over </w:t>
      </w:r>
      <w:r w:rsidR="00E51F28">
        <w:t xml:space="preserve">from angiography </w:t>
      </w:r>
      <w:r w:rsidR="008A7429">
        <w:t xml:space="preserve">guidance </w:t>
      </w:r>
      <w:r>
        <w:t>to IVUS guidance</w:t>
      </w:r>
      <w:r w:rsidR="00E51F28">
        <w:t xml:space="preserve"> </w:t>
      </w:r>
      <w:r>
        <w:t xml:space="preserve">were </w:t>
      </w:r>
      <w:r w:rsidRPr="005B0D66">
        <w:t>ambiguous anatomy and operator preference in complex lesions</w:t>
      </w:r>
      <w:r w:rsidR="00E51F28">
        <w:t xml:space="preserve">. In cases where patients randomised to IVUS guidance received angiography guidance instead, the reasons cited were </w:t>
      </w:r>
      <w:r w:rsidR="00E51F28" w:rsidRPr="005B0D66">
        <w:t>patient refusal, technical failure to deliver IVUS catheter, and physician decision due to unfavourable coronary anatomy (i.e., severe tortuosity)</w:t>
      </w:r>
      <w:r w:rsidR="00E51F28">
        <w:t>.</w:t>
      </w:r>
      <w:r w:rsidR="0088301E">
        <w:t xml:space="preserve"> The highest crossover </w:t>
      </w:r>
      <w:r w:rsidR="00234C01">
        <w:t xml:space="preserve">rate </w:t>
      </w:r>
      <w:r w:rsidR="0088301E">
        <w:t xml:space="preserve">was in RESET where 15% of patients </w:t>
      </w:r>
      <w:r w:rsidR="0088301E" w:rsidRPr="005B0D66">
        <w:t>assigned to angiography</w:t>
      </w:r>
      <w:r w:rsidR="0088301E">
        <w:t xml:space="preserve"> </w:t>
      </w:r>
      <w:r w:rsidR="0088301E" w:rsidRPr="005B0D66">
        <w:t xml:space="preserve">guidance </w:t>
      </w:r>
      <w:r w:rsidR="0088301E">
        <w:t>received</w:t>
      </w:r>
      <w:r w:rsidR="0088301E" w:rsidRPr="005B0D66">
        <w:t xml:space="preserve"> IVUS</w:t>
      </w:r>
      <w:r w:rsidR="0088301E">
        <w:t xml:space="preserve"> guidance</w:t>
      </w:r>
      <w:r w:rsidR="009C0F5F">
        <w:t xml:space="preserve">, and </w:t>
      </w:r>
      <w:r w:rsidR="00856E21">
        <w:t xml:space="preserve">4.8% </w:t>
      </w:r>
      <w:r w:rsidR="009C0F5F">
        <w:t>vice versa</w:t>
      </w:r>
      <w:r w:rsidR="00856E21">
        <w:t>.</w:t>
      </w:r>
    </w:p>
    <w:p w14:paraId="41E20AE1" w14:textId="47F68D45" w:rsidR="0015133A" w:rsidRDefault="00247B90" w:rsidP="00677FE3">
      <w:r>
        <w:t>The</w:t>
      </w:r>
      <w:r w:rsidR="00932406" w:rsidRPr="00932406">
        <w:t xml:space="preserve"> trial populations would largely meet the current MBS criteria for PCI and the proposed MBS criteria for IVUS.</w:t>
      </w:r>
      <w:r w:rsidR="00932406">
        <w:t xml:space="preserve"> </w:t>
      </w:r>
      <w:r>
        <w:t>T</w:t>
      </w:r>
      <w:r w:rsidR="00856E21">
        <w:t xml:space="preserve">he Victorian Cardiac Outcomes Registry (VCOR) </w:t>
      </w:r>
      <w:r w:rsidR="001662AE">
        <w:t xml:space="preserve">captures data from </w:t>
      </w:r>
      <w:r w:rsidR="009325BA">
        <w:t>‘all</w:t>
      </w:r>
      <w:r w:rsidR="00A80CC4">
        <w:t>-</w:t>
      </w:r>
      <w:r w:rsidR="009325BA">
        <w:t xml:space="preserve">comers’ to PCI in Victoria </w:t>
      </w:r>
      <w:r w:rsidR="001662AE">
        <w:t xml:space="preserve">and </w:t>
      </w:r>
      <w:r w:rsidR="0093550E">
        <w:t xml:space="preserve">is a </w:t>
      </w:r>
      <w:r w:rsidR="001662AE">
        <w:t xml:space="preserve">reliable </w:t>
      </w:r>
      <w:r w:rsidR="0093550E">
        <w:t>source</w:t>
      </w:r>
      <w:r w:rsidR="001662AE">
        <w:t xml:space="preserve"> for comparison </w:t>
      </w:r>
      <w:r w:rsidR="009325BA">
        <w:t>with study participants in the all-comer</w:t>
      </w:r>
      <w:r w:rsidR="007B0F45">
        <w:t xml:space="preserve"> trial (ULTIMATE).</w:t>
      </w:r>
    </w:p>
    <w:p w14:paraId="16DAB049" w14:textId="03C5DAC5" w:rsidR="00247B90" w:rsidRDefault="008A7429" w:rsidP="00677FE3">
      <w:r w:rsidRPr="008A7429">
        <w:t>According to the trial authors, the ULTIMATE study population reflects the typical characteristics of high-volume PCI centres in China.</w:t>
      </w:r>
      <w:r>
        <w:t xml:space="preserve"> </w:t>
      </w:r>
      <w:r w:rsidRPr="008A7429">
        <w:t>The majority of patients (78.5%) presented with ACS, indicating a relatively high-risk population</w:t>
      </w:r>
      <w:r w:rsidR="00E03226">
        <w:t>,</w:t>
      </w:r>
      <w:r w:rsidR="001662AE">
        <w:t xml:space="preserve"> and </w:t>
      </w:r>
      <w:r w:rsidR="00B261C2">
        <w:t>two-thirds of</w:t>
      </w:r>
      <w:r w:rsidR="001662AE">
        <w:t xml:space="preserve"> participants </w:t>
      </w:r>
      <w:r w:rsidRPr="008A7429">
        <w:t>had complex PCI</w:t>
      </w:r>
      <w:r w:rsidR="00E03226">
        <w:rPr>
          <w:rStyle w:val="FootnoteReference"/>
        </w:rPr>
        <w:footnoteReference w:id="14"/>
      </w:r>
      <w:r w:rsidRPr="008A7429">
        <w:t xml:space="preserve">. </w:t>
      </w:r>
      <w:r w:rsidR="00B261C2">
        <w:t>M</w:t>
      </w:r>
      <w:r w:rsidRPr="008A7429">
        <w:t xml:space="preserve">ean lesion length was almost identical to the IVUS-XPL trial that </w:t>
      </w:r>
      <w:r w:rsidR="00B261C2">
        <w:t xml:space="preserve">exclusively enrolled patients with </w:t>
      </w:r>
      <w:r w:rsidRPr="008A7429">
        <w:t>long lesions.</w:t>
      </w:r>
      <w:r w:rsidR="00E03226">
        <w:t xml:space="preserve"> By compar</w:t>
      </w:r>
      <w:r w:rsidR="00A326C4">
        <w:t>is</w:t>
      </w:r>
      <w:r w:rsidR="00E03226">
        <w:t xml:space="preserve">on, </w:t>
      </w:r>
      <w:r w:rsidR="00A326C4">
        <w:t>t</w:t>
      </w:r>
      <w:r w:rsidR="00A326C4" w:rsidRPr="00247B90">
        <w:t xml:space="preserve">he rate of ACS </w:t>
      </w:r>
      <w:r w:rsidR="00A326C4">
        <w:t xml:space="preserve">in Victorian patients undergoing PCI </w:t>
      </w:r>
      <w:r w:rsidR="00B261C2">
        <w:t xml:space="preserve">in 2020 </w:t>
      </w:r>
      <w:r w:rsidR="00A326C4">
        <w:t>was</w:t>
      </w:r>
      <w:r w:rsidR="00A326C4" w:rsidRPr="00247B90">
        <w:t xml:space="preserve"> 51% (27% in private patients)</w:t>
      </w:r>
      <w:r w:rsidR="00225A3E">
        <w:t xml:space="preserve"> and </w:t>
      </w:r>
      <w:r w:rsidR="00A326C4" w:rsidRPr="00247B90">
        <w:t>the rate of stable angina was 30.4% (46.3% in private patients).</w:t>
      </w:r>
      <w:r w:rsidR="00225A3E">
        <w:t xml:space="preserve"> </w:t>
      </w:r>
      <w:r w:rsidR="00C22D28">
        <w:t>R</w:t>
      </w:r>
      <w:r w:rsidR="00225A3E">
        <w:t xml:space="preserve">ates of </w:t>
      </w:r>
      <w:r w:rsidR="009C0990" w:rsidRPr="00247B90">
        <w:t xml:space="preserve">unprotected left main lesions and chronic total occlusions </w:t>
      </w:r>
      <w:r w:rsidR="00C22D28">
        <w:t>reported by VCOR are</w:t>
      </w:r>
      <w:r w:rsidR="00225A3E">
        <w:t xml:space="preserve"> </w:t>
      </w:r>
      <w:r w:rsidR="00C22D28">
        <w:t xml:space="preserve">also </w:t>
      </w:r>
      <w:r w:rsidR="00225A3E">
        <w:t xml:space="preserve">notably </w:t>
      </w:r>
      <w:r w:rsidR="00C22D28">
        <w:t xml:space="preserve">lower </w:t>
      </w:r>
      <w:r w:rsidR="00225A3E">
        <w:t xml:space="preserve">than those reported </w:t>
      </w:r>
      <w:r w:rsidR="00C22D28">
        <w:t>in ULTIMATE</w:t>
      </w:r>
      <w:r w:rsidR="00E03226" w:rsidRPr="00247B90">
        <w:t>.</w:t>
      </w:r>
      <w:r w:rsidR="00C409E6">
        <w:t xml:space="preserve"> This has implications </w:t>
      </w:r>
      <w:r w:rsidR="00234C01">
        <w:t xml:space="preserve">for patient outcomes </w:t>
      </w:r>
      <w:r w:rsidR="00C409E6">
        <w:t xml:space="preserve">because subgroup analyses </w:t>
      </w:r>
      <w:r w:rsidR="0082770A">
        <w:t xml:space="preserve">from the ULTIMATE trial </w:t>
      </w:r>
      <w:r w:rsidR="00DA1981">
        <w:t xml:space="preserve">suggest </w:t>
      </w:r>
      <w:r w:rsidR="00C409E6">
        <w:t xml:space="preserve">that patients </w:t>
      </w:r>
      <w:r w:rsidR="00DA1981">
        <w:t xml:space="preserve">with complex PCI or </w:t>
      </w:r>
      <w:r w:rsidR="0082770A">
        <w:t xml:space="preserve">at higher risk </w:t>
      </w:r>
      <w:r w:rsidR="0073425E">
        <w:t>receive the greatest benefit from IVUS guidance</w:t>
      </w:r>
      <w:r w:rsidR="0082770A">
        <w:t>.</w:t>
      </w:r>
    </w:p>
    <w:p w14:paraId="79770993" w14:textId="1C553545" w:rsidR="00E62659" w:rsidRDefault="00856E21" w:rsidP="00677FE3">
      <w:r>
        <w:t>The ADAR did not provide a comparison of baseline characteristics between participants in the long lesion trials (IVUS-XPL and RESET) or the left main lesion trials (Liu 2019</w:t>
      </w:r>
      <w:r w:rsidR="004C2F1C">
        <w:t xml:space="preserve"> and Tan 2015</w:t>
      </w:r>
      <w:r>
        <w:t xml:space="preserve">) </w:t>
      </w:r>
      <w:r>
        <w:lastRenderedPageBreak/>
        <w:t>with Australian patients who would also meet these anatomical criteria. According to data from VCOR, 4% of Victorian PCI procedures in 2020 were long lesions and 2.3% were left main lesions.</w:t>
      </w:r>
    </w:p>
    <w:p w14:paraId="2C8A42BD" w14:textId="52C65C7B" w:rsidR="00ED365B" w:rsidRDefault="0082770A" w:rsidP="00677FE3">
      <w:r>
        <w:t xml:space="preserve">One final concern regarding the body of evidence is that </w:t>
      </w:r>
      <w:r w:rsidR="00603BF7">
        <w:t>despite investigators</w:t>
      </w:r>
      <w:r w:rsidR="0073425E">
        <w:t>’</w:t>
      </w:r>
      <w:r w:rsidR="00603BF7">
        <w:t xml:space="preserve"> having </w:t>
      </w:r>
      <w:r w:rsidR="00E62659">
        <w:t>extensive experience with IVUS guidance</w:t>
      </w:r>
      <w:r w:rsidR="003F51B0">
        <w:t xml:space="preserve">, </w:t>
      </w:r>
      <w:r w:rsidR="000D3869">
        <w:t xml:space="preserve">just </w:t>
      </w:r>
      <w:r w:rsidR="00603BF7">
        <w:t xml:space="preserve">under </w:t>
      </w:r>
      <w:r w:rsidR="003F51B0">
        <w:t>half the</w:t>
      </w:r>
      <w:r w:rsidR="000D3869">
        <w:t xml:space="preserve"> patients in the IVUS arm of the ULTIMATE and IVUS-XPL trials were regarded as having undergone </w:t>
      </w:r>
      <w:r w:rsidR="000D3869" w:rsidRPr="000D3869">
        <w:t xml:space="preserve">IVUS-defined </w:t>
      </w:r>
      <w:r w:rsidR="00196F28">
        <w:t>‘</w:t>
      </w:r>
      <w:r w:rsidR="00603BF7">
        <w:t>sub</w:t>
      </w:r>
      <w:r w:rsidR="000D3869" w:rsidRPr="000D3869">
        <w:t>optimal</w:t>
      </w:r>
      <w:r w:rsidR="00234C01">
        <w:t>’</w:t>
      </w:r>
      <w:r w:rsidR="000D3869" w:rsidRPr="000D3869">
        <w:t xml:space="preserve"> PCI</w:t>
      </w:r>
      <w:r w:rsidR="0062163A">
        <w:rPr>
          <w:rStyle w:val="FootnoteReference"/>
        </w:rPr>
        <w:footnoteReference w:id="15"/>
      </w:r>
      <w:r w:rsidR="000D3869">
        <w:t>.</w:t>
      </w:r>
      <w:r w:rsidR="003F51B0">
        <w:t xml:space="preserve"> Both trials reported that </w:t>
      </w:r>
      <w:r w:rsidR="003F51B0" w:rsidRPr="003F51B0">
        <w:t xml:space="preserve">patients </w:t>
      </w:r>
      <w:r w:rsidR="00984204">
        <w:t xml:space="preserve">in the IVUS arm </w:t>
      </w:r>
      <w:r w:rsidR="003F51B0">
        <w:t>who received</w:t>
      </w:r>
      <w:r w:rsidR="003F51B0" w:rsidRPr="003F51B0">
        <w:t xml:space="preserve"> </w:t>
      </w:r>
      <w:r w:rsidR="00934C15">
        <w:t xml:space="preserve">IVUS-defined </w:t>
      </w:r>
      <w:r w:rsidR="00196F28">
        <w:t>sub</w:t>
      </w:r>
      <w:r w:rsidR="003F51B0" w:rsidRPr="003F51B0">
        <w:t xml:space="preserve">optimal PCI had a significantly </w:t>
      </w:r>
      <w:r w:rsidR="00196F28">
        <w:t>higher</w:t>
      </w:r>
      <w:r w:rsidR="003F51B0" w:rsidRPr="003F51B0">
        <w:t xml:space="preserve"> risk </w:t>
      </w:r>
      <w:r w:rsidR="003F51B0">
        <w:t>of adverse events</w:t>
      </w:r>
      <w:r w:rsidR="003F51B0" w:rsidRPr="003F51B0">
        <w:t xml:space="preserve"> </w:t>
      </w:r>
      <w:r w:rsidR="007B7999">
        <w:t xml:space="preserve">(e.g., cardiac mortality, MI, TVR) </w:t>
      </w:r>
      <w:r w:rsidR="003F51B0" w:rsidRPr="003F51B0">
        <w:t xml:space="preserve">than patients with </w:t>
      </w:r>
      <w:r w:rsidR="00196F28">
        <w:t>‘</w:t>
      </w:r>
      <w:r w:rsidR="003F51B0" w:rsidRPr="003F51B0">
        <w:t>optimal PCI</w:t>
      </w:r>
      <w:r w:rsidR="00196F28">
        <w:t xml:space="preserve">’ according to </w:t>
      </w:r>
      <w:r w:rsidR="00196F28" w:rsidRPr="000D3869">
        <w:t>protocol-defined criteri</w:t>
      </w:r>
      <w:r w:rsidR="00196F28">
        <w:t>a</w:t>
      </w:r>
      <w:r w:rsidR="003F51B0" w:rsidRPr="003F51B0">
        <w:t xml:space="preserve">. </w:t>
      </w:r>
      <w:r w:rsidR="00251C8E">
        <w:t>T</w:t>
      </w:r>
      <w:r w:rsidR="003F51B0" w:rsidRPr="003F51B0">
        <w:t xml:space="preserve">he rate of TVF in </w:t>
      </w:r>
      <w:r w:rsidR="00251C8E">
        <w:t xml:space="preserve">ULTIMATE patients </w:t>
      </w:r>
      <w:r w:rsidR="001949DD">
        <w:t>who underwent a</w:t>
      </w:r>
      <w:r w:rsidR="00251C8E">
        <w:t xml:space="preserve"> </w:t>
      </w:r>
      <w:r w:rsidR="001949DD">
        <w:t>‘</w:t>
      </w:r>
      <w:r w:rsidR="003F51B0" w:rsidRPr="003F51B0">
        <w:t>suboptimal</w:t>
      </w:r>
      <w:r w:rsidR="001949DD">
        <w:t>’</w:t>
      </w:r>
      <w:r w:rsidR="003F51B0" w:rsidRPr="003F51B0">
        <w:t xml:space="preserve"> procedure </w:t>
      </w:r>
      <w:r w:rsidR="00603BF7">
        <w:t>was similar to</w:t>
      </w:r>
      <w:r w:rsidR="003F51B0" w:rsidRPr="003F51B0">
        <w:t xml:space="preserve"> those in the angiography guidance </w:t>
      </w:r>
      <w:r w:rsidR="00251C8E">
        <w:t>arm</w:t>
      </w:r>
      <w:r w:rsidR="003F51B0" w:rsidRPr="003F51B0">
        <w:t>. This has implications for real-world effectiveness</w:t>
      </w:r>
      <w:r w:rsidR="00603BF7">
        <w:t xml:space="preserve">; </w:t>
      </w:r>
      <w:r w:rsidR="003F51B0" w:rsidRPr="003F51B0">
        <w:t xml:space="preserve">operators with less experience may not achieve optimal stent deployment with IVUS </w:t>
      </w:r>
      <w:r w:rsidR="009C0F5F">
        <w:t xml:space="preserve">despite best efforts </w:t>
      </w:r>
      <w:r w:rsidR="003F51B0" w:rsidRPr="003F51B0">
        <w:t>and therefore the magnitude of any beneficial effect of IVUS may be reduced in practice.</w:t>
      </w:r>
    </w:p>
    <w:p w14:paraId="3B9FC2AD" w14:textId="46161648" w:rsidR="00772829" w:rsidRDefault="005F6A3D" w:rsidP="002A18BE">
      <w:pPr>
        <w:pStyle w:val="Heading2"/>
        <w:numPr>
          <w:ilvl w:val="0"/>
          <w:numId w:val="0"/>
        </w:numPr>
      </w:pPr>
      <w:bookmarkStart w:id="30" w:name="_Toc69491423"/>
      <w:bookmarkEnd w:id="29"/>
      <w:r>
        <w:t>11</w:t>
      </w:r>
      <w:r w:rsidR="00C36633">
        <w:t>.</w:t>
      </w:r>
      <w:r w:rsidR="00C36633">
        <w:tab/>
      </w:r>
      <w:r w:rsidR="00772829" w:rsidRPr="00CE28E3">
        <w:t>Comparative safety</w:t>
      </w:r>
      <w:bookmarkEnd w:id="30"/>
    </w:p>
    <w:p w14:paraId="567B5976" w14:textId="5DC3771F" w:rsidR="00050EF1" w:rsidRDefault="00050EF1" w:rsidP="00D35490">
      <w:r w:rsidRPr="00050EF1">
        <w:t xml:space="preserve">The safety outcomes specified in the PICO Confirmation were in-hospital adverse events and complications from the use of </w:t>
      </w:r>
      <w:r w:rsidR="00D13027">
        <w:t>IVUS</w:t>
      </w:r>
      <w:r>
        <w:t>. T</w:t>
      </w:r>
      <w:r w:rsidRPr="00050EF1">
        <w:t>he ADAR</w:t>
      </w:r>
      <w:r>
        <w:t xml:space="preserve"> did not address these outcome</w:t>
      </w:r>
      <w:r w:rsidR="001D5425">
        <w:t>s</w:t>
      </w:r>
      <w:r>
        <w:t xml:space="preserve"> and very limited information was available from the trial publications. Where reported, event rates were low and there was no significant difference</w:t>
      </w:r>
      <w:r w:rsidR="003C4B95" w:rsidRPr="003C4B95">
        <w:t xml:space="preserve"> </w:t>
      </w:r>
      <w:r w:rsidR="003C4B95">
        <w:t>between arms</w:t>
      </w:r>
      <w:r>
        <w:t>.</w:t>
      </w:r>
    </w:p>
    <w:p w14:paraId="6515C2F3" w14:textId="77777777" w:rsidR="00050EF1" w:rsidRDefault="00050EF1" w:rsidP="00ED365B">
      <w:pPr>
        <w:pStyle w:val="Heading3"/>
        <w:keepLines w:val="0"/>
      </w:pPr>
      <w:r>
        <w:t>Stent thrombosis</w:t>
      </w:r>
    </w:p>
    <w:p w14:paraId="4B52ACB7" w14:textId="77777777" w:rsidR="003220C1" w:rsidRDefault="008A259E" w:rsidP="00D35490">
      <w:r>
        <w:t>S</w:t>
      </w:r>
      <w:r w:rsidR="007150AD">
        <w:t xml:space="preserve">tent thrombosis </w:t>
      </w:r>
      <w:r>
        <w:t xml:space="preserve">was the only safety outcome reported in the ADAR (it was classified as an efficacy outcome in the </w:t>
      </w:r>
      <w:r w:rsidR="003220C1">
        <w:t xml:space="preserve">ratified </w:t>
      </w:r>
      <w:r>
        <w:t>PICO Confirmation).</w:t>
      </w:r>
    </w:p>
    <w:p w14:paraId="655860A0" w14:textId="0A7FC773" w:rsidR="00E27AF4" w:rsidRPr="00E27AF4" w:rsidRDefault="00454EA4" w:rsidP="00E27AF4">
      <w:r>
        <w:t>Numerically l</w:t>
      </w:r>
      <w:r w:rsidR="00032B94">
        <w:t xml:space="preserve">ower rates of stent thrombosis were reported in the IVUS-guided arm of the ULTIMATE trial, </w:t>
      </w:r>
      <w:r>
        <w:t xml:space="preserve">which reached </w:t>
      </w:r>
      <w:r w:rsidR="001D77F6">
        <w:t xml:space="preserve">borderline (p=0.05) </w:t>
      </w:r>
      <w:r w:rsidR="00032B94">
        <w:t>statistical significance in terms of relative risk (RR)</w:t>
      </w:r>
      <w:r>
        <w:t xml:space="preserve"> at 3 years</w:t>
      </w:r>
      <w:r w:rsidR="003C4B95">
        <w:t xml:space="preserve"> (risk difference [RD] was statistically significant)</w:t>
      </w:r>
      <w:r w:rsidR="00032B94">
        <w:t xml:space="preserve">. </w:t>
      </w:r>
      <w:r w:rsidR="008C6FCE">
        <w:t xml:space="preserve">Stent thrombosis rates </w:t>
      </w:r>
      <w:r w:rsidR="00032B94">
        <w:t>were low in both arms of long lesi</w:t>
      </w:r>
      <w:r w:rsidR="003220C1">
        <w:t>o</w:t>
      </w:r>
      <w:r w:rsidR="00032B94">
        <w:t>n and left main lesion</w:t>
      </w:r>
      <w:r w:rsidR="00D13027">
        <w:t xml:space="preserve"> trials</w:t>
      </w:r>
      <w:r w:rsidR="008C6FCE">
        <w:t>,</w:t>
      </w:r>
      <w:r>
        <w:t xml:space="preserve"> and differences </w:t>
      </w:r>
      <w:r w:rsidR="008C6FCE">
        <w:t xml:space="preserve">between arms </w:t>
      </w:r>
      <w:r>
        <w:t>were not significant</w:t>
      </w:r>
      <w:r w:rsidR="00032B94">
        <w:t>.</w:t>
      </w:r>
      <w:r w:rsidR="00E27AF4">
        <w:br w:type="page"/>
      </w:r>
    </w:p>
    <w:p w14:paraId="41180C5F" w14:textId="1EC0CBD5" w:rsidR="00685DF6" w:rsidRPr="00D72C6E" w:rsidRDefault="00685DF6" w:rsidP="00CF21B6">
      <w:pPr>
        <w:pStyle w:val="Caption"/>
        <w:rPr>
          <w:sz w:val="16"/>
          <w:szCs w:val="16"/>
        </w:rPr>
      </w:pPr>
      <w:r w:rsidRPr="00CE28E3">
        <w:lastRenderedPageBreak/>
        <w:t>Table</w:t>
      </w:r>
      <w:r>
        <w:t> </w:t>
      </w:r>
      <w:fldSimple w:instr=" SEQ Table \* ARABIC ">
        <w:r w:rsidR="00F03488">
          <w:rPr>
            <w:noProof/>
          </w:rPr>
          <w:t>7</w:t>
        </w:r>
      </w:fldSimple>
      <w:r w:rsidRPr="00CE28E3">
        <w:tab/>
      </w:r>
      <w:r w:rsidR="00D72C6E">
        <w:t>Definite/probable stent thrombosis</w:t>
      </w:r>
    </w:p>
    <w:tbl>
      <w:tblPr>
        <w:tblStyle w:val="TableGrid1"/>
        <w:tblW w:w="5000" w:type="pct"/>
        <w:tblLayout w:type="fixed"/>
        <w:tblCellMar>
          <w:left w:w="28" w:type="dxa"/>
          <w:right w:w="28" w:type="dxa"/>
        </w:tblCellMar>
        <w:tblLook w:val="04A0" w:firstRow="1" w:lastRow="0" w:firstColumn="1" w:lastColumn="0" w:noHBand="0" w:noVBand="1"/>
        <w:tblDescription w:val="Definite/probable stent thrombosis"/>
      </w:tblPr>
      <w:tblGrid>
        <w:gridCol w:w="1555"/>
        <w:gridCol w:w="1135"/>
        <w:gridCol w:w="994"/>
        <w:gridCol w:w="1134"/>
        <w:gridCol w:w="1134"/>
        <w:gridCol w:w="1560"/>
        <w:gridCol w:w="1504"/>
      </w:tblGrid>
      <w:tr w:rsidR="0063300B" w:rsidRPr="00CE28E3" w14:paraId="25342C40" w14:textId="77777777" w:rsidTr="007A29CA">
        <w:trPr>
          <w:cnfStyle w:val="100000000000" w:firstRow="1" w:lastRow="0" w:firstColumn="0" w:lastColumn="0" w:oddVBand="0" w:evenVBand="0" w:oddHBand="0" w:evenHBand="0" w:firstRowFirstColumn="0" w:firstRowLastColumn="0" w:lastRowFirstColumn="0" w:lastRowLastColumn="0"/>
          <w:cantSplit/>
          <w:tblHeader/>
        </w:trPr>
        <w:tc>
          <w:tcPr>
            <w:tcW w:w="862" w:type="pct"/>
            <w:tcBorders>
              <w:bottom w:val="single" w:sz="4" w:space="0" w:color="auto"/>
            </w:tcBorders>
            <w:shd w:val="clear" w:color="auto" w:fill="auto"/>
            <w:vAlign w:val="center"/>
          </w:tcPr>
          <w:p w14:paraId="529F7100" w14:textId="77777777" w:rsidR="0063300B" w:rsidRPr="00CE28E3" w:rsidRDefault="0063300B" w:rsidP="0091213E">
            <w:pPr>
              <w:pStyle w:val="In-tableHeading"/>
            </w:pPr>
            <w:r>
              <w:t>Trial ID</w:t>
            </w:r>
          </w:p>
        </w:tc>
        <w:tc>
          <w:tcPr>
            <w:tcW w:w="629" w:type="pct"/>
            <w:tcBorders>
              <w:bottom w:val="single" w:sz="4" w:space="0" w:color="auto"/>
            </w:tcBorders>
            <w:vAlign w:val="center"/>
          </w:tcPr>
          <w:p w14:paraId="540A7CE2" w14:textId="23E9D526" w:rsidR="0063300B" w:rsidRDefault="00622D3B">
            <w:pPr>
              <w:pStyle w:val="In-tableHeading"/>
              <w:jc w:val="center"/>
            </w:pPr>
            <w:r>
              <w:t>Quality</w:t>
            </w:r>
            <w:r w:rsidR="00B657F7">
              <w:t>**</w:t>
            </w:r>
          </w:p>
        </w:tc>
        <w:tc>
          <w:tcPr>
            <w:tcW w:w="551" w:type="pct"/>
            <w:tcBorders>
              <w:bottom w:val="single" w:sz="4" w:space="0" w:color="auto"/>
            </w:tcBorders>
            <w:vAlign w:val="center"/>
          </w:tcPr>
          <w:p w14:paraId="42110EFC" w14:textId="2F9A786B" w:rsidR="0063300B" w:rsidRDefault="0063300B">
            <w:pPr>
              <w:pStyle w:val="In-tableHeading"/>
              <w:jc w:val="center"/>
            </w:pPr>
            <w:r>
              <w:t>Timepoint</w:t>
            </w:r>
          </w:p>
        </w:tc>
        <w:tc>
          <w:tcPr>
            <w:tcW w:w="629" w:type="pct"/>
            <w:tcBorders>
              <w:bottom w:val="single" w:sz="4" w:space="0" w:color="auto"/>
            </w:tcBorders>
            <w:vAlign w:val="center"/>
          </w:tcPr>
          <w:p w14:paraId="2378A680" w14:textId="136CE633" w:rsidR="0063300B" w:rsidRDefault="0063300B">
            <w:pPr>
              <w:pStyle w:val="In-tableHeading"/>
              <w:jc w:val="center"/>
            </w:pPr>
            <w:r>
              <w:t>IVUS-guided PCI</w:t>
            </w:r>
            <w:r>
              <w:br/>
              <w:t>n/N (%)</w:t>
            </w:r>
          </w:p>
        </w:tc>
        <w:tc>
          <w:tcPr>
            <w:tcW w:w="629" w:type="pct"/>
            <w:tcBorders>
              <w:bottom w:val="single" w:sz="4" w:space="0" w:color="auto"/>
            </w:tcBorders>
            <w:vAlign w:val="center"/>
          </w:tcPr>
          <w:p w14:paraId="669844E1" w14:textId="03236B20" w:rsidR="0063300B" w:rsidRDefault="0063300B">
            <w:pPr>
              <w:pStyle w:val="In-tableHeading"/>
              <w:jc w:val="center"/>
            </w:pPr>
            <w:r>
              <w:t>Angiography-guided PCI</w:t>
            </w:r>
            <w:r>
              <w:br/>
              <w:t>n/N (%)</w:t>
            </w:r>
          </w:p>
        </w:tc>
        <w:tc>
          <w:tcPr>
            <w:tcW w:w="865" w:type="pct"/>
            <w:tcBorders>
              <w:bottom w:val="single" w:sz="4" w:space="0" w:color="auto"/>
            </w:tcBorders>
            <w:shd w:val="clear" w:color="auto" w:fill="auto"/>
            <w:vAlign w:val="center"/>
          </w:tcPr>
          <w:p w14:paraId="6EEE3602" w14:textId="071E044B" w:rsidR="0063300B" w:rsidRPr="00CE28E3" w:rsidRDefault="0063300B">
            <w:pPr>
              <w:pStyle w:val="In-tableHeading"/>
              <w:jc w:val="center"/>
            </w:pPr>
            <w:r>
              <w:t>RR (95% CI)</w:t>
            </w:r>
            <w:r>
              <w:br/>
              <w:t>p-value</w:t>
            </w:r>
          </w:p>
        </w:tc>
        <w:tc>
          <w:tcPr>
            <w:tcW w:w="834" w:type="pct"/>
            <w:shd w:val="clear" w:color="auto" w:fill="auto"/>
            <w:vAlign w:val="center"/>
          </w:tcPr>
          <w:p w14:paraId="439AD041" w14:textId="1EBBD16D" w:rsidR="0063300B" w:rsidRPr="00CE28E3" w:rsidRDefault="0063300B">
            <w:pPr>
              <w:pStyle w:val="In-tableHeading"/>
              <w:jc w:val="center"/>
            </w:pPr>
            <w:r>
              <w:t>RD (95% CI)</w:t>
            </w:r>
            <w:r>
              <w:br/>
              <w:t>p-value</w:t>
            </w:r>
          </w:p>
        </w:tc>
      </w:tr>
      <w:tr w:rsidR="0063300B" w:rsidRPr="00CE28E3" w14:paraId="2FB1C74F" w14:textId="77777777" w:rsidTr="007A29CA">
        <w:trPr>
          <w:cantSplit/>
        </w:trPr>
        <w:tc>
          <w:tcPr>
            <w:tcW w:w="862" w:type="pct"/>
            <w:tcBorders>
              <w:bottom w:val="single" w:sz="4" w:space="0" w:color="auto"/>
              <w:right w:val="nil"/>
            </w:tcBorders>
            <w:shd w:val="clear" w:color="auto" w:fill="auto"/>
            <w:vAlign w:val="center"/>
          </w:tcPr>
          <w:p w14:paraId="5D925689" w14:textId="77777777" w:rsidR="0063300B" w:rsidRPr="000D33E6" w:rsidRDefault="0063300B" w:rsidP="003C76DB">
            <w:pPr>
              <w:pStyle w:val="TableText"/>
              <w:keepNext/>
              <w:rPr>
                <w:b/>
                <w:bCs/>
                <w:lang w:val="en-US"/>
              </w:rPr>
            </w:pPr>
            <w:r w:rsidRPr="000D33E6">
              <w:rPr>
                <w:b/>
                <w:bCs/>
                <w:lang w:val="en-US"/>
              </w:rPr>
              <w:t>All-comers</w:t>
            </w:r>
          </w:p>
        </w:tc>
        <w:tc>
          <w:tcPr>
            <w:tcW w:w="629" w:type="pct"/>
            <w:tcBorders>
              <w:left w:val="nil"/>
              <w:bottom w:val="single" w:sz="4" w:space="0" w:color="auto"/>
              <w:right w:val="nil"/>
            </w:tcBorders>
            <w:vAlign w:val="center"/>
          </w:tcPr>
          <w:p w14:paraId="286B429A" w14:textId="77777777" w:rsidR="0063300B" w:rsidRPr="000D33E6" w:rsidRDefault="0063300B" w:rsidP="003C76DB">
            <w:pPr>
              <w:pStyle w:val="TableText"/>
              <w:keepNext/>
              <w:jc w:val="center"/>
              <w:rPr>
                <w:b/>
                <w:bCs/>
                <w:lang w:val="en-US"/>
              </w:rPr>
            </w:pPr>
          </w:p>
        </w:tc>
        <w:tc>
          <w:tcPr>
            <w:tcW w:w="551" w:type="pct"/>
            <w:tcBorders>
              <w:left w:val="nil"/>
              <w:bottom w:val="single" w:sz="4" w:space="0" w:color="auto"/>
              <w:right w:val="nil"/>
            </w:tcBorders>
            <w:vAlign w:val="center"/>
          </w:tcPr>
          <w:p w14:paraId="1B0131A9" w14:textId="3165C60A" w:rsidR="0063300B" w:rsidRPr="000D33E6" w:rsidRDefault="0063300B" w:rsidP="003C76DB">
            <w:pPr>
              <w:pStyle w:val="TableText"/>
              <w:keepNext/>
              <w:jc w:val="center"/>
              <w:rPr>
                <w:b/>
                <w:bCs/>
                <w:lang w:val="en-US"/>
              </w:rPr>
            </w:pPr>
          </w:p>
        </w:tc>
        <w:tc>
          <w:tcPr>
            <w:tcW w:w="629" w:type="pct"/>
            <w:tcBorders>
              <w:left w:val="nil"/>
              <w:bottom w:val="single" w:sz="4" w:space="0" w:color="auto"/>
              <w:right w:val="nil"/>
            </w:tcBorders>
            <w:vAlign w:val="center"/>
          </w:tcPr>
          <w:p w14:paraId="17DAE40F" w14:textId="77777777" w:rsidR="0063300B" w:rsidRPr="000D33E6" w:rsidRDefault="0063300B" w:rsidP="003C76DB">
            <w:pPr>
              <w:pStyle w:val="TableText"/>
              <w:keepNext/>
              <w:jc w:val="center"/>
              <w:rPr>
                <w:b/>
                <w:bCs/>
                <w:lang w:val="en-US"/>
              </w:rPr>
            </w:pPr>
          </w:p>
        </w:tc>
        <w:tc>
          <w:tcPr>
            <w:tcW w:w="629" w:type="pct"/>
            <w:tcBorders>
              <w:left w:val="nil"/>
              <w:bottom w:val="single" w:sz="4" w:space="0" w:color="auto"/>
              <w:right w:val="nil"/>
            </w:tcBorders>
            <w:vAlign w:val="center"/>
          </w:tcPr>
          <w:p w14:paraId="436BC7C0" w14:textId="77777777" w:rsidR="0063300B" w:rsidRPr="000D33E6" w:rsidRDefault="0063300B" w:rsidP="003C76DB">
            <w:pPr>
              <w:pStyle w:val="TableText"/>
              <w:keepNext/>
              <w:jc w:val="center"/>
              <w:rPr>
                <w:b/>
                <w:bCs/>
                <w:lang w:val="en-US"/>
              </w:rPr>
            </w:pPr>
          </w:p>
        </w:tc>
        <w:tc>
          <w:tcPr>
            <w:tcW w:w="865" w:type="pct"/>
            <w:tcBorders>
              <w:left w:val="nil"/>
              <w:bottom w:val="single" w:sz="4" w:space="0" w:color="auto"/>
              <w:right w:val="nil"/>
            </w:tcBorders>
            <w:shd w:val="clear" w:color="auto" w:fill="auto"/>
            <w:vAlign w:val="center"/>
          </w:tcPr>
          <w:p w14:paraId="626D2C75" w14:textId="77777777" w:rsidR="0063300B" w:rsidRPr="000D33E6" w:rsidRDefault="0063300B" w:rsidP="003C76DB">
            <w:pPr>
              <w:pStyle w:val="TableText"/>
              <w:keepNext/>
              <w:jc w:val="center"/>
              <w:rPr>
                <w:b/>
                <w:bCs/>
                <w:lang w:val="en-US"/>
              </w:rPr>
            </w:pPr>
          </w:p>
        </w:tc>
        <w:tc>
          <w:tcPr>
            <w:tcW w:w="834" w:type="pct"/>
            <w:tcBorders>
              <w:left w:val="nil"/>
              <w:bottom w:val="single" w:sz="4" w:space="0" w:color="auto"/>
            </w:tcBorders>
            <w:shd w:val="clear" w:color="auto" w:fill="auto"/>
            <w:vAlign w:val="center"/>
          </w:tcPr>
          <w:p w14:paraId="114F7114" w14:textId="77777777" w:rsidR="0063300B" w:rsidRPr="000D33E6" w:rsidRDefault="0063300B" w:rsidP="003C76DB">
            <w:pPr>
              <w:pStyle w:val="TableText"/>
              <w:keepNext/>
              <w:jc w:val="center"/>
              <w:rPr>
                <w:b/>
                <w:bCs/>
                <w:lang w:val="en-US"/>
              </w:rPr>
            </w:pPr>
          </w:p>
        </w:tc>
      </w:tr>
      <w:tr w:rsidR="0063300B" w:rsidRPr="00CE28E3" w14:paraId="22F118DC" w14:textId="77777777" w:rsidTr="0063300B">
        <w:trPr>
          <w:cantSplit/>
        </w:trPr>
        <w:tc>
          <w:tcPr>
            <w:tcW w:w="862" w:type="pct"/>
            <w:tcBorders>
              <w:bottom w:val="nil"/>
            </w:tcBorders>
            <w:shd w:val="clear" w:color="auto" w:fill="auto"/>
            <w:vAlign w:val="center"/>
          </w:tcPr>
          <w:p w14:paraId="497D2603" w14:textId="2D101CAB" w:rsidR="0063300B" w:rsidRPr="00685DF6" w:rsidRDefault="0063300B" w:rsidP="00166DF9">
            <w:pPr>
              <w:pStyle w:val="TableText"/>
              <w:rPr>
                <w:lang w:val="en-US"/>
              </w:rPr>
            </w:pPr>
            <w:r>
              <w:rPr>
                <w:lang w:val="en-US"/>
              </w:rPr>
              <w:t>ULTIMATE</w:t>
            </w:r>
          </w:p>
        </w:tc>
        <w:tc>
          <w:tcPr>
            <w:tcW w:w="629" w:type="pct"/>
            <w:tcBorders>
              <w:bottom w:val="nil"/>
            </w:tcBorders>
            <w:vAlign w:val="center"/>
          </w:tcPr>
          <w:p w14:paraId="4EFC3F63" w14:textId="77777777" w:rsidR="00622D3B" w:rsidRDefault="00622D3B" w:rsidP="00622D3B">
            <w:pPr>
              <w:spacing w:before="40"/>
              <w:jc w:val="center"/>
              <w:rPr>
                <w:rFonts w:ascii="Cambria Math" w:hAnsi="Cambria Math" w:cs="Cambria Math"/>
                <w:color w:val="C00000"/>
              </w:rPr>
            </w:pPr>
            <w:r w:rsidRPr="002C1697">
              <w:rPr>
                <w:rFonts w:ascii="Cambria Math" w:hAnsi="Cambria Math"/>
                <w:color w:val="00B050"/>
              </w:rPr>
              <w:t>⨁⨁⨁</w:t>
            </w:r>
            <w:r w:rsidRPr="002C1697">
              <w:rPr>
                <w:rFonts w:ascii="Cambria Math" w:hAnsi="Cambria Math" w:cs="Cambria Math"/>
                <w:color w:val="C00000"/>
              </w:rPr>
              <w:t>⨀</w:t>
            </w:r>
          </w:p>
          <w:p w14:paraId="763A1CFB" w14:textId="5CA2DAA9" w:rsidR="0063300B" w:rsidRPr="004578AA" w:rsidRDefault="00622D3B" w:rsidP="00622D3B">
            <w:pPr>
              <w:pStyle w:val="TableText"/>
              <w:jc w:val="center"/>
              <w:rPr>
                <w:lang w:val="en-US"/>
              </w:rPr>
            </w:pPr>
            <w:r w:rsidRPr="004578AA">
              <w:rPr>
                <w:sz w:val="18"/>
                <w:szCs w:val="18"/>
              </w:rPr>
              <w:t>Moderate</w:t>
            </w:r>
          </w:p>
        </w:tc>
        <w:tc>
          <w:tcPr>
            <w:tcW w:w="551" w:type="pct"/>
            <w:tcBorders>
              <w:bottom w:val="dotted" w:sz="4" w:space="0" w:color="auto"/>
            </w:tcBorders>
            <w:vAlign w:val="center"/>
          </w:tcPr>
          <w:p w14:paraId="202A42C1" w14:textId="35E6E709" w:rsidR="0063300B" w:rsidRPr="00CE28E3" w:rsidRDefault="0063300B" w:rsidP="00166DF9">
            <w:pPr>
              <w:pStyle w:val="TableText"/>
              <w:jc w:val="center"/>
              <w:rPr>
                <w:lang w:val="en-US"/>
              </w:rPr>
            </w:pPr>
            <w:r>
              <w:rPr>
                <w:lang w:val="en-US"/>
              </w:rPr>
              <w:t>1 yr</w:t>
            </w:r>
          </w:p>
        </w:tc>
        <w:tc>
          <w:tcPr>
            <w:tcW w:w="629" w:type="pct"/>
            <w:tcBorders>
              <w:bottom w:val="dotted" w:sz="4" w:space="0" w:color="auto"/>
            </w:tcBorders>
            <w:vAlign w:val="center"/>
          </w:tcPr>
          <w:p w14:paraId="104FB876" w14:textId="27F354E4" w:rsidR="0063300B" w:rsidRPr="00CE28E3" w:rsidRDefault="0063300B" w:rsidP="00CF6FB6">
            <w:pPr>
              <w:pStyle w:val="TableText"/>
              <w:jc w:val="center"/>
              <w:rPr>
                <w:lang w:val="en-US"/>
              </w:rPr>
            </w:pPr>
            <w:r w:rsidRPr="009D36B6">
              <w:t>1/724 (0.1)</w:t>
            </w:r>
          </w:p>
        </w:tc>
        <w:tc>
          <w:tcPr>
            <w:tcW w:w="629" w:type="pct"/>
            <w:tcBorders>
              <w:bottom w:val="dotted" w:sz="4" w:space="0" w:color="auto"/>
            </w:tcBorders>
            <w:vAlign w:val="center"/>
          </w:tcPr>
          <w:p w14:paraId="5D64523E" w14:textId="3D0C6AC5" w:rsidR="0063300B" w:rsidRPr="00CE28E3" w:rsidRDefault="0063300B" w:rsidP="00CF6FB6">
            <w:pPr>
              <w:pStyle w:val="TableText"/>
              <w:jc w:val="center"/>
              <w:rPr>
                <w:lang w:val="en-US"/>
              </w:rPr>
            </w:pPr>
            <w:r w:rsidRPr="009D36B6">
              <w:t>5/724 (0.7)</w:t>
            </w:r>
          </w:p>
        </w:tc>
        <w:tc>
          <w:tcPr>
            <w:tcW w:w="865" w:type="pct"/>
            <w:tcBorders>
              <w:bottom w:val="dotted" w:sz="4" w:space="0" w:color="auto"/>
            </w:tcBorders>
            <w:shd w:val="clear" w:color="auto" w:fill="auto"/>
            <w:vAlign w:val="center"/>
          </w:tcPr>
          <w:p w14:paraId="01237078" w14:textId="41F11B30" w:rsidR="0063300B" w:rsidRPr="00CE28E3" w:rsidRDefault="0063300B" w:rsidP="00166DF9">
            <w:pPr>
              <w:pStyle w:val="TableText"/>
              <w:jc w:val="center"/>
              <w:rPr>
                <w:lang w:val="en-US"/>
              </w:rPr>
            </w:pPr>
            <w:r w:rsidRPr="007A6C4F">
              <w:t>0.</w:t>
            </w:r>
            <w:r>
              <w:t>20 (</w:t>
            </w:r>
            <w:r w:rsidRPr="007A6C4F">
              <w:t>0.02, 1.</w:t>
            </w:r>
            <w:r>
              <w:t>71</w:t>
            </w:r>
            <w:r w:rsidRPr="007A6C4F">
              <w:t>)</w:t>
            </w:r>
            <w:r>
              <w:br/>
            </w:r>
            <w:r w:rsidRPr="007A6C4F">
              <w:t>p = 0.</w:t>
            </w:r>
            <w:r>
              <w:t>14</w:t>
            </w:r>
          </w:p>
        </w:tc>
        <w:tc>
          <w:tcPr>
            <w:tcW w:w="834" w:type="pct"/>
            <w:tcBorders>
              <w:bottom w:val="dotted" w:sz="4" w:space="0" w:color="auto"/>
            </w:tcBorders>
            <w:shd w:val="clear" w:color="auto" w:fill="auto"/>
            <w:vAlign w:val="center"/>
          </w:tcPr>
          <w:p w14:paraId="479E6763" w14:textId="16EAE6AC" w:rsidR="0063300B" w:rsidRPr="00CE28E3" w:rsidRDefault="0063300B" w:rsidP="00166DF9">
            <w:pPr>
              <w:pStyle w:val="TableText"/>
              <w:jc w:val="center"/>
              <w:rPr>
                <w:lang w:val="en-US"/>
              </w:rPr>
            </w:pPr>
            <w:r w:rsidRPr="007A6C4F">
              <w:t>-0.0</w:t>
            </w:r>
            <w:r>
              <w:t xml:space="preserve">1 </w:t>
            </w:r>
            <w:r w:rsidRPr="007A6C4F">
              <w:t>(-0.0</w:t>
            </w:r>
            <w:r>
              <w:t>1</w:t>
            </w:r>
            <w:r w:rsidRPr="007A6C4F">
              <w:t>, 0.00)</w:t>
            </w:r>
            <w:r>
              <w:br/>
            </w:r>
            <w:r w:rsidRPr="007A6C4F">
              <w:t>p = 0.</w:t>
            </w:r>
            <w:r>
              <w:t>10</w:t>
            </w:r>
          </w:p>
        </w:tc>
      </w:tr>
      <w:tr w:rsidR="0063300B" w:rsidRPr="00CE28E3" w14:paraId="59952487" w14:textId="77777777" w:rsidTr="0063300B">
        <w:trPr>
          <w:cantSplit/>
        </w:trPr>
        <w:tc>
          <w:tcPr>
            <w:tcW w:w="862" w:type="pct"/>
            <w:tcBorders>
              <w:top w:val="nil"/>
              <w:bottom w:val="nil"/>
            </w:tcBorders>
            <w:shd w:val="clear" w:color="auto" w:fill="auto"/>
            <w:vAlign w:val="center"/>
          </w:tcPr>
          <w:p w14:paraId="1FE5A5AA" w14:textId="77777777" w:rsidR="0063300B" w:rsidRDefault="0063300B" w:rsidP="00166DF9">
            <w:pPr>
              <w:pStyle w:val="TableText"/>
              <w:rPr>
                <w:lang w:val="en-US"/>
              </w:rPr>
            </w:pPr>
          </w:p>
        </w:tc>
        <w:tc>
          <w:tcPr>
            <w:tcW w:w="629" w:type="pct"/>
            <w:tcBorders>
              <w:top w:val="nil"/>
              <w:bottom w:val="nil"/>
            </w:tcBorders>
            <w:vAlign w:val="center"/>
          </w:tcPr>
          <w:p w14:paraId="1E74A893" w14:textId="77777777" w:rsidR="0063300B" w:rsidRDefault="0063300B" w:rsidP="0063300B">
            <w:pPr>
              <w:pStyle w:val="TableText"/>
              <w:jc w:val="center"/>
              <w:rPr>
                <w:lang w:val="en-US"/>
              </w:rPr>
            </w:pPr>
          </w:p>
        </w:tc>
        <w:tc>
          <w:tcPr>
            <w:tcW w:w="551" w:type="pct"/>
            <w:tcBorders>
              <w:top w:val="dotted" w:sz="4" w:space="0" w:color="auto"/>
              <w:bottom w:val="dotted" w:sz="4" w:space="0" w:color="auto"/>
            </w:tcBorders>
            <w:vAlign w:val="center"/>
          </w:tcPr>
          <w:p w14:paraId="53519A83" w14:textId="2E76CBC9" w:rsidR="0063300B" w:rsidRPr="00CE28E3" w:rsidRDefault="0063300B" w:rsidP="00166DF9">
            <w:pPr>
              <w:pStyle w:val="TableText"/>
              <w:jc w:val="center"/>
              <w:rPr>
                <w:lang w:val="en-US"/>
              </w:rPr>
            </w:pPr>
            <w:r>
              <w:rPr>
                <w:lang w:val="en-US"/>
              </w:rPr>
              <w:t>2 yrs</w:t>
            </w:r>
          </w:p>
        </w:tc>
        <w:tc>
          <w:tcPr>
            <w:tcW w:w="629" w:type="pct"/>
            <w:tcBorders>
              <w:top w:val="dotted" w:sz="4" w:space="0" w:color="auto"/>
              <w:bottom w:val="dotted" w:sz="4" w:space="0" w:color="auto"/>
            </w:tcBorders>
            <w:vAlign w:val="center"/>
          </w:tcPr>
          <w:p w14:paraId="7CA1743E" w14:textId="0E2EA784" w:rsidR="0063300B" w:rsidRPr="00CE28E3" w:rsidRDefault="0063300B" w:rsidP="00CF6FB6">
            <w:pPr>
              <w:pStyle w:val="TableText"/>
              <w:jc w:val="center"/>
              <w:rPr>
                <w:lang w:val="en-US"/>
              </w:rPr>
            </w:pPr>
            <w:r w:rsidRPr="009D36B6">
              <w:t>1/724 (0.1)</w:t>
            </w:r>
          </w:p>
        </w:tc>
        <w:tc>
          <w:tcPr>
            <w:tcW w:w="629" w:type="pct"/>
            <w:tcBorders>
              <w:top w:val="dotted" w:sz="4" w:space="0" w:color="auto"/>
              <w:bottom w:val="dotted" w:sz="4" w:space="0" w:color="auto"/>
            </w:tcBorders>
            <w:vAlign w:val="center"/>
          </w:tcPr>
          <w:p w14:paraId="58F57ADD" w14:textId="74680FC2" w:rsidR="0063300B" w:rsidRPr="00CE28E3" w:rsidRDefault="0063300B" w:rsidP="00CF6FB6">
            <w:pPr>
              <w:pStyle w:val="TableText"/>
              <w:jc w:val="center"/>
              <w:rPr>
                <w:lang w:val="en-US"/>
              </w:rPr>
            </w:pPr>
            <w:r w:rsidRPr="009D36B6">
              <w:t>7/724 (1.0)</w:t>
            </w:r>
          </w:p>
        </w:tc>
        <w:tc>
          <w:tcPr>
            <w:tcW w:w="865" w:type="pct"/>
            <w:tcBorders>
              <w:top w:val="dotted" w:sz="4" w:space="0" w:color="auto"/>
              <w:bottom w:val="dotted" w:sz="4" w:space="0" w:color="auto"/>
            </w:tcBorders>
            <w:shd w:val="clear" w:color="auto" w:fill="auto"/>
          </w:tcPr>
          <w:p w14:paraId="689FB112" w14:textId="55E2D71D" w:rsidR="0063300B" w:rsidRPr="00CE28E3" w:rsidRDefault="0063300B" w:rsidP="00166DF9">
            <w:pPr>
              <w:pStyle w:val="TableText"/>
              <w:jc w:val="center"/>
              <w:rPr>
                <w:lang w:val="en-US"/>
              </w:rPr>
            </w:pPr>
            <w:r w:rsidRPr="007A6C4F">
              <w:t>0.14</w:t>
            </w:r>
            <w:r>
              <w:t xml:space="preserve"> (</w:t>
            </w:r>
            <w:r w:rsidRPr="007A6C4F">
              <w:t>0.02, 1.16)</w:t>
            </w:r>
            <w:r>
              <w:br/>
            </w:r>
            <w:r w:rsidRPr="007A6C4F">
              <w:t>p = 0.07</w:t>
            </w:r>
          </w:p>
        </w:tc>
        <w:tc>
          <w:tcPr>
            <w:tcW w:w="834" w:type="pct"/>
            <w:tcBorders>
              <w:top w:val="dotted" w:sz="4" w:space="0" w:color="auto"/>
              <w:bottom w:val="dotted" w:sz="4" w:space="0" w:color="auto"/>
            </w:tcBorders>
            <w:shd w:val="clear" w:color="auto" w:fill="auto"/>
          </w:tcPr>
          <w:p w14:paraId="5158DFF9" w14:textId="36606BDF" w:rsidR="0063300B" w:rsidRPr="00BC6874" w:rsidRDefault="0063300B" w:rsidP="00166DF9">
            <w:pPr>
              <w:pStyle w:val="TableText"/>
              <w:jc w:val="center"/>
              <w:rPr>
                <w:b/>
                <w:bCs/>
                <w:lang w:val="en-US"/>
              </w:rPr>
            </w:pPr>
            <w:r w:rsidRPr="00BC6874">
              <w:rPr>
                <w:b/>
                <w:bCs/>
              </w:rPr>
              <w:t>-0.01 (-0.02, -0.00)</w:t>
            </w:r>
            <w:r w:rsidRPr="00BC6874">
              <w:rPr>
                <w:b/>
                <w:bCs/>
              </w:rPr>
              <w:br/>
              <w:t>p = 0.03</w:t>
            </w:r>
          </w:p>
        </w:tc>
      </w:tr>
      <w:tr w:rsidR="0063300B" w:rsidRPr="00CE28E3" w14:paraId="0C85549B" w14:textId="77777777" w:rsidTr="007A29CA">
        <w:trPr>
          <w:cantSplit/>
        </w:trPr>
        <w:tc>
          <w:tcPr>
            <w:tcW w:w="862" w:type="pct"/>
            <w:tcBorders>
              <w:top w:val="nil"/>
              <w:bottom w:val="single" w:sz="4" w:space="0" w:color="auto"/>
            </w:tcBorders>
            <w:shd w:val="clear" w:color="auto" w:fill="auto"/>
            <w:vAlign w:val="center"/>
          </w:tcPr>
          <w:p w14:paraId="694BE578" w14:textId="77777777" w:rsidR="0063300B" w:rsidRDefault="0063300B" w:rsidP="00166DF9">
            <w:pPr>
              <w:pStyle w:val="TableText"/>
              <w:rPr>
                <w:lang w:val="en-US"/>
              </w:rPr>
            </w:pPr>
          </w:p>
        </w:tc>
        <w:tc>
          <w:tcPr>
            <w:tcW w:w="629" w:type="pct"/>
            <w:tcBorders>
              <w:top w:val="nil"/>
              <w:bottom w:val="single" w:sz="4" w:space="0" w:color="auto"/>
            </w:tcBorders>
            <w:vAlign w:val="center"/>
          </w:tcPr>
          <w:p w14:paraId="043DF2EB" w14:textId="77777777" w:rsidR="0063300B" w:rsidRDefault="0063300B" w:rsidP="0063300B">
            <w:pPr>
              <w:pStyle w:val="TableText"/>
              <w:jc w:val="center"/>
              <w:rPr>
                <w:lang w:val="en-US"/>
              </w:rPr>
            </w:pPr>
          </w:p>
        </w:tc>
        <w:tc>
          <w:tcPr>
            <w:tcW w:w="551" w:type="pct"/>
            <w:tcBorders>
              <w:top w:val="dotted" w:sz="4" w:space="0" w:color="auto"/>
              <w:bottom w:val="single" w:sz="4" w:space="0" w:color="auto"/>
            </w:tcBorders>
            <w:vAlign w:val="center"/>
          </w:tcPr>
          <w:p w14:paraId="1A992AD9" w14:textId="7C73DEF9" w:rsidR="0063300B" w:rsidRPr="00CE28E3" w:rsidRDefault="0063300B" w:rsidP="00166DF9">
            <w:pPr>
              <w:pStyle w:val="TableText"/>
              <w:jc w:val="center"/>
              <w:rPr>
                <w:lang w:val="en-US"/>
              </w:rPr>
            </w:pPr>
            <w:r>
              <w:rPr>
                <w:lang w:val="en-US"/>
              </w:rPr>
              <w:t>3 yrs</w:t>
            </w:r>
          </w:p>
        </w:tc>
        <w:tc>
          <w:tcPr>
            <w:tcW w:w="629" w:type="pct"/>
            <w:tcBorders>
              <w:top w:val="dotted" w:sz="4" w:space="0" w:color="auto"/>
              <w:bottom w:val="single" w:sz="4" w:space="0" w:color="auto"/>
            </w:tcBorders>
            <w:vAlign w:val="center"/>
          </w:tcPr>
          <w:p w14:paraId="010D9776" w14:textId="57317E09" w:rsidR="0063300B" w:rsidRPr="00CE28E3" w:rsidRDefault="0063300B" w:rsidP="00CF6FB6">
            <w:pPr>
              <w:pStyle w:val="TableText"/>
              <w:jc w:val="center"/>
              <w:rPr>
                <w:lang w:val="en-US"/>
              </w:rPr>
            </w:pPr>
            <w:r w:rsidRPr="009D36B6">
              <w:t>1/724 (0.1)</w:t>
            </w:r>
          </w:p>
        </w:tc>
        <w:tc>
          <w:tcPr>
            <w:tcW w:w="629" w:type="pct"/>
            <w:tcBorders>
              <w:top w:val="dotted" w:sz="4" w:space="0" w:color="auto"/>
              <w:bottom w:val="single" w:sz="4" w:space="0" w:color="auto"/>
            </w:tcBorders>
            <w:vAlign w:val="center"/>
          </w:tcPr>
          <w:p w14:paraId="01782811" w14:textId="20BD0327" w:rsidR="0063300B" w:rsidRPr="00CE28E3" w:rsidRDefault="0063300B" w:rsidP="00CF6FB6">
            <w:pPr>
              <w:pStyle w:val="TableText"/>
              <w:jc w:val="center"/>
              <w:rPr>
                <w:lang w:val="en-US"/>
              </w:rPr>
            </w:pPr>
            <w:r w:rsidRPr="009D36B6">
              <w:t>8/724 (1.0)</w:t>
            </w:r>
          </w:p>
        </w:tc>
        <w:tc>
          <w:tcPr>
            <w:tcW w:w="865" w:type="pct"/>
            <w:tcBorders>
              <w:top w:val="dotted" w:sz="4" w:space="0" w:color="auto"/>
              <w:bottom w:val="single" w:sz="4" w:space="0" w:color="auto"/>
            </w:tcBorders>
            <w:shd w:val="clear" w:color="auto" w:fill="auto"/>
          </w:tcPr>
          <w:p w14:paraId="69114184" w14:textId="4E880E74" w:rsidR="0063300B" w:rsidRPr="00CE28E3" w:rsidRDefault="0063300B" w:rsidP="00166DF9">
            <w:pPr>
              <w:pStyle w:val="TableText"/>
              <w:jc w:val="center"/>
              <w:rPr>
                <w:lang w:val="en-US"/>
              </w:rPr>
            </w:pPr>
            <w:r w:rsidRPr="00166DF9">
              <w:rPr>
                <w:lang w:val="en-US"/>
              </w:rPr>
              <w:t>0.1 (0.02, 1</w:t>
            </w:r>
            <w:r>
              <w:rPr>
                <w:lang w:val="en-US"/>
              </w:rPr>
              <w:t>.00)</w:t>
            </w:r>
            <w:r>
              <w:rPr>
                <w:lang w:val="en-US"/>
              </w:rPr>
              <w:br/>
              <w:t>p = 0.05</w:t>
            </w:r>
          </w:p>
        </w:tc>
        <w:tc>
          <w:tcPr>
            <w:tcW w:w="834" w:type="pct"/>
            <w:tcBorders>
              <w:top w:val="dotted" w:sz="4" w:space="0" w:color="auto"/>
            </w:tcBorders>
            <w:shd w:val="clear" w:color="auto" w:fill="auto"/>
          </w:tcPr>
          <w:p w14:paraId="560B59EA" w14:textId="0CB36BCC" w:rsidR="0063300B" w:rsidRPr="00BC6874" w:rsidRDefault="0063300B" w:rsidP="00166DF9">
            <w:pPr>
              <w:pStyle w:val="TableText"/>
              <w:jc w:val="center"/>
              <w:rPr>
                <w:b/>
                <w:bCs/>
                <w:lang w:val="en-US"/>
              </w:rPr>
            </w:pPr>
            <w:r w:rsidRPr="00BC6874">
              <w:rPr>
                <w:b/>
                <w:bCs/>
              </w:rPr>
              <w:t>-0.01 (-0.02, -0.00)</w:t>
            </w:r>
            <w:r w:rsidRPr="00BC6874">
              <w:rPr>
                <w:b/>
                <w:bCs/>
              </w:rPr>
              <w:br/>
              <w:t>p = 0.02</w:t>
            </w:r>
          </w:p>
        </w:tc>
      </w:tr>
      <w:tr w:rsidR="0063300B" w:rsidRPr="00CE28E3" w14:paraId="7CD77278" w14:textId="77777777" w:rsidTr="007A29CA">
        <w:trPr>
          <w:cantSplit/>
        </w:trPr>
        <w:tc>
          <w:tcPr>
            <w:tcW w:w="862" w:type="pct"/>
            <w:tcBorders>
              <w:bottom w:val="single" w:sz="4" w:space="0" w:color="auto"/>
              <w:right w:val="nil"/>
            </w:tcBorders>
            <w:shd w:val="clear" w:color="auto" w:fill="auto"/>
            <w:vAlign w:val="center"/>
          </w:tcPr>
          <w:p w14:paraId="16537156" w14:textId="18363F8E" w:rsidR="0063300B" w:rsidRPr="000D33E6" w:rsidRDefault="0063300B" w:rsidP="00622D3B">
            <w:pPr>
              <w:pStyle w:val="TableText"/>
              <w:keepNext/>
              <w:rPr>
                <w:b/>
                <w:bCs/>
                <w:lang w:val="en-US"/>
              </w:rPr>
            </w:pPr>
            <w:r w:rsidRPr="000D33E6">
              <w:rPr>
                <w:b/>
                <w:bCs/>
                <w:lang w:val="en-US"/>
              </w:rPr>
              <w:t>Long lesions</w:t>
            </w:r>
            <w:r w:rsidR="00032B94">
              <w:rPr>
                <w:b/>
                <w:bCs/>
                <w:lang w:val="en-US"/>
              </w:rPr>
              <w:t>*</w:t>
            </w:r>
          </w:p>
        </w:tc>
        <w:tc>
          <w:tcPr>
            <w:tcW w:w="629" w:type="pct"/>
            <w:tcBorders>
              <w:left w:val="nil"/>
              <w:bottom w:val="single" w:sz="4" w:space="0" w:color="auto"/>
              <w:right w:val="nil"/>
            </w:tcBorders>
            <w:vAlign w:val="center"/>
          </w:tcPr>
          <w:p w14:paraId="34EF2DE7" w14:textId="77777777" w:rsidR="0063300B" w:rsidRPr="000D33E6" w:rsidRDefault="0063300B" w:rsidP="00622D3B">
            <w:pPr>
              <w:pStyle w:val="TableText"/>
              <w:keepNext/>
              <w:jc w:val="center"/>
              <w:rPr>
                <w:b/>
                <w:bCs/>
                <w:lang w:val="en-US"/>
              </w:rPr>
            </w:pPr>
          </w:p>
        </w:tc>
        <w:tc>
          <w:tcPr>
            <w:tcW w:w="551" w:type="pct"/>
            <w:tcBorders>
              <w:left w:val="nil"/>
              <w:bottom w:val="single" w:sz="4" w:space="0" w:color="auto"/>
              <w:right w:val="nil"/>
            </w:tcBorders>
            <w:vAlign w:val="center"/>
          </w:tcPr>
          <w:p w14:paraId="51FF4717" w14:textId="579CC99B" w:rsidR="0063300B" w:rsidRPr="000D33E6" w:rsidRDefault="0063300B" w:rsidP="00622D3B">
            <w:pPr>
              <w:pStyle w:val="TableText"/>
              <w:keepNext/>
              <w:jc w:val="center"/>
              <w:rPr>
                <w:b/>
                <w:bCs/>
                <w:lang w:val="en-US"/>
              </w:rPr>
            </w:pPr>
          </w:p>
        </w:tc>
        <w:tc>
          <w:tcPr>
            <w:tcW w:w="629" w:type="pct"/>
            <w:tcBorders>
              <w:left w:val="nil"/>
              <w:bottom w:val="single" w:sz="4" w:space="0" w:color="auto"/>
              <w:right w:val="nil"/>
            </w:tcBorders>
            <w:vAlign w:val="center"/>
          </w:tcPr>
          <w:p w14:paraId="49571000" w14:textId="77777777" w:rsidR="0063300B" w:rsidRPr="000D33E6" w:rsidRDefault="0063300B" w:rsidP="00622D3B">
            <w:pPr>
              <w:pStyle w:val="TableText"/>
              <w:keepNext/>
              <w:jc w:val="center"/>
              <w:rPr>
                <w:b/>
                <w:bCs/>
                <w:lang w:val="en-US"/>
              </w:rPr>
            </w:pPr>
          </w:p>
        </w:tc>
        <w:tc>
          <w:tcPr>
            <w:tcW w:w="629" w:type="pct"/>
            <w:tcBorders>
              <w:left w:val="nil"/>
              <w:bottom w:val="single" w:sz="4" w:space="0" w:color="auto"/>
              <w:right w:val="nil"/>
            </w:tcBorders>
            <w:vAlign w:val="center"/>
          </w:tcPr>
          <w:p w14:paraId="2C0DB741" w14:textId="77777777" w:rsidR="0063300B" w:rsidRPr="000D33E6" w:rsidRDefault="0063300B" w:rsidP="00622D3B">
            <w:pPr>
              <w:pStyle w:val="TableText"/>
              <w:keepNext/>
              <w:jc w:val="center"/>
              <w:rPr>
                <w:b/>
                <w:bCs/>
                <w:lang w:val="en-US"/>
              </w:rPr>
            </w:pPr>
          </w:p>
        </w:tc>
        <w:tc>
          <w:tcPr>
            <w:tcW w:w="865" w:type="pct"/>
            <w:tcBorders>
              <w:left w:val="nil"/>
              <w:bottom w:val="single" w:sz="4" w:space="0" w:color="auto"/>
              <w:right w:val="nil"/>
            </w:tcBorders>
            <w:shd w:val="clear" w:color="auto" w:fill="auto"/>
            <w:vAlign w:val="center"/>
          </w:tcPr>
          <w:p w14:paraId="552E7F08" w14:textId="77777777" w:rsidR="0063300B" w:rsidRPr="000D33E6" w:rsidRDefault="0063300B" w:rsidP="00622D3B">
            <w:pPr>
              <w:pStyle w:val="TableText"/>
              <w:keepNext/>
              <w:jc w:val="center"/>
              <w:rPr>
                <w:b/>
                <w:bCs/>
                <w:lang w:val="en-US"/>
              </w:rPr>
            </w:pPr>
          </w:p>
        </w:tc>
        <w:tc>
          <w:tcPr>
            <w:tcW w:w="834" w:type="pct"/>
            <w:tcBorders>
              <w:left w:val="nil"/>
              <w:bottom w:val="single" w:sz="4" w:space="0" w:color="auto"/>
            </w:tcBorders>
            <w:shd w:val="clear" w:color="auto" w:fill="auto"/>
            <w:vAlign w:val="center"/>
          </w:tcPr>
          <w:p w14:paraId="73CC39EF" w14:textId="77777777" w:rsidR="0063300B" w:rsidRPr="000D33E6" w:rsidRDefault="0063300B" w:rsidP="00622D3B">
            <w:pPr>
              <w:pStyle w:val="TableText"/>
              <w:keepNext/>
              <w:jc w:val="center"/>
              <w:rPr>
                <w:b/>
                <w:bCs/>
                <w:lang w:val="en-US"/>
              </w:rPr>
            </w:pPr>
          </w:p>
        </w:tc>
      </w:tr>
      <w:tr w:rsidR="0063300B" w:rsidRPr="00CE28E3" w14:paraId="21D7D798" w14:textId="77777777" w:rsidTr="0063300B">
        <w:trPr>
          <w:cantSplit/>
        </w:trPr>
        <w:tc>
          <w:tcPr>
            <w:tcW w:w="862" w:type="pct"/>
            <w:tcBorders>
              <w:bottom w:val="nil"/>
            </w:tcBorders>
            <w:shd w:val="clear" w:color="auto" w:fill="auto"/>
            <w:vAlign w:val="center"/>
          </w:tcPr>
          <w:p w14:paraId="729F408A" w14:textId="761E55E1" w:rsidR="0063300B" w:rsidRPr="000859C7" w:rsidRDefault="0063300B" w:rsidP="006E2BB9">
            <w:pPr>
              <w:pStyle w:val="TableText"/>
              <w:rPr>
                <w:lang w:val="en-US"/>
              </w:rPr>
            </w:pPr>
            <w:r w:rsidRPr="000859C7">
              <w:rPr>
                <w:lang w:val="en-US"/>
              </w:rPr>
              <w:t>IVUS-XPL</w:t>
            </w:r>
          </w:p>
        </w:tc>
        <w:tc>
          <w:tcPr>
            <w:tcW w:w="629" w:type="pct"/>
            <w:tcBorders>
              <w:bottom w:val="nil"/>
            </w:tcBorders>
            <w:vAlign w:val="center"/>
          </w:tcPr>
          <w:p w14:paraId="3EAAED6D" w14:textId="6EAB66A6" w:rsidR="0063300B" w:rsidRDefault="00622D3B" w:rsidP="0063300B">
            <w:pPr>
              <w:pStyle w:val="TableText"/>
              <w:jc w:val="center"/>
              <w:rPr>
                <w:lang w:val="en-US"/>
              </w:rPr>
            </w:pPr>
            <w:r w:rsidRPr="002C1697">
              <w:rPr>
                <w:rFonts w:ascii="Cambria Math" w:hAnsi="Cambria Math"/>
                <w:color w:val="00B050"/>
              </w:rPr>
              <w:t>⨁⨁</w:t>
            </w:r>
            <w:r w:rsidRPr="002C1697">
              <w:rPr>
                <w:rFonts w:ascii="Cambria Math" w:hAnsi="Cambria Math" w:cs="Cambria Math"/>
                <w:color w:val="C00000"/>
              </w:rPr>
              <w:t>⨀⨀</w:t>
            </w:r>
            <w:r>
              <w:rPr>
                <w:rFonts w:ascii="Cambria Math" w:hAnsi="Cambria Math" w:cs="Cambria Math"/>
                <w:color w:val="C00000"/>
              </w:rPr>
              <w:br/>
            </w:r>
            <w:r w:rsidRPr="004578AA">
              <w:rPr>
                <w:rStyle w:val="CommentaryemphasisTablesmid-paragraph"/>
                <w:color w:val="auto"/>
              </w:rPr>
              <w:t>Low</w:t>
            </w:r>
          </w:p>
        </w:tc>
        <w:tc>
          <w:tcPr>
            <w:tcW w:w="551" w:type="pct"/>
            <w:tcBorders>
              <w:bottom w:val="dotted" w:sz="4" w:space="0" w:color="auto"/>
            </w:tcBorders>
            <w:vAlign w:val="center"/>
          </w:tcPr>
          <w:p w14:paraId="0897AC1D" w14:textId="56C0D4A7" w:rsidR="0063300B" w:rsidRPr="00CE28E3" w:rsidRDefault="0063300B" w:rsidP="006E2BB9">
            <w:pPr>
              <w:pStyle w:val="TableText"/>
              <w:jc w:val="center"/>
              <w:rPr>
                <w:lang w:val="en-US"/>
              </w:rPr>
            </w:pPr>
            <w:r>
              <w:rPr>
                <w:lang w:val="en-US"/>
              </w:rPr>
              <w:t>1 yr</w:t>
            </w:r>
          </w:p>
        </w:tc>
        <w:tc>
          <w:tcPr>
            <w:tcW w:w="629" w:type="pct"/>
            <w:tcBorders>
              <w:bottom w:val="dotted" w:sz="4" w:space="0" w:color="auto"/>
            </w:tcBorders>
            <w:vAlign w:val="center"/>
          </w:tcPr>
          <w:p w14:paraId="3DB29918" w14:textId="6429D57E" w:rsidR="0063300B" w:rsidRPr="00CE28E3" w:rsidRDefault="0063300B" w:rsidP="00CF6FB6">
            <w:pPr>
              <w:pStyle w:val="TableText"/>
              <w:jc w:val="center"/>
              <w:rPr>
                <w:lang w:val="en-US"/>
              </w:rPr>
            </w:pPr>
            <w:r w:rsidRPr="00396C6B">
              <w:t>2/700 (0.29)</w:t>
            </w:r>
          </w:p>
        </w:tc>
        <w:tc>
          <w:tcPr>
            <w:tcW w:w="629" w:type="pct"/>
            <w:tcBorders>
              <w:bottom w:val="dotted" w:sz="4" w:space="0" w:color="auto"/>
            </w:tcBorders>
            <w:vAlign w:val="center"/>
          </w:tcPr>
          <w:p w14:paraId="07A80F47" w14:textId="33F03FAE" w:rsidR="0063300B" w:rsidRPr="00CE28E3" w:rsidRDefault="0063300B" w:rsidP="00CF6FB6">
            <w:pPr>
              <w:pStyle w:val="TableText"/>
              <w:jc w:val="center"/>
              <w:rPr>
                <w:lang w:val="en-US"/>
              </w:rPr>
            </w:pPr>
            <w:r w:rsidRPr="00396C6B">
              <w:t>2/700 (0.29)</w:t>
            </w:r>
          </w:p>
        </w:tc>
        <w:tc>
          <w:tcPr>
            <w:tcW w:w="865" w:type="pct"/>
            <w:tcBorders>
              <w:bottom w:val="dotted" w:sz="4" w:space="0" w:color="auto"/>
            </w:tcBorders>
            <w:shd w:val="clear" w:color="auto" w:fill="auto"/>
            <w:vAlign w:val="center"/>
          </w:tcPr>
          <w:p w14:paraId="5EF50426" w14:textId="7D9D6CEC" w:rsidR="0063300B" w:rsidRPr="00CE28E3" w:rsidRDefault="0063300B" w:rsidP="006E2BB9">
            <w:pPr>
              <w:pStyle w:val="TableText"/>
              <w:jc w:val="center"/>
              <w:rPr>
                <w:lang w:val="en-US"/>
              </w:rPr>
            </w:pPr>
            <w:r w:rsidRPr="00C1374A">
              <w:rPr>
                <w:lang w:val="en-US"/>
              </w:rPr>
              <w:t>1.00 (0.14, 7.08)</w:t>
            </w:r>
            <w:r>
              <w:rPr>
                <w:lang w:val="en-US"/>
              </w:rPr>
              <w:br/>
              <w:t>p = 1.00</w:t>
            </w:r>
          </w:p>
        </w:tc>
        <w:tc>
          <w:tcPr>
            <w:tcW w:w="834" w:type="pct"/>
            <w:tcBorders>
              <w:bottom w:val="dotted" w:sz="4" w:space="0" w:color="auto"/>
            </w:tcBorders>
            <w:shd w:val="clear" w:color="auto" w:fill="auto"/>
            <w:vAlign w:val="center"/>
          </w:tcPr>
          <w:p w14:paraId="78AD0CFA" w14:textId="292B4959" w:rsidR="0063300B" w:rsidRPr="00CE28E3" w:rsidRDefault="0063300B" w:rsidP="006E2BB9">
            <w:pPr>
              <w:pStyle w:val="TableText"/>
              <w:jc w:val="center"/>
              <w:rPr>
                <w:lang w:val="en-US"/>
              </w:rPr>
            </w:pPr>
            <w:r>
              <w:rPr>
                <w:lang w:val="en-US"/>
              </w:rPr>
              <w:t>0.00 (-0.01, -0.01)</w:t>
            </w:r>
            <w:r>
              <w:rPr>
                <w:lang w:val="en-US"/>
              </w:rPr>
              <w:br/>
              <w:t>p = 1.00</w:t>
            </w:r>
          </w:p>
        </w:tc>
      </w:tr>
      <w:tr w:rsidR="0063300B" w:rsidRPr="00CE28E3" w14:paraId="5F248496" w14:textId="77777777" w:rsidTr="0063300B">
        <w:trPr>
          <w:cantSplit/>
        </w:trPr>
        <w:tc>
          <w:tcPr>
            <w:tcW w:w="862" w:type="pct"/>
            <w:tcBorders>
              <w:top w:val="nil"/>
            </w:tcBorders>
            <w:shd w:val="clear" w:color="auto" w:fill="auto"/>
            <w:vAlign w:val="center"/>
          </w:tcPr>
          <w:p w14:paraId="72ACFF08" w14:textId="77777777" w:rsidR="0063300B" w:rsidRPr="000859C7" w:rsidRDefault="0063300B" w:rsidP="00C1374A">
            <w:pPr>
              <w:pStyle w:val="TableText"/>
              <w:rPr>
                <w:lang w:val="en-US"/>
              </w:rPr>
            </w:pPr>
          </w:p>
        </w:tc>
        <w:tc>
          <w:tcPr>
            <w:tcW w:w="629" w:type="pct"/>
            <w:tcBorders>
              <w:top w:val="nil"/>
            </w:tcBorders>
            <w:vAlign w:val="center"/>
          </w:tcPr>
          <w:p w14:paraId="7E6F29EE" w14:textId="77777777" w:rsidR="0063300B" w:rsidRDefault="0063300B" w:rsidP="0063300B">
            <w:pPr>
              <w:pStyle w:val="TableText"/>
              <w:jc w:val="center"/>
              <w:rPr>
                <w:lang w:val="en-US"/>
              </w:rPr>
            </w:pPr>
          </w:p>
        </w:tc>
        <w:tc>
          <w:tcPr>
            <w:tcW w:w="551" w:type="pct"/>
            <w:tcBorders>
              <w:top w:val="dotted" w:sz="4" w:space="0" w:color="auto"/>
            </w:tcBorders>
            <w:vAlign w:val="center"/>
          </w:tcPr>
          <w:p w14:paraId="0A78E93D" w14:textId="3E633182" w:rsidR="0063300B" w:rsidRPr="00CE28E3" w:rsidRDefault="0063300B" w:rsidP="00C1374A">
            <w:pPr>
              <w:pStyle w:val="TableText"/>
              <w:jc w:val="center"/>
              <w:rPr>
                <w:lang w:val="en-US"/>
              </w:rPr>
            </w:pPr>
            <w:r>
              <w:rPr>
                <w:lang w:val="en-US"/>
              </w:rPr>
              <w:t>5 yrs</w:t>
            </w:r>
          </w:p>
        </w:tc>
        <w:tc>
          <w:tcPr>
            <w:tcW w:w="629" w:type="pct"/>
            <w:tcBorders>
              <w:top w:val="dotted" w:sz="4" w:space="0" w:color="auto"/>
            </w:tcBorders>
            <w:vAlign w:val="center"/>
          </w:tcPr>
          <w:p w14:paraId="5B98760A" w14:textId="22C7C82F" w:rsidR="0063300B" w:rsidRPr="00CE28E3" w:rsidRDefault="0063300B" w:rsidP="00CF6FB6">
            <w:pPr>
              <w:pStyle w:val="TableText"/>
              <w:jc w:val="center"/>
              <w:rPr>
                <w:lang w:val="en-US"/>
              </w:rPr>
            </w:pPr>
            <w:r w:rsidRPr="00396C6B">
              <w:t>2/700 (0.29)</w:t>
            </w:r>
          </w:p>
        </w:tc>
        <w:tc>
          <w:tcPr>
            <w:tcW w:w="629" w:type="pct"/>
            <w:tcBorders>
              <w:top w:val="dotted" w:sz="4" w:space="0" w:color="auto"/>
            </w:tcBorders>
            <w:vAlign w:val="center"/>
          </w:tcPr>
          <w:p w14:paraId="02F55645" w14:textId="655781F9" w:rsidR="0063300B" w:rsidRPr="00CE28E3" w:rsidRDefault="0063300B" w:rsidP="00CF6FB6">
            <w:pPr>
              <w:pStyle w:val="TableText"/>
              <w:jc w:val="center"/>
              <w:rPr>
                <w:lang w:val="en-US"/>
              </w:rPr>
            </w:pPr>
            <w:r w:rsidRPr="00396C6B">
              <w:t>2/700 (0.29)</w:t>
            </w:r>
          </w:p>
        </w:tc>
        <w:tc>
          <w:tcPr>
            <w:tcW w:w="865" w:type="pct"/>
            <w:tcBorders>
              <w:top w:val="dotted" w:sz="4" w:space="0" w:color="auto"/>
            </w:tcBorders>
            <w:shd w:val="clear" w:color="auto" w:fill="auto"/>
            <w:vAlign w:val="center"/>
          </w:tcPr>
          <w:p w14:paraId="7DA470F0" w14:textId="1B68A062" w:rsidR="0063300B" w:rsidRPr="00CE28E3" w:rsidRDefault="0063300B" w:rsidP="00C1374A">
            <w:pPr>
              <w:pStyle w:val="TableText"/>
              <w:jc w:val="center"/>
              <w:rPr>
                <w:lang w:val="en-US"/>
              </w:rPr>
            </w:pPr>
            <w:r>
              <w:rPr>
                <w:lang w:val="en-US"/>
              </w:rPr>
              <w:t>1.00 (0.14, 7.08)</w:t>
            </w:r>
            <w:r>
              <w:rPr>
                <w:lang w:val="en-US"/>
              </w:rPr>
              <w:br/>
              <w:t>p = 1.00</w:t>
            </w:r>
          </w:p>
        </w:tc>
        <w:tc>
          <w:tcPr>
            <w:tcW w:w="834" w:type="pct"/>
            <w:tcBorders>
              <w:top w:val="dotted" w:sz="4" w:space="0" w:color="auto"/>
            </w:tcBorders>
            <w:shd w:val="clear" w:color="auto" w:fill="auto"/>
            <w:vAlign w:val="center"/>
          </w:tcPr>
          <w:p w14:paraId="288DB34E" w14:textId="2D79CC09" w:rsidR="0063300B" w:rsidRPr="00CE28E3" w:rsidRDefault="0063300B" w:rsidP="00C1374A">
            <w:pPr>
              <w:pStyle w:val="TableText"/>
              <w:jc w:val="center"/>
              <w:rPr>
                <w:lang w:val="en-US"/>
              </w:rPr>
            </w:pPr>
            <w:r>
              <w:rPr>
                <w:lang w:val="en-US"/>
              </w:rPr>
              <w:t>0.00 (-0.01, -0.01)</w:t>
            </w:r>
            <w:r>
              <w:rPr>
                <w:lang w:val="en-US"/>
              </w:rPr>
              <w:br/>
              <w:t>p = 1.00</w:t>
            </w:r>
          </w:p>
        </w:tc>
      </w:tr>
      <w:tr w:rsidR="0063300B" w:rsidRPr="00CE28E3" w14:paraId="26A48AC7" w14:textId="77777777" w:rsidTr="007A29CA">
        <w:trPr>
          <w:cantSplit/>
        </w:trPr>
        <w:tc>
          <w:tcPr>
            <w:tcW w:w="862" w:type="pct"/>
            <w:tcBorders>
              <w:bottom w:val="single" w:sz="4" w:space="0" w:color="auto"/>
            </w:tcBorders>
            <w:shd w:val="clear" w:color="auto" w:fill="auto"/>
            <w:vAlign w:val="center"/>
          </w:tcPr>
          <w:p w14:paraId="1555E5EB" w14:textId="0173A656" w:rsidR="0063300B" w:rsidRPr="00C07319" w:rsidRDefault="0063300B" w:rsidP="00C1374A">
            <w:pPr>
              <w:pStyle w:val="TableText"/>
              <w:rPr>
                <w:lang w:val="en-US"/>
              </w:rPr>
            </w:pPr>
            <w:r>
              <w:rPr>
                <w:lang w:val="en-US"/>
              </w:rPr>
              <w:t>RESET</w:t>
            </w:r>
            <w:r w:rsidRPr="00801576">
              <w:rPr>
                <w:vertAlign w:val="superscript"/>
                <w:lang w:val="en-US"/>
              </w:rPr>
              <w:t>#</w:t>
            </w:r>
          </w:p>
        </w:tc>
        <w:tc>
          <w:tcPr>
            <w:tcW w:w="629" w:type="pct"/>
            <w:tcBorders>
              <w:bottom w:val="single" w:sz="4" w:space="0" w:color="auto"/>
            </w:tcBorders>
            <w:vAlign w:val="center"/>
          </w:tcPr>
          <w:p w14:paraId="21CD47D1" w14:textId="408DE5AA" w:rsidR="0063300B" w:rsidRDefault="00622D3B" w:rsidP="0063300B">
            <w:pPr>
              <w:pStyle w:val="TableText"/>
              <w:jc w:val="center"/>
              <w:rPr>
                <w:lang w:val="en-US"/>
              </w:rPr>
            </w:pPr>
            <w:r w:rsidRPr="002C1697">
              <w:rPr>
                <w:rFonts w:ascii="Cambria Math" w:hAnsi="Cambria Math"/>
                <w:color w:val="00B050"/>
              </w:rPr>
              <w:t>⨁⨁</w:t>
            </w:r>
            <w:r w:rsidRPr="002C1697">
              <w:rPr>
                <w:rFonts w:ascii="Cambria Math" w:hAnsi="Cambria Math" w:cs="Cambria Math"/>
                <w:color w:val="C00000"/>
              </w:rPr>
              <w:t>⨀⨀</w:t>
            </w:r>
            <w:r>
              <w:rPr>
                <w:rFonts w:ascii="Cambria Math" w:hAnsi="Cambria Math" w:cs="Cambria Math"/>
                <w:color w:val="C00000"/>
              </w:rPr>
              <w:br/>
            </w:r>
            <w:r w:rsidRPr="004578AA">
              <w:rPr>
                <w:rStyle w:val="CommentaryemphasisTablesmid-paragraph"/>
                <w:color w:val="auto"/>
              </w:rPr>
              <w:t>Low</w:t>
            </w:r>
          </w:p>
        </w:tc>
        <w:tc>
          <w:tcPr>
            <w:tcW w:w="551" w:type="pct"/>
            <w:tcBorders>
              <w:bottom w:val="single" w:sz="4" w:space="0" w:color="auto"/>
            </w:tcBorders>
            <w:vAlign w:val="center"/>
          </w:tcPr>
          <w:p w14:paraId="335CA9E4" w14:textId="09A88A46" w:rsidR="0063300B" w:rsidRPr="00CE28E3" w:rsidRDefault="0063300B" w:rsidP="00C1374A">
            <w:pPr>
              <w:pStyle w:val="TableText"/>
              <w:jc w:val="center"/>
              <w:rPr>
                <w:lang w:val="en-US"/>
              </w:rPr>
            </w:pPr>
            <w:r>
              <w:rPr>
                <w:lang w:val="en-US"/>
              </w:rPr>
              <w:t>1 yr</w:t>
            </w:r>
          </w:p>
        </w:tc>
        <w:tc>
          <w:tcPr>
            <w:tcW w:w="629" w:type="pct"/>
            <w:tcBorders>
              <w:bottom w:val="single" w:sz="4" w:space="0" w:color="auto"/>
            </w:tcBorders>
            <w:vAlign w:val="center"/>
          </w:tcPr>
          <w:p w14:paraId="04EE5E48" w14:textId="6922118F" w:rsidR="0063300B" w:rsidRPr="00CE28E3" w:rsidRDefault="0063300B" w:rsidP="00CF6FB6">
            <w:pPr>
              <w:pStyle w:val="TableText"/>
              <w:jc w:val="center"/>
              <w:rPr>
                <w:lang w:val="en-US"/>
              </w:rPr>
            </w:pPr>
            <w:r w:rsidRPr="00396C6B">
              <w:t>1/269 (0.37)</w:t>
            </w:r>
          </w:p>
        </w:tc>
        <w:tc>
          <w:tcPr>
            <w:tcW w:w="629" w:type="pct"/>
            <w:tcBorders>
              <w:bottom w:val="single" w:sz="4" w:space="0" w:color="auto"/>
            </w:tcBorders>
            <w:vAlign w:val="center"/>
          </w:tcPr>
          <w:p w14:paraId="47A3AA73" w14:textId="5B088E90" w:rsidR="0063300B" w:rsidRPr="00CE28E3" w:rsidRDefault="0063300B" w:rsidP="00CF6FB6">
            <w:pPr>
              <w:pStyle w:val="TableText"/>
              <w:jc w:val="center"/>
              <w:rPr>
                <w:lang w:val="en-US"/>
              </w:rPr>
            </w:pPr>
            <w:r w:rsidRPr="00396C6B">
              <w:t>1/274 (0.36)</w:t>
            </w:r>
          </w:p>
        </w:tc>
        <w:tc>
          <w:tcPr>
            <w:tcW w:w="865" w:type="pct"/>
            <w:tcBorders>
              <w:bottom w:val="single" w:sz="4" w:space="0" w:color="auto"/>
            </w:tcBorders>
            <w:shd w:val="clear" w:color="auto" w:fill="auto"/>
            <w:vAlign w:val="center"/>
          </w:tcPr>
          <w:p w14:paraId="5AD6D12A" w14:textId="2A560CC8" w:rsidR="0063300B" w:rsidRPr="00CE28E3" w:rsidRDefault="0063300B" w:rsidP="00C1374A">
            <w:pPr>
              <w:pStyle w:val="TableText"/>
              <w:jc w:val="center"/>
              <w:rPr>
                <w:lang w:val="en-US"/>
              </w:rPr>
            </w:pPr>
            <w:r>
              <w:rPr>
                <w:lang w:val="en-US"/>
              </w:rPr>
              <w:t>1.02 (0.06, 16.20)</w:t>
            </w:r>
            <w:r>
              <w:rPr>
                <w:lang w:val="en-US"/>
              </w:rPr>
              <w:br/>
              <w:t>p = 0.99</w:t>
            </w:r>
          </w:p>
        </w:tc>
        <w:tc>
          <w:tcPr>
            <w:tcW w:w="834" w:type="pct"/>
            <w:shd w:val="clear" w:color="auto" w:fill="auto"/>
            <w:vAlign w:val="center"/>
          </w:tcPr>
          <w:p w14:paraId="7E232DE4" w14:textId="5EC699D1" w:rsidR="0063300B" w:rsidRPr="00CE28E3" w:rsidRDefault="0063300B" w:rsidP="006E2BB9">
            <w:pPr>
              <w:pStyle w:val="TableText"/>
              <w:jc w:val="center"/>
              <w:rPr>
                <w:lang w:val="en-US"/>
              </w:rPr>
            </w:pPr>
            <w:r>
              <w:rPr>
                <w:lang w:val="en-US"/>
              </w:rPr>
              <w:t>0.00 (-0.01, 0.01)</w:t>
            </w:r>
            <w:r>
              <w:rPr>
                <w:lang w:val="en-US"/>
              </w:rPr>
              <w:br/>
              <w:t>p = 0.99</w:t>
            </w:r>
          </w:p>
        </w:tc>
      </w:tr>
      <w:tr w:rsidR="0063300B" w:rsidRPr="00CE28E3" w14:paraId="33AF6E13" w14:textId="77777777" w:rsidTr="007A29CA">
        <w:trPr>
          <w:cantSplit/>
        </w:trPr>
        <w:tc>
          <w:tcPr>
            <w:tcW w:w="862" w:type="pct"/>
            <w:tcBorders>
              <w:right w:val="nil"/>
            </w:tcBorders>
            <w:shd w:val="clear" w:color="auto" w:fill="auto"/>
            <w:vAlign w:val="center"/>
          </w:tcPr>
          <w:p w14:paraId="116CAD04" w14:textId="4B163E2F" w:rsidR="0063300B" w:rsidRPr="000D33E6" w:rsidRDefault="0063300B" w:rsidP="00685DF6">
            <w:pPr>
              <w:pStyle w:val="TableText"/>
              <w:rPr>
                <w:b/>
                <w:bCs/>
                <w:lang w:val="en-US"/>
              </w:rPr>
            </w:pPr>
            <w:r w:rsidRPr="000D33E6">
              <w:rPr>
                <w:b/>
                <w:bCs/>
                <w:lang w:val="en-US"/>
              </w:rPr>
              <w:t>Left main lesions</w:t>
            </w:r>
            <w:r w:rsidR="003220C1">
              <w:rPr>
                <w:b/>
                <w:bCs/>
                <w:lang w:val="en-US"/>
              </w:rPr>
              <w:t>^</w:t>
            </w:r>
          </w:p>
        </w:tc>
        <w:tc>
          <w:tcPr>
            <w:tcW w:w="629" w:type="pct"/>
            <w:tcBorders>
              <w:left w:val="nil"/>
              <w:right w:val="nil"/>
            </w:tcBorders>
            <w:vAlign w:val="center"/>
          </w:tcPr>
          <w:p w14:paraId="18A2B537" w14:textId="77777777" w:rsidR="0063300B" w:rsidRPr="000D33E6" w:rsidRDefault="0063300B" w:rsidP="0063300B">
            <w:pPr>
              <w:pStyle w:val="TableText"/>
              <w:jc w:val="center"/>
              <w:rPr>
                <w:b/>
                <w:bCs/>
                <w:lang w:val="en-US"/>
              </w:rPr>
            </w:pPr>
          </w:p>
        </w:tc>
        <w:tc>
          <w:tcPr>
            <w:tcW w:w="551" w:type="pct"/>
            <w:tcBorders>
              <w:left w:val="nil"/>
              <w:right w:val="nil"/>
            </w:tcBorders>
            <w:vAlign w:val="center"/>
          </w:tcPr>
          <w:p w14:paraId="5804451E" w14:textId="5B48F318" w:rsidR="0063300B" w:rsidRPr="000D33E6" w:rsidRDefault="0063300B" w:rsidP="00685DF6">
            <w:pPr>
              <w:pStyle w:val="TableText"/>
              <w:jc w:val="center"/>
              <w:rPr>
                <w:b/>
                <w:bCs/>
                <w:lang w:val="en-US"/>
              </w:rPr>
            </w:pPr>
          </w:p>
        </w:tc>
        <w:tc>
          <w:tcPr>
            <w:tcW w:w="629" w:type="pct"/>
            <w:tcBorders>
              <w:left w:val="nil"/>
              <w:right w:val="nil"/>
            </w:tcBorders>
            <w:vAlign w:val="center"/>
          </w:tcPr>
          <w:p w14:paraId="36DC8038" w14:textId="77777777" w:rsidR="0063300B" w:rsidRPr="000D33E6" w:rsidRDefault="0063300B" w:rsidP="00CF6FB6">
            <w:pPr>
              <w:pStyle w:val="TableText"/>
              <w:jc w:val="center"/>
              <w:rPr>
                <w:b/>
                <w:bCs/>
                <w:lang w:val="en-US"/>
              </w:rPr>
            </w:pPr>
          </w:p>
        </w:tc>
        <w:tc>
          <w:tcPr>
            <w:tcW w:w="629" w:type="pct"/>
            <w:tcBorders>
              <w:left w:val="nil"/>
              <w:right w:val="nil"/>
            </w:tcBorders>
            <w:vAlign w:val="center"/>
          </w:tcPr>
          <w:p w14:paraId="442FA289" w14:textId="77777777" w:rsidR="0063300B" w:rsidRPr="000D33E6" w:rsidRDefault="0063300B" w:rsidP="00CF6FB6">
            <w:pPr>
              <w:pStyle w:val="TableText"/>
              <w:jc w:val="center"/>
              <w:rPr>
                <w:b/>
                <w:bCs/>
                <w:lang w:val="en-US"/>
              </w:rPr>
            </w:pPr>
          </w:p>
        </w:tc>
        <w:tc>
          <w:tcPr>
            <w:tcW w:w="865" w:type="pct"/>
            <w:tcBorders>
              <w:left w:val="nil"/>
              <w:right w:val="nil"/>
            </w:tcBorders>
            <w:shd w:val="clear" w:color="auto" w:fill="auto"/>
            <w:vAlign w:val="center"/>
          </w:tcPr>
          <w:p w14:paraId="23043DE9" w14:textId="77777777" w:rsidR="0063300B" w:rsidRPr="000D33E6" w:rsidRDefault="0063300B" w:rsidP="00685DF6">
            <w:pPr>
              <w:pStyle w:val="TableText"/>
              <w:jc w:val="center"/>
              <w:rPr>
                <w:b/>
                <w:bCs/>
                <w:lang w:val="en-US"/>
              </w:rPr>
            </w:pPr>
          </w:p>
        </w:tc>
        <w:tc>
          <w:tcPr>
            <w:tcW w:w="834" w:type="pct"/>
            <w:tcBorders>
              <w:left w:val="nil"/>
            </w:tcBorders>
            <w:shd w:val="clear" w:color="auto" w:fill="auto"/>
            <w:vAlign w:val="center"/>
          </w:tcPr>
          <w:p w14:paraId="74C7E52A" w14:textId="77777777" w:rsidR="0063300B" w:rsidRPr="000D33E6" w:rsidRDefault="0063300B" w:rsidP="00685DF6">
            <w:pPr>
              <w:pStyle w:val="TableText"/>
              <w:jc w:val="center"/>
              <w:rPr>
                <w:b/>
                <w:bCs/>
                <w:lang w:val="en-US"/>
              </w:rPr>
            </w:pPr>
          </w:p>
        </w:tc>
      </w:tr>
      <w:tr w:rsidR="0063300B" w:rsidRPr="00CE28E3" w14:paraId="57FFDF39" w14:textId="77777777" w:rsidTr="0063300B">
        <w:trPr>
          <w:cantSplit/>
        </w:trPr>
        <w:tc>
          <w:tcPr>
            <w:tcW w:w="862" w:type="pct"/>
            <w:shd w:val="clear" w:color="auto" w:fill="auto"/>
            <w:vAlign w:val="center"/>
          </w:tcPr>
          <w:p w14:paraId="53234847" w14:textId="1110816D" w:rsidR="0063300B" w:rsidRPr="00CE28E3" w:rsidRDefault="0063300B" w:rsidP="006E2BB9">
            <w:pPr>
              <w:pStyle w:val="TableText"/>
              <w:rPr>
                <w:lang w:val="en-US"/>
              </w:rPr>
            </w:pPr>
            <w:r>
              <w:rPr>
                <w:lang w:val="en-US"/>
              </w:rPr>
              <w:t>Liu 2019</w:t>
            </w:r>
          </w:p>
        </w:tc>
        <w:tc>
          <w:tcPr>
            <w:tcW w:w="629" w:type="pct"/>
            <w:vAlign w:val="center"/>
          </w:tcPr>
          <w:p w14:paraId="79EE9A39" w14:textId="77777777" w:rsidR="00622D3B" w:rsidRPr="002C1697" w:rsidRDefault="00622D3B" w:rsidP="00622D3B">
            <w:pPr>
              <w:spacing w:before="40"/>
              <w:jc w:val="center"/>
              <w:rPr>
                <w:rFonts w:ascii="Cambria Math" w:hAnsi="Cambria Math" w:cs="Cambria Math"/>
                <w:color w:val="C00000"/>
              </w:rPr>
            </w:pPr>
            <w:r w:rsidRPr="002C1697">
              <w:rPr>
                <w:rFonts w:ascii="Cambria Math" w:hAnsi="Cambria Math"/>
                <w:color w:val="00B050"/>
              </w:rPr>
              <w:t>⨁</w:t>
            </w:r>
            <w:r w:rsidRPr="002C1697">
              <w:rPr>
                <w:rFonts w:ascii="Cambria Math" w:hAnsi="Cambria Math" w:cs="Cambria Math"/>
                <w:color w:val="C00000"/>
              </w:rPr>
              <w:t>⨀⨀⨀</w:t>
            </w:r>
          </w:p>
          <w:p w14:paraId="1153D37F" w14:textId="1EB0923C" w:rsidR="0063300B" w:rsidRPr="004578AA" w:rsidRDefault="00622D3B" w:rsidP="00622D3B">
            <w:pPr>
              <w:pStyle w:val="TableText"/>
              <w:jc w:val="center"/>
              <w:rPr>
                <w:lang w:val="en-US"/>
              </w:rPr>
            </w:pPr>
            <w:r w:rsidRPr="004578AA">
              <w:rPr>
                <w:rStyle w:val="CommentaryemphasisTablesmid-paragraph"/>
                <w:color w:val="auto"/>
              </w:rPr>
              <w:t>Very low</w:t>
            </w:r>
          </w:p>
        </w:tc>
        <w:tc>
          <w:tcPr>
            <w:tcW w:w="551" w:type="pct"/>
            <w:vAlign w:val="center"/>
          </w:tcPr>
          <w:p w14:paraId="7CFCA827" w14:textId="350EBC1F" w:rsidR="0063300B" w:rsidRPr="00CE28E3" w:rsidRDefault="0063300B" w:rsidP="006E2BB9">
            <w:pPr>
              <w:pStyle w:val="TableText"/>
              <w:jc w:val="center"/>
              <w:rPr>
                <w:lang w:val="en-US"/>
              </w:rPr>
            </w:pPr>
            <w:r>
              <w:rPr>
                <w:lang w:val="en-US"/>
              </w:rPr>
              <w:t>1 yr</w:t>
            </w:r>
          </w:p>
        </w:tc>
        <w:tc>
          <w:tcPr>
            <w:tcW w:w="629" w:type="pct"/>
            <w:vAlign w:val="center"/>
          </w:tcPr>
          <w:p w14:paraId="03CBEADD" w14:textId="42C8579A" w:rsidR="0063300B" w:rsidRPr="00CE28E3" w:rsidRDefault="0063300B" w:rsidP="00CF6FB6">
            <w:pPr>
              <w:pStyle w:val="TableText"/>
              <w:jc w:val="center"/>
              <w:rPr>
                <w:lang w:val="en-US"/>
              </w:rPr>
            </w:pPr>
            <w:r w:rsidRPr="00FB0664">
              <w:t>2/174 (1.1)</w:t>
            </w:r>
          </w:p>
        </w:tc>
        <w:tc>
          <w:tcPr>
            <w:tcW w:w="629" w:type="pct"/>
            <w:vAlign w:val="center"/>
          </w:tcPr>
          <w:p w14:paraId="40FDDC27" w14:textId="4FB03C65" w:rsidR="0063300B" w:rsidRPr="00CE28E3" w:rsidRDefault="0063300B" w:rsidP="00CF6FB6">
            <w:pPr>
              <w:pStyle w:val="TableText"/>
              <w:jc w:val="center"/>
              <w:rPr>
                <w:lang w:val="en-US"/>
              </w:rPr>
            </w:pPr>
            <w:r>
              <w:t>4</w:t>
            </w:r>
            <w:r w:rsidRPr="00FB0664">
              <w:t>/174 (2.</w:t>
            </w:r>
            <w:r>
              <w:t>3</w:t>
            </w:r>
            <w:r w:rsidRPr="00FB0664">
              <w:t>)</w:t>
            </w:r>
          </w:p>
        </w:tc>
        <w:tc>
          <w:tcPr>
            <w:tcW w:w="865" w:type="pct"/>
            <w:shd w:val="clear" w:color="auto" w:fill="auto"/>
            <w:vAlign w:val="center"/>
          </w:tcPr>
          <w:p w14:paraId="4EC21BBC" w14:textId="48EA547C" w:rsidR="0063300B" w:rsidRPr="00CE28E3" w:rsidRDefault="0063300B" w:rsidP="006E2BB9">
            <w:pPr>
              <w:pStyle w:val="TableText"/>
              <w:jc w:val="center"/>
              <w:rPr>
                <w:lang w:val="en-US"/>
              </w:rPr>
            </w:pPr>
            <w:r>
              <w:rPr>
                <w:lang w:val="en-US"/>
              </w:rPr>
              <w:t>0.50 (0.09, 2.69)</w:t>
            </w:r>
            <w:r>
              <w:rPr>
                <w:lang w:val="en-US"/>
              </w:rPr>
              <w:br/>
              <w:t>p = 0.42</w:t>
            </w:r>
          </w:p>
        </w:tc>
        <w:tc>
          <w:tcPr>
            <w:tcW w:w="834" w:type="pct"/>
            <w:shd w:val="clear" w:color="auto" w:fill="auto"/>
            <w:vAlign w:val="center"/>
          </w:tcPr>
          <w:p w14:paraId="07AECD1F" w14:textId="3B1E727C" w:rsidR="0063300B" w:rsidRPr="00CE28E3" w:rsidRDefault="0063300B" w:rsidP="006E2BB9">
            <w:pPr>
              <w:pStyle w:val="TableText"/>
              <w:jc w:val="center"/>
              <w:rPr>
                <w:lang w:val="en-US"/>
              </w:rPr>
            </w:pPr>
            <w:r>
              <w:rPr>
                <w:lang w:val="en-US"/>
              </w:rPr>
              <w:t>-0.01 (-0.04, 0.02)</w:t>
            </w:r>
            <w:r>
              <w:rPr>
                <w:lang w:val="en-US"/>
              </w:rPr>
              <w:br/>
              <w:t>p = 0.41</w:t>
            </w:r>
          </w:p>
        </w:tc>
      </w:tr>
      <w:tr w:rsidR="0063300B" w:rsidRPr="00CE28E3" w14:paraId="11290705" w14:textId="77777777" w:rsidTr="0063300B">
        <w:trPr>
          <w:cantSplit/>
        </w:trPr>
        <w:tc>
          <w:tcPr>
            <w:tcW w:w="862" w:type="pct"/>
            <w:shd w:val="clear" w:color="auto" w:fill="auto"/>
            <w:vAlign w:val="center"/>
          </w:tcPr>
          <w:p w14:paraId="6C1EA571" w14:textId="77777777" w:rsidR="0063300B" w:rsidRPr="00CE28E3" w:rsidRDefault="0063300B" w:rsidP="006E2BB9">
            <w:pPr>
              <w:pStyle w:val="TableText"/>
              <w:rPr>
                <w:lang w:val="en-US"/>
              </w:rPr>
            </w:pPr>
            <w:r>
              <w:rPr>
                <w:lang w:val="en-US"/>
              </w:rPr>
              <w:t>Tan 2015</w:t>
            </w:r>
          </w:p>
        </w:tc>
        <w:tc>
          <w:tcPr>
            <w:tcW w:w="629" w:type="pct"/>
            <w:vAlign w:val="center"/>
          </w:tcPr>
          <w:p w14:paraId="7BB56ED0" w14:textId="77777777" w:rsidR="00622D3B" w:rsidRPr="002C1697" w:rsidRDefault="00622D3B" w:rsidP="00622D3B">
            <w:pPr>
              <w:spacing w:before="40"/>
              <w:jc w:val="center"/>
              <w:rPr>
                <w:rFonts w:ascii="Cambria Math" w:hAnsi="Cambria Math" w:cs="Cambria Math"/>
                <w:color w:val="C00000"/>
              </w:rPr>
            </w:pPr>
            <w:r w:rsidRPr="002C1697">
              <w:rPr>
                <w:rFonts w:ascii="Cambria Math" w:hAnsi="Cambria Math"/>
                <w:color w:val="00B050"/>
              </w:rPr>
              <w:t>⨁</w:t>
            </w:r>
            <w:r w:rsidRPr="002C1697">
              <w:rPr>
                <w:rFonts w:ascii="Cambria Math" w:hAnsi="Cambria Math" w:cs="Cambria Math"/>
                <w:color w:val="C00000"/>
              </w:rPr>
              <w:t>⨀⨀⨀</w:t>
            </w:r>
          </w:p>
          <w:p w14:paraId="16C58A0C" w14:textId="76E6DBB7" w:rsidR="0063300B" w:rsidRPr="004578AA" w:rsidRDefault="00622D3B" w:rsidP="00622D3B">
            <w:pPr>
              <w:pStyle w:val="TableText"/>
              <w:jc w:val="center"/>
              <w:rPr>
                <w:lang w:val="en-US"/>
              </w:rPr>
            </w:pPr>
            <w:r w:rsidRPr="004578AA">
              <w:rPr>
                <w:rStyle w:val="CommentaryemphasisTablesmid-paragraph"/>
                <w:color w:val="auto"/>
              </w:rPr>
              <w:t>Very low</w:t>
            </w:r>
          </w:p>
        </w:tc>
        <w:tc>
          <w:tcPr>
            <w:tcW w:w="551" w:type="pct"/>
            <w:vAlign w:val="center"/>
          </w:tcPr>
          <w:p w14:paraId="7B4BF11E" w14:textId="57E567A2" w:rsidR="0063300B" w:rsidRPr="00CE28E3" w:rsidRDefault="0063300B" w:rsidP="006E2BB9">
            <w:pPr>
              <w:pStyle w:val="TableText"/>
              <w:jc w:val="center"/>
              <w:rPr>
                <w:lang w:val="en-US"/>
              </w:rPr>
            </w:pPr>
            <w:r>
              <w:rPr>
                <w:lang w:val="en-US"/>
              </w:rPr>
              <w:t>2 yrs</w:t>
            </w:r>
          </w:p>
        </w:tc>
        <w:tc>
          <w:tcPr>
            <w:tcW w:w="629" w:type="pct"/>
            <w:vAlign w:val="center"/>
          </w:tcPr>
          <w:p w14:paraId="2B6E0FB3" w14:textId="4108C335" w:rsidR="0063300B" w:rsidRPr="00CE28E3" w:rsidRDefault="0063300B" w:rsidP="00CF6FB6">
            <w:pPr>
              <w:pStyle w:val="TableText"/>
              <w:jc w:val="center"/>
              <w:rPr>
                <w:lang w:val="en-US"/>
              </w:rPr>
            </w:pPr>
            <w:r w:rsidRPr="00FB0664">
              <w:t>1/61 (1.6)</w:t>
            </w:r>
          </w:p>
        </w:tc>
        <w:tc>
          <w:tcPr>
            <w:tcW w:w="629" w:type="pct"/>
            <w:vAlign w:val="center"/>
          </w:tcPr>
          <w:p w14:paraId="385D0CFC" w14:textId="5D619B37" w:rsidR="0063300B" w:rsidRPr="00CE28E3" w:rsidRDefault="0063300B" w:rsidP="00CF6FB6">
            <w:pPr>
              <w:pStyle w:val="TableText"/>
              <w:jc w:val="center"/>
              <w:rPr>
                <w:lang w:val="en-US"/>
              </w:rPr>
            </w:pPr>
            <w:r w:rsidRPr="00FB0664">
              <w:t>2/62 (3.2)</w:t>
            </w:r>
          </w:p>
        </w:tc>
        <w:tc>
          <w:tcPr>
            <w:tcW w:w="865" w:type="pct"/>
            <w:shd w:val="clear" w:color="auto" w:fill="auto"/>
            <w:vAlign w:val="center"/>
          </w:tcPr>
          <w:p w14:paraId="06597808" w14:textId="312BE0E0" w:rsidR="0063300B" w:rsidRPr="00CE28E3" w:rsidRDefault="0063300B" w:rsidP="006E2BB9">
            <w:pPr>
              <w:pStyle w:val="TableText"/>
              <w:jc w:val="center"/>
              <w:rPr>
                <w:lang w:val="en-US"/>
              </w:rPr>
            </w:pPr>
            <w:r>
              <w:rPr>
                <w:lang w:val="en-US"/>
              </w:rPr>
              <w:t>0.51 (0.05, 5.46)</w:t>
            </w:r>
            <w:r>
              <w:rPr>
                <w:lang w:val="en-US"/>
              </w:rPr>
              <w:br/>
              <w:t>p = 0.58</w:t>
            </w:r>
          </w:p>
        </w:tc>
        <w:tc>
          <w:tcPr>
            <w:tcW w:w="834" w:type="pct"/>
            <w:shd w:val="clear" w:color="auto" w:fill="auto"/>
            <w:vAlign w:val="center"/>
          </w:tcPr>
          <w:p w14:paraId="315E7E88" w14:textId="1186BF15" w:rsidR="0063300B" w:rsidRPr="00CE28E3" w:rsidRDefault="0063300B" w:rsidP="006E2BB9">
            <w:pPr>
              <w:pStyle w:val="TableText"/>
              <w:jc w:val="center"/>
              <w:rPr>
                <w:lang w:val="en-US"/>
              </w:rPr>
            </w:pPr>
            <w:r>
              <w:rPr>
                <w:lang w:val="en-US"/>
              </w:rPr>
              <w:t>-0.02 (-0.07, 0.04)</w:t>
            </w:r>
            <w:r>
              <w:rPr>
                <w:lang w:val="en-US"/>
              </w:rPr>
              <w:br/>
              <w:t>p = 0.31</w:t>
            </w:r>
          </w:p>
        </w:tc>
      </w:tr>
    </w:tbl>
    <w:p w14:paraId="47C8356A" w14:textId="0305A45A" w:rsidR="00685DF6" w:rsidRDefault="004C2F1C" w:rsidP="00731CB3">
      <w:pPr>
        <w:pStyle w:val="TableFigureFooter"/>
        <w:spacing w:before="60" w:after="0"/>
      </w:pPr>
      <w:r>
        <w:t xml:space="preserve">CI = confidence interval; HR = hazard ratio; IVUS = intravascular ultrasound; </w:t>
      </w:r>
      <w:r w:rsidR="00685DF6">
        <w:t>N = number randomised;</w:t>
      </w:r>
      <w:r>
        <w:t xml:space="preserve"> PCI = percutaneous coronary intervention; RR = risk ratio; RD = risk difference</w:t>
      </w:r>
      <w:r w:rsidR="00685DF6">
        <w:t>.</w:t>
      </w:r>
    </w:p>
    <w:p w14:paraId="0A7ED376" w14:textId="11D47266" w:rsidR="00BC6874" w:rsidRDefault="00BC6874" w:rsidP="00BC6874">
      <w:pPr>
        <w:pStyle w:val="TableFigureFooter"/>
        <w:spacing w:before="0" w:after="0"/>
      </w:pPr>
      <w:r>
        <w:t xml:space="preserve">Note: </w:t>
      </w:r>
      <w:r w:rsidR="005F1C7D">
        <w:t xml:space="preserve">Data are shown for the ITT population. </w:t>
      </w:r>
      <w:r>
        <w:t>Statistically significant differences are shown in bold.</w:t>
      </w:r>
    </w:p>
    <w:p w14:paraId="2BD8096C" w14:textId="47A99144" w:rsidR="00B657F7" w:rsidRDefault="00B657F7" w:rsidP="003220C1">
      <w:pPr>
        <w:pStyle w:val="TableFigureFooter"/>
        <w:spacing w:before="0" w:after="0"/>
      </w:pPr>
      <w:r>
        <w:t>** Quality has been downgraded in all cases by assessment group.</w:t>
      </w:r>
    </w:p>
    <w:p w14:paraId="0596E01D" w14:textId="3FEAC017" w:rsidR="003220C1" w:rsidRDefault="003220C1" w:rsidP="003220C1">
      <w:pPr>
        <w:pStyle w:val="TableFigureFooter"/>
        <w:spacing w:before="0" w:after="0"/>
      </w:pPr>
      <w:r w:rsidRPr="003220C1">
        <w:t>*</w:t>
      </w:r>
      <w:r>
        <w:t xml:space="preserve"> Meta-analysis was not appropriate because different definitions were used.</w:t>
      </w:r>
    </w:p>
    <w:p w14:paraId="55B2B1FE" w14:textId="58967AEA" w:rsidR="00D72C6E" w:rsidRDefault="00801576" w:rsidP="003220C1">
      <w:pPr>
        <w:pStyle w:val="TableFigureFooter"/>
        <w:spacing w:before="0" w:after="0"/>
      </w:pPr>
      <w:r w:rsidRPr="00801576">
        <w:rPr>
          <w:vertAlign w:val="superscript"/>
        </w:rPr>
        <w:t>#</w:t>
      </w:r>
      <w:r w:rsidR="00D72C6E">
        <w:t xml:space="preserve"> </w:t>
      </w:r>
      <w:r w:rsidR="00BC6874">
        <w:t>Although not clear from the RESET trial publication</w:t>
      </w:r>
      <w:r w:rsidR="0097427F">
        <w:rPr>
          <w:rStyle w:val="FootnoteReference"/>
        </w:rPr>
        <w:footnoteReference w:id="16"/>
      </w:r>
      <w:r w:rsidR="00BC6874">
        <w:t>, stent thrombosis appears to</w:t>
      </w:r>
      <w:r w:rsidR="00D72C6E">
        <w:t xml:space="preserve"> </w:t>
      </w:r>
      <w:r w:rsidR="00BC6874">
        <w:t xml:space="preserve">include </w:t>
      </w:r>
      <w:r w:rsidR="00D72C6E">
        <w:t>definite</w:t>
      </w:r>
      <w:r w:rsidR="00F85E43">
        <w:t>/</w:t>
      </w:r>
      <w:r w:rsidR="00D72C6E">
        <w:t>probabl</w:t>
      </w:r>
      <w:r w:rsidR="00F85E43">
        <w:t>e/</w:t>
      </w:r>
      <w:r w:rsidR="00D72C6E">
        <w:t>possible.</w:t>
      </w:r>
    </w:p>
    <w:p w14:paraId="6A120FB6" w14:textId="1B8F22D4" w:rsidR="003220C1" w:rsidRDefault="003220C1" w:rsidP="003220C1">
      <w:pPr>
        <w:pStyle w:val="TableFigureFooter"/>
        <w:spacing w:before="0"/>
      </w:pPr>
      <w:r>
        <w:t>^ Meta-analysis was not appropriate because of different populations (Tan 2015 enrolled elderly patients) and durations of follow-up.</w:t>
      </w:r>
    </w:p>
    <w:p w14:paraId="34C8206B" w14:textId="605CE432" w:rsidR="008A259E" w:rsidRDefault="008A259E" w:rsidP="008A259E">
      <w:pPr>
        <w:pStyle w:val="Heading3"/>
      </w:pPr>
      <w:r>
        <w:t>Safety conclusions</w:t>
      </w:r>
    </w:p>
    <w:p w14:paraId="324E4000" w14:textId="48697D63" w:rsidR="008A259E" w:rsidRDefault="00610C94" w:rsidP="007150AD">
      <w:r>
        <w:t xml:space="preserve">Data relating to </w:t>
      </w:r>
      <w:r w:rsidRPr="00050EF1">
        <w:t>in-hospital adverse events and complications from the use of the intervention</w:t>
      </w:r>
      <w:r>
        <w:t xml:space="preserve"> are lacking</w:t>
      </w:r>
      <w:r w:rsidRPr="00610C94">
        <w:t xml:space="preserve">. </w:t>
      </w:r>
      <w:r w:rsidR="00FD1F26">
        <w:t>Where reported, event rates were low and there was no significant difference</w:t>
      </w:r>
      <w:r w:rsidR="00FD1F26" w:rsidRPr="003C4B95">
        <w:t xml:space="preserve"> </w:t>
      </w:r>
      <w:r w:rsidR="00FD1F26">
        <w:t xml:space="preserve">between arms. </w:t>
      </w:r>
      <w:r w:rsidR="001D5425">
        <w:t>Notwithstanding the limitations in the evidence base, d</w:t>
      </w:r>
      <w:r>
        <w:t xml:space="preserve">ata for definite/probable stent thrombosis </w:t>
      </w:r>
      <w:r w:rsidR="00F85E43" w:rsidRPr="00F85E43">
        <w:t>support a clinical conclusion of at least non-inferior safety</w:t>
      </w:r>
      <w:r w:rsidR="00FD5732">
        <w:t xml:space="preserve"> for all-comers to PCI with DES and </w:t>
      </w:r>
      <w:r w:rsidR="00AC30F5">
        <w:t>for patients with complex anatomical characteristics</w:t>
      </w:r>
      <w:r>
        <w:t>.</w:t>
      </w:r>
    </w:p>
    <w:p w14:paraId="3717AA01" w14:textId="34120B00" w:rsidR="00772829" w:rsidRDefault="00C36633" w:rsidP="002A18BE">
      <w:pPr>
        <w:pStyle w:val="Heading2"/>
        <w:numPr>
          <w:ilvl w:val="0"/>
          <w:numId w:val="0"/>
        </w:numPr>
      </w:pPr>
      <w:bookmarkStart w:id="31" w:name="_Toc69491424"/>
      <w:bookmarkStart w:id="32" w:name="_Ref90966743"/>
      <w:r>
        <w:t>1</w:t>
      </w:r>
      <w:r w:rsidR="005F6A3D">
        <w:t>2</w:t>
      </w:r>
      <w:r>
        <w:t>.</w:t>
      </w:r>
      <w:r>
        <w:tab/>
      </w:r>
      <w:r w:rsidR="00772829" w:rsidRPr="00CE28E3">
        <w:t>Comparative effectiveness</w:t>
      </w:r>
      <w:bookmarkEnd w:id="31"/>
      <w:bookmarkEnd w:id="32"/>
    </w:p>
    <w:p w14:paraId="4490FBB0" w14:textId="7ED0058D" w:rsidR="001D2CA6" w:rsidRDefault="001D2CA6" w:rsidP="001D2CA6">
      <w:pPr>
        <w:pStyle w:val="Heading3"/>
      </w:pPr>
      <w:r>
        <w:t>Cardiac mortality</w:t>
      </w:r>
    </w:p>
    <w:p w14:paraId="0D71F55A" w14:textId="2DEC49C0" w:rsidR="001D2CA6" w:rsidRDefault="00AA2D56" w:rsidP="001D2CA6">
      <w:r>
        <w:t>Across all trials, rates of c</w:t>
      </w:r>
      <w:r w:rsidR="00454EA4">
        <w:t>ardiac</w:t>
      </w:r>
      <w:r>
        <w:t xml:space="preserve"> death were numerically lower in patients who received IVUS-guided PCI, but </w:t>
      </w:r>
      <w:r w:rsidR="00EB2F6E">
        <w:t xml:space="preserve">studies were underpowered for this outcome and </w:t>
      </w:r>
      <w:r>
        <w:t xml:space="preserve">differences </w:t>
      </w:r>
      <w:r w:rsidR="008C6FCE">
        <w:t xml:space="preserve">between arms </w:t>
      </w:r>
      <w:r>
        <w:t>did not reach statistical significance.</w:t>
      </w:r>
    </w:p>
    <w:p w14:paraId="0F575E0A" w14:textId="1E48A2A9" w:rsidR="001D2CA6" w:rsidRPr="00D72C6E" w:rsidRDefault="001D2CA6" w:rsidP="001D2CA6">
      <w:pPr>
        <w:pStyle w:val="Caption"/>
        <w:rPr>
          <w:sz w:val="16"/>
          <w:szCs w:val="16"/>
        </w:rPr>
      </w:pPr>
      <w:r w:rsidRPr="00CE28E3">
        <w:lastRenderedPageBreak/>
        <w:t>Table</w:t>
      </w:r>
      <w:r>
        <w:t> </w:t>
      </w:r>
      <w:fldSimple w:instr=" SEQ Table \* ARABIC ">
        <w:r w:rsidR="00F03488">
          <w:rPr>
            <w:noProof/>
          </w:rPr>
          <w:t>8</w:t>
        </w:r>
      </w:fldSimple>
      <w:r w:rsidRPr="00CE28E3">
        <w:tab/>
      </w:r>
      <w:r>
        <w:t>Cardiac mortality</w:t>
      </w:r>
    </w:p>
    <w:tbl>
      <w:tblPr>
        <w:tblStyle w:val="TableGrid1"/>
        <w:tblW w:w="5000" w:type="pct"/>
        <w:tblLayout w:type="fixed"/>
        <w:tblCellMar>
          <w:left w:w="28" w:type="dxa"/>
          <w:right w:w="28" w:type="dxa"/>
        </w:tblCellMar>
        <w:tblLook w:val="04A0" w:firstRow="1" w:lastRow="0" w:firstColumn="1" w:lastColumn="0" w:noHBand="0" w:noVBand="1"/>
        <w:tblDescription w:val="Cardiac mortality data"/>
      </w:tblPr>
      <w:tblGrid>
        <w:gridCol w:w="1554"/>
        <w:gridCol w:w="1275"/>
        <w:gridCol w:w="855"/>
        <w:gridCol w:w="1134"/>
        <w:gridCol w:w="1134"/>
        <w:gridCol w:w="1560"/>
        <w:gridCol w:w="1504"/>
      </w:tblGrid>
      <w:tr w:rsidR="001D2CA6" w:rsidRPr="00CE28E3" w14:paraId="11D3C017" w14:textId="77777777" w:rsidTr="00F22D6E">
        <w:trPr>
          <w:cnfStyle w:val="100000000000" w:firstRow="1" w:lastRow="0" w:firstColumn="0" w:lastColumn="0" w:oddVBand="0" w:evenVBand="0" w:oddHBand="0" w:evenHBand="0" w:firstRowFirstColumn="0" w:firstRowLastColumn="0" w:lastRowFirstColumn="0" w:lastRowLastColumn="0"/>
          <w:cantSplit/>
          <w:tblHeader/>
        </w:trPr>
        <w:tc>
          <w:tcPr>
            <w:tcW w:w="862" w:type="pct"/>
            <w:tcBorders>
              <w:bottom w:val="single" w:sz="4" w:space="0" w:color="auto"/>
            </w:tcBorders>
            <w:shd w:val="clear" w:color="auto" w:fill="auto"/>
            <w:vAlign w:val="center"/>
          </w:tcPr>
          <w:p w14:paraId="25BF58BC" w14:textId="272DDB8F" w:rsidR="001D2CA6" w:rsidRPr="00CE28E3" w:rsidRDefault="001D2CA6" w:rsidP="0009246B">
            <w:pPr>
              <w:pStyle w:val="In-tableHeading"/>
            </w:pPr>
            <w:r>
              <w:t>Trial ID</w:t>
            </w:r>
            <w:r w:rsidR="00C44178">
              <w:t xml:space="preserve"> </w:t>
            </w:r>
            <w:r w:rsidR="00C44178">
              <w:br/>
            </w:r>
            <w:r w:rsidR="00C44178" w:rsidRPr="00C44178">
              <w:rPr>
                <w:i/>
                <w:iCs/>
              </w:rPr>
              <w:t>Outcome definition</w:t>
            </w:r>
          </w:p>
        </w:tc>
        <w:tc>
          <w:tcPr>
            <w:tcW w:w="707" w:type="pct"/>
            <w:tcBorders>
              <w:bottom w:val="single" w:sz="4" w:space="0" w:color="auto"/>
            </w:tcBorders>
            <w:vAlign w:val="center"/>
          </w:tcPr>
          <w:p w14:paraId="38BBF97E" w14:textId="485ECC9D" w:rsidR="001D2CA6" w:rsidRDefault="00B657F7" w:rsidP="0009246B">
            <w:pPr>
              <w:pStyle w:val="In-tableHeading"/>
              <w:jc w:val="center"/>
            </w:pPr>
            <w:r>
              <w:t>Quality**</w:t>
            </w:r>
          </w:p>
        </w:tc>
        <w:tc>
          <w:tcPr>
            <w:tcW w:w="474" w:type="pct"/>
            <w:tcBorders>
              <w:bottom w:val="single" w:sz="4" w:space="0" w:color="auto"/>
            </w:tcBorders>
            <w:vAlign w:val="center"/>
          </w:tcPr>
          <w:p w14:paraId="1E5F1E68" w14:textId="77777777" w:rsidR="001D2CA6" w:rsidRDefault="001D2CA6" w:rsidP="0009246B">
            <w:pPr>
              <w:pStyle w:val="In-tableHeading"/>
              <w:jc w:val="center"/>
            </w:pPr>
            <w:r>
              <w:t>Timepoint</w:t>
            </w:r>
          </w:p>
        </w:tc>
        <w:tc>
          <w:tcPr>
            <w:tcW w:w="629" w:type="pct"/>
            <w:tcBorders>
              <w:bottom w:val="single" w:sz="4" w:space="0" w:color="auto"/>
            </w:tcBorders>
            <w:vAlign w:val="center"/>
          </w:tcPr>
          <w:p w14:paraId="421E4822" w14:textId="77777777" w:rsidR="001D2CA6" w:rsidRDefault="001D2CA6" w:rsidP="0009246B">
            <w:pPr>
              <w:pStyle w:val="In-tableHeading"/>
              <w:jc w:val="center"/>
            </w:pPr>
            <w:r>
              <w:t>IVUS-guided PCI</w:t>
            </w:r>
            <w:r>
              <w:br/>
              <w:t>n/N (%)</w:t>
            </w:r>
          </w:p>
        </w:tc>
        <w:tc>
          <w:tcPr>
            <w:tcW w:w="629" w:type="pct"/>
            <w:tcBorders>
              <w:bottom w:val="single" w:sz="4" w:space="0" w:color="auto"/>
            </w:tcBorders>
            <w:vAlign w:val="center"/>
          </w:tcPr>
          <w:p w14:paraId="1EC21DB7" w14:textId="77777777" w:rsidR="001D2CA6" w:rsidRDefault="001D2CA6" w:rsidP="0009246B">
            <w:pPr>
              <w:pStyle w:val="In-tableHeading"/>
              <w:jc w:val="center"/>
            </w:pPr>
            <w:r>
              <w:t>Angiography-guided PCI</w:t>
            </w:r>
            <w:r>
              <w:br/>
              <w:t>n/N (%)</w:t>
            </w:r>
          </w:p>
        </w:tc>
        <w:tc>
          <w:tcPr>
            <w:tcW w:w="865" w:type="pct"/>
            <w:tcBorders>
              <w:bottom w:val="single" w:sz="4" w:space="0" w:color="auto"/>
            </w:tcBorders>
            <w:shd w:val="clear" w:color="auto" w:fill="auto"/>
            <w:vAlign w:val="center"/>
          </w:tcPr>
          <w:p w14:paraId="17FAB566" w14:textId="77777777" w:rsidR="001D2CA6" w:rsidRPr="00CE28E3" w:rsidRDefault="001D2CA6" w:rsidP="0009246B">
            <w:pPr>
              <w:pStyle w:val="In-tableHeading"/>
              <w:jc w:val="center"/>
            </w:pPr>
            <w:r>
              <w:t>RR (95% CI)</w:t>
            </w:r>
            <w:r>
              <w:br/>
              <w:t>p-value</w:t>
            </w:r>
          </w:p>
        </w:tc>
        <w:tc>
          <w:tcPr>
            <w:tcW w:w="834" w:type="pct"/>
            <w:shd w:val="clear" w:color="auto" w:fill="auto"/>
            <w:vAlign w:val="center"/>
          </w:tcPr>
          <w:p w14:paraId="080DBB36" w14:textId="77777777" w:rsidR="001D2CA6" w:rsidRPr="00CE28E3" w:rsidRDefault="001D2CA6" w:rsidP="0009246B">
            <w:pPr>
              <w:pStyle w:val="In-tableHeading"/>
              <w:jc w:val="center"/>
            </w:pPr>
            <w:r>
              <w:t>RD (95% CI)</w:t>
            </w:r>
            <w:r>
              <w:br/>
              <w:t>p-value</w:t>
            </w:r>
          </w:p>
        </w:tc>
      </w:tr>
      <w:tr w:rsidR="001D2CA6" w:rsidRPr="00CE28E3" w14:paraId="5D23B120" w14:textId="77777777" w:rsidTr="00F22D6E">
        <w:trPr>
          <w:cantSplit/>
        </w:trPr>
        <w:tc>
          <w:tcPr>
            <w:tcW w:w="862" w:type="pct"/>
            <w:tcBorders>
              <w:bottom w:val="single" w:sz="4" w:space="0" w:color="auto"/>
              <w:right w:val="nil"/>
            </w:tcBorders>
            <w:shd w:val="clear" w:color="auto" w:fill="auto"/>
            <w:vAlign w:val="center"/>
          </w:tcPr>
          <w:p w14:paraId="037CF20C" w14:textId="77777777" w:rsidR="001D2CA6" w:rsidRPr="000D33E6" w:rsidRDefault="001D2CA6" w:rsidP="0009246B">
            <w:pPr>
              <w:pStyle w:val="TableText"/>
              <w:rPr>
                <w:b/>
                <w:bCs/>
                <w:lang w:val="en-US"/>
              </w:rPr>
            </w:pPr>
            <w:r w:rsidRPr="000D33E6">
              <w:rPr>
                <w:b/>
                <w:bCs/>
                <w:lang w:val="en-US"/>
              </w:rPr>
              <w:t>All-comers</w:t>
            </w:r>
          </w:p>
        </w:tc>
        <w:tc>
          <w:tcPr>
            <w:tcW w:w="707" w:type="pct"/>
            <w:tcBorders>
              <w:left w:val="nil"/>
              <w:bottom w:val="single" w:sz="4" w:space="0" w:color="auto"/>
              <w:right w:val="nil"/>
            </w:tcBorders>
            <w:vAlign w:val="center"/>
          </w:tcPr>
          <w:p w14:paraId="6B5E78F8" w14:textId="77777777" w:rsidR="001D2CA6" w:rsidRPr="000D33E6" w:rsidRDefault="001D2CA6" w:rsidP="0009246B">
            <w:pPr>
              <w:pStyle w:val="TableText"/>
              <w:jc w:val="center"/>
              <w:rPr>
                <w:b/>
                <w:bCs/>
                <w:lang w:val="en-US"/>
              </w:rPr>
            </w:pPr>
          </w:p>
        </w:tc>
        <w:tc>
          <w:tcPr>
            <w:tcW w:w="474" w:type="pct"/>
            <w:tcBorders>
              <w:left w:val="nil"/>
              <w:bottom w:val="single" w:sz="4" w:space="0" w:color="auto"/>
              <w:right w:val="nil"/>
            </w:tcBorders>
            <w:vAlign w:val="center"/>
          </w:tcPr>
          <w:p w14:paraId="2253AE4B" w14:textId="77777777" w:rsidR="001D2CA6" w:rsidRPr="000D33E6" w:rsidRDefault="001D2CA6" w:rsidP="0009246B">
            <w:pPr>
              <w:pStyle w:val="TableText"/>
              <w:jc w:val="center"/>
              <w:rPr>
                <w:b/>
                <w:bCs/>
                <w:lang w:val="en-US"/>
              </w:rPr>
            </w:pPr>
          </w:p>
        </w:tc>
        <w:tc>
          <w:tcPr>
            <w:tcW w:w="629" w:type="pct"/>
            <w:tcBorders>
              <w:left w:val="nil"/>
              <w:bottom w:val="single" w:sz="4" w:space="0" w:color="auto"/>
              <w:right w:val="nil"/>
            </w:tcBorders>
            <w:vAlign w:val="center"/>
          </w:tcPr>
          <w:p w14:paraId="7F5231CF" w14:textId="77777777" w:rsidR="001D2CA6" w:rsidRPr="000D33E6" w:rsidRDefault="001D2CA6" w:rsidP="0009246B">
            <w:pPr>
              <w:pStyle w:val="TableText"/>
              <w:jc w:val="center"/>
              <w:rPr>
                <w:b/>
                <w:bCs/>
                <w:lang w:val="en-US"/>
              </w:rPr>
            </w:pPr>
          </w:p>
        </w:tc>
        <w:tc>
          <w:tcPr>
            <w:tcW w:w="629" w:type="pct"/>
            <w:tcBorders>
              <w:left w:val="nil"/>
              <w:bottom w:val="single" w:sz="4" w:space="0" w:color="auto"/>
              <w:right w:val="nil"/>
            </w:tcBorders>
            <w:vAlign w:val="center"/>
          </w:tcPr>
          <w:p w14:paraId="0F4DC5BE" w14:textId="77777777" w:rsidR="001D2CA6" w:rsidRPr="000D33E6" w:rsidRDefault="001D2CA6" w:rsidP="0009246B">
            <w:pPr>
              <w:pStyle w:val="TableText"/>
              <w:jc w:val="center"/>
              <w:rPr>
                <w:b/>
                <w:bCs/>
                <w:lang w:val="en-US"/>
              </w:rPr>
            </w:pPr>
          </w:p>
        </w:tc>
        <w:tc>
          <w:tcPr>
            <w:tcW w:w="865" w:type="pct"/>
            <w:tcBorders>
              <w:left w:val="nil"/>
              <w:bottom w:val="single" w:sz="4" w:space="0" w:color="auto"/>
              <w:right w:val="nil"/>
            </w:tcBorders>
            <w:shd w:val="clear" w:color="auto" w:fill="auto"/>
            <w:vAlign w:val="center"/>
          </w:tcPr>
          <w:p w14:paraId="35A7C119" w14:textId="77777777" w:rsidR="001D2CA6" w:rsidRPr="000D33E6" w:rsidRDefault="001D2CA6" w:rsidP="0009246B">
            <w:pPr>
              <w:pStyle w:val="TableText"/>
              <w:jc w:val="center"/>
              <w:rPr>
                <w:b/>
                <w:bCs/>
                <w:lang w:val="en-US"/>
              </w:rPr>
            </w:pPr>
          </w:p>
        </w:tc>
        <w:tc>
          <w:tcPr>
            <w:tcW w:w="834" w:type="pct"/>
            <w:tcBorders>
              <w:left w:val="nil"/>
              <w:bottom w:val="single" w:sz="4" w:space="0" w:color="auto"/>
            </w:tcBorders>
            <w:shd w:val="clear" w:color="auto" w:fill="auto"/>
            <w:vAlign w:val="center"/>
          </w:tcPr>
          <w:p w14:paraId="7FA7A2F6" w14:textId="77777777" w:rsidR="001D2CA6" w:rsidRPr="000D33E6" w:rsidRDefault="001D2CA6" w:rsidP="0009246B">
            <w:pPr>
              <w:pStyle w:val="TableText"/>
              <w:jc w:val="center"/>
              <w:rPr>
                <w:b/>
                <w:bCs/>
                <w:lang w:val="en-US"/>
              </w:rPr>
            </w:pPr>
          </w:p>
        </w:tc>
      </w:tr>
      <w:tr w:rsidR="00081642" w:rsidRPr="00CE28E3" w14:paraId="4000E1A1" w14:textId="77777777" w:rsidTr="00F22D6E">
        <w:trPr>
          <w:cantSplit/>
        </w:trPr>
        <w:tc>
          <w:tcPr>
            <w:tcW w:w="862" w:type="pct"/>
            <w:tcBorders>
              <w:bottom w:val="nil"/>
            </w:tcBorders>
            <w:shd w:val="clear" w:color="auto" w:fill="auto"/>
            <w:vAlign w:val="center"/>
          </w:tcPr>
          <w:p w14:paraId="3D4EF8E9" w14:textId="0BF5A435" w:rsidR="00081642" w:rsidRPr="00685DF6" w:rsidRDefault="00081642" w:rsidP="00081642">
            <w:pPr>
              <w:pStyle w:val="TableText"/>
              <w:rPr>
                <w:lang w:val="en-US"/>
              </w:rPr>
            </w:pPr>
            <w:r>
              <w:rPr>
                <w:lang w:val="en-US"/>
              </w:rPr>
              <w:t>ULTIMATE</w:t>
            </w:r>
            <w:r w:rsidR="00C44178">
              <w:rPr>
                <w:lang w:val="en-US"/>
              </w:rPr>
              <w:br/>
            </w:r>
            <w:r w:rsidR="00C44178" w:rsidRPr="00C44178">
              <w:rPr>
                <w:i/>
                <w:iCs/>
                <w:lang w:val="en-US"/>
              </w:rPr>
              <w:t>Cardiac mortality</w:t>
            </w:r>
          </w:p>
        </w:tc>
        <w:tc>
          <w:tcPr>
            <w:tcW w:w="707" w:type="pct"/>
            <w:tcBorders>
              <w:bottom w:val="nil"/>
            </w:tcBorders>
            <w:vAlign w:val="center"/>
          </w:tcPr>
          <w:p w14:paraId="22D06956" w14:textId="77777777" w:rsidR="00B657F7" w:rsidRDefault="00B657F7" w:rsidP="00B657F7">
            <w:pPr>
              <w:spacing w:before="40"/>
              <w:jc w:val="center"/>
              <w:rPr>
                <w:rFonts w:ascii="Cambria Math" w:hAnsi="Cambria Math" w:cs="Cambria Math"/>
                <w:color w:val="C00000"/>
              </w:rPr>
            </w:pPr>
            <w:r w:rsidRPr="002C1697">
              <w:rPr>
                <w:rFonts w:ascii="Cambria Math" w:hAnsi="Cambria Math"/>
                <w:color w:val="00B050"/>
              </w:rPr>
              <w:t>⨁⨁⨁</w:t>
            </w:r>
            <w:r w:rsidRPr="002C1697">
              <w:rPr>
                <w:rFonts w:ascii="Cambria Math" w:hAnsi="Cambria Math" w:cs="Cambria Math"/>
                <w:color w:val="C00000"/>
              </w:rPr>
              <w:t>⨀</w:t>
            </w:r>
          </w:p>
          <w:p w14:paraId="19AFC5C8" w14:textId="77DC82CB" w:rsidR="00081642" w:rsidRPr="004578AA" w:rsidRDefault="00B657F7" w:rsidP="00B657F7">
            <w:pPr>
              <w:pStyle w:val="TableText"/>
              <w:jc w:val="center"/>
              <w:rPr>
                <w:lang w:val="en-US"/>
              </w:rPr>
            </w:pPr>
            <w:r w:rsidRPr="004578AA">
              <w:rPr>
                <w:sz w:val="18"/>
                <w:szCs w:val="18"/>
              </w:rPr>
              <w:t>Moderate</w:t>
            </w:r>
          </w:p>
        </w:tc>
        <w:tc>
          <w:tcPr>
            <w:tcW w:w="474" w:type="pct"/>
            <w:tcBorders>
              <w:bottom w:val="dotted" w:sz="4" w:space="0" w:color="auto"/>
            </w:tcBorders>
            <w:vAlign w:val="center"/>
          </w:tcPr>
          <w:p w14:paraId="074359E9" w14:textId="77777777" w:rsidR="00081642" w:rsidRPr="00CE28E3" w:rsidRDefault="00081642" w:rsidP="00081642">
            <w:pPr>
              <w:pStyle w:val="TableText"/>
              <w:jc w:val="center"/>
              <w:rPr>
                <w:lang w:val="en-US"/>
              </w:rPr>
            </w:pPr>
            <w:r>
              <w:rPr>
                <w:lang w:val="en-US"/>
              </w:rPr>
              <w:t>1 yr</w:t>
            </w:r>
          </w:p>
        </w:tc>
        <w:tc>
          <w:tcPr>
            <w:tcW w:w="629" w:type="pct"/>
            <w:tcBorders>
              <w:bottom w:val="dotted" w:sz="4" w:space="0" w:color="auto"/>
            </w:tcBorders>
            <w:vAlign w:val="center"/>
          </w:tcPr>
          <w:p w14:paraId="3DDCE15D" w14:textId="2163DC1A" w:rsidR="00081642" w:rsidRPr="00CE28E3" w:rsidRDefault="00081642" w:rsidP="00081642">
            <w:pPr>
              <w:pStyle w:val="TableText"/>
              <w:jc w:val="center"/>
              <w:rPr>
                <w:lang w:val="en-US"/>
              </w:rPr>
            </w:pPr>
            <w:r w:rsidRPr="00AC7086">
              <w:t>5/724 (0.7)</w:t>
            </w:r>
          </w:p>
        </w:tc>
        <w:tc>
          <w:tcPr>
            <w:tcW w:w="629" w:type="pct"/>
            <w:tcBorders>
              <w:bottom w:val="dotted" w:sz="4" w:space="0" w:color="auto"/>
            </w:tcBorders>
            <w:vAlign w:val="center"/>
          </w:tcPr>
          <w:p w14:paraId="5DBE7C95" w14:textId="0EFF89F2" w:rsidR="00081642" w:rsidRPr="00CE28E3" w:rsidRDefault="00081642" w:rsidP="00081642">
            <w:pPr>
              <w:pStyle w:val="TableText"/>
              <w:jc w:val="center"/>
              <w:rPr>
                <w:lang w:val="en-US"/>
              </w:rPr>
            </w:pPr>
            <w:r w:rsidRPr="00AC7086">
              <w:t>10/724 (1.4)</w:t>
            </w:r>
          </w:p>
        </w:tc>
        <w:tc>
          <w:tcPr>
            <w:tcW w:w="865" w:type="pct"/>
            <w:tcBorders>
              <w:bottom w:val="dotted" w:sz="4" w:space="0" w:color="auto"/>
            </w:tcBorders>
            <w:shd w:val="clear" w:color="auto" w:fill="auto"/>
            <w:vAlign w:val="center"/>
          </w:tcPr>
          <w:p w14:paraId="6FBE4B20" w14:textId="1E7D8891" w:rsidR="00081642" w:rsidRPr="00CE28E3" w:rsidRDefault="00081642" w:rsidP="009F709B">
            <w:pPr>
              <w:pStyle w:val="TableText"/>
              <w:jc w:val="center"/>
              <w:rPr>
                <w:lang w:val="en-US"/>
              </w:rPr>
            </w:pPr>
            <w:r w:rsidRPr="00081642">
              <w:rPr>
                <w:lang w:val="en-US"/>
              </w:rPr>
              <w:t>0.50 (0.17, 1.46)</w:t>
            </w:r>
            <w:r w:rsidR="009F709B">
              <w:rPr>
                <w:lang w:val="en-US"/>
              </w:rPr>
              <w:br/>
            </w:r>
            <w:r w:rsidRPr="00081642">
              <w:rPr>
                <w:lang w:val="en-US"/>
              </w:rPr>
              <w:t>p = 0.20</w:t>
            </w:r>
          </w:p>
        </w:tc>
        <w:tc>
          <w:tcPr>
            <w:tcW w:w="834" w:type="pct"/>
            <w:tcBorders>
              <w:bottom w:val="dotted" w:sz="4" w:space="0" w:color="auto"/>
            </w:tcBorders>
            <w:shd w:val="clear" w:color="auto" w:fill="auto"/>
            <w:vAlign w:val="center"/>
          </w:tcPr>
          <w:p w14:paraId="7254F326" w14:textId="70A570ED" w:rsidR="00081642" w:rsidRPr="00CE28E3" w:rsidRDefault="00081642" w:rsidP="009F709B">
            <w:pPr>
              <w:pStyle w:val="TableText"/>
              <w:jc w:val="center"/>
              <w:rPr>
                <w:lang w:val="en-US"/>
              </w:rPr>
            </w:pPr>
            <w:r w:rsidRPr="00081642">
              <w:rPr>
                <w:lang w:val="en-US"/>
              </w:rPr>
              <w:t>-0.01 (-0.02, 0.00)</w:t>
            </w:r>
            <w:r w:rsidR="009F709B">
              <w:rPr>
                <w:lang w:val="en-US"/>
              </w:rPr>
              <w:br/>
            </w:r>
            <w:r w:rsidRPr="00081642">
              <w:rPr>
                <w:lang w:val="en-US"/>
              </w:rPr>
              <w:t>p = 0.19</w:t>
            </w:r>
          </w:p>
        </w:tc>
      </w:tr>
      <w:tr w:rsidR="00081642" w:rsidRPr="00CE28E3" w14:paraId="7B173091" w14:textId="77777777" w:rsidTr="00F22D6E">
        <w:trPr>
          <w:cantSplit/>
        </w:trPr>
        <w:tc>
          <w:tcPr>
            <w:tcW w:w="862" w:type="pct"/>
            <w:tcBorders>
              <w:top w:val="nil"/>
              <w:bottom w:val="nil"/>
            </w:tcBorders>
            <w:shd w:val="clear" w:color="auto" w:fill="auto"/>
            <w:vAlign w:val="center"/>
          </w:tcPr>
          <w:p w14:paraId="7CDCBBD2" w14:textId="77777777" w:rsidR="00081642" w:rsidRDefault="00081642" w:rsidP="00081642">
            <w:pPr>
              <w:pStyle w:val="TableText"/>
              <w:rPr>
                <w:lang w:val="en-US"/>
              </w:rPr>
            </w:pPr>
          </w:p>
        </w:tc>
        <w:tc>
          <w:tcPr>
            <w:tcW w:w="707" w:type="pct"/>
            <w:tcBorders>
              <w:top w:val="nil"/>
              <w:bottom w:val="nil"/>
            </w:tcBorders>
            <w:vAlign w:val="center"/>
          </w:tcPr>
          <w:p w14:paraId="3B1E5B6E" w14:textId="77777777" w:rsidR="00081642" w:rsidRDefault="00081642" w:rsidP="00081642">
            <w:pPr>
              <w:pStyle w:val="TableText"/>
              <w:jc w:val="center"/>
              <w:rPr>
                <w:lang w:val="en-US"/>
              </w:rPr>
            </w:pPr>
          </w:p>
        </w:tc>
        <w:tc>
          <w:tcPr>
            <w:tcW w:w="474" w:type="pct"/>
            <w:tcBorders>
              <w:top w:val="dotted" w:sz="4" w:space="0" w:color="auto"/>
              <w:bottom w:val="dotted" w:sz="4" w:space="0" w:color="auto"/>
            </w:tcBorders>
            <w:vAlign w:val="center"/>
          </w:tcPr>
          <w:p w14:paraId="16A6536B" w14:textId="77777777" w:rsidR="00081642" w:rsidRPr="00CE28E3" w:rsidRDefault="00081642" w:rsidP="00081642">
            <w:pPr>
              <w:pStyle w:val="TableText"/>
              <w:jc w:val="center"/>
              <w:rPr>
                <w:lang w:val="en-US"/>
              </w:rPr>
            </w:pPr>
            <w:r>
              <w:rPr>
                <w:lang w:val="en-US"/>
              </w:rPr>
              <w:t>2 yrs</w:t>
            </w:r>
          </w:p>
        </w:tc>
        <w:tc>
          <w:tcPr>
            <w:tcW w:w="629" w:type="pct"/>
            <w:tcBorders>
              <w:top w:val="dotted" w:sz="4" w:space="0" w:color="auto"/>
              <w:bottom w:val="dotted" w:sz="4" w:space="0" w:color="auto"/>
            </w:tcBorders>
            <w:vAlign w:val="center"/>
          </w:tcPr>
          <w:p w14:paraId="05DAFC27" w14:textId="7C5BBABD" w:rsidR="00081642" w:rsidRPr="00CE28E3" w:rsidRDefault="00081642" w:rsidP="00081642">
            <w:pPr>
              <w:pStyle w:val="TableText"/>
              <w:jc w:val="center"/>
              <w:rPr>
                <w:lang w:val="en-US"/>
              </w:rPr>
            </w:pPr>
            <w:r w:rsidRPr="00AC7086">
              <w:t>9/724 (1.2)</w:t>
            </w:r>
          </w:p>
        </w:tc>
        <w:tc>
          <w:tcPr>
            <w:tcW w:w="629" w:type="pct"/>
            <w:tcBorders>
              <w:top w:val="dotted" w:sz="4" w:space="0" w:color="auto"/>
              <w:bottom w:val="dotted" w:sz="4" w:space="0" w:color="auto"/>
            </w:tcBorders>
            <w:vAlign w:val="center"/>
          </w:tcPr>
          <w:p w14:paraId="3D081433" w14:textId="6617DCD8" w:rsidR="00081642" w:rsidRPr="00CE28E3" w:rsidRDefault="00081642" w:rsidP="00081642">
            <w:pPr>
              <w:pStyle w:val="TableText"/>
              <w:jc w:val="center"/>
              <w:rPr>
                <w:lang w:val="en-US"/>
              </w:rPr>
            </w:pPr>
            <w:r w:rsidRPr="00AC7086">
              <w:t>16/724 (2.2)</w:t>
            </w:r>
          </w:p>
        </w:tc>
        <w:tc>
          <w:tcPr>
            <w:tcW w:w="865" w:type="pct"/>
            <w:tcBorders>
              <w:top w:val="dotted" w:sz="4" w:space="0" w:color="auto"/>
              <w:bottom w:val="dotted" w:sz="4" w:space="0" w:color="auto"/>
            </w:tcBorders>
            <w:shd w:val="clear" w:color="auto" w:fill="auto"/>
          </w:tcPr>
          <w:p w14:paraId="79FBAC8F" w14:textId="2C783E75" w:rsidR="00081642" w:rsidRPr="00CE28E3" w:rsidRDefault="00081642" w:rsidP="009F709B">
            <w:pPr>
              <w:pStyle w:val="TableText"/>
              <w:jc w:val="center"/>
              <w:rPr>
                <w:lang w:val="en-US"/>
              </w:rPr>
            </w:pPr>
            <w:r w:rsidRPr="00081642">
              <w:rPr>
                <w:lang w:val="en-US"/>
              </w:rPr>
              <w:t>0.56 (0.25, 1.26)</w:t>
            </w:r>
            <w:r w:rsidR="009F709B">
              <w:rPr>
                <w:lang w:val="en-US"/>
              </w:rPr>
              <w:br/>
            </w:r>
            <w:r w:rsidRPr="00081642">
              <w:rPr>
                <w:lang w:val="en-US"/>
              </w:rPr>
              <w:t>p = 0.16</w:t>
            </w:r>
          </w:p>
        </w:tc>
        <w:tc>
          <w:tcPr>
            <w:tcW w:w="834" w:type="pct"/>
            <w:tcBorders>
              <w:top w:val="dotted" w:sz="4" w:space="0" w:color="auto"/>
              <w:bottom w:val="dotted" w:sz="4" w:space="0" w:color="auto"/>
            </w:tcBorders>
            <w:shd w:val="clear" w:color="auto" w:fill="auto"/>
          </w:tcPr>
          <w:p w14:paraId="4717E774" w14:textId="30AC4F90" w:rsidR="00081642" w:rsidRPr="001D2CA6" w:rsidRDefault="00081642" w:rsidP="009F709B">
            <w:pPr>
              <w:pStyle w:val="TableText"/>
              <w:jc w:val="center"/>
              <w:rPr>
                <w:lang w:val="en-US"/>
              </w:rPr>
            </w:pPr>
            <w:r w:rsidRPr="00081642">
              <w:rPr>
                <w:lang w:val="en-US"/>
              </w:rPr>
              <w:t>-0.01 (-0.02, 0.00)</w:t>
            </w:r>
            <w:r w:rsidR="009F709B">
              <w:rPr>
                <w:lang w:val="en-US"/>
              </w:rPr>
              <w:br/>
            </w:r>
            <w:r w:rsidRPr="00081642">
              <w:rPr>
                <w:lang w:val="en-US"/>
              </w:rPr>
              <w:t>p = 0.16</w:t>
            </w:r>
          </w:p>
        </w:tc>
      </w:tr>
      <w:tr w:rsidR="00081642" w:rsidRPr="00CE28E3" w14:paraId="791542EC" w14:textId="77777777" w:rsidTr="00F22D6E">
        <w:trPr>
          <w:cantSplit/>
        </w:trPr>
        <w:tc>
          <w:tcPr>
            <w:tcW w:w="862" w:type="pct"/>
            <w:tcBorders>
              <w:top w:val="nil"/>
              <w:bottom w:val="single" w:sz="4" w:space="0" w:color="auto"/>
            </w:tcBorders>
            <w:shd w:val="clear" w:color="auto" w:fill="auto"/>
            <w:vAlign w:val="center"/>
          </w:tcPr>
          <w:p w14:paraId="43AF2C4D" w14:textId="77777777" w:rsidR="00081642" w:rsidRDefault="00081642" w:rsidP="00081642">
            <w:pPr>
              <w:pStyle w:val="TableText"/>
              <w:rPr>
                <w:lang w:val="en-US"/>
              </w:rPr>
            </w:pPr>
          </w:p>
        </w:tc>
        <w:tc>
          <w:tcPr>
            <w:tcW w:w="707" w:type="pct"/>
            <w:tcBorders>
              <w:top w:val="nil"/>
              <w:bottom w:val="single" w:sz="4" w:space="0" w:color="auto"/>
            </w:tcBorders>
            <w:vAlign w:val="center"/>
          </w:tcPr>
          <w:p w14:paraId="3243691B" w14:textId="77777777" w:rsidR="00081642" w:rsidRDefault="00081642" w:rsidP="00081642">
            <w:pPr>
              <w:pStyle w:val="TableText"/>
              <w:jc w:val="center"/>
              <w:rPr>
                <w:lang w:val="en-US"/>
              </w:rPr>
            </w:pPr>
          </w:p>
        </w:tc>
        <w:tc>
          <w:tcPr>
            <w:tcW w:w="474" w:type="pct"/>
            <w:tcBorders>
              <w:top w:val="dotted" w:sz="4" w:space="0" w:color="auto"/>
              <w:bottom w:val="single" w:sz="4" w:space="0" w:color="auto"/>
            </w:tcBorders>
            <w:vAlign w:val="center"/>
          </w:tcPr>
          <w:p w14:paraId="5F23F032" w14:textId="77777777" w:rsidR="00081642" w:rsidRPr="00CE28E3" w:rsidRDefault="00081642" w:rsidP="00081642">
            <w:pPr>
              <w:pStyle w:val="TableText"/>
              <w:jc w:val="center"/>
              <w:rPr>
                <w:lang w:val="en-US"/>
              </w:rPr>
            </w:pPr>
            <w:r>
              <w:rPr>
                <w:lang w:val="en-US"/>
              </w:rPr>
              <w:t>3 yrs</w:t>
            </w:r>
          </w:p>
        </w:tc>
        <w:tc>
          <w:tcPr>
            <w:tcW w:w="629" w:type="pct"/>
            <w:tcBorders>
              <w:top w:val="dotted" w:sz="4" w:space="0" w:color="auto"/>
              <w:bottom w:val="single" w:sz="4" w:space="0" w:color="auto"/>
            </w:tcBorders>
            <w:vAlign w:val="center"/>
          </w:tcPr>
          <w:p w14:paraId="00C2A1A2" w14:textId="3C8031CC" w:rsidR="00081642" w:rsidRPr="00CE28E3" w:rsidRDefault="00081642" w:rsidP="00081642">
            <w:pPr>
              <w:pStyle w:val="TableText"/>
              <w:jc w:val="center"/>
              <w:rPr>
                <w:lang w:val="en-US"/>
              </w:rPr>
            </w:pPr>
            <w:r w:rsidRPr="00AC7086">
              <w:t>13/724 (1.8)</w:t>
            </w:r>
          </w:p>
        </w:tc>
        <w:tc>
          <w:tcPr>
            <w:tcW w:w="629" w:type="pct"/>
            <w:tcBorders>
              <w:top w:val="dotted" w:sz="4" w:space="0" w:color="auto"/>
              <w:bottom w:val="single" w:sz="4" w:space="0" w:color="auto"/>
            </w:tcBorders>
            <w:vAlign w:val="center"/>
          </w:tcPr>
          <w:p w14:paraId="45BF73CE" w14:textId="1D032518" w:rsidR="00081642" w:rsidRPr="00CE28E3" w:rsidRDefault="00081642" w:rsidP="00081642">
            <w:pPr>
              <w:pStyle w:val="TableText"/>
              <w:jc w:val="center"/>
              <w:rPr>
                <w:lang w:val="en-US"/>
              </w:rPr>
            </w:pPr>
            <w:r w:rsidRPr="00AC7086">
              <w:t>19/724 (2.6)</w:t>
            </w:r>
          </w:p>
        </w:tc>
        <w:tc>
          <w:tcPr>
            <w:tcW w:w="865" w:type="pct"/>
            <w:tcBorders>
              <w:top w:val="dotted" w:sz="4" w:space="0" w:color="auto"/>
              <w:bottom w:val="single" w:sz="4" w:space="0" w:color="auto"/>
            </w:tcBorders>
            <w:shd w:val="clear" w:color="auto" w:fill="auto"/>
          </w:tcPr>
          <w:p w14:paraId="5CCA8944" w14:textId="67A5233F" w:rsidR="00081642" w:rsidRPr="00CE28E3" w:rsidRDefault="00081642" w:rsidP="009F709B">
            <w:pPr>
              <w:pStyle w:val="TableText"/>
              <w:jc w:val="center"/>
              <w:rPr>
                <w:lang w:val="en-US"/>
              </w:rPr>
            </w:pPr>
            <w:r w:rsidRPr="00081642">
              <w:rPr>
                <w:lang w:val="en-US"/>
              </w:rPr>
              <w:t>0.68 (0.34, 1.37)</w:t>
            </w:r>
            <w:r w:rsidR="009F709B">
              <w:rPr>
                <w:lang w:val="en-US"/>
              </w:rPr>
              <w:br/>
            </w:r>
            <w:r w:rsidRPr="00081642">
              <w:rPr>
                <w:lang w:val="en-US"/>
              </w:rPr>
              <w:t>p = 0.29</w:t>
            </w:r>
          </w:p>
        </w:tc>
        <w:tc>
          <w:tcPr>
            <w:tcW w:w="834" w:type="pct"/>
            <w:tcBorders>
              <w:top w:val="dotted" w:sz="4" w:space="0" w:color="auto"/>
            </w:tcBorders>
            <w:shd w:val="clear" w:color="auto" w:fill="auto"/>
          </w:tcPr>
          <w:p w14:paraId="6100DC6E" w14:textId="4346D1C0" w:rsidR="00081642" w:rsidRPr="001D2CA6" w:rsidRDefault="00081642" w:rsidP="009F709B">
            <w:pPr>
              <w:pStyle w:val="TableText"/>
              <w:jc w:val="center"/>
              <w:rPr>
                <w:lang w:val="en-US"/>
              </w:rPr>
            </w:pPr>
            <w:r w:rsidRPr="00081642">
              <w:rPr>
                <w:lang w:val="en-US"/>
              </w:rPr>
              <w:t>-0.01 (-0.02, 0.01)</w:t>
            </w:r>
            <w:r w:rsidR="009F709B">
              <w:rPr>
                <w:lang w:val="en-US"/>
              </w:rPr>
              <w:br/>
            </w:r>
            <w:r w:rsidRPr="00081642">
              <w:rPr>
                <w:lang w:val="en-US"/>
              </w:rPr>
              <w:t>p = 0.28</w:t>
            </w:r>
          </w:p>
        </w:tc>
      </w:tr>
      <w:tr w:rsidR="001D2CA6" w:rsidRPr="00CE28E3" w14:paraId="1FB95579" w14:textId="77777777" w:rsidTr="00F22D6E">
        <w:trPr>
          <w:cantSplit/>
        </w:trPr>
        <w:tc>
          <w:tcPr>
            <w:tcW w:w="862" w:type="pct"/>
            <w:tcBorders>
              <w:bottom w:val="single" w:sz="4" w:space="0" w:color="auto"/>
              <w:right w:val="nil"/>
            </w:tcBorders>
            <w:shd w:val="clear" w:color="auto" w:fill="auto"/>
            <w:vAlign w:val="center"/>
          </w:tcPr>
          <w:p w14:paraId="3FB54534" w14:textId="77777777" w:rsidR="001D2CA6" w:rsidRPr="000D33E6" w:rsidRDefault="001D2CA6" w:rsidP="0009246B">
            <w:pPr>
              <w:pStyle w:val="TableText"/>
              <w:rPr>
                <w:b/>
                <w:bCs/>
                <w:lang w:val="en-US"/>
              </w:rPr>
            </w:pPr>
            <w:r w:rsidRPr="000D33E6">
              <w:rPr>
                <w:b/>
                <w:bCs/>
                <w:lang w:val="en-US"/>
              </w:rPr>
              <w:t>Long lesions</w:t>
            </w:r>
          </w:p>
        </w:tc>
        <w:tc>
          <w:tcPr>
            <w:tcW w:w="707" w:type="pct"/>
            <w:tcBorders>
              <w:left w:val="nil"/>
              <w:bottom w:val="single" w:sz="4" w:space="0" w:color="auto"/>
              <w:right w:val="nil"/>
            </w:tcBorders>
            <w:vAlign w:val="center"/>
          </w:tcPr>
          <w:p w14:paraId="282CC444" w14:textId="77777777" w:rsidR="001D2CA6" w:rsidRPr="000D33E6" w:rsidRDefault="001D2CA6" w:rsidP="0009246B">
            <w:pPr>
              <w:pStyle w:val="TableText"/>
              <w:jc w:val="center"/>
              <w:rPr>
                <w:b/>
                <w:bCs/>
                <w:lang w:val="en-US"/>
              </w:rPr>
            </w:pPr>
          </w:p>
        </w:tc>
        <w:tc>
          <w:tcPr>
            <w:tcW w:w="474" w:type="pct"/>
            <w:tcBorders>
              <w:left w:val="nil"/>
              <w:bottom w:val="single" w:sz="4" w:space="0" w:color="auto"/>
              <w:right w:val="nil"/>
            </w:tcBorders>
            <w:vAlign w:val="center"/>
          </w:tcPr>
          <w:p w14:paraId="58723F84" w14:textId="77777777" w:rsidR="001D2CA6" w:rsidRPr="000D33E6" w:rsidRDefault="001D2CA6" w:rsidP="0009246B">
            <w:pPr>
              <w:pStyle w:val="TableText"/>
              <w:jc w:val="center"/>
              <w:rPr>
                <w:b/>
                <w:bCs/>
                <w:lang w:val="en-US"/>
              </w:rPr>
            </w:pPr>
          </w:p>
        </w:tc>
        <w:tc>
          <w:tcPr>
            <w:tcW w:w="629" w:type="pct"/>
            <w:tcBorders>
              <w:left w:val="nil"/>
              <w:bottom w:val="single" w:sz="4" w:space="0" w:color="auto"/>
              <w:right w:val="nil"/>
            </w:tcBorders>
            <w:vAlign w:val="center"/>
          </w:tcPr>
          <w:p w14:paraId="31FB8A7D" w14:textId="77777777" w:rsidR="001D2CA6" w:rsidRPr="000D33E6" w:rsidRDefault="001D2CA6" w:rsidP="0009246B">
            <w:pPr>
              <w:pStyle w:val="TableText"/>
              <w:jc w:val="center"/>
              <w:rPr>
                <w:b/>
                <w:bCs/>
                <w:lang w:val="en-US"/>
              </w:rPr>
            </w:pPr>
          </w:p>
        </w:tc>
        <w:tc>
          <w:tcPr>
            <w:tcW w:w="629" w:type="pct"/>
            <w:tcBorders>
              <w:left w:val="nil"/>
              <w:bottom w:val="single" w:sz="4" w:space="0" w:color="auto"/>
              <w:right w:val="nil"/>
            </w:tcBorders>
            <w:vAlign w:val="center"/>
          </w:tcPr>
          <w:p w14:paraId="19FCA798" w14:textId="77777777" w:rsidR="001D2CA6" w:rsidRPr="000D33E6" w:rsidRDefault="001D2CA6" w:rsidP="0009246B">
            <w:pPr>
              <w:pStyle w:val="TableText"/>
              <w:jc w:val="center"/>
              <w:rPr>
                <w:b/>
                <w:bCs/>
                <w:lang w:val="en-US"/>
              </w:rPr>
            </w:pPr>
          </w:p>
        </w:tc>
        <w:tc>
          <w:tcPr>
            <w:tcW w:w="865" w:type="pct"/>
            <w:tcBorders>
              <w:left w:val="nil"/>
              <w:bottom w:val="single" w:sz="4" w:space="0" w:color="auto"/>
              <w:right w:val="nil"/>
            </w:tcBorders>
            <w:shd w:val="clear" w:color="auto" w:fill="auto"/>
            <w:vAlign w:val="center"/>
          </w:tcPr>
          <w:p w14:paraId="0CB61EF4" w14:textId="77777777" w:rsidR="001D2CA6" w:rsidRPr="000D33E6" w:rsidRDefault="001D2CA6" w:rsidP="0009246B">
            <w:pPr>
              <w:pStyle w:val="TableText"/>
              <w:jc w:val="center"/>
              <w:rPr>
                <w:b/>
                <w:bCs/>
                <w:lang w:val="en-US"/>
              </w:rPr>
            </w:pPr>
          </w:p>
        </w:tc>
        <w:tc>
          <w:tcPr>
            <w:tcW w:w="834" w:type="pct"/>
            <w:tcBorders>
              <w:left w:val="nil"/>
              <w:bottom w:val="single" w:sz="4" w:space="0" w:color="auto"/>
            </w:tcBorders>
            <w:shd w:val="clear" w:color="auto" w:fill="auto"/>
            <w:vAlign w:val="center"/>
          </w:tcPr>
          <w:p w14:paraId="41CE3AFA" w14:textId="77777777" w:rsidR="001D2CA6" w:rsidRPr="000D33E6" w:rsidRDefault="001D2CA6" w:rsidP="0009246B">
            <w:pPr>
              <w:pStyle w:val="TableText"/>
              <w:jc w:val="center"/>
              <w:rPr>
                <w:b/>
                <w:bCs/>
                <w:lang w:val="en-US"/>
              </w:rPr>
            </w:pPr>
          </w:p>
        </w:tc>
      </w:tr>
      <w:tr w:rsidR="00081642" w:rsidRPr="00CE28E3" w14:paraId="50C36C4A" w14:textId="77777777" w:rsidTr="00F22D6E">
        <w:trPr>
          <w:cantSplit/>
        </w:trPr>
        <w:tc>
          <w:tcPr>
            <w:tcW w:w="862" w:type="pct"/>
            <w:tcBorders>
              <w:bottom w:val="nil"/>
            </w:tcBorders>
            <w:shd w:val="clear" w:color="auto" w:fill="auto"/>
            <w:vAlign w:val="center"/>
          </w:tcPr>
          <w:p w14:paraId="2410D5D4" w14:textId="5030093E" w:rsidR="00081642" w:rsidRPr="000859C7" w:rsidRDefault="00081642" w:rsidP="00081642">
            <w:pPr>
              <w:pStyle w:val="TableText"/>
              <w:rPr>
                <w:lang w:val="en-US"/>
              </w:rPr>
            </w:pPr>
            <w:r w:rsidRPr="000859C7">
              <w:rPr>
                <w:lang w:val="en-US"/>
              </w:rPr>
              <w:t>IVUS-XPL</w:t>
            </w:r>
            <w:r w:rsidR="00C44178">
              <w:rPr>
                <w:lang w:val="en-US"/>
              </w:rPr>
              <w:t xml:space="preserve"> </w:t>
            </w:r>
            <w:r w:rsidR="00C44178">
              <w:rPr>
                <w:lang w:val="en-US"/>
              </w:rPr>
              <w:br/>
            </w:r>
            <w:r w:rsidR="00C44178" w:rsidRPr="00C44178">
              <w:rPr>
                <w:i/>
                <w:iCs/>
                <w:lang w:val="en-US"/>
              </w:rPr>
              <w:t>Cardiac mortality</w:t>
            </w:r>
          </w:p>
        </w:tc>
        <w:tc>
          <w:tcPr>
            <w:tcW w:w="707" w:type="pct"/>
            <w:tcBorders>
              <w:bottom w:val="nil"/>
            </w:tcBorders>
            <w:vAlign w:val="center"/>
          </w:tcPr>
          <w:p w14:paraId="34E7FBCF" w14:textId="61929BD5" w:rsidR="00081642" w:rsidRDefault="00B657F7" w:rsidP="00081642">
            <w:pPr>
              <w:pStyle w:val="TableText"/>
              <w:jc w:val="center"/>
              <w:rPr>
                <w:lang w:val="en-US"/>
              </w:rPr>
            </w:pPr>
            <w:r w:rsidRPr="002C1697">
              <w:rPr>
                <w:rFonts w:ascii="Cambria Math" w:hAnsi="Cambria Math"/>
                <w:color w:val="00B050"/>
              </w:rPr>
              <w:t>⨁⨁</w:t>
            </w:r>
            <w:r w:rsidRPr="002C1697">
              <w:rPr>
                <w:rFonts w:ascii="Cambria Math" w:hAnsi="Cambria Math" w:cs="Cambria Math"/>
                <w:color w:val="C00000"/>
              </w:rPr>
              <w:t>⨀⨀</w:t>
            </w:r>
            <w:r>
              <w:rPr>
                <w:rFonts w:ascii="Cambria Math" w:hAnsi="Cambria Math" w:cs="Cambria Math"/>
                <w:color w:val="C00000"/>
              </w:rPr>
              <w:br/>
            </w:r>
            <w:r w:rsidRPr="004578AA">
              <w:rPr>
                <w:rStyle w:val="CommentaryemphasisTablesmid-paragraph"/>
                <w:color w:val="auto"/>
              </w:rPr>
              <w:t>Low</w:t>
            </w:r>
          </w:p>
        </w:tc>
        <w:tc>
          <w:tcPr>
            <w:tcW w:w="474" w:type="pct"/>
            <w:tcBorders>
              <w:bottom w:val="dotted" w:sz="4" w:space="0" w:color="auto"/>
            </w:tcBorders>
            <w:vAlign w:val="center"/>
          </w:tcPr>
          <w:p w14:paraId="42B40D37" w14:textId="77777777" w:rsidR="00081642" w:rsidRPr="00CE28E3" w:rsidRDefault="00081642" w:rsidP="00081642">
            <w:pPr>
              <w:pStyle w:val="TableText"/>
              <w:jc w:val="center"/>
              <w:rPr>
                <w:lang w:val="en-US"/>
              </w:rPr>
            </w:pPr>
            <w:r>
              <w:rPr>
                <w:lang w:val="en-US"/>
              </w:rPr>
              <w:t>1 yr</w:t>
            </w:r>
          </w:p>
        </w:tc>
        <w:tc>
          <w:tcPr>
            <w:tcW w:w="629" w:type="pct"/>
            <w:tcBorders>
              <w:bottom w:val="dotted" w:sz="4" w:space="0" w:color="auto"/>
            </w:tcBorders>
            <w:vAlign w:val="center"/>
          </w:tcPr>
          <w:p w14:paraId="106BC8BB" w14:textId="13DB7906" w:rsidR="00081642" w:rsidRPr="00CE28E3" w:rsidRDefault="00081642" w:rsidP="00081642">
            <w:pPr>
              <w:pStyle w:val="TableText"/>
              <w:jc w:val="center"/>
              <w:rPr>
                <w:lang w:val="en-US"/>
              </w:rPr>
            </w:pPr>
            <w:r w:rsidRPr="004E2AC8">
              <w:t>3/700 (0.4)</w:t>
            </w:r>
          </w:p>
        </w:tc>
        <w:tc>
          <w:tcPr>
            <w:tcW w:w="629" w:type="pct"/>
            <w:tcBorders>
              <w:bottom w:val="dotted" w:sz="4" w:space="0" w:color="auto"/>
            </w:tcBorders>
            <w:vAlign w:val="center"/>
          </w:tcPr>
          <w:p w14:paraId="120067EE" w14:textId="65BE85E3" w:rsidR="00081642" w:rsidRPr="00CE28E3" w:rsidRDefault="00081642" w:rsidP="00081642">
            <w:pPr>
              <w:pStyle w:val="TableText"/>
              <w:jc w:val="center"/>
              <w:rPr>
                <w:lang w:val="en-US"/>
              </w:rPr>
            </w:pPr>
            <w:r w:rsidRPr="004E2AC8">
              <w:t>5/700 (0.7)</w:t>
            </w:r>
          </w:p>
        </w:tc>
        <w:tc>
          <w:tcPr>
            <w:tcW w:w="865" w:type="pct"/>
            <w:tcBorders>
              <w:bottom w:val="dotted" w:sz="4" w:space="0" w:color="auto"/>
            </w:tcBorders>
            <w:shd w:val="clear" w:color="auto" w:fill="auto"/>
            <w:vAlign w:val="center"/>
          </w:tcPr>
          <w:p w14:paraId="349FDF91" w14:textId="2B387D2C" w:rsidR="00081642" w:rsidRPr="00CE28E3" w:rsidRDefault="00081642" w:rsidP="009F709B">
            <w:pPr>
              <w:pStyle w:val="TableText"/>
              <w:jc w:val="center"/>
              <w:rPr>
                <w:lang w:val="en-US"/>
              </w:rPr>
            </w:pPr>
            <w:r w:rsidRPr="00081642">
              <w:rPr>
                <w:lang w:val="en-US"/>
              </w:rPr>
              <w:t>0.6 (0.14, 2.50)</w:t>
            </w:r>
            <w:r w:rsidR="009F709B">
              <w:rPr>
                <w:lang w:val="en-US"/>
              </w:rPr>
              <w:br/>
            </w:r>
            <w:r w:rsidRPr="00081642">
              <w:rPr>
                <w:lang w:val="en-US"/>
              </w:rPr>
              <w:t>p = 0.49</w:t>
            </w:r>
          </w:p>
        </w:tc>
        <w:tc>
          <w:tcPr>
            <w:tcW w:w="834" w:type="pct"/>
            <w:tcBorders>
              <w:bottom w:val="dotted" w:sz="4" w:space="0" w:color="auto"/>
            </w:tcBorders>
            <w:shd w:val="clear" w:color="auto" w:fill="auto"/>
            <w:vAlign w:val="center"/>
          </w:tcPr>
          <w:p w14:paraId="745089CD" w14:textId="326B48C5" w:rsidR="00081642" w:rsidRPr="00CE28E3" w:rsidRDefault="00081642" w:rsidP="009F709B">
            <w:pPr>
              <w:pStyle w:val="TableText"/>
              <w:jc w:val="center"/>
              <w:rPr>
                <w:lang w:val="en-US"/>
              </w:rPr>
            </w:pPr>
            <w:r w:rsidRPr="00081642">
              <w:rPr>
                <w:lang w:val="en-US"/>
              </w:rPr>
              <w:t>0.00 (-0.01, 0.01)</w:t>
            </w:r>
            <w:r w:rsidR="009F709B">
              <w:rPr>
                <w:lang w:val="en-US"/>
              </w:rPr>
              <w:br/>
            </w:r>
            <w:r w:rsidRPr="00081642">
              <w:rPr>
                <w:lang w:val="en-US"/>
              </w:rPr>
              <w:t>p = 0.48</w:t>
            </w:r>
          </w:p>
        </w:tc>
      </w:tr>
      <w:tr w:rsidR="00081642" w:rsidRPr="00CE28E3" w14:paraId="051E21C2" w14:textId="77777777" w:rsidTr="00F22D6E">
        <w:trPr>
          <w:cantSplit/>
        </w:trPr>
        <w:tc>
          <w:tcPr>
            <w:tcW w:w="862" w:type="pct"/>
            <w:tcBorders>
              <w:top w:val="nil"/>
            </w:tcBorders>
            <w:shd w:val="clear" w:color="auto" w:fill="auto"/>
            <w:vAlign w:val="center"/>
          </w:tcPr>
          <w:p w14:paraId="741E4598" w14:textId="77777777" w:rsidR="00081642" w:rsidRPr="000859C7" w:rsidRDefault="00081642" w:rsidP="00081642">
            <w:pPr>
              <w:pStyle w:val="TableText"/>
              <w:rPr>
                <w:lang w:val="en-US"/>
              </w:rPr>
            </w:pPr>
          </w:p>
        </w:tc>
        <w:tc>
          <w:tcPr>
            <w:tcW w:w="707" w:type="pct"/>
            <w:tcBorders>
              <w:top w:val="nil"/>
            </w:tcBorders>
            <w:vAlign w:val="center"/>
          </w:tcPr>
          <w:p w14:paraId="4860DBF1" w14:textId="77777777" w:rsidR="00081642" w:rsidRDefault="00081642" w:rsidP="00081642">
            <w:pPr>
              <w:pStyle w:val="TableText"/>
              <w:jc w:val="center"/>
              <w:rPr>
                <w:lang w:val="en-US"/>
              </w:rPr>
            </w:pPr>
          </w:p>
        </w:tc>
        <w:tc>
          <w:tcPr>
            <w:tcW w:w="474" w:type="pct"/>
            <w:tcBorders>
              <w:top w:val="dotted" w:sz="4" w:space="0" w:color="auto"/>
            </w:tcBorders>
            <w:vAlign w:val="center"/>
          </w:tcPr>
          <w:p w14:paraId="46E292FA" w14:textId="77777777" w:rsidR="00081642" w:rsidRPr="00CE28E3" w:rsidRDefault="00081642" w:rsidP="00081642">
            <w:pPr>
              <w:pStyle w:val="TableText"/>
              <w:jc w:val="center"/>
              <w:rPr>
                <w:lang w:val="en-US"/>
              </w:rPr>
            </w:pPr>
            <w:r>
              <w:rPr>
                <w:lang w:val="en-US"/>
              </w:rPr>
              <w:t>5 yrs</w:t>
            </w:r>
          </w:p>
        </w:tc>
        <w:tc>
          <w:tcPr>
            <w:tcW w:w="629" w:type="pct"/>
            <w:tcBorders>
              <w:top w:val="dotted" w:sz="4" w:space="0" w:color="auto"/>
            </w:tcBorders>
            <w:vAlign w:val="center"/>
          </w:tcPr>
          <w:p w14:paraId="7D2D6645" w14:textId="592343D5" w:rsidR="00081642" w:rsidRPr="00CE28E3" w:rsidRDefault="00081642" w:rsidP="00081642">
            <w:pPr>
              <w:pStyle w:val="TableText"/>
              <w:jc w:val="center"/>
              <w:rPr>
                <w:lang w:val="en-US"/>
              </w:rPr>
            </w:pPr>
            <w:r w:rsidRPr="004E2AC8">
              <w:t>6/700 (0.9)</w:t>
            </w:r>
          </w:p>
        </w:tc>
        <w:tc>
          <w:tcPr>
            <w:tcW w:w="629" w:type="pct"/>
            <w:tcBorders>
              <w:top w:val="dotted" w:sz="4" w:space="0" w:color="auto"/>
            </w:tcBorders>
            <w:vAlign w:val="center"/>
          </w:tcPr>
          <w:p w14:paraId="51B96305" w14:textId="38EE3193" w:rsidR="00081642" w:rsidRPr="00CE28E3" w:rsidRDefault="00081642" w:rsidP="00081642">
            <w:pPr>
              <w:pStyle w:val="TableText"/>
              <w:jc w:val="center"/>
              <w:rPr>
                <w:lang w:val="en-US"/>
              </w:rPr>
            </w:pPr>
            <w:r w:rsidRPr="004E2AC8">
              <w:t>14/700 (2.0)</w:t>
            </w:r>
          </w:p>
        </w:tc>
        <w:tc>
          <w:tcPr>
            <w:tcW w:w="865" w:type="pct"/>
            <w:tcBorders>
              <w:top w:val="dotted" w:sz="4" w:space="0" w:color="auto"/>
            </w:tcBorders>
            <w:shd w:val="clear" w:color="auto" w:fill="auto"/>
            <w:vAlign w:val="center"/>
          </w:tcPr>
          <w:p w14:paraId="50189DB1" w14:textId="398BEF00" w:rsidR="00081642" w:rsidRPr="00CE28E3" w:rsidRDefault="00081642" w:rsidP="009F709B">
            <w:pPr>
              <w:pStyle w:val="TableText"/>
              <w:jc w:val="center"/>
              <w:rPr>
                <w:lang w:val="en-US"/>
              </w:rPr>
            </w:pPr>
            <w:r w:rsidRPr="00081642">
              <w:rPr>
                <w:lang w:val="en-US"/>
              </w:rPr>
              <w:t>0.43 (0.17, 1.11)</w:t>
            </w:r>
            <w:r w:rsidR="009F709B">
              <w:rPr>
                <w:lang w:val="en-US"/>
              </w:rPr>
              <w:br/>
            </w:r>
            <w:r w:rsidRPr="00081642">
              <w:rPr>
                <w:lang w:val="en-US"/>
              </w:rPr>
              <w:t>p = 0.08</w:t>
            </w:r>
          </w:p>
        </w:tc>
        <w:tc>
          <w:tcPr>
            <w:tcW w:w="834" w:type="pct"/>
            <w:tcBorders>
              <w:top w:val="dotted" w:sz="4" w:space="0" w:color="auto"/>
            </w:tcBorders>
            <w:shd w:val="clear" w:color="auto" w:fill="auto"/>
            <w:vAlign w:val="center"/>
          </w:tcPr>
          <w:p w14:paraId="5B667833" w14:textId="06E2D80F" w:rsidR="00081642" w:rsidRPr="00CE28E3" w:rsidRDefault="00081642" w:rsidP="009F709B">
            <w:pPr>
              <w:pStyle w:val="TableText"/>
              <w:jc w:val="center"/>
              <w:rPr>
                <w:lang w:val="en-US"/>
              </w:rPr>
            </w:pPr>
            <w:r w:rsidRPr="00081642">
              <w:rPr>
                <w:lang w:val="en-US"/>
              </w:rPr>
              <w:t>-0.01 (-0.02, 0.00)</w:t>
            </w:r>
            <w:r w:rsidR="009F709B">
              <w:rPr>
                <w:lang w:val="en-US"/>
              </w:rPr>
              <w:br/>
            </w:r>
            <w:r w:rsidRPr="00081642">
              <w:rPr>
                <w:lang w:val="en-US"/>
              </w:rPr>
              <w:t>p = 0.07</w:t>
            </w:r>
          </w:p>
        </w:tc>
      </w:tr>
      <w:tr w:rsidR="00081642" w:rsidRPr="00CE28E3" w14:paraId="7112D9B7" w14:textId="77777777" w:rsidTr="00F22D6E">
        <w:trPr>
          <w:cantSplit/>
        </w:trPr>
        <w:tc>
          <w:tcPr>
            <w:tcW w:w="862" w:type="pct"/>
            <w:tcBorders>
              <w:bottom w:val="single" w:sz="4" w:space="0" w:color="auto"/>
            </w:tcBorders>
            <w:shd w:val="clear" w:color="auto" w:fill="auto"/>
            <w:vAlign w:val="center"/>
          </w:tcPr>
          <w:p w14:paraId="7001D229" w14:textId="28D1BC94" w:rsidR="00081642" w:rsidRPr="00C07319" w:rsidRDefault="00081642" w:rsidP="00081642">
            <w:pPr>
              <w:pStyle w:val="TableText"/>
              <w:rPr>
                <w:lang w:val="en-US"/>
              </w:rPr>
            </w:pPr>
            <w:r>
              <w:rPr>
                <w:lang w:val="en-US"/>
              </w:rPr>
              <w:t>RESET</w:t>
            </w:r>
            <w:r w:rsidR="00C44178">
              <w:rPr>
                <w:lang w:val="en-US"/>
              </w:rPr>
              <w:t xml:space="preserve"> </w:t>
            </w:r>
            <w:r w:rsidR="00C44178">
              <w:rPr>
                <w:lang w:val="en-US"/>
              </w:rPr>
              <w:br/>
            </w:r>
            <w:r w:rsidR="00C44178" w:rsidRPr="00C44178">
              <w:rPr>
                <w:i/>
                <w:iCs/>
                <w:lang w:val="en-US"/>
              </w:rPr>
              <w:t>Cardi</w:t>
            </w:r>
            <w:r w:rsidR="00C44178">
              <w:rPr>
                <w:i/>
                <w:iCs/>
                <w:lang w:val="en-US"/>
              </w:rPr>
              <w:t>ovascular</w:t>
            </w:r>
            <w:r w:rsidR="00C44178" w:rsidRPr="00C44178">
              <w:rPr>
                <w:i/>
                <w:iCs/>
                <w:lang w:val="en-US"/>
              </w:rPr>
              <w:t xml:space="preserve"> mortality</w:t>
            </w:r>
          </w:p>
        </w:tc>
        <w:tc>
          <w:tcPr>
            <w:tcW w:w="707" w:type="pct"/>
            <w:tcBorders>
              <w:bottom w:val="single" w:sz="4" w:space="0" w:color="auto"/>
            </w:tcBorders>
            <w:vAlign w:val="center"/>
          </w:tcPr>
          <w:p w14:paraId="10E86210" w14:textId="50711E68" w:rsidR="00081642" w:rsidRDefault="00B657F7" w:rsidP="00081642">
            <w:pPr>
              <w:pStyle w:val="TableText"/>
              <w:jc w:val="center"/>
              <w:rPr>
                <w:lang w:val="en-US"/>
              </w:rPr>
            </w:pPr>
            <w:r w:rsidRPr="002C1697">
              <w:rPr>
                <w:rFonts w:ascii="Cambria Math" w:hAnsi="Cambria Math"/>
                <w:color w:val="00B050"/>
              </w:rPr>
              <w:t>⨁⨁</w:t>
            </w:r>
            <w:r w:rsidRPr="002C1697">
              <w:rPr>
                <w:rFonts w:ascii="Cambria Math" w:hAnsi="Cambria Math" w:cs="Cambria Math"/>
                <w:color w:val="C00000"/>
              </w:rPr>
              <w:t>⨀⨀</w:t>
            </w:r>
            <w:r>
              <w:rPr>
                <w:rFonts w:ascii="Cambria Math" w:hAnsi="Cambria Math" w:cs="Cambria Math"/>
                <w:color w:val="C00000"/>
              </w:rPr>
              <w:br/>
            </w:r>
            <w:r w:rsidRPr="004578AA">
              <w:rPr>
                <w:rStyle w:val="CommentaryemphasisTablesmid-paragraph"/>
                <w:color w:val="auto"/>
              </w:rPr>
              <w:t>Low</w:t>
            </w:r>
          </w:p>
        </w:tc>
        <w:tc>
          <w:tcPr>
            <w:tcW w:w="474" w:type="pct"/>
            <w:tcBorders>
              <w:bottom w:val="single" w:sz="4" w:space="0" w:color="auto"/>
            </w:tcBorders>
            <w:vAlign w:val="center"/>
          </w:tcPr>
          <w:p w14:paraId="3E06BA55" w14:textId="77777777" w:rsidR="00081642" w:rsidRPr="00CE28E3" w:rsidRDefault="00081642" w:rsidP="00081642">
            <w:pPr>
              <w:pStyle w:val="TableText"/>
              <w:jc w:val="center"/>
              <w:rPr>
                <w:lang w:val="en-US"/>
              </w:rPr>
            </w:pPr>
            <w:r>
              <w:rPr>
                <w:lang w:val="en-US"/>
              </w:rPr>
              <w:t>1 yr</w:t>
            </w:r>
          </w:p>
        </w:tc>
        <w:tc>
          <w:tcPr>
            <w:tcW w:w="629" w:type="pct"/>
            <w:tcBorders>
              <w:bottom w:val="single" w:sz="4" w:space="0" w:color="auto"/>
            </w:tcBorders>
            <w:vAlign w:val="center"/>
          </w:tcPr>
          <w:p w14:paraId="23272366" w14:textId="24F09D29" w:rsidR="00081642" w:rsidRPr="00CE28E3" w:rsidRDefault="00081642" w:rsidP="00081642">
            <w:pPr>
              <w:pStyle w:val="TableText"/>
              <w:jc w:val="center"/>
              <w:rPr>
                <w:lang w:val="en-US"/>
              </w:rPr>
            </w:pPr>
            <w:r w:rsidRPr="004E2AC8">
              <w:t>0/269</w:t>
            </w:r>
          </w:p>
        </w:tc>
        <w:tc>
          <w:tcPr>
            <w:tcW w:w="629" w:type="pct"/>
            <w:tcBorders>
              <w:bottom w:val="single" w:sz="4" w:space="0" w:color="auto"/>
            </w:tcBorders>
            <w:vAlign w:val="center"/>
          </w:tcPr>
          <w:p w14:paraId="2F85D5B3" w14:textId="3DC9EFAF" w:rsidR="00081642" w:rsidRPr="00CE28E3" w:rsidRDefault="00081642" w:rsidP="00081642">
            <w:pPr>
              <w:pStyle w:val="TableText"/>
              <w:jc w:val="center"/>
              <w:rPr>
                <w:lang w:val="en-US"/>
              </w:rPr>
            </w:pPr>
            <w:r w:rsidRPr="004E2AC8">
              <w:t>1/274 (0.4)</w:t>
            </w:r>
          </w:p>
        </w:tc>
        <w:tc>
          <w:tcPr>
            <w:tcW w:w="865" w:type="pct"/>
            <w:tcBorders>
              <w:bottom w:val="single" w:sz="4" w:space="0" w:color="auto"/>
            </w:tcBorders>
            <w:shd w:val="clear" w:color="auto" w:fill="auto"/>
            <w:vAlign w:val="center"/>
          </w:tcPr>
          <w:p w14:paraId="3C63FF1B" w14:textId="2396A5DA" w:rsidR="00081642" w:rsidRPr="00CE28E3" w:rsidRDefault="00081642" w:rsidP="009F709B">
            <w:pPr>
              <w:pStyle w:val="TableText"/>
              <w:jc w:val="center"/>
              <w:rPr>
                <w:lang w:val="en-US"/>
              </w:rPr>
            </w:pPr>
            <w:r w:rsidRPr="00081642">
              <w:rPr>
                <w:lang w:val="en-US"/>
              </w:rPr>
              <w:t>0.34 (0.01, 8.30)</w:t>
            </w:r>
            <w:r w:rsidR="009F709B">
              <w:rPr>
                <w:lang w:val="en-US"/>
              </w:rPr>
              <w:br/>
            </w:r>
            <w:r w:rsidRPr="00081642">
              <w:rPr>
                <w:lang w:val="en-US"/>
              </w:rPr>
              <w:t>p = 0.51</w:t>
            </w:r>
          </w:p>
        </w:tc>
        <w:tc>
          <w:tcPr>
            <w:tcW w:w="834" w:type="pct"/>
            <w:shd w:val="clear" w:color="auto" w:fill="auto"/>
            <w:vAlign w:val="center"/>
          </w:tcPr>
          <w:p w14:paraId="633E88CC" w14:textId="7ABB2371" w:rsidR="00081642" w:rsidRPr="00CE28E3" w:rsidRDefault="00081642" w:rsidP="009F709B">
            <w:pPr>
              <w:pStyle w:val="TableText"/>
              <w:jc w:val="center"/>
              <w:rPr>
                <w:lang w:val="en-US"/>
              </w:rPr>
            </w:pPr>
            <w:r w:rsidRPr="00081642">
              <w:rPr>
                <w:lang w:val="en-US"/>
              </w:rPr>
              <w:t>-0.00 (-0.01, 0.01)</w:t>
            </w:r>
            <w:r w:rsidR="009F709B">
              <w:rPr>
                <w:lang w:val="en-US"/>
              </w:rPr>
              <w:br/>
            </w:r>
            <w:r w:rsidRPr="00081642">
              <w:rPr>
                <w:lang w:val="en-US"/>
              </w:rPr>
              <w:t>p = 0.36)</w:t>
            </w:r>
          </w:p>
        </w:tc>
      </w:tr>
      <w:tr w:rsidR="007A29CA" w:rsidRPr="00CE28E3" w14:paraId="673788E1" w14:textId="77777777" w:rsidTr="00F22D6E">
        <w:trPr>
          <w:cantSplit/>
        </w:trPr>
        <w:tc>
          <w:tcPr>
            <w:tcW w:w="862" w:type="pct"/>
            <w:tcBorders>
              <w:bottom w:val="single" w:sz="4" w:space="0" w:color="auto"/>
            </w:tcBorders>
            <w:shd w:val="clear" w:color="auto" w:fill="auto"/>
            <w:vAlign w:val="center"/>
          </w:tcPr>
          <w:p w14:paraId="6FCE4A0C" w14:textId="324EB8DE" w:rsidR="007A29CA" w:rsidRDefault="007A29CA" w:rsidP="00081642">
            <w:pPr>
              <w:pStyle w:val="TableText"/>
              <w:rPr>
                <w:lang w:val="en-US"/>
              </w:rPr>
            </w:pPr>
            <w:r>
              <w:rPr>
                <w:lang w:val="en-US"/>
              </w:rPr>
              <w:t>Meta-analysis</w:t>
            </w:r>
          </w:p>
        </w:tc>
        <w:tc>
          <w:tcPr>
            <w:tcW w:w="707" w:type="pct"/>
            <w:tcBorders>
              <w:bottom w:val="single" w:sz="4" w:space="0" w:color="auto"/>
            </w:tcBorders>
            <w:vAlign w:val="center"/>
          </w:tcPr>
          <w:p w14:paraId="57FB9349" w14:textId="7052984C" w:rsidR="007A29CA" w:rsidRDefault="009C0B66" w:rsidP="00081642">
            <w:pPr>
              <w:pStyle w:val="TableText"/>
              <w:jc w:val="center"/>
              <w:rPr>
                <w:lang w:val="en-US"/>
              </w:rPr>
            </w:pPr>
            <w:r w:rsidRPr="009C0B66">
              <w:rPr>
                <w:lang w:val="en-US"/>
              </w:rPr>
              <w:t>Chi² = 0.10</w:t>
            </w:r>
            <w:r>
              <w:rPr>
                <w:lang w:val="en-US"/>
              </w:rPr>
              <w:t xml:space="preserve"> </w:t>
            </w:r>
            <w:r w:rsidRPr="009C0B66">
              <w:rPr>
                <w:lang w:val="en-US"/>
              </w:rPr>
              <w:t>(</w:t>
            </w:r>
            <w:r>
              <w:rPr>
                <w:lang w:val="en-US"/>
              </w:rPr>
              <w:t>p</w:t>
            </w:r>
            <w:r w:rsidRPr="009C0B66">
              <w:rPr>
                <w:lang w:val="en-US"/>
              </w:rPr>
              <w:t xml:space="preserve"> = 0.75); I² = 0%</w:t>
            </w:r>
          </w:p>
        </w:tc>
        <w:tc>
          <w:tcPr>
            <w:tcW w:w="474" w:type="pct"/>
            <w:tcBorders>
              <w:bottom w:val="single" w:sz="4" w:space="0" w:color="auto"/>
            </w:tcBorders>
            <w:vAlign w:val="center"/>
          </w:tcPr>
          <w:p w14:paraId="694E4B22" w14:textId="53519EFD" w:rsidR="007A29CA" w:rsidRDefault="007A29CA" w:rsidP="00081642">
            <w:pPr>
              <w:pStyle w:val="TableText"/>
              <w:jc w:val="center"/>
              <w:rPr>
                <w:lang w:val="en-US"/>
              </w:rPr>
            </w:pPr>
            <w:r>
              <w:rPr>
                <w:lang w:val="en-US"/>
              </w:rPr>
              <w:t>1 yr</w:t>
            </w:r>
          </w:p>
        </w:tc>
        <w:tc>
          <w:tcPr>
            <w:tcW w:w="629" w:type="pct"/>
            <w:tcBorders>
              <w:bottom w:val="single" w:sz="4" w:space="0" w:color="auto"/>
            </w:tcBorders>
            <w:vAlign w:val="center"/>
          </w:tcPr>
          <w:p w14:paraId="7BA53B9A" w14:textId="7C7FCD0B" w:rsidR="007A29CA" w:rsidRPr="004E2AC8" w:rsidRDefault="009C0B66" w:rsidP="00081642">
            <w:pPr>
              <w:pStyle w:val="TableText"/>
              <w:jc w:val="center"/>
            </w:pPr>
            <w:r>
              <w:t>3/969 (0.3)</w:t>
            </w:r>
          </w:p>
        </w:tc>
        <w:tc>
          <w:tcPr>
            <w:tcW w:w="629" w:type="pct"/>
            <w:tcBorders>
              <w:bottom w:val="single" w:sz="4" w:space="0" w:color="auto"/>
            </w:tcBorders>
            <w:vAlign w:val="center"/>
          </w:tcPr>
          <w:p w14:paraId="0CEC8480" w14:textId="3FAE375D" w:rsidR="007A29CA" w:rsidRPr="004E2AC8" w:rsidRDefault="009C0B66" w:rsidP="00081642">
            <w:pPr>
              <w:pStyle w:val="TableText"/>
              <w:jc w:val="center"/>
            </w:pPr>
            <w:r>
              <w:t>6/974 (0.6)</w:t>
            </w:r>
          </w:p>
        </w:tc>
        <w:tc>
          <w:tcPr>
            <w:tcW w:w="865" w:type="pct"/>
            <w:tcBorders>
              <w:bottom w:val="single" w:sz="4" w:space="0" w:color="auto"/>
            </w:tcBorders>
            <w:shd w:val="clear" w:color="auto" w:fill="auto"/>
            <w:vAlign w:val="center"/>
          </w:tcPr>
          <w:p w14:paraId="68A3D839" w14:textId="7E4BE183" w:rsidR="007A29CA" w:rsidRPr="00081642" w:rsidRDefault="009C0B66" w:rsidP="009F709B">
            <w:pPr>
              <w:pStyle w:val="TableText"/>
              <w:jc w:val="center"/>
              <w:rPr>
                <w:lang w:val="en-US"/>
              </w:rPr>
            </w:pPr>
            <w:r w:rsidRPr="009C0B66">
              <w:rPr>
                <w:lang w:val="en-US"/>
              </w:rPr>
              <w:t>0.54 (0.15, 1.98)</w:t>
            </w:r>
            <w:r w:rsidR="009F709B">
              <w:rPr>
                <w:lang w:val="en-US"/>
              </w:rPr>
              <w:br/>
            </w:r>
            <w:r w:rsidRPr="009C0B66">
              <w:rPr>
                <w:lang w:val="en-US"/>
              </w:rPr>
              <w:t>p = 0.35</w:t>
            </w:r>
          </w:p>
        </w:tc>
        <w:tc>
          <w:tcPr>
            <w:tcW w:w="834" w:type="pct"/>
            <w:shd w:val="clear" w:color="auto" w:fill="auto"/>
            <w:vAlign w:val="center"/>
          </w:tcPr>
          <w:p w14:paraId="70AAE59C" w14:textId="586706FD" w:rsidR="007A29CA" w:rsidRPr="00081642" w:rsidRDefault="009C0B66" w:rsidP="009F709B">
            <w:pPr>
              <w:pStyle w:val="TableText"/>
              <w:jc w:val="center"/>
              <w:rPr>
                <w:lang w:val="en-US"/>
              </w:rPr>
            </w:pPr>
            <w:r w:rsidRPr="009C0B66">
              <w:rPr>
                <w:lang w:val="en-US"/>
              </w:rPr>
              <w:t>-0.00 (-0.01, 0.00)</w:t>
            </w:r>
            <w:r w:rsidR="009F709B">
              <w:rPr>
                <w:lang w:val="en-US"/>
              </w:rPr>
              <w:br/>
            </w:r>
            <w:r w:rsidRPr="009C0B66">
              <w:rPr>
                <w:lang w:val="en-US"/>
              </w:rPr>
              <w:t>p = 0.34</w:t>
            </w:r>
          </w:p>
        </w:tc>
      </w:tr>
      <w:tr w:rsidR="001D2CA6" w:rsidRPr="00CE28E3" w14:paraId="219E39BF" w14:textId="77777777" w:rsidTr="00F22D6E">
        <w:trPr>
          <w:cantSplit/>
        </w:trPr>
        <w:tc>
          <w:tcPr>
            <w:tcW w:w="862" w:type="pct"/>
            <w:tcBorders>
              <w:right w:val="nil"/>
            </w:tcBorders>
            <w:shd w:val="clear" w:color="auto" w:fill="auto"/>
            <w:vAlign w:val="center"/>
          </w:tcPr>
          <w:p w14:paraId="7B3738FD" w14:textId="5D6365B9" w:rsidR="001D2CA6" w:rsidRPr="000D33E6" w:rsidRDefault="001D2CA6" w:rsidP="0009246B">
            <w:pPr>
              <w:pStyle w:val="TableText"/>
              <w:rPr>
                <w:b/>
                <w:bCs/>
                <w:lang w:val="en-US"/>
              </w:rPr>
            </w:pPr>
            <w:r w:rsidRPr="000D33E6">
              <w:rPr>
                <w:b/>
                <w:bCs/>
                <w:lang w:val="en-US"/>
              </w:rPr>
              <w:t>Left main lesions</w:t>
            </w:r>
            <w:r w:rsidR="00F22D6E">
              <w:rPr>
                <w:b/>
                <w:bCs/>
                <w:lang w:val="en-US"/>
              </w:rPr>
              <w:t>^</w:t>
            </w:r>
          </w:p>
        </w:tc>
        <w:tc>
          <w:tcPr>
            <w:tcW w:w="707" w:type="pct"/>
            <w:tcBorders>
              <w:left w:val="nil"/>
              <w:right w:val="nil"/>
            </w:tcBorders>
            <w:vAlign w:val="center"/>
          </w:tcPr>
          <w:p w14:paraId="10923753" w14:textId="77777777" w:rsidR="001D2CA6" w:rsidRPr="000D33E6" w:rsidRDefault="001D2CA6" w:rsidP="0009246B">
            <w:pPr>
              <w:pStyle w:val="TableText"/>
              <w:jc w:val="center"/>
              <w:rPr>
                <w:b/>
                <w:bCs/>
                <w:lang w:val="en-US"/>
              </w:rPr>
            </w:pPr>
          </w:p>
        </w:tc>
        <w:tc>
          <w:tcPr>
            <w:tcW w:w="474" w:type="pct"/>
            <w:tcBorders>
              <w:left w:val="nil"/>
              <w:right w:val="nil"/>
            </w:tcBorders>
            <w:vAlign w:val="center"/>
          </w:tcPr>
          <w:p w14:paraId="546136E7" w14:textId="77777777" w:rsidR="001D2CA6" w:rsidRPr="000D33E6" w:rsidRDefault="001D2CA6" w:rsidP="0009246B">
            <w:pPr>
              <w:pStyle w:val="TableText"/>
              <w:jc w:val="center"/>
              <w:rPr>
                <w:b/>
                <w:bCs/>
                <w:lang w:val="en-US"/>
              </w:rPr>
            </w:pPr>
          </w:p>
        </w:tc>
        <w:tc>
          <w:tcPr>
            <w:tcW w:w="629" w:type="pct"/>
            <w:tcBorders>
              <w:left w:val="nil"/>
              <w:right w:val="nil"/>
            </w:tcBorders>
            <w:vAlign w:val="center"/>
          </w:tcPr>
          <w:p w14:paraId="30842E43" w14:textId="77777777" w:rsidR="001D2CA6" w:rsidRPr="000D33E6" w:rsidRDefault="001D2CA6" w:rsidP="0009246B">
            <w:pPr>
              <w:pStyle w:val="TableText"/>
              <w:jc w:val="center"/>
              <w:rPr>
                <w:b/>
                <w:bCs/>
                <w:lang w:val="en-US"/>
              </w:rPr>
            </w:pPr>
          </w:p>
        </w:tc>
        <w:tc>
          <w:tcPr>
            <w:tcW w:w="629" w:type="pct"/>
            <w:tcBorders>
              <w:left w:val="nil"/>
              <w:right w:val="nil"/>
            </w:tcBorders>
            <w:vAlign w:val="center"/>
          </w:tcPr>
          <w:p w14:paraId="59EF7ADC" w14:textId="77777777" w:rsidR="001D2CA6" w:rsidRPr="000D33E6" w:rsidRDefault="001D2CA6" w:rsidP="0009246B">
            <w:pPr>
              <w:pStyle w:val="TableText"/>
              <w:jc w:val="center"/>
              <w:rPr>
                <w:b/>
                <w:bCs/>
                <w:lang w:val="en-US"/>
              </w:rPr>
            </w:pPr>
          </w:p>
        </w:tc>
        <w:tc>
          <w:tcPr>
            <w:tcW w:w="865" w:type="pct"/>
            <w:tcBorders>
              <w:left w:val="nil"/>
              <w:right w:val="nil"/>
            </w:tcBorders>
            <w:shd w:val="clear" w:color="auto" w:fill="auto"/>
            <w:vAlign w:val="center"/>
          </w:tcPr>
          <w:p w14:paraId="53491E71" w14:textId="77777777" w:rsidR="001D2CA6" w:rsidRPr="000D33E6" w:rsidRDefault="001D2CA6" w:rsidP="0009246B">
            <w:pPr>
              <w:pStyle w:val="TableText"/>
              <w:jc w:val="center"/>
              <w:rPr>
                <w:b/>
                <w:bCs/>
                <w:lang w:val="en-US"/>
              </w:rPr>
            </w:pPr>
          </w:p>
        </w:tc>
        <w:tc>
          <w:tcPr>
            <w:tcW w:w="834" w:type="pct"/>
            <w:tcBorders>
              <w:left w:val="nil"/>
            </w:tcBorders>
            <w:shd w:val="clear" w:color="auto" w:fill="auto"/>
            <w:vAlign w:val="center"/>
          </w:tcPr>
          <w:p w14:paraId="3721AAB2" w14:textId="77777777" w:rsidR="001D2CA6" w:rsidRPr="000D33E6" w:rsidRDefault="001D2CA6" w:rsidP="0009246B">
            <w:pPr>
              <w:pStyle w:val="TableText"/>
              <w:jc w:val="center"/>
              <w:rPr>
                <w:b/>
                <w:bCs/>
                <w:lang w:val="en-US"/>
              </w:rPr>
            </w:pPr>
          </w:p>
        </w:tc>
      </w:tr>
      <w:tr w:rsidR="00081642" w:rsidRPr="00CE28E3" w14:paraId="3AB7FFCA" w14:textId="77777777" w:rsidTr="00F22D6E">
        <w:trPr>
          <w:cantSplit/>
        </w:trPr>
        <w:tc>
          <w:tcPr>
            <w:tcW w:w="862" w:type="pct"/>
            <w:shd w:val="clear" w:color="auto" w:fill="auto"/>
            <w:vAlign w:val="center"/>
          </w:tcPr>
          <w:p w14:paraId="4E1A0803" w14:textId="4DA8E94C" w:rsidR="00081642" w:rsidRPr="00CE28E3" w:rsidRDefault="00081642" w:rsidP="00081642">
            <w:pPr>
              <w:pStyle w:val="TableText"/>
              <w:rPr>
                <w:lang w:val="en-US"/>
              </w:rPr>
            </w:pPr>
            <w:r>
              <w:rPr>
                <w:lang w:val="en-US"/>
              </w:rPr>
              <w:t>Liu 2019</w:t>
            </w:r>
            <w:r w:rsidR="00C44178">
              <w:rPr>
                <w:lang w:val="en-US"/>
              </w:rPr>
              <w:t xml:space="preserve"> </w:t>
            </w:r>
            <w:r w:rsidR="00C44178">
              <w:rPr>
                <w:lang w:val="en-US"/>
              </w:rPr>
              <w:br/>
            </w:r>
            <w:r w:rsidR="00C44178" w:rsidRPr="00C44178">
              <w:rPr>
                <w:i/>
                <w:iCs/>
                <w:lang w:val="en-US"/>
              </w:rPr>
              <w:t>Cardiac mortality</w:t>
            </w:r>
          </w:p>
        </w:tc>
        <w:tc>
          <w:tcPr>
            <w:tcW w:w="707" w:type="pct"/>
            <w:vAlign w:val="center"/>
          </w:tcPr>
          <w:p w14:paraId="6682CF43" w14:textId="77777777" w:rsidR="00B657F7" w:rsidRPr="002C1697" w:rsidRDefault="00B657F7" w:rsidP="00B657F7">
            <w:pPr>
              <w:spacing w:before="40"/>
              <w:jc w:val="center"/>
              <w:rPr>
                <w:rFonts w:ascii="Cambria Math" w:hAnsi="Cambria Math" w:cs="Cambria Math"/>
                <w:color w:val="C00000"/>
              </w:rPr>
            </w:pPr>
            <w:r w:rsidRPr="002C1697">
              <w:rPr>
                <w:rFonts w:ascii="Cambria Math" w:hAnsi="Cambria Math"/>
                <w:color w:val="00B050"/>
              </w:rPr>
              <w:t>⨁</w:t>
            </w:r>
            <w:r w:rsidRPr="002C1697">
              <w:rPr>
                <w:rFonts w:ascii="Cambria Math" w:hAnsi="Cambria Math" w:cs="Cambria Math"/>
                <w:color w:val="C00000"/>
              </w:rPr>
              <w:t>⨀⨀⨀</w:t>
            </w:r>
          </w:p>
          <w:p w14:paraId="57B23AB2" w14:textId="1EA8686E" w:rsidR="00081642" w:rsidRPr="004578AA" w:rsidRDefault="00B657F7" w:rsidP="00B657F7">
            <w:pPr>
              <w:pStyle w:val="TableText"/>
              <w:jc w:val="center"/>
              <w:rPr>
                <w:lang w:val="en-US"/>
              </w:rPr>
            </w:pPr>
            <w:r w:rsidRPr="004578AA">
              <w:rPr>
                <w:rStyle w:val="CommentaryemphasisTablesmid-paragraph"/>
                <w:color w:val="auto"/>
              </w:rPr>
              <w:t>Very low</w:t>
            </w:r>
          </w:p>
        </w:tc>
        <w:tc>
          <w:tcPr>
            <w:tcW w:w="474" w:type="pct"/>
            <w:vAlign w:val="center"/>
          </w:tcPr>
          <w:p w14:paraId="6B82B62C" w14:textId="77777777" w:rsidR="00081642" w:rsidRPr="00CE28E3" w:rsidRDefault="00081642" w:rsidP="00081642">
            <w:pPr>
              <w:pStyle w:val="TableText"/>
              <w:jc w:val="center"/>
              <w:rPr>
                <w:lang w:val="en-US"/>
              </w:rPr>
            </w:pPr>
            <w:r>
              <w:rPr>
                <w:lang w:val="en-US"/>
              </w:rPr>
              <w:t>1 yr</w:t>
            </w:r>
          </w:p>
        </w:tc>
        <w:tc>
          <w:tcPr>
            <w:tcW w:w="629" w:type="pct"/>
            <w:vAlign w:val="center"/>
          </w:tcPr>
          <w:p w14:paraId="1093AB53" w14:textId="73B17F8D" w:rsidR="00081642" w:rsidRPr="00CE28E3" w:rsidRDefault="00081642" w:rsidP="00081642">
            <w:pPr>
              <w:pStyle w:val="TableText"/>
              <w:jc w:val="center"/>
              <w:rPr>
                <w:lang w:val="en-US"/>
              </w:rPr>
            </w:pPr>
            <w:r w:rsidRPr="00A103DF">
              <w:t>3/174 (1.7)</w:t>
            </w:r>
          </w:p>
        </w:tc>
        <w:tc>
          <w:tcPr>
            <w:tcW w:w="629" w:type="pct"/>
            <w:vAlign w:val="center"/>
          </w:tcPr>
          <w:p w14:paraId="0C205404" w14:textId="7B772939" w:rsidR="00081642" w:rsidRPr="00CE28E3" w:rsidRDefault="00081642" w:rsidP="00081642">
            <w:pPr>
              <w:pStyle w:val="TableText"/>
              <w:jc w:val="center"/>
              <w:rPr>
                <w:lang w:val="en-US"/>
              </w:rPr>
            </w:pPr>
            <w:r w:rsidRPr="00A103DF">
              <w:t>10/174 (5.7)</w:t>
            </w:r>
          </w:p>
        </w:tc>
        <w:tc>
          <w:tcPr>
            <w:tcW w:w="865" w:type="pct"/>
            <w:shd w:val="clear" w:color="auto" w:fill="auto"/>
            <w:vAlign w:val="center"/>
          </w:tcPr>
          <w:p w14:paraId="4F43CE28" w14:textId="58270B53" w:rsidR="00081642" w:rsidRPr="00CE28E3" w:rsidRDefault="00081642" w:rsidP="009F709B">
            <w:pPr>
              <w:pStyle w:val="TableText"/>
              <w:jc w:val="center"/>
              <w:rPr>
                <w:lang w:val="en-US"/>
              </w:rPr>
            </w:pPr>
            <w:r w:rsidRPr="00081642">
              <w:rPr>
                <w:lang w:val="en-US"/>
              </w:rPr>
              <w:t>0.30 (0.08, 1.07)</w:t>
            </w:r>
            <w:r w:rsidR="009F709B">
              <w:rPr>
                <w:lang w:val="en-US"/>
              </w:rPr>
              <w:br/>
            </w:r>
            <w:r w:rsidRPr="00081642">
              <w:rPr>
                <w:lang w:val="en-US"/>
              </w:rPr>
              <w:t>p =0.06</w:t>
            </w:r>
          </w:p>
        </w:tc>
        <w:tc>
          <w:tcPr>
            <w:tcW w:w="834" w:type="pct"/>
            <w:shd w:val="clear" w:color="auto" w:fill="auto"/>
            <w:vAlign w:val="center"/>
          </w:tcPr>
          <w:p w14:paraId="7748B0EA" w14:textId="5141E99F" w:rsidR="00081642" w:rsidRPr="00CE28E3" w:rsidRDefault="007A29CA" w:rsidP="009F709B">
            <w:pPr>
              <w:pStyle w:val="TableText"/>
              <w:jc w:val="center"/>
              <w:rPr>
                <w:lang w:val="en-US"/>
              </w:rPr>
            </w:pPr>
            <w:r w:rsidRPr="007A29CA">
              <w:rPr>
                <w:lang w:val="en-US"/>
              </w:rPr>
              <w:t>-0.04 (-0.08, -0.00)</w:t>
            </w:r>
            <w:r w:rsidR="009F709B">
              <w:rPr>
                <w:lang w:val="en-US"/>
              </w:rPr>
              <w:br/>
            </w:r>
            <w:r w:rsidRPr="007A29CA">
              <w:rPr>
                <w:lang w:val="en-US"/>
              </w:rPr>
              <w:t>p = 0.05</w:t>
            </w:r>
          </w:p>
        </w:tc>
      </w:tr>
      <w:tr w:rsidR="00081642" w:rsidRPr="00CE28E3" w14:paraId="31F07345" w14:textId="77777777" w:rsidTr="00F22D6E">
        <w:trPr>
          <w:cantSplit/>
        </w:trPr>
        <w:tc>
          <w:tcPr>
            <w:tcW w:w="862" w:type="pct"/>
            <w:shd w:val="clear" w:color="auto" w:fill="auto"/>
            <w:vAlign w:val="center"/>
          </w:tcPr>
          <w:p w14:paraId="3FDCA8BF" w14:textId="09C36FD0" w:rsidR="00081642" w:rsidRPr="00CE28E3" w:rsidRDefault="00081642" w:rsidP="00081642">
            <w:pPr>
              <w:pStyle w:val="TableText"/>
              <w:rPr>
                <w:lang w:val="en-US"/>
              </w:rPr>
            </w:pPr>
            <w:r>
              <w:rPr>
                <w:lang w:val="en-US"/>
              </w:rPr>
              <w:t>Tan 2015</w:t>
            </w:r>
            <w:r w:rsidR="00C44178">
              <w:rPr>
                <w:lang w:val="en-US"/>
              </w:rPr>
              <w:t xml:space="preserve"> </w:t>
            </w:r>
            <w:r w:rsidR="00C44178">
              <w:rPr>
                <w:lang w:val="en-US"/>
              </w:rPr>
              <w:br/>
            </w:r>
            <w:r w:rsidR="00C44178" w:rsidRPr="00C44178">
              <w:rPr>
                <w:i/>
                <w:iCs/>
                <w:lang w:val="en-US"/>
              </w:rPr>
              <w:t>Cardi</w:t>
            </w:r>
            <w:r w:rsidR="00C44178">
              <w:rPr>
                <w:i/>
                <w:iCs/>
                <w:lang w:val="en-US"/>
              </w:rPr>
              <w:t>ovascular</w:t>
            </w:r>
            <w:r w:rsidR="00C44178" w:rsidRPr="00C44178">
              <w:rPr>
                <w:i/>
                <w:iCs/>
                <w:lang w:val="en-US"/>
              </w:rPr>
              <w:t xml:space="preserve"> mortality</w:t>
            </w:r>
          </w:p>
        </w:tc>
        <w:tc>
          <w:tcPr>
            <w:tcW w:w="707" w:type="pct"/>
            <w:vAlign w:val="center"/>
          </w:tcPr>
          <w:p w14:paraId="68DB706C" w14:textId="77777777" w:rsidR="00B657F7" w:rsidRPr="002C1697" w:rsidRDefault="00B657F7" w:rsidP="00B657F7">
            <w:pPr>
              <w:spacing w:before="40"/>
              <w:jc w:val="center"/>
              <w:rPr>
                <w:rFonts w:ascii="Cambria Math" w:hAnsi="Cambria Math" w:cs="Cambria Math"/>
                <w:color w:val="C00000"/>
              </w:rPr>
            </w:pPr>
            <w:r w:rsidRPr="002C1697">
              <w:rPr>
                <w:rFonts w:ascii="Cambria Math" w:hAnsi="Cambria Math"/>
                <w:color w:val="00B050"/>
              </w:rPr>
              <w:t>⨁</w:t>
            </w:r>
            <w:r w:rsidRPr="002C1697">
              <w:rPr>
                <w:rFonts w:ascii="Cambria Math" w:hAnsi="Cambria Math" w:cs="Cambria Math"/>
                <w:color w:val="C00000"/>
              </w:rPr>
              <w:t>⨀⨀⨀</w:t>
            </w:r>
          </w:p>
          <w:p w14:paraId="0F42825A" w14:textId="3DBB05F9" w:rsidR="00081642" w:rsidRPr="004578AA" w:rsidRDefault="00B657F7" w:rsidP="00B657F7">
            <w:pPr>
              <w:pStyle w:val="TableText"/>
              <w:jc w:val="center"/>
              <w:rPr>
                <w:lang w:val="en-US"/>
              </w:rPr>
            </w:pPr>
            <w:r w:rsidRPr="004578AA">
              <w:rPr>
                <w:rStyle w:val="CommentaryemphasisTablesmid-paragraph"/>
                <w:color w:val="auto"/>
              </w:rPr>
              <w:t>Very low</w:t>
            </w:r>
          </w:p>
        </w:tc>
        <w:tc>
          <w:tcPr>
            <w:tcW w:w="474" w:type="pct"/>
            <w:vAlign w:val="center"/>
          </w:tcPr>
          <w:p w14:paraId="058F7DCE" w14:textId="77777777" w:rsidR="00081642" w:rsidRPr="00CE28E3" w:rsidRDefault="00081642" w:rsidP="00081642">
            <w:pPr>
              <w:pStyle w:val="TableText"/>
              <w:jc w:val="center"/>
              <w:rPr>
                <w:lang w:val="en-US"/>
              </w:rPr>
            </w:pPr>
            <w:r>
              <w:rPr>
                <w:lang w:val="en-US"/>
              </w:rPr>
              <w:t>2 yrs</w:t>
            </w:r>
          </w:p>
        </w:tc>
        <w:tc>
          <w:tcPr>
            <w:tcW w:w="629" w:type="pct"/>
            <w:vAlign w:val="center"/>
          </w:tcPr>
          <w:p w14:paraId="6CDA09C5" w14:textId="25756A37" w:rsidR="00081642" w:rsidRPr="00CE28E3" w:rsidRDefault="00081642" w:rsidP="00081642">
            <w:pPr>
              <w:pStyle w:val="TableText"/>
              <w:jc w:val="center"/>
              <w:rPr>
                <w:lang w:val="en-US"/>
              </w:rPr>
            </w:pPr>
            <w:r w:rsidRPr="00A103DF">
              <w:t>2/61 (3.3)</w:t>
            </w:r>
          </w:p>
        </w:tc>
        <w:tc>
          <w:tcPr>
            <w:tcW w:w="629" w:type="pct"/>
            <w:vAlign w:val="center"/>
          </w:tcPr>
          <w:p w14:paraId="03B5C4C7" w14:textId="24789939" w:rsidR="00081642" w:rsidRPr="00CE28E3" w:rsidRDefault="00081642" w:rsidP="00081642">
            <w:pPr>
              <w:pStyle w:val="TableText"/>
              <w:jc w:val="center"/>
              <w:rPr>
                <w:lang w:val="en-US"/>
              </w:rPr>
            </w:pPr>
            <w:r w:rsidRPr="00A103DF">
              <w:t>3/62 (4.8)</w:t>
            </w:r>
          </w:p>
        </w:tc>
        <w:tc>
          <w:tcPr>
            <w:tcW w:w="865" w:type="pct"/>
            <w:shd w:val="clear" w:color="auto" w:fill="auto"/>
            <w:vAlign w:val="center"/>
          </w:tcPr>
          <w:p w14:paraId="6F4AC3A8" w14:textId="74779900" w:rsidR="00081642" w:rsidRPr="00CE28E3" w:rsidRDefault="007A29CA" w:rsidP="009F709B">
            <w:pPr>
              <w:pStyle w:val="TableText"/>
              <w:jc w:val="center"/>
              <w:rPr>
                <w:lang w:val="en-US"/>
              </w:rPr>
            </w:pPr>
            <w:r w:rsidRPr="007A29CA">
              <w:rPr>
                <w:lang w:val="en-US"/>
              </w:rPr>
              <w:t>0.68 (0.12, 3.91)</w:t>
            </w:r>
            <w:r w:rsidR="009F709B">
              <w:rPr>
                <w:lang w:val="en-US"/>
              </w:rPr>
              <w:br/>
            </w:r>
            <w:r w:rsidRPr="007A29CA">
              <w:rPr>
                <w:lang w:val="en-US"/>
              </w:rPr>
              <w:t>p = 0.68</w:t>
            </w:r>
          </w:p>
        </w:tc>
        <w:tc>
          <w:tcPr>
            <w:tcW w:w="834" w:type="pct"/>
            <w:shd w:val="clear" w:color="auto" w:fill="auto"/>
            <w:vAlign w:val="center"/>
          </w:tcPr>
          <w:p w14:paraId="2240FB2B" w14:textId="41310312" w:rsidR="00081642" w:rsidRPr="00CE28E3" w:rsidRDefault="007A29CA" w:rsidP="009F709B">
            <w:pPr>
              <w:pStyle w:val="TableText"/>
              <w:jc w:val="center"/>
              <w:rPr>
                <w:lang w:val="en-US"/>
              </w:rPr>
            </w:pPr>
            <w:r w:rsidRPr="007A29CA">
              <w:rPr>
                <w:lang w:val="en-US"/>
              </w:rPr>
              <w:t>-0.02 (-0.09, 0.05)</w:t>
            </w:r>
            <w:r w:rsidR="009F709B">
              <w:rPr>
                <w:lang w:val="en-US"/>
              </w:rPr>
              <w:br/>
            </w:r>
            <w:r w:rsidRPr="007A29CA">
              <w:rPr>
                <w:lang w:val="en-US"/>
              </w:rPr>
              <w:t>p = 0.45</w:t>
            </w:r>
          </w:p>
        </w:tc>
      </w:tr>
    </w:tbl>
    <w:p w14:paraId="7082DEF4" w14:textId="77777777" w:rsidR="001D2CA6" w:rsidRDefault="001D2CA6" w:rsidP="00731CB3">
      <w:pPr>
        <w:pStyle w:val="TableFigureFooter"/>
        <w:spacing w:before="60" w:after="0"/>
      </w:pPr>
      <w:r>
        <w:t>CI = confidence interval; HR = hazard ratio; IVUS = intravascular ultrasound; N = number randomised; PCI = percutaneous coronary intervention; RR = risk ratio; RD = risk difference.</w:t>
      </w:r>
    </w:p>
    <w:p w14:paraId="67B01C04" w14:textId="7049F3C2" w:rsidR="001D2CA6" w:rsidRDefault="001D2CA6" w:rsidP="001D2CA6">
      <w:pPr>
        <w:pStyle w:val="TableFigureFooter"/>
        <w:spacing w:before="0" w:after="0"/>
      </w:pPr>
      <w:r>
        <w:t xml:space="preserve">Note: </w:t>
      </w:r>
      <w:r w:rsidR="005F1C7D">
        <w:t xml:space="preserve">Data are shown for the ITT population. </w:t>
      </w:r>
      <w:r>
        <w:t>Statistically significant differences are shown in bold.</w:t>
      </w:r>
    </w:p>
    <w:p w14:paraId="52CDEB38" w14:textId="52CFAA4D" w:rsidR="004578AA" w:rsidRDefault="004578AA" w:rsidP="001D2CA6">
      <w:pPr>
        <w:pStyle w:val="TableFigureFooter"/>
        <w:spacing w:before="0" w:after="0"/>
      </w:pPr>
      <w:r>
        <w:t>** Quality has been downgraded in all cases by assessment group.</w:t>
      </w:r>
    </w:p>
    <w:p w14:paraId="71159199" w14:textId="23A15238" w:rsidR="00F22D6E" w:rsidRDefault="00F22D6E" w:rsidP="00F22D6E">
      <w:pPr>
        <w:pStyle w:val="TableFigureFooter"/>
        <w:spacing w:before="0"/>
      </w:pPr>
      <w:r>
        <w:t>^ Meta-analysis was not appropriate because of different populations (Tan 2015 enrolled elderly patients) and durations of follow-up.</w:t>
      </w:r>
    </w:p>
    <w:p w14:paraId="1024DBEB" w14:textId="6BEEDC8C" w:rsidR="00F22D6E" w:rsidRDefault="00F22D6E" w:rsidP="00F22D6E">
      <w:pPr>
        <w:pStyle w:val="Heading3"/>
      </w:pPr>
      <w:r>
        <w:t>Myocardial infarction</w:t>
      </w:r>
    </w:p>
    <w:p w14:paraId="5F30389B" w14:textId="7937BA50" w:rsidR="001D5425" w:rsidRDefault="00DD57EE" w:rsidP="00F22D6E">
      <w:r>
        <w:t>Different definitions of MI were used across the trials</w:t>
      </w:r>
      <w:r w:rsidR="008C6FCE">
        <w:t xml:space="preserve">, as shown in </w:t>
      </w:r>
      <w:r w:rsidR="008C6FCE">
        <w:fldChar w:fldCharType="begin"/>
      </w:r>
      <w:r w:rsidR="008C6FCE">
        <w:instrText xml:space="preserve"> REF _Ref89180171 \h </w:instrText>
      </w:r>
      <w:r w:rsidR="008C6FCE">
        <w:fldChar w:fldCharType="separate"/>
      </w:r>
      <w:r w:rsidR="00F03488" w:rsidRPr="00CE28E3">
        <w:t>Table</w:t>
      </w:r>
      <w:r w:rsidR="00F03488">
        <w:t> </w:t>
      </w:r>
      <w:r w:rsidR="00F03488">
        <w:rPr>
          <w:noProof/>
        </w:rPr>
        <w:t>9</w:t>
      </w:r>
      <w:r w:rsidR="008C6FCE">
        <w:fldChar w:fldCharType="end"/>
      </w:r>
      <w:r>
        <w:t>. Of note, Tan 2015 only reported non-fatal MIs.</w:t>
      </w:r>
    </w:p>
    <w:p w14:paraId="665AA84E" w14:textId="582D5C06" w:rsidR="00F22D6E" w:rsidRDefault="00DD57EE" w:rsidP="00F22D6E">
      <w:r>
        <w:t>Although</w:t>
      </w:r>
      <w:r w:rsidR="00F22D6E">
        <w:t xml:space="preserve"> rates of MI were numerically lower in </w:t>
      </w:r>
      <w:r>
        <w:t>the</w:t>
      </w:r>
      <w:r w:rsidR="00F22D6E">
        <w:t xml:space="preserve"> IVUS-guided </w:t>
      </w:r>
      <w:r>
        <w:t>arms of each trial</w:t>
      </w:r>
      <w:r w:rsidR="00F22D6E">
        <w:t xml:space="preserve">, differences </w:t>
      </w:r>
      <w:r w:rsidR="008C6FCE">
        <w:t xml:space="preserve">between arms </w:t>
      </w:r>
      <w:r w:rsidR="00F22D6E">
        <w:t>did not reach statistical significance.</w:t>
      </w:r>
    </w:p>
    <w:p w14:paraId="5D661FEA" w14:textId="5F4DDE84" w:rsidR="009F709B" w:rsidRPr="00D72C6E" w:rsidRDefault="009F709B" w:rsidP="00CF21B6">
      <w:pPr>
        <w:pStyle w:val="Caption"/>
        <w:rPr>
          <w:sz w:val="16"/>
          <w:szCs w:val="16"/>
        </w:rPr>
      </w:pPr>
      <w:bookmarkStart w:id="33" w:name="_Ref89180171"/>
      <w:r w:rsidRPr="00CE28E3">
        <w:lastRenderedPageBreak/>
        <w:t>Table</w:t>
      </w:r>
      <w:r>
        <w:t> </w:t>
      </w:r>
      <w:fldSimple w:instr=" SEQ Table \* ARABIC ">
        <w:r w:rsidR="00F03488">
          <w:rPr>
            <w:noProof/>
          </w:rPr>
          <w:t>9</w:t>
        </w:r>
      </w:fldSimple>
      <w:bookmarkEnd w:id="33"/>
      <w:r w:rsidRPr="00CE28E3">
        <w:tab/>
      </w:r>
      <w:r>
        <w:t>Myocardial infarction</w:t>
      </w:r>
    </w:p>
    <w:tbl>
      <w:tblPr>
        <w:tblStyle w:val="TableGrid1"/>
        <w:tblW w:w="5000" w:type="pct"/>
        <w:tblLayout w:type="fixed"/>
        <w:tblCellMar>
          <w:left w:w="28" w:type="dxa"/>
          <w:right w:w="28" w:type="dxa"/>
        </w:tblCellMar>
        <w:tblLook w:val="04A0" w:firstRow="1" w:lastRow="0" w:firstColumn="1" w:lastColumn="0" w:noHBand="0" w:noVBand="1"/>
        <w:tblDescription w:val="Myocardial infarction data"/>
      </w:tblPr>
      <w:tblGrid>
        <w:gridCol w:w="1554"/>
        <w:gridCol w:w="1275"/>
        <w:gridCol w:w="855"/>
        <w:gridCol w:w="1134"/>
        <w:gridCol w:w="1134"/>
        <w:gridCol w:w="1560"/>
        <w:gridCol w:w="1504"/>
      </w:tblGrid>
      <w:tr w:rsidR="009F709B" w:rsidRPr="00CE28E3" w14:paraId="4F85E808" w14:textId="77777777" w:rsidTr="0009246B">
        <w:trPr>
          <w:cnfStyle w:val="100000000000" w:firstRow="1" w:lastRow="0" w:firstColumn="0" w:lastColumn="0" w:oddVBand="0" w:evenVBand="0" w:oddHBand="0" w:evenHBand="0" w:firstRowFirstColumn="0" w:firstRowLastColumn="0" w:lastRowFirstColumn="0" w:lastRowLastColumn="0"/>
          <w:cantSplit/>
          <w:tblHeader/>
        </w:trPr>
        <w:tc>
          <w:tcPr>
            <w:tcW w:w="862" w:type="pct"/>
            <w:tcBorders>
              <w:bottom w:val="single" w:sz="4" w:space="0" w:color="auto"/>
            </w:tcBorders>
            <w:shd w:val="clear" w:color="auto" w:fill="auto"/>
            <w:vAlign w:val="center"/>
          </w:tcPr>
          <w:p w14:paraId="31E3478C" w14:textId="30460680" w:rsidR="009F709B" w:rsidRPr="00CE28E3" w:rsidRDefault="009F709B" w:rsidP="0091213E">
            <w:pPr>
              <w:pStyle w:val="In-tableHeading"/>
            </w:pPr>
            <w:r>
              <w:t>Trial ID</w:t>
            </w:r>
            <w:r w:rsidR="00C44178">
              <w:br/>
            </w:r>
            <w:r w:rsidR="00C44178" w:rsidRPr="00C44178">
              <w:rPr>
                <w:i/>
                <w:iCs/>
              </w:rPr>
              <w:t>Outcome definition</w:t>
            </w:r>
          </w:p>
        </w:tc>
        <w:tc>
          <w:tcPr>
            <w:tcW w:w="707" w:type="pct"/>
            <w:tcBorders>
              <w:bottom w:val="single" w:sz="4" w:space="0" w:color="auto"/>
            </w:tcBorders>
            <w:vAlign w:val="center"/>
          </w:tcPr>
          <w:p w14:paraId="773CA324" w14:textId="4D485820" w:rsidR="009F709B" w:rsidRDefault="004578AA">
            <w:pPr>
              <w:pStyle w:val="In-tableHeading"/>
              <w:jc w:val="center"/>
            </w:pPr>
            <w:r>
              <w:t>Quality**</w:t>
            </w:r>
          </w:p>
        </w:tc>
        <w:tc>
          <w:tcPr>
            <w:tcW w:w="474" w:type="pct"/>
            <w:tcBorders>
              <w:bottom w:val="single" w:sz="4" w:space="0" w:color="auto"/>
            </w:tcBorders>
            <w:vAlign w:val="center"/>
          </w:tcPr>
          <w:p w14:paraId="6C4BA1BF" w14:textId="77777777" w:rsidR="009F709B" w:rsidRDefault="009F709B">
            <w:pPr>
              <w:pStyle w:val="In-tableHeading"/>
              <w:jc w:val="center"/>
            </w:pPr>
            <w:r>
              <w:t>Timepoint</w:t>
            </w:r>
          </w:p>
        </w:tc>
        <w:tc>
          <w:tcPr>
            <w:tcW w:w="629" w:type="pct"/>
            <w:tcBorders>
              <w:bottom w:val="single" w:sz="4" w:space="0" w:color="auto"/>
            </w:tcBorders>
            <w:vAlign w:val="center"/>
          </w:tcPr>
          <w:p w14:paraId="2C891E64" w14:textId="77777777" w:rsidR="009F709B" w:rsidRDefault="009F709B">
            <w:pPr>
              <w:pStyle w:val="In-tableHeading"/>
              <w:jc w:val="center"/>
            </w:pPr>
            <w:r>
              <w:t>IVUS-guided PCI</w:t>
            </w:r>
            <w:r>
              <w:br/>
              <w:t>n/N (%)</w:t>
            </w:r>
          </w:p>
        </w:tc>
        <w:tc>
          <w:tcPr>
            <w:tcW w:w="629" w:type="pct"/>
            <w:tcBorders>
              <w:bottom w:val="single" w:sz="4" w:space="0" w:color="auto"/>
            </w:tcBorders>
            <w:vAlign w:val="center"/>
          </w:tcPr>
          <w:p w14:paraId="235F9B80" w14:textId="77777777" w:rsidR="009F709B" w:rsidRDefault="009F709B">
            <w:pPr>
              <w:pStyle w:val="In-tableHeading"/>
              <w:jc w:val="center"/>
            </w:pPr>
            <w:r>
              <w:t>Angiography-guided PCI</w:t>
            </w:r>
            <w:r>
              <w:br/>
              <w:t>n/N (%)</w:t>
            </w:r>
          </w:p>
        </w:tc>
        <w:tc>
          <w:tcPr>
            <w:tcW w:w="865" w:type="pct"/>
            <w:tcBorders>
              <w:bottom w:val="single" w:sz="4" w:space="0" w:color="auto"/>
            </w:tcBorders>
            <w:shd w:val="clear" w:color="auto" w:fill="auto"/>
            <w:vAlign w:val="center"/>
          </w:tcPr>
          <w:p w14:paraId="25DD47AE" w14:textId="77777777" w:rsidR="009F709B" w:rsidRPr="00CE28E3" w:rsidRDefault="009F709B">
            <w:pPr>
              <w:pStyle w:val="In-tableHeading"/>
              <w:jc w:val="center"/>
            </w:pPr>
            <w:r>
              <w:t>RR (95% CI)</w:t>
            </w:r>
            <w:r>
              <w:br/>
              <w:t>p-value</w:t>
            </w:r>
          </w:p>
        </w:tc>
        <w:tc>
          <w:tcPr>
            <w:tcW w:w="834" w:type="pct"/>
            <w:shd w:val="clear" w:color="auto" w:fill="auto"/>
            <w:vAlign w:val="center"/>
          </w:tcPr>
          <w:p w14:paraId="3513B14F" w14:textId="77777777" w:rsidR="009F709B" w:rsidRPr="00CE28E3" w:rsidRDefault="009F709B">
            <w:pPr>
              <w:pStyle w:val="In-tableHeading"/>
              <w:jc w:val="center"/>
            </w:pPr>
            <w:r>
              <w:t>RD (95% CI)</w:t>
            </w:r>
            <w:r>
              <w:br/>
              <w:t>p-value</w:t>
            </w:r>
          </w:p>
        </w:tc>
      </w:tr>
      <w:tr w:rsidR="009F709B" w:rsidRPr="00CE28E3" w14:paraId="10B0DFC2" w14:textId="77777777" w:rsidTr="0009246B">
        <w:trPr>
          <w:cantSplit/>
        </w:trPr>
        <w:tc>
          <w:tcPr>
            <w:tcW w:w="862" w:type="pct"/>
            <w:tcBorders>
              <w:bottom w:val="single" w:sz="4" w:space="0" w:color="auto"/>
              <w:right w:val="nil"/>
            </w:tcBorders>
            <w:shd w:val="clear" w:color="auto" w:fill="auto"/>
            <w:vAlign w:val="center"/>
          </w:tcPr>
          <w:p w14:paraId="5F236DEB" w14:textId="77777777" w:rsidR="009F709B" w:rsidRPr="000D33E6" w:rsidRDefault="009F709B" w:rsidP="003C76DB">
            <w:pPr>
              <w:pStyle w:val="TableText"/>
              <w:keepNext/>
              <w:rPr>
                <w:b/>
                <w:bCs/>
                <w:lang w:val="en-US"/>
              </w:rPr>
            </w:pPr>
            <w:r w:rsidRPr="000D33E6">
              <w:rPr>
                <w:b/>
                <w:bCs/>
                <w:lang w:val="en-US"/>
              </w:rPr>
              <w:t>All-comers</w:t>
            </w:r>
          </w:p>
        </w:tc>
        <w:tc>
          <w:tcPr>
            <w:tcW w:w="707" w:type="pct"/>
            <w:tcBorders>
              <w:left w:val="nil"/>
              <w:bottom w:val="single" w:sz="4" w:space="0" w:color="auto"/>
              <w:right w:val="nil"/>
            </w:tcBorders>
            <w:vAlign w:val="center"/>
          </w:tcPr>
          <w:p w14:paraId="6D3CC99A" w14:textId="77777777" w:rsidR="009F709B" w:rsidRPr="000D33E6" w:rsidRDefault="009F709B" w:rsidP="003C76DB">
            <w:pPr>
              <w:pStyle w:val="TableText"/>
              <w:keepNext/>
              <w:jc w:val="center"/>
              <w:rPr>
                <w:b/>
                <w:bCs/>
                <w:lang w:val="en-US"/>
              </w:rPr>
            </w:pPr>
          </w:p>
        </w:tc>
        <w:tc>
          <w:tcPr>
            <w:tcW w:w="474" w:type="pct"/>
            <w:tcBorders>
              <w:left w:val="nil"/>
              <w:bottom w:val="single" w:sz="4" w:space="0" w:color="auto"/>
              <w:right w:val="nil"/>
            </w:tcBorders>
            <w:vAlign w:val="center"/>
          </w:tcPr>
          <w:p w14:paraId="500F151A" w14:textId="77777777" w:rsidR="009F709B" w:rsidRPr="000D33E6" w:rsidRDefault="009F709B" w:rsidP="003C76DB">
            <w:pPr>
              <w:pStyle w:val="TableText"/>
              <w:keepNext/>
              <w:jc w:val="center"/>
              <w:rPr>
                <w:b/>
                <w:bCs/>
                <w:lang w:val="en-US"/>
              </w:rPr>
            </w:pPr>
          </w:p>
        </w:tc>
        <w:tc>
          <w:tcPr>
            <w:tcW w:w="629" w:type="pct"/>
            <w:tcBorders>
              <w:left w:val="nil"/>
              <w:bottom w:val="single" w:sz="4" w:space="0" w:color="auto"/>
              <w:right w:val="nil"/>
            </w:tcBorders>
            <w:vAlign w:val="center"/>
          </w:tcPr>
          <w:p w14:paraId="6DA95F88" w14:textId="77777777" w:rsidR="009F709B" w:rsidRPr="000D33E6" w:rsidRDefault="009F709B" w:rsidP="003C76DB">
            <w:pPr>
              <w:pStyle w:val="TableText"/>
              <w:keepNext/>
              <w:jc w:val="center"/>
              <w:rPr>
                <w:b/>
                <w:bCs/>
                <w:lang w:val="en-US"/>
              </w:rPr>
            </w:pPr>
          </w:p>
        </w:tc>
        <w:tc>
          <w:tcPr>
            <w:tcW w:w="629" w:type="pct"/>
            <w:tcBorders>
              <w:left w:val="nil"/>
              <w:bottom w:val="single" w:sz="4" w:space="0" w:color="auto"/>
              <w:right w:val="nil"/>
            </w:tcBorders>
            <w:vAlign w:val="center"/>
          </w:tcPr>
          <w:p w14:paraId="15C2E37D" w14:textId="77777777" w:rsidR="009F709B" w:rsidRPr="000D33E6" w:rsidRDefault="009F709B" w:rsidP="003C76DB">
            <w:pPr>
              <w:pStyle w:val="TableText"/>
              <w:keepNext/>
              <w:jc w:val="center"/>
              <w:rPr>
                <w:b/>
                <w:bCs/>
                <w:lang w:val="en-US"/>
              </w:rPr>
            </w:pPr>
          </w:p>
        </w:tc>
        <w:tc>
          <w:tcPr>
            <w:tcW w:w="865" w:type="pct"/>
            <w:tcBorders>
              <w:left w:val="nil"/>
              <w:bottom w:val="single" w:sz="4" w:space="0" w:color="auto"/>
              <w:right w:val="nil"/>
            </w:tcBorders>
            <w:shd w:val="clear" w:color="auto" w:fill="auto"/>
            <w:vAlign w:val="center"/>
          </w:tcPr>
          <w:p w14:paraId="709DE848" w14:textId="77777777" w:rsidR="009F709B" w:rsidRPr="000D33E6" w:rsidRDefault="009F709B" w:rsidP="003C76DB">
            <w:pPr>
              <w:pStyle w:val="TableText"/>
              <w:keepNext/>
              <w:jc w:val="center"/>
              <w:rPr>
                <w:b/>
                <w:bCs/>
                <w:lang w:val="en-US"/>
              </w:rPr>
            </w:pPr>
          </w:p>
        </w:tc>
        <w:tc>
          <w:tcPr>
            <w:tcW w:w="834" w:type="pct"/>
            <w:tcBorders>
              <w:left w:val="nil"/>
              <w:bottom w:val="single" w:sz="4" w:space="0" w:color="auto"/>
            </w:tcBorders>
            <w:shd w:val="clear" w:color="auto" w:fill="auto"/>
            <w:vAlign w:val="center"/>
          </w:tcPr>
          <w:p w14:paraId="74E502FF" w14:textId="77777777" w:rsidR="009F709B" w:rsidRPr="000D33E6" w:rsidRDefault="009F709B" w:rsidP="003C76DB">
            <w:pPr>
              <w:pStyle w:val="TableText"/>
              <w:keepNext/>
              <w:jc w:val="center"/>
              <w:rPr>
                <w:b/>
                <w:bCs/>
                <w:lang w:val="en-US"/>
              </w:rPr>
            </w:pPr>
          </w:p>
        </w:tc>
      </w:tr>
      <w:tr w:rsidR="009F709B" w:rsidRPr="00CE28E3" w14:paraId="421F2F29" w14:textId="77777777" w:rsidTr="001D5425">
        <w:trPr>
          <w:cantSplit/>
        </w:trPr>
        <w:tc>
          <w:tcPr>
            <w:tcW w:w="862" w:type="pct"/>
            <w:tcBorders>
              <w:bottom w:val="nil"/>
            </w:tcBorders>
            <w:shd w:val="clear" w:color="auto" w:fill="auto"/>
            <w:vAlign w:val="center"/>
          </w:tcPr>
          <w:p w14:paraId="6C84D756" w14:textId="77777777" w:rsidR="009F709B" w:rsidRPr="00685DF6" w:rsidRDefault="009F709B" w:rsidP="003C76DB">
            <w:pPr>
              <w:pStyle w:val="TableText"/>
              <w:keepNext/>
              <w:rPr>
                <w:lang w:val="en-US"/>
              </w:rPr>
            </w:pPr>
            <w:r>
              <w:rPr>
                <w:lang w:val="en-US"/>
              </w:rPr>
              <w:t>ULTIMATE</w:t>
            </w:r>
          </w:p>
        </w:tc>
        <w:tc>
          <w:tcPr>
            <w:tcW w:w="707" w:type="pct"/>
            <w:tcBorders>
              <w:bottom w:val="nil"/>
            </w:tcBorders>
            <w:vAlign w:val="center"/>
          </w:tcPr>
          <w:p w14:paraId="45C06DA4" w14:textId="77777777" w:rsidR="004578AA" w:rsidRDefault="004578AA" w:rsidP="003C76DB">
            <w:pPr>
              <w:keepNext/>
              <w:spacing w:before="40"/>
              <w:jc w:val="center"/>
              <w:rPr>
                <w:rFonts w:ascii="Cambria Math" w:hAnsi="Cambria Math" w:cs="Cambria Math"/>
                <w:color w:val="C00000"/>
              </w:rPr>
            </w:pPr>
            <w:r w:rsidRPr="002C1697">
              <w:rPr>
                <w:rFonts w:ascii="Cambria Math" w:hAnsi="Cambria Math"/>
                <w:color w:val="00B050"/>
              </w:rPr>
              <w:t>⨁⨁⨁</w:t>
            </w:r>
            <w:r w:rsidRPr="002C1697">
              <w:rPr>
                <w:rFonts w:ascii="Cambria Math" w:hAnsi="Cambria Math" w:cs="Cambria Math"/>
                <w:color w:val="C00000"/>
              </w:rPr>
              <w:t>⨀</w:t>
            </w:r>
          </w:p>
          <w:p w14:paraId="3F45F17B" w14:textId="6B6996B8" w:rsidR="009F709B" w:rsidRPr="004578AA" w:rsidRDefault="004578AA" w:rsidP="003C76DB">
            <w:pPr>
              <w:pStyle w:val="TableText"/>
              <w:keepNext/>
              <w:jc w:val="center"/>
              <w:rPr>
                <w:lang w:val="en-US"/>
              </w:rPr>
            </w:pPr>
            <w:r w:rsidRPr="004578AA">
              <w:rPr>
                <w:sz w:val="18"/>
                <w:szCs w:val="18"/>
              </w:rPr>
              <w:t>Moderate</w:t>
            </w:r>
          </w:p>
        </w:tc>
        <w:tc>
          <w:tcPr>
            <w:tcW w:w="474" w:type="pct"/>
            <w:tcBorders>
              <w:bottom w:val="dotted" w:sz="4" w:space="0" w:color="auto"/>
            </w:tcBorders>
            <w:vAlign w:val="center"/>
          </w:tcPr>
          <w:p w14:paraId="794DE39B" w14:textId="77777777" w:rsidR="009F709B" w:rsidRPr="00CE28E3" w:rsidRDefault="009F709B" w:rsidP="003C76DB">
            <w:pPr>
              <w:pStyle w:val="TableText"/>
              <w:keepNext/>
              <w:jc w:val="center"/>
              <w:rPr>
                <w:lang w:val="en-US"/>
              </w:rPr>
            </w:pPr>
            <w:r>
              <w:rPr>
                <w:lang w:val="en-US"/>
              </w:rPr>
              <w:t>1 yr</w:t>
            </w:r>
          </w:p>
        </w:tc>
        <w:tc>
          <w:tcPr>
            <w:tcW w:w="629" w:type="pct"/>
            <w:tcBorders>
              <w:bottom w:val="dotted" w:sz="4" w:space="0" w:color="auto"/>
            </w:tcBorders>
            <w:vAlign w:val="center"/>
          </w:tcPr>
          <w:p w14:paraId="3C21AF0A" w14:textId="43A96951" w:rsidR="009F709B" w:rsidRPr="00CE28E3" w:rsidRDefault="009F709B" w:rsidP="003C76DB">
            <w:pPr>
              <w:pStyle w:val="TableText"/>
              <w:keepNext/>
              <w:jc w:val="center"/>
              <w:rPr>
                <w:lang w:val="en-US"/>
              </w:rPr>
            </w:pPr>
            <w:r w:rsidRPr="004D1BB6">
              <w:t>7/724 (1)</w:t>
            </w:r>
          </w:p>
        </w:tc>
        <w:tc>
          <w:tcPr>
            <w:tcW w:w="629" w:type="pct"/>
            <w:tcBorders>
              <w:bottom w:val="dotted" w:sz="4" w:space="0" w:color="auto"/>
            </w:tcBorders>
            <w:vAlign w:val="center"/>
          </w:tcPr>
          <w:p w14:paraId="7344E4AD" w14:textId="553A1D2B" w:rsidR="009F709B" w:rsidRPr="00CE28E3" w:rsidRDefault="009F709B" w:rsidP="003C76DB">
            <w:pPr>
              <w:pStyle w:val="TableText"/>
              <w:keepNext/>
              <w:jc w:val="center"/>
              <w:rPr>
                <w:lang w:val="en-US"/>
              </w:rPr>
            </w:pPr>
            <w:r w:rsidRPr="004D1BB6">
              <w:t>11/724 (1.5)</w:t>
            </w:r>
          </w:p>
        </w:tc>
        <w:tc>
          <w:tcPr>
            <w:tcW w:w="865" w:type="pct"/>
            <w:tcBorders>
              <w:bottom w:val="dotted" w:sz="4" w:space="0" w:color="auto"/>
            </w:tcBorders>
            <w:shd w:val="clear" w:color="auto" w:fill="auto"/>
            <w:vAlign w:val="center"/>
          </w:tcPr>
          <w:p w14:paraId="38338866" w14:textId="407CB092" w:rsidR="009F709B" w:rsidRPr="00CE28E3" w:rsidRDefault="009F709B" w:rsidP="003C76DB">
            <w:pPr>
              <w:pStyle w:val="TableText"/>
              <w:keepNext/>
              <w:jc w:val="center"/>
              <w:rPr>
                <w:lang w:val="en-US"/>
              </w:rPr>
            </w:pPr>
            <w:r w:rsidRPr="009F709B">
              <w:rPr>
                <w:lang w:val="en-US"/>
              </w:rPr>
              <w:t>0.64 (0.25, 1.63)</w:t>
            </w:r>
            <w:r>
              <w:rPr>
                <w:lang w:val="en-US"/>
              </w:rPr>
              <w:br/>
            </w:r>
            <w:r w:rsidRPr="009F709B">
              <w:rPr>
                <w:lang w:val="en-US"/>
              </w:rPr>
              <w:t>p = 0.35</w:t>
            </w:r>
          </w:p>
        </w:tc>
        <w:tc>
          <w:tcPr>
            <w:tcW w:w="834" w:type="pct"/>
            <w:tcBorders>
              <w:bottom w:val="dotted" w:sz="4" w:space="0" w:color="auto"/>
            </w:tcBorders>
            <w:shd w:val="clear" w:color="auto" w:fill="auto"/>
            <w:vAlign w:val="center"/>
          </w:tcPr>
          <w:p w14:paraId="459361E4" w14:textId="33E6C7C7" w:rsidR="009F709B" w:rsidRPr="00CE28E3" w:rsidRDefault="009F709B" w:rsidP="003C76DB">
            <w:pPr>
              <w:pStyle w:val="TableText"/>
              <w:keepNext/>
              <w:jc w:val="center"/>
              <w:rPr>
                <w:lang w:val="en-US"/>
              </w:rPr>
            </w:pPr>
            <w:r w:rsidRPr="009F709B">
              <w:rPr>
                <w:lang w:val="en-US"/>
              </w:rPr>
              <w:t>-0.01 (-0.02, 0.01)</w:t>
            </w:r>
            <w:r>
              <w:rPr>
                <w:lang w:val="en-US"/>
              </w:rPr>
              <w:br/>
            </w:r>
            <w:r w:rsidRPr="009F709B">
              <w:rPr>
                <w:lang w:val="en-US"/>
              </w:rPr>
              <w:t>p = 0.34</w:t>
            </w:r>
          </w:p>
        </w:tc>
      </w:tr>
      <w:tr w:rsidR="009F709B" w:rsidRPr="00CE28E3" w14:paraId="04E861EB" w14:textId="77777777" w:rsidTr="001D5425">
        <w:trPr>
          <w:cantSplit/>
        </w:trPr>
        <w:tc>
          <w:tcPr>
            <w:tcW w:w="862" w:type="pct"/>
            <w:tcBorders>
              <w:top w:val="nil"/>
              <w:bottom w:val="nil"/>
            </w:tcBorders>
            <w:shd w:val="clear" w:color="auto" w:fill="auto"/>
            <w:vAlign w:val="center"/>
          </w:tcPr>
          <w:p w14:paraId="41610EBD" w14:textId="367A3834" w:rsidR="009F709B" w:rsidRPr="001939FD" w:rsidRDefault="001939FD" w:rsidP="003C76DB">
            <w:pPr>
              <w:pStyle w:val="TableText"/>
              <w:keepNext/>
              <w:rPr>
                <w:i/>
                <w:iCs/>
                <w:lang w:val="en-US"/>
              </w:rPr>
            </w:pPr>
            <w:r w:rsidRPr="001939FD">
              <w:rPr>
                <w:i/>
                <w:iCs/>
                <w:lang w:val="en-US"/>
              </w:rPr>
              <w:t>Clinically driven target vessel MI</w:t>
            </w:r>
          </w:p>
        </w:tc>
        <w:tc>
          <w:tcPr>
            <w:tcW w:w="707" w:type="pct"/>
            <w:tcBorders>
              <w:top w:val="nil"/>
              <w:bottom w:val="nil"/>
            </w:tcBorders>
            <w:vAlign w:val="center"/>
          </w:tcPr>
          <w:p w14:paraId="437F3024" w14:textId="77777777" w:rsidR="009F709B" w:rsidRDefault="009F709B" w:rsidP="003C76DB">
            <w:pPr>
              <w:pStyle w:val="TableText"/>
              <w:keepNext/>
              <w:jc w:val="center"/>
              <w:rPr>
                <w:lang w:val="en-US"/>
              </w:rPr>
            </w:pPr>
          </w:p>
        </w:tc>
        <w:tc>
          <w:tcPr>
            <w:tcW w:w="474" w:type="pct"/>
            <w:tcBorders>
              <w:top w:val="dotted" w:sz="4" w:space="0" w:color="auto"/>
              <w:bottom w:val="dotted" w:sz="4" w:space="0" w:color="auto"/>
            </w:tcBorders>
            <w:vAlign w:val="center"/>
          </w:tcPr>
          <w:p w14:paraId="0166B9DC" w14:textId="77777777" w:rsidR="009F709B" w:rsidRPr="00CE28E3" w:rsidRDefault="009F709B" w:rsidP="003C76DB">
            <w:pPr>
              <w:pStyle w:val="TableText"/>
              <w:keepNext/>
              <w:jc w:val="center"/>
              <w:rPr>
                <w:lang w:val="en-US"/>
              </w:rPr>
            </w:pPr>
            <w:r>
              <w:rPr>
                <w:lang w:val="en-US"/>
              </w:rPr>
              <w:t>2 yrs</w:t>
            </w:r>
          </w:p>
        </w:tc>
        <w:tc>
          <w:tcPr>
            <w:tcW w:w="629" w:type="pct"/>
            <w:tcBorders>
              <w:top w:val="dotted" w:sz="4" w:space="0" w:color="auto"/>
              <w:bottom w:val="dotted" w:sz="4" w:space="0" w:color="auto"/>
            </w:tcBorders>
            <w:vAlign w:val="center"/>
          </w:tcPr>
          <w:p w14:paraId="5CF4EC29" w14:textId="317DE52C" w:rsidR="009F709B" w:rsidRPr="00CE28E3" w:rsidRDefault="009F709B" w:rsidP="003C76DB">
            <w:pPr>
              <w:pStyle w:val="TableText"/>
              <w:keepNext/>
              <w:jc w:val="center"/>
              <w:rPr>
                <w:lang w:val="en-US"/>
              </w:rPr>
            </w:pPr>
            <w:r w:rsidRPr="004D1BB6">
              <w:t>7/724 (1)</w:t>
            </w:r>
          </w:p>
        </w:tc>
        <w:tc>
          <w:tcPr>
            <w:tcW w:w="629" w:type="pct"/>
            <w:tcBorders>
              <w:top w:val="dotted" w:sz="4" w:space="0" w:color="auto"/>
              <w:bottom w:val="dotted" w:sz="4" w:space="0" w:color="auto"/>
            </w:tcBorders>
            <w:vAlign w:val="center"/>
          </w:tcPr>
          <w:p w14:paraId="3B14C66D" w14:textId="45CD87B3" w:rsidR="009F709B" w:rsidRPr="00CE28E3" w:rsidRDefault="009F709B" w:rsidP="003C76DB">
            <w:pPr>
              <w:pStyle w:val="TableText"/>
              <w:keepNext/>
              <w:jc w:val="center"/>
              <w:rPr>
                <w:lang w:val="en-US"/>
              </w:rPr>
            </w:pPr>
            <w:r w:rsidRPr="004D1BB6">
              <w:t>14/724 (1.9)</w:t>
            </w:r>
          </w:p>
        </w:tc>
        <w:tc>
          <w:tcPr>
            <w:tcW w:w="865" w:type="pct"/>
            <w:tcBorders>
              <w:top w:val="dotted" w:sz="4" w:space="0" w:color="auto"/>
              <w:bottom w:val="dotted" w:sz="4" w:space="0" w:color="auto"/>
            </w:tcBorders>
            <w:shd w:val="clear" w:color="auto" w:fill="auto"/>
          </w:tcPr>
          <w:p w14:paraId="39DC49A4" w14:textId="25E7535D" w:rsidR="009F709B" w:rsidRPr="00CE28E3" w:rsidRDefault="009F709B" w:rsidP="003C76DB">
            <w:pPr>
              <w:pStyle w:val="TableText"/>
              <w:keepNext/>
              <w:jc w:val="center"/>
              <w:rPr>
                <w:lang w:val="en-US"/>
              </w:rPr>
            </w:pPr>
            <w:r w:rsidRPr="009F709B">
              <w:rPr>
                <w:lang w:val="en-US"/>
              </w:rPr>
              <w:t>0.5 (0.2, 1.23)</w:t>
            </w:r>
            <w:r>
              <w:rPr>
                <w:lang w:val="en-US"/>
              </w:rPr>
              <w:br/>
            </w:r>
            <w:r w:rsidRPr="009F709B">
              <w:rPr>
                <w:lang w:val="en-US"/>
              </w:rPr>
              <w:t>p = 0.13</w:t>
            </w:r>
          </w:p>
        </w:tc>
        <w:tc>
          <w:tcPr>
            <w:tcW w:w="834" w:type="pct"/>
            <w:tcBorders>
              <w:top w:val="dotted" w:sz="4" w:space="0" w:color="auto"/>
              <w:bottom w:val="dotted" w:sz="4" w:space="0" w:color="auto"/>
            </w:tcBorders>
            <w:shd w:val="clear" w:color="auto" w:fill="auto"/>
          </w:tcPr>
          <w:p w14:paraId="0B8192C6" w14:textId="6019827A" w:rsidR="009F709B" w:rsidRPr="001D2CA6" w:rsidRDefault="009F709B" w:rsidP="003C76DB">
            <w:pPr>
              <w:pStyle w:val="TableText"/>
              <w:keepNext/>
              <w:jc w:val="center"/>
              <w:rPr>
                <w:lang w:val="en-US"/>
              </w:rPr>
            </w:pPr>
            <w:r w:rsidRPr="009F709B">
              <w:rPr>
                <w:lang w:val="en-US"/>
              </w:rPr>
              <w:t>-0.01 (-0.02, 0.00)</w:t>
            </w:r>
            <w:r>
              <w:rPr>
                <w:lang w:val="en-US"/>
              </w:rPr>
              <w:br/>
            </w:r>
            <w:r w:rsidRPr="009F709B">
              <w:rPr>
                <w:lang w:val="en-US"/>
              </w:rPr>
              <w:t>p = 0.12</w:t>
            </w:r>
          </w:p>
        </w:tc>
      </w:tr>
      <w:tr w:rsidR="009F709B" w:rsidRPr="00CE28E3" w14:paraId="621BBCC9" w14:textId="77777777" w:rsidTr="001D5425">
        <w:trPr>
          <w:cantSplit/>
        </w:trPr>
        <w:tc>
          <w:tcPr>
            <w:tcW w:w="862" w:type="pct"/>
            <w:tcBorders>
              <w:top w:val="nil"/>
              <w:bottom w:val="single" w:sz="4" w:space="0" w:color="auto"/>
            </w:tcBorders>
            <w:shd w:val="clear" w:color="auto" w:fill="auto"/>
            <w:vAlign w:val="center"/>
          </w:tcPr>
          <w:p w14:paraId="62011962" w14:textId="77777777" w:rsidR="009F709B" w:rsidRDefault="009F709B" w:rsidP="009F709B">
            <w:pPr>
              <w:pStyle w:val="TableText"/>
              <w:rPr>
                <w:lang w:val="en-US"/>
              </w:rPr>
            </w:pPr>
          </w:p>
        </w:tc>
        <w:tc>
          <w:tcPr>
            <w:tcW w:w="707" w:type="pct"/>
            <w:tcBorders>
              <w:top w:val="nil"/>
              <w:bottom w:val="single" w:sz="4" w:space="0" w:color="auto"/>
            </w:tcBorders>
            <w:vAlign w:val="center"/>
          </w:tcPr>
          <w:p w14:paraId="5F37BA76" w14:textId="77777777" w:rsidR="009F709B" w:rsidRDefault="009F709B" w:rsidP="009F709B">
            <w:pPr>
              <w:pStyle w:val="TableText"/>
              <w:jc w:val="center"/>
              <w:rPr>
                <w:lang w:val="en-US"/>
              </w:rPr>
            </w:pPr>
          </w:p>
        </w:tc>
        <w:tc>
          <w:tcPr>
            <w:tcW w:w="474" w:type="pct"/>
            <w:tcBorders>
              <w:top w:val="dotted" w:sz="4" w:space="0" w:color="auto"/>
              <w:bottom w:val="single" w:sz="4" w:space="0" w:color="auto"/>
            </w:tcBorders>
            <w:vAlign w:val="center"/>
          </w:tcPr>
          <w:p w14:paraId="77F9365A" w14:textId="77777777" w:rsidR="009F709B" w:rsidRPr="00CE28E3" w:rsidRDefault="009F709B" w:rsidP="009F709B">
            <w:pPr>
              <w:pStyle w:val="TableText"/>
              <w:jc w:val="center"/>
              <w:rPr>
                <w:lang w:val="en-US"/>
              </w:rPr>
            </w:pPr>
            <w:r>
              <w:rPr>
                <w:lang w:val="en-US"/>
              </w:rPr>
              <w:t>3 yrs</w:t>
            </w:r>
          </w:p>
        </w:tc>
        <w:tc>
          <w:tcPr>
            <w:tcW w:w="629" w:type="pct"/>
            <w:tcBorders>
              <w:top w:val="dotted" w:sz="4" w:space="0" w:color="auto"/>
              <w:bottom w:val="single" w:sz="4" w:space="0" w:color="auto"/>
            </w:tcBorders>
            <w:vAlign w:val="center"/>
          </w:tcPr>
          <w:p w14:paraId="2EA713B5" w14:textId="78DBB923" w:rsidR="009F709B" w:rsidRPr="00CE28E3" w:rsidRDefault="009F709B" w:rsidP="001D5425">
            <w:pPr>
              <w:pStyle w:val="TableText"/>
              <w:jc w:val="center"/>
              <w:rPr>
                <w:lang w:val="en-US"/>
              </w:rPr>
            </w:pPr>
            <w:r w:rsidRPr="004D1BB6">
              <w:t>7/724 (1)</w:t>
            </w:r>
          </w:p>
        </w:tc>
        <w:tc>
          <w:tcPr>
            <w:tcW w:w="629" w:type="pct"/>
            <w:tcBorders>
              <w:top w:val="dotted" w:sz="4" w:space="0" w:color="auto"/>
              <w:bottom w:val="single" w:sz="4" w:space="0" w:color="auto"/>
            </w:tcBorders>
            <w:vAlign w:val="center"/>
          </w:tcPr>
          <w:p w14:paraId="5AABC7B7" w14:textId="205A6F20" w:rsidR="009F709B" w:rsidRPr="00CE28E3" w:rsidRDefault="009F709B" w:rsidP="001D5425">
            <w:pPr>
              <w:pStyle w:val="TableText"/>
              <w:jc w:val="center"/>
              <w:rPr>
                <w:lang w:val="en-US"/>
              </w:rPr>
            </w:pPr>
            <w:r w:rsidRPr="004D1BB6">
              <w:t>15/724 (2.1)</w:t>
            </w:r>
          </w:p>
        </w:tc>
        <w:tc>
          <w:tcPr>
            <w:tcW w:w="865" w:type="pct"/>
            <w:tcBorders>
              <w:top w:val="dotted" w:sz="4" w:space="0" w:color="auto"/>
              <w:bottom w:val="single" w:sz="4" w:space="0" w:color="auto"/>
            </w:tcBorders>
            <w:shd w:val="clear" w:color="auto" w:fill="auto"/>
          </w:tcPr>
          <w:p w14:paraId="71AEC884" w14:textId="4893B391" w:rsidR="009F709B" w:rsidRPr="00CE28E3" w:rsidRDefault="009F709B" w:rsidP="009F709B">
            <w:pPr>
              <w:pStyle w:val="TableText"/>
              <w:jc w:val="center"/>
              <w:rPr>
                <w:lang w:val="en-US"/>
              </w:rPr>
            </w:pPr>
            <w:r w:rsidRPr="009F709B">
              <w:rPr>
                <w:lang w:val="en-US"/>
              </w:rPr>
              <w:t>0.47 (0.19, 1.14)</w:t>
            </w:r>
            <w:r>
              <w:rPr>
                <w:lang w:val="en-US"/>
              </w:rPr>
              <w:br/>
            </w:r>
            <w:r w:rsidRPr="009F709B">
              <w:rPr>
                <w:lang w:val="en-US"/>
              </w:rPr>
              <w:t>p = 0.09</w:t>
            </w:r>
          </w:p>
        </w:tc>
        <w:tc>
          <w:tcPr>
            <w:tcW w:w="834" w:type="pct"/>
            <w:tcBorders>
              <w:top w:val="dotted" w:sz="4" w:space="0" w:color="auto"/>
            </w:tcBorders>
            <w:shd w:val="clear" w:color="auto" w:fill="auto"/>
          </w:tcPr>
          <w:p w14:paraId="546C8449" w14:textId="57C957FF" w:rsidR="009F709B" w:rsidRPr="001D2CA6" w:rsidRDefault="009F709B" w:rsidP="009F709B">
            <w:pPr>
              <w:pStyle w:val="TableText"/>
              <w:jc w:val="center"/>
              <w:rPr>
                <w:lang w:val="en-US"/>
              </w:rPr>
            </w:pPr>
            <w:r w:rsidRPr="009F709B">
              <w:rPr>
                <w:lang w:val="en-US"/>
              </w:rPr>
              <w:t>-0.01 (-0.02, 0.00)</w:t>
            </w:r>
            <w:r>
              <w:rPr>
                <w:lang w:val="en-US"/>
              </w:rPr>
              <w:br/>
            </w:r>
            <w:r w:rsidRPr="009F709B">
              <w:rPr>
                <w:lang w:val="en-US"/>
              </w:rPr>
              <w:t>p = 0.09</w:t>
            </w:r>
          </w:p>
        </w:tc>
      </w:tr>
      <w:tr w:rsidR="009F709B" w:rsidRPr="00CE28E3" w14:paraId="4ABEAC6B" w14:textId="77777777" w:rsidTr="0009246B">
        <w:trPr>
          <w:cantSplit/>
        </w:trPr>
        <w:tc>
          <w:tcPr>
            <w:tcW w:w="862" w:type="pct"/>
            <w:tcBorders>
              <w:bottom w:val="single" w:sz="4" w:space="0" w:color="auto"/>
              <w:right w:val="nil"/>
            </w:tcBorders>
            <w:shd w:val="clear" w:color="auto" w:fill="auto"/>
            <w:vAlign w:val="center"/>
          </w:tcPr>
          <w:p w14:paraId="5D2643CF" w14:textId="77777777" w:rsidR="009F709B" w:rsidRPr="000D33E6" w:rsidRDefault="009F709B" w:rsidP="0009246B">
            <w:pPr>
              <w:pStyle w:val="TableText"/>
              <w:rPr>
                <w:b/>
                <w:bCs/>
                <w:lang w:val="en-US"/>
              </w:rPr>
            </w:pPr>
            <w:r w:rsidRPr="000D33E6">
              <w:rPr>
                <w:b/>
                <w:bCs/>
                <w:lang w:val="en-US"/>
              </w:rPr>
              <w:t>Long lesions</w:t>
            </w:r>
          </w:p>
        </w:tc>
        <w:tc>
          <w:tcPr>
            <w:tcW w:w="707" w:type="pct"/>
            <w:tcBorders>
              <w:left w:val="nil"/>
              <w:bottom w:val="single" w:sz="4" w:space="0" w:color="auto"/>
              <w:right w:val="nil"/>
            </w:tcBorders>
            <w:vAlign w:val="center"/>
          </w:tcPr>
          <w:p w14:paraId="20043F68" w14:textId="77777777" w:rsidR="009F709B" w:rsidRPr="000D33E6" w:rsidRDefault="009F709B" w:rsidP="0009246B">
            <w:pPr>
              <w:pStyle w:val="TableText"/>
              <w:jc w:val="center"/>
              <w:rPr>
                <w:b/>
                <w:bCs/>
                <w:lang w:val="en-US"/>
              </w:rPr>
            </w:pPr>
          </w:p>
        </w:tc>
        <w:tc>
          <w:tcPr>
            <w:tcW w:w="474" w:type="pct"/>
            <w:tcBorders>
              <w:left w:val="nil"/>
              <w:bottom w:val="single" w:sz="4" w:space="0" w:color="auto"/>
              <w:right w:val="nil"/>
            </w:tcBorders>
            <w:vAlign w:val="center"/>
          </w:tcPr>
          <w:p w14:paraId="5E013F23" w14:textId="77777777" w:rsidR="009F709B" w:rsidRPr="000D33E6" w:rsidRDefault="009F709B" w:rsidP="0009246B">
            <w:pPr>
              <w:pStyle w:val="TableText"/>
              <w:jc w:val="center"/>
              <w:rPr>
                <w:b/>
                <w:bCs/>
                <w:lang w:val="en-US"/>
              </w:rPr>
            </w:pPr>
          </w:p>
        </w:tc>
        <w:tc>
          <w:tcPr>
            <w:tcW w:w="629" w:type="pct"/>
            <w:tcBorders>
              <w:left w:val="nil"/>
              <w:bottom w:val="single" w:sz="4" w:space="0" w:color="auto"/>
              <w:right w:val="nil"/>
            </w:tcBorders>
            <w:vAlign w:val="center"/>
          </w:tcPr>
          <w:p w14:paraId="70E0110E" w14:textId="77777777" w:rsidR="009F709B" w:rsidRPr="000D33E6" w:rsidRDefault="009F709B" w:rsidP="0009246B">
            <w:pPr>
              <w:pStyle w:val="TableText"/>
              <w:jc w:val="center"/>
              <w:rPr>
                <w:b/>
                <w:bCs/>
                <w:lang w:val="en-US"/>
              </w:rPr>
            </w:pPr>
          </w:p>
        </w:tc>
        <w:tc>
          <w:tcPr>
            <w:tcW w:w="629" w:type="pct"/>
            <w:tcBorders>
              <w:left w:val="nil"/>
              <w:bottom w:val="single" w:sz="4" w:space="0" w:color="auto"/>
              <w:right w:val="nil"/>
            </w:tcBorders>
            <w:vAlign w:val="center"/>
          </w:tcPr>
          <w:p w14:paraId="5EFB4324" w14:textId="77777777" w:rsidR="009F709B" w:rsidRPr="000D33E6" w:rsidRDefault="009F709B" w:rsidP="0009246B">
            <w:pPr>
              <w:pStyle w:val="TableText"/>
              <w:jc w:val="center"/>
              <w:rPr>
                <w:b/>
                <w:bCs/>
                <w:lang w:val="en-US"/>
              </w:rPr>
            </w:pPr>
          </w:p>
        </w:tc>
        <w:tc>
          <w:tcPr>
            <w:tcW w:w="865" w:type="pct"/>
            <w:tcBorders>
              <w:left w:val="nil"/>
              <w:bottom w:val="single" w:sz="4" w:space="0" w:color="auto"/>
              <w:right w:val="nil"/>
            </w:tcBorders>
            <w:shd w:val="clear" w:color="auto" w:fill="auto"/>
            <w:vAlign w:val="center"/>
          </w:tcPr>
          <w:p w14:paraId="684B9C0F" w14:textId="77777777" w:rsidR="009F709B" w:rsidRPr="000D33E6" w:rsidRDefault="009F709B" w:rsidP="0009246B">
            <w:pPr>
              <w:pStyle w:val="TableText"/>
              <w:jc w:val="center"/>
              <w:rPr>
                <w:b/>
                <w:bCs/>
                <w:lang w:val="en-US"/>
              </w:rPr>
            </w:pPr>
          </w:p>
        </w:tc>
        <w:tc>
          <w:tcPr>
            <w:tcW w:w="834" w:type="pct"/>
            <w:tcBorders>
              <w:left w:val="nil"/>
              <w:bottom w:val="single" w:sz="4" w:space="0" w:color="auto"/>
            </w:tcBorders>
            <w:shd w:val="clear" w:color="auto" w:fill="auto"/>
            <w:vAlign w:val="center"/>
          </w:tcPr>
          <w:p w14:paraId="37AEDF70" w14:textId="77777777" w:rsidR="009F709B" w:rsidRPr="000D33E6" w:rsidRDefault="009F709B" w:rsidP="0009246B">
            <w:pPr>
              <w:pStyle w:val="TableText"/>
              <w:jc w:val="center"/>
              <w:rPr>
                <w:b/>
                <w:bCs/>
                <w:lang w:val="en-US"/>
              </w:rPr>
            </w:pPr>
          </w:p>
        </w:tc>
      </w:tr>
      <w:tr w:rsidR="0042707F" w:rsidRPr="00CE28E3" w14:paraId="5B9050EC" w14:textId="77777777" w:rsidTr="0042707F">
        <w:trPr>
          <w:cantSplit/>
        </w:trPr>
        <w:tc>
          <w:tcPr>
            <w:tcW w:w="862" w:type="pct"/>
            <w:tcBorders>
              <w:bottom w:val="nil"/>
            </w:tcBorders>
            <w:shd w:val="clear" w:color="auto" w:fill="auto"/>
            <w:vAlign w:val="center"/>
          </w:tcPr>
          <w:p w14:paraId="0FE971D2" w14:textId="77777777" w:rsidR="0042707F" w:rsidRPr="000859C7" w:rsidRDefault="0042707F" w:rsidP="0042707F">
            <w:pPr>
              <w:pStyle w:val="TableText"/>
              <w:rPr>
                <w:lang w:val="en-US"/>
              </w:rPr>
            </w:pPr>
            <w:r w:rsidRPr="000859C7">
              <w:rPr>
                <w:lang w:val="en-US"/>
              </w:rPr>
              <w:t>IVUS-XPL</w:t>
            </w:r>
          </w:p>
        </w:tc>
        <w:tc>
          <w:tcPr>
            <w:tcW w:w="707" w:type="pct"/>
            <w:tcBorders>
              <w:bottom w:val="nil"/>
            </w:tcBorders>
            <w:vAlign w:val="center"/>
          </w:tcPr>
          <w:p w14:paraId="09C03CD1" w14:textId="4CC7FB8B" w:rsidR="0042707F" w:rsidRDefault="004578AA" w:rsidP="0042707F">
            <w:pPr>
              <w:pStyle w:val="TableText"/>
              <w:jc w:val="center"/>
              <w:rPr>
                <w:lang w:val="en-US"/>
              </w:rPr>
            </w:pPr>
            <w:r w:rsidRPr="002C1697">
              <w:rPr>
                <w:rFonts w:ascii="Cambria Math" w:hAnsi="Cambria Math"/>
                <w:color w:val="00B050"/>
              </w:rPr>
              <w:t>⨁⨁</w:t>
            </w:r>
            <w:r w:rsidRPr="002C1697">
              <w:rPr>
                <w:rFonts w:ascii="Cambria Math" w:hAnsi="Cambria Math" w:cs="Cambria Math"/>
                <w:color w:val="C00000"/>
              </w:rPr>
              <w:t>⨀⨀</w:t>
            </w:r>
            <w:r>
              <w:rPr>
                <w:rFonts w:ascii="Cambria Math" w:hAnsi="Cambria Math" w:cs="Cambria Math"/>
                <w:color w:val="C00000"/>
              </w:rPr>
              <w:br/>
            </w:r>
            <w:r w:rsidRPr="004578AA">
              <w:rPr>
                <w:rStyle w:val="CommentaryemphasisTablesmid-paragraph"/>
                <w:color w:val="auto"/>
              </w:rPr>
              <w:t>Low</w:t>
            </w:r>
          </w:p>
        </w:tc>
        <w:tc>
          <w:tcPr>
            <w:tcW w:w="474" w:type="pct"/>
            <w:tcBorders>
              <w:bottom w:val="dotted" w:sz="4" w:space="0" w:color="auto"/>
            </w:tcBorders>
            <w:vAlign w:val="center"/>
          </w:tcPr>
          <w:p w14:paraId="2EE9C1E5" w14:textId="77777777" w:rsidR="0042707F" w:rsidRPr="00CE28E3" w:rsidRDefault="0042707F" w:rsidP="0042707F">
            <w:pPr>
              <w:pStyle w:val="TableText"/>
              <w:jc w:val="center"/>
              <w:rPr>
                <w:lang w:val="en-US"/>
              </w:rPr>
            </w:pPr>
            <w:r>
              <w:rPr>
                <w:lang w:val="en-US"/>
              </w:rPr>
              <w:t>1 yr</w:t>
            </w:r>
          </w:p>
        </w:tc>
        <w:tc>
          <w:tcPr>
            <w:tcW w:w="629" w:type="pct"/>
            <w:tcBorders>
              <w:bottom w:val="dotted" w:sz="4" w:space="0" w:color="auto"/>
            </w:tcBorders>
            <w:vAlign w:val="center"/>
          </w:tcPr>
          <w:p w14:paraId="58C028DC" w14:textId="123EFC0D" w:rsidR="0042707F" w:rsidRPr="00CE28E3" w:rsidRDefault="0042707F" w:rsidP="0042707F">
            <w:pPr>
              <w:pStyle w:val="TableText"/>
              <w:jc w:val="center"/>
              <w:rPr>
                <w:lang w:val="en-US"/>
              </w:rPr>
            </w:pPr>
            <w:r w:rsidRPr="00A616F5">
              <w:t>0/700 (0)</w:t>
            </w:r>
          </w:p>
        </w:tc>
        <w:tc>
          <w:tcPr>
            <w:tcW w:w="629" w:type="pct"/>
            <w:tcBorders>
              <w:bottom w:val="dotted" w:sz="4" w:space="0" w:color="auto"/>
            </w:tcBorders>
            <w:vAlign w:val="center"/>
          </w:tcPr>
          <w:p w14:paraId="5EEC6260" w14:textId="155841DD" w:rsidR="0042707F" w:rsidRPr="00CE28E3" w:rsidRDefault="0042707F" w:rsidP="0042707F">
            <w:pPr>
              <w:pStyle w:val="TableText"/>
              <w:jc w:val="center"/>
              <w:rPr>
                <w:lang w:val="en-US"/>
              </w:rPr>
            </w:pPr>
            <w:r w:rsidRPr="00A616F5">
              <w:t>1/700 (0.1)</w:t>
            </w:r>
          </w:p>
        </w:tc>
        <w:tc>
          <w:tcPr>
            <w:tcW w:w="865" w:type="pct"/>
            <w:tcBorders>
              <w:bottom w:val="dotted" w:sz="4" w:space="0" w:color="auto"/>
            </w:tcBorders>
            <w:shd w:val="clear" w:color="auto" w:fill="auto"/>
            <w:vAlign w:val="center"/>
          </w:tcPr>
          <w:p w14:paraId="2CCA8F68" w14:textId="4E8764B7" w:rsidR="0042707F" w:rsidRPr="00CE28E3" w:rsidRDefault="0042707F" w:rsidP="0042707F">
            <w:pPr>
              <w:pStyle w:val="TableText"/>
              <w:jc w:val="center"/>
              <w:rPr>
                <w:lang w:val="en-US"/>
              </w:rPr>
            </w:pPr>
            <w:r w:rsidRPr="0042707F">
              <w:rPr>
                <w:lang w:val="en-US"/>
              </w:rPr>
              <w:t>0.33 (0.01, 8.17)</w:t>
            </w:r>
            <w:r>
              <w:rPr>
                <w:lang w:val="en-US"/>
              </w:rPr>
              <w:br/>
            </w:r>
            <w:r w:rsidRPr="0042707F">
              <w:rPr>
                <w:lang w:val="en-US"/>
              </w:rPr>
              <w:t>p = 0.50</w:t>
            </w:r>
          </w:p>
        </w:tc>
        <w:tc>
          <w:tcPr>
            <w:tcW w:w="834" w:type="pct"/>
            <w:tcBorders>
              <w:bottom w:val="dotted" w:sz="4" w:space="0" w:color="auto"/>
            </w:tcBorders>
            <w:shd w:val="clear" w:color="auto" w:fill="auto"/>
            <w:vAlign w:val="center"/>
          </w:tcPr>
          <w:p w14:paraId="1387CB56" w14:textId="25AE9A8A" w:rsidR="0042707F" w:rsidRPr="00CE28E3" w:rsidRDefault="0042707F" w:rsidP="0042707F">
            <w:pPr>
              <w:pStyle w:val="TableText"/>
              <w:jc w:val="center"/>
              <w:rPr>
                <w:lang w:val="en-US"/>
              </w:rPr>
            </w:pPr>
            <w:r w:rsidRPr="0042707F">
              <w:rPr>
                <w:lang w:val="en-US"/>
              </w:rPr>
              <w:t>-0.00 (-0.01, 0.00)</w:t>
            </w:r>
            <w:r>
              <w:rPr>
                <w:lang w:val="en-US"/>
              </w:rPr>
              <w:br/>
            </w:r>
            <w:r w:rsidRPr="0042707F">
              <w:rPr>
                <w:lang w:val="en-US"/>
              </w:rPr>
              <w:t>p = 0.48</w:t>
            </w:r>
          </w:p>
        </w:tc>
      </w:tr>
      <w:tr w:rsidR="0042707F" w:rsidRPr="00CE28E3" w14:paraId="4B149716" w14:textId="77777777" w:rsidTr="0042707F">
        <w:trPr>
          <w:cantSplit/>
        </w:trPr>
        <w:tc>
          <w:tcPr>
            <w:tcW w:w="862" w:type="pct"/>
            <w:tcBorders>
              <w:top w:val="nil"/>
            </w:tcBorders>
            <w:shd w:val="clear" w:color="auto" w:fill="auto"/>
            <w:vAlign w:val="center"/>
          </w:tcPr>
          <w:p w14:paraId="4A7D4DCB" w14:textId="0C7D1EF5" w:rsidR="0042707F" w:rsidRPr="001939FD" w:rsidRDefault="0042707F" w:rsidP="0042707F">
            <w:pPr>
              <w:pStyle w:val="TableText"/>
              <w:rPr>
                <w:i/>
                <w:iCs/>
                <w:lang w:val="en-US"/>
              </w:rPr>
            </w:pPr>
            <w:r w:rsidRPr="001939FD">
              <w:rPr>
                <w:i/>
                <w:iCs/>
                <w:lang w:val="en-US"/>
              </w:rPr>
              <w:t>Target lesion related MI</w:t>
            </w:r>
          </w:p>
        </w:tc>
        <w:tc>
          <w:tcPr>
            <w:tcW w:w="707" w:type="pct"/>
            <w:tcBorders>
              <w:top w:val="nil"/>
            </w:tcBorders>
            <w:vAlign w:val="center"/>
          </w:tcPr>
          <w:p w14:paraId="441E3957" w14:textId="77777777" w:rsidR="0042707F" w:rsidRDefault="0042707F" w:rsidP="0042707F">
            <w:pPr>
              <w:pStyle w:val="TableText"/>
              <w:jc w:val="center"/>
              <w:rPr>
                <w:lang w:val="en-US"/>
              </w:rPr>
            </w:pPr>
          </w:p>
        </w:tc>
        <w:tc>
          <w:tcPr>
            <w:tcW w:w="474" w:type="pct"/>
            <w:tcBorders>
              <w:top w:val="dotted" w:sz="4" w:space="0" w:color="auto"/>
            </w:tcBorders>
            <w:vAlign w:val="center"/>
          </w:tcPr>
          <w:p w14:paraId="568A9B37" w14:textId="77777777" w:rsidR="0042707F" w:rsidRPr="00CE28E3" w:rsidRDefault="0042707F" w:rsidP="0042707F">
            <w:pPr>
              <w:pStyle w:val="TableText"/>
              <w:jc w:val="center"/>
              <w:rPr>
                <w:lang w:val="en-US"/>
              </w:rPr>
            </w:pPr>
            <w:r>
              <w:rPr>
                <w:lang w:val="en-US"/>
              </w:rPr>
              <w:t>5 yrs</w:t>
            </w:r>
          </w:p>
        </w:tc>
        <w:tc>
          <w:tcPr>
            <w:tcW w:w="629" w:type="pct"/>
            <w:tcBorders>
              <w:top w:val="dotted" w:sz="4" w:space="0" w:color="auto"/>
            </w:tcBorders>
            <w:vAlign w:val="center"/>
          </w:tcPr>
          <w:p w14:paraId="1E717A4E" w14:textId="75E3652B" w:rsidR="0042707F" w:rsidRPr="00CE28E3" w:rsidRDefault="0042707F" w:rsidP="0042707F">
            <w:pPr>
              <w:pStyle w:val="TableText"/>
              <w:jc w:val="center"/>
              <w:rPr>
                <w:lang w:val="en-US"/>
              </w:rPr>
            </w:pPr>
            <w:r w:rsidRPr="00A616F5">
              <w:t>4/700 (0.6)</w:t>
            </w:r>
          </w:p>
        </w:tc>
        <w:tc>
          <w:tcPr>
            <w:tcW w:w="629" w:type="pct"/>
            <w:tcBorders>
              <w:top w:val="dotted" w:sz="4" w:space="0" w:color="auto"/>
            </w:tcBorders>
            <w:vAlign w:val="center"/>
          </w:tcPr>
          <w:p w14:paraId="026DB657" w14:textId="2FAD1111" w:rsidR="0042707F" w:rsidRPr="00CE28E3" w:rsidRDefault="0042707F" w:rsidP="0042707F">
            <w:pPr>
              <w:pStyle w:val="TableText"/>
              <w:jc w:val="center"/>
              <w:rPr>
                <w:lang w:val="en-US"/>
              </w:rPr>
            </w:pPr>
            <w:r w:rsidRPr="00A616F5">
              <w:t>6/700 (0.9)</w:t>
            </w:r>
          </w:p>
        </w:tc>
        <w:tc>
          <w:tcPr>
            <w:tcW w:w="865" w:type="pct"/>
            <w:tcBorders>
              <w:top w:val="dotted" w:sz="4" w:space="0" w:color="auto"/>
            </w:tcBorders>
            <w:shd w:val="clear" w:color="auto" w:fill="auto"/>
            <w:vAlign w:val="center"/>
          </w:tcPr>
          <w:p w14:paraId="774FC26C" w14:textId="10E46B00" w:rsidR="0042707F" w:rsidRPr="00CE28E3" w:rsidRDefault="0042707F" w:rsidP="0042707F">
            <w:pPr>
              <w:pStyle w:val="TableText"/>
              <w:jc w:val="center"/>
              <w:rPr>
                <w:lang w:val="en-US"/>
              </w:rPr>
            </w:pPr>
            <w:r w:rsidRPr="0042707F">
              <w:rPr>
                <w:lang w:val="en-US"/>
              </w:rPr>
              <w:t>0.67 (0.19, 2.35)</w:t>
            </w:r>
            <w:r>
              <w:rPr>
                <w:lang w:val="en-US"/>
              </w:rPr>
              <w:br/>
            </w:r>
            <w:r w:rsidRPr="0042707F">
              <w:rPr>
                <w:lang w:val="en-US"/>
              </w:rPr>
              <w:t>p = 0.53</w:t>
            </w:r>
          </w:p>
        </w:tc>
        <w:tc>
          <w:tcPr>
            <w:tcW w:w="834" w:type="pct"/>
            <w:tcBorders>
              <w:top w:val="dotted" w:sz="4" w:space="0" w:color="auto"/>
            </w:tcBorders>
            <w:shd w:val="clear" w:color="auto" w:fill="auto"/>
            <w:vAlign w:val="center"/>
          </w:tcPr>
          <w:p w14:paraId="13E4C98B" w14:textId="04A8B948" w:rsidR="0042707F" w:rsidRPr="00CE28E3" w:rsidRDefault="0042707F" w:rsidP="0042707F">
            <w:pPr>
              <w:pStyle w:val="TableText"/>
              <w:jc w:val="center"/>
              <w:rPr>
                <w:lang w:val="en-US"/>
              </w:rPr>
            </w:pPr>
            <w:r w:rsidRPr="0042707F">
              <w:rPr>
                <w:lang w:val="en-US"/>
              </w:rPr>
              <w:t>-0.00 (-0.01, 0.01)</w:t>
            </w:r>
            <w:r>
              <w:rPr>
                <w:lang w:val="en-US"/>
              </w:rPr>
              <w:br/>
            </w:r>
            <w:r w:rsidRPr="0042707F">
              <w:rPr>
                <w:lang w:val="en-US"/>
              </w:rPr>
              <w:t>p = 0.53</w:t>
            </w:r>
          </w:p>
        </w:tc>
      </w:tr>
      <w:tr w:rsidR="0042707F" w:rsidRPr="00CE28E3" w14:paraId="1999ED9C" w14:textId="77777777" w:rsidTr="0042707F">
        <w:trPr>
          <w:cantSplit/>
        </w:trPr>
        <w:tc>
          <w:tcPr>
            <w:tcW w:w="862" w:type="pct"/>
            <w:tcBorders>
              <w:bottom w:val="single" w:sz="4" w:space="0" w:color="auto"/>
            </w:tcBorders>
            <w:shd w:val="clear" w:color="auto" w:fill="auto"/>
            <w:vAlign w:val="center"/>
          </w:tcPr>
          <w:p w14:paraId="6FF50CAB" w14:textId="742CC0BA" w:rsidR="0042707F" w:rsidRPr="00C07319" w:rsidRDefault="0042707F" w:rsidP="0042707F">
            <w:pPr>
              <w:pStyle w:val="TableText"/>
              <w:rPr>
                <w:lang w:val="en-US"/>
              </w:rPr>
            </w:pPr>
            <w:r>
              <w:rPr>
                <w:lang w:val="en-US"/>
              </w:rPr>
              <w:t>RESET</w:t>
            </w:r>
            <w:r>
              <w:rPr>
                <w:lang w:val="en-US"/>
              </w:rPr>
              <w:br/>
            </w:r>
            <w:r w:rsidRPr="001939FD">
              <w:rPr>
                <w:i/>
                <w:iCs/>
                <w:lang w:val="en-US"/>
              </w:rPr>
              <w:t>MI</w:t>
            </w:r>
          </w:p>
        </w:tc>
        <w:tc>
          <w:tcPr>
            <w:tcW w:w="707" w:type="pct"/>
            <w:tcBorders>
              <w:bottom w:val="single" w:sz="4" w:space="0" w:color="auto"/>
            </w:tcBorders>
            <w:vAlign w:val="center"/>
          </w:tcPr>
          <w:p w14:paraId="26F3E89E" w14:textId="2F09D026" w:rsidR="0042707F" w:rsidRDefault="004578AA" w:rsidP="0042707F">
            <w:pPr>
              <w:pStyle w:val="TableText"/>
              <w:jc w:val="center"/>
              <w:rPr>
                <w:lang w:val="en-US"/>
              </w:rPr>
            </w:pPr>
            <w:r w:rsidRPr="002C1697">
              <w:rPr>
                <w:rFonts w:ascii="Cambria Math" w:hAnsi="Cambria Math"/>
                <w:color w:val="00B050"/>
              </w:rPr>
              <w:t>⨁⨁</w:t>
            </w:r>
            <w:r w:rsidRPr="002C1697">
              <w:rPr>
                <w:rFonts w:ascii="Cambria Math" w:hAnsi="Cambria Math" w:cs="Cambria Math"/>
                <w:color w:val="C00000"/>
              </w:rPr>
              <w:t>⨀⨀</w:t>
            </w:r>
            <w:r>
              <w:rPr>
                <w:rFonts w:ascii="Cambria Math" w:hAnsi="Cambria Math" w:cs="Cambria Math"/>
                <w:color w:val="C00000"/>
              </w:rPr>
              <w:br/>
            </w:r>
            <w:r w:rsidRPr="004578AA">
              <w:rPr>
                <w:rStyle w:val="CommentaryemphasisTablesmid-paragraph"/>
                <w:color w:val="auto"/>
              </w:rPr>
              <w:t>Low</w:t>
            </w:r>
          </w:p>
        </w:tc>
        <w:tc>
          <w:tcPr>
            <w:tcW w:w="474" w:type="pct"/>
            <w:tcBorders>
              <w:bottom w:val="single" w:sz="4" w:space="0" w:color="auto"/>
            </w:tcBorders>
            <w:vAlign w:val="center"/>
          </w:tcPr>
          <w:p w14:paraId="762FCFD5" w14:textId="77777777" w:rsidR="0042707F" w:rsidRPr="00CE28E3" w:rsidRDefault="0042707F" w:rsidP="0042707F">
            <w:pPr>
              <w:pStyle w:val="TableText"/>
              <w:jc w:val="center"/>
              <w:rPr>
                <w:lang w:val="en-US"/>
              </w:rPr>
            </w:pPr>
            <w:r>
              <w:rPr>
                <w:lang w:val="en-US"/>
              </w:rPr>
              <w:t>1 yr</w:t>
            </w:r>
          </w:p>
        </w:tc>
        <w:tc>
          <w:tcPr>
            <w:tcW w:w="629" w:type="pct"/>
            <w:tcBorders>
              <w:bottom w:val="single" w:sz="4" w:space="0" w:color="auto"/>
            </w:tcBorders>
            <w:vAlign w:val="center"/>
          </w:tcPr>
          <w:p w14:paraId="234527CD" w14:textId="1D748920" w:rsidR="0042707F" w:rsidRPr="00CE28E3" w:rsidRDefault="0042707F" w:rsidP="0042707F">
            <w:pPr>
              <w:pStyle w:val="TableText"/>
              <w:jc w:val="center"/>
              <w:rPr>
                <w:lang w:val="en-US"/>
              </w:rPr>
            </w:pPr>
            <w:r w:rsidRPr="00A616F5">
              <w:t>0/269 (0)</w:t>
            </w:r>
          </w:p>
        </w:tc>
        <w:tc>
          <w:tcPr>
            <w:tcW w:w="629" w:type="pct"/>
            <w:tcBorders>
              <w:bottom w:val="single" w:sz="4" w:space="0" w:color="auto"/>
            </w:tcBorders>
            <w:vAlign w:val="center"/>
          </w:tcPr>
          <w:p w14:paraId="2F149C0B" w14:textId="1ABD6333" w:rsidR="0042707F" w:rsidRPr="00CE28E3" w:rsidRDefault="0042707F" w:rsidP="0042707F">
            <w:pPr>
              <w:pStyle w:val="TableText"/>
              <w:jc w:val="center"/>
              <w:rPr>
                <w:lang w:val="en-US"/>
              </w:rPr>
            </w:pPr>
            <w:r w:rsidRPr="00A616F5">
              <w:t>2/274 (0.7)</w:t>
            </w:r>
          </w:p>
        </w:tc>
        <w:tc>
          <w:tcPr>
            <w:tcW w:w="865" w:type="pct"/>
            <w:tcBorders>
              <w:bottom w:val="single" w:sz="4" w:space="0" w:color="auto"/>
            </w:tcBorders>
            <w:shd w:val="clear" w:color="auto" w:fill="auto"/>
            <w:vAlign w:val="center"/>
          </w:tcPr>
          <w:p w14:paraId="2971993C" w14:textId="3B017F78" w:rsidR="0042707F" w:rsidRPr="00CE28E3" w:rsidRDefault="0042707F" w:rsidP="0042707F">
            <w:pPr>
              <w:pStyle w:val="TableText"/>
              <w:jc w:val="center"/>
              <w:rPr>
                <w:lang w:val="en-US"/>
              </w:rPr>
            </w:pPr>
            <w:r w:rsidRPr="0042707F">
              <w:rPr>
                <w:lang w:val="en-US"/>
              </w:rPr>
              <w:t>0.20 (0.01, 4.22)</w:t>
            </w:r>
            <w:r>
              <w:rPr>
                <w:lang w:val="en-US"/>
              </w:rPr>
              <w:br/>
            </w:r>
            <w:r w:rsidRPr="0042707F">
              <w:rPr>
                <w:lang w:val="en-US"/>
              </w:rPr>
              <w:t>p = 0.3</w:t>
            </w:r>
            <w:r w:rsidR="00DD57EE">
              <w:rPr>
                <w:lang w:val="en-US"/>
              </w:rPr>
              <w:t>0</w:t>
            </w:r>
          </w:p>
        </w:tc>
        <w:tc>
          <w:tcPr>
            <w:tcW w:w="834" w:type="pct"/>
            <w:shd w:val="clear" w:color="auto" w:fill="auto"/>
            <w:vAlign w:val="center"/>
          </w:tcPr>
          <w:p w14:paraId="3B78852D" w14:textId="0DC85AF9" w:rsidR="0042707F" w:rsidRPr="00CE28E3" w:rsidRDefault="0042707F" w:rsidP="0042707F">
            <w:pPr>
              <w:pStyle w:val="TableText"/>
              <w:jc w:val="center"/>
              <w:rPr>
                <w:lang w:val="en-US"/>
              </w:rPr>
            </w:pPr>
            <w:r w:rsidRPr="0042707F">
              <w:rPr>
                <w:lang w:val="en-US"/>
              </w:rPr>
              <w:t>-0.01 (-0.02, 0.01)</w:t>
            </w:r>
            <w:r>
              <w:rPr>
                <w:lang w:val="en-US"/>
              </w:rPr>
              <w:br/>
            </w:r>
            <w:r w:rsidRPr="0042707F">
              <w:rPr>
                <w:lang w:val="en-US"/>
              </w:rPr>
              <w:t>p = 0.35</w:t>
            </w:r>
          </w:p>
        </w:tc>
      </w:tr>
      <w:tr w:rsidR="009F709B" w:rsidRPr="00CE28E3" w14:paraId="30B86CC7" w14:textId="77777777" w:rsidTr="0009246B">
        <w:trPr>
          <w:cantSplit/>
        </w:trPr>
        <w:tc>
          <w:tcPr>
            <w:tcW w:w="862" w:type="pct"/>
            <w:tcBorders>
              <w:bottom w:val="single" w:sz="4" w:space="0" w:color="auto"/>
            </w:tcBorders>
            <w:shd w:val="clear" w:color="auto" w:fill="auto"/>
            <w:vAlign w:val="center"/>
          </w:tcPr>
          <w:p w14:paraId="413D407B" w14:textId="77777777" w:rsidR="009F709B" w:rsidRDefault="009F709B" w:rsidP="0009246B">
            <w:pPr>
              <w:pStyle w:val="TableText"/>
              <w:rPr>
                <w:lang w:val="en-US"/>
              </w:rPr>
            </w:pPr>
            <w:r>
              <w:rPr>
                <w:lang w:val="en-US"/>
              </w:rPr>
              <w:t>Meta-analysis</w:t>
            </w:r>
          </w:p>
        </w:tc>
        <w:tc>
          <w:tcPr>
            <w:tcW w:w="707" w:type="pct"/>
            <w:tcBorders>
              <w:bottom w:val="single" w:sz="4" w:space="0" w:color="auto"/>
            </w:tcBorders>
            <w:vAlign w:val="center"/>
          </w:tcPr>
          <w:p w14:paraId="65DF7B1C" w14:textId="053D52BD" w:rsidR="009F709B" w:rsidRDefault="00F3033F" w:rsidP="0009246B">
            <w:pPr>
              <w:pStyle w:val="TableText"/>
              <w:jc w:val="center"/>
              <w:rPr>
                <w:lang w:val="en-US"/>
              </w:rPr>
            </w:pPr>
            <w:r w:rsidRPr="00F3033F">
              <w:rPr>
                <w:lang w:val="en-US"/>
              </w:rPr>
              <w:t>Chi² = 0.05, (</w:t>
            </w:r>
            <w:r>
              <w:rPr>
                <w:lang w:val="en-US"/>
              </w:rPr>
              <w:t>p</w:t>
            </w:r>
            <w:r w:rsidRPr="00F3033F">
              <w:rPr>
                <w:lang w:val="en-US"/>
              </w:rPr>
              <w:t xml:space="preserve"> = 0.83); I² = 0%</w:t>
            </w:r>
          </w:p>
        </w:tc>
        <w:tc>
          <w:tcPr>
            <w:tcW w:w="474" w:type="pct"/>
            <w:tcBorders>
              <w:bottom w:val="single" w:sz="4" w:space="0" w:color="auto"/>
            </w:tcBorders>
            <w:vAlign w:val="center"/>
          </w:tcPr>
          <w:p w14:paraId="4982C580" w14:textId="77777777" w:rsidR="009F709B" w:rsidRDefault="009F709B" w:rsidP="0009246B">
            <w:pPr>
              <w:pStyle w:val="TableText"/>
              <w:jc w:val="center"/>
              <w:rPr>
                <w:lang w:val="en-US"/>
              </w:rPr>
            </w:pPr>
            <w:r>
              <w:rPr>
                <w:lang w:val="en-US"/>
              </w:rPr>
              <w:t>1 yr</w:t>
            </w:r>
          </w:p>
        </w:tc>
        <w:tc>
          <w:tcPr>
            <w:tcW w:w="629" w:type="pct"/>
            <w:tcBorders>
              <w:bottom w:val="single" w:sz="4" w:space="0" w:color="auto"/>
            </w:tcBorders>
            <w:vAlign w:val="center"/>
          </w:tcPr>
          <w:p w14:paraId="38DFA1A8" w14:textId="1E62B6DD" w:rsidR="009F709B" w:rsidRPr="004E2AC8" w:rsidRDefault="0042707F" w:rsidP="0009246B">
            <w:pPr>
              <w:pStyle w:val="TableText"/>
              <w:jc w:val="center"/>
            </w:pPr>
            <w:r>
              <w:t>0/969 (0%)</w:t>
            </w:r>
          </w:p>
        </w:tc>
        <w:tc>
          <w:tcPr>
            <w:tcW w:w="629" w:type="pct"/>
            <w:tcBorders>
              <w:bottom w:val="single" w:sz="4" w:space="0" w:color="auto"/>
            </w:tcBorders>
            <w:vAlign w:val="center"/>
          </w:tcPr>
          <w:p w14:paraId="764981EB" w14:textId="6B8A2723" w:rsidR="009F709B" w:rsidRPr="004E2AC8" w:rsidRDefault="0042707F" w:rsidP="0009246B">
            <w:pPr>
              <w:pStyle w:val="TableText"/>
              <w:jc w:val="center"/>
            </w:pPr>
            <w:r>
              <w:t>3/974 (0.3)</w:t>
            </w:r>
          </w:p>
        </w:tc>
        <w:tc>
          <w:tcPr>
            <w:tcW w:w="865" w:type="pct"/>
            <w:tcBorders>
              <w:bottom w:val="single" w:sz="4" w:space="0" w:color="auto"/>
            </w:tcBorders>
            <w:shd w:val="clear" w:color="auto" w:fill="auto"/>
            <w:vAlign w:val="center"/>
          </w:tcPr>
          <w:p w14:paraId="0722F8CF" w14:textId="3ADDBC0F" w:rsidR="009F709B" w:rsidRPr="00081642" w:rsidRDefault="0042707F" w:rsidP="0042707F">
            <w:pPr>
              <w:pStyle w:val="TableText"/>
              <w:jc w:val="center"/>
              <w:rPr>
                <w:lang w:val="en-US"/>
              </w:rPr>
            </w:pPr>
            <w:r w:rsidRPr="0042707F">
              <w:rPr>
                <w:lang w:val="en-US"/>
              </w:rPr>
              <w:t>0.25 (0.03, 2.26)</w:t>
            </w:r>
            <w:r>
              <w:rPr>
                <w:lang w:val="en-US"/>
              </w:rPr>
              <w:br/>
            </w:r>
            <w:r w:rsidRPr="0042707F">
              <w:rPr>
                <w:lang w:val="en-US"/>
              </w:rPr>
              <w:t>p = 0.22</w:t>
            </w:r>
          </w:p>
        </w:tc>
        <w:tc>
          <w:tcPr>
            <w:tcW w:w="834" w:type="pct"/>
            <w:shd w:val="clear" w:color="auto" w:fill="auto"/>
            <w:vAlign w:val="center"/>
          </w:tcPr>
          <w:p w14:paraId="6D74B108" w14:textId="092F4CD5" w:rsidR="009F709B" w:rsidRPr="00081642" w:rsidRDefault="00F3033F" w:rsidP="00F3033F">
            <w:pPr>
              <w:pStyle w:val="TableText"/>
              <w:jc w:val="center"/>
              <w:rPr>
                <w:lang w:val="en-US"/>
              </w:rPr>
            </w:pPr>
            <w:r w:rsidRPr="00F3033F">
              <w:rPr>
                <w:lang w:val="en-US"/>
              </w:rPr>
              <w:t>-0.00 (-0.01, 0.00)</w:t>
            </w:r>
            <w:r>
              <w:rPr>
                <w:lang w:val="en-US"/>
              </w:rPr>
              <w:br/>
            </w:r>
            <w:r w:rsidRPr="00F3033F">
              <w:rPr>
                <w:lang w:val="en-US"/>
              </w:rPr>
              <w:t>p = 0.18</w:t>
            </w:r>
          </w:p>
        </w:tc>
      </w:tr>
      <w:tr w:rsidR="009F709B" w:rsidRPr="00CE28E3" w14:paraId="6FEFAB98" w14:textId="77777777" w:rsidTr="0009246B">
        <w:trPr>
          <w:cantSplit/>
        </w:trPr>
        <w:tc>
          <w:tcPr>
            <w:tcW w:w="862" w:type="pct"/>
            <w:tcBorders>
              <w:right w:val="nil"/>
            </w:tcBorders>
            <w:shd w:val="clear" w:color="auto" w:fill="auto"/>
            <w:vAlign w:val="center"/>
          </w:tcPr>
          <w:p w14:paraId="2E31E549" w14:textId="77777777" w:rsidR="009F709B" w:rsidRPr="000D33E6" w:rsidRDefault="009F709B" w:rsidP="0009246B">
            <w:pPr>
              <w:pStyle w:val="TableText"/>
              <w:rPr>
                <w:b/>
                <w:bCs/>
                <w:lang w:val="en-US"/>
              </w:rPr>
            </w:pPr>
            <w:r w:rsidRPr="000D33E6">
              <w:rPr>
                <w:b/>
                <w:bCs/>
                <w:lang w:val="en-US"/>
              </w:rPr>
              <w:t>Left main lesions</w:t>
            </w:r>
            <w:r>
              <w:rPr>
                <w:b/>
                <w:bCs/>
                <w:lang w:val="en-US"/>
              </w:rPr>
              <w:t>^</w:t>
            </w:r>
          </w:p>
        </w:tc>
        <w:tc>
          <w:tcPr>
            <w:tcW w:w="707" w:type="pct"/>
            <w:tcBorders>
              <w:left w:val="nil"/>
              <w:right w:val="nil"/>
            </w:tcBorders>
            <w:vAlign w:val="center"/>
          </w:tcPr>
          <w:p w14:paraId="4B35F6F0" w14:textId="77777777" w:rsidR="009F709B" w:rsidRPr="000D33E6" w:rsidRDefault="009F709B" w:rsidP="0009246B">
            <w:pPr>
              <w:pStyle w:val="TableText"/>
              <w:jc w:val="center"/>
              <w:rPr>
                <w:b/>
                <w:bCs/>
                <w:lang w:val="en-US"/>
              </w:rPr>
            </w:pPr>
          </w:p>
        </w:tc>
        <w:tc>
          <w:tcPr>
            <w:tcW w:w="474" w:type="pct"/>
            <w:tcBorders>
              <w:left w:val="nil"/>
              <w:right w:val="nil"/>
            </w:tcBorders>
            <w:vAlign w:val="center"/>
          </w:tcPr>
          <w:p w14:paraId="704F31B9" w14:textId="77777777" w:rsidR="009F709B" w:rsidRPr="000D33E6" w:rsidRDefault="009F709B" w:rsidP="0009246B">
            <w:pPr>
              <w:pStyle w:val="TableText"/>
              <w:jc w:val="center"/>
              <w:rPr>
                <w:b/>
                <w:bCs/>
                <w:lang w:val="en-US"/>
              </w:rPr>
            </w:pPr>
          </w:p>
        </w:tc>
        <w:tc>
          <w:tcPr>
            <w:tcW w:w="629" w:type="pct"/>
            <w:tcBorders>
              <w:left w:val="nil"/>
              <w:right w:val="nil"/>
            </w:tcBorders>
            <w:vAlign w:val="center"/>
          </w:tcPr>
          <w:p w14:paraId="29336C90" w14:textId="77777777" w:rsidR="009F709B" w:rsidRPr="000D33E6" w:rsidRDefault="009F709B" w:rsidP="0009246B">
            <w:pPr>
              <w:pStyle w:val="TableText"/>
              <w:jc w:val="center"/>
              <w:rPr>
                <w:b/>
                <w:bCs/>
                <w:lang w:val="en-US"/>
              </w:rPr>
            </w:pPr>
          </w:p>
        </w:tc>
        <w:tc>
          <w:tcPr>
            <w:tcW w:w="629" w:type="pct"/>
            <w:tcBorders>
              <w:left w:val="nil"/>
              <w:right w:val="nil"/>
            </w:tcBorders>
            <w:vAlign w:val="center"/>
          </w:tcPr>
          <w:p w14:paraId="34D88896" w14:textId="77777777" w:rsidR="009F709B" w:rsidRPr="000D33E6" w:rsidRDefault="009F709B" w:rsidP="0009246B">
            <w:pPr>
              <w:pStyle w:val="TableText"/>
              <w:jc w:val="center"/>
              <w:rPr>
                <w:b/>
                <w:bCs/>
                <w:lang w:val="en-US"/>
              </w:rPr>
            </w:pPr>
          </w:p>
        </w:tc>
        <w:tc>
          <w:tcPr>
            <w:tcW w:w="865" w:type="pct"/>
            <w:tcBorders>
              <w:left w:val="nil"/>
              <w:right w:val="nil"/>
            </w:tcBorders>
            <w:shd w:val="clear" w:color="auto" w:fill="auto"/>
            <w:vAlign w:val="center"/>
          </w:tcPr>
          <w:p w14:paraId="71FCA5C6" w14:textId="77777777" w:rsidR="009F709B" w:rsidRPr="000D33E6" w:rsidRDefault="009F709B" w:rsidP="0009246B">
            <w:pPr>
              <w:pStyle w:val="TableText"/>
              <w:jc w:val="center"/>
              <w:rPr>
                <w:b/>
                <w:bCs/>
                <w:lang w:val="en-US"/>
              </w:rPr>
            </w:pPr>
          </w:p>
        </w:tc>
        <w:tc>
          <w:tcPr>
            <w:tcW w:w="834" w:type="pct"/>
            <w:tcBorders>
              <w:left w:val="nil"/>
            </w:tcBorders>
            <w:shd w:val="clear" w:color="auto" w:fill="auto"/>
            <w:vAlign w:val="center"/>
          </w:tcPr>
          <w:p w14:paraId="0470A17B" w14:textId="77777777" w:rsidR="009F709B" w:rsidRPr="000D33E6" w:rsidRDefault="009F709B" w:rsidP="0009246B">
            <w:pPr>
              <w:pStyle w:val="TableText"/>
              <w:jc w:val="center"/>
              <w:rPr>
                <w:b/>
                <w:bCs/>
                <w:lang w:val="en-US"/>
              </w:rPr>
            </w:pPr>
          </w:p>
        </w:tc>
      </w:tr>
      <w:tr w:rsidR="00F3033F" w:rsidRPr="00CE28E3" w14:paraId="601F4C7A" w14:textId="77777777" w:rsidTr="00F3033F">
        <w:trPr>
          <w:cantSplit/>
        </w:trPr>
        <w:tc>
          <w:tcPr>
            <w:tcW w:w="862" w:type="pct"/>
            <w:shd w:val="clear" w:color="auto" w:fill="auto"/>
            <w:vAlign w:val="center"/>
          </w:tcPr>
          <w:p w14:paraId="5896E419" w14:textId="727E302F" w:rsidR="00F3033F" w:rsidRPr="00CE28E3" w:rsidRDefault="00F3033F" w:rsidP="00F3033F">
            <w:pPr>
              <w:pStyle w:val="TableText"/>
              <w:rPr>
                <w:lang w:val="en-US"/>
              </w:rPr>
            </w:pPr>
            <w:r>
              <w:rPr>
                <w:lang w:val="en-US"/>
              </w:rPr>
              <w:t>Liu 2019</w:t>
            </w:r>
            <w:r>
              <w:rPr>
                <w:lang w:val="en-US"/>
              </w:rPr>
              <w:br/>
            </w:r>
            <w:r w:rsidRPr="001939FD">
              <w:rPr>
                <w:i/>
                <w:iCs/>
                <w:lang w:val="en-US"/>
              </w:rPr>
              <w:t>MI</w:t>
            </w:r>
          </w:p>
        </w:tc>
        <w:tc>
          <w:tcPr>
            <w:tcW w:w="707" w:type="pct"/>
            <w:vAlign w:val="center"/>
          </w:tcPr>
          <w:p w14:paraId="046AC263" w14:textId="77777777" w:rsidR="004578AA" w:rsidRPr="002C1697" w:rsidRDefault="004578AA" w:rsidP="004578AA">
            <w:pPr>
              <w:spacing w:before="40"/>
              <w:jc w:val="center"/>
              <w:rPr>
                <w:rFonts w:ascii="Cambria Math" w:hAnsi="Cambria Math" w:cs="Cambria Math"/>
                <w:color w:val="C00000"/>
              </w:rPr>
            </w:pPr>
            <w:r w:rsidRPr="002C1697">
              <w:rPr>
                <w:rFonts w:ascii="Cambria Math" w:hAnsi="Cambria Math"/>
                <w:color w:val="00B050"/>
              </w:rPr>
              <w:t>⨁</w:t>
            </w:r>
            <w:r w:rsidRPr="002C1697">
              <w:rPr>
                <w:rFonts w:ascii="Cambria Math" w:hAnsi="Cambria Math" w:cs="Cambria Math"/>
                <w:color w:val="C00000"/>
              </w:rPr>
              <w:t>⨀⨀⨀</w:t>
            </w:r>
          </w:p>
          <w:p w14:paraId="2FB972EB" w14:textId="268314AD" w:rsidR="00F3033F" w:rsidRPr="004578AA" w:rsidRDefault="004578AA" w:rsidP="004578AA">
            <w:pPr>
              <w:pStyle w:val="TableText"/>
              <w:jc w:val="center"/>
              <w:rPr>
                <w:lang w:val="en-US"/>
              </w:rPr>
            </w:pPr>
            <w:r w:rsidRPr="004578AA">
              <w:rPr>
                <w:rStyle w:val="CommentaryemphasisTablesmid-paragraph"/>
                <w:color w:val="auto"/>
              </w:rPr>
              <w:t>Very low</w:t>
            </w:r>
          </w:p>
        </w:tc>
        <w:tc>
          <w:tcPr>
            <w:tcW w:w="474" w:type="pct"/>
            <w:vAlign w:val="center"/>
          </w:tcPr>
          <w:p w14:paraId="787A610F" w14:textId="77777777" w:rsidR="00F3033F" w:rsidRPr="00CE28E3" w:rsidRDefault="00F3033F" w:rsidP="00F3033F">
            <w:pPr>
              <w:pStyle w:val="TableText"/>
              <w:jc w:val="center"/>
              <w:rPr>
                <w:lang w:val="en-US"/>
              </w:rPr>
            </w:pPr>
            <w:r>
              <w:rPr>
                <w:lang w:val="en-US"/>
              </w:rPr>
              <w:t>1 yr</w:t>
            </w:r>
          </w:p>
        </w:tc>
        <w:tc>
          <w:tcPr>
            <w:tcW w:w="629" w:type="pct"/>
            <w:vAlign w:val="center"/>
          </w:tcPr>
          <w:p w14:paraId="09EA656D" w14:textId="687BE110" w:rsidR="00F3033F" w:rsidRPr="00CE28E3" w:rsidRDefault="00F3033F" w:rsidP="00F3033F">
            <w:pPr>
              <w:pStyle w:val="TableText"/>
              <w:jc w:val="center"/>
              <w:rPr>
                <w:lang w:val="en-US"/>
              </w:rPr>
            </w:pPr>
            <w:r w:rsidRPr="00957E22">
              <w:t>19/174 (10.9)</w:t>
            </w:r>
          </w:p>
        </w:tc>
        <w:tc>
          <w:tcPr>
            <w:tcW w:w="629" w:type="pct"/>
            <w:vAlign w:val="center"/>
          </w:tcPr>
          <w:p w14:paraId="0041CC83" w14:textId="737617D9" w:rsidR="00F3033F" w:rsidRPr="00CE28E3" w:rsidRDefault="00F3033F" w:rsidP="00F3033F">
            <w:pPr>
              <w:pStyle w:val="TableText"/>
              <w:jc w:val="center"/>
              <w:rPr>
                <w:lang w:val="en-US"/>
              </w:rPr>
            </w:pPr>
            <w:r w:rsidRPr="00957E22">
              <w:t>23/174 (13.2)</w:t>
            </w:r>
          </w:p>
        </w:tc>
        <w:tc>
          <w:tcPr>
            <w:tcW w:w="865" w:type="pct"/>
            <w:shd w:val="clear" w:color="auto" w:fill="auto"/>
            <w:vAlign w:val="center"/>
          </w:tcPr>
          <w:p w14:paraId="3AA66DE6" w14:textId="17563CF8" w:rsidR="00F3033F" w:rsidRPr="00CE28E3" w:rsidRDefault="00F3033F" w:rsidP="00F3033F">
            <w:pPr>
              <w:pStyle w:val="TableText"/>
              <w:jc w:val="center"/>
              <w:rPr>
                <w:lang w:val="en-US"/>
              </w:rPr>
            </w:pPr>
            <w:r w:rsidRPr="00F3033F">
              <w:rPr>
                <w:lang w:val="en-US"/>
              </w:rPr>
              <w:t>0.83 (0.47, 1.46)</w:t>
            </w:r>
            <w:r>
              <w:rPr>
                <w:lang w:val="en-US"/>
              </w:rPr>
              <w:br/>
            </w:r>
            <w:r w:rsidRPr="00F3033F">
              <w:rPr>
                <w:lang w:val="en-US"/>
              </w:rPr>
              <w:t>p = 0.51</w:t>
            </w:r>
          </w:p>
        </w:tc>
        <w:tc>
          <w:tcPr>
            <w:tcW w:w="834" w:type="pct"/>
            <w:shd w:val="clear" w:color="auto" w:fill="auto"/>
            <w:vAlign w:val="center"/>
          </w:tcPr>
          <w:p w14:paraId="3C749906" w14:textId="7811D0EE" w:rsidR="00F3033F" w:rsidRPr="00CE28E3" w:rsidRDefault="00F3033F" w:rsidP="00F3033F">
            <w:pPr>
              <w:pStyle w:val="TableText"/>
              <w:jc w:val="center"/>
              <w:rPr>
                <w:lang w:val="en-US"/>
              </w:rPr>
            </w:pPr>
            <w:r w:rsidRPr="00F3033F">
              <w:rPr>
                <w:lang w:val="en-US"/>
              </w:rPr>
              <w:t>-0.02 (-0.09, 0.05)</w:t>
            </w:r>
            <w:r>
              <w:rPr>
                <w:lang w:val="en-US"/>
              </w:rPr>
              <w:br/>
            </w:r>
            <w:r w:rsidRPr="00F3033F">
              <w:rPr>
                <w:lang w:val="en-US"/>
              </w:rPr>
              <w:t>p = 0.51</w:t>
            </w:r>
          </w:p>
        </w:tc>
      </w:tr>
      <w:tr w:rsidR="00F3033F" w:rsidRPr="00CE28E3" w14:paraId="204B4630" w14:textId="77777777" w:rsidTr="00F3033F">
        <w:trPr>
          <w:cantSplit/>
        </w:trPr>
        <w:tc>
          <w:tcPr>
            <w:tcW w:w="862" w:type="pct"/>
            <w:shd w:val="clear" w:color="auto" w:fill="auto"/>
            <w:vAlign w:val="center"/>
          </w:tcPr>
          <w:p w14:paraId="2BC5C13C" w14:textId="5CEB8073" w:rsidR="00F3033F" w:rsidRPr="00CE28E3" w:rsidRDefault="00F3033F" w:rsidP="00F3033F">
            <w:pPr>
              <w:pStyle w:val="TableText"/>
              <w:rPr>
                <w:lang w:val="en-US"/>
              </w:rPr>
            </w:pPr>
            <w:r>
              <w:rPr>
                <w:lang w:val="en-US"/>
              </w:rPr>
              <w:t>Tan 2015</w:t>
            </w:r>
            <w:r>
              <w:rPr>
                <w:lang w:val="en-US"/>
              </w:rPr>
              <w:br/>
            </w:r>
            <w:r w:rsidRPr="001939FD">
              <w:rPr>
                <w:i/>
                <w:iCs/>
                <w:lang w:val="en-US"/>
              </w:rPr>
              <w:t>Non-fatal MI</w:t>
            </w:r>
          </w:p>
        </w:tc>
        <w:tc>
          <w:tcPr>
            <w:tcW w:w="707" w:type="pct"/>
            <w:vAlign w:val="center"/>
          </w:tcPr>
          <w:p w14:paraId="30224B5B" w14:textId="77777777" w:rsidR="004578AA" w:rsidRPr="002C1697" w:rsidRDefault="004578AA" w:rsidP="004578AA">
            <w:pPr>
              <w:spacing w:before="40"/>
              <w:jc w:val="center"/>
              <w:rPr>
                <w:rFonts w:ascii="Cambria Math" w:hAnsi="Cambria Math" w:cs="Cambria Math"/>
                <w:color w:val="C00000"/>
              </w:rPr>
            </w:pPr>
            <w:r w:rsidRPr="002C1697">
              <w:rPr>
                <w:rFonts w:ascii="Cambria Math" w:hAnsi="Cambria Math"/>
                <w:color w:val="00B050"/>
              </w:rPr>
              <w:t>⨁</w:t>
            </w:r>
            <w:r w:rsidRPr="002C1697">
              <w:rPr>
                <w:rFonts w:ascii="Cambria Math" w:hAnsi="Cambria Math" w:cs="Cambria Math"/>
                <w:color w:val="C00000"/>
              </w:rPr>
              <w:t>⨀⨀⨀</w:t>
            </w:r>
          </w:p>
          <w:p w14:paraId="5C92D743" w14:textId="0DBD06A5" w:rsidR="00F3033F" w:rsidRPr="004578AA" w:rsidRDefault="004578AA" w:rsidP="004578AA">
            <w:pPr>
              <w:pStyle w:val="TableText"/>
              <w:jc w:val="center"/>
              <w:rPr>
                <w:lang w:val="en-US"/>
              </w:rPr>
            </w:pPr>
            <w:r w:rsidRPr="004578AA">
              <w:rPr>
                <w:rStyle w:val="CommentaryemphasisTablesmid-paragraph"/>
                <w:color w:val="auto"/>
              </w:rPr>
              <w:t>Very low</w:t>
            </w:r>
          </w:p>
        </w:tc>
        <w:tc>
          <w:tcPr>
            <w:tcW w:w="474" w:type="pct"/>
            <w:vAlign w:val="center"/>
          </w:tcPr>
          <w:p w14:paraId="08591596" w14:textId="77777777" w:rsidR="00F3033F" w:rsidRPr="00CE28E3" w:rsidRDefault="00F3033F" w:rsidP="00F3033F">
            <w:pPr>
              <w:pStyle w:val="TableText"/>
              <w:jc w:val="center"/>
              <w:rPr>
                <w:lang w:val="en-US"/>
              </w:rPr>
            </w:pPr>
            <w:r>
              <w:rPr>
                <w:lang w:val="en-US"/>
              </w:rPr>
              <w:t>2 yrs</w:t>
            </w:r>
          </w:p>
        </w:tc>
        <w:tc>
          <w:tcPr>
            <w:tcW w:w="629" w:type="pct"/>
            <w:vAlign w:val="center"/>
          </w:tcPr>
          <w:p w14:paraId="5C9DD2B7" w14:textId="147DD566" w:rsidR="00F3033F" w:rsidRPr="00CE28E3" w:rsidRDefault="00F3033F" w:rsidP="00F3033F">
            <w:pPr>
              <w:pStyle w:val="TableText"/>
              <w:jc w:val="center"/>
              <w:rPr>
                <w:lang w:val="en-US"/>
              </w:rPr>
            </w:pPr>
            <w:r w:rsidRPr="00957E22">
              <w:t>1/61 (1.6)</w:t>
            </w:r>
          </w:p>
        </w:tc>
        <w:tc>
          <w:tcPr>
            <w:tcW w:w="629" w:type="pct"/>
            <w:vAlign w:val="center"/>
          </w:tcPr>
          <w:p w14:paraId="2DA98B4D" w14:textId="3A705D62" w:rsidR="00F3033F" w:rsidRPr="00CE28E3" w:rsidRDefault="00F3033F" w:rsidP="00F3033F">
            <w:pPr>
              <w:pStyle w:val="TableText"/>
              <w:jc w:val="center"/>
              <w:rPr>
                <w:lang w:val="en-US"/>
              </w:rPr>
            </w:pPr>
            <w:r w:rsidRPr="00957E22">
              <w:t>2/62 (3.2)</w:t>
            </w:r>
          </w:p>
        </w:tc>
        <w:tc>
          <w:tcPr>
            <w:tcW w:w="865" w:type="pct"/>
            <w:shd w:val="clear" w:color="auto" w:fill="auto"/>
            <w:vAlign w:val="center"/>
          </w:tcPr>
          <w:p w14:paraId="4A43B095" w14:textId="3B58C897" w:rsidR="00F3033F" w:rsidRPr="00CE28E3" w:rsidRDefault="00F3033F" w:rsidP="00F3033F">
            <w:pPr>
              <w:pStyle w:val="TableText"/>
              <w:jc w:val="center"/>
              <w:rPr>
                <w:lang w:val="en-US"/>
              </w:rPr>
            </w:pPr>
            <w:r w:rsidRPr="00F3033F">
              <w:rPr>
                <w:lang w:val="en-US"/>
              </w:rPr>
              <w:t>0.51 (0.05, 5.46)</w:t>
            </w:r>
            <w:r>
              <w:rPr>
                <w:lang w:val="en-US"/>
              </w:rPr>
              <w:br/>
            </w:r>
            <w:r w:rsidRPr="00F3033F">
              <w:rPr>
                <w:lang w:val="en-US"/>
              </w:rPr>
              <w:t>p = 0.58</w:t>
            </w:r>
          </w:p>
        </w:tc>
        <w:tc>
          <w:tcPr>
            <w:tcW w:w="834" w:type="pct"/>
            <w:shd w:val="clear" w:color="auto" w:fill="auto"/>
            <w:vAlign w:val="center"/>
          </w:tcPr>
          <w:p w14:paraId="47FBC1EC" w14:textId="260F368E" w:rsidR="00F3033F" w:rsidRPr="00CE28E3" w:rsidRDefault="00F3033F" w:rsidP="00F3033F">
            <w:pPr>
              <w:pStyle w:val="TableText"/>
              <w:jc w:val="center"/>
              <w:rPr>
                <w:lang w:val="en-US"/>
              </w:rPr>
            </w:pPr>
            <w:r w:rsidRPr="00F3033F">
              <w:rPr>
                <w:lang w:val="en-US"/>
              </w:rPr>
              <w:t>-0.02 (-0.07, 0.04)</w:t>
            </w:r>
            <w:r>
              <w:rPr>
                <w:lang w:val="en-US"/>
              </w:rPr>
              <w:br/>
            </w:r>
            <w:r w:rsidRPr="00F3033F">
              <w:rPr>
                <w:lang w:val="en-US"/>
              </w:rPr>
              <w:t>p = 0.57</w:t>
            </w:r>
          </w:p>
        </w:tc>
      </w:tr>
    </w:tbl>
    <w:p w14:paraId="02D075E9" w14:textId="77777777" w:rsidR="009F709B" w:rsidRDefault="009F709B" w:rsidP="00731CB3">
      <w:pPr>
        <w:pStyle w:val="TableFigureFooter"/>
        <w:spacing w:before="60" w:after="0"/>
      </w:pPr>
      <w:r>
        <w:t>CI = confidence interval; HR = hazard ratio; IVUS = intravascular ultrasound; N = number randomised; PCI = percutaneous coronary intervention; RR = risk ratio; RD = risk difference.</w:t>
      </w:r>
    </w:p>
    <w:p w14:paraId="1248104A" w14:textId="12D5233C" w:rsidR="009F709B" w:rsidRDefault="009F709B" w:rsidP="009F709B">
      <w:pPr>
        <w:pStyle w:val="TableFigureFooter"/>
        <w:spacing w:before="0" w:after="0"/>
      </w:pPr>
      <w:r>
        <w:t xml:space="preserve">Note: </w:t>
      </w:r>
      <w:r w:rsidR="005F1C7D">
        <w:t xml:space="preserve">Data are shown for the ITT population. </w:t>
      </w:r>
      <w:r>
        <w:t>Statistically significant differences are shown in bold.</w:t>
      </w:r>
    </w:p>
    <w:p w14:paraId="6CEBFFD5" w14:textId="3E75E762" w:rsidR="004578AA" w:rsidRDefault="004578AA" w:rsidP="009F709B">
      <w:pPr>
        <w:pStyle w:val="TableFigureFooter"/>
        <w:spacing w:before="0" w:after="0"/>
      </w:pPr>
      <w:r>
        <w:t>** Quality has been downgraded in all cases by assessment group.</w:t>
      </w:r>
    </w:p>
    <w:p w14:paraId="781A0FDD" w14:textId="1FF63D99" w:rsidR="009F709B" w:rsidRDefault="009F709B" w:rsidP="009F709B">
      <w:pPr>
        <w:pStyle w:val="TableFigureFooter"/>
        <w:spacing w:before="0"/>
      </w:pPr>
      <w:r>
        <w:t>^ Meta-analysis was not appropriate because of different populations (Tan 2015 enrolled elderly patients) and durations of follow-up.</w:t>
      </w:r>
      <w:r w:rsidR="00F3033F">
        <w:t xml:space="preserve"> Data extraction errors were noted for Liu</w:t>
      </w:r>
      <w:r w:rsidR="00763FBE">
        <w:t xml:space="preserve"> 2019</w:t>
      </w:r>
      <w:r w:rsidR="00F3033F">
        <w:t xml:space="preserve"> during preparation of the Commentary and have been corrected.</w:t>
      </w:r>
    </w:p>
    <w:p w14:paraId="51593EEF" w14:textId="429F6077" w:rsidR="001D2CA6" w:rsidRDefault="002A6BF8" w:rsidP="002A6BF8">
      <w:pPr>
        <w:pStyle w:val="Heading3"/>
      </w:pPr>
      <w:r>
        <w:t>Target lesion revascularisation</w:t>
      </w:r>
    </w:p>
    <w:p w14:paraId="3A5DB21D" w14:textId="259A031D" w:rsidR="003912C4" w:rsidRDefault="008230D5" w:rsidP="001D2CA6">
      <w:r>
        <w:t xml:space="preserve">IVUS guidance resulted in </w:t>
      </w:r>
      <w:r w:rsidR="003912C4">
        <w:t xml:space="preserve">significantly lower </w:t>
      </w:r>
      <w:r>
        <w:t>rates of TLR compared with angiography guidance in</w:t>
      </w:r>
      <w:r w:rsidR="003912C4">
        <w:t xml:space="preserve"> </w:t>
      </w:r>
      <w:r>
        <w:t xml:space="preserve">the </w:t>
      </w:r>
      <w:r w:rsidR="003912C4">
        <w:t xml:space="preserve">ULTIMATE </w:t>
      </w:r>
      <w:r>
        <w:t xml:space="preserve">trial (all-comers to PCI) </w:t>
      </w:r>
      <w:r w:rsidR="003912C4">
        <w:t>at 3 years</w:t>
      </w:r>
      <w:r w:rsidR="00DD3C2C">
        <w:t>,</w:t>
      </w:r>
      <w:r w:rsidR="003912C4">
        <w:t xml:space="preserve"> and </w:t>
      </w:r>
      <w:r>
        <w:t xml:space="preserve">the </w:t>
      </w:r>
      <w:r w:rsidR="003912C4">
        <w:t xml:space="preserve">IVUS-XPL </w:t>
      </w:r>
      <w:r>
        <w:t xml:space="preserve">trial (patients with long lesions) </w:t>
      </w:r>
      <w:r w:rsidR="003912C4">
        <w:t>at 1 year and 5 years</w:t>
      </w:r>
      <w:r>
        <w:t>.</w:t>
      </w:r>
    </w:p>
    <w:p w14:paraId="111E35BE" w14:textId="029674CC" w:rsidR="008230D5" w:rsidRDefault="008230D5" w:rsidP="001D2CA6">
      <w:r>
        <w:t>Rates of TLR were numerically lower in patients with left main lesions who received IVUS-guided PCI, but differences between arms did not reach statistical significance.</w:t>
      </w:r>
    </w:p>
    <w:p w14:paraId="7744979C" w14:textId="0DD7D0B6" w:rsidR="002A6BF8" w:rsidRDefault="00AD4780" w:rsidP="001D2CA6">
      <w:r>
        <w:t>TLR was not an outcome reported in the RESET trial.</w:t>
      </w:r>
    </w:p>
    <w:p w14:paraId="2B6E7FA1" w14:textId="3B305EDB" w:rsidR="00976586" w:rsidRDefault="0025038D" w:rsidP="001D2CA6">
      <w:r>
        <w:t>Target vessel revascularisation (</w:t>
      </w:r>
      <w:r w:rsidR="00976586">
        <w:t>TVR</w:t>
      </w:r>
      <w:r>
        <w:t>)</w:t>
      </w:r>
      <w:r w:rsidR="00976586">
        <w:t xml:space="preserve"> was reported in three trials (ULTIMATE, RESET and Liu 2019) but was not a specified outcome in the ratified PICO. Across all three trials, rates of TVR were numerically lower in patients who received IVUS-guided PCI, but differences between arms did not reach statistical significance.</w:t>
      </w:r>
    </w:p>
    <w:p w14:paraId="7E84AF62" w14:textId="4A38408B" w:rsidR="002A6BF8" w:rsidRPr="00D72C6E" w:rsidRDefault="002A6BF8" w:rsidP="002A6BF8">
      <w:pPr>
        <w:pStyle w:val="Caption"/>
        <w:rPr>
          <w:sz w:val="16"/>
          <w:szCs w:val="16"/>
        </w:rPr>
      </w:pPr>
      <w:r w:rsidRPr="00CE28E3">
        <w:lastRenderedPageBreak/>
        <w:t>Table</w:t>
      </w:r>
      <w:r>
        <w:t> </w:t>
      </w:r>
      <w:fldSimple w:instr=" SEQ Table \* ARABIC ">
        <w:r w:rsidR="00F03488">
          <w:rPr>
            <w:noProof/>
          </w:rPr>
          <w:t>10</w:t>
        </w:r>
      </w:fldSimple>
      <w:r w:rsidRPr="00CE28E3">
        <w:tab/>
      </w:r>
      <w:r>
        <w:t>Target lesion revascularisation</w:t>
      </w:r>
    </w:p>
    <w:tbl>
      <w:tblPr>
        <w:tblStyle w:val="TableGrid1"/>
        <w:tblW w:w="5000" w:type="pct"/>
        <w:tblLayout w:type="fixed"/>
        <w:tblCellMar>
          <w:left w:w="28" w:type="dxa"/>
          <w:right w:w="28" w:type="dxa"/>
        </w:tblCellMar>
        <w:tblLook w:val="04A0" w:firstRow="1" w:lastRow="0" w:firstColumn="1" w:lastColumn="0" w:noHBand="0" w:noVBand="1"/>
        <w:tblDescription w:val="Target lesion revascularisation data"/>
      </w:tblPr>
      <w:tblGrid>
        <w:gridCol w:w="1554"/>
        <w:gridCol w:w="1275"/>
        <w:gridCol w:w="855"/>
        <w:gridCol w:w="1134"/>
        <w:gridCol w:w="1134"/>
        <w:gridCol w:w="1560"/>
        <w:gridCol w:w="1504"/>
      </w:tblGrid>
      <w:tr w:rsidR="002A6BF8" w:rsidRPr="00CE28E3" w14:paraId="6F3A3FCF" w14:textId="77777777" w:rsidTr="0009246B">
        <w:trPr>
          <w:cnfStyle w:val="100000000000" w:firstRow="1" w:lastRow="0" w:firstColumn="0" w:lastColumn="0" w:oddVBand="0" w:evenVBand="0" w:oddHBand="0" w:evenHBand="0" w:firstRowFirstColumn="0" w:firstRowLastColumn="0" w:lastRowFirstColumn="0" w:lastRowLastColumn="0"/>
          <w:cantSplit/>
          <w:tblHeader/>
        </w:trPr>
        <w:tc>
          <w:tcPr>
            <w:tcW w:w="862" w:type="pct"/>
            <w:tcBorders>
              <w:bottom w:val="single" w:sz="4" w:space="0" w:color="auto"/>
            </w:tcBorders>
            <w:shd w:val="clear" w:color="auto" w:fill="auto"/>
            <w:vAlign w:val="center"/>
          </w:tcPr>
          <w:p w14:paraId="43493D2F" w14:textId="0DB0EDE3" w:rsidR="002A6BF8" w:rsidRPr="00CE28E3" w:rsidRDefault="002A6BF8" w:rsidP="003912C4">
            <w:pPr>
              <w:pStyle w:val="In-tableHeading"/>
            </w:pPr>
            <w:r>
              <w:t>Trial ID</w:t>
            </w:r>
            <w:r w:rsidR="00C44178">
              <w:t xml:space="preserve"> </w:t>
            </w:r>
            <w:r w:rsidR="00C44178">
              <w:br/>
            </w:r>
            <w:r w:rsidR="00C44178" w:rsidRPr="00C44178">
              <w:rPr>
                <w:i/>
                <w:iCs/>
              </w:rPr>
              <w:t>Outcome definition</w:t>
            </w:r>
          </w:p>
        </w:tc>
        <w:tc>
          <w:tcPr>
            <w:tcW w:w="707" w:type="pct"/>
            <w:tcBorders>
              <w:bottom w:val="single" w:sz="4" w:space="0" w:color="auto"/>
            </w:tcBorders>
            <w:vAlign w:val="center"/>
          </w:tcPr>
          <w:p w14:paraId="6BBD1434" w14:textId="282F0617" w:rsidR="002A6BF8" w:rsidRDefault="004578AA" w:rsidP="003912C4">
            <w:pPr>
              <w:pStyle w:val="In-tableHeading"/>
              <w:jc w:val="center"/>
            </w:pPr>
            <w:r>
              <w:t>Quality**</w:t>
            </w:r>
          </w:p>
        </w:tc>
        <w:tc>
          <w:tcPr>
            <w:tcW w:w="474" w:type="pct"/>
            <w:tcBorders>
              <w:bottom w:val="single" w:sz="4" w:space="0" w:color="auto"/>
            </w:tcBorders>
            <w:vAlign w:val="center"/>
          </w:tcPr>
          <w:p w14:paraId="4FBD10D1" w14:textId="77777777" w:rsidR="002A6BF8" w:rsidRDefault="002A6BF8" w:rsidP="003912C4">
            <w:pPr>
              <w:pStyle w:val="In-tableHeading"/>
              <w:jc w:val="center"/>
            </w:pPr>
            <w:r>
              <w:t>Timepoint</w:t>
            </w:r>
          </w:p>
        </w:tc>
        <w:tc>
          <w:tcPr>
            <w:tcW w:w="629" w:type="pct"/>
            <w:tcBorders>
              <w:bottom w:val="single" w:sz="4" w:space="0" w:color="auto"/>
            </w:tcBorders>
            <w:vAlign w:val="center"/>
          </w:tcPr>
          <w:p w14:paraId="233AFA91" w14:textId="77777777" w:rsidR="002A6BF8" w:rsidRDefault="002A6BF8" w:rsidP="003912C4">
            <w:pPr>
              <w:pStyle w:val="In-tableHeading"/>
              <w:jc w:val="center"/>
            </w:pPr>
            <w:r>
              <w:t>IVUS-guided PCI</w:t>
            </w:r>
            <w:r>
              <w:br/>
              <w:t>n/N (%)</w:t>
            </w:r>
          </w:p>
        </w:tc>
        <w:tc>
          <w:tcPr>
            <w:tcW w:w="629" w:type="pct"/>
            <w:tcBorders>
              <w:bottom w:val="single" w:sz="4" w:space="0" w:color="auto"/>
            </w:tcBorders>
            <w:vAlign w:val="center"/>
          </w:tcPr>
          <w:p w14:paraId="28AB61F2" w14:textId="77777777" w:rsidR="002A6BF8" w:rsidRDefault="002A6BF8" w:rsidP="003912C4">
            <w:pPr>
              <w:pStyle w:val="In-tableHeading"/>
              <w:jc w:val="center"/>
            </w:pPr>
            <w:r>
              <w:t>Angiography-guided PCI</w:t>
            </w:r>
            <w:r>
              <w:br/>
              <w:t>n/N (%)</w:t>
            </w:r>
          </w:p>
        </w:tc>
        <w:tc>
          <w:tcPr>
            <w:tcW w:w="865" w:type="pct"/>
            <w:tcBorders>
              <w:bottom w:val="single" w:sz="4" w:space="0" w:color="auto"/>
            </w:tcBorders>
            <w:shd w:val="clear" w:color="auto" w:fill="auto"/>
            <w:vAlign w:val="center"/>
          </w:tcPr>
          <w:p w14:paraId="51D94F83" w14:textId="77777777" w:rsidR="002A6BF8" w:rsidRPr="00CE28E3" w:rsidRDefault="002A6BF8" w:rsidP="003912C4">
            <w:pPr>
              <w:pStyle w:val="In-tableHeading"/>
              <w:jc w:val="center"/>
            </w:pPr>
            <w:r>
              <w:t>RR (95% CI)</w:t>
            </w:r>
            <w:r>
              <w:br/>
              <w:t>p-value</w:t>
            </w:r>
          </w:p>
        </w:tc>
        <w:tc>
          <w:tcPr>
            <w:tcW w:w="834" w:type="pct"/>
            <w:shd w:val="clear" w:color="auto" w:fill="auto"/>
            <w:vAlign w:val="center"/>
          </w:tcPr>
          <w:p w14:paraId="18CC4330" w14:textId="77777777" w:rsidR="002A6BF8" w:rsidRPr="00CE28E3" w:rsidRDefault="002A6BF8" w:rsidP="003912C4">
            <w:pPr>
              <w:pStyle w:val="In-tableHeading"/>
              <w:jc w:val="center"/>
            </w:pPr>
            <w:r>
              <w:t>RD (95% CI)</w:t>
            </w:r>
            <w:r>
              <w:br/>
              <w:t>p-value</w:t>
            </w:r>
          </w:p>
        </w:tc>
      </w:tr>
      <w:tr w:rsidR="002A6BF8" w:rsidRPr="00CE28E3" w14:paraId="179CF055" w14:textId="77777777" w:rsidTr="0009246B">
        <w:trPr>
          <w:cantSplit/>
        </w:trPr>
        <w:tc>
          <w:tcPr>
            <w:tcW w:w="862" w:type="pct"/>
            <w:tcBorders>
              <w:bottom w:val="single" w:sz="4" w:space="0" w:color="auto"/>
              <w:right w:val="nil"/>
            </w:tcBorders>
            <w:shd w:val="clear" w:color="auto" w:fill="auto"/>
            <w:vAlign w:val="center"/>
          </w:tcPr>
          <w:p w14:paraId="28AECAF5" w14:textId="77777777" w:rsidR="002A6BF8" w:rsidRPr="000D33E6" w:rsidRDefault="002A6BF8" w:rsidP="003912C4">
            <w:pPr>
              <w:pStyle w:val="TableText"/>
              <w:keepNext/>
              <w:rPr>
                <w:b/>
                <w:bCs/>
                <w:lang w:val="en-US"/>
              </w:rPr>
            </w:pPr>
            <w:r w:rsidRPr="000D33E6">
              <w:rPr>
                <w:b/>
                <w:bCs/>
                <w:lang w:val="en-US"/>
              </w:rPr>
              <w:t>All-comers</w:t>
            </w:r>
          </w:p>
        </w:tc>
        <w:tc>
          <w:tcPr>
            <w:tcW w:w="707" w:type="pct"/>
            <w:tcBorders>
              <w:left w:val="nil"/>
              <w:bottom w:val="single" w:sz="4" w:space="0" w:color="auto"/>
              <w:right w:val="nil"/>
            </w:tcBorders>
            <w:vAlign w:val="center"/>
          </w:tcPr>
          <w:p w14:paraId="54ACDC10" w14:textId="77777777" w:rsidR="002A6BF8" w:rsidRPr="000D33E6" w:rsidRDefault="002A6BF8" w:rsidP="003912C4">
            <w:pPr>
              <w:pStyle w:val="TableText"/>
              <w:keepNext/>
              <w:jc w:val="center"/>
              <w:rPr>
                <w:b/>
                <w:bCs/>
                <w:lang w:val="en-US"/>
              </w:rPr>
            </w:pPr>
          </w:p>
        </w:tc>
        <w:tc>
          <w:tcPr>
            <w:tcW w:w="474" w:type="pct"/>
            <w:tcBorders>
              <w:left w:val="nil"/>
              <w:bottom w:val="single" w:sz="4" w:space="0" w:color="auto"/>
              <w:right w:val="nil"/>
            </w:tcBorders>
            <w:vAlign w:val="center"/>
          </w:tcPr>
          <w:p w14:paraId="06834176" w14:textId="77777777" w:rsidR="002A6BF8" w:rsidRPr="000D33E6" w:rsidRDefault="002A6BF8" w:rsidP="003912C4">
            <w:pPr>
              <w:pStyle w:val="TableText"/>
              <w:keepNext/>
              <w:jc w:val="center"/>
              <w:rPr>
                <w:b/>
                <w:bCs/>
                <w:lang w:val="en-US"/>
              </w:rPr>
            </w:pPr>
          </w:p>
        </w:tc>
        <w:tc>
          <w:tcPr>
            <w:tcW w:w="629" w:type="pct"/>
            <w:tcBorders>
              <w:left w:val="nil"/>
              <w:bottom w:val="single" w:sz="4" w:space="0" w:color="auto"/>
              <w:right w:val="nil"/>
            </w:tcBorders>
            <w:vAlign w:val="center"/>
          </w:tcPr>
          <w:p w14:paraId="7472F1B4" w14:textId="77777777" w:rsidR="002A6BF8" w:rsidRPr="000D33E6" w:rsidRDefault="002A6BF8" w:rsidP="003912C4">
            <w:pPr>
              <w:pStyle w:val="TableText"/>
              <w:keepNext/>
              <w:jc w:val="center"/>
              <w:rPr>
                <w:b/>
                <w:bCs/>
                <w:lang w:val="en-US"/>
              </w:rPr>
            </w:pPr>
          </w:p>
        </w:tc>
        <w:tc>
          <w:tcPr>
            <w:tcW w:w="629" w:type="pct"/>
            <w:tcBorders>
              <w:left w:val="nil"/>
              <w:bottom w:val="single" w:sz="4" w:space="0" w:color="auto"/>
              <w:right w:val="nil"/>
            </w:tcBorders>
            <w:vAlign w:val="center"/>
          </w:tcPr>
          <w:p w14:paraId="78AF7C2D" w14:textId="77777777" w:rsidR="002A6BF8" w:rsidRPr="000D33E6" w:rsidRDefault="002A6BF8" w:rsidP="003912C4">
            <w:pPr>
              <w:pStyle w:val="TableText"/>
              <w:keepNext/>
              <w:jc w:val="center"/>
              <w:rPr>
                <w:b/>
                <w:bCs/>
                <w:lang w:val="en-US"/>
              </w:rPr>
            </w:pPr>
          </w:p>
        </w:tc>
        <w:tc>
          <w:tcPr>
            <w:tcW w:w="865" w:type="pct"/>
            <w:tcBorders>
              <w:left w:val="nil"/>
              <w:bottom w:val="single" w:sz="4" w:space="0" w:color="auto"/>
              <w:right w:val="nil"/>
            </w:tcBorders>
            <w:shd w:val="clear" w:color="auto" w:fill="auto"/>
            <w:vAlign w:val="center"/>
          </w:tcPr>
          <w:p w14:paraId="7F3BB8DD" w14:textId="77777777" w:rsidR="002A6BF8" w:rsidRPr="000D33E6" w:rsidRDefault="002A6BF8" w:rsidP="003912C4">
            <w:pPr>
              <w:pStyle w:val="TableText"/>
              <w:keepNext/>
              <w:jc w:val="center"/>
              <w:rPr>
                <w:b/>
                <w:bCs/>
                <w:lang w:val="en-US"/>
              </w:rPr>
            </w:pPr>
          </w:p>
        </w:tc>
        <w:tc>
          <w:tcPr>
            <w:tcW w:w="834" w:type="pct"/>
            <w:tcBorders>
              <w:left w:val="nil"/>
              <w:bottom w:val="single" w:sz="4" w:space="0" w:color="auto"/>
            </w:tcBorders>
            <w:shd w:val="clear" w:color="auto" w:fill="auto"/>
            <w:vAlign w:val="center"/>
          </w:tcPr>
          <w:p w14:paraId="312FF37E" w14:textId="77777777" w:rsidR="002A6BF8" w:rsidRPr="000D33E6" w:rsidRDefault="002A6BF8" w:rsidP="003912C4">
            <w:pPr>
              <w:pStyle w:val="TableText"/>
              <w:keepNext/>
              <w:jc w:val="center"/>
              <w:rPr>
                <w:b/>
                <w:bCs/>
                <w:lang w:val="en-US"/>
              </w:rPr>
            </w:pPr>
          </w:p>
        </w:tc>
      </w:tr>
      <w:tr w:rsidR="002A6BF8" w:rsidRPr="00CE28E3" w14:paraId="3D6E1D66" w14:textId="77777777" w:rsidTr="002A6BF8">
        <w:trPr>
          <w:cantSplit/>
        </w:trPr>
        <w:tc>
          <w:tcPr>
            <w:tcW w:w="862" w:type="pct"/>
            <w:tcBorders>
              <w:bottom w:val="nil"/>
            </w:tcBorders>
            <w:shd w:val="clear" w:color="auto" w:fill="auto"/>
            <w:vAlign w:val="center"/>
          </w:tcPr>
          <w:p w14:paraId="7ABCB242" w14:textId="344ACC23" w:rsidR="002A6BF8" w:rsidRPr="00685DF6" w:rsidRDefault="002A6BF8" w:rsidP="002A6BF8">
            <w:pPr>
              <w:pStyle w:val="TableText"/>
              <w:rPr>
                <w:lang w:val="en-US"/>
              </w:rPr>
            </w:pPr>
            <w:r>
              <w:rPr>
                <w:lang w:val="en-US"/>
              </w:rPr>
              <w:t>ULTIMATE</w:t>
            </w:r>
            <w:r w:rsidR="00C44178">
              <w:rPr>
                <w:lang w:val="en-US"/>
              </w:rPr>
              <w:br/>
            </w:r>
            <w:r w:rsidR="00C44178">
              <w:rPr>
                <w:i/>
                <w:iCs/>
                <w:lang w:val="en-US"/>
              </w:rPr>
              <w:t>Clinically</w:t>
            </w:r>
            <w:r w:rsidR="007E6C58">
              <w:rPr>
                <w:i/>
                <w:iCs/>
                <w:lang w:val="en-US"/>
              </w:rPr>
              <w:t xml:space="preserve"> </w:t>
            </w:r>
            <w:r w:rsidR="00C44178">
              <w:rPr>
                <w:i/>
                <w:iCs/>
                <w:lang w:val="en-US"/>
              </w:rPr>
              <w:t>driven TLR</w:t>
            </w:r>
          </w:p>
        </w:tc>
        <w:tc>
          <w:tcPr>
            <w:tcW w:w="707" w:type="pct"/>
            <w:tcBorders>
              <w:bottom w:val="nil"/>
            </w:tcBorders>
            <w:vAlign w:val="center"/>
          </w:tcPr>
          <w:p w14:paraId="7A19FECF" w14:textId="77777777" w:rsidR="004578AA" w:rsidRDefault="004578AA" w:rsidP="004578AA">
            <w:pPr>
              <w:spacing w:before="40"/>
              <w:jc w:val="center"/>
              <w:rPr>
                <w:rFonts w:ascii="Cambria Math" w:hAnsi="Cambria Math" w:cs="Cambria Math"/>
                <w:color w:val="C00000"/>
              </w:rPr>
            </w:pPr>
            <w:r w:rsidRPr="002C1697">
              <w:rPr>
                <w:rFonts w:ascii="Cambria Math" w:hAnsi="Cambria Math"/>
                <w:color w:val="00B050"/>
              </w:rPr>
              <w:t>⨁⨁⨁</w:t>
            </w:r>
            <w:r w:rsidRPr="002C1697">
              <w:rPr>
                <w:rFonts w:ascii="Cambria Math" w:hAnsi="Cambria Math" w:cs="Cambria Math"/>
                <w:color w:val="C00000"/>
              </w:rPr>
              <w:t>⨀</w:t>
            </w:r>
          </w:p>
          <w:p w14:paraId="340F95D3" w14:textId="2F096A76" w:rsidR="002A6BF8" w:rsidRDefault="004578AA" w:rsidP="004578AA">
            <w:pPr>
              <w:pStyle w:val="TableText"/>
              <w:jc w:val="center"/>
              <w:rPr>
                <w:lang w:val="en-US"/>
              </w:rPr>
            </w:pPr>
            <w:r w:rsidRPr="004578AA">
              <w:rPr>
                <w:sz w:val="18"/>
                <w:szCs w:val="18"/>
              </w:rPr>
              <w:t>Moderate</w:t>
            </w:r>
          </w:p>
        </w:tc>
        <w:tc>
          <w:tcPr>
            <w:tcW w:w="474" w:type="pct"/>
            <w:tcBorders>
              <w:bottom w:val="dotted" w:sz="4" w:space="0" w:color="auto"/>
            </w:tcBorders>
            <w:vAlign w:val="center"/>
          </w:tcPr>
          <w:p w14:paraId="54F37F44" w14:textId="77777777" w:rsidR="002A6BF8" w:rsidRPr="00CE28E3" w:rsidRDefault="002A6BF8" w:rsidP="002A6BF8">
            <w:pPr>
              <w:pStyle w:val="TableText"/>
              <w:jc w:val="center"/>
              <w:rPr>
                <w:lang w:val="en-US"/>
              </w:rPr>
            </w:pPr>
            <w:r>
              <w:rPr>
                <w:lang w:val="en-US"/>
              </w:rPr>
              <w:t>1 yr</w:t>
            </w:r>
          </w:p>
        </w:tc>
        <w:tc>
          <w:tcPr>
            <w:tcW w:w="629" w:type="pct"/>
            <w:tcBorders>
              <w:bottom w:val="dotted" w:sz="4" w:space="0" w:color="auto"/>
            </w:tcBorders>
            <w:vAlign w:val="center"/>
          </w:tcPr>
          <w:p w14:paraId="1C6635B6" w14:textId="5E54B13E" w:rsidR="002A6BF8" w:rsidRPr="00CE28E3" w:rsidRDefault="002A6BF8" w:rsidP="002A6BF8">
            <w:pPr>
              <w:pStyle w:val="TableText"/>
              <w:jc w:val="center"/>
              <w:rPr>
                <w:lang w:val="en-US"/>
              </w:rPr>
            </w:pPr>
            <w:r w:rsidRPr="00007ED6">
              <w:t>9/724 (1.2)</w:t>
            </w:r>
          </w:p>
        </w:tc>
        <w:tc>
          <w:tcPr>
            <w:tcW w:w="629" w:type="pct"/>
            <w:tcBorders>
              <w:bottom w:val="dotted" w:sz="4" w:space="0" w:color="auto"/>
            </w:tcBorders>
            <w:vAlign w:val="center"/>
          </w:tcPr>
          <w:p w14:paraId="18275113" w14:textId="72208ECE" w:rsidR="002A6BF8" w:rsidRPr="00CE28E3" w:rsidRDefault="002A6BF8" w:rsidP="002A6BF8">
            <w:pPr>
              <w:pStyle w:val="TableText"/>
              <w:jc w:val="center"/>
              <w:rPr>
                <w:lang w:val="en-US"/>
              </w:rPr>
            </w:pPr>
            <w:r w:rsidRPr="00007ED6">
              <w:t>19/724 (2.6)</w:t>
            </w:r>
          </w:p>
        </w:tc>
        <w:tc>
          <w:tcPr>
            <w:tcW w:w="865" w:type="pct"/>
            <w:tcBorders>
              <w:bottom w:val="dotted" w:sz="4" w:space="0" w:color="auto"/>
            </w:tcBorders>
            <w:shd w:val="clear" w:color="auto" w:fill="auto"/>
            <w:vAlign w:val="center"/>
          </w:tcPr>
          <w:p w14:paraId="375E0418" w14:textId="24A61CCF" w:rsidR="002A6BF8" w:rsidRPr="00CE28E3" w:rsidRDefault="00596B58" w:rsidP="00596B58">
            <w:pPr>
              <w:pStyle w:val="TableText"/>
              <w:jc w:val="center"/>
              <w:rPr>
                <w:lang w:val="en-US"/>
              </w:rPr>
            </w:pPr>
            <w:r w:rsidRPr="00596B58">
              <w:rPr>
                <w:lang w:val="en-US"/>
              </w:rPr>
              <w:t>0.47 (0.22, 1.04)</w:t>
            </w:r>
            <w:r>
              <w:rPr>
                <w:lang w:val="en-US"/>
              </w:rPr>
              <w:br/>
            </w:r>
            <w:r w:rsidRPr="00596B58">
              <w:rPr>
                <w:lang w:val="en-US"/>
              </w:rPr>
              <w:t>p = 0.06</w:t>
            </w:r>
          </w:p>
        </w:tc>
        <w:tc>
          <w:tcPr>
            <w:tcW w:w="834" w:type="pct"/>
            <w:tcBorders>
              <w:bottom w:val="dotted" w:sz="4" w:space="0" w:color="auto"/>
            </w:tcBorders>
            <w:shd w:val="clear" w:color="auto" w:fill="auto"/>
            <w:vAlign w:val="center"/>
          </w:tcPr>
          <w:p w14:paraId="2CCFDD6B" w14:textId="4816C87D" w:rsidR="002A6BF8" w:rsidRPr="00CE28E3" w:rsidRDefault="00596B58" w:rsidP="00596B58">
            <w:pPr>
              <w:pStyle w:val="TableText"/>
              <w:jc w:val="center"/>
              <w:rPr>
                <w:lang w:val="en-US"/>
              </w:rPr>
            </w:pPr>
            <w:r w:rsidRPr="00596B58">
              <w:rPr>
                <w:lang w:val="en-US"/>
              </w:rPr>
              <w:t>-0.01 (-0.03, 0.00)</w:t>
            </w:r>
            <w:r>
              <w:rPr>
                <w:lang w:val="en-US"/>
              </w:rPr>
              <w:br/>
            </w:r>
            <w:r w:rsidRPr="00596B58">
              <w:rPr>
                <w:lang w:val="en-US"/>
              </w:rPr>
              <w:t>p = 0.06</w:t>
            </w:r>
          </w:p>
        </w:tc>
      </w:tr>
      <w:tr w:rsidR="002A6BF8" w:rsidRPr="00CE28E3" w14:paraId="142C5E81" w14:textId="77777777" w:rsidTr="002A6BF8">
        <w:trPr>
          <w:cantSplit/>
        </w:trPr>
        <w:tc>
          <w:tcPr>
            <w:tcW w:w="862" w:type="pct"/>
            <w:tcBorders>
              <w:top w:val="nil"/>
              <w:bottom w:val="nil"/>
            </w:tcBorders>
            <w:shd w:val="clear" w:color="auto" w:fill="auto"/>
            <w:vAlign w:val="center"/>
          </w:tcPr>
          <w:p w14:paraId="446AAF7E" w14:textId="6DBA8669" w:rsidR="002A6BF8" w:rsidRPr="001939FD" w:rsidRDefault="002A6BF8" w:rsidP="002A6BF8">
            <w:pPr>
              <w:pStyle w:val="TableText"/>
              <w:rPr>
                <w:i/>
                <w:iCs/>
                <w:lang w:val="en-US"/>
              </w:rPr>
            </w:pPr>
          </w:p>
        </w:tc>
        <w:tc>
          <w:tcPr>
            <w:tcW w:w="707" w:type="pct"/>
            <w:tcBorders>
              <w:top w:val="nil"/>
              <w:bottom w:val="nil"/>
            </w:tcBorders>
            <w:vAlign w:val="center"/>
          </w:tcPr>
          <w:p w14:paraId="4BDB3BA8" w14:textId="77777777" w:rsidR="002A6BF8" w:rsidRDefault="002A6BF8" w:rsidP="002A6BF8">
            <w:pPr>
              <w:pStyle w:val="TableText"/>
              <w:jc w:val="center"/>
              <w:rPr>
                <w:lang w:val="en-US"/>
              </w:rPr>
            </w:pPr>
          </w:p>
        </w:tc>
        <w:tc>
          <w:tcPr>
            <w:tcW w:w="474" w:type="pct"/>
            <w:tcBorders>
              <w:top w:val="dotted" w:sz="4" w:space="0" w:color="auto"/>
              <w:bottom w:val="dotted" w:sz="4" w:space="0" w:color="auto"/>
            </w:tcBorders>
            <w:vAlign w:val="center"/>
          </w:tcPr>
          <w:p w14:paraId="348C6F6D" w14:textId="77777777" w:rsidR="002A6BF8" w:rsidRPr="00CE28E3" w:rsidRDefault="002A6BF8" w:rsidP="002A6BF8">
            <w:pPr>
              <w:pStyle w:val="TableText"/>
              <w:jc w:val="center"/>
              <w:rPr>
                <w:lang w:val="en-US"/>
              </w:rPr>
            </w:pPr>
            <w:r>
              <w:rPr>
                <w:lang w:val="en-US"/>
              </w:rPr>
              <w:t>2 yrs</w:t>
            </w:r>
          </w:p>
        </w:tc>
        <w:tc>
          <w:tcPr>
            <w:tcW w:w="629" w:type="pct"/>
            <w:tcBorders>
              <w:top w:val="dotted" w:sz="4" w:space="0" w:color="auto"/>
              <w:bottom w:val="dotted" w:sz="4" w:space="0" w:color="auto"/>
            </w:tcBorders>
            <w:vAlign w:val="center"/>
          </w:tcPr>
          <w:p w14:paraId="0A9B88CF" w14:textId="66137BA1" w:rsidR="002A6BF8" w:rsidRPr="00CE28E3" w:rsidRDefault="002A6BF8" w:rsidP="002A6BF8">
            <w:pPr>
              <w:pStyle w:val="TableText"/>
              <w:jc w:val="center"/>
              <w:rPr>
                <w:lang w:val="en-US"/>
              </w:rPr>
            </w:pPr>
            <w:r w:rsidRPr="00007ED6">
              <w:t>26/724 (3.6)</w:t>
            </w:r>
          </w:p>
        </w:tc>
        <w:tc>
          <w:tcPr>
            <w:tcW w:w="629" w:type="pct"/>
            <w:tcBorders>
              <w:top w:val="dotted" w:sz="4" w:space="0" w:color="auto"/>
              <w:bottom w:val="dotted" w:sz="4" w:space="0" w:color="auto"/>
            </w:tcBorders>
            <w:vAlign w:val="center"/>
          </w:tcPr>
          <w:p w14:paraId="0BDC295F" w14:textId="147AC700" w:rsidR="002A6BF8" w:rsidRPr="00CE28E3" w:rsidRDefault="002A6BF8" w:rsidP="002A6BF8">
            <w:pPr>
              <w:pStyle w:val="TableText"/>
              <w:jc w:val="center"/>
              <w:rPr>
                <w:lang w:val="en-US"/>
              </w:rPr>
            </w:pPr>
            <w:r w:rsidRPr="00007ED6">
              <w:t>40/724 (5.5)</w:t>
            </w:r>
          </w:p>
        </w:tc>
        <w:tc>
          <w:tcPr>
            <w:tcW w:w="865" w:type="pct"/>
            <w:tcBorders>
              <w:top w:val="dotted" w:sz="4" w:space="0" w:color="auto"/>
              <w:bottom w:val="dotted" w:sz="4" w:space="0" w:color="auto"/>
            </w:tcBorders>
            <w:shd w:val="clear" w:color="auto" w:fill="auto"/>
          </w:tcPr>
          <w:p w14:paraId="182BCF85" w14:textId="4C91AD2F" w:rsidR="002A6BF8" w:rsidRPr="00CE28E3" w:rsidRDefault="00596B58" w:rsidP="00596B58">
            <w:pPr>
              <w:pStyle w:val="TableText"/>
              <w:jc w:val="center"/>
              <w:rPr>
                <w:lang w:val="en-US"/>
              </w:rPr>
            </w:pPr>
            <w:r w:rsidRPr="00596B58">
              <w:rPr>
                <w:lang w:val="en-US"/>
              </w:rPr>
              <w:t>0.65 (0.40, 1.05)</w:t>
            </w:r>
            <w:r>
              <w:rPr>
                <w:lang w:val="en-US"/>
              </w:rPr>
              <w:br/>
            </w:r>
            <w:r w:rsidRPr="00596B58">
              <w:rPr>
                <w:lang w:val="en-US"/>
              </w:rPr>
              <w:t>p = 0.08</w:t>
            </w:r>
          </w:p>
        </w:tc>
        <w:tc>
          <w:tcPr>
            <w:tcW w:w="834" w:type="pct"/>
            <w:tcBorders>
              <w:top w:val="dotted" w:sz="4" w:space="0" w:color="auto"/>
              <w:bottom w:val="dotted" w:sz="4" w:space="0" w:color="auto"/>
            </w:tcBorders>
            <w:shd w:val="clear" w:color="auto" w:fill="auto"/>
          </w:tcPr>
          <w:p w14:paraId="63C4E905" w14:textId="49A8ACE1" w:rsidR="002A6BF8" w:rsidRPr="001D2CA6" w:rsidRDefault="00596B58" w:rsidP="00596B58">
            <w:pPr>
              <w:pStyle w:val="TableText"/>
              <w:jc w:val="center"/>
              <w:rPr>
                <w:lang w:val="en-US"/>
              </w:rPr>
            </w:pPr>
            <w:r w:rsidRPr="00596B58">
              <w:rPr>
                <w:lang w:val="en-US"/>
              </w:rPr>
              <w:t>-0.02 (-0.04, 0.00)</w:t>
            </w:r>
            <w:r>
              <w:rPr>
                <w:lang w:val="en-US"/>
              </w:rPr>
              <w:br/>
            </w:r>
            <w:r w:rsidRPr="00596B58">
              <w:rPr>
                <w:lang w:val="en-US"/>
              </w:rPr>
              <w:t>p = 0.09</w:t>
            </w:r>
          </w:p>
        </w:tc>
      </w:tr>
      <w:tr w:rsidR="002A6BF8" w:rsidRPr="00CE28E3" w14:paraId="0C012367" w14:textId="77777777" w:rsidTr="002A6BF8">
        <w:trPr>
          <w:cantSplit/>
        </w:trPr>
        <w:tc>
          <w:tcPr>
            <w:tcW w:w="862" w:type="pct"/>
            <w:tcBorders>
              <w:top w:val="nil"/>
              <w:bottom w:val="single" w:sz="4" w:space="0" w:color="auto"/>
            </w:tcBorders>
            <w:shd w:val="clear" w:color="auto" w:fill="auto"/>
            <w:vAlign w:val="center"/>
          </w:tcPr>
          <w:p w14:paraId="05322DBE" w14:textId="77777777" w:rsidR="002A6BF8" w:rsidRDefault="002A6BF8" w:rsidP="002A6BF8">
            <w:pPr>
              <w:pStyle w:val="TableText"/>
              <w:rPr>
                <w:lang w:val="en-US"/>
              </w:rPr>
            </w:pPr>
          </w:p>
        </w:tc>
        <w:tc>
          <w:tcPr>
            <w:tcW w:w="707" w:type="pct"/>
            <w:tcBorders>
              <w:top w:val="nil"/>
              <w:bottom w:val="single" w:sz="4" w:space="0" w:color="auto"/>
            </w:tcBorders>
            <w:vAlign w:val="center"/>
          </w:tcPr>
          <w:p w14:paraId="7111924F" w14:textId="77777777" w:rsidR="002A6BF8" w:rsidRDefault="002A6BF8" w:rsidP="002A6BF8">
            <w:pPr>
              <w:pStyle w:val="TableText"/>
              <w:jc w:val="center"/>
              <w:rPr>
                <w:lang w:val="en-US"/>
              </w:rPr>
            </w:pPr>
          </w:p>
        </w:tc>
        <w:tc>
          <w:tcPr>
            <w:tcW w:w="474" w:type="pct"/>
            <w:tcBorders>
              <w:top w:val="dotted" w:sz="4" w:space="0" w:color="auto"/>
              <w:bottom w:val="single" w:sz="4" w:space="0" w:color="auto"/>
            </w:tcBorders>
            <w:vAlign w:val="center"/>
          </w:tcPr>
          <w:p w14:paraId="4A26DB0F" w14:textId="77777777" w:rsidR="002A6BF8" w:rsidRPr="00CE28E3" w:rsidRDefault="002A6BF8" w:rsidP="002A6BF8">
            <w:pPr>
              <w:pStyle w:val="TableText"/>
              <w:jc w:val="center"/>
              <w:rPr>
                <w:lang w:val="en-US"/>
              </w:rPr>
            </w:pPr>
            <w:r>
              <w:rPr>
                <w:lang w:val="en-US"/>
              </w:rPr>
              <w:t>3 yrs</w:t>
            </w:r>
          </w:p>
        </w:tc>
        <w:tc>
          <w:tcPr>
            <w:tcW w:w="629" w:type="pct"/>
            <w:tcBorders>
              <w:top w:val="dotted" w:sz="4" w:space="0" w:color="auto"/>
              <w:bottom w:val="single" w:sz="4" w:space="0" w:color="auto"/>
            </w:tcBorders>
            <w:vAlign w:val="center"/>
          </w:tcPr>
          <w:p w14:paraId="4FAE99C0" w14:textId="453119F9" w:rsidR="002A6BF8" w:rsidRPr="00CE28E3" w:rsidRDefault="002A6BF8" w:rsidP="002A6BF8">
            <w:pPr>
              <w:pStyle w:val="TableText"/>
              <w:jc w:val="center"/>
              <w:rPr>
                <w:lang w:val="en-US"/>
              </w:rPr>
            </w:pPr>
            <w:r w:rsidRPr="00007ED6">
              <w:t>27/724 (3.7)</w:t>
            </w:r>
          </w:p>
        </w:tc>
        <w:tc>
          <w:tcPr>
            <w:tcW w:w="629" w:type="pct"/>
            <w:tcBorders>
              <w:top w:val="dotted" w:sz="4" w:space="0" w:color="auto"/>
              <w:bottom w:val="single" w:sz="4" w:space="0" w:color="auto"/>
            </w:tcBorders>
            <w:vAlign w:val="center"/>
          </w:tcPr>
          <w:p w14:paraId="784D49A4" w14:textId="07BE5089" w:rsidR="002A6BF8" w:rsidRPr="00CE28E3" w:rsidRDefault="002A6BF8" w:rsidP="002A6BF8">
            <w:pPr>
              <w:pStyle w:val="TableText"/>
              <w:jc w:val="center"/>
              <w:rPr>
                <w:lang w:val="en-US"/>
              </w:rPr>
            </w:pPr>
            <w:r w:rsidRPr="00007ED6">
              <w:t>45/724 (6.2)</w:t>
            </w:r>
          </w:p>
        </w:tc>
        <w:tc>
          <w:tcPr>
            <w:tcW w:w="865" w:type="pct"/>
            <w:tcBorders>
              <w:top w:val="dotted" w:sz="4" w:space="0" w:color="auto"/>
              <w:bottom w:val="single" w:sz="4" w:space="0" w:color="auto"/>
            </w:tcBorders>
            <w:shd w:val="clear" w:color="auto" w:fill="auto"/>
          </w:tcPr>
          <w:p w14:paraId="480F1230" w14:textId="63324C0A" w:rsidR="002A6BF8" w:rsidRPr="00AD4780" w:rsidRDefault="00596B58" w:rsidP="00596B58">
            <w:pPr>
              <w:pStyle w:val="TableText"/>
              <w:jc w:val="center"/>
              <w:rPr>
                <w:b/>
                <w:bCs/>
                <w:lang w:val="en-US"/>
              </w:rPr>
            </w:pPr>
            <w:r w:rsidRPr="00AD4780">
              <w:rPr>
                <w:b/>
                <w:bCs/>
                <w:lang w:val="en-US"/>
              </w:rPr>
              <w:t>0.60 (0.38, 0.96)</w:t>
            </w:r>
            <w:r w:rsidRPr="00AD4780">
              <w:rPr>
                <w:b/>
                <w:bCs/>
                <w:lang w:val="en-US"/>
              </w:rPr>
              <w:br/>
              <w:t>p = 0.03</w:t>
            </w:r>
          </w:p>
        </w:tc>
        <w:tc>
          <w:tcPr>
            <w:tcW w:w="834" w:type="pct"/>
            <w:tcBorders>
              <w:top w:val="dotted" w:sz="4" w:space="0" w:color="auto"/>
            </w:tcBorders>
            <w:shd w:val="clear" w:color="auto" w:fill="auto"/>
          </w:tcPr>
          <w:p w14:paraId="05398DCA" w14:textId="13D6A5C3" w:rsidR="002A6BF8" w:rsidRPr="00AD4780" w:rsidRDefault="00596B58" w:rsidP="00596B58">
            <w:pPr>
              <w:pStyle w:val="TableText"/>
              <w:jc w:val="center"/>
              <w:rPr>
                <w:b/>
                <w:bCs/>
                <w:lang w:val="en-US"/>
              </w:rPr>
            </w:pPr>
            <w:r w:rsidRPr="00AD4780">
              <w:rPr>
                <w:b/>
                <w:bCs/>
                <w:lang w:val="en-US"/>
              </w:rPr>
              <w:t>-0.02 (-0.05, -0.00)</w:t>
            </w:r>
            <w:r w:rsidRPr="00AD4780">
              <w:rPr>
                <w:b/>
                <w:bCs/>
                <w:lang w:val="en-US"/>
              </w:rPr>
              <w:br/>
              <w:t>p = 0.03</w:t>
            </w:r>
          </w:p>
        </w:tc>
      </w:tr>
      <w:tr w:rsidR="002A6BF8" w:rsidRPr="00CE28E3" w14:paraId="1437C008" w14:textId="77777777" w:rsidTr="0009246B">
        <w:trPr>
          <w:cantSplit/>
        </w:trPr>
        <w:tc>
          <w:tcPr>
            <w:tcW w:w="862" w:type="pct"/>
            <w:tcBorders>
              <w:bottom w:val="single" w:sz="4" w:space="0" w:color="auto"/>
              <w:right w:val="nil"/>
            </w:tcBorders>
            <w:shd w:val="clear" w:color="auto" w:fill="auto"/>
            <w:vAlign w:val="center"/>
          </w:tcPr>
          <w:p w14:paraId="22B7CF8E" w14:textId="5B2E02AA" w:rsidR="002A6BF8" w:rsidRPr="000D33E6" w:rsidRDefault="002A6BF8" w:rsidP="003912C4">
            <w:pPr>
              <w:pStyle w:val="TableText"/>
              <w:keepNext/>
              <w:rPr>
                <w:b/>
                <w:bCs/>
                <w:lang w:val="en-US"/>
              </w:rPr>
            </w:pPr>
            <w:r w:rsidRPr="000D33E6">
              <w:rPr>
                <w:b/>
                <w:bCs/>
                <w:lang w:val="en-US"/>
              </w:rPr>
              <w:t>Long lesions</w:t>
            </w:r>
          </w:p>
        </w:tc>
        <w:tc>
          <w:tcPr>
            <w:tcW w:w="707" w:type="pct"/>
            <w:tcBorders>
              <w:left w:val="nil"/>
              <w:bottom w:val="single" w:sz="4" w:space="0" w:color="auto"/>
              <w:right w:val="nil"/>
            </w:tcBorders>
            <w:vAlign w:val="center"/>
          </w:tcPr>
          <w:p w14:paraId="00A249B7" w14:textId="77777777" w:rsidR="002A6BF8" w:rsidRPr="000D33E6" w:rsidRDefault="002A6BF8" w:rsidP="003912C4">
            <w:pPr>
              <w:pStyle w:val="TableText"/>
              <w:keepNext/>
              <w:jc w:val="center"/>
              <w:rPr>
                <w:b/>
                <w:bCs/>
                <w:lang w:val="en-US"/>
              </w:rPr>
            </w:pPr>
          </w:p>
        </w:tc>
        <w:tc>
          <w:tcPr>
            <w:tcW w:w="474" w:type="pct"/>
            <w:tcBorders>
              <w:left w:val="nil"/>
              <w:bottom w:val="single" w:sz="4" w:space="0" w:color="auto"/>
              <w:right w:val="nil"/>
            </w:tcBorders>
            <w:vAlign w:val="center"/>
          </w:tcPr>
          <w:p w14:paraId="6CF29DC3" w14:textId="77777777" w:rsidR="002A6BF8" w:rsidRPr="000D33E6" w:rsidRDefault="002A6BF8" w:rsidP="003912C4">
            <w:pPr>
              <w:pStyle w:val="TableText"/>
              <w:keepNext/>
              <w:jc w:val="center"/>
              <w:rPr>
                <w:b/>
                <w:bCs/>
                <w:lang w:val="en-US"/>
              </w:rPr>
            </w:pPr>
          </w:p>
        </w:tc>
        <w:tc>
          <w:tcPr>
            <w:tcW w:w="629" w:type="pct"/>
            <w:tcBorders>
              <w:left w:val="nil"/>
              <w:bottom w:val="single" w:sz="4" w:space="0" w:color="auto"/>
              <w:right w:val="nil"/>
            </w:tcBorders>
            <w:vAlign w:val="center"/>
          </w:tcPr>
          <w:p w14:paraId="329B2918" w14:textId="77777777" w:rsidR="002A6BF8" w:rsidRPr="000D33E6" w:rsidRDefault="002A6BF8" w:rsidP="003912C4">
            <w:pPr>
              <w:pStyle w:val="TableText"/>
              <w:keepNext/>
              <w:jc w:val="center"/>
              <w:rPr>
                <w:b/>
                <w:bCs/>
                <w:lang w:val="en-US"/>
              </w:rPr>
            </w:pPr>
          </w:p>
        </w:tc>
        <w:tc>
          <w:tcPr>
            <w:tcW w:w="629" w:type="pct"/>
            <w:tcBorders>
              <w:left w:val="nil"/>
              <w:bottom w:val="single" w:sz="4" w:space="0" w:color="auto"/>
              <w:right w:val="nil"/>
            </w:tcBorders>
            <w:vAlign w:val="center"/>
          </w:tcPr>
          <w:p w14:paraId="05844847" w14:textId="77777777" w:rsidR="002A6BF8" w:rsidRPr="000D33E6" w:rsidRDefault="002A6BF8" w:rsidP="003912C4">
            <w:pPr>
              <w:pStyle w:val="TableText"/>
              <w:keepNext/>
              <w:jc w:val="center"/>
              <w:rPr>
                <w:b/>
                <w:bCs/>
                <w:lang w:val="en-US"/>
              </w:rPr>
            </w:pPr>
          </w:p>
        </w:tc>
        <w:tc>
          <w:tcPr>
            <w:tcW w:w="865" w:type="pct"/>
            <w:tcBorders>
              <w:left w:val="nil"/>
              <w:bottom w:val="single" w:sz="4" w:space="0" w:color="auto"/>
              <w:right w:val="nil"/>
            </w:tcBorders>
            <w:shd w:val="clear" w:color="auto" w:fill="auto"/>
            <w:vAlign w:val="center"/>
          </w:tcPr>
          <w:p w14:paraId="3ED57501" w14:textId="77777777" w:rsidR="002A6BF8" w:rsidRPr="000D33E6" w:rsidRDefault="002A6BF8" w:rsidP="003912C4">
            <w:pPr>
              <w:pStyle w:val="TableText"/>
              <w:keepNext/>
              <w:jc w:val="center"/>
              <w:rPr>
                <w:b/>
                <w:bCs/>
                <w:lang w:val="en-US"/>
              </w:rPr>
            </w:pPr>
          </w:p>
        </w:tc>
        <w:tc>
          <w:tcPr>
            <w:tcW w:w="834" w:type="pct"/>
            <w:tcBorders>
              <w:left w:val="nil"/>
              <w:bottom w:val="single" w:sz="4" w:space="0" w:color="auto"/>
            </w:tcBorders>
            <w:shd w:val="clear" w:color="auto" w:fill="auto"/>
            <w:vAlign w:val="center"/>
          </w:tcPr>
          <w:p w14:paraId="1DF67D75" w14:textId="77777777" w:rsidR="002A6BF8" w:rsidRPr="000D33E6" w:rsidRDefault="002A6BF8" w:rsidP="003912C4">
            <w:pPr>
              <w:pStyle w:val="TableText"/>
              <w:keepNext/>
              <w:jc w:val="center"/>
              <w:rPr>
                <w:b/>
                <w:bCs/>
                <w:lang w:val="en-US"/>
              </w:rPr>
            </w:pPr>
          </w:p>
        </w:tc>
      </w:tr>
      <w:tr w:rsidR="00596B58" w:rsidRPr="00CE28E3" w14:paraId="36F2D398" w14:textId="77777777" w:rsidTr="00596B58">
        <w:trPr>
          <w:cantSplit/>
        </w:trPr>
        <w:tc>
          <w:tcPr>
            <w:tcW w:w="862" w:type="pct"/>
            <w:tcBorders>
              <w:bottom w:val="nil"/>
            </w:tcBorders>
            <w:shd w:val="clear" w:color="auto" w:fill="auto"/>
            <w:vAlign w:val="center"/>
          </w:tcPr>
          <w:p w14:paraId="39CEB42B" w14:textId="5B429012" w:rsidR="00596B58" w:rsidRPr="000859C7" w:rsidRDefault="00596B58" w:rsidP="00596B58">
            <w:pPr>
              <w:pStyle w:val="TableText"/>
              <w:rPr>
                <w:lang w:val="en-US"/>
              </w:rPr>
            </w:pPr>
            <w:r w:rsidRPr="000859C7">
              <w:rPr>
                <w:lang w:val="en-US"/>
              </w:rPr>
              <w:t>IVUS-XPL</w:t>
            </w:r>
            <w:r w:rsidRPr="002A6BF8">
              <w:rPr>
                <w:vertAlign w:val="superscript"/>
                <w:lang w:val="en-US"/>
              </w:rPr>
              <w:t>#</w:t>
            </w:r>
          </w:p>
        </w:tc>
        <w:tc>
          <w:tcPr>
            <w:tcW w:w="707" w:type="pct"/>
            <w:tcBorders>
              <w:bottom w:val="nil"/>
            </w:tcBorders>
            <w:vAlign w:val="center"/>
          </w:tcPr>
          <w:p w14:paraId="49E2B77A" w14:textId="1745FCFF" w:rsidR="00596B58" w:rsidRDefault="004578AA" w:rsidP="00596B58">
            <w:pPr>
              <w:pStyle w:val="TableText"/>
              <w:jc w:val="center"/>
              <w:rPr>
                <w:lang w:val="en-US"/>
              </w:rPr>
            </w:pPr>
            <w:r w:rsidRPr="002C1697">
              <w:rPr>
                <w:rFonts w:ascii="Cambria Math" w:hAnsi="Cambria Math"/>
                <w:color w:val="00B050"/>
              </w:rPr>
              <w:t>⨁⨁</w:t>
            </w:r>
            <w:r w:rsidRPr="002C1697">
              <w:rPr>
                <w:rFonts w:ascii="Cambria Math" w:hAnsi="Cambria Math" w:cs="Cambria Math"/>
                <w:color w:val="C00000"/>
              </w:rPr>
              <w:t>⨀⨀</w:t>
            </w:r>
            <w:r>
              <w:rPr>
                <w:rFonts w:ascii="Cambria Math" w:hAnsi="Cambria Math" w:cs="Cambria Math"/>
                <w:color w:val="C00000"/>
              </w:rPr>
              <w:br/>
            </w:r>
            <w:r w:rsidRPr="004578AA">
              <w:rPr>
                <w:rStyle w:val="CommentaryemphasisTablesmid-paragraph"/>
                <w:color w:val="auto"/>
              </w:rPr>
              <w:t>Low</w:t>
            </w:r>
          </w:p>
        </w:tc>
        <w:tc>
          <w:tcPr>
            <w:tcW w:w="474" w:type="pct"/>
            <w:tcBorders>
              <w:bottom w:val="dotted" w:sz="4" w:space="0" w:color="auto"/>
            </w:tcBorders>
            <w:vAlign w:val="center"/>
          </w:tcPr>
          <w:p w14:paraId="19A5A5B4" w14:textId="77777777" w:rsidR="00596B58" w:rsidRPr="00CE28E3" w:rsidRDefault="00596B58" w:rsidP="00596B58">
            <w:pPr>
              <w:pStyle w:val="TableText"/>
              <w:jc w:val="center"/>
              <w:rPr>
                <w:lang w:val="en-US"/>
              </w:rPr>
            </w:pPr>
            <w:r>
              <w:rPr>
                <w:lang w:val="en-US"/>
              </w:rPr>
              <w:t>1 yr</w:t>
            </w:r>
          </w:p>
        </w:tc>
        <w:tc>
          <w:tcPr>
            <w:tcW w:w="629" w:type="pct"/>
            <w:tcBorders>
              <w:bottom w:val="dotted" w:sz="4" w:space="0" w:color="auto"/>
            </w:tcBorders>
            <w:vAlign w:val="center"/>
          </w:tcPr>
          <w:p w14:paraId="02D2B0D4" w14:textId="3AD25FE0" w:rsidR="00596B58" w:rsidRPr="00CE28E3" w:rsidRDefault="00596B58" w:rsidP="00596B58">
            <w:pPr>
              <w:pStyle w:val="TableText"/>
              <w:jc w:val="center"/>
              <w:rPr>
                <w:lang w:val="en-US"/>
              </w:rPr>
            </w:pPr>
            <w:r w:rsidRPr="00786585">
              <w:t>17/700 (2.4)</w:t>
            </w:r>
          </w:p>
        </w:tc>
        <w:tc>
          <w:tcPr>
            <w:tcW w:w="629" w:type="pct"/>
            <w:tcBorders>
              <w:bottom w:val="dotted" w:sz="4" w:space="0" w:color="auto"/>
            </w:tcBorders>
            <w:vAlign w:val="center"/>
          </w:tcPr>
          <w:p w14:paraId="67D65E99" w14:textId="33B4D4E4" w:rsidR="00596B58" w:rsidRPr="00CE28E3" w:rsidRDefault="00596B58" w:rsidP="00596B58">
            <w:pPr>
              <w:pStyle w:val="TableText"/>
              <w:jc w:val="center"/>
              <w:rPr>
                <w:lang w:val="en-US"/>
              </w:rPr>
            </w:pPr>
            <w:r w:rsidRPr="00786585">
              <w:t>33/700 (4.7)</w:t>
            </w:r>
          </w:p>
        </w:tc>
        <w:tc>
          <w:tcPr>
            <w:tcW w:w="865" w:type="pct"/>
            <w:tcBorders>
              <w:bottom w:val="dotted" w:sz="4" w:space="0" w:color="auto"/>
            </w:tcBorders>
            <w:shd w:val="clear" w:color="auto" w:fill="auto"/>
            <w:vAlign w:val="center"/>
          </w:tcPr>
          <w:p w14:paraId="25F80C85" w14:textId="7AAA824C" w:rsidR="00596B58" w:rsidRPr="00AD4780" w:rsidRDefault="00596B58" w:rsidP="00596B58">
            <w:pPr>
              <w:pStyle w:val="TableText"/>
              <w:jc w:val="center"/>
              <w:rPr>
                <w:b/>
                <w:bCs/>
                <w:lang w:val="en-US"/>
              </w:rPr>
            </w:pPr>
            <w:r w:rsidRPr="00AD4780">
              <w:rPr>
                <w:b/>
                <w:bCs/>
                <w:lang w:val="en-US"/>
              </w:rPr>
              <w:t>0.52 (0.29, 0.92)</w:t>
            </w:r>
            <w:r w:rsidRPr="00AD4780">
              <w:rPr>
                <w:b/>
                <w:bCs/>
                <w:lang w:val="en-US"/>
              </w:rPr>
              <w:br/>
              <w:t>p = 0.02</w:t>
            </w:r>
          </w:p>
        </w:tc>
        <w:tc>
          <w:tcPr>
            <w:tcW w:w="834" w:type="pct"/>
            <w:tcBorders>
              <w:bottom w:val="dotted" w:sz="4" w:space="0" w:color="auto"/>
            </w:tcBorders>
            <w:shd w:val="clear" w:color="auto" w:fill="auto"/>
            <w:vAlign w:val="center"/>
          </w:tcPr>
          <w:p w14:paraId="38051B3D" w14:textId="401B772D" w:rsidR="00596B58" w:rsidRPr="00AD4780" w:rsidRDefault="00596B58" w:rsidP="00596B58">
            <w:pPr>
              <w:pStyle w:val="TableText"/>
              <w:jc w:val="center"/>
              <w:rPr>
                <w:b/>
                <w:bCs/>
                <w:lang w:val="en-US"/>
              </w:rPr>
            </w:pPr>
            <w:r w:rsidRPr="00AD4780">
              <w:rPr>
                <w:b/>
                <w:bCs/>
                <w:lang w:val="en-US"/>
              </w:rPr>
              <w:t>-0.02 (-0.04, -0.00)</w:t>
            </w:r>
            <w:r w:rsidRPr="00AD4780">
              <w:rPr>
                <w:b/>
                <w:bCs/>
                <w:lang w:val="en-US"/>
              </w:rPr>
              <w:br/>
              <w:t>p = 0.02</w:t>
            </w:r>
          </w:p>
        </w:tc>
      </w:tr>
      <w:tr w:rsidR="00596B58" w:rsidRPr="00CE28E3" w14:paraId="7EA4AFA1" w14:textId="77777777" w:rsidTr="00596B58">
        <w:trPr>
          <w:cantSplit/>
        </w:trPr>
        <w:tc>
          <w:tcPr>
            <w:tcW w:w="862" w:type="pct"/>
            <w:tcBorders>
              <w:top w:val="nil"/>
            </w:tcBorders>
            <w:shd w:val="clear" w:color="auto" w:fill="auto"/>
            <w:vAlign w:val="center"/>
          </w:tcPr>
          <w:p w14:paraId="1CAC3F4B" w14:textId="1BA67CBE" w:rsidR="00596B58" w:rsidRPr="001939FD" w:rsidRDefault="00C44178" w:rsidP="00596B58">
            <w:pPr>
              <w:pStyle w:val="TableText"/>
              <w:rPr>
                <w:i/>
                <w:iCs/>
                <w:lang w:val="en-US"/>
              </w:rPr>
            </w:pPr>
            <w:r>
              <w:rPr>
                <w:i/>
                <w:iCs/>
                <w:lang w:val="en-US"/>
              </w:rPr>
              <w:t>Ischaemia</w:t>
            </w:r>
            <w:r w:rsidR="007E6C58">
              <w:rPr>
                <w:i/>
                <w:iCs/>
                <w:lang w:val="en-US"/>
              </w:rPr>
              <w:t xml:space="preserve"> </w:t>
            </w:r>
            <w:r>
              <w:rPr>
                <w:i/>
                <w:iCs/>
                <w:lang w:val="en-US"/>
              </w:rPr>
              <w:t>driven TLR</w:t>
            </w:r>
          </w:p>
        </w:tc>
        <w:tc>
          <w:tcPr>
            <w:tcW w:w="707" w:type="pct"/>
            <w:tcBorders>
              <w:top w:val="nil"/>
            </w:tcBorders>
            <w:vAlign w:val="center"/>
          </w:tcPr>
          <w:p w14:paraId="1704E841" w14:textId="77777777" w:rsidR="00596B58" w:rsidRDefault="00596B58" w:rsidP="00596B58">
            <w:pPr>
              <w:pStyle w:val="TableText"/>
              <w:jc w:val="center"/>
              <w:rPr>
                <w:lang w:val="en-US"/>
              </w:rPr>
            </w:pPr>
          </w:p>
        </w:tc>
        <w:tc>
          <w:tcPr>
            <w:tcW w:w="474" w:type="pct"/>
            <w:tcBorders>
              <w:top w:val="dotted" w:sz="4" w:space="0" w:color="auto"/>
            </w:tcBorders>
            <w:vAlign w:val="center"/>
          </w:tcPr>
          <w:p w14:paraId="324ECE72" w14:textId="77777777" w:rsidR="00596B58" w:rsidRPr="00CE28E3" w:rsidRDefault="00596B58" w:rsidP="00596B58">
            <w:pPr>
              <w:pStyle w:val="TableText"/>
              <w:jc w:val="center"/>
              <w:rPr>
                <w:lang w:val="en-US"/>
              </w:rPr>
            </w:pPr>
            <w:r>
              <w:rPr>
                <w:lang w:val="en-US"/>
              </w:rPr>
              <w:t>5 yrs</w:t>
            </w:r>
          </w:p>
        </w:tc>
        <w:tc>
          <w:tcPr>
            <w:tcW w:w="629" w:type="pct"/>
            <w:tcBorders>
              <w:top w:val="dotted" w:sz="4" w:space="0" w:color="auto"/>
            </w:tcBorders>
            <w:vAlign w:val="center"/>
          </w:tcPr>
          <w:p w14:paraId="1452B42C" w14:textId="3B57F15D" w:rsidR="00596B58" w:rsidRPr="00CE28E3" w:rsidRDefault="00596B58" w:rsidP="00596B58">
            <w:pPr>
              <w:pStyle w:val="TableText"/>
              <w:jc w:val="center"/>
              <w:rPr>
                <w:lang w:val="en-US"/>
              </w:rPr>
            </w:pPr>
            <w:r w:rsidRPr="00786585">
              <w:t>31/700 (4.4)</w:t>
            </w:r>
          </w:p>
        </w:tc>
        <w:tc>
          <w:tcPr>
            <w:tcW w:w="629" w:type="pct"/>
            <w:tcBorders>
              <w:top w:val="dotted" w:sz="4" w:space="0" w:color="auto"/>
            </w:tcBorders>
            <w:vAlign w:val="center"/>
          </w:tcPr>
          <w:p w14:paraId="43D6BDC6" w14:textId="37D36204" w:rsidR="00596B58" w:rsidRPr="00CE28E3" w:rsidRDefault="00596B58" w:rsidP="00596B58">
            <w:pPr>
              <w:pStyle w:val="TableText"/>
              <w:jc w:val="center"/>
              <w:rPr>
                <w:lang w:val="en-US"/>
              </w:rPr>
            </w:pPr>
            <w:r w:rsidRPr="00786585">
              <w:t>55/700 (7.9)</w:t>
            </w:r>
          </w:p>
        </w:tc>
        <w:tc>
          <w:tcPr>
            <w:tcW w:w="865" w:type="pct"/>
            <w:tcBorders>
              <w:top w:val="dotted" w:sz="4" w:space="0" w:color="auto"/>
            </w:tcBorders>
            <w:shd w:val="clear" w:color="auto" w:fill="auto"/>
            <w:vAlign w:val="center"/>
          </w:tcPr>
          <w:p w14:paraId="203B1AD7" w14:textId="3F89A5F9" w:rsidR="00596B58" w:rsidRPr="00AD4780" w:rsidRDefault="00596B58" w:rsidP="00596B58">
            <w:pPr>
              <w:pStyle w:val="TableText"/>
              <w:jc w:val="center"/>
              <w:rPr>
                <w:b/>
                <w:bCs/>
                <w:lang w:val="en-US"/>
              </w:rPr>
            </w:pPr>
            <w:r w:rsidRPr="00AD4780">
              <w:rPr>
                <w:b/>
                <w:bCs/>
                <w:lang w:val="en-US"/>
              </w:rPr>
              <w:t>0.56 (0.37, 0.86)</w:t>
            </w:r>
            <w:r w:rsidRPr="00AD4780">
              <w:rPr>
                <w:b/>
                <w:bCs/>
                <w:lang w:val="en-US"/>
              </w:rPr>
              <w:br/>
              <w:t>p = 0.009</w:t>
            </w:r>
          </w:p>
        </w:tc>
        <w:tc>
          <w:tcPr>
            <w:tcW w:w="834" w:type="pct"/>
            <w:tcBorders>
              <w:top w:val="dotted" w:sz="4" w:space="0" w:color="auto"/>
            </w:tcBorders>
            <w:shd w:val="clear" w:color="auto" w:fill="auto"/>
            <w:vAlign w:val="center"/>
          </w:tcPr>
          <w:p w14:paraId="16816FA4" w14:textId="08E1A1C5" w:rsidR="00596B58" w:rsidRPr="00AD4780" w:rsidRDefault="00596B58" w:rsidP="00596B58">
            <w:pPr>
              <w:pStyle w:val="TableText"/>
              <w:jc w:val="center"/>
              <w:rPr>
                <w:b/>
                <w:bCs/>
                <w:lang w:val="en-US"/>
              </w:rPr>
            </w:pPr>
            <w:r w:rsidRPr="00AD4780">
              <w:rPr>
                <w:b/>
                <w:bCs/>
                <w:lang w:val="en-US"/>
              </w:rPr>
              <w:t>-0.03 (-0.06, -0.01)</w:t>
            </w:r>
            <w:r w:rsidRPr="00AD4780">
              <w:rPr>
                <w:b/>
                <w:bCs/>
                <w:lang w:val="en-US"/>
              </w:rPr>
              <w:br/>
              <w:t>p = 0.007</w:t>
            </w:r>
          </w:p>
        </w:tc>
      </w:tr>
      <w:tr w:rsidR="002A6BF8" w:rsidRPr="00CE28E3" w14:paraId="6B368C4B" w14:textId="77777777" w:rsidTr="0009246B">
        <w:trPr>
          <w:cantSplit/>
        </w:trPr>
        <w:tc>
          <w:tcPr>
            <w:tcW w:w="862" w:type="pct"/>
            <w:tcBorders>
              <w:right w:val="nil"/>
            </w:tcBorders>
            <w:shd w:val="clear" w:color="auto" w:fill="auto"/>
            <w:vAlign w:val="center"/>
          </w:tcPr>
          <w:p w14:paraId="069EB2CD" w14:textId="77777777" w:rsidR="002A6BF8" w:rsidRPr="000D33E6" w:rsidRDefault="002A6BF8" w:rsidP="003912C4">
            <w:pPr>
              <w:pStyle w:val="TableText"/>
              <w:keepNext/>
              <w:rPr>
                <w:b/>
                <w:bCs/>
                <w:lang w:val="en-US"/>
              </w:rPr>
            </w:pPr>
            <w:r w:rsidRPr="000D33E6">
              <w:rPr>
                <w:b/>
                <w:bCs/>
                <w:lang w:val="en-US"/>
              </w:rPr>
              <w:t>Left main lesions</w:t>
            </w:r>
            <w:r>
              <w:rPr>
                <w:b/>
                <w:bCs/>
                <w:lang w:val="en-US"/>
              </w:rPr>
              <w:t>^</w:t>
            </w:r>
          </w:p>
        </w:tc>
        <w:tc>
          <w:tcPr>
            <w:tcW w:w="707" w:type="pct"/>
            <w:tcBorders>
              <w:left w:val="nil"/>
              <w:right w:val="nil"/>
            </w:tcBorders>
            <w:vAlign w:val="center"/>
          </w:tcPr>
          <w:p w14:paraId="113E0DDC" w14:textId="77777777" w:rsidR="002A6BF8" w:rsidRPr="000D33E6" w:rsidRDefault="002A6BF8" w:rsidP="003912C4">
            <w:pPr>
              <w:pStyle w:val="TableText"/>
              <w:keepNext/>
              <w:jc w:val="center"/>
              <w:rPr>
                <w:b/>
                <w:bCs/>
                <w:lang w:val="en-US"/>
              </w:rPr>
            </w:pPr>
          </w:p>
        </w:tc>
        <w:tc>
          <w:tcPr>
            <w:tcW w:w="474" w:type="pct"/>
            <w:tcBorders>
              <w:left w:val="nil"/>
              <w:right w:val="nil"/>
            </w:tcBorders>
            <w:vAlign w:val="center"/>
          </w:tcPr>
          <w:p w14:paraId="14A66AEB" w14:textId="77777777" w:rsidR="002A6BF8" w:rsidRPr="000D33E6" w:rsidRDefault="002A6BF8" w:rsidP="003912C4">
            <w:pPr>
              <w:pStyle w:val="TableText"/>
              <w:keepNext/>
              <w:jc w:val="center"/>
              <w:rPr>
                <w:b/>
                <w:bCs/>
                <w:lang w:val="en-US"/>
              </w:rPr>
            </w:pPr>
          </w:p>
        </w:tc>
        <w:tc>
          <w:tcPr>
            <w:tcW w:w="629" w:type="pct"/>
            <w:tcBorders>
              <w:left w:val="nil"/>
              <w:right w:val="nil"/>
            </w:tcBorders>
            <w:vAlign w:val="center"/>
          </w:tcPr>
          <w:p w14:paraId="4F608379" w14:textId="77777777" w:rsidR="002A6BF8" w:rsidRPr="000D33E6" w:rsidRDefault="002A6BF8" w:rsidP="003912C4">
            <w:pPr>
              <w:pStyle w:val="TableText"/>
              <w:keepNext/>
              <w:jc w:val="center"/>
              <w:rPr>
                <w:b/>
                <w:bCs/>
                <w:lang w:val="en-US"/>
              </w:rPr>
            </w:pPr>
          </w:p>
        </w:tc>
        <w:tc>
          <w:tcPr>
            <w:tcW w:w="629" w:type="pct"/>
            <w:tcBorders>
              <w:left w:val="nil"/>
              <w:right w:val="nil"/>
            </w:tcBorders>
            <w:vAlign w:val="center"/>
          </w:tcPr>
          <w:p w14:paraId="44A0AB73" w14:textId="77777777" w:rsidR="002A6BF8" w:rsidRPr="000D33E6" w:rsidRDefault="002A6BF8" w:rsidP="003912C4">
            <w:pPr>
              <w:pStyle w:val="TableText"/>
              <w:keepNext/>
              <w:jc w:val="center"/>
              <w:rPr>
                <w:b/>
                <w:bCs/>
                <w:lang w:val="en-US"/>
              </w:rPr>
            </w:pPr>
          </w:p>
        </w:tc>
        <w:tc>
          <w:tcPr>
            <w:tcW w:w="865" w:type="pct"/>
            <w:tcBorders>
              <w:left w:val="nil"/>
              <w:right w:val="nil"/>
            </w:tcBorders>
            <w:shd w:val="clear" w:color="auto" w:fill="auto"/>
            <w:vAlign w:val="center"/>
          </w:tcPr>
          <w:p w14:paraId="62DE233B" w14:textId="77777777" w:rsidR="002A6BF8" w:rsidRPr="000D33E6" w:rsidRDefault="002A6BF8" w:rsidP="003912C4">
            <w:pPr>
              <w:pStyle w:val="TableText"/>
              <w:keepNext/>
              <w:jc w:val="center"/>
              <w:rPr>
                <w:b/>
                <w:bCs/>
                <w:lang w:val="en-US"/>
              </w:rPr>
            </w:pPr>
          </w:p>
        </w:tc>
        <w:tc>
          <w:tcPr>
            <w:tcW w:w="834" w:type="pct"/>
            <w:tcBorders>
              <w:left w:val="nil"/>
            </w:tcBorders>
            <w:shd w:val="clear" w:color="auto" w:fill="auto"/>
            <w:vAlign w:val="center"/>
          </w:tcPr>
          <w:p w14:paraId="7EFA8112" w14:textId="77777777" w:rsidR="002A6BF8" w:rsidRPr="000D33E6" w:rsidRDefault="002A6BF8" w:rsidP="003912C4">
            <w:pPr>
              <w:pStyle w:val="TableText"/>
              <w:keepNext/>
              <w:jc w:val="center"/>
              <w:rPr>
                <w:b/>
                <w:bCs/>
                <w:lang w:val="en-US"/>
              </w:rPr>
            </w:pPr>
          </w:p>
        </w:tc>
      </w:tr>
      <w:tr w:rsidR="00AD4780" w:rsidRPr="00CE28E3" w14:paraId="48971597" w14:textId="77777777" w:rsidTr="00AD4780">
        <w:trPr>
          <w:cantSplit/>
        </w:trPr>
        <w:tc>
          <w:tcPr>
            <w:tcW w:w="862" w:type="pct"/>
            <w:shd w:val="clear" w:color="auto" w:fill="auto"/>
            <w:vAlign w:val="center"/>
          </w:tcPr>
          <w:p w14:paraId="26B103B9" w14:textId="4A239981" w:rsidR="00AD4780" w:rsidRPr="00CE28E3" w:rsidRDefault="00AD4780" w:rsidP="00AD4780">
            <w:pPr>
              <w:pStyle w:val="TableText"/>
              <w:rPr>
                <w:lang w:val="en-US"/>
              </w:rPr>
            </w:pPr>
            <w:r>
              <w:rPr>
                <w:lang w:val="en-US"/>
              </w:rPr>
              <w:t>Liu 2019</w:t>
            </w:r>
            <w:r w:rsidR="00C44178">
              <w:rPr>
                <w:lang w:val="en-US"/>
              </w:rPr>
              <w:br/>
            </w:r>
            <w:r w:rsidR="00C44178" w:rsidRPr="00C44178">
              <w:rPr>
                <w:i/>
                <w:iCs/>
                <w:lang w:val="en-US"/>
              </w:rPr>
              <w:t>TLR</w:t>
            </w:r>
          </w:p>
        </w:tc>
        <w:tc>
          <w:tcPr>
            <w:tcW w:w="707" w:type="pct"/>
            <w:vAlign w:val="center"/>
          </w:tcPr>
          <w:p w14:paraId="1D32E22A" w14:textId="77777777" w:rsidR="004578AA" w:rsidRPr="002C1697" w:rsidRDefault="004578AA" w:rsidP="004578AA">
            <w:pPr>
              <w:spacing w:before="40"/>
              <w:jc w:val="center"/>
              <w:rPr>
                <w:rFonts w:ascii="Cambria Math" w:hAnsi="Cambria Math" w:cs="Cambria Math"/>
                <w:color w:val="C00000"/>
              </w:rPr>
            </w:pPr>
            <w:r w:rsidRPr="002C1697">
              <w:rPr>
                <w:rFonts w:ascii="Cambria Math" w:hAnsi="Cambria Math"/>
                <w:color w:val="00B050"/>
              </w:rPr>
              <w:t>⨁</w:t>
            </w:r>
            <w:r w:rsidRPr="002C1697">
              <w:rPr>
                <w:rFonts w:ascii="Cambria Math" w:hAnsi="Cambria Math" w:cs="Cambria Math"/>
                <w:color w:val="C00000"/>
              </w:rPr>
              <w:t>⨀⨀⨀</w:t>
            </w:r>
          </w:p>
          <w:p w14:paraId="6FE88807" w14:textId="73078B17" w:rsidR="00AD4780" w:rsidRDefault="004578AA" w:rsidP="004578AA">
            <w:pPr>
              <w:pStyle w:val="TableText"/>
              <w:jc w:val="center"/>
              <w:rPr>
                <w:lang w:val="en-US"/>
              </w:rPr>
            </w:pPr>
            <w:r w:rsidRPr="004578AA">
              <w:rPr>
                <w:rStyle w:val="CommentaryemphasisTablesmid-paragraph"/>
                <w:color w:val="auto"/>
              </w:rPr>
              <w:t>Very low</w:t>
            </w:r>
          </w:p>
        </w:tc>
        <w:tc>
          <w:tcPr>
            <w:tcW w:w="474" w:type="pct"/>
            <w:vAlign w:val="center"/>
          </w:tcPr>
          <w:p w14:paraId="46B75ABF" w14:textId="77777777" w:rsidR="00AD4780" w:rsidRPr="00CE28E3" w:rsidRDefault="00AD4780" w:rsidP="00AD4780">
            <w:pPr>
              <w:pStyle w:val="TableText"/>
              <w:jc w:val="center"/>
              <w:rPr>
                <w:lang w:val="en-US"/>
              </w:rPr>
            </w:pPr>
            <w:r>
              <w:rPr>
                <w:lang w:val="en-US"/>
              </w:rPr>
              <w:t>1 yr</w:t>
            </w:r>
          </w:p>
        </w:tc>
        <w:tc>
          <w:tcPr>
            <w:tcW w:w="629" w:type="pct"/>
            <w:vAlign w:val="center"/>
          </w:tcPr>
          <w:p w14:paraId="032121F0" w14:textId="14C4BDC6" w:rsidR="00AD4780" w:rsidRPr="00CE28E3" w:rsidRDefault="00AD4780" w:rsidP="00AD4780">
            <w:pPr>
              <w:pStyle w:val="TableText"/>
              <w:jc w:val="center"/>
              <w:rPr>
                <w:lang w:val="en-US"/>
              </w:rPr>
            </w:pPr>
            <w:r w:rsidRPr="00973BFE">
              <w:t>2/174 (1.1)</w:t>
            </w:r>
          </w:p>
        </w:tc>
        <w:tc>
          <w:tcPr>
            <w:tcW w:w="629" w:type="pct"/>
            <w:vAlign w:val="center"/>
          </w:tcPr>
          <w:p w14:paraId="291FB1C8" w14:textId="5AB11EF5" w:rsidR="00AD4780" w:rsidRPr="00CE28E3" w:rsidRDefault="00AD4780" w:rsidP="00AD4780">
            <w:pPr>
              <w:pStyle w:val="TableText"/>
              <w:jc w:val="center"/>
              <w:rPr>
                <w:lang w:val="en-US"/>
              </w:rPr>
            </w:pPr>
            <w:r w:rsidRPr="00973BFE">
              <w:t>5/174 (2.9)</w:t>
            </w:r>
          </w:p>
        </w:tc>
        <w:tc>
          <w:tcPr>
            <w:tcW w:w="865" w:type="pct"/>
            <w:shd w:val="clear" w:color="auto" w:fill="auto"/>
            <w:vAlign w:val="center"/>
          </w:tcPr>
          <w:p w14:paraId="3FF404F9" w14:textId="5FB4DC83" w:rsidR="00AD4780" w:rsidRPr="00CE28E3" w:rsidRDefault="00AD4780" w:rsidP="00AD4780">
            <w:pPr>
              <w:pStyle w:val="TableText"/>
              <w:jc w:val="center"/>
              <w:rPr>
                <w:lang w:val="en-US"/>
              </w:rPr>
            </w:pPr>
            <w:r w:rsidRPr="00AD4780">
              <w:rPr>
                <w:lang w:val="en-US"/>
              </w:rPr>
              <w:t>0.40 (0.08, 2.03)</w:t>
            </w:r>
            <w:r>
              <w:rPr>
                <w:lang w:val="en-US"/>
              </w:rPr>
              <w:br/>
            </w:r>
            <w:r w:rsidRPr="00AD4780">
              <w:rPr>
                <w:lang w:val="en-US"/>
              </w:rPr>
              <w:t>p = 0.27</w:t>
            </w:r>
          </w:p>
        </w:tc>
        <w:tc>
          <w:tcPr>
            <w:tcW w:w="834" w:type="pct"/>
            <w:shd w:val="clear" w:color="auto" w:fill="auto"/>
            <w:vAlign w:val="center"/>
          </w:tcPr>
          <w:p w14:paraId="0F6FA199" w14:textId="1CCE7CA1" w:rsidR="00AD4780" w:rsidRPr="00CE28E3" w:rsidRDefault="00AD4780" w:rsidP="00AD4780">
            <w:pPr>
              <w:pStyle w:val="TableText"/>
              <w:jc w:val="center"/>
              <w:rPr>
                <w:lang w:val="en-US"/>
              </w:rPr>
            </w:pPr>
            <w:r w:rsidRPr="00AD4780">
              <w:rPr>
                <w:lang w:val="en-US"/>
              </w:rPr>
              <w:t>-0.02 (-0.05, 0.01)</w:t>
            </w:r>
            <w:r>
              <w:rPr>
                <w:lang w:val="en-US"/>
              </w:rPr>
              <w:br/>
            </w:r>
            <w:r w:rsidRPr="00AD4780">
              <w:rPr>
                <w:lang w:val="en-US"/>
              </w:rPr>
              <w:t>p = 0.25</w:t>
            </w:r>
          </w:p>
        </w:tc>
      </w:tr>
      <w:tr w:rsidR="00AD4780" w:rsidRPr="00CE28E3" w14:paraId="7CD48FDA" w14:textId="77777777" w:rsidTr="00AD4780">
        <w:trPr>
          <w:cantSplit/>
        </w:trPr>
        <w:tc>
          <w:tcPr>
            <w:tcW w:w="862" w:type="pct"/>
            <w:shd w:val="clear" w:color="auto" w:fill="auto"/>
            <w:vAlign w:val="center"/>
          </w:tcPr>
          <w:p w14:paraId="672425BC" w14:textId="3B1DEA97" w:rsidR="00AD4780" w:rsidRPr="00CE28E3" w:rsidRDefault="00AD4780" w:rsidP="00AD4780">
            <w:pPr>
              <w:pStyle w:val="TableText"/>
              <w:rPr>
                <w:lang w:val="en-US"/>
              </w:rPr>
            </w:pPr>
            <w:r>
              <w:rPr>
                <w:lang w:val="en-US"/>
              </w:rPr>
              <w:t>Tan 2015</w:t>
            </w:r>
            <w:r w:rsidR="00C44178">
              <w:rPr>
                <w:lang w:val="en-US"/>
              </w:rPr>
              <w:t xml:space="preserve"> </w:t>
            </w:r>
            <w:r w:rsidR="00C44178">
              <w:rPr>
                <w:lang w:val="en-US"/>
              </w:rPr>
              <w:br/>
            </w:r>
            <w:r w:rsidR="00C44178" w:rsidRPr="00C44178">
              <w:rPr>
                <w:i/>
                <w:iCs/>
                <w:lang w:val="en-US"/>
              </w:rPr>
              <w:t>TLR</w:t>
            </w:r>
          </w:p>
        </w:tc>
        <w:tc>
          <w:tcPr>
            <w:tcW w:w="707" w:type="pct"/>
            <w:vAlign w:val="center"/>
          </w:tcPr>
          <w:p w14:paraId="65C06634" w14:textId="77777777" w:rsidR="004578AA" w:rsidRPr="002C1697" w:rsidRDefault="004578AA" w:rsidP="004578AA">
            <w:pPr>
              <w:spacing w:before="40"/>
              <w:jc w:val="center"/>
              <w:rPr>
                <w:rFonts w:ascii="Cambria Math" w:hAnsi="Cambria Math" w:cs="Cambria Math"/>
                <w:color w:val="C00000"/>
              </w:rPr>
            </w:pPr>
            <w:r w:rsidRPr="002C1697">
              <w:rPr>
                <w:rFonts w:ascii="Cambria Math" w:hAnsi="Cambria Math"/>
                <w:color w:val="00B050"/>
              </w:rPr>
              <w:t>⨁</w:t>
            </w:r>
            <w:r w:rsidRPr="002C1697">
              <w:rPr>
                <w:rFonts w:ascii="Cambria Math" w:hAnsi="Cambria Math" w:cs="Cambria Math"/>
                <w:color w:val="C00000"/>
              </w:rPr>
              <w:t>⨀⨀⨀</w:t>
            </w:r>
          </w:p>
          <w:p w14:paraId="70C87C01" w14:textId="036FE400" w:rsidR="00AD4780" w:rsidRDefault="004578AA" w:rsidP="004578AA">
            <w:pPr>
              <w:pStyle w:val="TableText"/>
              <w:jc w:val="center"/>
              <w:rPr>
                <w:lang w:val="en-US"/>
              </w:rPr>
            </w:pPr>
            <w:r w:rsidRPr="004578AA">
              <w:rPr>
                <w:rStyle w:val="CommentaryemphasisTablesmid-paragraph"/>
                <w:color w:val="auto"/>
              </w:rPr>
              <w:t>Very low</w:t>
            </w:r>
          </w:p>
        </w:tc>
        <w:tc>
          <w:tcPr>
            <w:tcW w:w="474" w:type="pct"/>
            <w:vAlign w:val="center"/>
          </w:tcPr>
          <w:p w14:paraId="564A22FB" w14:textId="77777777" w:rsidR="00AD4780" w:rsidRPr="00CE28E3" w:rsidRDefault="00AD4780" w:rsidP="00AD4780">
            <w:pPr>
              <w:pStyle w:val="TableText"/>
              <w:jc w:val="center"/>
              <w:rPr>
                <w:lang w:val="en-US"/>
              </w:rPr>
            </w:pPr>
            <w:r>
              <w:rPr>
                <w:lang w:val="en-US"/>
              </w:rPr>
              <w:t>2 yrs</w:t>
            </w:r>
          </w:p>
        </w:tc>
        <w:tc>
          <w:tcPr>
            <w:tcW w:w="629" w:type="pct"/>
            <w:vAlign w:val="center"/>
          </w:tcPr>
          <w:p w14:paraId="752CD152" w14:textId="57FD8886" w:rsidR="00AD4780" w:rsidRPr="00CE28E3" w:rsidRDefault="00AD4780" w:rsidP="00AD4780">
            <w:pPr>
              <w:pStyle w:val="TableText"/>
              <w:jc w:val="center"/>
              <w:rPr>
                <w:lang w:val="en-US"/>
              </w:rPr>
            </w:pPr>
            <w:r w:rsidRPr="00973BFE">
              <w:t>5/61 (8.2)</w:t>
            </w:r>
          </w:p>
        </w:tc>
        <w:tc>
          <w:tcPr>
            <w:tcW w:w="629" w:type="pct"/>
            <w:vAlign w:val="center"/>
          </w:tcPr>
          <w:p w14:paraId="53672455" w14:textId="346B6F9F" w:rsidR="00AD4780" w:rsidRPr="00CE28E3" w:rsidRDefault="00AD4780" w:rsidP="00AD4780">
            <w:pPr>
              <w:pStyle w:val="TableText"/>
              <w:jc w:val="center"/>
              <w:rPr>
                <w:lang w:val="en-US"/>
              </w:rPr>
            </w:pPr>
            <w:r w:rsidRPr="00973BFE">
              <w:t>12/62 (19.4)</w:t>
            </w:r>
          </w:p>
        </w:tc>
        <w:tc>
          <w:tcPr>
            <w:tcW w:w="865" w:type="pct"/>
            <w:shd w:val="clear" w:color="auto" w:fill="auto"/>
            <w:vAlign w:val="center"/>
          </w:tcPr>
          <w:p w14:paraId="36E9C04C" w14:textId="7D277689" w:rsidR="00AD4780" w:rsidRPr="00CE28E3" w:rsidRDefault="00AD4780" w:rsidP="00AD4780">
            <w:pPr>
              <w:pStyle w:val="TableText"/>
              <w:jc w:val="center"/>
              <w:rPr>
                <w:lang w:val="en-US"/>
              </w:rPr>
            </w:pPr>
            <w:r w:rsidRPr="00AD4780">
              <w:rPr>
                <w:lang w:val="en-US"/>
              </w:rPr>
              <w:t>0.42 (0.16, 1.13)</w:t>
            </w:r>
            <w:r>
              <w:rPr>
                <w:lang w:val="en-US"/>
              </w:rPr>
              <w:br/>
            </w:r>
            <w:r w:rsidRPr="00AD4780">
              <w:rPr>
                <w:lang w:val="en-US"/>
              </w:rPr>
              <w:t>p = 0.09</w:t>
            </w:r>
          </w:p>
        </w:tc>
        <w:tc>
          <w:tcPr>
            <w:tcW w:w="834" w:type="pct"/>
            <w:shd w:val="clear" w:color="auto" w:fill="auto"/>
            <w:vAlign w:val="center"/>
          </w:tcPr>
          <w:p w14:paraId="40830145" w14:textId="6F2DE7D7" w:rsidR="00AD4780" w:rsidRPr="00CE28E3" w:rsidRDefault="00AD4780" w:rsidP="00AD4780">
            <w:pPr>
              <w:pStyle w:val="TableText"/>
              <w:jc w:val="center"/>
              <w:rPr>
                <w:lang w:val="en-US"/>
              </w:rPr>
            </w:pPr>
            <w:r w:rsidRPr="00AD4780">
              <w:rPr>
                <w:lang w:val="en-US"/>
              </w:rPr>
              <w:t>-0.11 (-0.23, 0.01)</w:t>
            </w:r>
            <w:r>
              <w:rPr>
                <w:lang w:val="en-US"/>
              </w:rPr>
              <w:br/>
              <w:t>p = 0.07</w:t>
            </w:r>
          </w:p>
        </w:tc>
      </w:tr>
    </w:tbl>
    <w:p w14:paraId="019F8B98" w14:textId="77777777" w:rsidR="002A6BF8" w:rsidRDefault="002A6BF8" w:rsidP="00731CB3">
      <w:pPr>
        <w:pStyle w:val="TableFigureFooter"/>
        <w:spacing w:before="60" w:after="0"/>
      </w:pPr>
      <w:r>
        <w:t>CI = confidence interval; HR = hazard ratio; IVUS = intravascular ultrasound; N = number randomised; PCI = percutaneous coronary intervention; RR = risk ratio; RD = risk difference.</w:t>
      </w:r>
    </w:p>
    <w:p w14:paraId="60BB0130" w14:textId="27D6BD24" w:rsidR="002A6BF8" w:rsidRDefault="002A6BF8" w:rsidP="002A6BF8">
      <w:pPr>
        <w:pStyle w:val="TableFigureFooter"/>
        <w:spacing w:before="0" w:after="0"/>
      </w:pPr>
      <w:r>
        <w:t xml:space="preserve">Note: </w:t>
      </w:r>
      <w:r w:rsidR="005F1C7D">
        <w:t xml:space="preserve">Data are shown for the ITT population. </w:t>
      </w:r>
      <w:r>
        <w:t>Statistically significant differences are shown in bold.</w:t>
      </w:r>
    </w:p>
    <w:p w14:paraId="196AA09F" w14:textId="16266A58" w:rsidR="004578AA" w:rsidRDefault="004578AA" w:rsidP="002A6BF8">
      <w:pPr>
        <w:pStyle w:val="TableFigureFooter"/>
        <w:spacing w:before="0" w:after="0"/>
      </w:pPr>
      <w:r>
        <w:t>** Quality has been downgraded in all cases by assessment group.</w:t>
      </w:r>
    </w:p>
    <w:p w14:paraId="2D294D69" w14:textId="2F3DFDFD" w:rsidR="002A6BF8" w:rsidRDefault="002A6BF8" w:rsidP="002A6BF8">
      <w:pPr>
        <w:pStyle w:val="TableFigureFooter"/>
        <w:spacing w:before="0" w:after="0"/>
      </w:pPr>
      <w:r w:rsidRPr="002A6BF8">
        <w:rPr>
          <w:vertAlign w:val="superscript"/>
        </w:rPr>
        <w:t>#</w:t>
      </w:r>
      <w:r>
        <w:t xml:space="preserve"> Risk analysis errors were noted for IVUS-XPL during preparation of the Commentary and have been corrected.</w:t>
      </w:r>
    </w:p>
    <w:p w14:paraId="01296669" w14:textId="2B6DA0BF" w:rsidR="002A6BF8" w:rsidRDefault="002A6BF8" w:rsidP="002A6BF8">
      <w:pPr>
        <w:pStyle w:val="TableFigureFooter"/>
        <w:spacing w:before="0"/>
      </w:pPr>
      <w:r>
        <w:t>^ Meta-analysis was not appropriate because of different populations (Tan 2015 enrolled elderly patients) and durations of follow-up.</w:t>
      </w:r>
    </w:p>
    <w:p w14:paraId="381E847C" w14:textId="5A33F061" w:rsidR="001D2CA6" w:rsidRDefault="00B85CD9" w:rsidP="00B85CD9">
      <w:pPr>
        <w:pStyle w:val="Heading3"/>
      </w:pPr>
      <w:r>
        <w:t>Other outcomes</w:t>
      </w:r>
    </w:p>
    <w:p w14:paraId="15999122" w14:textId="79A43389" w:rsidR="00B85CD9" w:rsidRDefault="00B85CD9" w:rsidP="00B85CD9">
      <w:pPr>
        <w:pStyle w:val="Heading4"/>
      </w:pPr>
      <w:r>
        <w:t>All-cause mortality</w:t>
      </w:r>
    </w:p>
    <w:p w14:paraId="2B5A08AE" w14:textId="242B919B" w:rsidR="00B85CD9" w:rsidRDefault="006B04AB" w:rsidP="001D2CA6">
      <w:r>
        <w:t xml:space="preserve">In the two trials reporting </w:t>
      </w:r>
      <w:r w:rsidR="00B7678F">
        <w:t xml:space="preserve">all-cause </w:t>
      </w:r>
      <w:r>
        <w:t>mortality, rates</w:t>
      </w:r>
      <w:r w:rsidR="00B7678F">
        <w:t xml:space="preserve"> were not significantly different between arms.</w:t>
      </w:r>
    </w:p>
    <w:p w14:paraId="5CF6D950" w14:textId="2875E33F" w:rsidR="00B85CD9" w:rsidRPr="00D72C6E" w:rsidRDefault="00B85CD9" w:rsidP="00B85CD9">
      <w:pPr>
        <w:pStyle w:val="Caption"/>
        <w:rPr>
          <w:sz w:val="16"/>
          <w:szCs w:val="16"/>
        </w:rPr>
      </w:pPr>
      <w:r w:rsidRPr="00CE28E3">
        <w:t>Table</w:t>
      </w:r>
      <w:r>
        <w:t> </w:t>
      </w:r>
      <w:fldSimple w:instr=" SEQ Table \* ARABIC ">
        <w:r w:rsidR="00F03488">
          <w:rPr>
            <w:noProof/>
          </w:rPr>
          <w:t>11</w:t>
        </w:r>
      </w:fldSimple>
      <w:r w:rsidRPr="00CE28E3">
        <w:tab/>
      </w:r>
      <w:r>
        <w:t>All-cause mortality</w:t>
      </w:r>
    </w:p>
    <w:tbl>
      <w:tblPr>
        <w:tblStyle w:val="TableGrid1"/>
        <w:tblW w:w="5000" w:type="pct"/>
        <w:tblLayout w:type="fixed"/>
        <w:tblCellMar>
          <w:left w:w="28" w:type="dxa"/>
          <w:right w:w="28" w:type="dxa"/>
        </w:tblCellMar>
        <w:tblLook w:val="04A0" w:firstRow="1" w:lastRow="0" w:firstColumn="1" w:lastColumn="0" w:noHBand="0" w:noVBand="1"/>
        <w:tblDescription w:val="All-cause mortality data"/>
      </w:tblPr>
      <w:tblGrid>
        <w:gridCol w:w="1554"/>
        <w:gridCol w:w="1275"/>
        <w:gridCol w:w="855"/>
        <w:gridCol w:w="1134"/>
        <w:gridCol w:w="1134"/>
        <w:gridCol w:w="1560"/>
        <w:gridCol w:w="1504"/>
      </w:tblGrid>
      <w:tr w:rsidR="00B85CD9" w:rsidRPr="00CE28E3" w14:paraId="7B610DE7" w14:textId="77777777" w:rsidTr="0009246B">
        <w:trPr>
          <w:cnfStyle w:val="100000000000" w:firstRow="1" w:lastRow="0" w:firstColumn="0" w:lastColumn="0" w:oddVBand="0" w:evenVBand="0" w:oddHBand="0" w:evenHBand="0" w:firstRowFirstColumn="0" w:firstRowLastColumn="0" w:lastRowFirstColumn="0" w:lastRowLastColumn="0"/>
          <w:cantSplit/>
          <w:tblHeader/>
        </w:trPr>
        <w:tc>
          <w:tcPr>
            <w:tcW w:w="862" w:type="pct"/>
            <w:tcBorders>
              <w:bottom w:val="single" w:sz="4" w:space="0" w:color="auto"/>
            </w:tcBorders>
            <w:shd w:val="clear" w:color="auto" w:fill="auto"/>
            <w:vAlign w:val="center"/>
          </w:tcPr>
          <w:p w14:paraId="04FBC994" w14:textId="6C880525" w:rsidR="00B85CD9" w:rsidRPr="00CE28E3" w:rsidRDefault="00B85CD9" w:rsidP="00E27AF4">
            <w:pPr>
              <w:pStyle w:val="In-tableHeading"/>
              <w:spacing w:before="0"/>
            </w:pPr>
            <w:r>
              <w:t>Trial ID</w:t>
            </w:r>
          </w:p>
        </w:tc>
        <w:tc>
          <w:tcPr>
            <w:tcW w:w="707" w:type="pct"/>
            <w:tcBorders>
              <w:bottom w:val="single" w:sz="4" w:space="0" w:color="auto"/>
            </w:tcBorders>
            <w:vAlign w:val="center"/>
          </w:tcPr>
          <w:p w14:paraId="4A70DB60" w14:textId="3089CAA0" w:rsidR="00B85CD9" w:rsidRDefault="00FF0176" w:rsidP="00E27AF4">
            <w:pPr>
              <w:pStyle w:val="In-tableHeading"/>
              <w:spacing w:before="0"/>
              <w:jc w:val="center"/>
            </w:pPr>
            <w:r>
              <w:t>Quality**</w:t>
            </w:r>
          </w:p>
        </w:tc>
        <w:tc>
          <w:tcPr>
            <w:tcW w:w="474" w:type="pct"/>
            <w:tcBorders>
              <w:bottom w:val="single" w:sz="4" w:space="0" w:color="auto"/>
            </w:tcBorders>
            <w:vAlign w:val="center"/>
          </w:tcPr>
          <w:p w14:paraId="669CDCF2" w14:textId="77777777" w:rsidR="00B85CD9" w:rsidRDefault="00B85CD9" w:rsidP="00E27AF4">
            <w:pPr>
              <w:pStyle w:val="In-tableHeading"/>
              <w:spacing w:before="0"/>
              <w:jc w:val="center"/>
            </w:pPr>
            <w:r>
              <w:t>Timepoint</w:t>
            </w:r>
          </w:p>
        </w:tc>
        <w:tc>
          <w:tcPr>
            <w:tcW w:w="629" w:type="pct"/>
            <w:tcBorders>
              <w:bottom w:val="single" w:sz="4" w:space="0" w:color="auto"/>
            </w:tcBorders>
            <w:vAlign w:val="center"/>
          </w:tcPr>
          <w:p w14:paraId="2AD51F69" w14:textId="77777777" w:rsidR="00B85CD9" w:rsidRDefault="00B85CD9" w:rsidP="00E27AF4">
            <w:pPr>
              <w:pStyle w:val="In-tableHeading"/>
              <w:spacing w:before="0"/>
              <w:jc w:val="center"/>
            </w:pPr>
            <w:r>
              <w:t>IVUS-guided PCI</w:t>
            </w:r>
            <w:r>
              <w:br/>
              <w:t>n/N (%)</w:t>
            </w:r>
          </w:p>
        </w:tc>
        <w:tc>
          <w:tcPr>
            <w:tcW w:w="629" w:type="pct"/>
            <w:tcBorders>
              <w:bottom w:val="single" w:sz="4" w:space="0" w:color="auto"/>
            </w:tcBorders>
            <w:vAlign w:val="center"/>
          </w:tcPr>
          <w:p w14:paraId="4D22BD69" w14:textId="77777777" w:rsidR="00B85CD9" w:rsidRDefault="00B85CD9" w:rsidP="00E27AF4">
            <w:pPr>
              <w:pStyle w:val="In-tableHeading"/>
              <w:spacing w:before="0"/>
              <w:jc w:val="center"/>
            </w:pPr>
            <w:r>
              <w:t>Angiography-guided PCI</w:t>
            </w:r>
            <w:r>
              <w:br/>
              <w:t>n/N (%)</w:t>
            </w:r>
          </w:p>
        </w:tc>
        <w:tc>
          <w:tcPr>
            <w:tcW w:w="865" w:type="pct"/>
            <w:tcBorders>
              <w:bottom w:val="single" w:sz="4" w:space="0" w:color="auto"/>
            </w:tcBorders>
            <w:shd w:val="clear" w:color="auto" w:fill="auto"/>
            <w:vAlign w:val="center"/>
          </w:tcPr>
          <w:p w14:paraId="48C93CCF" w14:textId="77777777" w:rsidR="00B85CD9" w:rsidRPr="00CE28E3" w:rsidRDefault="00B85CD9" w:rsidP="00E27AF4">
            <w:pPr>
              <w:pStyle w:val="In-tableHeading"/>
              <w:spacing w:before="0"/>
              <w:jc w:val="center"/>
            </w:pPr>
            <w:r>
              <w:t>RR (95% CI)</w:t>
            </w:r>
            <w:r>
              <w:br/>
              <w:t>p-value</w:t>
            </w:r>
          </w:p>
        </w:tc>
        <w:tc>
          <w:tcPr>
            <w:tcW w:w="834" w:type="pct"/>
            <w:shd w:val="clear" w:color="auto" w:fill="auto"/>
            <w:vAlign w:val="center"/>
          </w:tcPr>
          <w:p w14:paraId="6B2EBEF8" w14:textId="77777777" w:rsidR="00B85CD9" w:rsidRPr="00CE28E3" w:rsidRDefault="00B85CD9" w:rsidP="00E27AF4">
            <w:pPr>
              <w:pStyle w:val="In-tableHeading"/>
              <w:spacing w:before="0"/>
              <w:jc w:val="center"/>
            </w:pPr>
            <w:r>
              <w:t>RD (95% CI)</w:t>
            </w:r>
            <w:r>
              <w:br/>
              <w:t>p-value</w:t>
            </w:r>
          </w:p>
        </w:tc>
      </w:tr>
      <w:tr w:rsidR="00B85CD9" w:rsidRPr="00CE28E3" w14:paraId="51DAFF2C" w14:textId="77777777" w:rsidTr="0009246B">
        <w:trPr>
          <w:cantSplit/>
        </w:trPr>
        <w:tc>
          <w:tcPr>
            <w:tcW w:w="862" w:type="pct"/>
            <w:tcBorders>
              <w:bottom w:val="single" w:sz="4" w:space="0" w:color="auto"/>
              <w:right w:val="nil"/>
            </w:tcBorders>
            <w:shd w:val="clear" w:color="auto" w:fill="auto"/>
            <w:vAlign w:val="center"/>
          </w:tcPr>
          <w:p w14:paraId="555F40A4" w14:textId="77777777" w:rsidR="00B85CD9" w:rsidRPr="000D33E6" w:rsidRDefault="00B85CD9" w:rsidP="00E27AF4">
            <w:pPr>
              <w:pStyle w:val="TableText"/>
              <w:spacing w:before="0" w:after="0"/>
              <w:rPr>
                <w:b/>
                <w:bCs/>
                <w:lang w:val="en-US"/>
              </w:rPr>
            </w:pPr>
            <w:r w:rsidRPr="000D33E6">
              <w:rPr>
                <w:b/>
                <w:bCs/>
                <w:lang w:val="en-US"/>
              </w:rPr>
              <w:t>All-comers</w:t>
            </w:r>
          </w:p>
        </w:tc>
        <w:tc>
          <w:tcPr>
            <w:tcW w:w="707" w:type="pct"/>
            <w:tcBorders>
              <w:left w:val="nil"/>
              <w:bottom w:val="single" w:sz="4" w:space="0" w:color="auto"/>
              <w:right w:val="nil"/>
            </w:tcBorders>
            <w:vAlign w:val="center"/>
          </w:tcPr>
          <w:p w14:paraId="423FB8CE" w14:textId="77777777" w:rsidR="00B85CD9" w:rsidRPr="000D33E6" w:rsidRDefault="00B85CD9" w:rsidP="00E27AF4">
            <w:pPr>
              <w:pStyle w:val="TableText"/>
              <w:spacing w:before="0" w:after="0"/>
              <w:jc w:val="center"/>
              <w:rPr>
                <w:b/>
                <w:bCs/>
                <w:lang w:val="en-US"/>
              </w:rPr>
            </w:pPr>
          </w:p>
        </w:tc>
        <w:tc>
          <w:tcPr>
            <w:tcW w:w="474" w:type="pct"/>
            <w:tcBorders>
              <w:left w:val="nil"/>
              <w:bottom w:val="single" w:sz="4" w:space="0" w:color="auto"/>
              <w:right w:val="nil"/>
            </w:tcBorders>
            <w:vAlign w:val="center"/>
          </w:tcPr>
          <w:p w14:paraId="21A19FE3" w14:textId="77777777" w:rsidR="00B85CD9" w:rsidRPr="000D33E6" w:rsidRDefault="00B85CD9" w:rsidP="00E27AF4">
            <w:pPr>
              <w:pStyle w:val="TableText"/>
              <w:spacing w:before="0" w:after="0"/>
              <w:jc w:val="center"/>
              <w:rPr>
                <w:b/>
                <w:bCs/>
                <w:lang w:val="en-US"/>
              </w:rPr>
            </w:pPr>
          </w:p>
        </w:tc>
        <w:tc>
          <w:tcPr>
            <w:tcW w:w="629" w:type="pct"/>
            <w:tcBorders>
              <w:left w:val="nil"/>
              <w:bottom w:val="single" w:sz="4" w:space="0" w:color="auto"/>
              <w:right w:val="nil"/>
            </w:tcBorders>
            <w:vAlign w:val="center"/>
          </w:tcPr>
          <w:p w14:paraId="507F9444" w14:textId="77777777" w:rsidR="00B85CD9" w:rsidRPr="000D33E6" w:rsidRDefault="00B85CD9" w:rsidP="00E27AF4">
            <w:pPr>
              <w:pStyle w:val="TableText"/>
              <w:spacing w:before="0" w:after="0"/>
              <w:jc w:val="center"/>
              <w:rPr>
                <w:b/>
                <w:bCs/>
                <w:lang w:val="en-US"/>
              </w:rPr>
            </w:pPr>
          </w:p>
        </w:tc>
        <w:tc>
          <w:tcPr>
            <w:tcW w:w="629" w:type="pct"/>
            <w:tcBorders>
              <w:left w:val="nil"/>
              <w:bottom w:val="single" w:sz="4" w:space="0" w:color="auto"/>
              <w:right w:val="nil"/>
            </w:tcBorders>
            <w:vAlign w:val="center"/>
          </w:tcPr>
          <w:p w14:paraId="4967D583" w14:textId="77777777" w:rsidR="00B85CD9" w:rsidRPr="000D33E6" w:rsidRDefault="00B85CD9" w:rsidP="00E27AF4">
            <w:pPr>
              <w:pStyle w:val="TableText"/>
              <w:spacing w:before="0" w:after="0"/>
              <w:jc w:val="center"/>
              <w:rPr>
                <w:b/>
                <w:bCs/>
                <w:lang w:val="en-US"/>
              </w:rPr>
            </w:pPr>
          </w:p>
        </w:tc>
        <w:tc>
          <w:tcPr>
            <w:tcW w:w="865" w:type="pct"/>
            <w:tcBorders>
              <w:left w:val="nil"/>
              <w:bottom w:val="single" w:sz="4" w:space="0" w:color="auto"/>
              <w:right w:val="nil"/>
            </w:tcBorders>
            <w:shd w:val="clear" w:color="auto" w:fill="auto"/>
            <w:vAlign w:val="center"/>
          </w:tcPr>
          <w:p w14:paraId="2F76D024" w14:textId="77777777" w:rsidR="00B85CD9" w:rsidRPr="000D33E6" w:rsidRDefault="00B85CD9" w:rsidP="00E27AF4">
            <w:pPr>
              <w:pStyle w:val="TableText"/>
              <w:spacing w:before="0" w:after="0"/>
              <w:jc w:val="center"/>
              <w:rPr>
                <w:b/>
                <w:bCs/>
                <w:lang w:val="en-US"/>
              </w:rPr>
            </w:pPr>
          </w:p>
        </w:tc>
        <w:tc>
          <w:tcPr>
            <w:tcW w:w="834" w:type="pct"/>
            <w:tcBorders>
              <w:left w:val="nil"/>
              <w:bottom w:val="single" w:sz="4" w:space="0" w:color="auto"/>
            </w:tcBorders>
            <w:shd w:val="clear" w:color="auto" w:fill="auto"/>
            <w:vAlign w:val="center"/>
          </w:tcPr>
          <w:p w14:paraId="7C1BCED7" w14:textId="77777777" w:rsidR="00B85CD9" w:rsidRPr="000D33E6" w:rsidRDefault="00B85CD9" w:rsidP="00E27AF4">
            <w:pPr>
              <w:pStyle w:val="TableText"/>
              <w:spacing w:before="0" w:after="0"/>
              <w:jc w:val="center"/>
              <w:rPr>
                <w:b/>
                <w:bCs/>
                <w:lang w:val="en-US"/>
              </w:rPr>
            </w:pPr>
          </w:p>
        </w:tc>
      </w:tr>
      <w:tr w:rsidR="00A317D0" w:rsidRPr="00CE28E3" w14:paraId="591AC5DE" w14:textId="77777777" w:rsidTr="00A317D0">
        <w:trPr>
          <w:cantSplit/>
        </w:trPr>
        <w:tc>
          <w:tcPr>
            <w:tcW w:w="862" w:type="pct"/>
            <w:tcBorders>
              <w:bottom w:val="nil"/>
            </w:tcBorders>
            <w:shd w:val="clear" w:color="auto" w:fill="auto"/>
            <w:vAlign w:val="center"/>
          </w:tcPr>
          <w:p w14:paraId="597C1892" w14:textId="288F162F" w:rsidR="00A317D0" w:rsidRPr="00685DF6" w:rsidRDefault="00A317D0" w:rsidP="00E27AF4">
            <w:pPr>
              <w:pStyle w:val="TableText"/>
              <w:spacing w:before="0" w:after="0"/>
              <w:rPr>
                <w:lang w:val="en-US"/>
              </w:rPr>
            </w:pPr>
            <w:r>
              <w:rPr>
                <w:lang w:val="en-US"/>
              </w:rPr>
              <w:t>ULTIMATE</w:t>
            </w:r>
            <w:r w:rsidR="00B7678F" w:rsidRPr="00B7678F">
              <w:rPr>
                <w:vertAlign w:val="superscript"/>
                <w:lang w:val="en-US"/>
              </w:rPr>
              <w:t>#</w:t>
            </w:r>
          </w:p>
        </w:tc>
        <w:tc>
          <w:tcPr>
            <w:tcW w:w="707" w:type="pct"/>
            <w:tcBorders>
              <w:bottom w:val="nil"/>
            </w:tcBorders>
            <w:vAlign w:val="center"/>
          </w:tcPr>
          <w:p w14:paraId="7D11E18E" w14:textId="77777777" w:rsidR="00FF0176" w:rsidRDefault="00FF0176" w:rsidP="00E27AF4">
            <w:pPr>
              <w:spacing w:before="0" w:after="0"/>
              <w:jc w:val="center"/>
              <w:rPr>
                <w:rFonts w:ascii="Cambria Math" w:hAnsi="Cambria Math" w:cs="Cambria Math"/>
                <w:color w:val="C00000"/>
              </w:rPr>
            </w:pPr>
            <w:r w:rsidRPr="002C1697">
              <w:rPr>
                <w:rFonts w:ascii="Cambria Math" w:hAnsi="Cambria Math"/>
                <w:color w:val="00B050"/>
              </w:rPr>
              <w:t>⨁⨁⨁</w:t>
            </w:r>
            <w:r w:rsidRPr="002C1697">
              <w:rPr>
                <w:rFonts w:ascii="Cambria Math" w:hAnsi="Cambria Math" w:cs="Cambria Math"/>
                <w:color w:val="C00000"/>
              </w:rPr>
              <w:t>⨀</w:t>
            </w:r>
          </w:p>
          <w:p w14:paraId="08C76DDD" w14:textId="312F27CE" w:rsidR="00A317D0" w:rsidRDefault="00FF0176" w:rsidP="00E27AF4">
            <w:pPr>
              <w:pStyle w:val="TableText"/>
              <w:spacing w:before="0" w:after="0"/>
              <w:jc w:val="center"/>
              <w:rPr>
                <w:lang w:val="en-US"/>
              </w:rPr>
            </w:pPr>
            <w:r w:rsidRPr="004578AA">
              <w:rPr>
                <w:sz w:val="18"/>
                <w:szCs w:val="18"/>
              </w:rPr>
              <w:t>Moderate</w:t>
            </w:r>
          </w:p>
        </w:tc>
        <w:tc>
          <w:tcPr>
            <w:tcW w:w="474" w:type="pct"/>
            <w:tcBorders>
              <w:bottom w:val="dotted" w:sz="4" w:space="0" w:color="auto"/>
            </w:tcBorders>
            <w:vAlign w:val="center"/>
          </w:tcPr>
          <w:p w14:paraId="65CE5C13" w14:textId="77777777" w:rsidR="00A317D0" w:rsidRPr="00CE28E3" w:rsidRDefault="00A317D0" w:rsidP="00E27AF4">
            <w:pPr>
              <w:pStyle w:val="TableText"/>
              <w:spacing w:before="0" w:after="0"/>
              <w:jc w:val="center"/>
              <w:rPr>
                <w:lang w:val="en-US"/>
              </w:rPr>
            </w:pPr>
            <w:r>
              <w:rPr>
                <w:lang w:val="en-US"/>
              </w:rPr>
              <w:t>1 yr</w:t>
            </w:r>
          </w:p>
        </w:tc>
        <w:tc>
          <w:tcPr>
            <w:tcW w:w="629" w:type="pct"/>
            <w:tcBorders>
              <w:bottom w:val="dotted" w:sz="4" w:space="0" w:color="auto"/>
            </w:tcBorders>
            <w:vAlign w:val="center"/>
          </w:tcPr>
          <w:p w14:paraId="38AF25DC" w14:textId="12537304" w:rsidR="00A317D0" w:rsidRPr="00CE28E3" w:rsidRDefault="00A317D0" w:rsidP="00E27AF4">
            <w:pPr>
              <w:pStyle w:val="TableText"/>
              <w:spacing w:before="0" w:after="0"/>
              <w:jc w:val="center"/>
              <w:rPr>
                <w:lang w:val="en-US"/>
              </w:rPr>
            </w:pPr>
            <w:r w:rsidRPr="00EA7404">
              <w:t>10/724 (1.4)</w:t>
            </w:r>
          </w:p>
        </w:tc>
        <w:tc>
          <w:tcPr>
            <w:tcW w:w="629" w:type="pct"/>
            <w:tcBorders>
              <w:bottom w:val="dotted" w:sz="4" w:space="0" w:color="auto"/>
            </w:tcBorders>
            <w:vAlign w:val="center"/>
          </w:tcPr>
          <w:p w14:paraId="324C4469" w14:textId="26702E9B" w:rsidR="00A317D0" w:rsidRPr="00CE28E3" w:rsidRDefault="00A317D0" w:rsidP="00E27AF4">
            <w:pPr>
              <w:pStyle w:val="TableText"/>
              <w:spacing w:before="0" w:after="0"/>
              <w:jc w:val="center"/>
              <w:rPr>
                <w:lang w:val="en-US"/>
              </w:rPr>
            </w:pPr>
            <w:r w:rsidRPr="00EA7404">
              <w:t>17/724 (2.3)</w:t>
            </w:r>
          </w:p>
        </w:tc>
        <w:tc>
          <w:tcPr>
            <w:tcW w:w="865" w:type="pct"/>
            <w:tcBorders>
              <w:bottom w:val="dotted" w:sz="4" w:space="0" w:color="auto"/>
            </w:tcBorders>
            <w:shd w:val="clear" w:color="auto" w:fill="auto"/>
            <w:vAlign w:val="center"/>
          </w:tcPr>
          <w:p w14:paraId="32E941AB" w14:textId="1B31313D" w:rsidR="00A317D0" w:rsidRPr="00CE28E3" w:rsidRDefault="00A317D0" w:rsidP="00E27AF4">
            <w:pPr>
              <w:pStyle w:val="TableText"/>
              <w:spacing w:before="0" w:after="0"/>
              <w:jc w:val="center"/>
              <w:rPr>
                <w:lang w:val="en-US"/>
              </w:rPr>
            </w:pPr>
            <w:r w:rsidRPr="00A317D0">
              <w:rPr>
                <w:lang w:val="en-US"/>
              </w:rPr>
              <w:t>0.59 (0.27, 1.28)</w:t>
            </w:r>
            <w:r>
              <w:rPr>
                <w:lang w:val="en-US"/>
              </w:rPr>
              <w:br/>
            </w:r>
            <w:r w:rsidRPr="00A317D0">
              <w:rPr>
                <w:lang w:val="en-US"/>
              </w:rPr>
              <w:t>p = 0.18</w:t>
            </w:r>
          </w:p>
        </w:tc>
        <w:tc>
          <w:tcPr>
            <w:tcW w:w="834" w:type="pct"/>
            <w:tcBorders>
              <w:bottom w:val="dotted" w:sz="4" w:space="0" w:color="auto"/>
            </w:tcBorders>
            <w:shd w:val="clear" w:color="auto" w:fill="auto"/>
            <w:vAlign w:val="center"/>
          </w:tcPr>
          <w:p w14:paraId="39890893" w14:textId="6DBBC57E" w:rsidR="00A317D0" w:rsidRPr="00CE28E3" w:rsidRDefault="00A317D0" w:rsidP="00E27AF4">
            <w:pPr>
              <w:pStyle w:val="TableText"/>
              <w:spacing w:before="0" w:after="0"/>
              <w:jc w:val="center"/>
              <w:rPr>
                <w:lang w:val="en-US"/>
              </w:rPr>
            </w:pPr>
            <w:r w:rsidRPr="00A317D0">
              <w:rPr>
                <w:lang w:val="en-US"/>
              </w:rPr>
              <w:t>-0.01 (-0.02, 0.00)</w:t>
            </w:r>
            <w:r>
              <w:rPr>
                <w:lang w:val="en-US"/>
              </w:rPr>
              <w:br/>
            </w:r>
            <w:r w:rsidRPr="00A317D0">
              <w:rPr>
                <w:lang w:val="en-US"/>
              </w:rPr>
              <w:t>p = 0.17</w:t>
            </w:r>
          </w:p>
        </w:tc>
      </w:tr>
      <w:tr w:rsidR="00A317D0" w:rsidRPr="00CE28E3" w14:paraId="41E93F97" w14:textId="77777777" w:rsidTr="00A317D0">
        <w:trPr>
          <w:cantSplit/>
        </w:trPr>
        <w:tc>
          <w:tcPr>
            <w:tcW w:w="862" w:type="pct"/>
            <w:tcBorders>
              <w:top w:val="nil"/>
              <w:bottom w:val="nil"/>
            </w:tcBorders>
            <w:shd w:val="clear" w:color="auto" w:fill="auto"/>
            <w:vAlign w:val="center"/>
          </w:tcPr>
          <w:p w14:paraId="7325C703" w14:textId="77777777" w:rsidR="00A317D0" w:rsidRDefault="00A317D0" w:rsidP="00E27AF4">
            <w:pPr>
              <w:pStyle w:val="TableText"/>
              <w:spacing w:before="0" w:after="0"/>
              <w:rPr>
                <w:lang w:val="en-US"/>
              </w:rPr>
            </w:pPr>
          </w:p>
        </w:tc>
        <w:tc>
          <w:tcPr>
            <w:tcW w:w="707" w:type="pct"/>
            <w:tcBorders>
              <w:top w:val="nil"/>
              <w:bottom w:val="nil"/>
            </w:tcBorders>
            <w:vAlign w:val="center"/>
          </w:tcPr>
          <w:p w14:paraId="0B50B77A" w14:textId="77777777" w:rsidR="00A317D0" w:rsidRDefault="00A317D0" w:rsidP="00E27AF4">
            <w:pPr>
              <w:pStyle w:val="TableText"/>
              <w:spacing w:before="0" w:after="0"/>
              <w:jc w:val="center"/>
              <w:rPr>
                <w:lang w:val="en-US"/>
              </w:rPr>
            </w:pPr>
          </w:p>
        </w:tc>
        <w:tc>
          <w:tcPr>
            <w:tcW w:w="474" w:type="pct"/>
            <w:tcBorders>
              <w:top w:val="dotted" w:sz="4" w:space="0" w:color="auto"/>
              <w:bottom w:val="dotted" w:sz="4" w:space="0" w:color="auto"/>
            </w:tcBorders>
            <w:vAlign w:val="center"/>
          </w:tcPr>
          <w:p w14:paraId="329B80B0" w14:textId="77777777" w:rsidR="00A317D0" w:rsidRPr="00CE28E3" w:rsidRDefault="00A317D0" w:rsidP="00E27AF4">
            <w:pPr>
              <w:pStyle w:val="TableText"/>
              <w:spacing w:before="0" w:after="0"/>
              <w:jc w:val="center"/>
              <w:rPr>
                <w:lang w:val="en-US"/>
              </w:rPr>
            </w:pPr>
            <w:r>
              <w:rPr>
                <w:lang w:val="en-US"/>
              </w:rPr>
              <w:t>2 yrs</w:t>
            </w:r>
          </w:p>
        </w:tc>
        <w:tc>
          <w:tcPr>
            <w:tcW w:w="629" w:type="pct"/>
            <w:tcBorders>
              <w:top w:val="dotted" w:sz="4" w:space="0" w:color="auto"/>
              <w:bottom w:val="dotted" w:sz="4" w:space="0" w:color="auto"/>
            </w:tcBorders>
            <w:vAlign w:val="center"/>
          </w:tcPr>
          <w:p w14:paraId="12A4B0B7" w14:textId="38B8B518" w:rsidR="00A317D0" w:rsidRPr="00CE28E3" w:rsidRDefault="00A317D0" w:rsidP="00E27AF4">
            <w:pPr>
              <w:pStyle w:val="TableText"/>
              <w:spacing w:before="0" w:after="0"/>
              <w:jc w:val="center"/>
              <w:rPr>
                <w:lang w:val="en-US"/>
              </w:rPr>
            </w:pPr>
            <w:r w:rsidRPr="00EA7404">
              <w:t>24/724 (3.3)</w:t>
            </w:r>
          </w:p>
        </w:tc>
        <w:tc>
          <w:tcPr>
            <w:tcW w:w="629" w:type="pct"/>
            <w:tcBorders>
              <w:top w:val="dotted" w:sz="4" w:space="0" w:color="auto"/>
              <w:bottom w:val="dotted" w:sz="4" w:space="0" w:color="auto"/>
            </w:tcBorders>
            <w:vAlign w:val="center"/>
          </w:tcPr>
          <w:p w14:paraId="531C089D" w14:textId="210829D2" w:rsidR="00A317D0" w:rsidRPr="00CE28E3" w:rsidRDefault="00A317D0" w:rsidP="00E27AF4">
            <w:pPr>
              <w:pStyle w:val="TableText"/>
              <w:spacing w:before="0" w:after="0"/>
              <w:jc w:val="center"/>
              <w:rPr>
                <w:lang w:val="en-US"/>
              </w:rPr>
            </w:pPr>
            <w:r w:rsidRPr="00EA7404">
              <w:t>27/724 (3.7)</w:t>
            </w:r>
          </w:p>
        </w:tc>
        <w:tc>
          <w:tcPr>
            <w:tcW w:w="865" w:type="pct"/>
            <w:tcBorders>
              <w:top w:val="dotted" w:sz="4" w:space="0" w:color="auto"/>
              <w:bottom w:val="dotted" w:sz="4" w:space="0" w:color="auto"/>
            </w:tcBorders>
            <w:shd w:val="clear" w:color="auto" w:fill="auto"/>
          </w:tcPr>
          <w:p w14:paraId="75834859" w14:textId="77422A40" w:rsidR="00A317D0" w:rsidRPr="00CE28E3" w:rsidRDefault="00A317D0" w:rsidP="00E27AF4">
            <w:pPr>
              <w:pStyle w:val="TableText"/>
              <w:spacing w:before="0" w:after="0"/>
              <w:jc w:val="center"/>
              <w:rPr>
                <w:lang w:val="en-US"/>
              </w:rPr>
            </w:pPr>
            <w:r w:rsidRPr="00A317D0">
              <w:rPr>
                <w:lang w:val="en-US"/>
              </w:rPr>
              <w:t>0.89 (0.52, 1.53)</w:t>
            </w:r>
            <w:r>
              <w:rPr>
                <w:lang w:val="en-US"/>
              </w:rPr>
              <w:br/>
            </w:r>
            <w:r w:rsidRPr="00A317D0">
              <w:rPr>
                <w:lang w:val="en-US"/>
              </w:rPr>
              <w:t>p = 0.68</w:t>
            </w:r>
          </w:p>
        </w:tc>
        <w:tc>
          <w:tcPr>
            <w:tcW w:w="834" w:type="pct"/>
            <w:tcBorders>
              <w:top w:val="dotted" w:sz="4" w:space="0" w:color="auto"/>
              <w:bottom w:val="dotted" w:sz="4" w:space="0" w:color="auto"/>
            </w:tcBorders>
            <w:shd w:val="clear" w:color="auto" w:fill="auto"/>
          </w:tcPr>
          <w:p w14:paraId="487B6BF4" w14:textId="70ECC1F4" w:rsidR="00A317D0" w:rsidRPr="001D2CA6" w:rsidRDefault="00A317D0" w:rsidP="00E27AF4">
            <w:pPr>
              <w:pStyle w:val="TableText"/>
              <w:spacing w:before="0" w:after="0"/>
              <w:jc w:val="center"/>
              <w:rPr>
                <w:lang w:val="en-US"/>
              </w:rPr>
            </w:pPr>
            <w:r w:rsidRPr="00A317D0">
              <w:rPr>
                <w:lang w:val="en-US"/>
              </w:rPr>
              <w:t>-0.00 (-0.02, 0.01)</w:t>
            </w:r>
            <w:r>
              <w:rPr>
                <w:lang w:val="en-US"/>
              </w:rPr>
              <w:br/>
            </w:r>
            <w:r w:rsidRPr="00A317D0">
              <w:rPr>
                <w:lang w:val="en-US"/>
              </w:rPr>
              <w:t>p = 0.67</w:t>
            </w:r>
          </w:p>
        </w:tc>
      </w:tr>
      <w:tr w:rsidR="00A317D0" w:rsidRPr="00CE28E3" w14:paraId="570F41E6" w14:textId="77777777" w:rsidTr="00A317D0">
        <w:trPr>
          <w:cantSplit/>
        </w:trPr>
        <w:tc>
          <w:tcPr>
            <w:tcW w:w="862" w:type="pct"/>
            <w:tcBorders>
              <w:top w:val="nil"/>
              <w:bottom w:val="single" w:sz="4" w:space="0" w:color="auto"/>
            </w:tcBorders>
            <w:shd w:val="clear" w:color="auto" w:fill="auto"/>
            <w:vAlign w:val="center"/>
          </w:tcPr>
          <w:p w14:paraId="2C39566E" w14:textId="77777777" w:rsidR="00A317D0" w:rsidRDefault="00A317D0" w:rsidP="00E27AF4">
            <w:pPr>
              <w:pStyle w:val="TableText"/>
              <w:spacing w:before="0" w:after="0"/>
              <w:rPr>
                <w:lang w:val="en-US"/>
              </w:rPr>
            </w:pPr>
          </w:p>
        </w:tc>
        <w:tc>
          <w:tcPr>
            <w:tcW w:w="707" w:type="pct"/>
            <w:tcBorders>
              <w:top w:val="nil"/>
              <w:bottom w:val="single" w:sz="4" w:space="0" w:color="auto"/>
            </w:tcBorders>
            <w:vAlign w:val="center"/>
          </w:tcPr>
          <w:p w14:paraId="2EB573E2" w14:textId="77777777" w:rsidR="00A317D0" w:rsidRDefault="00A317D0" w:rsidP="00E27AF4">
            <w:pPr>
              <w:pStyle w:val="TableText"/>
              <w:spacing w:before="0" w:after="0"/>
              <w:jc w:val="center"/>
              <w:rPr>
                <w:lang w:val="en-US"/>
              </w:rPr>
            </w:pPr>
          </w:p>
        </w:tc>
        <w:tc>
          <w:tcPr>
            <w:tcW w:w="474" w:type="pct"/>
            <w:tcBorders>
              <w:top w:val="dotted" w:sz="4" w:space="0" w:color="auto"/>
              <w:bottom w:val="single" w:sz="4" w:space="0" w:color="auto"/>
            </w:tcBorders>
            <w:vAlign w:val="center"/>
          </w:tcPr>
          <w:p w14:paraId="022B683E" w14:textId="77777777" w:rsidR="00A317D0" w:rsidRPr="00CE28E3" w:rsidRDefault="00A317D0" w:rsidP="00E27AF4">
            <w:pPr>
              <w:pStyle w:val="TableText"/>
              <w:spacing w:before="0" w:after="0"/>
              <w:jc w:val="center"/>
              <w:rPr>
                <w:lang w:val="en-US"/>
              </w:rPr>
            </w:pPr>
            <w:r>
              <w:rPr>
                <w:lang w:val="en-US"/>
              </w:rPr>
              <w:t>3 yrs</w:t>
            </w:r>
          </w:p>
        </w:tc>
        <w:tc>
          <w:tcPr>
            <w:tcW w:w="629" w:type="pct"/>
            <w:tcBorders>
              <w:top w:val="dotted" w:sz="4" w:space="0" w:color="auto"/>
              <w:bottom w:val="single" w:sz="4" w:space="0" w:color="auto"/>
            </w:tcBorders>
            <w:vAlign w:val="center"/>
          </w:tcPr>
          <w:p w14:paraId="564ABC68" w14:textId="69BA3B08" w:rsidR="00A317D0" w:rsidRPr="00CE28E3" w:rsidRDefault="00A317D0" w:rsidP="00E27AF4">
            <w:pPr>
              <w:pStyle w:val="TableText"/>
              <w:spacing w:before="0" w:after="0"/>
              <w:jc w:val="center"/>
              <w:rPr>
                <w:lang w:val="en-US"/>
              </w:rPr>
            </w:pPr>
            <w:r w:rsidRPr="00EA7404">
              <w:t>31/724 (4.3)</w:t>
            </w:r>
          </w:p>
        </w:tc>
        <w:tc>
          <w:tcPr>
            <w:tcW w:w="629" w:type="pct"/>
            <w:tcBorders>
              <w:top w:val="dotted" w:sz="4" w:space="0" w:color="auto"/>
              <w:bottom w:val="single" w:sz="4" w:space="0" w:color="auto"/>
            </w:tcBorders>
            <w:vAlign w:val="center"/>
          </w:tcPr>
          <w:p w14:paraId="0C2AD03B" w14:textId="280FB922" w:rsidR="00A317D0" w:rsidRPr="00CE28E3" w:rsidRDefault="00A317D0" w:rsidP="00E27AF4">
            <w:pPr>
              <w:pStyle w:val="TableText"/>
              <w:spacing w:before="0" w:after="0"/>
              <w:jc w:val="center"/>
              <w:rPr>
                <w:lang w:val="en-US"/>
              </w:rPr>
            </w:pPr>
            <w:r w:rsidRPr="00EA7404">
              <w:t>31/724 (4.3)</w:t>
            </w:r>
          </w:p>
        </w:tc>
        <w:tc>
          <w:tcPr>
            <w:tcW w:w="865" w:type="pct"/>
            <w:tcBorders>
              <w:top w:val="dotted" w:sz="4" w:space="0" w:color="auto"/>
              <w:bottom w:val="single" w:sz="4" w:space="0" w:color="auto"/>
            </w:tcBorders>
            <w:shd w:val="clear" w:color="auto" w:fill="auto"/>
          </w:tcPr>
          <w:p w14:paraId="618327DF" w14:textId="1B7549FD" w:rsidR="00A317D0" w:rsidRPr="00CE28E3" w:rsidRDefault="00A317D0" w:rsidP="00E27AF4">
            <w:pPr>
              <w:pStyle w:val="TableText"/>
              <w:spacing w:before="0" w:after="0"/>
              <w:jc w:val="center"/>
              <w:rPr>
                <w:lang w:val="en-US"/>
              </w:rPr>
            </w:pPr>
            <w:r w:rsidRPr="00A317D0">
              <w:rPr>
                <w:lang w:val="en-US"/>
              </w:rPr>
              <w:t>1.00 (0.61, 1.63)</w:t>
            </w:r>
            <w:r>
              <w:rPr>
                <w:lang w:val="en-US"/>
              </w:rPr>
              <w:br/>
            </w:r>
            <w:r w:rsidRPr="00A317D0">
              <w:rPr>
                <w:lang w:val="en-US"/>
              </w:rPr>
              <w:t>p = 1.00</w:t>
            </w:r>
          </w:p>
        </w:tc>
        <w:tc>
          <w:tcPr>
            <w:tcW w:w="834" w:type="pct"/>
            <w:tcBorders>
              <w:top w:val="dotted" w:sz="4" w:space="0" w:color="auto"/>
            </w:tcBorders>
            <w:shd w:val="clear" w:color="auto" w:fill="auto"/>
          </w:tcPr>
          <w:p w14:paraId="7F9D77F0" w14:textId="696CD4C7" w:rsidR="00A317D0" w:rsidRPr="001D2CA6" w:rsidRDefault="00A317D0" w:rsidP="00E27AF4">
            <w:pPr>
              <w:pStyle w:val="TableText"/>
              <w:spacing w:before="0" w:after="0"/>
              <w:jc w:val="center"/>
              <w:rPr>
                <w:lang w:val="en-US"/>
              </w:rPr>
            </w:pPr>
            <w:r w:rsidRPr="00A317D0">
              <w:rPr>
                <w:lang w:val="en-US"/>
              </w:rPr>
              <w:t>0.00 (-0.02, 0.02)</w:t>
            </w:r>
            <w:r>
              <w:rPr>
                <w:lang w:val="en-US"/>
              </w:rPr>
              <w:br/>
            </w:r>
            <w:r w:rsidRPr="00A317D0">
              <w:rPr>
                <w:lang w:val="en-US"/>
              </w:rPr>
              <w:t>p = 1.00</w:t>
            </w:r>
          </w:p>
        </w:tc>
      </w:tr>
      <w:tr w:rsidR="00B85CD9" w:rsidRPr="00CE28E3" w14:paraId="7BEB851F" w14:textId="77777777" w:rsidTr="0009246B">
        <w:trPr>
          <w:cantSplit/>
        </w:trPr>
        <w:tc>
          <w:tcPr>
            <w:tcW w:w="862" w:type="pct"/>
            <w:tcBorders>
              <w:bottom w:val="single" w:sz="4" w:space="0" w:color="auto"/>
              <w:right w:val="nil"/>
            </w:tcBorders>
            <w:shd w:val="clear" w:color="auto" w:fill="auto"/>
            <w:vAlign w:val="center"/>
          </w:tcPr>
          <w:p w14:paraId="7F5FFD60" w14:textId="77777777" w:rsidR="00B85CD9" w:rsidRPr="000D33E6" w:rsidRDefault="00B85CD9" w:rsidP="00E27AF4">
            <w:pPr>
              <w:pStyle w:val="TableText"/>
              <w:keepNext/>
              <w:spacing w:before="0" w:after="0"/>
              <w:rPr>
                <w:b/>
                <w:bCs/>
                <w:lang w:val="en-US"/>
              </w:rPr>
            </w:pPr>
            <w:r w:rsidRPr="000D33E6">
              <w:rPr>
                <w:b/>
                <w:bCs/>
                <w:lang w:val="en-US"/>
              </w:rPr>
              <w:t>Long lesions</w:t>
            </w:r>
          </w:p>
        </w:tc>
        <w:tc>
          <w:tcPr>
            <w:tcW w:w="707" w:type="pct"/>
            <w:tcBorders>
              <w:left w:val="nil"/>
              <w:bottom w:val="single" w:sz="4" w:space="0" w:color="auto"/>
              <w:right w:val="nil"/>
            </w:tcBorders>
            <w:vAlign w:val="center"/>
          </w:tcPr>
          <w:p w14:paraId="20885080" w14:textId="77777777" w:rsidR="00B85CD9" w:rsidRPr="000D33E6" w:rsidRDefault="00B85CD9" w:rsidP="00E27AF4">
            <w:pPr>
              <w:pStyle w:val="TableText"/>
              <w:keepNext/>
              <w:spacing w:before="0" w:after="0"/>
              <w:jc w:val="center"/>
              <w:rPr>
                <w:b/>
                <w:bCs/>
                <w:lang w:val="en-US"/>
              </w:rPr>
            </w:pPr>
          </w:p>
        </w:tc>
        <w:tc>
          <w:tcPr>
            <w:tcW w:w="474" w:type="pct"/>
            <w:tcBorders>
              <w:left w:val="nil"/>
              <w:bottom w:val="single" w:sz="4" w:space="0" w:color="auto"/>
              <w:right w:val="nil"/>
            </w:tcBorders>
            <w:vAlign w:val="center"/>
          </w:tcPr>
          <w:p w14:paraId="28850575" w14:textId="77777777" w:rsidR="00B85CD9" w:rsidRPr="000D33E6" w:rsidRDefault="00B85CD9" w:rsidP="00E27AF4">
            <w:pPr>
              <w:pStyle w:val="TableText"/>
              <w:keepNext/>
              <w:spacing w:before="0" w:after="0"/>
              <w:jc w:val="center"/>
              <w:rPr>
                <w:b/>
                <w:bCs/>
                <w:lang w:val="en-US"/>
              </w:rPr>
            </w:pPr>
          </w:p>
        </w:tc>
        <w:tc>
          <w:tcPr>
            <w:tcW w:w="629" w:type="pct"/>
            <w:tcBorders>
              <w:left w:val="nil"/>
              <w:bottom w:val="single" w:sz="4" w:space="0" w:color="auto"/>
              <w:right w:val="nil"/>
            </w:tcBorders>
            <w:vAlign w:val="center"/>
          </w:tcPr>
          <w:p w14:paraId="122F33DF" w14:textId="77777777" w:rsidR="00B85CD9" w:rsidRPr="000D33E6" w:rsidRDefault="00B85CD9" w:rsidP="00E27AF4">
            <w:pPr>
              <w:pStyle w:val="TableText"/>
              <w:keepNext/>
              <w:spacing w:before="0" w:after="0"/>
              <w:jc w:val="center"/>
              <w:rPr>
                <w:b/>
                <w:bCs/>
                <w:lang w:val="en-US"/>
              </w:rPr>
            </w:pPr>
          </w:p>
        </w:tc>
        <w:tc>
          <w:tcPr>
            <w:tcW w:w="629" w:type="pct"/>
            <w:tcBorders>
              <w:left w:val="nil"/>
              <w:bottom w:val="single" w:sz="4" w:space="0" w:color="auto"/>
              <w:right w:val="nil"/>
            </w:tcBorders>
            <w:vAlign w:val="center"/>
          </w:tcPr>
          <w:p w14:paraId="37E5A7BC" w14:textId="77777777" w:rsidR="00B85CD9" w:rsidRPr="000D33E6" w:rsidRDefault="00B85CD9" w:rsidP="00E27AF4">
            <w:pPr>
              <w:pStyle w:val="TableText"/>
              <w:keepNext/>
              <w:spacing w:before="0" w:after="0"/>
              <w:jc w:val="center"/>
              <w:rPr>
                <w:b/>
                <w:bCs/>
                <w:lang w:val="en-US"/>
              </w:rPr>
            </w:pPr>
          </w:p>
        </w:tc>
        <w:tc>
          <w:tcPr>
            <w:tcW w:w="865" w:type="pct"/>
            <w:tcBorders>
              <w:left w:val="nil"/>
              <w:bottom w:val="single" w:sz="4" w:space="0" w:color="auto"/>
              <w:right w:val="nil"/>
            </w:tcBorders>
            <w:shd w:val="clear" w:color="auto" w:fill="auto"/>
            <w:vAlign w:val="center"/>
          </w:tcPr>
          <w:p w14:paraId="0060BA35" w14:textId="77777777" w:rsidR="00B85CD9" w:rsidRPr="000D33E6" w:rsidRDefault="00B85CD9" w:rsidP="00E27AF4">
            <w:pPr>
              <w:pStyle w:val="TableText"/>
              <w:keepNext/>
              <w:spacing w:before="0" w:after="0"/>
              <w:jc w:val="center"/>
              <w:rPr>
                <w:b/>
                <w:bCs/>
                <w:lang w:val="en-US"/>
              </w:rPr>
            </w:pPr>
          </w:p>
        </w:tc>
        <w:tc>
          <w:tcPr>
            <w:tcW w:w="834" w:type="pct"/>
            <w:tcBorders>
              <w:left w:val="nil"/>
              <w:bottom w:val="single" w:sz="4" w:space="0" w:color="auto"/>
            </w:tcBorders>
            <w:shd w:val="clear" w:color="auto" w:fill="auto"/>
            <w:vAlign w:val="center"/>
          </w:tcPr>
          <w:p w14:paraId="19D42DBE" w14:textId="77777777" w:rsidR="00B85CD9" w:rsidRPr="000D33E6" w:rsidRDefault="00B85CD9" w:rsidP="00E27AF4">
            <w:pPr>
              <w:pStyle w:val="TableText"/>
              <w:keepNext/>
              <w:spacing w:before="0" w:after="0"/>
              <w:jc w:val="center"/>
              <w:rPr>
                <w:b/>
                <w:bCs/>
                <w:lang w:val="en-US"/>
              </w:rPr>
            </w:pPr>
          </w:p>
        </w:tc>
      </w:tr>
      <w:tr w:rsidR="00B85CD9" w:rsidRPr="00CE28E3" w14:paraId="2D562DBC" w14:textId="77777777" w:rsidTr="00B85CD9">
        <w:trPr>
          <w:cantSplit/>
        </w:trPr>
        <w:tc>
          <w:tcPr>
            <w:tcW w:w="862" w:type="pct"/>
            <w:tcBorders>
              <w:bottom w:val="single" w:sz="4" w:space="0" w:color="auto"/>
            </w:tcBorders>
            <w:shd w:val="clear" w:color="auto" w:fill="auto"/>
            <w:vAlign w:val="center"/>
          </w:tcPr>
          <w:p w14:paraId="53E32812" w14:textId="6BB60ECC" w:rsidR="00B85CD9" w:rsidRPr="00C07319" w:rsidRDefault="00B85CD9" w:rsidP="00E27AF4">
            <w:pPr>
              <w:pStyle w:val="TableText"/>
              <w:spacing w:before="0" w:after="0"/>
              <w:rPr>
                <w:lang w:val="en-US"/>
              </w:rPr>
            </w:pPr>
            <w:r>
              <w:rPr>
                <w:lang w:val="en-US"/>
              </w:rPr>
              <w:t>RESET</w:t>
            </w:r>
          </w:p>
        </w:tc>
        <w:tc>
          <w:tcPr>
            <w:tcW w:w="707" w:type="pct"/>
            <w:tcBorders>
              <w:bottom w:val="single" w:sz="4" w:space="0" w:color="auto"/>
            </w:tcBorders>
            <w:vAlign w:val="center"/>
          </w:tcPr>
          <w:p w14:paraId="4C851FFE" w14:textId="7916CED7" w:rsidR="00B85CD9" w:rsidRDefault="00FF0176" w:rsidP="00E27AF4">
            <w:pPr>
              <w:pStyle w:val="TableText"/>
              <w:spacing w:before="0" w:after="0"/>
              <w:jc w:val="center"/>
              <w:rPr>
                <w:lang w:val="en-US"/>
              </w:rPr>
            </w:pPr>
            <w:r w:rsidRPr="002C1697">
              <w:rPr>
                <w:rFonts w:ascii="Cambria Math" w:hAnsi="Cambria Math"/>
                <w:color w:val="00B050"/>
              </w:rPr>
              <w:t>⨁⨁</w:t>
            </w:r>
            <w:r w:rsidRPr="002C1697">
              <w:rPr>
                <w:rFonts w:ascii="Cambria Math" w:hAnsi="Cambria Math" w:cs="Cambria Math"/>
                <w:color w:val="C00000"/>
              </w:rPr>
              <w:t>⨀⨀</w:t>
            </w:r>
            <w:r>
              <w:rPr>
                <w:rFonts w:ascii="Cambria Math" w:hAnsi="Cambria Math" w:cs="Cambria Math"/>
                <w:color w:val="C00000"/>
              </w:rPr>
              <w:br/>
            </w:r>
            <w:r w:rsidRPr="004578AA">
              <w:rPr>
                <w:rStyle w:val="CommentaryemphasisTablesmid-paragraph"/>
                <w:color w:val="auto"/>
              </w:rPr>
              <w:t>Low</w:t>
            </w:r>
          </w:p>
        </w:tc>
        <w:tc>
          <w:tcPr>
            <w:tcW w:w="474" w:type="pct"/>
            <w:tcBorders>
              <w:bottom w:val="single" w:sz="4" w:space="0" w:color="auto"/>
            </w:tcBorders>
            <w:vAlign w:val="center"/>
          </w:tcPr>
          <w:p w14:paraId="2A292ADE" w14:textId="77777777" w:rsidR="00B85CD9" w:rsidRPr="00CE28E3" w:rsidRDefault="00B85CD9" w:rsidP="00E27AF4">
            <w:pPr>
              <w:pStyle w:val="TableText"/>
              <w:spacing w:before="0" w:after="0"/>
              <w:jc w:val="center"/>
              <w:rPr>
                <w:lang w:val="en-US"/>
              </w:rPr>
            </w:pPr>
            <w:r>
              <w:rPr>
                <w:lang w:val="en-US"/>
              </w:rPr>
              <w:t>1 yr</w:t>
            </w:r>
          </w:p>
        </w:tc>
        <w:tc>
          <w:tcPr>
            <w:tcW w:w="629" w:type="pct"/>
            <w:tcBorders>
              <w:bottom w:val="single" w:sz="4" w:space="0" w:color="auto"/>
            </w:tcBorders>
            <w:vAlign w:val="center"/>
          </w:tcPr>
          <w:p w14:paraId="085E4717" w14:textId="2509AB14" w:rsidR="00B85CD9" w:rsidRPr="00CE28E3" w:rsidRDefault="00B85CD9" w:rsidP="00E27AF4">
            <w:pPr>
              <w:pStyle w:val="TableText"/>
              <w:spacing w:before="0" w:after="0"/>
              <w:jc w:val="center"/>
              <w:rPr>
                <w:lang w:val="en-US"/>
              </w:rPr>
            </w:pPr>
            <w:r w:rsidRPr="008F074F">
              <w:t>3/269 (1.1)</w:t>
            </w:r>
          </w:p>
        </w:tc>
        <w:tc>
          <w:tcPr>
            <w:tcW w:w="629" w:type="pct"/>
            <w:tcBorders>
              <w:bottom w:val="single" w:sz="4" w:space="0" w:color="auto"/>
            </w:tcBorders>
            <w:vAlign w:val="center"/>
          </w:tcPr>
          <w:p w14:paraId="23D9F8ED" w14:textId="7EF4ECB6" w:rsidR="00B85CD9" w:rsidRPr="00CE28E3" w:rsidRDefault="00B85CD9" w:rsidP="00E27AF4">
            <w:pPr>
              <w:pStyle w:val="TableText"/>
              <w:spacing w:before="0" w:after="0"/>
              <w:jc w:val="center"/>
              <w:rPr>
                <w:lang w:val="en-US"/>
              </w:rPr>
            </w:pPr>
            <w:r w:rsidRPr="008F074F">
              <w:t>2/274 (0.7)</w:t>
            </w:r>
          </w:p>
        </w:tc>
        <w:tc>
          <w:tcPr>
            <w:tcW w:w="865" w:type="pct"/>
            <w:tcBorders>
              <w:bottom w:val="single" w:sz="4" w:space="0" w:color="auto"/>
            </w:tcBorders>
            <w:shd w:val="clear" w:color="auto" w:fill="auto"/>
            <w:vAlign w:val="center"/>
          </w:tcPr>
          <w:p w14:paraId="7C2F5F15" w14:textId="4B16E892" w:rsidR="00B85CD9" w:rsidRPr="00CE28E3" w:rsidRDefault="00B85CD9" w:rsidP="00E27AF4">
            <w:pPr>
              <w:pStyle w:val="TableText"/>
              <w:spacing w:before="0" w:after="0"/>
              <w:jc w:val="center"/>
              <w:rPr>
                <w:lang w:val="en-US"/>
              </w:rPr>
            </w:pPr>
            <w:r w:rsidRPr="00B85CD9">
              <w:rPr>
                <w:lang w:val="en-US"/>
              </w:rPr>
              <w:t>1.53 (0.26, 9.07)</w:t>
            </w:r>
            <w:r>
              <w:rPr>
                <w:lang w:val="en-US"/>
              </w:rPr>
              <w:br/>
            </w:r>
            <w:r w:rsidRPr="00B85CD9">
              <w:rPr>
                <w:lang w:val="en-US"/>
              </w:rPr>
              <w:t>p = 0.64</w:t>
            </w:r>
          </w:p>
        </w:tc>
        <w:tc>
          <w:tcPr>
            <w:tcW w:w="834" w:type="pct"/>
            <w:shd w:val="clear" w:color="auto" w:fill="auto"/>
            <w:vAlign w:val="center"/>
          </w:tcPr>
          <w:p w14:paraId="405F914E" w14:textId="74DBC8A5" w:rsidR="00B85CD9" w:rsidRPr="00CE28E3" w:rsidRDefault="00B85CD9" w:rsidP="00E27AF4">
            <w:pPr>
              <w:pStyle w:val="TableText"/>
              <w:spacing w:before="0" w:after="0"/>
              <w:jc w:val="center"/>
              <w:rPr>
                <w:lang w:val="en-US"/>
              </w:rPr>
            </w:pPr>
            <w:r w:rsidRPr="00B85CD9">
              <w:rPr>
                <w:lang w:val="en-US"/>
              </w:rPr>
              <w:t>0.00 (-0.00, 0.01)</w:t>
            </w:r>
            <w:r>
              <w:rPr>
                <w:lang w:val="en-US"/>
              </w:rPr>
              <w:br/>
            </w:r>
            <w:r w:rsidRPr="00B85CD9">
              <w:rPr>
                <w:lang w:val="en-US"/>
              </w:rPr>
              <w:t>p = 0.34</w:t>
            </w:r>
          </w:p>
        </w:tc>
      </w:tr>
    </w:tbl>
    <w:p w14:paraId="249308A0" w14:textId="77777777" w:rsidR="00B85CD9" w:rsidRDefault="00B85CD9" w:rsidP="00731CB3">
      <w:pPr>
        <w:pStyle w:val="TableFigureFooter"/>
        <w:spacing w:before="60" w:after="0"/>
      </w:pPr>
      <w:r>
        <w:t>CI = confidence interval; HR = hazard ratio; IVUS = intravascular ultrasound; N = number randomised; PCI = percutaneous coronary intervention; RR = risk ratio; RD = risk difference.</w:t>
      </w:r>
    </w:p>
    <w:p w14:paraId="37BE959A" w14:textId="7A503866" w:rsidR="00B85CD9" w:rsidRDefault="00B85CD9" w:rsidP="00A317D0">
      <w:pPr>
        <w:pStyle w:val="TableFigureFooter"/>
        <w:spacing w:before="0" w:after="0"/>
      </w:pPr>
      <w:r>
        <w:t xml:space="preserve">Note: </w:t>
      </w:r>
      <w:r w:rsidR="005F1C7D">
        <w:t xml:space="preserve">Data are shown for the ITT population. </w:t>
      </w:r>
      <w:r>
        <w:t>Statistically significant differences are shown in bold.</w:t>
      </w:r>
    </w:p>
    <w:p w14:paraId="1BF62C0B" w14:textId="6BF37B54" w:rsidR="00FF0176" w:rsidRDefault="00FF0176" w:rsidP="00A317D0">
      <w:pPr>
        <w:pStyle w:val="TableFigureFooter"/>
        <w:spacing w:before="0" w:after="0"/>
      </w:pPr>
      <w:r>
        <w:t>** Quality has been downgraded in all cases by assessment group.</w:t>
      </w:r>
    </w:p>
    <w:p w14:paraId="68CB64E1" w14:textId="0FDE534D" w:rsidR="00A317D0" w:rsidRDefault="00A317D0" w:rsidP="006B04AB">
      <w:pPr>
        <w:pStyle w:val="TableFigureFooter"/>
        <w:spacing w:before="0"/>
      </w:pPr>
      <w:r w:rsidRPr="002A6BF8">
        <w:rPr>
          <w:vertAlign w:val="superscript"/>
        </w:rPr>
        <w:t>#</w:t>
      </w:r>
      <w:r>
        <w:t xml:space="preserve"> Data extraction errors were noted for ULTIMATE during preparation of the Commentary and have been corrected.</w:t>
      </w:r>
    </w:p>
    <w:p w14:paraId="4AA461ED" w14:textId="5558CDF3" w:rsidR="00B85CD9" w:rsidRDefault="00B85CD9" w:rsidP="00B85CD9">
      <w:pPr>
        <w:pStyle w:val="Heading4"/>
      </w:pPr>
      <w:r>
        <w:lastRenderedPageBreak/>
        <w:t>Target vessel failure</w:t>
      </w:r>
    </w:p>
    <w:p w14:paraId="308310BA" w14:textId="56A61BA2" w:rsidR="001D2CA6" w:rsidRDefault="00F30EB8" w:rsidP="00D10A5B">
      <w:r w:rsidRPr="00F30EB8">
        <w:t xml:space="preserve">ULTIMATE was the only </w:t>
      </w:r>
      <w:r w:rsidR="0047702D">
        <w:t>RCT</w:t>
      </w:r>
      <w:r w:rsidRPr="00F30EB8">
        <w:t xml:space="preserve"> to report the composite outcome of TVF, which was the primary efficacy outcome for this </w:t>
      </w:r>
      <w:r w:rsidR="0047702D">
        <w:t>trial</w:t>
      </w:r>
      <w:r w:rsidRPr="00F30EB8">
        <w:t>. The incidence of TVF was significantly lower in the IVUS</w:t>
      </w:r>
      <w:r w:rsidR="0047702D">
        <w:t xml:space="preserve">-guided arm </w:t>
      </w:r>
      <w:r w:rsidRPr="00F30EB8">
        <w:t xml:space="preserve">compared </w:t>
      </w:r>
      <w:r w:rsidR="0047702D">
        <w:t>with</w:t>
      </w:r>
      <w:r w:rsidRPr="00F30EB8">
        <w:t xml:space="preserve"> the angiography-guided </w:t>
      </w:r>
      <w:r w:rsidR="0047702D">
        <w:t>arm</w:t>
      </w:r>
      <w:r w:rsidRPr="00F30EB8">
        <w:t xml:space="preserve"> </w:t>
      </w:r>
      <w:r w:rsidR="0047702D">
        <w:t>at</w:t>
      </w:r>
      <w:r w:rsidRPr="00F30EB8">
        <w:t xml:space="preserve"> all three timepoints, </w:t>
      </w:r>
      <w:r w:rsidR="005F1C7D">
        <w:t xml:space="preserve">which the authors </w:t>
      </w:r>
      <w:r w:rsidR="00E6358F">
        <w:t xml:space="preserve">of the publication </w:t>
      </w:r>
      <w:r w:rsidR="005F1C7D">
        <w:t xml:space="preserve">claim is </w:t>
      </w:r>
      <w:r w:rsidRPr="00F30EB8">
        <w:t>driven mainly by the increased occurrence of TVR in the angiographic guidance group</w:t>
      </w:r>
      <w:r w:rsidR="00D10A5B">
        <w:t xml:space="preserve"> (6.</w:t>
      </w:r>
      <w:r w:rsidR="005F1C7D">
        <w:t>8</w:t>
      </w:r>
      <w:r w:rsidR="00D10A5B">
        <w:t>% vs. 4.</w:t>
      </w:r>
      <w:r w:rsidR="005F1C7D">
        <w:t>8</w:t>
      </w:r>
      <w:r w:rsidR="00D10A5B">
        <w:t>%</w:t>
      </w:r>
      <w:r w:rsidR="005F1C7D">
        <w:t xml:space="preserve"> at 3 years</w:t>
      </w:r>
      <w:r w:rsidR="00D10A5B">
        <w:t>; p = 0.05)</w:t>
      </w:r>
      <w:r w:rsidRPr="00F30EB8">
        <w:t xml:space="preserve">. The result for the ITT analysis at 5 years was similar to the per-protocol analysis and the on-treatment analysis (which took </w:t>
      </w:r>
      <w:r w:rsidR="0047702D">
        <w:t xml:space="preserve">group </w:t>
      </w:r>
      <w:r w:rsidRPr="00F30EB8">
        <w:t>crossovers into account).</w:t>
      </w:r>
    </w:p>
    <w:p w14:paraId="05A1BE59" w14:textId="5292D41F" w:rsidR="00F30EB8" w:rsidRPr="00D72C6E" w:rsidRDefault="00F30EB8" w:rsidP="00F30EB8">
      <w:pPr>
        <w:pStyle w:val="Caption"/>
        <w:rPr>
          <w:sz w:val="16"/>
          <w:szCs w:val="16"/>
        </w:rPr>
      </w:pPr>
      <w:r w:rsidRPr="00CE28E3">
        <w:t>Table</w:t>
      </w:r>
      <w:r>
        <w:t> </w:t>
      </w:r>
      <w:fldSimple w:instr=" SEQ Table \* ARABIC ">
        <w:r w:rsidR="00F03488">
          <w:rPr>
            <w:noProof/>
          </w:rPr>
          <w:t>12</w:t>
        </w:r>
      </w:fldSimple>
      <w:r w:rsidRPr="00CE28E3">
        <w:tab/>
      </w:r>
      <w:r>
        <w:t>Target vessel failure</w:t>
      </w:r>
    </w:p>
    <w:tbl>
      <w:tblPr>
        <w:tblStyle w:val="TableGrid1"/>
        <w:tblW w:w="5000" w:type="pct"/>
        <w:tblLayout w:type="fixed"/>
        <w:tblCellMar>
          <w:left w:w="28" w:type="dxa"/>
          <w:right w:w="28" w:type="dxa"/>
        </w:tblCellMar>
        <w:tblLook w:val="04A0" w:firstRow="1" w:lastRow="0" w:firstColumn="1" w:lastColumn="0" w:noHBand="0" w:noVBand="1"/>
        <w:tblDescription w:val="Target vessel failure data"/>
      </w:tblPr>
      <w:tblGrid>
        <w:gridCol w:w="1554"/>
        <w:gridCol w:w="1275"/>
        <w:gridCol w:w="855"/>
        <w:gridCol w:w="1134"/>
        <w:gridCol w:w="1134"/>
        <w:gridCol w:w="1560"/>
        <w:gridCol w:w="1504"/>
      </w:tblGrid>
      <w:tr w:rsidR="00F30EB8" w:rsidRPr="00CE28E3" w14:paraId="61D28ACA" w14:textId="77777777" w:rsidTr="0009246B">
        <w:trPr>
          <w:cnfStyle w:val="100000000000" w:firstRow="1" w:lastRow="0" w:firstColumn="0" w:lastColumn="0" w:oddVBand="0" w:evenVBand="0" w:oddHBand="0" w:evenHBand="0" w:firstRowFirstColumn="0" w:firstRowLastColumn="0" w:lastRowFirstColumn="0" w:lastRowLastColumn="0"/>
          <w:cantSplit/>
          <w:tblHeader/>
        </w:trPr>
        <w:tc>
          <w:tcPr>
            <w:tcW w:w="862" w:type="pct"/>
            <w:tcBorders>
              <w:bottom w:val="single" w:sz="4" w:space="0" w:color="auto"/>
            </w:tcBorders>
            <w:shd w:val="clear" w:color="auto" w:fill="auto"/>
            <w:vAlign w:val="center"/>
          </w:tcPr>
          <w:p w14:paraId="291011C2" w14:textId="48AD1742" w:rsidR="00F30EB8" w:rsidRPr="00CE28E3" w:rsidRDefault="00F30EB8" w:rsidP="0009246B">
            <w:pPr>
              <w:pStyle w:val="In-tableHeading"/>
            </w:pPr>
            <w:r>
              <w:t xml:space="preserve">Trial ID </w:t>
            </w:r>
          </w:p>
        </w:tc>
        <w:tc>
          <w:tcPr>
            <w:tcW w:w="707" w:type="pct"/>
            <w:tcBorders>
              <w:bottom w:val="single" w:sz="4" w:space="0" w:color="auto"/>
            </w:tcBorders>
            <w:vAlign w:val="center"/>
          </w:tcPr>
          <w:p w14:paraId="68860682" w14:textId="3362203C" w:rsidR="00F30EB8" w:rsidRDefault="00FF0176" w:rsidP="0009246B">
            <w:pPr>
              <w:pStyle w:val="In-tableHeading"/>
              <w:jc w:val="center"/>
            </w:pPr>
            <w:r>
              <w:t>Quality**</w:t>
            </w:r>
          </w:p>
        </w:tc>
        <w:tc>
          <w:tcPr>
            <w:tcW w:w="474" w:type="pct"/>
            <w:tcBorders>
              <w:bottom w:val="single" w:sz="4" w:space="0" w:color="auto"/>
            </w:tcBorders>
            <w:vAlign w:val="center"/>
          </w:tcPr>
          <w:p w14:paraId="78B48A8E" w14:textId="77777777" w:rsidR="00F30EB8" w:rsidRDefault="00F30EB8" w:rsidP="0009246B">
            <w:pPr>
              <w:pStyle w:val="In-tableHeading"/>
              <w:jc w:val="center"/>
            </w:pPr>
            <w:r>
              <w:t>Timepoint</w:t>
            </w:r>
          </w:p>
        </w:tc>
        <w:tc>
          <w:tcPr>
            <w:tcW w:w="629" w:type="pct"/>
            <w:tcBorders>
              <w:bottom w:val="single" w:sz="4" w:space="0" w:color="auto"/>
            </w:tcBorders>
            <w:vAlign w:val="center"/>
          </w:tcPr>
          <w:p w14:paraId="413467EA" w14:textId="77777777" w:rsidR="00F30EB8" w:rsidRDefault="00F30EB8" w:rsidP="0009246B">
            <w:pPr>
              <w:pStyle w:val="In-tableHeading"/>
              <w:jc w:val="center"/>
            </w:pPr>
            <w:r>
              <w:t>IVUS-guided PCI</w:t>
            </w:r>
            <w:r>
              <w:br/>
              <w:t>n/N (%)</w:t>
            </w:r>
          </w:p>
        </w:tc>
        <w:tc>
          <w:tcPr>
            <w:tcW w:w="629" w:type="pct"/>
            <w:tcBorders>
              <w:bottom w:val="single" w:sz="4" w:space="0" w:color="auto"/>
            </w:tcBorders>
            <w:vAlign w:val="center"/>
          </w:tcPr>
          <w:p w14:paraId="12835F71" w14:textId="77777777" w:rsidR="00F30EB8" w:rsidRDefault="00F30EB8" w:rsidP="0009246B">
            <w:pPr>
              <w:pStyle w:val="In-tableHeading"/>
              <w:jc w:val="center"/>
            </w:pPr>
            <w:r>
              <w:t>Angiography-guided PCI</w:t>
            </w:r>
            <w:r>
              <w:br/>
              <w:t>n/N (%)</w:t>
            </w:r>
          </w:p>
        </w:tc>
        <w:tc>
          <w:tcPr>
            <w:tcW w:w="865" w:type="pct"/>
            <w:tcBorders>
              <w:bottom w:val="single" w:sz="4" w:space="0" w:color="auto"/>
            </w:tcBorders>
            <w:shd w:val="clear" w:color="auto" w:fill="auto"/>
            <w:vAlign w:val="center"/>
          </w:tcPr>
          <w:p w14:paraId="54F126F3" w14:textId="77777777" w:rsidR="00F30EB8" w:rsidRPr="00CE28E3" w:rsidRDefault="00F30EB8" w:rsidP="0009246B">
            <w:pPr>
              <w:pStyle w:val="In-tableHeading"/>
              <w:jc w:val="center"/>
            </w:pPr>
            <w:r>
              <w:t>RR (95% CI)</w:t>
            </w:r>
            <w:r>
              <w:br/>
              <w:t>p-value</w:t>
            </w:r>
          </w:p>
        </w:tc>
        <w:tc>
          <w:tcPr>
            <w:tcW w:w="834" w:type="pct"/>
            <w:shd w:val="clear" w:color="auto" w:fill="auto"/>
            <w:vAlign w:val="center"/>
          </w:tcPr>
          <w:p w14:paraId="42701B42" w14:textId="77777777" w:rsidR="00F30EB8" w:rsidRPr="00CE28E3" w:rsidRDefault="00F30EB8" w:rsidP="0009246B">
            <w:pPr>
              <w:pStyle w:val="In-tableHeading"/>
              <w:jc w:val="center"/>
            </w:pPr>
            <w:r>
              <w:t>RD (95% CI)</w:t>
            </w:r>
            <w:r>
              <w:br/>
              <w:t>p-value</w:t>
            </w:r>
          </w:p>
        </w:tc>
      </w:tr>
      <w:tr w:rsidR="00F30EB8" w:rsidRPr="00CE28E3" w14:paraId="4C226F53" w14:textId="77777777" w:rsidTr="0009246B">
        <w:trPr>
          <w:cantSplit/>
        </w:trPr>
        <w:tc>
          <w:tcPr>
            <w:tcW w:w="862" w:type="pct"/>
            <w:tcBorders>
              <w:bottom w:val="single" w:sz="4" w:space="0" w:color="auto"/>
              <w:right w:val="nil"/>
            </w:tcBorders>
            <w:shd w:val="clear" w:color="auto" w:fill="auto"/>
            <w:vAlign w:val="center"/>
          </w:tcPr>
          <w:p w14:paraId="65236316" w14:textId="77777777" w:rsidR="00F30EB8" w:rsidRPr="000D33E6" w:rsidRDefault="00F30EB8" w:rsidP="0009246B">
            <w:pPr>
              <w:pStyle w:val="TableText"/>
              <w:rPr>
                <w:b/>
                <w:bCs/>
                <w:lang w:val="en-US"/>
              </w:rPr>
            </w:pPr>
            <w:r w:rsidRPr="000D33E6">
              <w:rPr>
                <w:b/>
                <w:bCs/>
                <w:lang w:val="en-US"/>
              </w:rPr>
              <w:t>All-comers</w:t>
            </w:r>
          </w:p>
        </w:tc>
        <w:tc>
          <w:tcPr>
            <w:tcW w:w="707" w:type="pct"/>
            <w:tcBorders>
              <w:left w:val="nil"/>
              <w:bottom w:val="single" w:sz="4" w:space="0" w:color="auto"/>
              <w:right w:val="nil"/>
            </w:tcBorders>
            <w:vAlign w:val="center"/>
          </w:tcPr>
          <w:p w14:paraId="199D3EED" w14:textId="77777777" w:rsidR="00F30EB8" w:rsidRPr="000D33E6" w:rsidRDefault="00F30EB8" w:rsidP="0009246B">
            <w:pPr>
              <w:pStyle w:val="TableText"/>
              <w:jc w:val="center"/>
              <w:rPr>
                <w:b/>
                <w:bCs/>
                <w:lang w:val="en-US"/>
              </w:rPr>
            </w:pPr>
          </w:p>
        </w:tc>
        <w:tc>
          <w:tcPr>
            <w:tcW w:w="474" w:type="pct"/>
            <w:tcBorders>
              <w:left w:val="nil"/>
              <w:bottom w:val="single" w:sz="4" w:space="0" w:color="auto"/>
              <w:right w:val="nil"/>
            </w:tcBorders>
            <w:vAlign w:val="center"/>
          </w:tcPr>
          <w:p w14:paraId="4083CE35" w14:textId="77777777" w:rsidR="00F30EB8" w:rsidRPr="000D33E6" w:rsidRDefault="00F30EB8" w:rsidP="0009246B">
            <w:pPr>
              <w:pStyle w:val="TableText"/>
              <w:jc w:val="center"/>
              <w:rPr>
                <w:b/>
                <w:bCs/>
                <w:lang w:val="en-US"/>
              </w:rPr>
            </w:pPr>
          </w:p>
        </w:tc>
        <w:tc>
          <w:tcPr>
            <w:tcW w:w="629" w:type="pct"/>
            <w:tcBorders>
              <w:left w:val="nil"/>
              <w:bottom w:val="single" w:sz="4" w:space="0" w:color="auto"/>
              <w:right w:val="nil"/>
            </w:tcBorders>
            <w:vAlign w:val="center"/>
          </w:tcPr>
          <w:p w14:paraId="1B8AA55E" w14:textId="77777777" w:rsidR="00F30EB8" w:rsidRPr="000D33E6" w:rsidRDefault="00F30EB8" w:rsidP="0009246B">
            <w:pPr>
              <w:pStyle w:val="TableText"/>
              <w:jc w:val="center"/>
              <w:rPr>
                <w:b/>
                <w:bCs/>
                <w:lang w:val="en-US"/>
              </w:rPr>
            </w:pPr>
          </w:p>
        </w:tc>
        <w:tc>
          <w:tcPr>
            <w:tcW w:w="629" w:type="pct"/>
            <w:tcBorders>
              <w:left w:val="nil"/>
              <w:bottom w:val="single" w:sz="4" w:space="0" w:color="auto"/>
              <w:right w:val="nil"/>
            </w:tcBorders>
            <w:vAlign w:val="center"/>
          </w:tcPr>
          <w:p w14:paraId="30F6C005" w14:textId="77777777" w:rsidR="00F30EB8" w:rsidRPr="000D33E6" w:rsidRDefault="00F30EB8" w:rsidP="0009246B">
            <w:pPr>
              <w:pStyle w:val="TableText"/>
              <w:jc w:val="center"/>
              <w:rPr>
                <w:b/>
                <w:bCs/>
                <w:lang w:val="en-US"/>
              </w:rPr>
            </w:pPr>
          </w:p>
        </w:tc>
        <w:tc>
          <w:tcPr>
            <w:tcW w:w="865" w:type="pct"/>
            <w:tcBorders>
              <w:left w:val="nil"/>
              <w:bottom w:val="single" w:sz="4" w:space="0" w:color="auto"/>
              <w:right w:val="nil"/>
            </w:tcBorders>
            <w:shd w:val="clear" w:color="auto" w:fill="auto"/>
            <w:vAlign w:val="center"/>
          </w:tcPr>
          <w:p w14:paraId="0531547D" w14:textId="77777777" w:rsidR="00F30EB8" w:rsidRPr="000D33E6" w:rsidRDefault="00F30EB8" w:rsidP="0009246B">
            <w:pPr>
              <w:pStyle w:val="TableText"/>
              <w:jc w:val="center"/>
              <w:rPr>
                <w:b/>
                <w:bCs/>
                <w:lang w:val="en-US"/>
              </w:rPr>
            </w:pPr>
          </w:p>
        </w:tc>
        <w:tc>
          <w:tcPr>
            <w:tcW w:w="834" w:type="pct"/>
            <w:tcBorders>
              <w:left w:val="nil"/>
              <w:bottom w:val="single" w:sz="4" w:space="0" w:color="auto"/>
            </w:tcBorders>
            <w:shd w:val="clear" w:color="auto" w:fill="auto"/>
            <w:vAlign w:val="center"/>
          </w:tcPr>
          <w:p w14:paraId="5082FCA0" w14:textId="77777777" w:rsidR="00F30EB8" w:rsidRPr="000D33E6" w:rsidRDefault="00F30EB8" w:rsidP="0009246B">
            <w:pPr>
              <w:pStyle w:val="TableText"/>
              <w:jc w:val="center"/>
              <w:rPr>
                <w:b/>
                <w:bCs/>
                <w:lang w:val="en-US"/>
              </w:rPr>
            </w:pPr>
          </w:p>
        </w:tc>
      </w:tr>
      <w:tr w:rsidR="00F30EB8" w:rsidRPr="00CE28E3" w14:paraId="18E4A253" w14:textId="77777777" w:rsidTr="00F30EB8">
        <w:trPr>
          <w:cantSplit/>
        </w:trPr>
        <w:tc>
          <w:tcPr>
            <w:tcW w:w="862" w:type="pct"/>
            <w:tcBorders>
              <w:bottom w:val="nil"/>
            </w:tcBorders>
            <w:shd w:val="clear" w:color="auto" w:fill="auto"/>
            <w:vAlign w:val="center"/>
          </w:tcPr>
          <w:p w14:paraId="60159DE4" w14:textId="393A4963" w:rsidR="00F30EB8" w:rsidRPr="00685DF6" w:rsidRDefault="00F30EB8" w:rsidP="00F30EB8">
            <w:pPr>
              <w:pStyle w:val="TableText"/>
              <w:rPr>
                <w:lang w:val="en-US"/>
              </w:rPr>
            </w:pPr>
            <w:r>
              <w:rPr>
                <w:lang w:val="en-US"/>
              </w:rPr>
              <w:t>ULTIMATE</w:t>
            </w:r>
          </w:p>
        </w:tc>
        <w:tc>
          <w:tcPr>
            <w:tcW w:w="707" w:type="pct"/>
            <w:tcBorders>
              <w:bottom w:val="nil"/>
            </w:tcBorders>
            <w:vAlign w:val="center"/>
          </w:tcPr>
          <w:p w14:paraId="2BEC84C3" w14:textId="77777777" w:rsidR="00FF0176" w:rsidRDefault="00FF0176" w:rsidP="00FF0176">
            <w:pPr>
              <w:spacing w:before="40"/>
              <w:jc w:val="center"/>
              <w:rPr>
                <w:rFonts w:ascii="Cambria Math" w:hAnsi="Cambria Math" w:cs="Cambria Math"/>
                <w:color w:val="C00000"/>
              </w:rPr>
            </w:pPr>
            <w:r w:rsidRPr="002C1697">
              <w:rPr>
                <w:rFonts w:ascii="Cambria Math" w:hAnsi="Cambria Math"/>
                <w:color w:val="00B050"/>
              </w:rPr>
              <w:t>⨁⨁⨁</w:t>
            </w:r>
            <w:r w:rsidRPr="002C1697">
              <w:rPr>
                <w:rFonts w:ascii="Cambria Math" w:hAnsi="Cambria Math" w:cs="Cambria Math"/>
                <w:color w:val="C00000"/>
              </w:rPr>
              <w:t>⨀</w:t>
            </w:r>
          </w:p>
          <w:p w14:paraId="38570C65" w14:textId="567B6ECB" w:rsidR="00F30EB8" w:rsidRDefault="00FF0176" w:rsidP="00FF0176">
            <w:pPr>
              <w:pStyle w:val="TableText"/>
              <w:jc w:val="center"/>
              <w:rPr>
                <w:lang w:val="en-US"/>
              </w:rPr>
            </w:pPr>
            <w:r w:rsidRPr="004578AA">
              <w:rPr>
                <w:sz w:val="18"/>
                <w:szCs w:val="18"/>
              </w:rPr>
              <w:t>Moderate</w:t>
            </w:r>
          </w:p>
        </w:tc>
        <w:tc>
          <w:tcPr>
            <w:tcW w:w="474" w:type="pct"/>
            <w:tcBorders>
              <w:bottom w:val="dotted" w:sz="4" w:space="0" w:color="auto"/>
            </w:tcBorders>
            <w:vAlign w:val="center"/>
          </w:tcPr>
          <w:p w14:paraId="7E834CFD" w14:textId="77777777" w:rsidR="00F30EB8" w:rsidRPr="00CE28E3" w:rsidRDefault="00F30EB8" w:rsidP="00F30EB8">
            <w:pPr>
              <w:pStyle w:val="TableText"/>
              <w:jc w:val="center"/>
              <w:rPr>
                <w:lang w:val="en-US"/>
              </w:rPr>
            </w:pPr>
            <w:r>
              <w:rPr>
                <w:lang w:val="en-US"/>
              </w:rPr>
              <w:t>1 yr</w:t>
            </w:r>
          </w:p>
        </w:tc>
        <w:tc>
          <w:tcPr>
            <w:tcW w:w="629" w:type="pct"/>
            <w:tcBorders>
              <w:bottom w:val="dotted" w:sz="4" w:space="0" w:color="auto"/>
            </w:tcBorders>
            <w:vAlign w:val="center"/>
          </w:tcPr>
          <w:p w14:paraId="0E2D7EFF" w14:textId="42EE20BA" w:rsidR="00F30EB8" w:rsidRPr="00CE28E3" w:rsidRDefault="00F30EB8" w:rsidP="00F30EB8">
            <w:pPr>
              <w:pStyle w:val="TableText"/>
              <w:jc w:val="center"/>
              <w:rPr>
                <w:lang w:val="en-US"/>
              </w:rPr>
            </w:pPr>
            <w:r w:rsidRPr="00AE2C14">
              <w:t>21/724 (2.9)</w:t>
            </w:r>
          </w:p>
        </w:tc>
        <w:tc>
          <w:tcPr>
            <w:tcW w:w="629" w:type="pct"/>
            <w:tcBorders>
              <w:bottom w:val="dotted" w:sz="4" w:space="0" w:color="auto"/>
            </w:tcBorders>
            <w:vAlign w:val="center"/>
          </w:tcPr>
          <w:p w14:paraId="026DC47F" w14:textId="446A6A31" w:rsidR="00F30EB8" w:rsidRPr="00CE28E3" w:rsidRDefault="00F30EB8" w:rsidP="00F30EB8">
            <w:pPr>
              <w:pStyle w:val="TableText"/>
              <w:jc w:val="center"/>
              <w:rPr>
                <w:lang w:val="en-US"/>
              </w:rPr>
            </w:pPr>
            <w:r w:rsidRPr="00AE2C14">
              <w:t>39/724 (5.4)</w:t>
            </w:r>
          </w:p>
        </w:tc>
        <w:tc>
          <w:tcPr>
            <w:tcW w:w="865" w:type="pct"/>
            <w:tcBorders>
              <w:bottom w:val="dotted" w:sz="4" w:space="0" w:color="auto"/>
            </w:tcBorders>
            <w:shd w:val="clear" w:color="auto" w:fill="auto"/>
            <w:vAlign w:val="center"/>
          </w:tcPr>
          <w:p w14:paraId="4817F708" w14:textId="37C5E4BF" w:rsidR="00F30EB8" w:rsidRPr="00F30EB8" w:rsidRDefault="00F30EB8" w:rsidP="00F30EB8">
            <w:pPr>
              <w:pStyle w:val="TableText"/>
              <w:jc w:val="center"/>
              <w:rPr>
                <w:b/>
                <w:bCs/>
                <w:lang w:val="en-US"/>
              </w:rPr>
            </w:pPr>
            <w:r w:rsidRPr="00F30EB8">
              <w:rPr>
                <w:b/>
                <w:bCs/>
                <w:lang w:val="en-US"/>
              </w:rPr>
              <w:t>0.54 (0.32, 0.91)</w:t>
            </w:r>
            <w:r w:rsidRPr="00F30EB8">
              <w:rPr>
                <w:b/>
                <w:bCs/>
                <w:lang w:val="en-US"/>
              </w:rPr>
              <w:br/>
              <w:t>p = 0.02</w:t>
            </w:r>
          </w:p>
        </w:tc>
        <w:tc>
          <w:tcPr>
            <w:tcW w:w="834" w:type="pct"/>
            <w:tcBorders>
              <w:bottom w:val="dotted" w:sz="4" w:space="0" w:color="auto"/>
            </w:tcBorders>
            <w:shd w:val="clear" w:color="auto" w:fill="auto"/>
            <w:vAlign w:val="center"/>
          </w:tcPr>
          <w:p w14:paraId="5A6CBEE8" w14:textId="73F8717B" w:rsidR="00F30EB8" w:rsidRPr="00F30EB8" w:rsidRDefault="00F30EB8" w:rsidP="00F30EB8">
            <w:pPr>
              <w:pStyle w:val="TableText"/>
              <w:jc w:val="center"/>
              <w:rPr>
                <w:b/>
                <w:bCs/>
                <w:lang w:val="en-US"/>
              </w:rPr>
            </w:pPr>
            <w:r w:rsidRPr="00F30EB8">
              <w:rPr>
                <w:b/>
                <w:bCs/>
                <w:lang w:val="en-US"/>
              </w:rPr>
              <w:t>-0.02 (-0.05, -0.00)</w:t>
            </w:r>
            <w:r w:rsidRPr="00F30EB8">
              <w:rPr>
                <w:b/>
                <w:bCs/>
                <w:lang w:val="en-US"/>
              </w:rPr>
              <w:br/>
              <w:t>p= 0.02</w:t>
            </w:r>
          </w:p>
        </w:tc>
      </w:tr>
      <w:tr w:rsidR="00F30EB8" w:rsidRPr="00CE28E3" w14:paraId="076478A6" w14:textId="77777777" w:rsidTr="00F30EB8">
        <w:trPr>
          <w:cantSplit/>
        </w:trPr>
        <w:tc>
          <w:tcPr>
            <w:tcW w:w="862" w:type="pct"/>
            <w:tcBorders>
              <w:top w:val="nil"/>
              <w:bottom w:val="nil"/>
            </w:tcBorders>
            <w:shd w:val="clear" w:color="auto" w:fill="auto"/>
            <w:vAlign w:val="center"/>
          </w:tcPr>
          <w:p w14:paraId="16340E0A" w14:textId="77777777" w:rsidR="00F30EB8" w:rsidRDefault="00F30EB8" w:rsidP="00F30EB8">
            <w:pPr>
              <w:pStyle w:val="TableText"/>
              <w:rPr>
                <w:lang w:val="en-US"/>
              </w:rPr>
            </w:pPr>
          </w:p>
        </w:tc>
        <w:tc>
          <w:tcPr>
            <w:tcW w:w="707" w:type="pct"/>
            <w:tcBorders>
              <w:top w:val="nil"/>
              <w:bottom w:val="nil"/>
            </w:tcBorders>
            <w:vAlign w:val="center"/>
          </w:tcPr>
          <w:p w14:paraId="660B5ED6" w14:textId="77777777" w:rsidR="00F30EB8" w:rsidRDefault="00F30EB8" w:rsidP="00F30EB8">
            <w:pPr>
              <w:pStyle w:val="TableText"/>
              <w:jc w:val="center"/>
              <w:rPr>
                <w:lang w:val="en-US"/>
              </w:rPr>
            </w:pPr>
          </w:p>
        </w:tc>
        <w:tc>
          <w:tcPr>
            <w:tcW w:w="474" w:type="pct"/>
            <w:tcBorders>
              <w:top w:val="dotted" w:sz="4" w:space="0" w:color="auto"/>
              <w:bottom w:val="dotted" w:sz="4" w:space="0" w:color="auto"/>
            </w:tcBorders>
            <w:vAlign w:val="center"/>
          </w:tcPr>
          <w:p w14:paraId="5D422356" w14:textId="77777777" w:rsidR="00F30EB8" w:rsidRPr="00CE28E3" w:rsidRDefault="00F30EB8" w:rsidP="00F30EB8">
            <w:pPr>
              <w:pStyle w:val="TableText"/>
              <w:jc w:val="center"/>
              <w:rPr>
                <w:lang w:val="en-US"/>
              </w:rPr>
            </w:pPr>
            <w:r>
              <w:rPr>
                <w:lang w:val="en-US"/>
              </w:rPr>
              <w:t>2 yrs</w:t>
            </w:r>
          </w:p>
        </w:tc>
        <w:tc>
          <w:tcPr>
            <w:tcW w:w="629" w:type="pct"/>
            <w:tcBorders>
              <w:top w:val="dotted" w:sz="4" w:space="0" w:color="auto"/>
              <w:bottom w:val="dotted" w:sz="4" w:space="0" w:color="auto"/>
            </w:tcBorders>
            <w:vAlign w:val="center"/>
          </w:tcPr>
          <w:p w14:paraId="4D529426" w14:textId="4178C5D9" w:rsidR="00F30EB8" w:rsidRPr="00CE28E3" w:rsidRDefault="00F30EB8" w:rsidP="00F30EB8">
            <w:pPr>
              <w:pStyle w:val="TableText"/>
              <w:jc w:val="center"/>
              <w:rPr>
                <w:lang w:val="en-US"/>
              </w:rPr>
            </w:pPr>
            <w:r w:rsidRPr="00AE2C14">
              <w:t>43/724 (5.9)</w:t>
            </w:r>
          </w:p>
        </w:tc>
        <w:tc>
          <w:tcPr>
            <w:tcW w:w="629" w:type="pct"/>
            <w:tcBorders>
              <w:top w:val="dotted" w:sz="4" w:space="0" w:color="auto"/>
              <w:bottom w:val="dotted" w:sz="4" w:space="0" w:color="auto"/>
            </w:tcBorders>
            <w:vAlign w:val="center"/>
          </w:tcPr>
          <w:p w14:paraId="740A63F2" w14:textId="514AECD3" w:rsidR="00F30EB8" w:rsidRPr="00CE28E3" w:rsidRDefault="00F30EB8" w:rsidP="00F30EB8">
            <w:pPr>
              <w:pStyle w:val="TableText"/>
              <w:jc w:val="center"/>
              <w:rPr>
                <w:lang w:val="en-US"/>
              </w:rPr>
            </w:pPr>
            <w:r w:rsidRPr="00AE2C14">
              <w:t>65/724 (9.0)</w:t>
            </w:r>
          </w:p>
        </w:tc>
        <w:tc>
          <w:tcPr>
            <w:tcW w:w="865" w:type="pct"/>
            <w:tcBorders>
              <w:top w:val="dotted" w:sz="4" w:space="0" w:color="auto"/>
              <w:bottom w:val="dotted" w:sz="4" w:space="0" w:color="auto"/>
            </w:tcBorders>
            <w:shd w:val="clear" w:color="auto" w:fill="auto"/>
          </w:tcPr>
          <w:p w14:paraId="4DA93B91" w14:textId="20F5DA10" w:rsidR="00F30EB8" w:rsidRPr="00F30EB8" w:rsidRDefault="00F30EB8" w:rsidP="00F30EB8">
            <w:pPr>
              <w:pStyle w:val="TableText"/>
              <w:jc w:val="center"/>
              <w:rPr>
                <w:b/>
                <w:bCs/>
                <w:lang w:val="en-US"/>
              </w:rPr>
            </w:pPr>
            <w:r w:rsidRPr="00F30EB8">
              <w:rPr>
                <w:b/>
                <w:bCs/>
                <w:lang w:val="en-US"/>
              </w:rPr>
              <w:t>0.66 (0.46, 0.96)</w:t>
            </w:r>
            <w:r w:rsidRPr="00F30EB8">
              <w:rPr>
                <w:b/>
                <w:bCs/>
                <w:lang w:val="en-US"/>
              </w:rPr>
              <w:br/>
              <w:t>p = 0.03</w:t>
            </w:r>
          </w:p>
        </w:tc>
        <w:tc>
          <w:tcPr>
            <w:tcW w:w="834" w:type="pct"/>
            <w:tcBorders>
              <w:top w:val="dotted" w:sz="4" w:space="0" w:color="auto"/>
              <w:bottom w:val="dotted" w:sz="4" w:space="0" w:color="auto"/>
            </w:tcBorders>
            <w:shd w:val="clear" w:color="auto" w:fill="auto"/>
          </w:tcPr>
          <w:p w14:paraId="705EFEDE" w14:textId="6763111C" w:rsidR="00F30EB8" w:rsidRPr="00F30EB8" w:rsidRDefault="00F30EB8" w:rsidP="00F30EB8">
            <w:pPr>
              <w:pStyle w:val="TableText"/>
              <w:jc w:val="center"/>
              <w:rPr>
                <w:b/>
                <w:bCs/>
                <w:lang w:val="en-US"/>
              </w:rPr>
            </w:pPr>
            <w:r w:rsidRPr="00F30EB8">
              <w:rPr>
                <w:b/>
                <w:bCs/>
                <w:lang w:val="en-US"/>
              </w:rPr>
              <w:t>-0.03 (-0.06, -0.00)</w:t>
            </w:r>
            <w:r w:rsidRPr="00F30EB8">
              <w:rPr>
                <w:b/>
                <w:bCs/>
                <w:lang w:val="en-US"/>
              </w:rPr>
              <w:br/>
              <w:t>p = 0.03</w:t>
            </w:r>
          </w:p>
        </w:tc>
      </w:tr>
      <w:tr w:rsidR="00F30EB8" w:rsidRPr="00CE28E3" w14:paraId="7509E6A7" w14:textId="77777777" w:rsidTr="00F30EB8">
        <w:trPr>
          <w:cantSplit/>
        </w:trPr>
        <w:tc>
          <w:tcPr>
            <w:tcW w:w="862" w:type="pct"/>
            <w:tcBorders>
              <w:top w:val="nil"/>
              <w:bottom w:val="single" w:sz="4" w:space="0" w:color="auto"/>
            </w:tcBorders>
            <w:shd w:val="clear" w:color="auto" w:fill="auto"/>
            <w:vAlign w:val="center"/>
          </w:tcPr>
          <w:p w14:paraId="34751E4B" w14:textId="77777777" w:rsidR="00F30EB8" w:rsidRDefault="00F30EB8" w:rsidP="00F30EB8">
            <w:pPr>
              <w:pStyle w:val="TableText"/>
              <w:rPr>
                <w:lang w:val="en-US"/>
              </w:rPr>
            </w:pPr>
          </w:p>
        </w:tc>
        <w:tc>
          <w:tcPr>
            <w:tcW w:w="707" w:type="pct"/>
            <w:tcBorders>
              <w:top w:val="nil"/>
              <w:bottom w:val="single" w:sz="4" w:space="0" w:color="auto"/>
            </w:tcBorders>
            <w:vAlign w:val="center"/>
          </w:tcPr>
          <w:p w14:paraId="0C18009C" w14:textId="77777777" w:rsidR="00F30EB8" w:rsidRDefault="00F30EB8" w:rsidP="00F30EB8">
            <w:pPr>
              <w:pStyle w:val="TableText"/>
              <w:jc w:val="center"/>
              <w:rPr>
                <w:lang w:val="en-US"/>
              </w:rPr>
            </w:pPr>
          </w:p>
        </w:tc>
        <w:tc>
          <w:tcPr>
            <w:tcW w:w="474" w:type="pct"/>
            <w:tcBorders>
              <w:top w:val="dotted" w:sz="4" w:space="0" w:color="auto"/>
              <w:bottom w:val="single" w:sz="4" w:space="0" w:color="auto"/>
            </w:tcBorders>
            <w:vAlign w:val="center"/>
          </w:tcPr>
          <w:p w14:paraId="0FDC2097" w14:textId="77777777" w:rsidR="00F30EB8" w:rsidRPr="00CE28E3" w:rsidRDefault="00F30EB8" w:rsidP="00F30EB8">
            <w:pPr>
              <w:pStyle w:val="TableText"/>
              <w:jc w:val="center"/>
              <w:rPr>
                <w:lang w:val="en-US"/>
              </w:rPr>
            </w:pPr>
            <w:r>
              <w:rPr>
                <w:lang w:val="en-US"/>
              </w:rPr>
              <w:t>3 yrs</w:t>
            </w:r>
          </w:p>
        </w:tc>
        <w:tc>
          <w:tcPr>
            <w:tcW w:w="629" w:type="pct"/>
            <w:tcBorders>
              <w:top w:val="dotted" w:sz="4" w:space="0" w:color="auto"/>
              <w:bottom w:val="single" w:sz="4" w:space="0" w:color="auto"/>
            </w:tcBorders>
            <w:vAlign w:val="center"/>
          </w:tcPr>
          <w:p w14:paraId="0ADAF203" w14:textId="426C3012" w:rsidR="00F30EB8" w:rsidRPr="00CE28E3" w:rsidRDefault="00F30EB8" w:rsidP="00F30EB8">
            <w:pPr>
              <w:pStyle w:val="TableText"/>
              <w:jc w:val="center"/>
              <w:rPr>
                <w:lang w:val="en-US"/>
              </w:rPr>
            </w:pPr>
            <w:r w:rsidRPr="00AE2C14">
              <w:t>47/724 (6.5)</w:t>
            </w:r>
          </w:p>
        </w:tc>
        <w:tc>
          <w:tcPr>
            <w:tcW w:w="629" w:type="pct"/>
            <w:tcBorders>
              <w:top w:val="dotted" w:sz="4" w:space="0" w:color="auto"/>
              <w:bottom w:val="single" w:sz="4" w:space="0" w:color="auto"/>
            </w:tcBorders>
            <w:vAlign w:val="center"/>
          </w:tcPr>
          <w:p w14:paraId="0C831690" w14:textId="4B7CFF13" w:rsidR="00F30EB8" w:rsidRPr="00CE28E3" w:rsidRDefault="00F30EB8" w:rsidP="00F30EB8">
            <w:pPr>
              <w:pStyle w:val="TableText"/>
              <w:jc w:val="center"/>
              <w:rPr>
                <w:lang w:val="en-US"/>
              </w:rPr>
            </w:pPr>
            <w:r w:rsidRPr="00AE2C14">
              <w:t>76/724 (10.5)</w:t>
            </w:r>
          </w:p>
        </w:tc>
        <w:tc>
          <w:tcPr>
            <w:tcW w:w="865" w:type="pct"/>
            <w:tcBorders>
              <w:top w:val="dotted" w:sz="4" w:space="0" w:color="auto"/>
              <w:bottom w:val="single" w:sz="4" w:space="0" w:color="auto"/>
            </w:tcBorders>
            <w:shd w:val="clear" w:color="auto" w:fill="auto"/>
          </w:tcPr>
          <w:p w14:paraId="1C055201" w14:textId="39AB205F" w:rsidR="00F30EB8" w:rsidRPr="00F30EB8" w:rsidRDefault="00F30EB8" w:rsidP="00F30EB8">
            <w:pPr>
              <w:pStyle w:val="TableText"/>
              <w:jc w:val="center"/>
              <w:rPr>
                <w:b/>
                <w:bCs/>
                <w:lang w:val="en-US"/>
              </w:rPr>
            </w:pPr>
            <w:r w:rsidRPr="00F30EB8">
              <w:rPr>
                <w:b/>
                <w:bCs/>
                <w:lang w:val="en-US"/>
              </w:rPr>
              <w:t>0.62 (0.44, 0.88)</w:t>
            </w:r>
            <w:r w:rsidRPr="00F30EB8">
              <w:rPr>
                <w:b/>
                <w:bCs/>
                <w:lang w:val="en-US"/>
              </w:rPr>
              <w:br/>
              <w:t>p = 0.01</w:t>
            </w:r>
          </w:p>
        </w:tc>
        <w:tc>
          <w:tcPr>
            <w:tcW w:w="834" w:type="pct"/>
            <w:tcBorders>
              <w:top w:val="dotted" w:sz="4" w:space="0" w:color="auto"/>
            </w:tcBorders>
            <w:shd w:val="clear" w:color="auto" w:fill="auto"/>
          </w:tcPr>
          <w:p w14:paraId="1327B2FA" w14:textId="77A99644" w:rsidR="00F30EB8" w:rsidRPr="00F30EB8" w:rsidRDefault="00F30EB8" w:rsidP="00F30EB8">
            <w:pPr>
              <w:pStyle w:val="TableText"/>
              <w:jc w:val="center"/>
              <w:rPr>
                <w:b/>
                <w:bCs/>
                <w:lang w:val="en-US"/>
              </w:rPr>
            </w:pPr>
            <w:r w:rsidRPr="00F30EB8">
              <w:rPr>
                <w:b/>
                <w:bCs/>
                <w:lang w:val="en-US"/>
              </w:rPr>
              <w:t>-0.04 (-0.07, -0.01)</w:t>
            </w:r>
            <w:r w:rsidRPr="00F30EB8">
              <w:rPr>
                <w:b/>
                <w:bCs/>
                <w:lang w:val="en-US"/>
              </w:rPr>
              <w:br/>
              <w:t>p = 0.006</w:t>
            </w:r>
          </w:p>
        </w:tc>
      </w:tr>
    </w:tbl>
    <w:p w14:paraId="63BE164F" w14:textId="77777777" w:rsidR="00F30EB8" w:rsidRDefault="00F30EB8" w:rsidP="00731CB3">
      <w:pPr>
        <w:pStyle w:val="TableFigureFooter"/>
        <w:spacing w:before="60" w:after="0"/>
      </w:pPr>
      <w:r>
        <w:t>CI = confidence interval; HR = hazard ratio; IVUS = intravascular ultrasound; N = number randomised; PCI = percutaneous coronary intervention; RR = risk ratio; RD = risk difference.</w:t>
      </w:r>
    </w:p>
    <w:p w14:paraId="0E6AAE2B" w14:textId="6ED44E7A" w:rsidR="00F30EB8" w:rsidRDefault="00F30EB8" w:rsidP="00FF0176">
      <w:pPr>
        <w:pStyle w:val="TableFigureFooter"/>
        <w:spacing w:before="0" w:after="0"/>
      </w:pPr>
      <w:r>
        <w:t xml:space="preserve">Note: </w:t>
      </w:r>
      <w:r w:rsidR="005F1C7D">
        <w:t xml:space="preserve">Data are shown for the ITT population. </w:t>
      </w:r>
      <w:r>
        <w:t>Statistically significant differences are shown in bold.</w:t>
      </w:r>
    </w:p>
    <w:p w14:paraId="0F2F3845" w14:textId="6A8C0503" w:rsidR="00FF0176" w:rsidRDefault="00FF0176" w:rsidP="00F30EB8">
      <w:pPr>
        <w:pStyle w:val="TableFigureFooter"/>
        <w:spacing w:before="0"/>
      </w:pPr>
      <w:r>
        <w:t>** Quality has been downgraded in all cases by assessment group.</w:t>
      </w:r>
    </w:p>
    <w:p w14:paraId="7446D0FA" w14:textId="390AA819" w:rsidR="00C76233" w:rsidRDefault="00C76233" w:rsidP="00C76233">
      <w:r w:rsidRPr="00C76233">
        <w:t xml:space="preserve">Given that ULTIMATE included an all-comer population, analysis by lesion complexity may be of interest to MSAC. </w:t>
      </w:r>
      <w:r w:rsidRPr="00526FE9">
        <w:rPr>
          <w:i/>
          <w:iCs/>
        </w:rPr>
        <w:t>Post hoc</w:t>
      </w:r>
      <w:r w:rsidRPr="00C76233">
        <w:t xml:space="preserve"> analysis suggested that IVUS guidance provided greater benefit in complex PCI, defined as a composite of multivessel disease, bifurcation with two stents implanted, at least moderate calcification, chronic total occlusion, more than three stents implanted, and total stent length greater than 90 mm. Approximately two-thirds of ULTIMATE study participants had complex PCI according to this definition.</w:t>
      </w:r>
    </w:p>
    <w:p w14:paraId="72EC903A" w14:textId="74794A2F" w:rsidR="00C76233" w:rsidRPr="00D72C6E" w:rsidRDefault="00C76233" w:rsidP="00C76233">
      <w:pPr>
        <w:pStyle w:val="Caption"/>
        <w:rPr>
          <w:sz w:val="16"/>
          <w:szCs w:val="16"/>
        </w:rPr>
      </w:pPr>
      <w:r w:rsidRPr="00CE28E3">
        <w:t>Table</w:t>
      </w:r>
      <w:r>
        <w:t> </w:t>
      </w:r>
      <w:fldSimple w:instr=" SEQ Table \* ARABIC ">
        <w:r w:rsidR="00F03488">
          <w:rPr>
            <w:noProof/>
          </w:rPr>
          <w:t>13</w:t>
        </w:r>
      </w:fldSimple>
      <w:r w:rsidRPr="00CE28E3">
        <w:tab/>
      </w:r>
      <w:r>
        <w:t>Post hoc analysis of 3-year target vessel failure in patients with complex PCI</w:t>
      </w:r>
    </w:p>
    <w:tbl>
      <w:tblPr>
        <w:tblStyle w:val="TableGrid1"/>
        <w:tblW w:w="5000" w:type="pct"/>
        <w:tblCellMar>
          <w:left w:w="28" w:type="dxa"/>
          <w:right w:w="28" w:type="dxa"/>
        </w:tblCellMar>
        <w:tblLook w:val="04A0" w:firstRow="1" w:lastRow="0" w:firstColumn="1" w:lastColumn="0" w:noHBand="0" w:noVBand="1"/>
        <w:tblDescription w:val="Post hoc analysis of 3-year target vessel failure in patients with complex PCI"/>
      </w:tblPr>
      <w:tblGrid>
        <w:gridCol w:w="1316"/>
        <w:gridCol w:w="990"/>
        <w:gridCol w:w="1488"/>
        <w:gridCol w:w="1488"/>
        <w:gridCol w:w="1868"/>
        <w:gridCol w:w="1866"/>
      </w:tblGrid>
      <w:tr w:rsidR="00526FE9" w:rsidRPr="00CE28E3" w14:paraId="36A9FF0A" w14:textId="77777777" w:rsidTr="00526FE9">
        <w:trPr>
          <w:cnfStyle w:val="100000000000" w:firstRow="1" w:lastRow="0" w:firstColumn="0" w:lastColumn="0" w:oddVBand="0" w:evenVBand="0" w:oddHBand="0" w:evenHBand="0" w:firstRowFirstColumn="0" w:firstRowLastColumn="0" w:lastRowFirstColumn="0" w:lastRowLastColumn="0"/>
          <w:cantSplit/>
          <w:tblHeader/>
        </w:trPr>
        <w:tc>
          <w:tcPr>
            <w:tcW w:w="729" w:type="pct"/>
            <w:tcBorders>
              <w:bottom w:val="single" w:sz="4" w:space="0" w:color="auto"/>
            </w:tcBorders>
            <w:shd w:val="clear" w:color="auto" w:fill="auto"/>
            <w:vAlign w:val="center"/>
          </w:tcPr>
          <w:p w14:paraId="7865FAFA" w14:textId="3BBAF026" w:rsidR="00526FE9" w:rsidRPr="00CE28E3" w:rsidRDefault="00526FE9" w:rsidP="00D35490">
            <w:pPr>
              <w:pStyle w:val="In-tableHeading"/>
            </w:pPr>
            <w:r>
              <w:t>Trial ID</w:t>
            </w:r>
          </w:p>
        </w:tc>
        <w:tc>
          <w:tcPr>
            <w:tcW w:w="549" w:type="pct"/>
            <w:tcBorders>
              <w:bottom w:val="single" w:sz="4" w:space="0" w:color="auto"/>
            </w:tcBorders>
            <w:vAlign w:val="center"/>
          </w:tcPr>
          <w:p w14:paraId="4EFE5BF7" w14:textId="1762FE47" w:rsidR="00526FE9" w:rsidRDefault="00526FE9" w:rsidP="00D35490">
            <w:pPr>
              <w:pStyle w:val="In-tableHeading"/>
              <w:jc w:val="center"/>
            </w:pPr>
            <w:r>
              <w:t>Complex PCI</w:t>
            </w:r>
            <w:r w:rsidRPr="00CE25BC">
              <w:rPr>
                <w:vertAlign w:val="superscript"/>
              </w:rPr>
              <w:t>#</w:t>
            </w:r>
          </w:p>
        </w:tc>
        <w:tc>
          <w:tcPr>
            <w:tcW w:w="825" w:type="pct"/>
            <w:tcBorders>
              <w:bottom w:val="single" w:sz="4" w:space="0" w:color="auto"/>
            </w:tcBorders>
            <w:vAlign w:val="center"/>
          </w:tcPr>
          <w:p w14:paraId="0F1AEAC6" w14:textId="77777777" w:rsidR="00526FE9" w:rsidRDefault="00526FE9" w:rsidP="00D35490">
            <w:pPr>
              <w:pStyle w:val="In-tableHeading"/>
              <w:jc w:val="center"/>
            </w:pPr>
            <w:r>
              <w:t>IVUS-guided PCI</w:t>
            </w:r>
            <w:r>
              <w:br/>
              <w:t>n/N (%)</w:t>
            </w:r>
          </w:p>
        </w:tc>
        <w:tc>
          <w:tcPr>
            <w:tcW w:w="825" w:type="pct"/>
            <w:tcBorders>
              <w:bottom w:val="single" w:sz="4" w:space="0" w:color="auto"/>
            </w:tcBorders>
            <w:vAlign w:val="center"/>
          </w:tcPr>
          <w:p w14:paraId="16AD71D1" w14:textId="77777777" w:rsidR="00526FE9" w:rsidRDefault="00526FE9" w:rsidP="00D35490">
            <w:pPr>
              <w:pStyle w:val="In-tableHeading"/>
              <w:jc w:val="center"/>
            </w:pPr>
            <w:r>
              <w:t>Angiography-guided PCI</w:t>
            </w:r>
            <w:r>
              <w:br/>
              <w:t>n/N (%)</w:t>
            </w:r>
          </w:p>
        </w:tc>
        <w:tc>
          <w:tcPr>
            <w:tcW w:w="1036" w:type="pct"/>
            <w:tcBorders>
              <w:bottom w:val="single" w:sz="4" w:space="0" w:color="auto"/>
            </w:tcBorders>
            <w:shd w:val="clear" w:color="auto" w:fill="auto"/>
            <w:vAlign w:val="center"/>
          </w:tcPr>
          <w:p w14:paraId="16F42822" w14:textId="77777777" w:rsidR="00526FE9" w:rsidRPr="00CE28E3" w:rsidRDefault="00526FE9" w:rsidP="00D35490">
            <w:pPr>
              <w:pStyle w:val="In-tableHeading"/>
              <w:jc w:val="center"/>
            </w:pPr>
            <w:r>
              <w:t>RR (95% CI)</w:t>
            </w:r>
            <w:r>
              <w:br/>
              <w:t>p-value</w:t>
            </w:r>
          </w:p>
        </w:tc>
        <w:tc>
          <w:tcPr>
            <w:tcW w:w="1035" w:type="pct"/>
            <w:shd w:val="clear" w:color="auto" w:fill="auto"/>
            <w:vAlign w:val="center"/>
          </w:tcPr>
          <w:p w14:paraId="2FB46596" w14:textId="77777777" w:rsidR="00526FE9" w:rsidRPr="00CE28E3" w:rsidRDefault="00526FE9" w:rsidP="00D35490">
            <w:pPr>
              <w:pStyle w:val="In-tableHeading"/>
              <w:jc w:val="center"/>
            </w:pPr>
            <w:r>
              <w:t>RD (95% CI)</w:t>
            </w:r>
            <w:r>
              <w:br/>
              <w:t>p-value</w:t>
            </w:r>
          </w:p>
        </w:tc>
      </w:tr>
      <w:tr w:rsidR="00526FE9" w:rsidRPr="00CE28E3" w14:paraId="6A896FDD" w14:textId="77777777" w:rsidTr="00526FE9">
        <w:trPr>
          <w:cantSplit/>
        </w:trPr>
        <w:tc>
          <w:tcPr>
            <w:tcW w:w="729" w:type="pct"/>
            <w:tcBorders>
              <w:bottom w:val="single" w:sz="4" w:space="0" w:color="auto"/>
              <w:right w:val="nil"/>
            </w:tcBorders>
            <w:shd w:val="clear" w:color="auto" w:fill="auto"/>
            <w:vAlign w:val="center"/>
          </w:tcPr>
          <w:p w14:paraId="32A9EA6A" w14:textId="77777777" w:rsidR="00526FE9" w:rsidRPr="000D33E6" w:rsidRDefault="00526FE9" w:rsidP="00D35490">
            <w:pPr>
              <w:pStyle w:val="TableText"/>
              <w:keepNext/>
              <w:rPr>
                <w:b/>
                <w:bCs/>
                <w:lang w:val="en-US"/>
              </w:rPr>
            </w:pPr>
            <w:r w:rsidRPr="000D33E6">
              <w:rPr>
                <w:b/>
                <w:bCs/>
                <w:lang w:val="en-US"/>
              </w:rPr>
              <w:t>All-comers</w:t>
            </w:r>
          </w:p>
        </w:tc>
        <w:tc>
          <w:tcPr>
            <w:tcW w:w="549" w:type="pct"/>
            <w:tcBorders>
              <w:left w:val="nil"/>
              <w:bottom w:val="single" w:sz="4" w:space="0" w:color="auto"/>
              <w:right w:val="nil"/>
            </w:tcBorders>
            <w:vAlign w:val="center"/>
          </w:tcPr>
          <w:p w14:paraId="07AE6D3B" w14:textId="77777777" w:rsidR="00526FE9" w:rsidRPr="000D33E6" w:rsidRDefault="00526FE9" w:rsidP="00D35490">
            <w:pPr>
              <w:pStyle w:val="TableText"/>
              <w:keepNext/>
              <w:jc w:val="center"/>
              <w:rPr>
                <w:b/>
                <w:bCs/>
                <w:lang w:val="en-US"/>
              </w:rPr>
            </w:pPr>
          </w:p>
        </w:tc>
        <w:tc>
          <w:tcPr>
            <w:tcW w:w="825" w:type="pct"/>
            <w:tcBorders>
              <w:left w:val="nil"/>
              <w:bottom w:val="single" w:sz="4" w:space="0" w:color="auto"/>
              <w:right w:val="nil"/>
            </w:tcBorders>
            <w:vAlign w:val="center"/>
          </w:tcPr>
          <w:p w14:paraId="49A13119" w14:textId="77777777" w:rsidR="00526FE9" w:rsidRPr="000D33E6" w:rsidRDefault="00526FE9" w:rsidP="00D35490">
            <w:pPr>
              <w:pStyle w:val="TableText"/>
              <w:keepNext/>
              <w:jc w:val="center"/>
              <w:rPr>
                <w:b/>
                <w:bCs/>
                <w:lang w:val="en-US"/>
              </w:rPr>
            </w:pPr>
          </w:p>
        </w:tc>
        <w:tc>
          <w:tcPr>
            <w:tcW w:w="825" w:type="pct"/>
            <w:tcBorders>
              <w:left w:val="nil"/>
              <w:bottom w:val="single" w:sz="4" w:space="0" w:color="auto"/>
              <w:right w:val="nil"/>
            </w:tcBorders>
            <w:vAlign w:val="center"/>
          </w:tcPr>
          <w:p w14:paraId="47E55C8E" w14:textId="77777777" w:rsidR="00526FE9" w:rsidRPr="000D33E6" w:rsidRDefault="00526FE9" w:rsidP="00D35490">
            <w:pPr>
              <w:pStyle w:val="TableText"/>
              <w:keepNext/>
              <w:jc w:val="center"/>
              <w:rPr>
                <w:b/>
                <w:bCs/>
                <w:lang w:val="en-US"/>
              </w:rPr>
            </w:pPr>
          </w:p>
        </w:tc>
        <w:tc>
          <w:tcPr>
            <w:tcW w:w="1036" w:type="pct"/>
            <w:tcBorders>
              <w:left w:val="nil"/>
              <w:bottom w:val="single" w:sz="4" w:space="0" w:color="auto"/>
              <w:right w:val="nil"/>
            </w:tcBorders>
            <w:shd w:val="clear" w:color="auto" w:fill="auto"/>
            <w:vAlign w:val="center"/>
          </w:tcPr>
          <w:p w14:paraId="451C9092" w14:textId="77777777" w:rsidR="00526FE9" w:rsidRPr="000D33E6" w:rsidRDefault="00526FE9" w:rsidP="00D35490">
            <w:pPr>
              <w:pStyle w:val="TableText"/>
              <w:keepNext/>
              <w:jc w:val="center"/>
              <w:rPr>
                <w:b/>
                <w:bCs/>
                <w:lang w:val="en-US"/>
              </w:rPr>
            </w:pPr>
          </w:p>
        </w:tc>
        <w:tc>
          <w:tcPr>
            <w:tcW w:w="1035" w:type="pct"/>
            <w:tcBorders>
              <w:left w:val="nil"/>
              <w:bottom w:val="single" w:sz="4" w:space="0" w:color="auto"/>
            </w:tcBorders>
            <w:shd w:val="clear" w:color="auto" w:fill="auto"/>
            <w:vAlign w:val="center"/>
          </w:tcPr>
          <w:p w14:paraId="73E31AD6" w14:textId="77777777" w:rsidR="00526FE9" w:rsidRPr="000D33E6" w:rsidRDefault="00526FE9" w:rsidP="00D35490">
            <w:pPr>
              <w:pStyle w:val="TableText"/>
              <w:keepNext/>
              <w:jc w:val="center"/>
              <w:rPr>
                <w:b/>
                <w:bCs/>
                <w:lang w:val="en-US"/>
              </w:rPr>
            </w:pPr>
          </w:p>
        </w:tc>
      </w:tr>
      <w:tr w:rsidR="00526FE9" w:rsidRPr="00CE28E3" w14:paraId="6CCC0AB9" w14:textId="77777777" w:rsidTr="00526FE9">
        <w:trPr>
          <w:cantSplit/>
        </w:trPr>
        <w:tc>
          <w:tcPr>
            <w:tcW w:w="729" w:type="pct"/>
            <w:tcBorders>
              <w:bottom w:val="nil"/>
            </w:tcBorders>
            <w:shd w:val="clear" w:color="auto" w:fill="auto"/>
            <w:vAlign w:val="center"/>
          </w:tcPr>
          <w:p w14:paraId="35954F52" w14:textId="77777777" w:rsidR="00526FE9" w:rsidRPr="00685DF6" w:rsidRDefault="00526FE9" w:rsidP="00D35490">
            <w:pPr>
              <w:pStyle w:val="TableText"/>
              <w:keepNext/>
              <w:rPr>
                <w:lang w:val="en-US"/>
              </w:rPr>
            </w:pPr>
            <w:r>
              <w:rPr>
                <w:lang w:val="en-US"/>
              </w:rPr>
              <w:t>ULTIMATE</w:t>
            </w:r>
          </w:p>
        </w:tc>
        <w:tc>
          <w:tcPr>
            <w:tcW w:w="549" w:type="pct"/>
            <w:tcBorders>
              <w:bottom w:val="dotted" w:sz="4" w:space="0" w:color="auto"/>
            </w:tcBorders>
            <w:vAlign w:val="center"/>
          </w:tcPr>
          <w:p w14:paraId="6CCA52E0" w14:textId="2BF2E8CE" w:rsidR="00526FE9" w:rsidRPr="00CE28E3" w:rsidRDefault="00526FE9" w:rsidP="00D35490">
            <w:pPr>
              <w:pStyle w:val="TableText"/>
              <w:keepNext/>
              <w:jc w:val="center"/>
              <w:rPr>
                <w:lang w:val="en-US"/>
              </w:rPr>
            </w:pPr>
            <w:r>
              <w:rPr>
                <w:lang w:val="en-US"/>
              </w:rPr>
              <w:t>No</w:t>
            </w:r>
          </w:p>
        </w:tc>
        <w:tc>
          <w:tcPr>
            <w:tcW w:w="825" w:type="pct"/>
            <w:tcBorders>
              <w:bottom w:val="dotted" w:sz="4" w:space="0" w:color="auto"/>
            </w:tcBorders>
            <w:vAlign w:val="center"/>
          </w:tcPr>
          <w:p w14:paraId="28DA3E95" w14:textId="006B3974" w:rsidR="00526FE9" w:rsidRPr="00CE28E3" w:rsidRDefault="00526FE9" w:rsidP="00D35490">
            <w:pPr>
              <w:pStyle w:val="TableText"/>
              <w:keepNext/>
              <w:jc w:val="center"/>
              <w:rPr>
                <w:lang w:val="en-US"/>
              </w:rPr>
            </w:pPr>
            <w:r w:rsidRPr="003C6951">
              <w:t>12/245 (4.9%)</w:t>
            </w:r>
          </w:p>
        </w:tc>
        <w:tc>
          <w:tcPr>
            <w:tcW w:w="825" w:type="pct"/>
            <w:tcBorders>
              <w:bottom w:val="dotted" w:sz="4" w:space="0" w:color="auto"/>
            </w:tcBorders>
            <w:vAlign w:val="center"/>
          </w:tcPr>
          <w:p w14:paraId="579FA07C" w14:textId="2C87C5E6" w:rsidR="00526FE9" w:rsidRPr="00CE28E3" w:rsidRDefault="00526FE9" w:rsidP="00D35490">
            <w:pPr>
              <w:pStyle w:val="TableText"/>
              <w:keepNext/>
              <w:jc w:val="center"/>
              <w:rPr>
                <w:lang w:val="en-US"/>
              </w:rPr>
            </w:pPr>
            <w:r w:rsidRPr="003C6951">
              <w:t>16/242 (6.6%)</w:t>
            </w:r>
          </w:p>
        </w:tc>
        <w:tc>
          <w:tcPr>
            <w:tcW w:w="1036" w:type="pct"/>
            <w:tcBorders>
              <w:bottom w:val="dotted" w:sz="4" w:space="0" w:color="auto"/>
            </w:tcBorders>
            <w:shd w:val="clear" w:color="auto" w:fill="auto"/>
            <w:vAlign w:val="center"/>
          </w:tcPr>
          <w:p w14:paraId="21DCA464" w14:textId="476E9F23" w:rsidR="00526FE9" w:rsidRPr="00CE25BC" w:rsidRDefault="00526FE9" w:rsidP="00D35490">
            <w:pPr>
              <w:pStyle w:val="TableText"/>
              <w:keepNext/>
              <w:jc w:val="center"/>
              <w:rPr>
                <w:lang w:val="en-US"/>
              </w:rPr>
            </w:pPr>
            <w:r w:rsidRPr="00CE25BC">
              <w:rPr>
                <w:lang w:val="en-US"/>
              </w:rPr>
              <w:t>0.74 (0.36, 1.53)</w:t>
            </w:r>
            <w:r>
              <w:rPr>
                <w:lang w:val="en-US"/>
              </w:rPr>
              <w:br/>
            </w:r>
            <w:r w:rsidRPr="00CE25BC">
              <w:rPr>
                <w:lang w:val="en-US"/>
              </w:rPr>
              <w:t>p = 0.42</w:t>
            </w:r>
          </w:p>
        </w:tc>
        <w:tc>
          <w:tcPr>
            <w:tcW w:w="1035" w:type="pct"/>
            <w:tcBorders>
              <w:bottom w:val="dotted" w:sz="4" w:space="0" w:color="auto"/>
            </w:tcBorders>
            <w:shd w:val="clear" w:color="auto" w:fill="auto"/>
            <w:vAlign w:val="center"/>
          </w:tcPr>
          <w:p w14:paraId="289B6706" w14:textId="02B665EF" w:rsidR="00526FE9" w:rsidRPr="00CE25BC" w:rsidRDefault="00526FE9" w:rsidP="00D35490">
            <w:pPr>
              <w:pStyle w:val="TableText"/>
              <w:keepNext/>
              <w:jc w:val="center"/>
              <w:rPr>
                <w:lang w:val="en-US"/>
              </w:rPr>
            </w:pPr>
            <w:r w:rsidRPr="00CE25BC">
              <w:rPr>
                <w:lang w:val="en-US"/>
              </w:rPr>
              <w:t>-0.02 (-0.06, 0.02)</w:t>
            </w:r>
            <w:r>
              <w:rPr>
                <w:lang w:val="en-US"/>
              </w:rPr>
              <w:br/>
            </w:r>
            <w:r w:rsidRPr="00CE25BC">
              <w:rPr>
                <w:lang w:val="en-US"/>
              </w:rPr>
              <w:t>p = 0.42</w:t>
            </w:r>
          </w:p>
        </w:tc>
      </w:tr>
      <w:tr w:rsidR="00526FE9" w:rsidRPr="00CE28E3" w14:paraId="19FF7D04" w14:textId="77777777" w:rsidTr="00526FE9">
        <w:trPr>
          <w:cantSplit/>
        </w:trPr>
        <w:tc>
          <w:tcPr>
            <w:tcW w:w="729" w:type="pct"/>
            <w:tcBorders>
              <w:top w:val="nil"/>
              <w:bottom w:val="single" w:sz="4" w:space="0" w:color="auto"/>
            </w:tcBorders>
            <w:shd w:val="clear" w:color="auto" w:fill="auto"/>
            <w:vAlign w:val="center"/>
          </w:tcPr>
          <w:p w14:paraId="28687A4B" w14:textId="77777777" w:rsidR="00526FE9" w:rsidRDefault="00526FE9" w:rsidP="00D35490">
            <w:pPr>
              <w:pStyle w:val="TableText"/>
              <w:keepNext/>
              <w:rPr>
                <w:lang w:val="en-US"/>
              </w:rPr>
            </w:pPr>
          </w:p>
        </w:tc>
        <w:tc>
          <w:tcPr>
            <w:tcW w:w="549" w:type="pct"/>
            <w:tcBorders>
              <w:top w:val="dotted" w:sz="4" w:space="0" w:color="auto"/>
              <w:bottom w:val="single" w:sz="4" w:space="0" w:color="auto"/>
            </w:tcBorders>
            <w:vAlign w:val="center"/>
          </w:tcPr>
          <w:p w14:paraId="682C0479" w14:textId="29E28144" w:rsidR="00526FE9" w:rsidRPr="00CE28E3" w:rsidRDefault="00526FE9" w:rsidP="00D35490">
            <w:pPr>
              <w:pStyle w:val="TableText"/>
              <w:keepNext/>
              <w:jc w:val="center"/>
              <w:rPr>
                <w:lang w:val="en-US"/>
              </w:rPr>
            </w:pPr>
            <w:r>
              <w:rPr>
                <w:lang w:val="en-US"/>
              </w:rPr>
              <w:t>Yes</w:t>
            </w:r>
          </w:p>
        </w:tc>
        <w:tc>
          <w:tcPr>
            <w:tcW w:w="825" w:type="pct"/>
            <w:tcBorders>
              <w:top w:val="dotted" w:sz="4" w:space="0" w:color="auto"/>
              <w:bottom w:val="single" w:sz="4" w:space="0" w:color="auto"/>
            </w:tcBorders>
            <w:vAlign w:val="center"/>
          </w:tcPr>
          <w:p w14:paraId="7BB482AD" w14:textId="6FBFC937" w:rsidR="00526FE9" w:rsidRPr="00CE28E3" w:rsidRDefault="00526FE9" w:rsidP="00D35490">
            <w:pPr>
              <w:pStyle w:val="TableText"/>
              <w:keepNext/>
              <w:jc w:val="center"/>
              <w:rPr>
                <w:lang w:val="en-US"/>
              </w:rPr>
            </w:pPr>
            <w:r w:rsidRPr="003C6951">
              <w:t>35/479 (7.3%)</w:t>
            </w:r>
          </w:p>
        </w:tc>
        <w:tc>
          <w:tcPr>
            <w:tcW w:w="825" w:type="pct"/>
            <w:tcBorders>
              <w:top w:val="dotted" w:sz="4" w:space="0" w:color="auto"/>
              <w:bottom w:val="single" w:sz="4" w:space="0" w:color="auto"/>
            </w:tcBorders>
            <w:vAlign w:val="center"/>
          </w:tcPr>
          <w:p w14:paraId="57061631" w14:textId="2B974552" w:rsidR="00526FE9" w:rsidRPr="00CE28E3" w:rsidRDefault="00526FE9" w:rsidP="00D35490">
            <w:pPr>
              <w:pStyle w:val="TableText"/>
              <w:keepNext/>
              <w:jc w:val="center"/>
              <w:rPr>
                <w:lang w:val="en-US"/>
              </w:rPr>
            </w:pPr>
            <w:r w:rsidRPr="003C6951">
              <w:t>60/482 (12.4%)</w:t>
            </w:r>
          </w:p>
        </w:tc>
        <w:tc>
          <w:tcPr>
            <w:tcW w:w="1036" w:type="pct"/>
            <w:tcBorders>
              <w:top w:val="dotted" w:sz="4" w:space="0" w:color="auto"/>
              <w:bottom w:val="single" w:sz="4" w:space="0" w:color="auto"/>
            </w:tcBorders>
            <w:shd w:val="clear" w:color="auto" w:fill="auto"/>
          </w:tcPr>
          <w:p w14:paraId="1F8E2CA5" w14:textId="54671906" w:rsidR="00526FE9" w:rsidRPr="00F30EB8" w:rsidRDefault="00526FE9" w:rsidP="00D35490">
            <w:pPr>
              <w:pStyle w:val="TableText"/>
              <w:keepNext/>
              <w:jc w:val="center"/>
              <w:rPr>
                <w:b/>
                <w:bCs/>
                <w:lang w:val="en-US"/>
              </w:rPr>
            </w:pPr>
            <w:r w:rsidRPr="00C76233">
              <w:rPr>
                <w:b/>
                <w:bCs/>
                <w:lang w:val="en-US"/>
              </w:rPr>
              <w:t>0.59 (0.39, 0.87)</w:t>
            </w:r>
            <w:r>
              <w:rPr>
                <w:b/>
                <w:bCs/>
                <w:lang w:val="en-US"/>
              </w:rPr>
              <w:br/>
            </w:r>
            <w:r w:rsidRPr="00C76233">
              <w:rPr>
                <w:b/>
                <w:bCs/>
                <w:lang w:val="en-US"/>
              </w:rPr>
              <w:t>p = 0.009</w:t>
            </w:r>
          </w:p>
        </w:tc>
        <w:tc>
          <w:tcPr>
            <w:tcW w:w="1035" w:type="pct"/>
            <w:tcBorders>
              <w:top w:val="dotted" w:sz="4" w:space="0" w:color="auto"/>
            </w:tcBorders>
            <w:shd w:val="clear" w:color="auto" w:fill="auto"/>
          </w:tcPr>
          <w:p w14:paraId="2C537D6D" w14:textId="0649AC15" w:rsidR="00526FE9" w:rsidRPr="00F30EB8" w:rsidRDefault="00526FE9" w:rsidP="00D35490">
            <w:pPr>
              <w:pStyle w:val="TableText"/>
              <w:keepNext/>
              <w:jc w:val="center"/>
              <w:rPr>
                <w:b/>
                <w:bCs/>
                <w:lang w:val="en-US"/>
              </w:rPr>
            </w:pPr>
            <w:r w:rsidRPr="00C76233">
              <w:rPr>
                <w:b/>
                <w:bCs/>
                <w:lang w:val="en-US"/>
              </w:rPr>
              <w:t>-0.05 (-0.09, -0.01)</w:t>
            </w:r>
            <w:r>
              <w:rPr>
                <w:b/>
                <w:bCs/>
                <w:lang w:val="en-US"/>
              </w:rPr>
              <w:br/>
            </w:r>
            <w:r w:rsidRPr="00C76233">
              <w:rPr>
                <w:b/>
                <w:bCs/>
                <w:lang w:val="en-US"/>
              </w:rPr>
              <w:t>p = 0.007</w:t>
            </w:r>
          </w:p>
        </w:tc>
      </w:tr>
    </w:tbl>
    <w:p w14:paraId="796BC1B0" w14:textId="77777777" w:rsidR="00C76233" w:rsidRDefault="00C76233" w:rsidP="00731CB3">
      <w:pPr>
        <w:pStyle w:val="TableFigureFooter"/>
        <w:spacing w:before="60" w:after="0"/>
      </w:pPr>
      <w:r>
        <w:t>CI = confidence interval; HR = hazard ratio; IVUS = intravascular ultrasound; N = number randomised; PCI = percutaneous coronary intervention; RR = risk ratio; RD = risk difference.</w:t>
      </w:r>
    </w:p>
    <w:p w14:paraId="35F288D4" w14:textId="39E40261" w:rsidR="00C76233" w:rsidRDefault="00C76233" w:rsidP="00CE25BC">
      <w:pPr>
        <w:pStyle w:val="TableFigureFooter"/>
        <w:spacing w:before="0" w:after="0"/>
      </w:pPr>
      <w:r>
        <w:t>Note: Statistically significant differences are shown in bold.</w:t>
      </w:r>
    </w:p>
    <w:p w14:paraId="7B3C06BF" w14:textId="53326E40" w:rsidR="00CE25BC" w:rsidRDefault="00CE25BC" w:rsidP="00C76233">
      <w:pPr>
        <w:pStyle w:val="TableFigureFooter"/>
        <w:spacing w:before="0"/>
      </w:pPr>
      <w:r w:rsidRPr="00CE25BC">
        <w:rPr>
          <w:vertAlign w:val="superscript"/>
        </w:rPr>
        <w:t>#</w:t>
      </w:r>
      <w:r w:rsidRPr="00CE25BC">
        <w:t xml:space="preserve"> Complex PCI was defined as a composite of multivessel disease, bifurcation with 2 stents implanted, ≥ moderate calcification, chronic total occlusion, &gt; 3 stents implanted, and total stent length &gt; 90 mm.</w:t>
      </w:r>
    </w:p>
    <w:p w14:paraId="5D9EDD3E" w14:textId="77777777" w:rsidR="00B85CD9" w:rsidRDefault="00B85CD9" w:rsidP="00B85CD9">
      <w:pPr>
        <w:pStyle w:val="Heading4"/>
      </w:pPr>
      <w:r>
        <w:lastRenderedPageBreak/>
        <w:t>MACE</w:t>
      </w:r>
    </w:p>
    <w:p w14:paraId="329A8C89" w14:textId="7C02625F" w:rsidR="00B85CD9" w:rsidRDefault="00661AB7" w:rsidP="00975CA6">
      <w:pPr>
        <w:keepNext/>
      </w:pPr>
      <w:r>
        <w:t xml:space="preserve">MACE was the primary efficacy outcome for </w:t>
      </w:r>
      <w:r w:rsidR="007E6C58">
        <w:t>all</w:t>
      </w:r>
      <w:r>
        <w:t xml:space="preserve"> trials in patients with long lesions and left main lesions and was defined differently in each trial (see footnotes to </w:t>
      </w:r>
      <w:r w:rsidR="007E6C58">
        <w:fldChar w:fldCharType="begin"/>
      </w:r>
      <w:r w:rsidR="007E6C58">
        <w:instrText xml:space="preserve"> REF _Ref89184822 \h </w:instrText>
      </w:r>
      <w:r w:rsidR="007E6C58">
        <w:fldChar w:fldCharType="separate"/>
      </w:r>
      <w:r w:rsidR="00F03488" w:rsidRPr="00CE28E3">
        <w:t>Table</w:t>
      </w:r>
      <w:r w:rsidR="00F03488">
        <w:t> </w:t>
      </w:r>
      <w:r w:rsidR="00F03488">
        <w:rPr>
          <w:noProof/>
        </w:rPr>
        <w:t>14</w:t>
      </w:r>
      <w:r w:rsidR="007E6C58">
        <w:fldChar w:fldCharType="end"/>
      </w:r>
      <w:r w:rsidR="007E6C58">
        <w:t>)</w:t>
      </w:r>
      <w:r>
        <w:t>.</w:t>
      </w:r>
    </w:p>
    <w:p w14:paraId="225B09FB" w14:textId="31A1427F" w:rsidR="00AA39DC" w:rsidRDefault="00AA39DC" w:rsidP="00B85CD9">
      <w:r>
        <w:t>IVUS guidance resulted in significantly lower rates of MACE compared with angiography guidance in the IVUS-XPL trial (long lesions) at 1 year and 5 years, and in the Liu 2019 trial (left main lesions) at 1 year. Rates of MACE were numerically lower in patients who received IVUS-guided PCI in RESET and Tan 2015, but differences between arms did not reach statistical significance in terms of RR.</w:t>
      </w:r>
    </w:p>
    <w:p w14:paraId="4190FD61" w14:textId="4A887BDE" w:rsidR="00FA26A3" w:rsidRPr="00D72C6E" w:rsidRDefault="00FA26A3" w:rsidP="00FA26A3">
      <w:pPr>
        <w:pStyle w:val="Caption"/>
        <w:rPr>
          <w:sz w:val="16"/>
          <w:szCs w:val="16"/>
        </w:rPr>
      </w:pPr>
      <w:bookmarkStart w:id="34" w:name="_Ref89184822"/>
      <w:r w:rsidRPr="00CE28E3">
        <w:t>Table</w:t>
      </w:r>
      <w:r>
        <w:t> </w:t>
      </w:r>
      <w:fldSimple w:instr=" SEQ Table \* ARABIC ">
        <w:r w:rsidR="00F03488">
          <w:rPr>
            <w:noProof/>
          </w:rPr>
          <w:t>14</w:t>
        </w:r>
      </w:fldSimple>
      <w:bookmarkEnd w:id="34"/>
      <w:r w:rsidRPr="00CE28E3">
        <w:tab/>
      </w:r>
      <w:r w:rsidR="00661AB7">
        <w:t>Major cardiac adverse events</w:t>
      </w:r>
    </w:p>
    <w:tbl>
      <w:tblPr>
        <w:tblStyle w:val="TableGrid1"/>
        <w:tblW w:w="5000" w:type="pct"/>
        <w:tblLayout w:type="fixed"/>
        <w:tblCellMar>
          <w:left w:w="28" w:type="dxa"/>
          <w:right w:w="28" w:type="dxa"/>
        </w:tblCellMar>
        <w:tblLook w:val="04A0" w:firstRow="1" w:lastRow="0" w:firstColumn="1" w:lastColumn="0" w:noHBand="0" w:noVBand="1"/>
        <w:tblDescription w:val="Major cardiac adverse events data"/>
      </w:tblPr>
      <w:tblGrid>
        <w:gridCol w:w="1554"/>
        <w:gridCol w:w="1275"/>
        <w:gridCol w:w="855"/>
        <w:gridCol w:w="1134"/>
        <w:gridCol w:w="1134"/>
        <w:gridCol w:w="1560"/>
        <w:gridCol w:w="1504"/>
      </w:tblGrid>
      <w:tr w:rsidR="00FA26A3" w:rsidRPr="00CE28E3" w14:paraId="69F97D07" w14:textId="77777777" w:rsidTr="00985C44">
        <w:trPr>
          <w:cnfStyle w:val="100000000000" w:firstRow="1" w:lastRow="0" w:firstColumn="0" w:lastColumn="0" w:oddVBand="0" w:evenVBand="0" w:oddHBand="0" w:evenHBand="0" w:firstRowFirstColumn="0" w:firstRowLastColumn="0" w:lastRowFirstColumn="0" w:lastRowLastColumn="0"/>
          <w:cantSplit/>
          <w:tblHeader/>
        </w:trPr>
        <w:tc>
          <w:tcPr>
            <w:tcW w:w="862" w:type="pct"/>
            <w:tcBorders>
              <w:bottom w:val="single" w:sz="4" w:space="0" w:color="auto"/>
            </w:tcBorders>
            <w:shd w:val="clear" w:color="auto" w:fill="auto"/>
            <w:vAlign w:val="center"/>
          </w:tcPr>
          <w:p w14:paraId="72554628" w14:textId="77777777" w:rsidR="00FA26A3" w:rsidRPr="00CE28E3" w:rsidRDefault="00FA26A3" w:rsidP="0009246B">
            <w:pPr>
              <w:pStyle w:val="In-tableHeading"/>
            </w:pPr>
            <w:r>
              <w:t>Trial ID</w:t>
            </w:r>
            <w:r>
              <w:br/>
            </w:r>
            <w:r w:rsidRPr="00C44178">
              <w:rPr>
                <w:i/>
                <w:iCs/>
              </w:rPr>
              <w:t>Outcome definition</w:t>
            </w:r>
          </w:p>
        </w:tc>
        <w:tc>
          <w:tcPr>
            <w:tcW w:w="707" w:type="pct"/>
            <w:tcBorders>
              <w:bottom w:val="single" w:sz="4" w:space="0" w:color="auto"/>
            </w:tcBorders>
            <w:vAlign w:val="center"/>
          </w:tcPr>
          <w:p w14:paraId="4C715727" w14:textId="12BDCFE8" w:rsidR="00FA26A3" w:rsidRDefault="00FF0176" w:rsidP="0009246B">
            <w:pPr>
              <w:pStyle w:val="In-tableHeading"/>
              <w:jc w:val="center"/>
            </w:pPr>
            <w:r>
              <w:t>Quality**</w:t>
            </w:r>
          </w:p>
        </w:tc>
        <w:tc>
          <w:tcPr>
            <w:tcW w:w="474" w:type="pct"/>
            <w:tcBorders>
              <w:bottom w:val="single" w:sz="4" w:space="0" w:color="auto"/>
            </w:tcBorders>
            <w:vAlign w:val="center"/>
          </w:tcPr>
          <w:p w14:paraId="33295F4A" w14:textId="77777777" w:rsidR="00FA26A3" w:rsidRDefault="00FA26A3" w:rsidP="0009246B">
            <w:pPr>
              <w:pStyle w:val="In-tableHeading"/>
              <w:jc w:val="center"/>
            </w:pPr>
            <w:r>
              <w:t>Timepoint</w:t>
            </w:r>
          </w:p>
        </w:tc>
        <w:tc>
          <w:tcPr>
            <w:tcW w:w="629" w:type="pct"/>
            <w:tcBorders>
              <w:bottom w:val="single" w:sz="4" w:space="0" w:color="auto"/>
            </w:tcBorders>
            <w:vAlign w:val="center"/>
          </w:tcPr>
          <w:p w14:paraId="553977D8" w14:textId="77777777" w:rsidR="00FA26A3" w:rsidRDefault="00FA26A3" w:rsidP="0009246B">
            <w:pPr>
              <w:pStyle w:val="In-tableHeading"/>
              <w:jc w:val="center"/>
            </w:pPr>
            <w:r>
              <w:t>IVUS-guided PCI</w:t>
            </w:r>
            <w:r>
              <w:br/>
              <w:t>n/N (%)</w:t>
            </w:r>
          </w:p>
        </w:tc>
        <w:tc>
          <w:tcPr>
            <w:tcW w:w="629" w:type="pct"/>
            <w:tcBorders>
              <w:bottom w:val="single" w:sz="4" w:space="0" w:color="auto"/>
            </w:tcBorders>
            <w:vAlign w:val="center"/>
          </w:tcPr>
          <w:p w14:paraId="18B76AC5" w14:textId="77777777" w:rsidR="00FA26A3" w:rsidRDefault="00FA26A3" w:rsidP="0009246B">
            <w:pPr>
              <w:pStyle w:val="In-tableHeading"/>
              <w:jc w:val="center"/>
            </w:pPr>
            <w:r>
              <w:t>Angiography-guided PCI</w:t>
            </w:r>
            <w:r>
              <w:br/>
              <w:t>n/N (%)</w:t>
            </w:r>
          </w:p>
        </w:tc>
        <w:tc>
          <w:tcPr>
            <w:tcW w:w="865" w:type="pct"/>
            <w:tcBorders>
              <w:bottom w:val="single" w:sz="4" w:space="0" w:color="auto"/>
            </w:tcBorders>
            <w:shd w:val="clear" w:color="auto" w:fill="auto"/>
            <w:vAlign w:val="center"/>
          </w:tcPr>
          <w:p w14:paraId="4F87BE1D" w14:textId="77777777" w:rsidR="00FA26A3" w:rsidRPr="00CE28E3" w:rsidRDefault="00FA26A3" w:rsidP="0009246B">
            <w:pPr>
              <w:pStyle w:val="In-tableHeading"/>
              <w:jc w:val="center"/>
            </w:pPr>
            <w:r>
              <w:t>RR (95% CI)</w:t>
            </w:r>
            <w:r>
              <w:br/>
              <w:t>p-value</w:t>
            </w:r>
          </w:p>
        </w:tc>
        <w:tc>
          <w:tcPr>
            <w:tcW w:w="834" w:type="pct"/>
            <w:shd w:val="clear" w:color="auto" w:fill="auto"/>
            <w:vAlign w:val="center"/>
          </w:tcPr>
          <w:p w14:paraId="2595415E" w14:textId="77777777" w:rsidR="00FA26A3" w:rsidRPr="00CE28E3" w:rsidRDefault="00FA26A3" w:rsidP="0009246B">
            <w:pPr>
              <w:pStyle w:val="In-tableHeading"/>
              <w:jc w:val="center"/>
            </w:pPr>
            <w:r>
              <w:t>RD (95% CI)</w:t>
            </w:r>
            <w:r>
              <w:br/>
              <w:t>p-value</w:t>
            </w:r>
          </w:p>
        </w:tc>
      </w:tr>
      <w:tr w:rsidR="00FA26A3" w:rsidRPr="00CE28E3" w14:paraId="3D930821" w14:textId="77777777" w:rsidTr="00985C44">
        <w:trPr>
          <w:cantSplit/>
        </w:trPr>
        <w:tc>
          <w:tcPr>
            <w:tcW w:w="862" w:type="pct"/>
            <w:tcBorders>
              <w:bottom w:val="single" w:sz="4" w:space="0" w:color="auto"/>
              <w:right w:val="nil"/>
            </w:tcBorders>
            <w:shd w:val="clear" w:color="auto" w:fill="auto"/>
            <w:vAlign w:val="center"/>
          </w:tcPr>
          <w:p w14:paraId="6CC22522" w14:textId="1B304F46" w:rsidR="00FA26A3" w:rsidRPr="000D33E6" w:rsidRDefault="00FA26A3" w:rsidP="0009246B">
            <w:pPr>
              <w:pStyle w:val="TableText"/>
              <w:rPr>
                <w:b/>
                <w:bCs/>
                <w:lang w:val="en-US"/>
              </w:rPr>
            </w:pPr>
            <w:r w:rsidRPr="000D33E6">
              <w:rPr>
                <w:b/>
                <w:bCs/>
                <w:lang w:val="en-US"/>
              </w:rPr>
              <w:t>Long lesions</w:t>
            </w:r>
            <w:r w:rsidR="00985C44">
              <w:rPr>
                <w:b/>
                <w:bCs/>
                <w:lang w:val="en-US"/>
              </w:rPr>
              <w:t>^</w:t>
            </w:r>
          </w:p>
        </w:tc>
        <w:tc>
          <w:tcPr>
            <w:tcW w:w="707" w:type="pct"/>
            <w:tcBorders>
              <w:left w:val="nil"/>
              <w:bottom w:val="single" w:sz="4" w:space="0" w:color="auto"/>
              <w:right w:val="nil"/>
            </w:tcBorders>
            <w:vAlign w:val="center"/>
          </w:tcPr>
          <w:p w14:paraId="6F178CD9" w14:textId="77777777" w:rsidR="00FA26A3" w:rsidRPr="000D33E6" w:rsidRDefault="00FA26A3" w:rsidP="0009246B">
            <w:pPr>
              <w:pStyle w:val="TableText"/>
              <w:jc w:val="center"/>
              <w:rPr>
                <w:b/>
                <w:bCs/>
                <w:lang w:val="en-US"/>
              </w:rPr>
            </w:pPr>
          </w:p>
        </w:tc>
        <w:tc>
          <w:tcPr>
            <w:tcW w:w="474" w:type="pct"/>
            <w:tcBorders>
              <w:left w:val="nil"/>
              <w:bottom w:val="single" w:sz="4" w:space="0" w:color="auto"/>
              <w:right w:val="nil"/>
            </w:tcBorders>
            <w:vAlign w:val="center"/>
          </w:tcPr>
          <w:p w14:paraId="758358A4" w14:textId="77777777" w:rsidR="00FA26A3" w:rsidRPr="000D33E6" w:rsidRDefault="00FA26A3" w:rsidP="0009246B">
            <w:pPr>
              <w:pStyle w:val="TableText"/>
              <w:jc w:val="center"/>
              <w:rPr>
                <w:b/>
                <w:bCs/>
                <w:lang w:val="en-US"/>
              </w:rPr>
            </w:pPr>
          </w:p>
        </w:tc>
        <w:tc>
          <w:tcPr>
            <w:tcW w:w="629" w:type="pct"/>
            <w:tcBorders>
              <w:left w:val="nil"/>
              <w:bottom w:val="single" w:sz="4" w:space="0" w:color="auto"/>
              <w:right w:val="nil"/>
            </w:tcBorders>
            <w:vAlign w:val="center"/>
          </w:tcPr>
          <w:p w14:paraId="4AEC7680" w14:textId="77777777" w:rsidR="00FA26A3" w:rsidRPr="000D33E6" w:rsidRDefault="00FA26A3" w:rsidP="0009246B">
            <w:pPr>
              <w:pStyle w:val="TableText"/>
              <w:jc w:val="center"/>
              <w:rPr>
                <w:b/>
                <w:bCs/>
                <w:lang w:val="en-US"/>
              </w:rPr>
            </w:pPr>
          </w:p>
        </w:tc>
        <w:tc>
          <w:tcPr>
            <w:tcW w:w="629" w:type="pct"/>
            <w:tcBorders>
              <w:left w:val="nil"/>
              <w:bottom w:val="single" w:sz="4" w:space="0" w:color="auto"/>
              <w:right w:val="nil"/>
            </w:tcBorders>
            <w:vAlign w:val="center"/>
          </w:tcPr>
          <w:p w14:paraId="6C8AEE21" w14:textId="77777777" w:rsidR="00FA26A3" w:rsidRPr="000D33E6" w:rsidRDefault="00FA26A3" w:rsidP="0009246B">
            <w:pPr>
              <w:pStyle w:val="TableText"/>
              <w:jc w:val="center"/>
              <w:rPr>
                <w:b/>
                <w:bCs/>
                <w:lang w:val="en-US"/>
              </w:rPr>
            </w:pPr>
          </w:p>
        </w:tc>
        <w:tc>
          <w:tcPr>
            <w:tcW w:w="865" w:type="pct"/>
            <w:tcBorders>
              <w:left w:val="nil"/>
              <w:bottom w:val="single" w:sz="4" w:space="0" w:color="auto"/>
              <w:right w:val="nil"/>
            </w:tcBorders>
            <w:shd w:val="clear" w:color="auto" w:fill="auto"/>
            <w:vAlign w:val="center"/>
          </w:tcPr>
          <w:p w14:paraId="28DE5BD4" w14:textId="77777777" w:rsidR="00FA26A3" w:rsidRPr="000D33E6" w:rsidRDefault="00FA26A3" w:rsidP="0009246B">
            <w:pPr>
              <w:pStyle w:val="TableText"/>
              <w:jc w:val="center"/>
              <w:rPr>
                <w:b/>
                <w:bCs/>
                <w:lang w:val="en-US"/>
              </w:rPr>
            </w:pPr>
          </w:p>
        </w:tc>
        <w:tc>
          <w:tcPr>
            <w:tcW w:w="834" w:type="pct"/>
            <w:tcBorders>
              <w:left w:val="nil"/>
              <w:bottom w:val="single" w:sz="4" w:space="0" w:color="auto"/>
            </w:tcBorders>
            <w:shd w:val="clear" w:color="auto" w:fill="auto"/>
            <w:vAlign w:val="center"/>
          </w:tcPr>
          <w:p w14:paraId="7575A6F5" w14:textId="77777777" w:rsidR="00FA26A3" w:rsidRPr="000D33E6" w:rsidRDefault="00FA26A3" w:rsidP="0009246B">
            <w:pPr>
              <w:pStyle w:val="TableText"/>
              <w:jc w:val="center"/>
              <w:rPr>
                <w:b/>
                <w:bCs/>
                <w:lang w:val="en-US"/>
              </w:rPr>
            </w:pPr>
          </w:p>
        </w:tc>
      </w:tr>
      <w:tr w:rsidR="00985C44" w:rsidRPr="00CE28E3" w14:paraId="4139F616" w14:textId="77777777" w:rsidTr="00985C44">
        <w:trPr>
          <w:cantSplit/>
        </w:trPr>
        <w:tc>
          <w:tcPr>
            <w:tcW w:w="862" w:type="pct"/>
            <w:tcBorders>
              <w:bottom w:val="nil"/>
            </w:tcBorders>
            <w:shd w:val="clear" w:color="auto" w:fill="auto"/>
            <w:vAlign w:val="center"/>
          </w:tcPr>
          <w:p w14:paraId="4CABAF08" w14:textId="58FD89CA" w:rsidR="00985C44" w:rsidRPr="000859C7" w:rsidRDefault="00985C44" w:rsidP="00985C44">
            <w:pPr>
              <w:pStyle w:val="TableText"/>
              <w:rPr>
                <w:lang w:val="en-US"/>
              </w:rPr>
            </w:pPr>
            <w:r w:rsidRPr="000859C7">
              <w:rPr>
                <w:lang w:val="en-US"/>
              </w:rPr>
              <w:t>IVUS-XPL</w:t>
            </w:r>
            <w:r w:rsidRPr="007E6C58">
              <w:rPr>
                <w:vertAlign w:val="superscript"/>
                <w:lang w:val="en-US"/>
              </w:rPr>
              <w:t>#</w:t>
            </w:r>
          </w:p>
        </w:tc>
        <w:tc>
          <w:tcPr>
            <w:tcW w:w="707" w:type="pct"/>
            <w:tcBorders>
              <w:bottom w:val="nil"/>
            </w:tcBorders>
            <w:vAlign w:val="center"/>
          </w:tcPr>
          <w:p w14:paraId="7166A5F6" w14:textId="16DDA1EB" w:rsidR="00985C44" w:rsidRDefault="00FF0176" w:rsidP="00985C44">
            <w:pPr>
              <w:pStyle w:val="TableText"/>
              <w:jc w:val="center"/>
              <w:rPr>
                <w:lang w:val="en-US"/>
              </w:rPr>
            </w:pPr>
            <w:r w:rsidRPr="002C1697">
              <w:rPr>
                <w:rFonts w:ascii="Cambria Math" w:hAnsi="Cambria Math"/>
                <w:color w:val="00B050"/>
              </w:rPr>
              <w:t>⨁⨁</w:t>
            </w:r>
            <w:r w:rsidRPr="002C1697">
              <w:rPr>
                <w:rFonts w:ascii="Cambria Math" w:hAnsi="Cambria Math" w:cs="Cambria Math"/>
                <w:color w:val="C00000"/>
              </w:rPr>
              <w:t>⨀⨀</w:t>
            </w:r>
            <w:r>
              <w:rPr>
                <w:rFonts w:ascii="Cambria Math" w:hAnsi="Cambria Math" w:cs="Cambria Math"/>
                <w:color w:val="C00000"/>
              </w:rPr>
              <w:br/>
            </w:r>
            <w:r w:rsidRPr="004578AA">
              <w:rPr>
                <w:rStyle w:val="CommentaryemphasisTablesmid-paragraph"/>
                <w:color w:val="auto"/>
              </w:rPr>
              <w:t>Low</w:t>
            </w:r>
          </w:p>
        </w:tc>
        <w:tc>
          <w:tcPr>
            <w:tcW w:w="474" w:type="pct"/>
            <w:tcBorders>
              <w:bottom w:val="dotted" w:sz="4" w:space="0" w:color="auto"/>
            </w:tcBorders>
            <w:vAlign w:val="center"/>
          </w:tcPr>
          <w:p w14:paraId="09F9C954" w14:textId="77777777" w:rsidR="00985C44" w:rsidRPr="00CE28E3" w:rsidRDefault="00985C44" w:rsidP="00985C44">
            <w:pPr>
              <w:pStyle w:val="TableText"/>
              <w:jc w:val="center"/>
              <w:rPr>
                <w:lang w:val="en-US"/>
              </w:rPr>
            </w:pPr>
            <w:r>
              <w:rPr>
                <w:lang w:val="en-US"/>
              </w:rPr>
              <w:t>1 yr</w:t>
            </w:r>
          </w:p>
        </w:tc>
        <w:tc>
          <w:tcPr>
            <w:tcW w:w="629" w:type="pct"/>
            <w:tcBorders>
              <w:bottom w:val="dotted" w:sz="4" w:space="0" w:color="auto"/>
            </w:tcBorders>
            <w:vAlign w:val="center"/>
          </w:tcPr>
          <w:p w14:paraId="4EAD51D7" w14:textId="3C0A2FA4" w:rsidR="00985C44" w:rsidRPr="00CE28E3" w:rsidRDefault="00985C44" w:rsidP="00985C44">
            <w:pPr>
              <w:pStyle w:val="TableText"/>
              <w:jc w:val="center"/>
              <w:rPr>
                <w:lang w:val="en-US"/>
              </w:rPr>
            </w:pPr>
            <w:r w:rsidRPr="007D4C91">
              <w:t>19/700 (2.7)</w:t>
            </w:r>
          </w:p>
        </w:tc>
        <w:tc>
          <w:tcPr>
            <w:tcW w:w="629" w:type="pct"/>
            <w:tcBorders>
              <w:bottom w:val="dotted" w:sz="4" w:space="0" w:color="auto"/>
            </w:tcBorders>
            <w:vAlign w:val="center"/>
          </w:tcPr>
          <w:p w14:paraId="6A297307" w14:textId="6DD27D91" w:rsidR="00985C44" w:rsidRPr="00CE28E3" w:rsidRDefault="00985C44" w:rsidP="00985C44">
            <w:pPr>
              <w:pStyle w:val="TableText"/>
              <w:jc w:val="center"/>
              <w:rPr>
                <w:lang w:val="en-US"/>
              </w:rPr>
            </w:pPr>
            <w:r w:rsidRPr="007D4C91">
              <w:t>39/700 (5.6)</w:t>
            </w:r>
          </w:p>
        </w:tc>
        <w:tc>
          <w:tcPr>
            <w:tcW w:w="865" w:type="pct"/>
            <w:tcBorders>
              <w:bottom w:val="dotted" w:sz="4" w:space="0" w:color="auto"/>
            </w:tcBorders>
            <w:shd w:val="clear" w:color="auto" w:fill="auto"/>
            <w:vAlign w:val="center"/>
          </w:tcPr>
          <w:p w14:paraId="532ED026" w14:textId="31C98642" w:rsidR="00985C44" w:rsidRPr="00AA39DC" w:rsidRDefault="00985C44" w:rsidP="00985C44">
            <w:pPr>
              <w:pStyle w:val="TableText"/>
              <w:jc w:val="center"/>
              <w:rPr>
                <w:b/>
                <w:bCs/>
                <w:lang w:val="en-US"/>
              </w:rPr>
            </w:pPr>
            <w:r w:rsidRPr="00AA39DC">
              <w:rPr>
                <w:b/>
                <w:bCs/>
                <w:lang w:val="en-US"/>
              </w:rPr>
              <w:t>0.49 (0.28, 0.83)</w:t>
            </w:r>
            <w:r w:rsidRPr="00AA39DC">
              <w:rPr>
                <w:b/>
                <w:bCs/>
                <w:lang w:val="en-US"/>
              </w:rPr>
              <w:br/>
              <w:t>p = 0.009</w:t>
            </w:r>
          </w:p>
        </w:tc>
        <w:tc>
          <w:tcPr>
            <w:tcW w:w="834" w:type="pct"/>
            <w:tcBorders>
              <w:bottom w:val="dotted" w:sz="4" w:space="0" w:color="auto"/>
            </w:tcBorders>
            <w:shd w:val="clear" w:color="auto" w:fill="auto"/>
            <w:vAlign w:val="center"/>
          </w:tcPr>
          <w:p w14:paraId="45F41E44" w14:textId="0E15CE1D" w:rsidR="00985C44" w:rsidRPr="00AA39DC" w:rsidRDefault="00985C44" w:rsidP="00985C44">
            <w:pPr>
              <w:pStyle w:val="TableText"/>
              <w:jc w:val="center"/>
              <w:rPr>
                <w:b/>
                <w:bCs/>
                <w:lang w:val="en-US"/>
              </w:rPr>
            </w:pPr>
            <w:r w:rsidRPr="00AA39DC">
              <w:rPr>
                <w:b/>
                <w:bCs/>
                <w:lang w:val="en-US"/>
              </w:rPr>
              <w:t>-0.03 (-0.05, -0.01)</w:t>
            </w:r>
            <w:r w:rsidRPr="00AA39DC">
              <w:rPr>
                <w:b/>
                <w:bCs/>
                <w:lang w:val="en-US"/>
              </w:rPr>
              <w:br/>
              <w:t>p = 0.007</w:t>
            </w:r>
          </w:p>
        </w:tc>
      </w:tr>
      <w:tr w:rsidR="00985C44" w:rsidRPr="00CE28E3" w14:paraId="569DC108" w14:textId="77777777" w:rsidTr="00985C44">
        <w:trPr>
          <w:cantSplit/>
        </w:trPr>
        <w:tc>
          <w:tcPr>
            <w:tcW w:w="862" w:type="pct"/>
            <w:tcBorders>
              <w:top w:val="nil"/>
            </w:tcBorders>
            <w:shd w:val="clear" w:color="auto" w:fill="auto"/>
            <w:vAlign w:val="center"/>
          </w:tcPr>
          <w:p w14:paraId="67A28C99" w14:textId="510FDC5C" w:rsidR="00985C44" w:rsidRPr="001939FD" w:rsidRDefault="00985C44" w:rsidP="00985C44">
            <w:pPr>
              <w:pStyle w:val="TableText"/>
              <w:rPr>
                <w:i/>
                <w:iCs/>
                <w:lang w:val="en-US"/>
              </w:rPr>
            </w:pPr>
          </w:p>
        </w:tc>
        <w:tc>
          <w:tcPr>
            <w:tcW w:w="707" w:type="pct"/>
            <w:tcBorders>
              <w:top w:val="nil"/>
            </w:tcBorders>
            <w:vAlign w:val="center"/>
          </w:tcPr>
          <w:p w14:paraId="61F8A4EB" w14:textId="77777777" w:rsidR="00985C44" w:rsidRDefault="00985C44" w:rsidP="00985C44">
            <w:pPr>
              <w:pStyle w:val="TableText"/>
              <w:jc w:val="center"/>
              <w:rPr>
                <w:lang w:val="en-US"/>
              </w:rPr>
            </w:pPr>
          </w:p>
        </w:tc>
        <w:tc>
          <w:tcPr>
            <w:tcW w:w="474" w:type="pct"/>
            <w:tcBorders>
              <w:top w:val="dotted" w:sz="4" w:space="0" w:color="auto"/>
            </w:tcBorders>
            <w:vAlign w:val="center"/>
          </w:tcPr>
          <w:p w14:paraId="1ADBB553" w14:textId="77777777" w:rsidR="00985C44" w:rsidRPr="00CE28E3" w:rsidRDefault="00985C44" w:rsidP="00985C44">
            <w:pPr>
              <w:pStyle w:val="TableText"/>
              <w:jc w:val="center"/>
              <w:rPr>
                <w:lang w:val="en-US"/>
              </w:rPr>
            </w:pPr>
            <w:r>
              <w:rPr>
                <w:lang w:val="en-US"/>
              </w:rPr>
              <w:t>5 yrs</w:t>
            </w:r>
          </w:p>
        </w:tc>
        <w:tc>
          <w:tcPr>
            <w:tcW w:w="629" w:type="pct"/>
            <w:tcBorders>
              <w:top w:val="dotted" w:sz="4" w:space="0" w:color="auto"/>
            </w:tcBorders>
            <w:vAlign w:val="center"/>
          </w:tcPr>
          <w:p w14:paraId="79C7DE7B" w14:textId="3F281F75" w:rsidR="00985C44" w:rsidRPr="00CE28E3" w:rsidRDefault="00985C44" w:rsidP="00985C44">
            <w:pPr>
              <w:pStyle w:val="TableText"/>
              <w:jc w:val="center"/>
              <w:rPr>
                <w:lang w:val="en-US"/>
              </w:rPr>
            </w:pPr>
            <w:r w:rsidRPr="007D4C91">
              <w:t>36/700 (5.1)</w:t>
            </w:r>
          </w:p>
        </w:tc>
        <w:tc>
          <w:tcPr>
            <w:tcW w:w="629" w:type="pct"/>
            <w:tcBorders>
              <w:top w:val="dotted" w:sz="4" w:space="0" w:color="auto"/>
            </w:tcBorders>
            <w:vAlign w:val="center"/>
          </w:tcPr>
          <w:p w14:paraId="03AF10C5" w14:textId="014BA80B" w:rsidR="00985C44" w:rsidRPr="00CE28E3" w:rsidRDefault="00985C44" w:rsidP="00985C44">
            <w:pPr>
              <w:pStyle w:val="TableText"/>
              <w:jc w:val="center"/>
              <w:rPr>
                <w:lang w:val="en-US"/>
              </w:rPr>
            </w:pPr>
            <w:r w:rsidRPr="007D4C91">
              <w:t>70/700 (10)</w:t>
            </w:r>
          </w:p>
        </w:tc>
        <w:tc>
          <w:tcPr>
            <w:tcW w:w="865" w:type="pct"/>
            <w:tcBorders>
              <w:top w:val="dotted" w:sz="4" w:space="0" w:color="auto"/>
            </w:tcBorders>
            <w:shd w:val="clear" w:color="auto" w:fill="auto"/>
            <w:vAlign w:val="center"/>
          </w:tcPr>
          <w:p w14:paraId="6E23013F" w14:textId="5CA2F415" w:rsidR="00985C44" w:rsidRPr="00AA39DC" w:rsidRDefault="00985C44" w:rsidP="00985C44">
            <w:pPr>
              <w:pStyle w:val="TableText"/>
              <w:jc w:val="center"/>
              <w:rPr>
                <w:b/>
                <w:bCs/>
                <w:lang w:val="en-US"/>
              </w:rPr>
            </w:pPr>
            <w:r w:rsidRPr="00AA39DC">
              <w:rPr>
                <w:b/>
                <w:bCs/>
                <w:lang w:val="en-US"/>
              </w:rPr>
              <w:t>0.51 (0.35, 0.76)</w:t>
            </w:r>
            <w:r w:rsidRPr="00AA39DC">
              <w:rPr>
                <w:b/>
                <w:bCs/>
                <w:lang w:val="en-US"/>
              </w:rPr>
              <w:br/>
              <w:t>p = 0.0008</w:t>
            </w:r>
          </w:p>
        </w:tc>
        <w:tc>
          <w:tcPr>
            <w:tcW w:w="834" w:type="pct"/>
            <w:tcBorders>
              <w:top w:val="dotted" w:sz="4" w:space="0" w:color="auto"/>
            </w:tcBorders>
            <w:shd w:val="clear" w:color="auto" w:fill="auto"/>
            <w:vAlign w:val="center"/>
          </w:tcPr>
          <w:p w14:paraId="4FF3CA1E" w14:textId="3D51ACF4" w:rsidR="00985C44" w:rsidRPr="00AA39DC" w:rsidRDefault="00985C44" w:rsidP="00985C44">
            <w:pPr>
              <w:pStyle w:val="TableText"/>
              <w:jc w:val="center"/>
              <w:rPr>
                <w:b/>
                <w:bCs/>
                <w:lang w:val="en-US"/>
              </w:rPr>
            </w:pPr>
            <w:r w:rsidRPr="00AA39DC">
              <w:rPr>
                <w:b/>
                <w:bCs/>
                <w:lang w:val="en-US"/>
              </w:rPr>
              <w:t>-0.05 (-0.08, -0.02)</w:t>
            </w:r>
            <w:r w:rsidRPr="00AA39DC">
              <w:rPr>
                <w:b/>
                <w:bCs/>
                <w:lang w:val="en-US"/>
              </w:rPr>
              <w:br/>
              <w:t>p = 0.0006</w:t>
            </w:r>
          </w:p>
        </w:tc>
      </w:tr>
      <w:tr w:rsidR="00985C44" w:rsidRPr="00CE28E3" w14:paraId="19070E74" w14:textId="77777777" w:rsidTr="00985C44">
        <w:trPr>
          <w:cantSplit/>
        </w:trPr>
        <w:tc>
          <w:tcPr>
            <w:tcW w:w="862" w:type="pct"/>
            <w:tcBorders>
              <w:bottom w:val="single" w:sz="4" w:space="0" w:color="auto"/>
            </w:tcBorders>
            <w:shd w:val="clear" w:color="auto" w:fill="auto"/>
            <w:vAlign w:val="center"/>
          </w:tcPr>
          <w:p w14:paraId="7D032B77" w14:textId="6713FB25" w:rsidR="00985C44" w:rsidRPr="00C07319" w:rsidRDefault="00985C44" w:rsidP="00985C44">
            <w:pPr>
              <w:pStyle w:val="TableText"/>
              <w:rPr>
                <w:lang w:val="en-US"/>
              </w:rPr>
            </w:pPr>
            <w:r>
              <w:rPr>
                <w:lang w:val="en-US"/>
              </w:rPr>
              <w:t>RESET</w:t>
            </w:r>
            <w:r w:rsidRPr="007E6C58">
              <w:rPr>
                <w:vertAlign w:val="superscript"/>
                <w:lang w:val="en-US"/>
              </w:rPr>
              <w:t>##</w:t>
            </w:r>
          </w:p>
        </w:tc>
        <w:tc>
          <w:tcPr>
            <w:tcW w:w="707" w:type="pct"/>
            <w:tcBorders>
              <w:bottom w:val="single" w:sz="4" w:space="0" w:color="auto"/>
            </w:tcBorders>
            <w:vAlign w:val="center"/>
          </w:tcPr>
          <w:p w14:paraId="7DA77315" w14:textId="4F997569" w:rsidR="00985C44" w:rsidRDefault="00FF0176" w:rsidP="00985C44">
            <w:pPr>
              <w:pStyle w:val="TableText"/>
              <w:jc w:val="center"/>
              <w:rPr>
                <w:lang w:val="en-US"/>
              </w:rPr>
            </w:pPr>
            <w:r w:rsidRPr="002C1697">
              <w:rPr>
                <w:rFonts w:ascii="Cambria Math" w:hAnsi="Cambria Math"/>
                <w:color w:val="00B050"/>
              </w:rPr>
              <w:t>⨁⨁</w:t>
            </w:r>
            <w:r w:rsidRPr="002C1697">
              <w:rPr>
                <w:rFonts w:ascii="Cambria Math" w:hAnsi="Cambria Math" w:cs="Cambria Math"/>
                <w:color w:val="C00000"/>
              </w:rPr>
              <w:t>⨀⨀</w:t>
            </w:r>
            <w:r>
              <w:rPr>
                <w:rFonts w:ascii="Cambria Math" w:hAnsi="Cambria Math" w:cs="Cambria Math"/>
                <w:color w:val="C00000"/>
              </w:rPr>
              <w:br/>
            </w:r>
            <w:r w:rsidRPr="004578AA">
              <w:rPr>
                <w:rStyle w:val="CommentaryemphasisTablesmid-paragraph"/>
                <w:color w:val="auto"/>
              </w:rPr>
              <w:t>Low</w:t>
            </w:r>
          </w:p>
        </w:tc>
        <w:tc>
          <w:tcPr>
            <w:tcW w:w="474" w:type="pct"/>
            <w:tcBorders>
              <w:bottom w:val="single" w:sz="4" w:space="0" w:color="auto"/>
            </w:tcBorders>
            <w:vAlign w:val="center"/>
          </w:tcPr>
          <w:p w14:paraId="1BF6DA67" w14:textId="77777777" w:rsidR="00985C44" w:rsidRPr="00CE28E3" w:rsidRDefault="00985C44" w:rsidP="00985C44">
            <w:pPr>
              <w:pStyle w:val="TableText"/>
              <w:jc w:val="center"/>
              <w:rPr>
                <w:lang w:val="en-US"/>
              </w:rPr>
            </w:pPr>
            <w:r>
              <w:rPr>
                <w:lang w:val="en-US"/>
              </w:rPr>
              <w:t>1 yr</w:t>
            </w:r>
          </w:p>
        </w:tc>
        <w:tc>
          <w:tcPr>
            <w:tcW w:w="629" w:type="pct"/>
            <w:tcBorders>
              <w:bottom w:val="single" w:sz="4" w:space="0" w:color="auto"/>
            </w:tcBorders>
            <w:vAlign w:val="center"/>
          </w:tcPr>
          <w:p w14:paraId="682558F0" w14:textId="4E7A6DFC" w:rsidR="00985C44" w:rsidRPr="00CE28E3" w:rsidRDefault="00985C44" w:rsidP="00985C44">
            <w:pPr>
              <w:pStyle w:val="TableText"/>
              <w:jc w:val="center"/>
              <w:rPr>
                <w:lang w:val="en-US"/>
              </w:rPr>
            </w:pPr>
            <w:r w:rsidRPr="007D4C91">
              <w:t>12/269 (4.5)</w:t>
            </w:r>
          </w:p>
        </w:tc>
        <w:tc>
          <w:tcPr>
            <w:tcW w:w="629" w:type="pct"/>
            <w:tcBorders>
              <w:bottom w:val="single" w:sz="4" w:space="0" w:color="auto"/>
            </w:tcBorders>
            <w:vAlign w:val="center"/>
          </w:tcPr>
          <w:p w14:paraId="7BD1DFE0" w14:textId="49DA3B08" w:rsidR="00985C44" w:rsidRPr="00CE28E3" w:rsidRDefault="00985C44" w:rsidP="00985C44">
            <w:pPr>
              <w:pStyle w:val="TableText"/>
              <w:jc w:val="center"/>
              <w:rPr>
                <w:lang w:val="en-US"/>
              </w:rPr>
            </w:pPr>
            <w:r w:rsidRPr="007D4C91">
              <w:t>20/274 (7.3)</w:t>
            </w:r>
          </w:p>
        </w:tc>
        <w:tc>
          <w:tcPr>
            <w:tcW w:w="865" w:type="pct"/>
            <w:tcBorders>
              <w:bottom w:val="single" w:sz="4" w:space="0" w:color="auto"/>
            </w:tcBorders>
            <w:shd w:val="clear" w:color="auto" w:fill="auto"/>
            <w:vAlign w:val="center"/>
          </w:tcPr>
          <w:p w14:paraId="3D869BC5" w14:textId="57CB97D0" w:rsidR="00985C44" w:rsidRPr="00CE28E3" w:rsidRDefault="00985C44" w:rsidP="00985C44">
            <w:pPr>
              <w:pStyle w:val="TableText"/>
              <w:jc w:val="center"/>
              <w:rPr>
                <w:lang w:val="en-US"/>
              </w:rPr>
            </w:pPr>
            <w:r w:rsidRPr="00985C44">
              <w:rPr>
                <w:lang w:val="en-US"/>
              </w:rPr>
              <w:t>0.61 (0.3, 1.23)</w:t>
            </w:r>
            <w:r>
              <w:rPr>
                <w:lang w:val="en-US"/>
              </w:rPr>
              <w:br/>
            </w:r>
            <w:r w:rsidRPr="00985C44">
              <w:rPr>
                <w:lang w:val="en-US"/>
              </w:rPr>
              <w:t>p = 0.17</w:t>
            </w:r>
          </w:p>
        </w:tc>
        <w:tc>
          <w:tcPr>
            <w:tcW w:w="834" w:type="pct"/>
            <w:shd w:val="clear" w:color="auto" w:fill="auto"/>
            <w:vAlign w:val="center"/>
          </w:tcPr>
          <w:p w14:paraId="7012B718" w14:textId="65DD4085" w:rsidR="00985C44" w:rsidRPr="00CE28E3" w:rsidRDefault="00985C44" w:rsidP="00510D7C">
            <w:pPr>
              <w:pStyle w:val="TableText"/>
              <w:jc w:val="center"/>
              <w:rPr>
                <w:lang w:val="en-US"/>
              </w:rPr>
            </w:pPr>
            <w:r w:rsidRPr="00985C44">
              <w:rPr>
                <w:lang w:val="en-US"/>
              </w:rPr>
              <w:t>-0.03 (-0.07, 0.01)</w:t>
            </w:r>
            <w:r w:rsidR="00510D7C">
              <w:rPr>
                <w:lang w:val="en-US"/>
              </w:rPr>
              <w:br/>
            </w:r>
            <w:r w:rsidRPr="00985C44">
              <w:rPr>
                <w:lang w:val="en-US"/>
              </w:rPr>
              <w:t>p = 0.16</w:t>
            </w:r>
          </w:p>
        </w:tc>
      </w:tr>
      <w:tr w:rsidR="00FA26A3" w:rsidRPr="00CE28E3" w14:paraId="454351FF" w14:textId="77777777" w:rsidTr="00985C44">
        <w:trPr>
          <w:cantSplit/>
        </w:trPr>
        <w:tc>
          <w:tcPr>
            <w:tcW w:w="862" w:type="pct"/>
            <w:tcBorders>
              <w:right w:val="nil"/>
            </w:tcBorders>
            <w:shd w:val="clear" w:color="auto" w:fill="auto"/>
            <w:vAlign w:val="center"/>
          </w:tcPr>
          <w:p w14:paraId="6997ABCC" w14:textId="664A4F69" w:rsidR="00FA26A3" w:rsidRPr="000D33E6" w:rsidRDefault="00FA26A3" w:rsidP="0009246B">
            <w:pPr>
              <w:pStyle w:val="TableText"/>
              <w:rPr>
                <w:b/>
                <w:bCs/>
                <w:lang w:val="en-US"/>
              </w:rPr>
            </w:pPr>
            <w:r w:rsidRPr="000D33E6">
              <w:rPr>
                <w:b/>
                <w:bCs/>
                <w:lang w:val="en-US"/>
              </w:rPr>
              <w:t>Left main lesions</w:t>
            </w:r>
            <w:r w:rsidR="00985C44">
              <w:rPr>
                <w:b/>
                <w:bCs/>
                <w:lang w:val="en-US"/>
              </w:rPr>
              <w:t>^</w:t>
            </w:r>
          </w:p>
        </w:tc>
        <w:tc>
          <w:tcPr>
            <w:tcW w:w="707" w:type="pct"/>
            <w:tcBorders>
              <w:left w:val="nil"/>
              <w:right w:val="nil"/>
            </w:tcBorders>
            <w:vAlign w:val="center"/>
          </w:tcPr>
          <w:p w14:paraId="7AA6B222" w14:textId="77777777" w:rsidR="00FA26A3" w:rsidRPr="000D33E6" w:rsidRDefault="00FA26A3" w:rsidP="0009246B">
            <w:pPr>
              <w:pStyle w:val="TableText"/>
              <w:jc w:val="center"/>
              <w:rPr>
                <w:b/>
                <w:bCs/>
                <w:lang w:val="en-US"/>
              </w:rPr>
            </w:pPr>
          </w:p>
        </w:tc>
        <w:tc>
          <w:tcPr>
            <w:tcW w:w="474" w:type="pct"/>
            <w:tcBorders>
              <w:left w:val="nil"/>
              <w:right w:val="nil"/>
            </w:tcBorders>
            <w:vAlign w:val="center"/>
          </w:tcPr>
          <w:p w14:paraId="680CBA4F" w14:textId="77777777" w:rsidR="00FA26A3" w:rsidRPr="000D33E6" w:rsidRDefault="00FA26A3" w:rsidP="0009246B">
            <w:pPr>
              <w:pStyle w:val="TableText"/>
              <w:jc w:val="center"/>
              <w:rPr>
                <w:b/>
                <w:bCs/>
                <w:lang w:val="en-US"/>
              </w:rPr>
            </w:pPr>
          </w:p>
        </w:tc>
        <w:tc>
          <w:tcPr>
            <w:tcW w:w="629" w:type="pct"/>
            <w:tcBorders>
              <w:left w:val="nil"/>
              <w:right w:val="nil"/>
            </w:tcBorders>
            <w:vAlign w:val="center"/>
          </w:tcPr>
          <w:p w14:paraId="4B54618F" w14:textId="77777777" w:rsidR="00FA26A3" w:rsidRPr="000D33E6" w:rsidRDefault="00FA26A3" w:rsidP="0009246B">
            <w:pPr>
              <w:pStyle w:val="TableText"/>
              <w:jc w:val="center"/>
              <w:rPr>
                <w:b/>
                <w:bCs/>
                <w:lang w:val="en-US"/>
              </w:rPr>
            </w:pPr>
          </w:p>
        </w:tc>
        <w:tc>
          <w:tcPr>
            <w:tcW w:w="629" w:type="pct"/>
            <w:tcBorders>
              <w:left w:val="nil"/>
              <w:right w:val="nil"/>
            </w:tcBorders>
            <w:vAlign w:val="center"/>
          </w:tcPr>
          <w:p w14:paraId="7F2F8443" w14:textId="77777777" w:rsidR="00FA26A3" w:rsidRPr="000D33E6" w:rsidRDefault="00FA26A3" w:rsidP="0009246B">
            <w:pPr>
              <w:pStyle w:val="TableText"/>
              <w:jc w:val="center"/>
              <w:rPr>
                <w:b/>
                <w:bCs/>
                <w:lang w:val="en-US"/>
              </w:rPr>
            </w:pPr>
          </w:p>
        </w:tc>
        <w:tc>
          <w:tcPr>
            <w:tcW w:w="865" w:type="pct"/>
            <w:tcBorders>
              <w:left w:val="nil"/>
              <w:right w:val="nil"/>
            </w:tcBorders>
            <w:shd w:val="clear" w:color="auto" w:fill="auto"/>
            <w:vAlign w:val="center"/>
          </w:tcPr>
          <w:p w14:paraId="5CF1EBF5" w14:textId="77777777" w:rsidR="00FA26A3" w:rsidRPr="000D33E6" w:rsidRDefault="00FA26A3" w:rsidP="0009246B">
            <w:pPr>
              <w:pStyle w:val="TableText"/>
              <w:jc w:val="center"/>
              <w:rPr>
                <w:b/>
                <w:bCs/>
                <w:lang w:val="en-US"/>
              </w:rPr>
            </w:pPr>
          </w:p>
        </w:tc>
        <w:tc>
          <w:tcPr>
            <w:tcW w:w="834" w:type="pct"/>
            <w:tcBorders>
              <w:left w:val="nil"/>
            </w:tcBorders>
            <w:shd w:val="clear" w:color="auto" w:fill="auto"/>
            <w:vAlign w:val="center"/>
          </w:tcPr>
          <w:p w14:paraId="47F60C51" w14:textId="77777777" w:rsidR="00FA26A3" w:rsidRPr="000D33E6" w:rsidRDefault="00FA26A3" w:rsidP="0009246B">
            <w:pPr>
              <w:pStyle w:val="TableText"/>
              <w:jc w:val="center"/>
              <w:rPr>
                <w:b/>
                <w:bCs/>
                <w:lang w:val="en-US"/>
              </w:rPr>
            </w:pPr>
          </w:p>
        </w:tc>
      </w:tr>
      <w:tr w:rsidR="00510D7C" w:rsidRPr="00CE28E3" w14:paraId="48717F90" w14:textId="77777777" w:rsidTr="00510D7C">
        <w:trPr>
          <w:cantSplit/>
        </w:trPr>
        <w:tc>
          <w:tcPr>
            <w:tcW w:w="862" w:type="pct"/>
            <w:shd w:val="clear" w:color="auto" w:fill="auto"/>
            <w:vAlign w:val="center"/>
          </w:tcPr>
          <w:p w14:paraId="42AD83EB" w14:textId="0496A8AA" w:rsidR="00510D7C" w:rsidRPr="00CE28E3" w:rsidRDefault="00510D7C" w:rsidP="00510D7C">
            <w:pPr>
              <w:pStyle w:val="TableText"/>
              <w:rPr>
                <w:lang w:val="en-US"/>
              </w:rPr>
            </w:pPr>
            <w:r>
              <w:rPr>
                <w:lang w:val="en-US"/>
              </w:rPr>
              <w:t>Liu 2019*</w:t>
            </w:r>
          </w:p>
        </w:tc>
        <w:tc>
          <w:tcPr>
            <w:tcW w:w="707" w:type="pct"/>
            <w:vAlign w:val="center"/>
          </w:tcPr>
          <w:p w14:paraId="106A4278" w14:textId="77777777" w:rsidR="00FF0176" w:rsidRPr="002C1697" w:rsidRDefault="00FF0176" w:rsidP="00FF0176">
            <w:pPr>
              <w:spacing w:before="40"/>
              <w:jc w:val="center"/>
              <w:rPr>
                <w:rFonts w:ascii="Cambria Math" w:hAnsi="Cambria Math" w:cs="Cambria Math"/>
                <w:color w:val="C00000"/>
              </w:rPr>
            </w:pPr>
            <w:r w:rsidRPr="002C1697">
              <w:rPr>
                <w:rFonts w:ascii="Cambria Math" w:hAnsi="Cambria Math"/>
                <w:color w:val="00B050"/>
              </w:rPr>
              <w:t>⨁</w:t>
            </w:r>
            <w:r w:rsidRPr="002C1697">
              <w:rPr>
                <w:rFonts w:ascii="Cambria Math" w:hAnsi="Cambria Math" w:cs="Cambria Math"/>
                <w:color w:val="C00000"/>
              </w:rPr>
              <w:t>⨀⨀⨀</w:t>
            </w:r>
          </w:p>
          <w:p w14:paraId="15AAB7DF" w14:textId="4D3A0A18" w:rsidR="00510D7C" w:rsidRDefault="00FF0176" w:rsidP="00FF0176">
            <w:pPr>
              <w:pStyle w:val="TableText"/>
              <w:jc w:val="center"/>
              <w:rPr>
                <w:lang w:val="en-US"/>
              </w:rPr>
            </w:pPr>
            <w:r w:rsidRPr="004578AA">
              <w:rPr>
                <w:rStyle w:val="CommentaryemphasisTablesmid-paragraph"/>
                <w:color w:val="auto"/>
              </w:rPr>
              <w:t>Very low</w:t>
            </w:r>
          </w:p>
        </w:tc>
        <w:tc>
          <w:tcPr>
            <w:tcW w:w="474" w:type="pct"/>
            <w:vAlign w:val="center"/>
          </w:tcPr>
          <w:p w14:paraId="515CB642" w14:textId="77777777" w:rsidR="00510D7C" w:rsidRPr="00CE28E3" w:rsidRDefault="00510D7C" w:rsidP="00510D7C">
            <w:pPr>
              <w:pStyle w:val="TableText"/>
              <w:jc w:val="center"/>
              <w:rPr>
                <w:lang w:val="en-US"/>
              </w:rPr>
            </w:pPr>
            <w:r>
              <w:rPr>
                <w:lang w:val="en-US"/>
              </w:rPr>
              <w:t>1 yr</w:t>
            </w:r>
          </w:p>
        </w:tc>
        <w:tc>
          <w:tcPr>
            <w:tcW w:w="629" w:type="pct"/>
            <w:vAlign w:val="center"/>
          </w:tcPr>
          <w:p w14:paraId="6CC8F06B" w14:textId="1C08F2D1" w:rsidR="00510D7C" w:rsidRPr="00CE28E3" w:rsidRDefault="00510D7C" w:rsidP="00510D7C">
            <w:pPr>
              <w:pStyle w:val="TableText"/>
              <w:jc w:val="center"/>
              <w:rPr>
                <w:lang w:val="en-US"/>
              </w:rPr>
            </w:pPr>
            <w:r w:rsidRPr="00995D47">
              <w:t>22/174 (12.6)</w:t>
            </w:r>
          </w:p>
        </w:tc>
        <w:tc>
          <w:tcPr>
            <w:tcW w:w="629" w:type="pct"/>
            <w:vAlign w:val="center"/>
          </w:tcPr>
          <w:p w14:paraId="73BC2F08" w14:textId="1E57F9BE" w:rsidR="00510D7C" w:rsidRPr="00CE28E3" w:rsidRDefault="00510D7C" w:rsidP="00510D7C">
            <w:pPr>
              <w:pStyle w:val="TableText"/>
              <w:jc w:val="center"/>
              <w:rPr>
                <w:lang w:val="en-US"/>
              </w:rPr>
            </w:pPr>
            <w:r w:rsidRPr="00995D47">
              <w:t>37/174 (21.3)</w:t>
            </w:r>
          </w:p>
        </w:tc>
        <w:tc>
          <w:tcPr>
            <w:tcW w:w="865" w:type="pct"/>
            <w:shd w:val="clear" w:color="auto" w:fill="auto"/>
            <w:vAlign w:val="center"/>
          </w:tcPr>
          <w:p w14:paraId="156530FB" w14:textId="255158B9" w:rsidR="00510D7C" w:rsidRPr="00AA39DC" w:rsidRDefault="00510D7C" w:rsidP="00510D7C">
            <w:pPr>
              <w:pStyle w:val="TableText"/>
              <w:jc w:val="center"/>
              <w:rPr>
                <w:b/>
                <w:bCs/>
                <w:lang w:val="en-US"/>
              </w:rPr>
            </w:pPr>
            <w:r w:rsidRPr="00AA39DC">
              <w:rPr>
                <w:b/>
                <w:bCs/>
                <w:lang w:val="en-US"/>
              </w:rPr>
              <w:t>0.59 (0.37, 0.96)</w:t>
            </w:r>
            <w:r w:rsidRPr="00AA39DC">
              <w:rPr>
                <w:b/>
                <w:bCs/>
                <w:lang w:val="en-US"/>
              </w:rPr>
              <w:br/>
              <w:t>p = 0.04</w:t>
            </w:r>
          </w:p>
        </w:tc>
        <w:tc>
          <w:tcPr>
            <w:tcW w:w="834" w:type="pct"/>
            <w:shd w:val="clear" w:color="auto" w:fill="auto"/>
            <w:vAlign w:val="center"/>
          </w:tcPr>
          <w:p w14:paraId="6614D663" w14:textId="4AF8D08B" w:rsidR="00510D7C" w:rsidRPr="00AA39DC" w:rsidRDefault="00510D7C" w:rsidP="00510D7C">
            <w:pPr>
              <w:pStyle w:val="TableText"/>
              <w:jc w:val="center"/>
              <w:rPr>
                <w:b/>
                <w:bCs/>
                <w:lang w:val="en-US"/>
              </w:rPr>
            </w:pPr>
            <w:r w:rsidRPr="00AA39DC">
              <w:rPr>
                <w:b/>
                <w:bCs/>
                <w:lang w:val="en-US"/>
              </w:rPr>
              <w:t>-0.09 (-0.16, -0.01)</w:t>
            </w:r>
            <w:r w:rsidRPr="00AA39DC">
              <w:rPr>
                <w:b/>
                <w:bCs/>
                <w:lang w:val="en-US"/>
              </w:rPr>
              <w:br/>
              <w:t>p = 0.03</w:t>
            </w:r>
          </w:p>
        </w:tc>
      </w:tr>
      <w:tr w:rsidR="00510D7C" w:rsidRPr="00CE28E3" w14:paraId="65463895" w14:textId="77777777" w:rsidTr="00510D7C">
        <w:trPr>
          <w:cantSplit/>
        </w:trPr>
        <w:tc>
          <w:tcPr>
            <w:tcW w:w="862" w:type="pct"/>
            <w:shd w:val="clear" w:color="auto" w:fill="auto"/>
            <w:vAlign w:val="center"/>
          </w:tcPr>
          <w:p w14:paraId="45378ADC" w14:textId="5010A3AA" w:rsidR="00510D7C" w:rsidRPr="00CE28E3" w:rsidRDefault="00510D7C" w:rsidP="00510D7C">
            <w:pPr>
              <w:pStyle w:val="TableText"/>
              <w:rPr>
                <w:lang w:val="en-US"/>
              </w:rPr>
            </w:pPr>
            <w:r>
              <w:rPr>
                <w:lang w:val="en-US"/>
              </w:rPr>
              <w:t>Tan 2015**</w:t>
            </w:r>
          </w:p>
        </w:tc>
        <w:tc>
          <w:tcPr>
            <w:tcW w:w="707" w:type="pct"/>
            <w:vAlign w:val="center"/>
          </w:tcPr>
          <w:p w14:paraId="7854EE20" w14:textId="77777777" w:rsidR="00FF0176" w:rsidRPr="002C1697" w:rsidRDefault="00FF0176" w:rsidP="00FF0176">
            <w:pPr>
              <w:spacing w:before="40"/>
              <w:jc w:val="center"/>
              <w:rPr>
                <w:rFonts w:ascii="Cambria Math" w:hAnsi="Cambria Math" w:cs="Cambria Math"/>
                <w:color w:val="C00000"/>
              </w:rPr>
            </w:pPr>
            <w:r w:rsidRPr="002C1697">
              <w:rPr>
                <w:rFonts w:ascii="Cambria Math" w:hAnsi="Cambria Math"/>
                <w:color w:val="00B050"/>
              </w:rPr>
              <w:t>⨁</w:t>
            </w:r>
            <w:r w:rsidRPr="002C1697">
              <w:rPr>
                <w:rFonts w:ascii="Cambria Math" w:hAnsi="Cambria Math" w:cs="Cambria Math"/>
                <w:color w:val="C00000"/>
              </w:rPr>
              <w:t>⨀⨀⨀</w:t>
            </w:r>
          </w:p>
          <w:p w14:paraId="7ED6E1B3" w14:textId="46A22976" w:rsidR="00510D7C" w:rsidRDefault="00FF0176" w:rsidP="00FF0176">
            <w:pPr>
              <w:pStyle w:val="TableText"/>
              <w:jc w:val="center"/>
              <w:rPr>
                <w:lang w:val="en-US"/>
              </w:rPr>
            </w:pPr>
            <w:r w:rsidRPr="004578AA">
              <w:rPr>
                <w:rStyle w:val="CommentaryemphasisTablesmid-paragraph"/>
                <w:color w:val="auto"/>
              </w:rPr>
              <w:t>Very low</w:t>
            </w:r>
          </w:p>
        </w:tc>
        <w:tc>
          <w:tcPr>
            <w:tcW w:w="474" w:type="pct"/>
            <w:vAlign w:val="center"/>
          </w:tcPr>
          <w:p w14:paraId="149D90AF" w14:textId="77777777" w:rsidR="00510D7C" w:rsidRPr="00CE28E3" w:rsidRDefault="00510D7C" w:rsidP="00510D7C">
            <w:pPr>
              <w:pStyle w:val="TableText"/>
              <w:jc w:val="center"/>
              <w:rPr>
                <w:lang w:val="en-US"/>
              </w:rPr>
            </w:pPr>
            <w:r>
              <w:rPr>
                <w:lang w:val="en-US"/>
              </w:rPr>
              <w:t>2 yrs</w:t>
            </w:r>
          </w:p>
        </w:tc>
        <w:tc>
          <w:tcPr>
            <w:tcW w:w="629" w:type="pct"/>
            <w:vAlign w:val="center"/>
          </w:tcPr>
          <w:p w14:paraId="7BC43867" w14:textId="3014C23E" w:rsidR="00510D7C" w:rsidRPr="00CE28E3" w:rsidRDefault="00510D7C" w:rsidP="00510D7C">
            <w:pPr>
              <w:pStyle w:val="TableText"/>
              <w:jc w:val="center"/>
              <w:rPr>
                <w:lang w:val="en-US"/>
              </w:rPr>
            </w:pPr>
            <w:r w:rsidRPr="00995D47">
              <w:t>8/61 (13.1)</w:t>
            </w:r>
          </w:p>
        </w:tc>
        <w:tc>
          <w:tcPr>
            <w:tcW w:w="629" w:type="pct"/>
            <w:vAlign w:val="center"/>
          </w:tcPr>
          <w:p w14:paraId="31B4B56A" w14:textId="276CA4A9" w:rsidR="00510D7C" w:rsidRPr="00CE28E3" w:rsidRDefault="00510D7C" w:rsidP="00510D7C">
            <w:pPr>
              <w:pStyle w:val="TableText"/>
              <w:jc w:val="center"/>
              <w:rPr>
                <w:lang w:val="en-US"/>
              </w:rPr>
            </w:pPr>
            <w:r w:rsidRPr="00995D47">
              <w:t>17/62 (27.4)</w:t>
            </w:r>
          </w:p>
        </w:tc>
        <w:tc>
          <w:tcPr>
            <w:tcW w:w="865" w:type="pct"/>
            <w:shd w:val="clear" w:color="auto" w:fill="auto"/>
            <w:vAlign w:val="center"/>
          </w:tcPr>
          <w:p w14:paraId="7CA06FDB" w14:textId="64EFD03A" w:rsidR="00510D7C" w:rsidRPr="00CE28E3" w:rsidRDefault="00510D7C" w:rsidP="00510D7C">
            <w:pPr>
              <w:pStyle w:val="TableText"/>
              <w:jc w:val="center"/>
              <w:rPr>
                <w:lang w:val="en-US"/>
              </w:rPr>
            </w:pPr>
            <w:r w:rsidRPr="00510D7C">
              <w:rPr>
                <w:lang w:val="en-US"/>
              </w:rPr>
              <w:t>0.48 (0.22, 1.03)</w:t>
            </w:r>
            <w:r>
              <w:rPr>
                <w:lang w:val="en-US"/>
              </w:rPr>
              <w:br/>
            </w:r>
            <w:r w:rsidRPr="00510D7C">
              <w:rPr>
                <w:lang w:val="en-US"/>
              </w:rPr>
              <w:t>p = 0.06</w:t>
            </w:r>
          </w:p>
        </w:tc>
        <w:tc>
          <w:tcPr>
            <w:tcW w:w="834" w:type="pct"/>
            <w:shd w:val="clear" w:color="auto" w:fill="auto"/>
            <w:vAlign w:val="center"/>
          </w:tcPr>
          <w:p w14:paraId="31F02849" w14:textId="0AD0E9F4" w:rsidR="00510D7C" w:rsidRPr="00AA39DC" w:rsidRDefault="00510D7C" w:rsidP="00510D7C">
            <w:pPr>
              <w:pStyle w:val="TableText"/>
              <w:jc w:val="center"/>
              <w:rPr>
                <w:b/>
                <w:bCs/>
                <w:lang w:val="en-US"/>
              </w:rPr>
            </w:pPr>
            <w:r w:rsidRPr="00AA39DC">
              <w:rPr>
                <w:b/>
                <w:bCs/>
                <w:lang w:val="en-US"/>
              </w:rPr>
              <w:t>-0.14 (-0.28, -0.00)</w:t>
            </w:r>
            <w:r w:rsidRPr="00AA39DC">
              <w:rPr>
                <w:b/>
                <w:bCs/>
                <w:lang w:val="en-US"/>
              </w:rPr>
              <w:br/>
              <w:t>p = 0.04</w:t>
            </w:r>
          </w:p>
        </w:tc>
      </w:tr>
    </w:tbl>
    <w:p w14:paraId="51F59195" w14:textId="77777777" w:rsidR="00FA26A3" w:rsidRDefault="00FA26A3" w:rsidP="00731CB3">
      <w:pPr>
        <w:pStyle w:val="TableFigureFooter"/>
        <w:spacing w:before="60" w:after="0"/>
      </w:pPr>
      <w:r>
        <w:t>CI = confidence interval; HR = hazard ratio; IVUS = intravascular ultrasound; N = number randomised; PCI = percutaneous coronary intervention; RR = risk ratio; RD = risk difference.</w:t>
      </w:r>
    </w:p>
    <w:p w14:paraId="54DED8B8" w14:textId="452BA3F8" w:rsidR="00FA26A3" w:rsidRDefault="00FA26A3" w:rsidP="00FA26A3">
      <w:pPr>
        <w:pStyle w:val="TableFigureFooter"/>
        <w:spacing w:before="0" w:after="0"/>
      </w:pPr>
      <w:r>
        <w:t xml:space="preserve">Note: </w:t>
      </w:r>
      <w:r w:rsidR="005F1C7D">
        <w:t xml:space="preserve">Data are shown for the ITT population. </w:t>
      </w:r>
      <w:r>
        <w:t>Statistically significant differences are shown in bold.</w:t>
      </w:r>
    </w:p>
    <w:p w14:paraId="12C16C32" w14:textId="7B6B0D94" w:rsidR="00510D7C" w:rsidRDefault="00510D7C" w:rsidP="00FA26A3">
      <w:pPr>
        <w:pStyle w:val="TableFigureFooter"/>
        <w:spacing w:before="0" w:after="0"/>
      </w:pPr>
      <w:r>
        <w:t>^ Meta-analysis was not appropriate because of different outcome definitions.</w:t>
      </w:r>
    </w:p>
    <w:p w14:paraId="6CD129D8" w14:textId="011B2624" w:rsidR="007E6C58" w:rsidRDefault="007E6C58" w:rsidP="00985C44">
      <w:pPr>
        <w:pStyle w:val="TableFigureFooter"/>
        <w:spacing w:before="0" w:after="0"/>
      </w:pPr>
      <w:r w:rsidRPr="007E6C58">
        <w:rPr>
          <w:vertAlign w:val="superscript"/>
        </w:rPr>
        <w:t>#</w:t>
      </w:r>
      <w:r>
        <w:t xml:space="preserve"> </w:t>
      </w:r>
      <w:r w:rsidRPr="007E6C58">
        <w:t xml:space="preserve">Composite </w:t>
      </w:r>
      <w:r>
        <w:t>of</w:t>
      </w:r>
      <w:r w:rsidRPr="007E6C58">
        <w:t xml:space="preserve"> cardiac death, target lesion</w:t>
      </w:r>
      <w:r>
        <w:t xml:space="preserve"> </w:t>
      </w:r>
      <w:r w:rsidRPr="007E6C58">
        <w:t>related MI or ischemia</w:t>
      </w:r>
      <w:r>
        <w:t xml:space="preserve"> </w:t>
      </w:r>
      <w:r w:rsidRPr="007E6C58">
        <w:t>driven TLR</w:t>
      </w:r>
      <w:r>
        <w:t>.</w:t>
      </w:r>
    </w:p>
    <w:p w14:paraId="042CF1A6" w14:textId="03E37DBD" w:rsidR="00FA26A3" w:rsidRDefault="007E6C58" w:rsidP="00985C44">
      <w:pPr>
        <w:pStyle w:val="TableFigureFooter"/>
        <w:spacing w:before="0" w:after="0"/>
      </w:pPr>
      <w:r w:rsidRPr="007E6C58">
        <w:rPr>
          <w:vertAlign w:val="superscript"/>
        </w:rPr>
        <w:t>##</w:t>
      </w:r>
      <w:r>
        <w:t xml:space="preserve"> Composite of </w:t>
      </w:r>
      <w:r w:rsidRPr="007E6C58">
        <w:t>cardiovascular death, MI, stent thrombosis or TVR</w:t>
      </w:r>
      <w:r>
        <w:t>.</w:t>
      </w:r>
      <w:r w:rsidR="00510D7C">
        <w:t xml:space="preserve"> E</w:t>
      </w:r>
      <w:r w:rsidR="00FA26A3">
        <w:t xml:space="preserve">rrors </w:t>
      </w:r>
      <w:r w:rsidR="00510D7C">
        <w:t xml:space="preserve">in p-values in the ADAR </w:t>
      </w:r>
      <w:r w:rsidR="00FA26A3">
        <w:t>have been corrected.</w:t>
      </w:r>
    </w:p>
    <w:p w14:paraId="581F331E" w14:textId="291A4B66" w:rsidR="007E6C58" w:rsidRPr="00985C44" w:rsidRDefault="007E6C58" w:rsidP="00985C44">
      <w:pPr>
        <w:pStyle w:val="Bullet"/>
        <w:numPr>
          <w:ilvl w:val="0"/>
          <w:numId w:val="0"/>
        </w:numPr>
        <w:spacing w:before="0" w:after="0"/>
        <w:rPr>
          <w:rFonts w:ascii="Arial Narrow" w:eastAsia="Times New Roman" w:hAnsi="Arial Narrow" w:cs="Arial"/>
          <w:snapToGrid w:val="0"/>
          <w:sz w:val="18"/>
          <w:lang w:eastAsia="en-AU"/>
        </w:rPr>
      </w:pPr>
      <w:r w:rsidRPr="007E6C58">
        <w:rPr>
          <w:rFonts w:ascii="Arial Narrow" w:eastAsia="Times New Roman" w:hAnsi="Arial Narrow" w:cs="Arial"/>
          <w:snapToGrid w:val="0"/>
          <w:sz w:val="18"/>
          <w:lang w:eastAsia="en-AU"/>
        </w:rPr>
        <w:t>*</w:t>
      </w:r>
      <w:r w:rsidRPr="00985C44">
        <w:rPr>
          <w:rFonts w:ascii="Arial Narrow" w:eastAsia="Times New Roman" w:hAnsi="Arial Narrow" w:cs="Arial"/>
          <w:snapToGrid w:val="0"/>
          <w:sz w:val="18"/>
          <w:lang w:eastAsia="en-AU"/>
        </w:rPr>
        <w:t xml:space="preserve"> Composite of cardiac death, MI </w:t>
      </w:r>
      <w:r w:rsidR="00985C44">
        <w:rPr>
          <w:rFonts w:ascii="Arial Narrow" w:eastAsia="Times New Roman" w:hAnsi="Arial Narrow" w:cs="Arial"/>
          <w:snapToGrid w:val="0"/>
          <w:sz w:val="18"/>
          <w:lang w:eastAsia="en-AU"/>
        </w:rPr>
        <w:t>or</w:t>
      </w:r>
      <w:r w:rsidRPr="00985C44">
        <w:rPr>
          <w:rFonts w:ascii="Arial Narrow" w:eastAsia="Times New Roman" w:hAnsi="Arial Narrow" w:cs="Arial"/>
          <w:snapToGrid w:val="0"/>
          <w:sz w:val="18"/>
          <w:lang w:eastAsia="en-AU"/>
        </w:rPr>
        <w:t xml:space="preserve"> TVR.</w:t>
      </w:r>
    </w:p>
    <w:p w14:paraId="7E751F14" w14:textId="758CA3CC" w:rsidR="007E6C58" w:rsidRPr="00985C44" w:rsidRDefault="007E6C58" w:rsidP="00985C44">
      <w:pPr>
        <w:pStyle w:val="Bullet"/>
        <w:numPr>
          <w:ilvl w:val="0"/>
          <w:numId w:val="0"/>
        </w:numPr>
        <w:spacing w:before="0" w:after="360"/>
        <w:rPr>
          <w:rFonts w:ascii="Arial Narrow" w:eastAsia="Times New Roman" w:hAnsi="Arial Narrow" w:cs="Arial"/>
          <w:snapToGrid w:val="0"/>
          <w:sz w:val="18"/>
          <w:lang w:eastAsia="en-AU"/>
        </w:rPr>
      </w:pPr>
      <w:r w:rsidRPr="00985C44">
        <w:rPr>
          <w:rFonts w:ascii="Arial Narrow" w:eastAsia="Times New Roman" w:hAnsi="Arial Narrow" w:cs="Arial"/>
          <w:snapToGrid w:val="0"/>
          <w:sz w:val="18"/>
          <w:lang w:eastAsia="en-AU"/>
        </w:rPr>
        <w:t xml:space="preserve">** Composite of death, non-fatal MI </w:t>
      </w:r>
      <w:r w:rsidR="00985C44">
        <w:rPr>
          <w:rFonts w:ascii="Arial Narrow" w:eastAsia="Times New Roman" w:hAnsi="Arial Narrow" w:cs="Arial"/>
          <w:snapToGrid w:val="0"/>
          <w:sz w:val="18"/>
          <w:lang w:eastAsia="en-AU"/>
        </w:rPr>
        <w:t>or</w:t>
      </w:r>
      <w:r w:rsidRPr="00985C44">
        <w:rPr>
          <w:rFonts w:ascii="Arial Narrow" w:eastAsia="Times New Roman" w:hAnsi="Arial Narrow" w:cs="Arial"/>
          <w:snapToGrid w:val="0"/>
          <w:sz w:val="18"/>
          <w:lang w:eastAsia="en-AU"/>
        </w:rPr>
        <w:t xml:space="preserve"> TLR</w:t>
      </w:r>
      <w:r w:rsidR="00985C44" w:rsidRPr="00985C44">
        <w:rPr>
          <w:rFonts w:ascii="Arial Narrow" w:eastAsia="Times New Roman" w:hAnsi="Arial Narrow" w:cs="Arial"/>
          <w:snapToGrid w:val="0"/>
          <w:sz w:val="18"/>
          <w:lang w:eastAsia="en-AU"/>
        </w:rPr>
        <w:t>.</w:t>
      </w:r>
      <w:r w:rsidR="00510D7C">
        <w:rPr>
          <w:rFonts w:ascii="Arial Narrow" w:eastAsia="Times New Roman" w:hAnsi="Arial Narrow" w:cs="Arial"/>
          <w:snapToGrid w:val="0"/>
          <w:sz w:val="18"/>
          <w:lang w:eastAsia="en-AU"/>
        </w:rPr>
        <w:t xml:space="preserve"> </w:t>
      </w:r>
      <w:r w:rsidR="00510D7C" w:rsidRPr="00510D7C">
        <w:rPr>
          <w:rFonts w:ascii="Arial Narrow" w:eastAsia="Times New Roman" w:hAnsi="Arial Narrow" w:cs="Arial"/>
          <w:snapToGrid w:val="0"/>
          <w:sz w:val="18"/>
          <w:lang w:eastAsia="en-AU"/>
        </w:rPr>
        <w:t xml:space="preserve">Errors in p-values </w:t>
      </w:r>
      <w:r w:rsidR="00510D7C">
        <w:rPr>
          <w:rFonts w:ascii="Arial Narrow" w:eastAsia="Times New Roman" w:hAnsi="Arial Narrow" w:cs="Arial"/>
          <w:snapToGrid w:val="0"/>
          <w:sz w:val="18"/>
          <w:lang w:eastAsia="en-AU"/>
        </w:rPr>
        <w:t xml:space="preserve">in the ADAR </w:t>
      </w:r>
      <w:r w:rsidR="00510D7C" w:rsidRPr="00510D7C">
        <w:rPr>
          <w:rFonts w:ascii="Arial Narrow" w:eastAsia="Times New Roman" w:hAnsi="Arial Narrow" w:cs="Arial"/>
          <w:snapToGrid w:val="0"/>
          <w:sz w:val="18"/>
          <w:lang w:eastAsia="en-AU"/>
        </w:rPr>
        <w:t>have been corrected.</w:t>
      </w:r>
    </w:p>
    <w:p w14:paraId="350714C5" w14:textId="7499642D" w:rsidR="001E2F8F" w:rsidRDefault="001E2F8F" w:rsidP="001E2F8F">
      <w:pPr>
        <w:pStyle w:val="Heading3"/>
      </w:pPr>
      <w:r>
        <w:t>Effectiveness conclusions</w:t>
      </w:r>
    </w:p>
    <w:p w14:paraId="5F518C24" w14:textId="52FE8A9D" w:rsidR="00FA26A3" w:rsidRDefault="00AC313E" w:rsidP="00B85CD9">
      <w:r>
        <w:t xml:space="preserve">The evidence for </w:t>
      </w:r>
      <w:r w:rsidR="00EC3896" w:rsidRPr="00EC3896">
        <w:t xml:space="preserve">all-comers to PCI with </w:t>
      </w:r>
      <w:r w:rsidR="00FD5732">
        <w:t xml:space="preserve">second-generation </w:t>
      </w:r>
      <w:r w:rsidR="00EC3896" w:rsidRPr="00EC3896">
        <w:t>DES</w:t>
      </w:r>
      <w:r>
        <w:t xml:space="preserve"> is from one multicentre RCT from China with some concerns regarding risk of bias.</w:t>
      </w:r>
      <w:r w:rsidR="00EC3896">
        <w:t xml:space="preserve"> </w:t>
      </w:r>
      <w:r w:rsidR="00AC30F5">
        <w:t xml:space="preserve">Follow-up in the ULTIMATE trial is ongoing to 5 years. </w:t>
      </w:r>
      <w:r w:rsidR="00EC3896">
        <w:t xml:space="preserve">TLR data </w:t>
      </w:r>
      <w:r w:rsidR="0011333D">
        <w:t xml:space="preserve">at 3 years </w:t>
      </w:r>
      <w:r w:rsidR="00EC3896">
        <w:t>support</w:t>
      </w:r>
      <w:r w:rsidR="00B70A2D">
        <w:t>s</w:t>
      </w:r>
      <w:r w:rsidR="00EC3896">
        <w:t xml:space="preserve"> a clinical conclusion of superior effectiveness</w:t>
      </w:r>
      <w:r w:rsidR="0011333D">
        <w:t xml:space="preserve"> of IVUS-guided PCI compared with angiography-guided PCI. </w:t>
      </w:r>
      <w:r w:rsidR="00767216">
        <w:t xml:space="preserve">This conclusion is </w:t>
      </w:r>
      <w:r w:rsidR="00FD5732">
        <w:t xml:space="preserve">further </w:t>
      </w:r>
      <w:r w:rsidR="00767216">
        <w:t xml:space="preserve">supported by the primary composite outcome, TLR, on which the study was powered. </w:t>
      </w:r>
      <w:r w:rsidR="00E47180">
        <w:t>The o</w:t>
      </w:r>
      <w:r w:rsidR="00B70A2D">
        <w:t xml:space="preserve">ther </w:t>
      </w:r>
      <w:r w:rsidR="00E47180">
        <w:t xml:space="preserve">critical </w:t>
      </w:r>
      <w:r w:rsidR="00B70A2D">
        <w:t>effectiveness outcome</w:t>
      </w:r>
      <w:r w:rsidR="00E47180">
        <w:t xml:space="preserve">s – </w:t>
      </w:r>
      <w:r w:rsidR="0011333D">
        <w:t xml:space="preserve">cardiac mortality </w:t>
      </w:r>
      <w:r w:rsidR="00B70A2D">
        <w:t>and MI</w:t>
      </w:r>
      <w:r w:rsidR="00E47180">
        <w:t xml:space="preserve"> – </w:t>
      </w:r>
      <w:r w:rsidR="00D451D0">
        <w:t xml:space="preserve">showed </w:t>
      </w:r>
      <w:r w:rsidR="00B70A2D">
        <w:t>numerically lower</w:t>
      </w:r>
      <w:r w:rsidR="00D451D0">
        <w:t xml:space="preserve"> </w:t>
      </w:r>
      <w:r w:rsidR="00E47180">
        <w:t xml:space="preserve">event </w:t>
      </w:r>
      <w:r w:rsidR="00D451D0">
        <w:t>rates</w:t>
      </w:r>
      <w:r w:rsidR="00B70A2D">
        <w:t xml:space="preserve"> in the IVUS arm </w:t>
      </w:r>
      <w:r w:rsidR="00D451D0">
        <w:t xml:space="preserve">compared with angiography alone, </w:t>
      </w:r>
      <w:r w:rsidR="00E81007">
        <w:t xml:space="preserve">although the differences between arms </w:t>
      </w:r>
      <w:r w:rsidR="00E47180">
        <w:t>did not reach statistical significance.</w:t>
      </w:r>
      <w:r w:rsidR="00767216">
        <w:t xml:space="preserve"> </w:t>
      </w:r>
      <w:r w:rsidR="00AC30F5" w:rsidRPr="00AC30F5">
        <w:t xml:space="preserve">The study population </w:t>
      </w:r>
      <w:r w:rsidR="00AC30F5">
        <w:t xml:space="preserve">in ULTIMATE </w:t>
      </w:r>
      <w:r w:rsidR="00AC30F5" w:rsidRPr="00AC30F5">
        <w:t>included relatively high-risk patients with complex coronary lesions</w:t>
      </w:r>
      <w:r w:rsidR="00CD2E5C">
        <w:t xml:space="preserve"> and </w:t>
      </w:r>
      <w:r w:rsidR="00AC30F5" w:rsidRPr="00AC30F5">
        <w:t>is not comparable to PCI all-comers in Australia.</w:t>
      </w:r>
    </w:p>
    <w:p w14:paraId="425871D2" w14:textId="31EDA106" w:rsidR="0011333D" w:rsidRDefault="00767216" w:rsidP="00B85CD9">
      <w:r>
        <w:t xml:space="preserve">The evidence for patients with long lesions is from two multicentre </w:t>
      </w:r>
      <w:r w:rsidR="00963894">
        <w:t>RCTs</w:t>
      </w:r>
      <w:r>
        <w:t xml:space="preserve"> from Korea </w:t>
      </w:r>
      <w:r w:rsidR="00FD5732">
        <w:t>that enrolled patients with stent length of at least 28 mm.</w:t>
      </w:r>
      <w:r w:rsidR="00963894">
        <w:t xml:space="preserve"> Both trials </w:t>
      </w:r>
      <w:r w:rsidR="00CD2E5C">
        <w:t>are at risk of bias and had patients</w:t>
      </w:r>
      <w:r w:rsidR="002C2B3C">
        <w:t>’</w:t>
      </w:r>
      <w:r w:rsidR="00CD2E5C">
        <w:t xml:space="preserve"> crossover to the alternative group, often at the discretion of the </w:t>
      </w:r>
      <w:r w:rsidR="00C51F10">
        <w:t xml:space="preserve">unblinded </w:t>
      </w:r>
      <w:r w:rsidR="002C2B3C">
        <w:t xml:space="preserve">operator. TLR data at 1 and 5 years supports a clinical conclusion of superior effectiveness of IVUS-guided PCI compared with angiography-guided PCI, although only one of the trials reported this outcome. </w:t>
      </w:r>
      <w:r w:rsidR="002C2B3C">
        <w:lastRenderedPageBreak/>
        <w:t xml:space="preserve">This same trial, IVUS-XPL, reported superior effectiveness </w:t>
      </w:r>
      <w:r w:rsidR="00D37216">
        <w:t xml:space="preserve">of IVUS </w:t>
      </w:r>
      <w:r w:rsidR="002C2B3C">
        <w:t xml:space="preserve">in terms of the </w:t>
      </w:r>
      <w:r w:rsidR="00D37216">
        <w:t xml:space="preserve">primary composite outcome (MACE), and numerically </w:t>
      </w:r>
      <w:r w:rsidR="00C36B90">
        <w:t xml:space="preserve">lower </w:t>
      </w:r>
      <w:r w:rsidR="00D37216">
        <w:t xml:space="preserve">rates of cardiac mortality and MI in the IVUS-guided arm, which did not reach statistical significance. The second trial, RESET, reported numerically </w:t>
      </w:r>
      <w:r w:rsidR="00C36B90">
        <w:t xml:space="preserve">lower </w:t>
      </w:r>
      <w:r w:rsidR="00D37216">
        <w:t xml:space="preserve">rates of MACE in the IVUS-guided arm, but event rates for cardiac mortality and MI were too low to draw any conclusions regarding relative effectiveness. </w:t>
      </w:r>
      <w:r w:rsidR="00771494">
        <w:t>Data specifically relating to Australian patients with long lesions were not presented in the ADAR for comparison with study participants in the IVUS-XPL and RESET trials. Follow-up in IVUS-XPL is ongoing to 10 years.</w:t>
      </w:r>
    </w:p>
    <w:p w14:paraId="1CCD2CCC" w14:textId="17DD4B1F" w:rsidR="00771494" w:rsidRDefault="00771494" w:rsidP="00B85CD9">
      <w:r>
        <w:t xml:space="preserve">The evidence for patients with left main lesions is from two </w:t>
      </w:r>
      <w:r w:rsidR="00EB2F6E">
        <w:t xml:space="preserve">relatively small, single centre </w:t>
      </w:r>
      <w:r>
        <w:t>R</w:t>
      </w:r>
      <w:r w:rsidR="00EB2F6E">
        <w:t>CT</w:t>
      </w:r>
      <w:r>
        <w:t xml:space="preserve">s from China at </w:t>
      </w:r>
      <w:r w:rsidR="00E0117C">
        <w:t>very serious</w:t>
      </w:r>
      <w:r>
        <w:t xml:space="preserve"> risk of bias.</w:t>
      </w:r>
      <w:r w:rsidR="00EB2F6E">
        <w:t xml:space="preserve"> Although statistically significant </w:t>
      </w:r>
      <w:r w:rsidR="00D06B8C">
        <w:t xml:space="preserve">between-group differences were reported for MACE, favouring IVUS-guided PCI, </w:t>
      </w:r>
      <w:r w:rsidR="003B7C7F">
        <w:t xml:space="preserve">there were no significant differences between IVUS-guided PCI and angiography-guided PCI in </w:t>
      </w:r>
      <w:r w:rsidR="00D06B8C">
        <w:t xml:space="preserve">the </w:t>
      </w:r>
      <w:r w:rsidR="003B7C7F">
        <w:t>individual components of the composite outcome. These data support a clinical conclusion of non-inferior effectiveness</w:t>
      </w:r>
      <w:r w:rsidR="00F0737C">
        <w:t>, although longer term follow-up from higher quality evidence is needed to confirm this</w:t>
      </w:r>
      <w:r w:rsidR="003B7C7F">
        <w:t>.</w:t>
      </w:r>
    </w:p>
    <w:p w14:paraId="213924C6" w14:textId="6AEFA04C" w:rsidR="00772829" w:rsidRDefault="00772829" w:rsidP="001E2F8F">
      <w:pPr>
        <w:keepNext/>
        <w:tabs>
          <w:tab w:val="left" w:pos="720"/>
          <w:tab w:val="left" w:pos="1140"/>
        </w:tabs>
        <w:spacing w:before="240" w:after="120"/>
        <w:rPr>
          <w:b/>
          <w:bCs/>
        </w:rPr>
      </w:pPr>
      <w:r w:rsidRPr="00223664">
        <w:rPr>
          <w:b/>
          <w:bCs/>
        </w:rPr>
        <w:t>Clinical claim</w:t>
      </w:r>
      <w:r w:rsidR="00AB2E7F">
        <w:rPr>
          <w:b/>
          <w:bCs/>
        </w:rPr>
        <w:t>s</w:t>
      </w:r>
    </w:p>
    <w:p w14:paraId="7F5FC3EC" w14:textId="4F8E920C" w:rsidR="00E90577" w:rsidRDefault="00E90577" w:rsidP="00975CA6">
      <w:pPr>
        <w:spacing w:after="60"/>
      </w:pPr>
      <w:r>
        <w:t xml:space="preserve">For </w:t>
      </w:r>
      <w:r w:rsidRPr="00716024">
        <w:rPr>
          <w:b/>
          <w:bCs/>
        </w:rPr>
        <w:t>all-comers to PCI with DES</w:t>
      </w:r>
      <w:r>
        <w:t xml:space="preserve">, the </w:t>
      </w:r>
      <w:r w:rsidR="0039005A">
        <w:t xml:space="preserve">interpretation of the </w:t>
      </w:r>
      <w:r>
        <w:t xml:space="preserve">clinical claim in Section B.8 </w:t>
      </w:r>
      <w:r w:rsidR="007F55FF">
        <w:t xml:space="preserve">of the ADAR </w:t>
      </w:r>
      <w:r>
        <w:t xml:space="preserve">is that </w:t>
      </w:r>
      <w:r w:rsidR="004350B5">
        <w:t xml:space="preserve">adjunct </w:t>
      </w:r>
      <w:r>
        <w:t>IVUS</w:t>
      </w:r>
      <w:r w:rsidR="004350B5">
        <w:t xml:space="preserve"> guidance during</w:t>
      </w:r>
      <w:r>
        <w:t xml:space="preserve"> </w:t>
      </w:r>
      <w:r w:rsidR="004350B5">
        <w:t>DES implantation</w:t>
      </w:r>
      <w:r>
        <w:t xml:space="preserve"> is </w:t>
      </w:r>
      <w:r w:rsidRPr="004350B5">
        <w:rPr>
          <w:u w:val="single"/>
        </w:rPr>
        <w:t>superior</w:t>
      </w:r>
      <w:r>
        <w:t xml:space="preserve"> in terms of effectiveness and </w:t>
      </w:r>
      <w:r w:rsidRPr="004350B5">
        <w:rPr>
          <w:u w:val="single"/>
        </w:rPr>
        <w:t>superior</w:t>
      </w:r>
      <w:r>
        <w:t xml:space="preserve"> in terms of safety</w:t>
      </w:r>
      <w:r w:rsidR="004350B5">
        <w:t>, compared with angiography alone</w:t>
      </w:r>
      <w:r>
        <w:t>. Note, this is inconsistent with the clinical claim</w:t>
      </w:r>
      <w:r w:rsidR="004350B5">
        <w:t xml:space="preserve"> for this population</w:t>
      </w:r>
      <w:r>
        <w:t xml:space="preserve"> in Section A.8</w:t>
      </w:r>
      <w:r w:rsidR="003C4B95">
        <w:t xml:space="preserve"> of the ADAR</w:t>
      </w:r>
      <w:r>
        <w:t xml:space="preserve">, </w:t>
      </w:r>
      <w:r w:rsidR="003C4B95">
        <w:t xml:space="preserve">which is </w:t>
      </w:r>
      <w:r w:rsidR="007F55FF">
        <w:t xml:space="preserve">that </w:t>
      </w:r>
      <w:r w:rsidR="003C4B95">
        <w:t>IVUS guidance</w:t>
      </w:r>
      <w:r w:rsidR="004350B5" w:rsidRPr="004350B5">
        <w:t xml:space="preserve"> is </w:t>
      </w:r>
      <w:r w:rsidR="004350B5" w:rsidRPr="004350B5">
        <w:rPr>
          <w:u w:val="single"/>
        </w:rPr>
        <w:t>superior</w:t>
      </w:r>
      <w:r w:rsidR="004350B5" w:rsidRPr="004350B5">
        <w:t xml:space="preserve"> in terms of effectiveness and </w:t>
      </w:r>
      <w:r w:rsidR="004350B5" w:rsidRPr="004350B5">
        <w:rPr>
          <w:u w:val="single"/>
        </w:rPr>
        <w:t>non-inferior</w:t>
      </w:r>
      <w:r w:rsidR="004350B5" w:rsidRPr="004350B5">
        <w:t xml:space="preserve"> in terms of safety</w:t>
      </w:r>
      <w:r w:rsidR="004350B5">
        <w:t>.</w:t>
      </w:r>
    </w:p>
    <w:p w14:paraId="6233979C" w14:textId="24D0D4E3" w:rsidR="000D78AA" w:rsidRDefault="00EC3896" w:rsidP="00975CA6">
      <w:pPr>
        <w:pStyle w:val="Bullet"/>
        <w:spacing w:before="0"/>
        <w:ind w:left="714" w:hanging="357"/>
      </w:pPr>
      <w:r>
        <w:t xml:space="preserve">The clinical evidence </w:t>
      </w:r>
      <w:r w:rsidR="003C4B95">
        <w:t xml:space="preserve">available for all-comers to PCI </w:t>
      </w:r>
      <w:r w:rsidR="000F2FA3">
        <w:t xml:space="preserve">with DES </w:t>
      </w:r>
      <w:r>
        <w:t>supports</w:t>
      </w:r>
      <w:r w:rsidR="003C4B95">
        <w:t xml:space="preserve"> a clinical claim of </w:t>
      </w:r>
      <w:r w:rsidR="003C4B95" w:rsidRPr="000F2FA3">
        <w:rPr>
          <w:u w:val="single"/>
        </w:rPr>
        <w:t>superior</w:t>
      </w:r>
      <w:r w:rsidR="003C4B95" w:rsidRPr="003C4B95">
        <w:t xml:space="preserve"> </w:t>
      </w:r>
      <w:r w:rsidR="000F2FA3">
        <w:t xml:space="preserve">effectiveness </w:t>
      </w:r>
      <w:r w:rsidR="003C4B95" w:rsidRPr="003C4B95">
        <w:t xml:space="preserve">(based on TLR at 3 years) and </w:t>
      </w:r>
      <w:r w:rsidR="003C4B95" w:rsidRPr="000F2FA3">
        <w:rPr>
          <w:u w:val="single"/>
        </w:rPr>
        <w:t>non-inferior</w:t>
      </w:r>
      <w:r w:rsidR="003C4B95" w:rsidRPr="003C4B95">
        <w:t xml:space="preserve"> safety (based on stent thrombosis).</w:t>
      </w:r>
    </w:p>
    <w:p w14:paraId="03BE131F" w14:textId="1EDAA3A4" w:rsidR="00F61942" w:rsidRDefault="00716024" w:rsidP="00975CA6">
      <w:pPr>
        <w:spacing w:after="60"/>
      </w:pPr>
      <w:r>
        <w:t xml:space="preserve">For patients with </w:t>
      </w:r>
      <w:r w:rsidRPr="00716024">
        <w:rPr>
          <w:b/>
          <w:bCs/>
        </w:rPr>
        <w:t xml:space="preserve">long </w:t>
      </w:r>
      <w:r>
        <w:rPr>
          <w:b/>
          <w:bCs/>
        </w:rPr>
        <w:t xml:space="preserve">coronary </w:t>
      </w:r>
      <w:r w:rsidRPr="00716024">
        <w:rPr>
          <w:b/>
          <w:bCs/>
        </w:rPr>
        <w:t>lesions</w:t>
      </w:r>
      <w:r>
        <w:t>, the</w:t>
      </w:r>
      <w:r w:rsidR="0039005A">
        <w:t xml:space="preserve"> interpretation of the</w:t>
      </w:r>
      <w:r>
        <w:t xml:space="preserve"> clinical claim </w:t>
      </w:r>
      <w:r w:rsidR="00AB2E7F">
        <w:t xml:space="preserve">in Section B.8 </w:t>
      </w:r>
      <w:r>
        <w:t xml:space="preserve">is that adjunct IVUS guidance during DES implantation is </w:t>
      </w:r>
      <w:r w:rsidRPr="004350B5">
        <w:rPr>
          <w:u w:val="single"/>
        </w:rPr>
        <w:t>superior</w:t>
      </w:r>
      <w:r>
        <w:t xml:space="preserve"> in terms of effectiveness and </w:t>
      </w:r>
      <w:r>
        <w:rPr>
          <w:u w:val="single"/>
        </w:rPr>
        <w:t>non-inf</w:t>
      </w:r>
      <w:r w:rsidRPr="004350B5">
        <w:rPr>
          <w:u w:val="single"/>
        </w:rPr>
        <w:t>erior</w:t>
      </w:r>
      <w:r>
        <w:t xml:space="preserve"> in terms of safety, compared with angiography alone.</w:t>
      </w:r>
    </w:p>
    <w:p w14:paraId="7A83CF7E" w14:textId="15E97F45" w:rsidR="00716024" w:rsidRDefault="00716024" w:rsidP="00975CA6">
      <w:pPr>
        <w:pStyle w:val="Bullet"/>
        <w:spacing w:before="0"/>
        <w:ind w:left="714" w:hanging="357"/>
      </w:pPr>
      <w:r>
        <w:t>The clinical evidence available for patients with long lesions supports</w:t>
      </w:r>
      <w:r w:rsidR="00F61942">
        <w:t xml:space="preserve"> the clinical claim of</w:t>
      </w:r>
      <w:r>
        <w:t xml:space="preserve"> </w:t>
      </w:r>
      <w:r w:rsidRPr="00F61942">
        <w:rPr>
          <w:u w:val="single"/>
        </w:rPr>
        <w:t>superior</w:t>
      </w:r>
      <w:r w:rsidRPr="00716024">
        <w:t xml:space="preserve"> effectiveness (based on TLR at 1 and 5 years) and </w:t>
      </w:r>
      <w:r w:rsidRPr="009E0C33">
        <w:rPr>
          <w:u w:val="single"/>
        </w:rPr>
        <w:t>non-inferior</w:t>
      </w:r>
      <w:r w:rsidRPr="00716024">
        <w:t xml:space="preserve"> safety (based on stent thrombosis)</w:t>
      </w:r>
      <w:r w:rsidR="00F61942">
        <w:t>, although these claims are subject t</w:t>
      </w:r>
      <w:r w:rsidR="009E0C33">
        <w:t>o</w:t>
      </w:r>
      <w:r w:rsidR="00F61942">
        <w:t xml:space="preserve"> some uncertainty</w:t>
      </w:r>
      <w:r w:rsidR="009E0C33">
        <w:t xml:space="preserve"> (particularly as the effectiveness claim hinges on data from only one of the two trials available).</w:t>
      </w:r>
    </w:p>
    <w:p w14:paraId="29BB30E5" w14:textId="49CF0B2D" w:rsidR="009E0C33" w:rsidRDefault="009E0C33" w:rsidP="00975CA6">
      <w:pPr>
        <w:spacing w:after="60"/>
      </w:pPr>
      <w:r>
        <w:t xml:space="preserve">For patients with </w:t>
      </w:r>
      <w:r w:rsidRPr="009E0C33">
        <w:rPr>
          <w:b/>
          <w:bCs/>
        </w:rPr>
        <w:t>left main lesions</w:t>
      </w:r>
      <w:r>
        <w:t xml:space="preserve">, the clinical claim </w:t>
      </w:r>
      <w:r w:rsidR="00AB2E7F">
        <w:t xml:space="preserve">in Section B.8 </w:t>
      </w:r>
      <w:r>
        <w:t xml:space="preserve">is that adjunct IVUS guidance during DES implantation is </w:t>
      </w:r>
      <w:r>
        <w:rPr>
          <w:u w:val="single"/>
        </w:rPr>
        <w:t>non-inf</w:t>
      </w:r>
      <w:r w:rsidRPr="004350B5">
        <w:rPr>
          <w:u w:val="single"/>
        </w:rPr>
        <w:t>erior</w:t>
      </w:r>
      <w:r>
        <w:t xml:space="preserve"> in terms of effectiveness and </w:t>
      </w:r>
      <w:r>
        <w:rPr>
          <w:u w:val="single"/>
        </w:rPr>
        <w:t>non-inf</w:t>
      </w:r>
      <w:r w:rsidRPr="004350B5">
        <w:rPr>
          <w:u w:val="single"/>
        </w:rPr>
        <w:t>erior</w:t>
      </w:r>
      <w:r>
        <w:t xml:space="preserve"> in terms of safety, compared with angiography alone.</w:t>
      </w:r>
    </w:p>
    <w:p w14:paraId="153D7338" w14:textId="12252375" w:rsidR="009E0C33" w:rsidRDefault="009E0C33" w:rsidP="00975CA6">
      <w:pPr>
        <w:pStyle w:val="Bullet"/>
        <w:spacing w:before="0"/>
        <w:ind w:left="714" w:hanging="357"/>
      </w:pPr>
      <w:r>
        <w:t xml:space="preserve">The clinical evidence available for this population supports </w:t>
      </w:r>
      <w:r w:rsidR="00B07E17">
        <w:t xml:space="preserve">the </w:t>
      </w:r>
      <w:r w:rsidRPr="00A819E1">
        <w:rPr>
          <w:u w:val="single"/>
        </w:rPr>
        <w:t>non-inferiority</w:t>
      </w:r>
      <w:r w:rsidR="00B07E17">
        <w:t xml:space="preserve"> claims</w:t>
      </w:r>
      <w:r>
        <w:t xml:space="preserve">, although </w:t>
      </w:r>
      <w:r w:rsidR="00B07E17">
        <w:t>confidence is low because the trials are at serious risk of bias</w:t>
      </w:r>
      <w:r>
        <w:t>.</w:t>
      </w:r>
    </w:p>
    <w:p w14:paraId="31C3ED43" w14:textId="78F3D18E" w:rsidR="000F2FA3" w:rsidRDefault="00716024" w:rsidP="001E2F8F">
      <w:r>
        <w:t>On the basis of t</w:t>
      </w:r>
      <w:r w:rsidR="000F2FA3">
        <w:t>he clinical claims</w:t>
      </w:r>
      <w:r>
        <w:t>,</w:t>
      </w:r>
      <w:r w:rsidR="000F2FA3">
        <w:t xml:space="preserve"> the presentation of </w:t>
      </w:r>
      <w:r w:rsidR="00A819E1">
        <w:t>separate</w:t>
      </w:r>
      <w:r w:rsidR="000F2FA3">
        <w:t xml:space="preserve"> cost-utility analys</w:t>
      </w:r>
      <w:r w:rsidR="00A819E1">
        <w:t>e</w:t>
      </w:r>
      <w:r w:rsidR="000F2FA3">
        <w:t xml:space="preserve">s </w:t>
      </w:r>
      <w:r w:rsidR="00A819E1">
        <w:t xml:space="preserve">for </w:t>
      </w:r>
      <w:r w:rsidR="00A819E1" w:rsidRPr="00A819E1">
        <w:t>all-comers to PCI with DES (Population 1) and patients with complex anatomical characteristics (Population 2)</w:t>
      </w:r>
      <w:r w:rsidR="000F2FA3">
        <w:t xml:space="preserve"> is appropriate.</w:t>
      </w:r>
    </w:p>
    <w:p w14:paraId="0D09C9E4" w14:textId="3EB3D4A9" w:rsidR="00772829" w:rsidRDefault="00C36633" w:rsidP="002A18BE">
      <w:pPr>
        <w:pStyle w:val="Heading2"/>
        <w:numPr>
          <w:ilvl w:val="0"/>
          <w:numId w:val="0"/>
        </w:numPr>
      </w:pPr>
      <w:bookmarkStart w:id="35" w:name="_Toc69491425"/>
      <w:r>
        <w:t>1</w:t>
      </w:r>
      <w:r w:rsidR="005F6A3D">
        <w:t>3</w:t>
      </w:r>
      <w:r>
        <w:t>.</w:t>
      </w:r>
      <w:r>
        <w:tab/>
      </w:r>
      <w:r w:rsidR="00772829" w:rsidRPr="00CE28E3">
        <w:t>Economic evaluation</w:t>
      </w:r>
      <w:bookmarkEnd w:id="35"/>
    </w:p>
    <w:p w14:paraId="7ED65DCD" w14:textId="5B29FAAF" w:rsidR="00B8754F" w:rsidRDefault="00B8754F" w:rsidP="00B8754F">
      <w:r w:rsidRPr="00B8754F">
        <w:t xml:space="preserve">Two separate cost-utility analyses were conducted to model the cost-effectiveness of IVUS </w:t>
      </w:r>
      <w:r w:rsidR="00AB60E7">
        <w:t>in the two patient populations specified in the ratified PICO</w:t>
      </w:r>
      <w:r w:rsidRPr="00B8754F">
        <w:t xml:space="preserve">. The ICER for patients with complex anatomical characteristics was calculated as a weighted average of the ICER for </w:t>
      </w:r>
      <w:r w:rsidR="001C66EA">
        <w:t xml:space="preserve">patients with </w:t>
      </w:r>
      <w:r w:rsidRPr="00B8754F">
        <w:t xml:space="preserve">left main lesions </w:t>
      </w:r>
      <w:r w:rsidR="001C66EA">
        <w:t xml:space="preserve">(37%) </w:t>
      </w:r>
      <w:r w:rsidRPr="00B8754F">
        <w:t xml:space="preserve">and long lesions </w:t>
      </w:r>
      <w:r w:rsidR="001C66EA">
        <w:t>(63%)</w:t>
      </w:r>
      <w:r w:rsidRPr="00B8754F">
        <w:t xml:space="preserve">, based on </w:t>
      </w:r>
      <w:r w:rsidR="001C19ED">
        <w:t>data from VCOR</w:t>
      </w:r>
      <w:r w:rsidRPr="00B8754F">
        <w:t>.</w:t>
      </w:r>
    </w:p>
    <w:p w14:paraId="0069F46D" w14:textId="7FC281B7" w:rsidR="00AB60E7" w:rsidRDefault="00AB60E7" w:rsidP="003010CB">
      <w:pPr>
        <w:spacing w:after="120"/>
      </w:pPr>
      <w:r>
        <w:t xml:space="preserve">A summary of the economic evaluation is provided in </w:t>
      </w:r>
      <w:r>
        <w:fldChar w:fldCharType="begin"/>
      </w:r>
      <w:r>
        <w:instrText xml:space="preserve"> REF _Ref69725820 \h </w:instrText>
      </w:r>
      <w:r>
        <w:fldChar w:fldCharType="separate"/>
      </w:r>
      <w:r w:rsidR="00F03488" w:rsidRPr="00CE28E3">
        <w:t>Table</w:t>
      </w:r>
      <w:r w:rsidR="00F03488">
        <w:t> </w:t>
      </w:r>
      <w:r w:rsidR="00F03488">
        <w:rPr>
          <w:noProof/>
        </w:rPr>
        <w:t>15</w:t>
      </w:r>
      <w:r>
        <w:fldChar w:fldCharType="end"/>
      </w:r>
      <w:r>
        <w:t>.</w:t>
      </w:r>
      <w:r w:rsidR="00435794">
        <w:t xml:space="preserve"> The </w:t>
      </w:r>
      <w:r w:rsidR="00FF3CF9">
        <w:t xml:space="preserve">economic evaluation follows the same methods as the previous submission with the following </w:t>
      </w:r>
      <w:r w:rsidR="00E45EE4">
        <w:t xml:space="preserve">key </w:t>
      </w:r>
      <w:r w:rsidR="00FF3CF9">
        <w:t>updates:</w:t>
      </w:r>
    </w:p>
    <w:p w14:paraId="02031008" w14:textId="77777777" w:rsidR="003010CB" w:rsidRDefault="003010CB" w:rsidP="003010CB">
      <w:pPr>
        <w:pStyle w:val="Bullet"/>
        <w:spacing w:before="0" w:after="60"/>
        <w:ind w:left="714" w:hanging="357"/>
      </w:pPr>
      <w:r>
        <w:lastRenderedPageBreak/>
        <w:t>BMS has been removed to align with new RCT evidence and contemporary practice;</w:t>
      </w:r>
    </w:p>
    <w:p w14:paraId="4F94954D" w14:textId="44A5E136" w:rsidR="00FF3CF9" w:rsidRDefault="00C960E2" w:rsidP="003010CB">
      <w:pPr>
        <w:pStyle w:val="Bullet"/>
        <w:spacing w:before="0" w:after="60"/>
        <w:ind w:left="714" w:hanging="357"/>
      </w:pPr>
      <w:r>
        <w:t>r</w:t>
      </w:r>
      <w:r w:rsidR="00FF3CF9" w:rsidRPr="00FF3CF9">
        <w:t xml:space="preserve">evascularisation events are restricted to TLR data from the </w:t>
      </w:r>
      <w:r w:rsidR="00311EFE">
        <w:t>RCTs</w:t>
      </w:r>
      <w:r w:rsidR="00FF3CF9">
        <w:t xml:space="preserve"> in Section </w:t>
      </w:r>
      <w:r w:rsidR="00CF175F">
        <w:t>8</w:t>
      </w:r>
      <w:r w:rsidR="00E45EE4">
        <w:t>, due to lack of clarity around definitions of TVR and whether TVR and TLR are mutually exclusive</w:t>
      </w:r>
      <w:r w:rsidR="00FF3CF9">
        <w:t>;</w:t>
      </w:r>
    </w:p>
    <w:p w14:paraId="44C49688" w14:textId="2ABDAB29" w:rsidR="00FF3CF9" w:rsidRDefault="00C960E2" w:rsidP="003010CB">
      <w:pPr>
        <w:pStyle w:val="Bullet"/>
        <w:spacing w:before="0" w:after="60"/>
        <w:ind w:left="714" w:hanging="357"/>
      </w:pPr>
      <w:r>
        <w:t>t</w:t>
      </w:r>
      <w:r w:rsidR="00FF3CF9" w:rsidRPr="00FF3CF9">
        <w:t xml:space="preserve">ransitions between health states are derived from event rates </w:t>
      </w:r>
      <w:r w:rsidR="00FF3CF9">
        <w:t>from the</w:t>
      </w:r>
      <w:r w:rsidR="00FF3CF9" w:rsidRPr="00FF3CF9">
        <w:t xml:space="preserve"> IVUS and angiography arms </w:t>
      </w:r>
      <w:r w:rsidR="00311EFE">
        <w:t>of the</w:t>
      </w:r>
      <w:r w:rsidR="00FF3CF9" w:rsidRPr="00FF3CF9">
        <w:t xml:space="preserve"> </w:t>
      </w:r>
      <w:r w:rsidR="00311EFE">
        <w:t>RCTs</w:t>
      </w:r>
      <w:r w:rsidR="00FF3CF9" w:rsidRPr="00FF3CF9">
        <w:t xml:space="preserve"> in Section </w:t>
      </w:r>
      <w:r w:rsidR="00CF175F">
        <w:t>8</w:t>
      </w:r>
      <w:r w:rsidR="00311EFE">
        <w:t>;</w:t>
      </w:r>
    </w:p>
    <w:p w14:paraId="703FF4CF" w14:textId="495C15DE" w:rsidR="00311EFE" w:rsidRDefault="00C960E2" w:rsidP="003010CB">
      <w:pPr>
        <w:pStyle w:val="Bullet"/>
        <w:spacing w:before="0" w:after="60"/>
        <w:ind w:left="714" w:hanging="357"/>
      </w:pPr>
      <w:r>
        <w:t>n</w:t>
      </w:r>
      <w:r w:rsidR="00311EFE">
        <w:t xml:space="preserve">o incremental benefit of IVUS is assumed after 5 years to align with the maximum follow-up </w:t>
      </w:r>
      <w:r w:rsidR="00E42C5E">
        <w:t>for any</w:t>
      </w:r>
      <w:r w:rsidR="00311EFE">
        <w:t xml:space="preserve"> RCT in Section </w:t>
      </w:r>
      <w:r w:rsidR="00CF175F">
        <w:t>8</w:t>
      </w:r>
      <w:r w:rsidR="00311EFE">
        <w:t>;</w:t>
      </w:r>
    </w:p>
    <w:p w14:paraId="4797A152" w14:textId="70A3AA11" w:rsidR="00C569C3" w:rsidRDefault="00C960E2" w:rsidP="003010CB">
      <w:pPr>
        <w:pStyle w:val="Bullet"/>
        <w:spacing w:before="0" w:after="60"/>
        <w:ind w:left="714" w:hanging="357"/>
      </w:pPr>
      <w:r>
        <w:t>p</w:t>
      </w:r>
      <w:r w:rsidR="00C569C3" w:rsidRPr="00C569C3">
        <w:t>atients cannot transition between the post-MI and post-TLR health states</w:t>
      </w:r>
      <w:r w:rsidR="00C569C3">
        <w:t>;</w:t>
      </w:r>
    </w:p>
    <w:p w14:paraId="0927FE8C" w14:textId="589D1BA5" w:rsidR="00311EFE" w:rsidRDefault="00C960E2" w:rsidP="00C15E07">
      <w:pPr>
        <w:pStyle w:val="Bullet"/>
        <w:spacing w:before="0"/>
        <w:ind w:left="714" w:hanging="357"/>
      </w:pPr>
      <w:r>
        <w:t>a</w:t>
      </w:r>
      <w:r w:rsidR="00311EFE" w:rsidRPr="00311EFE">
        <w:t xml:space="preserve">ll-cause and event-specific mortality </w:t>
      </w:r>
      <w:r w:rsidR="00311EFE">
        <w:t xml:space="preserve">has been </w:t>
      </w:r>
      <w:r w:rsidR="00311EFE" w:rsidRPr="00311EFE">
        <w:t>updated to reflect progressions in standard practice</w:t>
      </w:r>
      <w:r w:rsidR="00311EFE">
        <w:t xml:space="preserve"> (no difference in mortality </w:t>
      </w:r>
      <w:r w:rsidR="00C569C3">
        <w:t>between treatment arms)</w:t>
      </w:r>
      <w:r w:rsidR="00E45EE4">
        <w:t>.</w:t>
      </w:r>
    </w:p>
    <w:p w14:paraId="7832FEBA" w14:textId="7A0B5C48" w:rsidR="00C107C3" w:rsidRPr="00CE28E3" w:rsidRDefault="00C107C3" w:rsidP="00670650">
      <w:pPr>
        <w:pStyle w:val="Caption"/>
        <w:tabs>
          <w:tab w:val="left" w:pos="1134"/>
        </w:tabs>
        <w:ind w:left="1134" w:hanging="1134"/>
      </w:pPr>
      <w:bookmarkStart w:id="36" w:name="_Ref69725820"/>
      <w:r w:rsidRPr="00CE28E3">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F03488">
        <w:rPr>
          <w:noProof/>
        </w:rPr>
        <w:t>15</w:t>
      </w:r>
      <w:r w:rsidRPr="00CE28E3">
        <w:rPr>
          <w:noProof/>
        </w:rPr>
        <w:fldChar w:fldCharType="end"/>
      </w:r>
      <w:bookmarkEnd w:id="36"/>
      <w:r w:rsidRPr="00CE28E3">
        <w:tab/>
        <w:t xml:space="preserve">Summary of the economic evaluation </w:t>
      </w:r>
    </w:p>
    <w:tbl>
      <w:tblPr>
        <w:tblStyle w:val="TableGrid1"/>
        <w:tblW w:w="5000" w:type="pct"/>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414"/>
        <w:gridCol w:w="7602"/>
      </w:tblGrid>
      <w:tr w:rsidR="00945C2D" w:rsidRPr="00CE28E3" w14:paraId="3C0DF1BD" w14:textId="2726922C" w:rsidTr="0088249B">
        <w:trPr>
          <w:cnfStyle w:val="100000000000" w:firstRow="1" w:lastRow="0" w:firstColumn="0" w:lastColumn="0" w:oddVBand="0" w:evenVBand="0" w:oddHBand="0" w:evenHBand="0" w:firstRowFirstColumn="0" w:firstRowLastColumn="0" w:lastRowFirstColumn="0" w:lastRowLastColumn="0"/>
          <w:tblHeader/>
        </w:trPr>
        <w:tc>
          <w:tcPr>
            <w:tcW w:w="784" w:type="pct"/>
          </w:tcPr>
          <w:p w14:paraId="57632985" w14:textId="77777777" w:rsidR="00945C2D" w:rsidRPr="00634634" w:rsidRDefault="00945C2D" w:rsidP="00634634">
            <w:pPr>
              <w:pStyle w:val="In-tableHeading"/>
              <w:spacing w:after="40"/>
            </w:pPr>
            <w:bookmarkStart w:id="37" w:name="Title_Table5"/>
            <w:bookmarkStart w:id="38" w:name="_Hlk68276446"/>
            <w:bookmarkEnd w:id="37"/>
            <w:r w:rsidRPr="00634634">
              <w:t>Component</w:t>
            </w:r>
          </w:p>
        </w:tc>
        <w:tc>
          <w:tcPr>
            <w:tcW w:w="4216" w:type="pct"/>
          </w:tcPr>
          <w:p w14:paraId="123CA837" w14:textId="77777777" w:rsidR="00945C2D" w:rsidRPr="00634634" w:rsidRDefault="00945C2D" w:rsidP="00634634">
            <w:pPr>
              <w:pStyle w:val="In-tableHeading"/>
              <w:spacing w:after="40"/>
            </w:pPr>
            <w:r w:rsidRPr="00634634">
              <w:t>Description</w:t>
            </w:r>
          </w:p>
        </w:tc>
      </w:tr>
      <w:tr w:rsidR="00945C2D" w:rsidRPr="000449D1" w14:paraId="31113E27" w14:textId="755DAA21" w:rsidTr="0088249B">
        <w:tc>
          <w:tcPr>
            <w:tcW w:w="784" w:type="pct"/>
          </w:tcPr>
          <w:p w14:paraId="7DFFBC7E" w14:textId="77777777" w:rsidR="00945C2D" w:rsidRPr="000449D1" w:rsidRDefault="00945C2D" w:rsidP="00E45EE4">
            <w:pPr>
              <w:pStyle w:val="TableText"/>
            </w:pPr>
            <w:r w:rsidRPr="000449D1">
              <w:t>Perspective</w:t>
            </w:r>
          </w:p>
        </w:tc>
        <w:tc>
          <w:tcPr>
            <w:tcW w:w="4216" w:type="pct"/>
          </w:tcPr>
          <w:p w14:paraId="56EF2FFF" w14:textId="168CDAE8" w:rsidR="00945C2D" w:rsidRPr="000449D1" w:rsidRDefault="00945C2D" w:rsidP="00E45EE4">
            <w:pPr>
              <w:pStyle w:val="TableText"/>
            </w:pPr>
            <w:r>
              <w:t>Australian h</w:t>
            </w:r>
            <w:r w:rsidRPr="000449D1">
              <w:t>ealth care system perspective</w:t>
            </w:r>
          </w:p>
        </w:tc>
      </w:tr>
      <w:tr w:rsidR="00D3253C" w:rsidRPr="000449D1" w14:paraId="238B6F77" w14:textId="77777777" w:rsidTr="0088249B">
        <w:tc>
          <w:tcPr>
            <w:tcW w:w="784" w:type="pct"/>
          </w:tcPr>
          <w:p w14:paraId="26AA3200" w14:textId="24B3FAE5" w:rsidR="00D3253C" w:rsidRPr="000449D1" w:rsidRDefault="00D3253C" w:rsidP="00E45EE4">
            <w:pPr>
              <w:pStyle w:val="TableText"/>
            </w:pPr>
            <w:r>
              <w:t>Population</w:t>
            </w:r>
          </w:p>
        </w:tc>
        <w:tc>
          <w:tcPr>
            <w:tcW w:w="4216" w:type="pct"/>
          </w:tcPr>
          <w:p w14:paraId="6A4CE8CA" w14:textId="77BBD4CD" w:rsidR="00D3253C" w:rsidRDefault="00D3253C" w:rsidP="00E45EE4">
            <w:pPr>
              <w:pStyle w:val="TableText"/>
            </w:pPr>
            <w:r>
              <w:t>1) All-comers to PCI with DES</w:t>
            </w:r>
            <w:r w:rsidR="004E4A05">
              <w:br/>
            </w:r>
            <w:r>
              <w:t xml:space="preserve">2) </w:t>
            </w:r>
            <w:r w:rsidR="00AD36CF">
              <w:t>P</w:t>
            </w:r>
            <w:r w:rsidRPr="00D3253C">
              <w:t>atients with complex anatomical characteristics</w:t>
            </w:r>
            <w:r>
              <w:t xml:space="preserve"> </w:t>
            </w:r>
            <w:r w:rsidRPr="00D3253C">
              <w:t>(long lesions</w:t>
            </w:r>
            <w:r w:rsidR="00AD36CF">
              <w:t xml:space="preserve"> and </w:t>
            </w:r>
            <w:r w:rsidR="00AD36CF" w:rsidRPr="00D3253C">
              <w:t>left main lesions</w:t>
            </w:r>
            <w:r w:rsidRPr="00D3253C">
              <w:t>)</w:t>
            </w:r>
            <w:r w:rsidR="00AD36CF">
              <w:t xml:space="preserve"> requiring DES</w:t>
            </w:r>
          </w:p>
        </w:tc>
      </w:tr>
      <w:tr w:rsidR="00945C2D" w:rsidRPr="000449D1" w14:paraId="750830A5" w14:textId="33978BE8" w:rsidTr="0088249B">
        <w:tc>
          <w:tcPr>
            <w:tcW w:w="784" w:type="pct"/>
          </w:tcPr>
          <w:p w14:paraId="59B80C68" w14:textId="77777777" w:rsidR="00945C2D" w:rsidRPr="000449D1" w:rsidRDefault="00945C2D" w:rsidP="00E45EE4">
            <w:pPr>
              <w:pStyle w:val="TableText"/>
            </w:pPr>
            <w:r w:rsidRPr="000449D1">
              <w:t>Comparator</w:t>
            </w:r>
          </w:p>
        </w:tc>
        <w:tc>
          <w:tcPr>
            <w:tcW w:w="4216" w:type="pct"/>
          </w:tcPr>
          <w:p w14:paraId="04C0D717" w14:textId="32F91122" w:rsidR="00945C2D" w:rsidRPr="000449D1" w:rsidRDefault="00D3253C" w:rsidP="00E45EE4">
            <w:pPr>
              <w:pStyle w:val="TableText"/>
            </w:pPr>
            <w:r>
              <w:t>Angiography-guided PCI for DES implantation</w:t>
            </w:r>
          </w:p>
        </w:tc>
      </w:tr>
      <w:tr w:rsidR="00945C2D" w:rsidRPr="000449D1" w14:paraId="352DFBB5" w14:textId="23E331A7" w:rsidTr="0088249B">
        <w:tc>
          <w:tcPr>
            <w:tcW w:w="784" w:type="pct"/>
          </w:tcPr>
          <w:p w14:paraId="563F18FC" w14:textId="387915D8" w:rsidR="00945C2D" w:rsidRPr="000449D1" w:rsidRDefault="00945C2D" w:rsidP="00E45EE4">
            <w:pPr>
              <w:pStyle w:val="TableText"/>
            </w:pPr>
            <w:r w:rsidRPr="000449D1">
              <w:t>Type of analysis</w:t>
            </w:r>
          </w:p>
        </w:tc>
        <w:tc>
          <w:tcPr>
            <w:tcW w:w="4216" w:type="pct"/>
          </w:tcPr>
          <w:p w14:paraId="4DAE5CE1" w14:textId="1847CE5F" w:rsidR="00945C2D" w:rsidRPr="000449D1" w:rsidRDefault="00D3253C" w:rsidP="00E45EE4">
            <w:pPr>
              <w:pStyle w:val="TableText"/>
            </w:pPr>
            <w:r>
              <w:t>C</w:t>
            </w:r>
            <w:r w:rsidR="00945C2D" w:rsidRPr="000449D1">
              <w:t>ost-utility analysis</w:t>
            </w:r>
          </w:p>
        </w:tc>
      </w:tr>
      <w:tr w:rsidR="00945C2D" w:rsidRPr="000449D1" w14:paraId="6CB6FA6B" w14:textId="0CFF196E" w:rsidTr="0088249B">
        <w:tc>
          <w:tcPr>
            <w:tcW w:w="784" w:type="pct"/>
          </w:tcPr>
          <w:p w14:paraId="401E0BAC" w14:textId="77777777" w:rsidR="00945C2D" w:rsidRPr="000449D1" w:rsidRDefault="00945C2D" w:rsidP="00E45EE4">
            <w:pPr>
              <w:pStyle w:val="TableText"/>
            </w:pPr>
            <w:r w:rsidRPr="000449D1">
              <w:t>Outcomes</w:t>
            </w:r>
          </w:p>
        </w:tc>
        <w:tc>
          <w:tcPr>
            <w:tcW w:w="4216" w:type="pct"/>
          </w:tcPr>
          <w:p w14:paraId="5BB292CF" w14:textId="1A5F5D68" w:rsidR="00945C2D" w:rsidRPr="000449D1" w:rsidRDefault="00D3253C" w:rsidP="00E45EE4">
            <w:pPr>
              <w:pStyle w:val="TableText"/>
            </w:pPr>
            <w:r>
              <w:t>QALYs and costs</w:t>
            </w:r>
          </w:p>
        </w:tc>
      </w:tr>
      <w:tr w:rsidR="00945C2D" w:rsidRPr="000449D1" w14:paraId="643C0794" w14:textId="7BA4E085" w:rsidTr="0088249B">
        <w:tc>
          <w:tcPr>
            <w:tcW w:w="784" w:type="pct"/>
          </w:tcPr>
          <w:p w14:paraId="42B1D84D" w14:textId="77777777" w:rsidR="00945C2D" w:rsidRPr="000449D1" w:rsidRDefault="00945C2D" w:rsidP="00E45EE4">
            <w:pPr>
              <w:pStyle w:val="TableText"/>
            </w:pPr>
            <w:r w:rsidRPr="000449D1">
              <w:t>Time horizon</w:t>
            </w:r>
          </w:p>
        </w:tc>
        <w:tc>
          <w:tcPr>
            <w:tcW w:w="4216" w:type="pct"/>
          </w:tcPr>
          <w:p w14:paraId="3BC3DE82" w14:textId="601FE1A1" w:rsidR="00945C2D" w:rsidRPr="000449D1" w:rsidRDefault="00B869DD" w:rsidP="00E45EE4">
            <w:pPr>
              <w:pStyle w:val="TableText"/>
            </w:pPr>
            <w:r w:rsidRPr="00B869DD">
              <w:rPr>
                <w:u w:val="single"/>
              </w:rPr>
              <w:t>Model base case</w:t>
            </w:r>
            <w:r>
              <w:t xml:space="preserve">: </w:t>
            </w:r>
            <w:r w:rsidR="00AD36CF">
              <w:t>Lifetime</w:t>
            </w:r>
            <w:r w:rsidR="00945C2D" w:rsidRPr="000449D1">
              <w:t xml:space="preserve"> </w:t>
            </w:r>
            <w:r w:rsidR="00AD36CF">
              <w:t>(33 years</w:t>
            </w:r>
            <w:r w:rsidR="00C569C3">
              <w:t xml:space="preserve"> from a start age of </w:t>
            </w:r>
            <w:r w:rsidR="00E45EE4">
              <w:t>67</w:t>
            </w:r>
            <w:r w:rsidR="00F27BC4">
              <w:t xml:space="preserve"> years</w:t>
            </w:r>
            <w:r w:rsidR="00AD36CF">
              <w:t>)</w:t>
            </w:r>
            <w:r w:rsidR="00E45EE4">
              <w:br/>
            </w:r>
            <w:r w:rsidR="00E45EE4" w:rsidRPr="00B869DD">
              <w:rPr>
                <w:u w:val="single"/>
              </w:rPr>
              <w:t>T</w:t>
            </w:r>
            <w:r w:rsidR="00AD36CF" w:rsidRPr="00B869DD">
              <w:rPr>
                <w:u w:val="single"/>
              </w:rPr>
              <w:t>rial-based follow-up</w:t>
            </w:r>
            <w:r>
              <w:t>:</w:t>
            </w:r>
            <w:r w:rsidR="00AD36CF">
              <w:t xml:space="preserve"> 3 years for all-comers, </w:t>
            </w:r>
            <w:r>
              <w:t xml:space="preserve">≤ </w:t>
            </w:r>
            <w:r w:rsidR="00AD36CF">
              <w:t xml:space="preserve">5 years for long lesions, </w:t>
            </w:r>
            <w:r>
              <w:t xml:space="preserve">≤ </w:t>
            </w:r>
            <w:r w:rsidR="00AD36CF">
              <w:t>2 years left main lesions</w:t>
            </w:r>
          </w:p>
        </w:tc>
      </w:tr>
      <w:tr w:rsidR="00945C2D" w:rsidRPr="000449D1" w14:paraId="0949BCCC" w14:textId="4456977C" w:rsidTr="0088249B">
        <w:tc>
          <w:tcPr>
            <w:tcW w:w="784" w:type="pct"/>
          </w:tcPr>
          <w:p w14:paraId="6DFB973F" w14:textId="77777777" w:rsidR="00945C2D" w:rsidRPr="000449D1" w:rsidRDefault="00945C2D" w:rsidP="00E45EE4">
            <w:pPr>
              <w:pStyle w:val="TableText"/>
            </w:pPr>
            <w:r w:rsidRPr="000449D1">
              <w:t>Computational method</w:t>
            </w:r>
          </w:p>
        </w:tc>
        <w:tc>
          <w:tcPr>
            <w:tcW w:w="4216" w:type="pct"/>
          </w:tcPr>
          <w:p w14:paraId="67E64DF6" w14:textId="202B1104" w:rsidR="00945C2D" w:rsidRPr="000449D1" w:rsidRDefault="00945C2D" w:rsidP="00E45EE4">
            <w:pPr>
              <w:pStyle w:val="TableText"/>
            </w:pPr>
            <w:r w:rsidRPr="000449D1">
              <w:t>Markov</w:t>
            </w:r>
            <w:r w:rsidR="00B60488">
              <w:t xml:space="preserve"> model</w:t>
            </w:r>
          </w:p>
        </w:tc>
      </w:tr>
      <w:tr w:rsidR="00945C2D" w:rsidRPr="000449D1" w14:paraId="780AB6C6" w14:textId="5D51678D" w:rsidTr="0088249B">
        <w:tc>
          <w:tcPr>
            <w:tcW w:w="784" w:type="pct"/>
          </w:tcPr>
          <w:p w14:paraId="6CDC9D32" w14:textId="77777777" w:rsidR="00945C2D" w:rsidRPr="000449D1" w:rsidRDefault="00945C2D" w:rsidP="00E45EE4">
            <w:pPr>
              <w:pStyle w:val="TableText"/>
            </w:pPr>
            <w:r w:rsidRPr="000449D1">
              <w:t>Generation of the base case</w:t>
            </w:r>
          </w:p>
        </w:tc>
        <w:tc>
          <w:tcPr>
            <w:tcW w:w="4216" w:type="pct"/>
          </w:tcPr>
          <w:p w14:paraId="6687851E" w14:textId="51B43F1C" w:rsidR="00945C2D" w:rsidRPr="000449D1" w:rsidRDefault="00B60488" w:rsidP="00E45EE4">
            <w:pPr>
              <w:pStyle w:val="TableText"/>
            </w:pPr>
            <w:r>
              <w:t>S</w:t>
            </w:r>
            <w:r w:rsidRPr="00B60488">
              <w:t>tepped evaluation, with Step</w:t>
            </w:r>
            <w:r w:rsidR="00503B80">
              <w:t>s</w:t>
            </w:r>
            <w:r w:rsidRPr="00B60488">
              <w:t xml:space="preserve"> 0 and 1 being quasi-trial-based analyses at a time horizon of 5 years</w:t>
            </w:r>
            <w:r w:rsidR="00503B80">
              <w:br/>
            </w:r>
            <w:r w:rsidRPr="001C66EA">
              <w:rPr>
                <w:u w:val="single"/>
              </w:rPr>
              <w:t>Step 0</w:t>
            </w:r>
            <w:r w:rsidR="001C66EA" w:rsidRPr="001C66EA">
              <w:t xml:space="preserve">: </w:t>
            </w:r>
            <w:r w:rsidRPr="00B60488">
              <w:t>incremental cost per life-year</w:t>
            </w:r>
            <w:r w:rsidR="00E45EE4">
              <w:t xml:space="preserve">; </w:t>
            </w:r>
            <w:r w:rsidR="00503B80" w:rsidRPr="003010CB">
              <w:rPr>
                <w:u w:val="single"/>
              </w:rPr>
              <w:t>S</w:t>
            </w:r>
            <w:r w:rsidRPr="003010CB">
              <w:rPr>
                <w:u w:val="single"/>
              </w:rPr>
              <w:t>tep 1</w:t>
            </w:r>
            <w:r w:rsidR="003010CB">
              <w:t xml:space="preserve">: </w:t>
            </w:r>
            <w:r w:rsidRPr="00B60488">
              <w:t>incremental cost per QALY</w:t>
            </w:r>
            <w:r w:rsidR="001C66EA">
              <w:t xml:space="preserve">; </w:t>
            </w:r>
            <w:r w:rsidR="001C66EA" w:rsidRPr="003010CB">
              <w:rPr>
                <w:u w:val="single"/>
              </w:rPr>
              <w:t>Step 2</w:t>
            </w:r>
            <w:r w:rsidR="003010CB">
              <w:t>:</w:t>
            </w:r>
            <w:r w:rsidR="001C66EA">
              <w:t xml:space="preserve"> </w:t>
            </w:r>
            <w:r w:rsidR="003010CB">
              <w:t xml:space="preserve">incremental cost per QALY to a </w:t>
            </w:r>
            <w:r w:rsidR="001C66EA">
              <w:t>lifetime time horizon</w:t>
            </w:r>
          </w:p>
        </w:tc>
      </w:tr>
      <w:tr w:rsidR="00B60488" w:rsidRPr="000449D1" w14:paraId="7ED69403" w14:textId="77777777" w:rsidTr="0088249B">
        <w:tc>
          <w:tcPr>
            <w:tcW w:w="784" w:type="pct"/>
          </w:tcPr>
          <w:p w14:paraId="0DC117FC" w14:textId="7C4B1EFA" w:rsidR="00B60488" w:rsidRPr="000449D1" w:rsidRDefault="00B60488" w:rsidP="00D35490">
            <w:pPr>
              <w:pStyle w:val="TableText"/>
              <w:keepNext/>
            </w:pPr>
            <w:r>
              <w:t>Health states</w:t>
            </w:r>
          </w:p>
        </w:tc>
        <w:tc>
          <w:tcPr>
            <w:tcW w:w="4216" w:type="pct"/>
          </w:tcPr>
          <w:p w14:paraId="43C1DA0A" w14:textId="2725E6AF" w:rsidR="00B60488" w:rsidRPr="0088249B" w:rsidRDefault="00B60488" w:rsidP="00D35490">
            <w:pPr>
              <w:pStyle w:val="TableText"/>
              <w:keepNext/>
            </w:pPr>
            <w:r w:rsidRPr="0088249B">
              <w:rPr>
                <w:u w:val="single"/>
              </w:rPr>
              <w:t>No event</w:t>
            </w:r>
            <w:r w:rsidR="0088249B" w:rsidRPr="0088249B">
              <w:t>:</w:t>
            </w:r>
            <w:r w:rsidR="004E4A05" w:rsidRPr="0088249B">
              <w:t xml:space="preserve"> All patients begin the model in this state. Patients from both arms remain in this health state until they experience an event.</w:t>
            </w:r>
            <w:r w:rsidRPr="0088249B">
              <w:br/>
            </w:r>
            <w:r w:rsidRPr="0088249B">
              <w:rPr>
                <w:u w:val="single"/>
              </w:rPr>
              <w:t>Post MI</w:t>
            </w:r>
            <w:r w:rsidR="0088249B" w:rsidRPr="0088249B">
              <w:t xml:space="preserve">: </w:t>
            </w:r>
            <w:r w:rsidR="004E4A05" w:rsidRPr="0088249B">
              <w:t>A proportion of the cohort transitions to this state based on data from trials</w:t>
            </w:r>
            <w:r w:rsidR="00CC4481" w:rsidRPr="0088249B">
              <w:t xml:space="preserve"> in Section B</w:t>
            </w:r>
            <w:r w:rsidR="004E4A05" w:rsidRPr="0088249B">
              <w:t>. Patients in this state are treated with either revascularisation (PCI or CABG) or medically.</w:t>
            </w:r>
            <w:r w:rsidRPr="0088249B">
              <w:br/>
            </w:r>
            <w:r w:rsidRPr="0088249B">
              <w:rPr>
                <w:u w:val="single"/>
              </w:rPr>
              <w:t>Post TLR</w:t>
            </w:r>
            <w:r w:rsidR="0088249B" w:rsidRPr="0088249B">
              <w:t xml:space="preserve">: </w:t>
            </w:r>
            <w:r w:rsidR="004E4A05" w:rsidRPr="0088249B">
              <w:t>A proportion of the cohort transitions to this state based on data from trials</w:t>
            </w:r>
            <w:r w:rsidR="00CC4481" w:rsidRPr="0088249B">
              <w:t xml:space="preserve"> in Section B</w:t>
            </w:r>
            <w:r w:rsidR="004E4A05" w:rsidRPr="0088249B">
              <w:t>. Patients in this state are treated with either PCI or CABG.</w:t>
            </w:r>
            <w:r w:rsidRPr="0088249B">
              <w:br/>
            </w:r>
            <w:r w:rsidRPr="0088249B">
              <w:rPr>
                <w:u w:val="single"/>
              </w:rPr>
              <w:t>Dead</w:t>
            </w:r>
            <w:r w:rsidR="0088249B" w:rsidRPr="0088249B">
              <w:t xml:space="preserve">: </w:t>
            </w:r>
            <w:r w:rsidR="00CC4481" w:rsidRPr="0088249B">
              <w:t>A portion of the cohort can die from either all-cause mortality, TLR</w:t>
            </w:r>
            <w:r w:rsidR="00F27BC4">
              <w:t>-</w:t>
            </w:r>
            <w:r w:rsidR="00CC4481" w:rsidRPr="0088249B">
              <w:t>related mortality or MI</w:t>
            </w:r>
            <w:r w:rsidR="00F27BC4">
              <w:t>-</w:t>
            </w:r>
            <w:r w:rsidR="00CC4481" w:rsidRPr="0088249B">
              <w:t>related mortality</w:t>
            </w:r>
            <w:r w:rsidR="00F27BC4">
              <w:t>.</w:t>
            </w:r>
          </w:p>
        </w:tc>
      </w:tr>
      <w:tr w:rsidR="00945C2D" w:rsidRPr="000449D1" w14:paraId="0212C695" w14:textId="63F9F923" w:rsidTr="0088249B">
        <w:tc>
          <w:tcPr>
            <w:tcW w:w="784" w:type="pct"/>
          </w:tcPr>
          <w:p w14:paraId="3AC64F34" w14:textId="77777777" w:rsidR="00945C2D" w:rsidRPr="000449D1" w:rsidRDefault="00945C2D" w:rsidP="00E45EE4">
            <w:pPr>
              <w:pStyle w:val="TableText"/>
            </w:pPr>
            <w:r w:rsidRPr="000449D1">
              <w:t>Cycle length</w:t>
            </w:r>
          </w:p>
        </w:tc>
        <w:tc>
          <w:tcPr>
            <w:tcW w:w="4216" w:type="pct"/>
          </w:tcPr>
          <w:p w14:paraId="64D95EB2" w14:textId="0A4F46C4" w:rsidR="00945C2D" w:rsidRPr="000449D1" w:rsidRDefault="00B60488" w:rsidP="00E45EE4">
            <w:pPr>
              <w:pStyle w:val="TableText"/>
            </w:pPr>
            <w:r>
              <w:t>1 year</w:t>
            </w:r>
          </w:p>
        </w:tc>
      </w:tr>
      <w:tr w:rsidR="00503B80" w:rsidRPr="000449D1" w14:paraId="5D010D80" w14:textId="77777777" w:rsidTr="0088249B">
        <w:tc>
          <w:tcPr>
            <w:tcW w:w="784" w:type="pct"/>
          </w:tcPr>
          <w:p w14:paraId="37314A47" w14:textId="5339098E" w:rsidR="00503B80" w:rsidRPr="000449D1" w:rsidRDefault="00503B80" w:rsidP="00E45EE4">
            <w:pPr>
              <w:pStyle w:val="TableText"/>
            </w:pPr>
            <w:r w:rsidRPr="000449D1">
              <w:t>Transition probabilities</w:t>
            </w:r>
          </w:p>
        </w:tc>
        <w:tc>
          <w:tcPr>
            <w:tcW w:w="4216" w:type="pct"/>
          </w:tcPr>
          <w:p w14:paraId="78FB5537" w14:textId="6CBFB48C" w:rsidR="00AB60E7" w:rsidRPr="0088249B" w:rsidRDefault="00CC4481" w:rsidP="00B869DD">
            <w:pPr>
              <w:pStyle w:val="TableText"/>
            </w:pPr>
            <w:r w:rsidRPr="0088249B">
              <w:rPr>
                <w:u w:val="single"/>
              </w:rPr>
              <w:t>MI</w:t>
            </w:r>
            <w:r w:rsidR="0088249B" w:rsidRPr="0088249B">
              <w:rPr>
                <w:u w:val="single"/>
              </w:rPr>
              <w:t xml:space="preserve"> with IVUS or angiography</w:t>
            </w:r>
            <w:r w:rsidR="004E4A05" w:rsidRPr="0088249B">
              <w:t xml:space="preserve">: sourced from </w:t>
            </w:r>
            <w:r w:rsidR="0088249B" w:rsidRPr="0088249B">
              <w:t>trials in Section B</w:t>
            </w:r>
            <w:r w:rsidR="00B869DD">
              <w:br/>
            </w:r>
            <w:r w:rsidR="0088249B" w:rsidRPr="0088249B">
              <w:rPr>
                <w:u w:val="single"/>
              </w:rPr>
              <w:t>TLR with IVUS or angiography</w:t>
            </w:r>
            <w:r w:rsidR="0088249B" w:rsidRPr="0088249B">
              <w:t>: sourced from trials in Section B</w:t>
            </w:r>
            <w:r w:rsidR="00B869DD">
              <w:br/>
            </w:r>
            <w:r w:rsidR="0088249B" w:rsidRPr="00DF5A44">
              <w:rPr>
                <w:u w:val="single"/>
              </w:rPr>
              <w:t>Death after initial PCI</w:t>
            </w:r>
            <w:r w:rsidR="0088249B">
              <w:t>: ABS 2019 life tables, weighted by sex</w:t>
            </w:r>
            <w:r w:rsidR="00B869DD">
              <w:br/>
            </w:r>
            <w:r w:rsidR="00DF5A44" w:rsidRPr="00DF5A44">
              <w:rPr>
                <w:u w:val="single"/>
              </w:rPr>
              <w:t>Death after TLR</w:t>
            </w:r>
            <w:r w:rsidR="00DF5A44">
              <w:t xml:space="preserve">: sourced from VCOR </w:t>
            </w:r>
            <w:r w:rsidR="00247054">
              <w:t>A</w:t>
            </w:r>
            <w:r w:rsidR="00DF5A44">
              <w:t xml:space="preserve">nnual </w:t>
            </w:r>
            <w:r w:rsidR="00247054">
              <w:t>R</w:t>
            </w:r>
            <w:r w:rsidR="00DF5A44">
              <w:t>eport 2019</w:t>
            </w:r>
            <w:r w:rsidR="00B869DD">
              <w:br/>
            </w:r>
            <w:r w:rsidR="00DF5A44" w:rsidRPr="00DF5A44">
              <w:rPr>
                <w:u w:val="single"/>
              </w:rPr>
              <w:t>Death after MI</w:t>
            </w:r>
            <w:r w:rsidR="00DF5A44">
              <w:t>: sourced from a published Australian CUA</w:t>
            </w:r>
            <w:r w:rsidR="00CF175F">
              <w:rPr>
                <w:rStyle w:val="FootnoteReference"/>
              </w:rPr>
              <w:footnoteReference w:id="17"/>
            </w:r>
            <w:r w:rsidR="00CF175F">
              <w:t xml:space="preserve"> </w:t>
            </w:r>
            <w:r w:rsidR="00DF5A44">
              <w:t xml:space="preserve"> </w:t>
            </w:r>
            <w:r w:rsidR="0064551E">
              <w:t>, with US-based values and no specific justification for their selection by the authors</w:t>
            </w:r>
            <w:r w:rsidR="00B869DD">
              <w:br/>
            </w:r>
            <w:r w:rsidR="00DF5A44" w:rsidRPr="00DF5A44">
              <w:rPr>
                <w:u w:val="single"/>
              </w:rPr>
              <w:t>MI treated with a revascularisation</w:t>
            </w:r>
            <w:r w:rsidR="00DF5A44">
              <w:t xml:space="preserve">: sourced from VCOR </w:t>
            </w:r>
            <w:r w:rsidR="00247054">
              <w:t>A</w:t>
            </w:r>
            <w:r w:rsidR="00DF5A44">
              <w:t xml:space="preserve">nnual </w:t>
            </w:r>
            <w:r w:rsidR="00247054">
              <w:t>R</w:t>
            </w:r>
            <w:r w:rsidR="00DF5A44">
              <w:t>eport 2019</w:t>
            </w:r>
            <w:r w:rsidR="00B869DD">
              <w:br/>
            </w:r>
            <w:r w:rsidR="00DF5A44" w:rsidRPr="00DF5A44">
              <w:rPr>
                <w:u w:val="single"/>
              </w:rPr>
              <w:t>MI treated medically</w:t>
            </w:r>
            <w:r w:rsidR="00DF5A44">
              <w:t xml:space="preserve">: sourced from VCOR </w:t>
            </w:r>
            <w:r w:rsidR="00247054">
              <w:t>A</w:t>
            </w:r>
            <w:r w:rsidR="00DF5A44">
              <w:t xml:space="preserve">nnual </w:t>
            </w:r>
            <w:r w:rsidR="00247054">
              <w:t>R</w:t>
            </w:r>
            <w:r w:rsidR="00DF5A44">
              <w:t>eport 2019</w:t>
            </w:r>
            <w:r w:rsidR="00B869DD">
              <w:br/>
            </w:r>
            <w:r w:rsidR="00DF5A44" w:rsidRPr="00AB60E7">
              <w:rPr>
                <w:u w:val="single"/>
              </w:rPr>
              <w:t xml:space="preserve">MI revascularisation </w:t>
            </w:r>
            <w:r w:rsidR="00AB60E7" w:rsidRPr="00AB60E7">
              <w:rPr>
                <w:u w:val="single"/>
              </w:rPr>
              <w:t>with PCI</w:t>
            </w:r>
            <w:r w:rsidR="00AB60E7">
              <w:t>: sourced from NHF/CSANZ clinical guidelines 2016</w:t>
            </w:r>
            <w:r w:rsidR="00B869DD">
              <w:br/>
            </w:r>
            <w:r w:rsidR="00AB60E7" w:rsidRPr="00AB60E7">
              <w:rPr>
                <w:u w:val="single"/>
              </w:rPr>
              <w:t>MI revascularisation with CABG</w:t>
            </w:r>
            <w:r w:rsidR="00AB60E7">
              <w:t>: sourced from NHF/CSANZ clinical guidelines 2016</w:t>
            </w:r>
          </w:p>
        </w:tc>
      </w:tr>
      <w:tr w:rsidR="00F17E21" w:rsidRPr="000449D1" w14:paraId="15965DDB" w14:textId="77777777" w:rsidTr="0088249B">
        <w:tc>
          <w:tcPr>
            <w:tcW w:w="784" w:type="pct"/>
          </w:tcPr>
          <w:p w14:paraId="0D8837E0" w14:textId="230822F8" w:rsidR="00F17E21" w:rsidRPr="000449D1" w:rsidRDefault="00F17E21" w:rsidP="00E45EE4">
            <w:pPr>
              <w:pStyle w:val="TableText"/>
            </w:pPr>
            <w:r>
              <w:t>Utility weights</w:t>
            </w:r>
          </w:p>
        </w:tc>
        <w:tc>
          <w:tcPr>
            <w:tcW w:w="4216" w:type="pct"/>
          </w:tcPr>
          <w:p w14:paraId="3DD4538F" w14:textId="117E42F7" w:rsidR="00F17E21" w:rsidRPr="000449D1" w:rsidRDefault="00F17E21" w:rsidP="00E45EE4">
            <w:pPr>
              <w:pStyle w:val="TableText"/>
            </w:pPr>
            <w:r>
              <w:t>Sourced from a published Australian CUA</w:t>
            </w:r>
            <w:r w:rsidR="00CF175F">
              <w:rPr>
                <w:vertAlign w:val="superscript"/>
              </w:rPr>
              <w:t>14</w:t>
            </w:r>
            <w:r>
              <w:t xml:space="preserve"> </w:t>
            </w:r>
            <w:r>
              <w:br/>
            </w:r>
            <w:r w:rsidRPr="00F17E21">
              <w:rPr>
                <w:u w:val="single"/>
              </w:rPr>
              <w:t>No event</w:t>
            </w:r>
            <w:r>
              <w:t>: 0.830</w:t>
            </w:r>
            <w:r w:rsidR="00C15E07">
              <w:t xml:space="preserve">; </w:t>
            </w:r>
            <w:r w:rsidRPr="00F17E21">
              <w:rPr>
                <w:u w:val="single"/>
              </w:rPr>
              <w:t>Post-MI</w:t>
            </w:r>
            <w:r>
              <w:t>: 0.704</w:t>
            </w:r>
            <w:r w:rsidR="00C15E07">
              <w:t xml:space="preserve">; </w:t>
            </w:r>
            <w:r w:rsidRPr="00F17E21">
              <w:rPr>
                <w:u w:val="single"/>
              </w:rPr>
              <w:t>Post-TLR</w:t>
            </w:r>
            <w:r>
              <w:t>: 0.830</w:t>
            </w:r>
            <w:r w:rsidR="00C15E07">
              <w:t xml:space="preserve">; </w:t>
            </w:r>
            <w:r w:rsidRPr="00C15E07">
              <w:rPr>
                <w:u w:val="single"/>
              </w:rPr>
              <w:t>TLR</w:t>
            </w:r>
            <w:r>
              <w:t>: -0.06</w:t>
            </w:r>
          </w:p>
        </w:tc>
      </w:tr>
      <w:tr w:rsidR="00945C2D" w:rsidRPr="000449D1" w14:paraId="0619B77B" w14:textId="65D0CC25" w:rsidTr="0088249B">
        <w:tc>
          <w:tcPr>
            <w:tcW w:w="784" w:type="pct"/>
          </w:tcPr>
          <w:p w14:paraId="3B8D14D8" w14:textId="77777777" w:rsidR="00945C2D" w:rsidRPr="000449D1" w:rsidRDefault="00945C2D" w:rsidP="00E45EE4">
            <w:pPr>
              <w:pStyle w:val="TableText"/>
            </w:pPr>
            <w:r w:rsidRPr="000449D1">
              <w:lastRenderedPageBreak/>
              <w:t>Discount rate</w:t>
            </w:r>
          </w:p>
        </w:tc>
        <w:tc>
          <w:tcPr>
            <w:tcW w:w="4216" w:type="pct"/>
          </w:tcPr>
          <w:p w14:paraId="2E657A83" w14:textId="6661F42E" w:rsidR="00945C2D" w:rsidRPr="000449D1" w:rsidRDefault="00945C2D" w:rsidP="00E45EE4">
            <w:pPr>
              <w:pStyle w:val="TableText"/>
            </w:pPr>
            <w:r w:rsidRPr="000449D1">
              <w:t>5% for both costs and outcomes</w:t>
            </w:r>
          </w:p>
        </w:tc>
      </w:tr>
      <w:tr w:rsidR="00945C2D" w:rsidRPr="000449D1" w14:paraId="507E6356" w14:textId="7BFC4306" w:rsidTr="0088249B">
        <w:tc>
          <w:tcPr>
            <w:tcW w:w="784" w:type="pct"/>
          </w:tcPr>
          <w:p w14:paraId="23A08C87" w14:textId="77777777" w:rsidR="00945C2D" w:rsidRPr="000449D1" w:rsidRDefault="00945C2D" w:rsidP="00E45EE4">
            <w:pPr>
              <w:pStyle w:val="TableText"/>
            </w:pPr>
            <w:r w:rsidRPr="000449D1">
              <w:t>Software</w:t>
            </w:r>
          </w:p>
        </w:tc>
        <w:tc>
          <w:tcPr>
            <w:tcW w:w="4216" w:type="pct"/>
          </w:tcPr>
          <w:p w14:paraId="613BDC46" w14:textId="2D003444" w:rsidR="00945C2D" w:rsidRPr="000449D1" w:rsidRDefault="00945C2D" w:rsidP="00E45EE4">
            <w:pPr>
              <w:pStyle w:val="TableText"/>
            </w:pPr>
            <w:r w:rsidRPr="000449D1">
              <w:t>TreeAge Pro</w:t>
            </w:r>
            <w:r w:rsidR="00B60488">
              <w:t xml:space="preserve"> Healthcare 2020</w:t>
            </w:r>
          </w:p>
        </w:tc>
      </w:tr>
    </w:tbl>
    <w:p w14:paraId="4B4236AC" w14:textId="39C432A3" w:rsidR="00587639" w:rsidRDefault="00CC4481" w:rsidP="00731CB3">
      <w:pPr>
        <w:pStyle w:val="TableFigureFooter"/>
        <w:spacing w:before="60"/>
      </w:pPr>
      <w:bookmarkStart w:id="39" w:name="_Hlk68276459"/>
      <w:bookmarkEnd w:id="38"/>
      <w:r>
        <w:t xml:space="preserve">CABG = coronary artery bypass graft; </w:t>
      </w:r>
      <w:r w:rsidR="00AB60E7">
        <w:t xml:space="preserve">CUA = cost-utility analysis; </w:t>
      </w:r>
      <w:r w:rsidR="00503B80">
        <w:t xml:space="preserve">DES = drug-eluting stent; </w:t>
      </w:r>
      <w:r w:rsidR="004E4A05">
        <w:t xml:space="preserve">MI = myocardial infarction; </w:t>
      </w:r>
      <w:r w:rsidR="00AB60E7" w:rsidRPr="00AB60E7">
        <w:t xml:space="preserve">NHF/CSANZ </w:t>
      </w:r>
      <w:r w:rsidR="00AB60E7">
        <w:t xml:space="preserve">= National Heart Foundation &amp; </w:t>
      </w:r>
      <w:r w:rsidR="00AB60E7" w:rsidRPr="00AB60E7">
        <w:t>Cardiac Society of Australia and New Zealand</w:t>
      </w:r>
      <w:r w:rsidR="00AB60E7">
        <w:t xml:space="preserve">; </w:t>
      </w:r>
      <w:r w:rsidR="00503B80">
        <w:t xml:space="preserve">PCI = percutaneous coronary intervention; QALY = quality-adjusted life year; </w:t>
      </w:r>
      <w:r w:rsidR="004E4A05">
        <w:t>TLR = target lesion revascularisation</w:t>
      </w:r>
      <w:r w:rsidR="00AB60E7">
        <w:t>; VCOR = Victorian Cardiac Outcomes Registry</w:t>
      </w:r>
      <w:r w:rsidR="004E4A05">
        <w:t>.</w:t>
      </w:r>
    </w:p>
    <w:p w14:paraId="07E7341C" w14:textId="3AB7C0F0" w:rsidR="005036C2" w:rsidRDefault="005036C2" w:rsidP="00E42C5E">
      <w:r>
        <w:t>The</w:t>
      </w:r>
      <w:r w:rsidRPr="005036C2">
        <w:t xml:space="preserve"> stepped economic analysis for the base-case results of the economic evaluation</w:t>
      </w:r>
      <w:r>
        <w:t xml:space="preserve"> is shown in </w:t>
      </w:r>
      <w:r>
        <w:fldChar w:fldCharType="begin"/>
      </w:r>
      <w:r>
        <w:instrText xml:space="preserve"> REF _Ref69725870 \h </w:instrText>
      </w:r>
      <w:r>
        <w:fldChar w:fldCharType="separate"/>
      </w:r>
      <w:r w:rsidR="00F03488" w:rsidRPr="00CE28E3">
        <w:t>Table</w:t>
      </w:r>
      <w:r w:rsidR="00F03488">
        <w:t> </w:t>
      </w:r>
      <w:r w:rsidR="00F03488">
        <w:rPr>
          <w:noProof/>
        </w:rPr>
        <w:t>16</w:t>
      </w:r>
      <w:r>
        <w:fldChar w:fldCharType="end"/>
      </w:r>
      <w:r>
        <w:t xml:space="preserve"> for all-comers to PCI with DES, and </w:t>
      </w:r>
      <w:r>
        <w:fldChar w:fldCharType="begin"/>
      </w:r>
      <w:r>
        <w:instrText xml:space="preserve"> REF _Ref89217474 \h </w:instrText>
      </w:r>
      <w:r>
        <w:fldChar w:fldCharType="separate"/>
      </w:r>
      <w:r w:rsidR="00F03488" w:rsidRPr="00CE28E3">
        <w:t>Table</w:t>
      </w:r>
      <w:r w:rsidR="00F03488">
        <w:t> </w:t>
      </w:r>
      <w:r w:rsidR="00F03488">
        <w:rPr>
          <w:noProof/>
        </w:rPr>
        <w:t>17</w:t>
      </w:r>
      <w:r>
        <w:fldChar w:fldCharType="end"/>
      </w:r>
      <w:r>
        <w:t xml:space="preserve"> for patients with complex anatomical characteristics.</w:t>
      </w:r>
    </w:p>
    <w:p w14:paraId="4A1E2FC7" w14:textId="28386B0C" w:rsidR="00E42C5E" w:rsidRDefault="00E42C5E" w:rsidP="00E42C5E">
      <w:r>
        <w:t xml:space="preserve">In the </w:t>
      </w:r>
      <w:r w:rsidR="00E013CE">
        <w:t>alternat</w:t>
      </w:r>
      <w:r w:rsidR="003761AE">
        <w:t>ive</w:t>
      </w:r>
      <w:r w:rsidR="00E013CE">
        <w:t xml:space="preserve"> base case scenario</w:t>
      </w:r>
      <w:r>
        <w:t xml:space="preserve"> </w:t>
      </w:r>
      <w:r w:rsidR="00E013CE">
        <w:t xml:space="preserve">presented </w:t>
      </w:r>
      <w:r w:rsidR="00954D58">
        <w:t>in the</w:t>
      </w:r>
      <w:r>
        <w:t xml:space="preserve"> </w:t>
      </w:r>
      <w:r w:rsidR="00954D58">
        <w:t>c</w:t>
      </w:r>
      <w:r>
        <w:t xml:space="preserve">ommentary and for all sensitivity analyses presented, </w:t>
      </w:r>
      <w:r w:rsidR="00E013CE">
        <w:t xml:space="preserve">two changes have been made. Firstly, </w:t>
      </w:r>
      <w:r>
        <w:t xml:space="preserve">it has been assumed that there is no incremental benefit for an all-comers population beyond the 3-year available data from ULTIMATE. Beyond 3 years, the probability for angiography alone has been applied. </w:t>
      </w:r>
      <w:r w:rsidR="003A1BC5">
        <w:t xml:space="preserve">The long lesion population has 5-year follow-up from a single study (IVUS-XPL) and so the incremental benefit to 5 years has been retained in the model. </w:t>
      </w:r>
      <w:r>
        <w:t>For the left main</w:t>
      </w:r>
      <w:r w:rsidR="0015426A">
        <w:t xml:space="preserve"> lesion</w:t>
      </w:r>
      <w:r>
        <w:t xml:space="preserve"> population, the assumption of the long lesion probability for TLR has been retained, as this assumption is explained, if not fully justified. This is varied in a sensitivity analysis.</w:t>
      </w:r>
    </w:p>
    <w:p w14:paraId="6C41EF8F" w14:textId="7E68445E" w:rsidR="00B869DD" w:rsidRPr="00503B80" w:rsidRDefault="000A06A2" w:rsidP="00E42C5E">
      <w:r>
        <w:t xml:space="preserve">Secondly, </w:t>
      </w:r>
      <w:r w:rsidR="00E42C5E">
        <w:t xml:space="preserve">there </w:t>
      </w:r>
      <w:r w:rsidR="003A1BC5">
        <w:t>wa</w:t>
      </w:r>
      <w:r w:rsidR="00E42C5E">
        <w:t xml:space="preserve">s no statistically significant difference </w:t>
      </w:r>
      <w:r>
        <w:t xml:space="preserve">in MI </w:t>
      </w:r>
      <w:r w:rsidR="00E42C5E">
        <w:t xml:space="preserve">between IVUS versus angiography alone for any subpopulation and so the probability </w:t>
      </w:r>
      <w:r>
        <w:t xml:space="preserve">of MI </w:t>
      </w:r>
      <w:r w:rsidR="00E42C5E">
        <w:t xml:space="preserve">for angiography alone has been applied throughout in the </w:t>
      </w:r>
      <w:r w:rsidR="00C13369">
        <w:t>alternate base case scenario</w:t>
      </w:r>
      <w:r w:rsidR="00E42C5E">
        <w:t>. Beyond the first year, the probability of MI for the angiography alone long lesion and left main lesion populations are the same.</w:t>
      </w:r>
    </w:p>
    <w:p w14:paraId="3650A475" w14:textId="14ABFEE5" w:rsidR="00FC5603" w:rsidRDefault="00FC5603" w:rsidP="00FC5603">
      <w:pPr>
        <w:pStyle w:val="Caption"/>
      </w:pPr>
      <w:bookmarkStart w:id="40" w:name="_Ref69725870"/>
      <w:bookmarkEnd w:id="39"/>
      <w:r w:rsidRPr="00CE28E3">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F03488">
        <w:rPr>
          <w:noProof/>
        </w:rPr>
        <w:t>16</w:t>
      </w:r>
      <w:r w:rsidRPr="00CE28E3">
        <w:rPr>
          <w:noProof/>
        </w:rPr>
        <w:fldChar w:fldCharType="end"/>
      </w:r>
      <w:bookmarkEnd w:id="40"/>
      <w:r w:rsidRPr="00CE28E3">
        <w:t xml:space="preserve"> </w:t>
      </w:r>
      <w:r w:rsidRPr="00CE28E3">
        <w:tab/>
        <w:t>Results of the stepped economic analysis</w:t>
      </w:r>
      <w:r w:rsidR="00C960E2">
        <w:t xml:space="preserve"> for all-comers to PCI with DES</w:t>
      </w:r>
    </w:p>
    <w:p w14:paraId="255E40EE" w14:textId="4332B67C" w:rsidR="00102D46" w:rsidRPr="00102D46" w:rsidRDefault="00D05EB0" w:rsidP="000F1FEA">
      <w:pPr>
        <w:keepNext/>
        <w:spacing w:after="0"/>
      </w:pPr>
      <w:r>
        <w:rPr>
          <w:noProof/>
        </w:rPr>
        <w:drawing>
          <wp:inline distT="0" distB="0" distL="0" distR="0" wp14:anchorId="0B8F9774" wp14:editId="77814B73">
            <wp:extent cx="5667375" cy="2114749"/>
            <wp:effectExtent l="0" t="0" r="0" b="0"/>
            <wp:docPr id="5" name="Picture 5" descr="This table presents the results of the stepped economic analysis for all-comers. Step 1 is cost per life-year, Step 2 is cost per QALY (5-year time horizon) and Step 3 is cost per QALY (life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table presents the results of the stepped economic analysis for all-comers. Step 1 is cost per life-year, Step 2 is cost per QALY (5-year time horizon) and Step 3 is cost per QALY (lifetime)."/>
                    <pic:cNvPicPr/>
                  </pic:nvPicPr>
                  <pic:blipFill>
                    <a:blip r:embed="rId43">
                      <a:extLst>
                        <a:ext uri="{28A0092B-C50C-407E-A947-70E740481C1C}">
                          <a14:useLocalDpi xmlns:a14="http://schemas.microsoft.com/office/drawing/2010/main" val="0"/>
                        </a:ext>
                      </a:extLst>
                    </a:blip>
                    <a:stretch>
                      <a:fillRect/>
                    </a:stretch>
                  </pic:blipFill>
                  <pic:spPr>
                    <a:xfrm>
                      <a:off x="0" y="0"/>
                      <a:ext cx="5685094" cy="2121361"/>
                    </a:xfrm>
                    <a:prstGeom prst="rect">
                      <a:avLst/>
                    </a:prstGeom>
                  </pic:spPr>
                </pic:pic>
              </a:graphicData>
            </a:graphic>
          </wp:inline>
        </w:drawing>
      </w:r>
    </w:p>
    <w:p w14:paraId="18B60A0A" w14:textId="4EC47D8D" w:rsidR="00FC5603" w:rsidRPr="007973F4" w:rsidRDefault="007973F4" w:rsidP="00731CB3">
      <w:pPr>
        <w:pStyle w:val="TableFigureFooter"/>
        <w:spacing w:before="60" w:after="0"/>
      </w:pPr>
      <w:bookmarkStart w:id="41" w:name="Title_Table6"/>
      <w:bookmarkStart w:id="42" w:name="_Hlk68276518"/>
      <w:bookmarkEnd w:id="41"/>
      <w:r>
        <w:t xml:space="preserve">DES = drug-eluting stent; </w:t>
      </w:r>
      <w:r w:rsidR="00FC5603" w:rsidRPr="00CE28E3">
        <w:t xml:space="preserve">ICER = incremental cost-effectiveness ratio; </w:t>
      </w:r>
      <w:r>
        <w:t xml:space="preserve">IVUS = intravascular ultrasound; PCI = percutaneous coronary intervention; </w:t>
      </w:r>
      <w:r w:rsidR="00FC5603" w:rsidRPr="00CE28E3">
        <w:t>QALY = quality-adjusted life year</w:t>
      </w:r>
      <w:r>
        <w:t>.</w:t>
      </w:r>
    </w:p>
    <w:p w14:paraId="3254ED56" w14:textId="408707A9" w:rsidR="00A74226" w:rsidRDefault="00A74226" w:rsidP="007973F4">
      <w:pPr>
        <w:pStyle w:val="TableFigureFooter"/>
        <w:spacing w:before="0"/>
      </w:pPr>
      <w:r>
        <w:t xml:space="preserve">Note: </w:t>
      </w:r>
      <w:r w:rsidR="007973F4">
        <w:t xml:space="preserve">Data shown in blue text are derived from the </w:t>
      </w:r>
      <w:r w:rsidR="00C01B4E">
        <w:t>alternat</w:t>
      </w:r>
      <w:r w:rsidR="003761AE">
        <w:t>ive</w:t>
      </w:r>
      <w:r w:rsidR="00C01B4E">
        <w:t xml:space="preserve"> base case proposed in</w:t>
      </w:r>
      <w:r w:rsidR="007973F4">
        <w:t xml:space="preserve"> the Commentary</w:t>
      </w:r>
      <w:r>
        <w:t>.</w:t>
      </w:r>
    </w:p>
    <w:p w14:paraId="77FE8646" w14:textId="5F007BF2" w:rsidR="007973F4" w:rsidRDefault="007973F4" w:rsidP="007973F4">
      <w:pPr>
        <w:pStyle w:val="Caption"/>
      </w:pPr>
      <w:bookmarkStart w:id="43" w:name="_Ref89217474"/>
      <w:r w:rsidRPr="00CE28E3">
        <w:lastRenderedPageBreak/>
        <w:t>Table</w:t>
      </w:r>
      <w:r>
        <w:t> </w:t>
      </w:r>
      <w:r w:rsidRPr="00CE28E3">
        <w:rPr>
          <w:noProof/>
        </w:rPr>
        <w:fldChar w:fldCharType="begin"/>
      </w:r>
      <w:r w:rsidRPr="00CE28E3">
        <w:rPr>
          <w:noProof/>
        </w:rPr>
        <w:instrText xml:space="preserve"> SEQ Table \* ARABIC </w:instrText>
      </w:r>
      <w:r w:rsidRPr="00CE28E3">
        <w:rPr>
          <w:noProof/>
        </w:rPr>
        <w:fldChar w:fldCharType="separate"/>
      </w:r>
      <w:r w:rsidR="00F03488">
        <w:rPr>
          <w:noProof/>
        </w:rPr>
        <w:t>17</w:t>
      </w:r>
      <w:r w:rsidRPr="00CE28E3">
        <w:rPr>
          <w:noProof/>
        </w:rPr>
        <w:fldChar w:fldCharType="end"/>
      </w:r>
      <w:bookmarkEnd w:id="43"/>
      <w:r w:rsidRPr="00CE28E3">
        <w:t xml:space="preserve"> </w:t>
      </w:r>
      <w:r w:rsidRPr="00CE28E3">
        <w:tab/>
        <w:t>Results of the stepped economic analysis</w:t>
      </w:r>
      <w:r>
        <w:t xml:space="preserve"> for patients with complex anatomical characteristics</w:t>
      </w:r>
    </w:p>
    <w:p w14:paraId="309FE4BC" w14:textId="2FFF8BBE" w:rsidR="00102D46" w:rsidRPr="00102D46" w:rsidRDefault="00102D46" w:rsidP="000F1FEA">
      <w:pPr>
        <w:keepNext/>
        <w:spacing w:after="0"/>
      </w:pPr>
      <w:r>
        <w:rPr>
          <w:noProof/>
        </w:rPr>
        <w:drawing>
          <wp:inline distT="0" distB="0" distL="0" distR="0" wp14:anchorId="79A0C712" wp14:editId="24954FC0">
            <wp:extent cx="5648325" cy="5279111"/>
            <wp:effectExtent l="0" t="0" r="0" b="0"/>
            <wp:docPr id="4" name="Picture 4" descr="This table presents the results of the stepped economic analysis for patients with complex lesions. Step 1 is cost per life-year, Step 2 is cost per QALY (5-year time horizon) and Step 3 is cost per QALY (life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table presents the results of the stepped economic analysis for patients with complex lesions. Step 1 is cost per life-year, Step 2 is cost per QALY (5-year time horizon) and Step 3 is cost per QALY (lifetime)."/>
                    <pic:cNvPicPr/>
                  </pic:nvPicPr>
                  <pic:blipFill>
                    <a:blip r:embed="rId44">
                      <a:extLst>
                        <a:ext uri="{28A0092B-C50C-407E-A947-70E740481C1C}">
                          <a14:useLocalDpi xmlns:a14="http://schemas.microsoft.com/office/drawing/2010/main" val="0"/>
                        </a:ext>
                      </a:extLst>
                    </a:blip>
                    <a:stretch>
                      <a:fillRect/>
                    </a:stretch>
                  </pic:blipFill>
                  <pic:spPr>
                    <a:xfrm>
                      <a:off x="0" y="0"/>
                      <a:ext cx="5651482" cy="5282061"/>
                    </a:xfrm>
                    <a:prstGeom prst="rect">
                      <a:avLst/>
                    </a:prstGeom>
                  </pic:spPr>
                </pic:pic>
              </a:graphicData>
            </a:graphic>
          </wp:inline>
        </w:drawing>
      </w:r>
    </w:p>
    <w:p w14:paraId="32F85B56" w14:textId="031F3352" w:rsidR="009671C9" w:rsidRPr="007973F4" w:rsidRDefault="009671C9" w:rsidP="00894122">
      <w:pPr>
        <w:pStyle w:val="TableFigureFooter"/>
        <w:spacing w:before="60" w:after="0"/>
      </w:pPr>
      <w:r w:rsidRPr="00CE28E3">
        <w:t xml:space="preserve">ICER = incremental cost-effectiveness ratio; </w:t>
      </w:r>
      <w:r>
        <w:t xml:space="preserve">IVUS = intravascular ultrasound; </w:t>
      </w:r>
      <w:r w:rsidRPr="00CE28E3">
        <w:t>QALY = quality-adjusted life year</w:t>
      </w:r>
      <w:r>
        <w:t>.</w:t>
      </w:r>
    </w:p>
    <w:p w14:paraId="7CD4D1FF" w14:textId="173DC486" w:rsidR="009671C9" w:rsidRDefault="009671C9" w:rsidP="00894122">
      <w:pPr>
        <w:pStyle w:val="TableFigureFooter"/>
        <w:spacing w:before="0"/>
      </w:pPr>
      <w:r>
        <w:t xml:space="preserve">Note: Data shown in blue text are derived from the </w:t>
      </w:r>
      <w:r w:rsidR="00C01B4E">
        <w:t>alternat</w:t>
      </w:r>
      <w:r w:rsidR="003761AE">
        <w:t>ive</w:t>
      </w:r>
      <w:r w:rsidR="00C01B4E">
        <w:t xml:space="preserve"> base case proposed in</w:t>
      </w:r>
      <w:r>
        <w:t xml:space="preserve"> the Commentary.</w:t>
      </w:r>
    </w:p>
    <w:bookmarkEnd w:id="42"/>
    <w:p w14:paraId="6B7C0A0C" w14:textId="109A5311" w:rsidR="00C135A9" w:rsidRPr="00C135A9" w:rsidRDefault="008B5B67" w:rsidP="00C135A9">
      <w:r w:rsidRPr="00CE28E3">
        <w:t>The results of key</w:t>
      </w:r>
      <w:r w:rsidR="001A4FC3">
        <w:t xml:space="preserve"> univariate </w:t>
      </w:r>
      <w:r w:rsidRPr="00CE28E3">
        <w:t>sensitivity analyses are summarised below.</w:t>
      </w:r>
      <w:r w:rsidR="009E35B1">
        <w:t xml:space="preserve"> </w:t>
      </w:r>
      <w:r w:rsidR="009E35B1" w:rsidRPr="009E35B1">
        <w:t>The magnitude of effect is similar to the original ADAR analysis</w:t>
      </w:r>
      <w:r w:rsidR="002C6261">
        <w:t xml:space="preserve"> </w:t>
      </w:r>
      <w:r w:rsidR="002C6261" w:rsidRPr="009E35B1">
        <w:t>for all parameters</w:t>
      </w:r>
      <w:r w:rsidR="009E35B1" w:rsidRPr="009E35B1">
        <w:t>, except for the change in TLR mortality to 1.5%, where the increase in ICER is 57% compared to an original increase of 19%.</w:t>
      </w:r>
      <w:bookmarkStart w:id="44" w:name="_Ref69726347"/>
      <w:r w:rsidR="00C135A9">
        <w:br w:type="page"/>
      </w:r>
    </w:p>
    <w:p w14:paraId="2C785A4C" w14:textId="6838F0D5" w:rsidR="008B5B67" w:rsidRPr="00CE28E3" w:rsidRDefault="008B5B67" w:rsidP="00135FC9">
      <w:pPr>
        <w:pStyle w:val="Caption"/>
      </w:pPr>
      <w:r w:rsidRPr="00CE28E3">
        <w:lastRenderedPageBreak/>
        <w:t>Table</w:t>
      </w:r>
      <w:r w:rsidR="003571C2">
        <w:t> </w:t>
      </w:r>
      <w:fldSimple w:instr=" SEQ Table \* ARABIC ">
        <w:r w:rsidR="00F03488">
          <w:rPr>
            <w:noProof/>
          </w:rPr>
          <w:t>18</w:t>
        </w:r>
      </w:fldSimple>
      <w:bookmarkEnd w:id="44"/>
      <w:r w:rsidRPr="00CE28E3">
        <w:tab/>
        <w:t>Sensitivity analyses</w:t>
      </w:r>
    </w:p>
    <w:tbl>
      <w:tblPr>
        <w:tblStyle w:val="TableGrid1"/>
        <w:tblW w:w="5000" w:type="pct"/>
        <w:tblLayout w:type="fixed"/>
        <w:tblLook w:val="04A0" w:firstRow="1" w:lastRow="0" w:firstColumn="1" w:lastColumn="0" w:noHBand="0" w:noVBand="1"/>
        <w:tblDescription w:val="Sensitivity analyses"/>
      </w:tblPr>
      <w:tblGrid>
        <w:gridCol w:w="3398"/>
        <w:gridCol w:w="1417"/>
        <w:gridCol w:w="1277"/>
        <w:gridCol w:w="1700"/>
        <w:gridCol w:w="1224"/>
      </w:tblGrid>
      <w:tr w:rsidR="00386C2B" w:rsidRPr="00386C2B" w14:paraId="69171B90" w14:textId="703C4E65" w:rsidTr="00B16386">
        <w:trPr>
          <w:cnfStyle w:val="100000000000" w:firstRow="1" w:lastRow="0" w:firstColumn="0" w:lastColumn="0" w:oddVBand="0" w:evenVBand="0" w:oddHBand="0" w:evenHBand="0" w:firstRowFirstColumn="0" w:firstRowLastColumn="0" w:lastRowFirstColumn="0" w:lastRowLastColumn="0"/>
          <w:cantSplit/>
          <w:trHeight w:val="420"/>
          <w:tblHeader/>
        </w:trPr>
        <w:tc>
          <w:tcPr>
            <w:tcW w:w="1884" w:type="pct"/>
            <w:tcBorders>
              <w:bottom w:val="single" w:sz="4" w:space="0" w:color="auto"/>
            </w:tcBorders>
            <w:vAlign w:val="center"/>
          </w:tcPr>
          <w:p w14:paraId="202CD84C" w14:textId="77777777" w:rsidR="001A4FC3" w:rsidRPr="00386C2B" w:rsidRDefault="001A4FC3" w:rsidP="00BC648B">
            <w:pPr>
              <w:pStyle w:val="In-tableHeading"/>
              <w:rPr>
                <w:szCs w:val="20"/>
              </w:rPr>
            </w:pPr>
            <w:bookmarkStart w:id="45" w:name="Title_Table11" w:colFirst="0" w:colLast="0"/>
            <w:bookmarkStart w:id="46" w:name="_Hlk68276702"/>
            <w:r w:rsidRPr="00386C2B">
              <w:rPr>
                <w:szCs w:val="20"/>
              </w:rPr>
              <w:t>Analyses</w:t>
            </w:r>
          </w:p>
        </w:tc>
        <w:tc>
          <w:tcPr>
            <w:tcW w:w="786" w:type="pct"/>
            <w:tcBorders>
              <w:bottom w:val="single" w:sz="4" w:space="0" w:color="auto"/>
            </w:tcBorders>
            <w:vAlign w:val="center"/>
          </w:tcPr>
          <w:p w14:paraId="7372A868" w14:textId="77777777" w:rsidR="001A4FC3" w:rsidRPr="00386C2B" w:rsidRDefault="001A4FC3" w:rsidP="00B16386">
            <w:pPr>
              <w:pStyle w:val="In-tableHeading"/>
              <w:rPr>
                <w:szCs w:val="20"/>
              </w:rPr>
            </w:pPr>
            <w:r w:rsidRPr="00386C2B">
              <w:rPr>
                <w:szCs w:val="20"/>
              </w:rPr>
              <w:t>Incremental cost</w:t>
            </w:r>
          </w:p>
        </w:tc>
        <w:tc>
          <w:tcPr>
            <w:tcW w:w="708" w:type="pct"/>
            <w:tcBorders>
              <w:bottom w:val="single" w:sz="4" w:space="0" w:color="auto"/>
            </w:tcBorders>
            <w:vAlign w:val="center"/>
          </w:tcPr>
          <w:p w14:paraId="10B3A4F5" w14:textId="77777777" w:rsidR="001A4FC3" w:rsidRPr="00386C2B" w:rsidRDefault="001A4FC3" w:rsidP="00B16386">
            <w:pPr>
              <w:pStyle w:val="In-tableHeading"/>
              <w:rPr>
                <w:szCs w:val="20"/>
              </w:rPr>
            </w:pPr>
            <w:r w:rsidRPr="00386C2B">
              <w:rPr>
                <w:szCs w:val="20"/>
              </w:rPr>
              <w:t>Incremental QALY</w:t>
            </w:r>
          </w:p>
        </w:tc>
        <w:tc>
          <w:tcPr>
            <w:tcW w:w="943" w:type="pct"/>
            <w:tcBorders>
              <w:bottom w:val="single" w:sz="4" w:space="0" w:color="auto"/>
            </w:tcBorders>
            <w:vAlign w:val="center"/>
          </w:tcPr>
          <w:p w14:paraId="56CBF231" w14:textId="77777777" w:rsidR="001A4FC3" w:rsidRPr="00386C2B" w:rsidRDefault="001A4FC3" w:rsidP="00B16386">
            <w:pPr>
              <w:pStyle w:val="In-tableHeading"/>
              <w:rPr>
                <w:szCs w:val="20"/>
              </w:rPr>
            </w:pPr>
            <w:r w:rsidRPr="00386C2B">
              <w:rPr>
                <w:szCs w:val="20"/>
              </w:rPr>
              <w:t>ICER</w:t>
            </w:r>
          </w:p>
        </w:tc>
        <w:tc>
          <w:tcPr>
            <w:tcW w:w="679" w:type="pct"/>
            <w:vAlign w:val="center"/>
          </w:tcPr>
          <w:p w14:paraId="549867E2" w14:textId="05201645" w:rsidR="001A4FC3" w:rsidRPr="00386C2B" w:rsidRDefault="001A4FC3" w:rsidP="00B16386">
            <w:pPr>
              <w:pStyle w:val="In-tableHeading"/>
              <w:rPr>
                <w:szCs w:val="20"/>
              </w:rPr>
            </w:pPr>
            <w:r w:rsidRPr="00386C2B">
              <w:rPr>
                <w:szCs w:val="20"/>
              </w:rPr>
              <w:t>% change</w:t>
            </w:r>
          </w:p>
        </w:tc>
      </w:tr>
      <w:tr w:rsidR="00386C2B" w:rsidRPr="00386C2B" w14:paraId="094C5449" w14:textId="77777777" w:rsidTr="00B16386">
        <w:trPr>
          <w:cantSplit/>
        </w:trPr>
        <w:tc>
          <w:tcPr>
            <w:tcW w:w="1884" w:type="pct"/>
            <w:tcBorders>
              <w:right w:val="nil"/>
            </w:tcBorders>
          </w:tcPr>
          <w:p w14:paraId="285F6406" w14:textId="7C0B4306" w:rsidR="001A4FC3" w:rsidRPr="00386C2B" w:rsidRDefault="001A4FC3" w:rsidP="00BC648B">
            <w:pPr>
              <w:pStyle w:val="TableText"/>
              <w:keepNext/>
              <w:rPr>
                <w:b/>
              </w:rPr>
            </w:pPr>
            <w:r w:rsidRPr="00386C2B">
              <w:rPr>
                <w:b/>
              </w:rPr>
              <w:t>All-comers to PCI with DES</w:t>
            </w:r>
          </w:p>
        </w:tc>
        <w:tc>
          <w:tcPr>
            <w:tcW w:w="786" w:type="pct"/>
            <w:tcBorders>
              <w:left w:val="nil"/>
              <w:right w:val="nil"/>
            </w:tcBorders>
            <w:vAlign w:val="center"/>
          </w:tcPr>
          <w:p w14:paraId="6E8D10DF" w14:textId="77777777" w:rsidR="001A4FC3" w:rsidRPr="00386C2B" w:rsidRDefault="001A4FC3" w:rsidP="00B16386">
            <w:pPr>
              <w:pStyle w:val="TableText"/>
              <w:keepNext/>
              <w:rPr>
                <w:rFonts w:eastAsia="Calibri"/>
                <w:b/>
              </w:rPr>
            </w:pPr>
          </w:p>
        </w:tc>
        <w:tc>
          <w:tcPr>
            <w:tcW w:w="708" w:type="pct"/>
            <w:tcBorders>
              <w:left w:val="nil"/>
              <w:right w:val="nil"/>
            </w:tcBorders>
            <w:vAlign w:val="center"/>
          </w:tcPr>
          <w:p w14:paraId="34CD1AEC" w14:textId="77777777" w:rsidR="001A4FC3" w:rsidRPr="00386C2B" w:rsidRDefault="001A4FC3" w:rsidP="00B16386">
            <w:pPr>
              <w:pStyle w:val="TableText"/>
              <w:keepNext/>
              <w:rPr>
                <w:rFonts w:eastAsia="Calibri"/>
                <w:b/>
              </w:rPr>
            </w:pPr>
          </w:p>
        </w:tc>
        <w:tc>
          <w:tcPr>
            <w:tcW w:w="943" w:type="pct"/>
            <w:tcBorders>
              <w:left w:val="nil"/>
              <w:right w:val="nil"/>
            </w:tcBorders>
            <w:vAlign w:val="center"/>
          </w:tcPr>
          <w:p w14:paraId="3B8E9664" w14:textId="77777777" w:rsidR="001A4FC3" w:rsidRPr="00386C2B" w:rsidRDefault="001A4FC3" w:rsidP="00B16386">
            <w:pPr>
              <w:pStyle w:val="TableText"/>
              <w:keepNext/>
              <w:rPr>
                <w:rFonts w:eastAsia="Calibri"/>
                <w:b/>
              </w:rPr>
            </w:pPr>
          </w:p>
        </w:tc>
        <w:tc>
          <w:tcPr>
            <w:tcW w:w="679" w:type="pct"/>
            <w:tcBorders>
              <w:left w:val="nil"/>
            </w:tcBorders>
            <w:vAlign w:val="center"/>
          </w:tcPr>
          <w:p w14:paraId="682C5F2E" w14:textId="77777777" w:rsidR="001A4FC3" w:rsidRPr="00386C2B" w:rsidRDefault="001A4FC3" w:rsidP="00B16386">
            <w:pPr>
              <w:pStyle w:val="TableText"/>
              <w:keepNext/>
              <w:rPr>
                <w:rFonts w:eastAsia="Calibri"/>
                <w:b/>
              </w:rPr>
            </w:pPr>
          </w:p>
        </w:tc>
      </w:tr>
      <w:bookmarkEnd w:id="45"/>
      <w:tr w:rsidR="00386C2B" w:rsidRPr="00386C2B" w14:paraId="451EB8ED" w14:textId="75D63838" w:rsidTr="00B16386">
        <w:trPr>
          <w:cantSplit/>
        </w:trPr>
        <w:tc>
          <w:tcPr>
            <w:tcW w:w="1884" w:type="pct"/>
          </w:tcPr>
          <w:p w14:paraId="36895461" w14:textId="77777777" w:rsidR="001A4FC3" w:rsidRPr="00C13369" w:rsidRDefault="001A4FC3" w:rsidP="00BC648B">
            <w:pPr>
              <w:pStyle w:val="TableText"/>
              <w:keepNext/>
              <w:rPr>
                <w:bCs/>
              </w:rPr>
            </w:pPr>
            <w:r w:rsidRPr="00C13369">
              <w:rPr>
                <w:bCs/>
              </w:rPr>
              <w:t>Base case</w:t>
            </w:r>
          </w:p>
        </w:tc>
        <w:tc>
          <w:tcPr>
            <w:tcW w:w="786" w:type="pct"/>
            <w:vAlign w:val="center"/>
          </w:tcPr>
          <w:p w14:paraId="4D76EAC0" w14:textId="375B4E2C" w:rsidR="001A4FC3" w:rsidRPr="00C13369" w:rsidRDefault="00BC648B" w:rsidP="00B16386">
            <w:pPr>
              <w:pStyle w:val="TableText"/>
              <w:keepNext/>
              <w:rPr>
                <w:highlight w:val="black"/>
              </w:rPr>
            </w:pPr>
            <w:r w:rsidRPr="00C13369">
              <w:t xml:space="preserve">$1,009 </w:t>
            </w:r>
            <w:r w:rsidRPr="00C13369">
              <w:rPr>
                <w:color w:val="5B9BD5" w:themeColor="accent1"/>
              </w:rPr>
              <w:t>[</w:t>
            </w:r>
            <w:r w:rsidRPr="00C13369">
              <w:rPr>
                <w:rStyle w:val="CommentaryemphasisTablesmid-paragraph"/>
                <w:sz w:val="20"/>
              </w:rPr>
              <w:t>$1,425]</w:t>
            </w:r>
          </w:p>
        </w:tc>
        <w:tc>
          <w:tcPr>
            <w:tcW w:w="708" w:type="pct"/>
            <w:vAlign w:val="center"/>
          </w:tcPr>
          <w:p w14:paraId="66189599" w14:textId="7378E4C9" w:rsidR="001A4FC3" w:rsidRPr="00C13369" w:rsidRDefault="00BC648B" w:rsidP="00B16386">
            <w:pPr>
              <w:pStyle w:val="TableText"/>
              <w:keepNext/>
            </w:pPr>
            <w:r w:rsidRPr="00C13369" w:rsidDel="00C31382">
              <w:t>0.06</w:t>
            </w:r>
            <w:r w:rsidRPr="00C13369">
              <w:t xml:space="preserve"> </w:t>
            </w:r>
            <w:r w:rsidRPr="00C13369">
              <w:rPr>
                <w:color w:val="5B9BD5" w:themeColor="accent1"/>
              </w:rPr>
              <w:t>[</w:t>
            </w:r>
            <w:r w:rsidRPr="00C13369">
              <w:rPr>
                <w:rStyle w:val="CommentaryemphasisTablesmid-paragraph"/>
                <w:sz w:val="20"/>
              </w:rPr>
              <w:t>0.02]</w:t>
            </w:r>
          </w:p>
        </w:tc>
        <w:tc>
          <w:tcPr>
            <w:tcW w:w="943" w:type="pct"/>
            <w:vAlign w:val="center"/>
          </w:tcPr>
          <w:p w14:paraId="58300438" w14:textId="67B28EE6" w:rsidR="001A4FC3" w:rsidRPr="00C13369" w:rsidRDefault="00BC648B" w:rsidP="00B16386">
            <w:pPr>
              <w:pStyle w:val="TableText"/>
              <w:keepNext/>
              <w:rPr>
                <w:highlight w:val="black"/>
              </w:rPr>
            </w:pPr>
            <w:r w:rsidRPr="00C13369">
              <w:t xml:space="preserve">$16,317 </w:t>
            </w:r>
            <w:r w:rsidRPr="00C13369">
              <w:rPr>
                <w:color w:val="5B9BD5" w:themeColor="accent1"/>
              </w:rPr>
              <w:t>[</w:t>
            </w:r>
            <w:r w:rsidRPr="00C13369">
              <w:rPr>
                <w:rStyle w:val="CommentaryemphasisTablesmid-paragraph"/>
                <w:sz w:val="20"/>
              </w:rPr>
              <w:t>$67,14</w:t>
            </w:r>
            <w:r w:rsidR="00613F83">
              <w:rPr>
                <w:rStyle w:val="CommentaryemphasisTablesmid-paragraph"/>
                <w:sz w:val="20"/>
              </w:rPr>
              <w:t>9</w:t>
            </w:r>
            <w:r w:rsidRPr="00C13369">
              <w:rPr>
                <w:rStyle w:val="CommentaryemphasisTablesmid-paragraph"/>
                <w:sz w:val="20"/>
              </w:rPr>
              <w:t>]</w:t>
            </w:r>
          </w:p>
        </w:tc>
        <w:tc>
          <w:tcPr>
            <w:tcW w:w="679" w:type="pct"/>
            <w:vAlign w:val="center"/>
          </w:tcPr>
          <w:p w14:paraId="3637A47F" w14:textId="1A006944" w:rsidR="001A4FC3" w:rsidRPr="00386C2B" w:rsidRDefault="00BC648B" w:rsidP="00B16386">
            <w:pPr>
              <w:pStyle w:val="TableText"/>
              <w:keepNext/>
              <w:rPr>
                <w:rFonts w:eastAsia="Calibri"/>
              </w:rPr>
            </w:pPr>
            <w:r w:rsidRPr="00386C2B">
              <w:rPr>
                <w:rFonts w:eastAsia="Calibri"/>
              </w:rPr>
              <w:t>-</w:t>
            </w:r>
          </w:p>
        </w:tc>
      </w:tr>
      <w:tr w:rsidR="0092199B" w:rsidRPr="00386C2B" w14:paraId="16635455" w14:textId="77777777" w:rsidTr="00B16386">
        <w:trPr>
          <w:cantSplit/>
        </w:trPr>
        <w:tc>
          <w:tcPr>
            <w:tcW w:w="1884" w:type="pct"/>
          </w:tcPr>
          <w:p w14:paraId="779F111E" w14:textId="726D15CB" w:rsidR="0092199B" w:rsidRPr="00C13369" w:rsidRDefault="005C0BCE" w:rsidP="00C13369">
            <w:pPr>
              <w:pStyle w:val="TableText"/>
              <w:rPr>
                <w:rStyle w:val="CommentaryemphasisTablesmid-paragraph"/>
                <w:sz w:val="20"/>
              </w:rPr>
            </w:pPr>
            <w:r>
              <w:rPr>
                <w:rStyle w:val="CommentaryemphasisTablesmid-paragraph"/>
                <w:sz w:val="20"/>
              </w:rPr>
              <w:t>Incremental benefit in terms of MI retained for first 3 years</w:t>
            </w:r>
          </w:p>
        </w:tc>
        <w:tc>
          <w:tcPr>
            <w:tcW w:w="786" w:type="pct"/>
            <w:vAlign w:val="center"/>
          </w:tcPr>
          <w:p w14:paraId="2C609D1E" w14:textId="440083C8" w:rsidR="0092199B" w:rsidRPr="00956D13" w:rsidRDefault="005C0BCE" w:rsidP="00C13369">
            <w:pPr>
              <w:pStyle w:val="TableText"/>
              <w:rPr>
                <w:color w:val="5B9BD5" w:themeColor="accent1"/>
              </w:rPr>
            </w:pPr>
            <w:r w:rsidRPr="00956D13">
              <w:rPr>
                <w:color w:val="5B9BD5" w:themeColor="accent1"/>
              </w:rPr>
              <w:t>$1,</w:t>
            </w:r>
            <w:r w:rsidR="00102D46">
              <w:rPr>
                <w:color w:val="5B9BD5" w:themeColor="accent1"/>
              </w:rPr>
              <w:t>159</w:t>
            </w:r>
          </w:p>
        </w:tc>
        <w:tc>
          <w:tcPr>
            <w:tcW w:w="708" w:type="pct"/>
            <w:vAlign w:val="center"/>
          </w:tcPr>
          <w:p w14:paraId="11784D0F" w14:textId="57A756EB" w:rsidR="0092199B" w:rsidRPr="00956D13" w:rsidDel="00C31382" w:rsidRDefault="005C0BCE" w:rsidP="00C13369">
            <w:pPr>
              <w:pStyle w:val="TableText"/>
              <w:rPr>
                <w:color w:val="5B9BD5" w:themeColor="accent1"/>
              </w:rPr>
            </w:pPr>
            <w:r w:rsidRPr="00956D13">
              <w:rPr>
                <w:color w:val="5B9BD5" w:themeColor="accent1"/>
              </w:rPr>
              <w:t>0.0</w:t>
            </w:r>
            <w:r w:rsidR="00102D46">
              <w:rPr>
                <w:color w:val="5B9BD5" w:themeColor="accent1"/>
              </w:rPr>
              <w:t>5</w:t>
            </w:r>
          </w:p>
        </w:tc>
        <w:tc>
          <w:tcPr>
            <w:tcW w:w="943" w:type="pct"/>
            <w:vAlign w:val="center"/>
          </w:tcPr>
          <w:p w14:paraId="4F310506" w14:textId="725BAB55" w:rsidR="0092199B" w:rsidRPr="00956D13" w:rsidRDefault="005C0BCE" w:rsidP="00C13369">
            <w:pPr>
              <w:pStyle w:val="TableText"/>
              <w:rPr>
                <w:color w:val="5B9BD5" w:themeColor="accent1"/>
              </w:rPr>
            </w:pPr>
            <w:r w:rsidRPr="00956D13">
              <w:rPr>
                <w:color w:val="5B9BD5" w:themeColor="accent1"/>
              </w:rPr>
              <w:t>$</w:t>
            </w:r>
            <w:r w:rsidR="00102D46">
              <w:rPr>
                <w:color w:val="5B9BD5" w:themeColor="accent1"/>
              </w:rPr>
              <w:t>23,803</w:t>
            </w:r>
          </w:p>
        </w:tc>
        <w:tc>
          <w:tcPr>
            <w:tcW w:w="679" w:type="pct"/>
            <w:vAlign w:val="center"/>
          </w:tcPr>
          <w:p w14:paraId="269AA972" w14:textId="6850FCA4" w:rsidR="0092199B" w:rsidRPr="00C13369" w:rsidRDefault="00102D46" w:rsidP="00C13369">
            <w:pPr>
              <w:pStyle w:val="TableText"/>
            </w:pPr>
            <w:r>
              <w:t>46</w:t>
            </w:r>
            <w:r w:rsidR="005C0BCE">
              <w:t xml:space="preserve">% </w:t>
            </w:r>
            <w:r w:rsidR="005C0BCE" w:rsidRPr="00956D13">
              <w:rPr>
                <w:color w:val="5B9BD5" w:themeColor="accent1"/>
              </w:rPr>
              <w:t>[-</w:t>
            </w:r>
            <w:r w:rsidR="009D2543">
              <w:rPr>
                <w:color w:val="5B9BD5" w:themeColor="accent1"/>
              </w:rPr>
              <w:t>65</w:t>
            </w:r>
            <w:r w:rsidR="005C0BCE" w:rsidRPr="00956D13">
              <w:rPr>
                <w:color w:val="5B9BD5" w:themeColor="accent1"/>
              </w:rPr>
              <w:t>%]</w:t>
            </w:r>
          </w:p>
        </w:tc>
      </w:tr>
      <w:tr w:rsidR="00C13369" w:rsidRPr="00386C2B" w14:paraId="56F29313" w14:textId="77777777" w:rsidTr="00B16386">
        <w:trPr>
          <w:cantSplit/>
        </w:trPr>
        <w:tc>
          <w:tcPr>
            <w:tcW w:w="1884" w:type="pct"/>
          </w:tcPr>
          <w:p w14:paraId="153C534E" w14:textId="13D68E41" w:rsidR="00C13369" w:rsidRPr="00C13369" w:rsidDel="004424DA" w:rsidRDefault="00C13369" w:rsidP="00C13369">
            <w:pPr>
              <w:pStyle w:val="TableText"/>
            </w:pPr>
            <w:r w:rsidRPr="00C13369">
              <w:rPr>
                <w:rStyle w:val="CommentaryemphasisTablesmid-paragraph"/>
                <w:sz w:val="20"/>
              </w:rPr>
              <w:t>Time horizon 5 years (</w:t>
            </w:r>
            <w:r w:rsidR="009D2543">
              <w:rPr>
                <w:rStyle w:val="CommentaryemphasisTablesmid-paragraph"/>
                <w:sz w:val="20"/>
              </w:rPr>
              <w:t>also presented in stepped economic evaluation above</w:t>
            </w:r>
            <w:r w:rsidRPr="00C13369">
              <w:rPr>
                <w:rStyle w:val="CommentaryemphasisTablesmid-paragraph"/>
                <w:sz w:val="20"/>
              </w:rPr>
              <w:t>)</w:t>
            </w:r>
          </w:p>
        </w:tc>
        <w:tc>
          <w:tcPr>
            <w:tcW w:w="786" w:type="pct"/>
            <w:vAlign w:val="center"/>
          </w:tcPr>
          <w:p w14:paraId="46548232" w14:textId="035A2253" w:rsidR="00C13369" w:rsidRPr="00C13369" w:rsidRDefault="00C13369" w:rsidP="00C13369">
            <w:pPr>
              <w:pStyle w:val="TableText"/>
            </w:pPr>
            <w:r w:rsidRPr="00C13369">
              <w:t xml:space="preserve">$1,059 </w:t>
            </w:r>
            <w:r w:rsidRPr="00C13369">
              <w:rPr>
                <w:color w:val="5B9BD5" w:themeColor="accent1"/>
              </w:rPr>
              <w:t>[</w:t>
            </w:r>
            <w:r w:rsidRPr="00C13369">
              <w:rPr>
                <w:rStyle w:val="CommentaryemphasisTablesmid-paragraph"/>
                <w:sz w:val="20"/>
              </w:rPr>
              <w:t>$1,403]</w:t>
            </w:r>
          </w:p>
        </w:tc>
        <w:tc>
          <w:tcPr>
            <w:tcW w:w="708" w:type="pct"/>
            <w:vAlign w:val="center"/>
          </w:tcPr>
          <w:p w14:paraId="33138E1C" w14:textId="33E37769" w:rsidR="00C13369" w:rsidRPr="00C13369" w:rsidDel="004424DA" w:rsidRDefault="00C13369" w:rsidP="00C13369">
            <w:pPr>
              <w:pStyle w:val="TableText"/>
            </w:pPr>
            <w:r w:rsidRPr="00C13369" w:rsidDel="00C31382">
              <w:t>0.0</w:t>
            </w:r>
            <w:r w:rsidRPr="00C13369">
              <w:t xml:space="preserve">1 </w:t>
            </w:r>
            <w:r w:rsidRPr="00C13369">
              <w:rPr>
                <w:color w:val="5B9BD5" w:themeColor="accent1"/>
              </w:rPr>
              <w:t>[</w:t>
            </w:r>
            <w:r w:rsidRPr="00C13369">
              <w:rPr>
                <w:rStyle w:val="CommentaryemphasisTablesmid-paragraph"/>
                <w:sz w:val="20"/>
              </w:rPr>
              <w:t>0.01]</w:t>
            </w:r>
          </w:p>
        </w:tc>
        <w:tc>
          <w:tcPr>
            <w:tcW w:w="943" w:type="pct"/>
            <w:vAlign w:val="center"/>
          </w:tcPr>
          <w:p w14:paraId="103F88C3" w14:textId="3868C5E5" w:rsidR="00C13369" w:rsidRPr="00C13369" w:rsidRDefault="00C13369" w:rsidP="00C13369">
            <w:pPr>
              <w:pStyle w:val="TableText"/>
            </w:pPr>
            <w:r w:rsidRPr="00C13369">
              <w:t xml:space="preserve">$83,332 </w:t>
            </w:r>
            <w:r w:rsidRPr="00C13369">
              <w:rPr>
                <w:color w:val="5B9BD5" w:themeColor="accent1"/>
              </w:rPr>
              <w:t>[</w:t>
            </w:r>
            <w:r w:rsidRPr="00C13369">
              <w:rPr>
                <w:rStyle w:val="CommentaryemphasisTablesmid-paragraph"/>
                <w:sz w:val="20"/>
              </w:rPr>
              <w:t>$274,355]</w:t>
            </w:r>
          </w:p>
        </w:tc>
        <w:tc>
          <w:tcPr>
            <w:tcW w:w="679" w:type="pct"/>
            <w:vAlign w:val="center"/>
          </w:tcPr>
          <w:p w14:paraId="706E6A58" w14:textId="19B976EB" w:rsidR="00C13369" w:rsidRPr="00C13369" w:rsidDel="004424DA" w:rsidRDefault="00C13369" w:rsidP="00C13369">
            <w:pPr>
              <w:pStyle w:val="TableText"/>
            </w:pPr>
            <w:r w:rsidRPr="00C13369">
              <w:t>411</w:t>
            </w:r>
            <w:r w:rsidRPr="00C13369" w:rsidDel="004424DA">
              <w:t>%</w:t>
            </w:r>
            <w:r w:rsidRPr="00C13369">
              <w:t xml:space="preserve"> </w:t>
            </w:r>
            <w:r w:rsidRPr="00611907">
              <w:rPr>
                <w:rStyle w:val="CommentaryemphasisTablesmid-paragraph"/>
              </w:rPr>
              <w:t>[309%]</w:t>
            </w:r>
          </w:p>
        </w:tc>
      </w:tr>
      <w:tr w:rsidR="00C13369" w:rsidRPr="00386C2B" w14:paraId="6B0C00A2" w14:textId="77777777" w:rsidTr="00B16386">
        <w:trPr>
          <w:cantSplit/>
        </w:trPr>
        <w:tc>
          <w:tcPr>
            <w:tcW w:w="1884" w:type="pct"/>
          </w:tcPr>
          <w:p w14:paraId="00EE01E7" w14:textId="3C07D039" w:rsidR="00C13369" w:rsidRPr="00C13369" w:rsidDel="004424DA" w:rsidRDefault="00C13369" w:rsidP="00C13369">
            <w:pPr>
              <w:pStyle w:val="TableText"/>
            </w:pPr>
            <w:r w:rsidRPr="00C13369">
              <w:rPr>
                <w:rStyle w:val="CommentaryemphasisTablesmid-paragraph"/>
                <w:sz w:val="20"/>
              </w:rPr>
              <w:t>Time horizon 10 years (added for commentary)</w:t>
            </w:r>
          </w:p>
        </w:tc>
        <w:tc>
          <w:tcPr>
            <w:tcW w:w="786" w:type="pct"/>
            <w:vAlign w:val="center"/>
          </w:tcPr>
          <w:p w14:paraId="45CBA720" w14:textId="12CBF9DE" w:rsidR="00C13369" w:rsidRPr="00C13369" w:rsidRDefault="00C13369" w:rsidP="00C13369">
            <w:pPr>
              <w:pStyle w:val="TableText"/>
            </w:pPr>
            <w:r w:rsidRPr="00C13369">
              <w:t xml:space="preserve">$1,032 </w:t>
            </w:r>
            <w:r w:rsidRPr="00C13369">
              <w:rPr>
                <w:color w:val="5B9BD5" w:themeColor="accent1"/>
              </w:rPr>
              <w:t>[</w:t>
            </w:r>
            <w:r w:rsidRPr="00C13369">
              <w:rPr>
                <w:rStyle w:val="CommentaryemphasisTablesmid-paragraph"/>
                <w:sz w:val="20"/>
              </w:rPr>
              <w:t>$1,412]</w:t>
            </w:r>
          </w:p>
        </w:tc>
        <w:tc>
          <w:tcPr>
            <w:tcW w:w="708" w:type="pct"/>
            <w:vAlign w:val="center"/>
          </w:tcPr>
          <w:p w14:paraId="30D756E9" w14:textId="363D875A" w:rsidR="00C13369" w:rsidRPr="00C13369" w:rsidDel="004424DA" w:rsidRDefault="00C13369" w:rsidP="00C13369">
            <w:pPr>
              <w:pStyle w:val="TableText"/>
            </w:pPr>
            <w:r w:rsidRPr="00C13369" w:rsidDel="00C31382">
              <w:t>0.0</w:t>
            </w:r>
            <w:r w:rsidRPr="00C13369">
              <w:t xml:space="preserve">3 </w:t>
            </w:r>
            <w:r w:rsidRPr="00C13369">
              <w:rPr>
                <w:color w:val="5B9BD5" w:themeColor="accent1"/>
              </w:rPr>
              <w:t>[</w:t>
            </w:r>
            <w:r w:rsidRPr="00C13369">
              <w:rPr>
                <w:rStyle w:val="CommentaryemphasisTablesmid-paragraph"/>
                <w:sz w:val="20"/>
              </w:rPr>
              <w:t>0.01]</w:t>
            </w:r>
          </w:p>
        </w:tc>
        <w:tc>
          <w:tcPr>
            <w:tcW w:w="943" w:type="pct"/>
            <w:vAlign w:val="center"/>
          </w:tcPr>
          <w:p w14:paraId="502DF73E" w14:textId="717E4908" w:rsidR="00C13369" w:rsidRPr="00C13369" w:rsidRDefault="00C13369" w:rsidP="00C13369">
            <w:pPr>
              <w:pStyle w:val="TableText"/>
            </w:pPr>
            <w:r w:rsidRPr="00C13369">
              <w:t xml:space="preserve">$38,456 </w:t>
            </w:r>
            <w:r w:rsidRPr="00C13369">
              <w:rPr>
                <w:color w:val="5B9BD5" w:themeColor="accent1"/>
              </w:rPr>
              <w:t>[</w:t>
            </w:r>
            <w:r w:rsidRPr="00C13369">
              <w:rPr>
                <w:rStyle w:val="CommentaryemphasisTablesmid-paragraph"/>
                <w:sz w:val="20"/>
              </w:rPr>
              <w:t>$148,701]</w:t>
            </w:r>
          </w:p>
        </w:tc>
        <w:tc>
          <w:tcPr>
            <w:tcW w:w="679" w:type="pct"/>
            <w:vAlign w:val="center"/>
          </w:tcPr>
          <w:p w14:paraId="0E72F41F" w14:textId="14C4A0BC" w:rsidR="00C13369" w:rsidRPr="00C13369" w:rsidDel="004424DA" w:rsidRDefault="00C13369" w:rsidP="00C13369">
            <w:pPr>
              <w:pStyle w:val="TableText"/>
            </w:pPr>
            <w:r w:rsidRPr="00C13369">
              <w:t>136</w:t>
            </w:r>
            <w:r w:rsidRPr="00C13369" w:rsidDel="004424DA">
              <w:t>%</w:t>
            </w:r>
            <w:r w:rsidRPr="00C13369">
              <w:t xml:space="preserve"> </w:t>
            </w:r>
            <w:r w:rsidRPr="00611907">
              <w:rPr>
                <w:rStyle w:val="CommentaryemphasisTablesmid-paragraph"/>
              </w:rPr>
              <w:t>[121%]</w:t>
            </w:r>
          </w:p>
        </w:tc>
      </w:tr>
      <w:tr w:rsidR="00386C2B" w:rsidRPr="00386C2B" w14:paraId="00742E59" w14:textId="0FAE6233" w:rsidTr="00B16386">
        <w:trPr>
          <w:cantSplit/>
        </w:trPr>
        <w:tc>
          <w:tcPr>
            <w:tcW w:w="1884" w:type="pct"/>
          </w:tcPr>
          <w:p w14:paraId="648CA0C4" w14:textId="11E195DC" w:rsidR="00BC648B" w:rsidRPr="00386C2B" w:rsidRDefault="00BC648B" w:rsidP="00BC648B">
            <w:pPr>
              <w:pStyle w:val="TableText"/>
            </w:pPr>
            <w:r w:rsidRPr="00386C2B" w:rsidDel="004424DA">
              <w:t>Time horizon 20 years</w:t>
            </w:r>
          </w:p>
        </w:tc>
        <w:tc>
          <w:tcPr>
            <w:tcW w:w="786" w:type="pct"/>
            <w:vAlign w:val="center"/>
          </w:tcPr>
          <w:p w14:paraId="02006748" w14:textId="23EBB5AD" w:rsidR="00BC648B" w:rsidRPr="00386C2B" w:rsidRDefault="00BC648B" w:rsidP="00B16386">
            <w:pPr>
              <w:pStyle w:val="TableText"/>
              <w:rPr>
                <w:highlight w:val="black"/>
              </w:rPr>
            </w:pPr>
            <w:r w:rsidRPr="00386C2B">
              <w:t>$1,009</w:t>
            </w:r>
            <w:r w:rsidR="009C460A" w:rsidRPr="00386C2B">
              <w:t xml:space="preserve"> </w:t>
            </w:r>
            <w:r w:rsidR="009C460A" w:rsidRPr="00386C2B">
              <w:rPr>
                <w:color w:val="5B9BD5" w:themeColor="accent1"/>
              </w:rPr>
              <w:t>[$</w:t>
            </w:r>
            <w:r w:rsidRPr="00386C2B">
              <w:rPr>
                <w:rStyle w:val="CommentaryemphasisTablesmid-paragraph"/>
                <w:sz w:val="20"/>
              </w:rPr>
              <w:t>1,422</w:t>
            </w:r>
            <w:r w:rsidR="009C460A" w:rsidRPr="00386C2B">
              <w:rPr>
                <w:rStyle w:val="CommentaryemphasisTablesmid-paragraph"/>
                <w:sz w:val="20"/>
              </w:rPr>
              <w:t>]</w:t>
            </w:r>
          </w:p>
        </w:tc>
        <w:tc>
          <w:tcPr>
            <w:tcW w:w="708" w:type="pct"/>
            <w:vAlign w:val="center"/>
          </w:tcPr>
          <w:p w14:paraId="6486F418" w14:textId="13F4A483" w:rsidR="00BC648B" w:rsidRPr="00386C2B" w:rsidRDefault="00BC648B" w:rsidP="00B16386">
            <w:pPr>
              <w:pStyle w:val="TableText"/>
            </w:pPr>
            <w:r w:rsidRPr="00386C2B" w:rsidDel="004424DA">
              <w:t>0.05</w:t>
            </w:r>
            <w:r w:rsidR="009C460A" w:rsidRPr="00386C2B">
              <w:t xml:space="preserve"> </w:t>
            </w:r>
            <w:r w:rsidR="009C460A" w:rsidRPr="00386C2B">
              <w:rPr>
                <w:color w:val="5B9BD5" w:themeColor="accent1"/>
              </w:rPr>
              <w:t>[</w:t>
            </w:r>
            <w:r w:rsidRPr="00386C2B">
              <w:rPr>
                <w:rStyle w:val="CommentaryemphasisTablesmid-paragraph"/>
                <w:sz w:val="20"/>
              </w:rPr>
              <w:t>0.02</w:t>
            </w:r>
            <w:r w:rsidR="009C460A" w:rsidRPr="00386C2B">
              <w:rPr>
                <w:rStyle w:val="CommentaryemphasisTablesmid-paragraph"/>
                <w:sz w:val="20"/>
              </w:rPr>
              <w:t>]</w:t>
            </w:r>
          </w:p>
        </w:tc>
        <w:tc>
          <w:tcPr>
            <w:tcW w:w="943" w:type="pct"/>
            <w:vAlign w:val="center"/>
          </w:tcPr>
          <w:p w14:paraId="284F2CBE" w14:textId="3013D771" w:rsidR="00BC648B" w:rsidRPr="00386C2B" w:rsidRDefault="00BC648B" w:rsidP="00B16386">
            <w:pPr>
              <w:pStyle w:val="TableText"/>
            </w:pPr>
            <w:r w:rsidRPr="00386C2B">
              <w:t>$20,134</w:t>
            </w:r>
            <w:r w:rsidR="009C460A" w:rsidRPr="00386C2B">
              <w:t xml:space="preserve"> </w:t>
            </w:r>
            <w:r w:rsidR="009C460A" w:rsidRPr="00386C2B">
              <w:rPr>
                <w:color w:val="5B9BD5" w:themeColor="accent1"/>
              </w:rPr>
              <w:t>[</w:t>
            </w:r>
            <w:r w:rsidRPr="00386C2B">
              <w:rPr>
                <w:rStyle w:val="CommentaryemphasisTablesmid-paragraph"/>
                <w:sz w:val="20"/>
              </w:rPr>
              <w:t>$83,480</w:t>
            </w:r>
            <w:r w:rsidR="009C460A" w:rsidRPr="00386C2B">
              <w:rPr>
                <w:rStyle w:val="CommentaryemphasisTablesmid-paragraph"/>
                <w:sz w:val="20"/>
              </w:rPr>
              <w:t>]</w:t>
            </w:r>
          </w:p>
        </w:tc>
        <w:tc>
          <w:tcPr>
            <w:tcW w:w="679" w:type="pct"/>
            <w:vAlign w:val="center"/>
          </w:tcPr>
          <w:p w14:paraId="2FF9EBA3" w14:textId="565E8544" w:rsidR="00BC648B" w:rsidRPr="00386C2B" w:rsidRDefault="00BC648B" w:rsidP="00B16386">
            <w:pPr>
              <w:pStyle w:val="TableText"/>
            </w:pPr>
            <w:r w:rsidRPr="00386C2B" w:rsidDel="004424DA">
              <w:t>23%</w:t>
            </w:r>
            <w:r w:rsidR="009C460A" w:rsidRPr="00386C2B">
              <w:t xml:space="preserve"> </w:t>
            </w:r>
            <w:r w:rsidR="009C460A" w:rsidRPr="00386C2B">
              <w:rPr>
                <w:color w:val="5B9BD5" w:themeColor="accent1"/>
              </w:rPr>
              <w:t>[</w:t>
            </w:r>
            <w:r w:rsidRPr="00386C2B">
              <w:rPr>
                <w:rStyle w:val="CommentaryemphasisTablesmid-paragraph"/>
                <w:sz w:val="20"/>
              </w:rPr>
              <w:t>24%</w:t>
            </w:r>
            <w:r w:rsidR="009C460A" w:rsidRPr="00386C2B">
              <w:rPr>
                <w:rStyle w:val="CommentaryemphasisTablesmid-paragraph"/>
                <w:sz w:val="20"/>
              </w:rPr>
              <w:t>]</w:t>
            </w:r>
          </w:p>
        </w:tc>
      </w:tr>
      <w:tr w:rsidR="00386C2B" w:rsidRPr="00386C2B" w14:paraId="4520D3D7" w14:textId="21D18D08" w:rsidTr="00B16386">
        <w:trPr>
          <w:cantSplit/>
          <w:trHeight w:val="283"/>
        </w:trPr>
        <w:tc>
          <w:tcPr>
            <w:tcW w:w="1884" w:type="pct"/>
          </w:tcPr>
          <w:p w14:paraId="0422BE17" w14:textId="17C57A9F" w:rsidR="00BC648B" w:rsidRPr="00386C2B" w:rsidRDefault="00BC648B" w:rsidP="00BC648B">
            <w:pPr>
              <w:pStyle w:val="TableText"/>
            </w:pPr>
            <w:r w:rsidRPr="00386C2B" w:rsidDel="004424DA">
              <w:t>Benefit of IVUS held after 5</w:t>
            </w:r>
            <w:r w:rsidRPr="00386C2B">
              <w:t xml:space="preserve"> </w:t>
            </w:r>
            <w:r w:rsidRPr="00386C2B">
              <w:rPr>
                <w:rStyle w:val="CommentaryemphasisTablesmid-paragraph"/>
                <w:sz w:val="20"/>
              </w:rPr>
              <w:t>(3)</w:t>
            </w:r>
            <w:r w:rsidRPr="00386C2B" w:rsidDel="004424DA">
              <w:t xml:space="preserve"> years for lifetime horizon</w:t>
            </w:r>
          </w:p>
        </w:tc>
        <w:tc>
          <w:tcPr>
            <w:tcW w:w="786" w:type="pct"/>
            <w:vAlign w:val="center"/>
          </w:tcPr>
          <w:p w14:paraId="43E31CD9" w14:textId="47F29589" w:rsidR="00BC648B" w:rsidRPr="00386C2B" w:rsidRDefault="00BC648B" w:rsidP="00B16386">
            <w:pPr>
              <w:pStyle w:val="TableText"/>
            </w:pPr>
            <w:r w:rsidRPr="00386C2B">
              <w:t>$313</w:t>
            </w:r>
            <w:r w:rsidR="009C460A" w:rsidRPr="00386C2B">
              <w:t xml:space="preserve"> </w:t>
            </w:r>
            <w:r w:rsidR="009C460A" w:rsidRPr="00386C2B">
              <w:rPr>
                <w:color w:val="5B9BD5" w:themeColor="accent1"/>
              </w:rPr>
              <w:t>[</w:t>
            </w:r>
            <w:r w:rsidRPr="00386C2B">
              <w:rPr>
                <w:rStyle w:val="CommentaryemphasisTablesmid-paragraph"/>
                <w:sz w:val="20"/>
              </w:rPr>
              <w:t>$865</w:t>
            </w:r>
            <w:r w:rsidR="009C460A" w:rsidRPr="00386C2B">
              <w:rPr>
                <w:rStyle w:val="CommentaryemphasisTablesmid-paragraph"/>
                <w:sz w:val="20"/>
              </w:rPr>
              <w:t>]</w:t>
            </w:r>
          </w:p>
        </w:tc>
        <w:tc>
          <w:tcPr>
            <w:tcW w:w="708" w:type="pct"/>
            <w:vAlign w:val="center"/>
          </w:tcPr>
          <w:p w14:paraId="7AD68169" w14:textId="3F389737" w:rsidR="00BC648B" w:rsidRPr="00386C2B" w:rsidRDefault="00BC648B" w:rsidP="00B16386">
            <w:pPr>
              <w:pStyle w:val="TableText"/>
            </w:pPr>
            <w:r w:rsidRPr="00386C2B" w:rsidDel="004424DA">
              <w:t>0.11</w:t>
            </w:r>
            <w:r w:rsidR="009C460A" w:rsidRPr="00386C2B">
              <w:t xml:space="preserve"> </w:t>
            </w:r>
            <w:r w:rsidR="009C460A" w:rsidRPr="00386C2B">
              <w:rPr>
                <w:color w:val="5B9BD5" w:themeColor="accent1"/>
              </w:rPr>
              <w:t>[</w:t>
            </w:r>
            <w:r w:rsidRPr="00386C2B">
              <w:rPr>
                <w:rStyle w:val="CommentaryemphasisTablesmid-paragraph"/>
                <w:sz w:val="20"/>
              </w:rPr>
              <w:t>0.06</w:t>
            </w:r>
            <w:r w:rsidR="009C460A" w:rsidRPr="00386C2B">
              <w:rPr>
                <w:rStyle w:val="CommentaryemphasisTablesmid-paragraph"/>
                <w:sz w:val="20"/>
              </w:rPr>
              <w:t>]</w:t>
            </w:r>
          </w:p>
        </w:tc>
        <w:tc>
          <w:tcPr>
            <w:tcW w:w="943" w:type="pct"/>
            <w:vAlign w:val="center"/>
          </w:tcPr>
          <w:p w14:paraId="122F8C2A" w14:textId="2FB2EE2A" w:rsidR="00BC648B" w:rsidRPr="00386C2B" w:rsidRDefault="00BC648B" w:rsidP="00B16386">
            <w:pPr>
              <w:pStyle w:val="TableText"/>
            </w:pPr>
            <w:r w:rsidRPr="00386C2B">
              <w:t>$2,737</w:t>
            </w:r>
            <w:r w:rsidR="009C460A" w:rsidRPr="00386C2B">
              <w:t xml:space="preserve"> </w:t>
            </w:r>
            <w:r w:rsidR="009C460A" w:rsidRPr="00386C2B">
              <w:rPr>
                <w:color w:val="5B9BD5" w:themeColor="accent1"/>
              </w:rPr>
              <w:t>[</w:t>
            </w:r>
            <w:r w:rsidRPr="00386C2B">
              <w:rPr>
                <w:rStyle w:val="CommentaryemphasisTablesmid-paragraph"/>
                <w:sz w:val="20"/>
              </w:rPr>
              <w:t>$14,517</w:t>
            </w:r>
            <w:r w:rsidR="009C460A" w:rsidRPr="00386C2B">
              <w:rPr>
                <w:rStyle w:val="CommentaryemphasisTablesmid-paragraph"/>
                <w:sz w:val="20"/>
              </w:rPr>
              <w:t>]</w:t>
            </w:r>
          </w:p>
        </w:tc>
        <w:tc>
          <w:tcPr>
            <w:tcW w:w="679" w:type="pct"/>
            <w:vAlign w:val="center"/>
          </w:tcPr>
          <w:p w14:paraId="7F1C23F3" w14:textId="62CECF07" w:rsidR="00BC648B" w:rsidRPr="00386C2B" w:rsidRDefault="00BC648B" w:rsidP="00B16386">
            <w:pPr>
              <w:pStyle w:val="TableText"/>
            </w:pPr>
            <w:r w:rsidRPr="00386C2B">
              <w:t>-83</w:t>
            </w:r>
            <w:r w:rsidRPr="00386C2B" w:rsidDel="004424DA">
              <w:t>%</w:t>
            </w:r>
            <w:r w:rsidR="009C460A" w:rsidRPr="00386C2B">
              <w:t xml:space="preserve"> </w:t>
            </w:r>
            <w:r w:rsidR="009C460A" w:rsidRPr="00386C2B">
              <w:rPr>
                <w:color w:val="5B9BD5" w:themeColor="accent1"/>
              </w:rPr>
              <w:t>[</w:t>
            </w:r>
            <w:r w:rsidRPr="00386C2B">
              <w:rPr>
                <w:rStyle w:val="CommentaryemphasisTablesmid-paragraph"/>
                <w:sz w:val="20"/>
              </w:rPr>
              <w:t>-78%</w:t>
            </w:r>
            <w:r w:rsidR="009C460A" w:rsidRPr="00386C2B">
              <w:rPr>
                <w:rStyle w:val="CommentaryemphasisTablesmid-paragraph"/>
                <w:sz w:val="20"/>
              </w:rPr>
              <w:t>]</w:t>
            </w:r>
          </w:p>
        </w:tc>
      </w:tr>
      <w:tr w:rsidR="00386C2B" w:rsidRPr="00386C2B" w14:paraId="607079A8" w14:textId="759C1C62" w:rsidTr="00B16386">
        <w:trPr>
          <w:cantSplit/>
          <w:trHeight w:val="283"/>
        </w:trPr>
        <w:tc>
          <w:tcPr>
            <w:tcW w:w="1884" w:type="pct"/>
          </w:tcPr>
          <w:p w14:paraId="176BBBDF" w14:textId="434EEB7C" w:rsidR="00BC648B" w:rsidRPr="00386C2B" w:rsidRDefault="00BC648B" w:rsidP="00BC648B">
            <w:pPr>
              <w:pStyle w:val="TableText"/>
            </w:pPr>
            <w:r w:rsidRPr="00386C2B">
              <w:t xml:space="preserve">Benefit of IVUS held after 5 </w:t>
            </w:r>
            <w:r w:rsidRPr="00386C2B">
              <w:rPr>
                <w:rStyle w:val="CommentaryemphasisTablesmid-paragraph"/>
                <w:sz w:val="20"/>
              </w:rPr>
              <w:t>(3)</w:t>
            </w:r>
            <w:r w:rsidRPr="00386C2B" w:rsidDel="004424DA">
              <w:t xml:space="preserve"> </w:t>
            </w:r>
            <w:r w:rsidRPr="00386C2B">
              <w:t>years for 20</w:t>
            </w:r>
            <w:r w:rsidR="009C460A" w:rsidRPr="00386C2B">
              <w:t>-</w:t>
            </w:r>
            <w:r w:rsidRPr="00386C2B">
              <w:t xml:space="preserve">year </w:t>
            </w:r>
            <w:r w:rsidRPr="00386C2B" w:rsidDel="004424DA">
              <w:t>horizon</w:t>
            </w:r>
          </w:p>
        </w:tc>
        <w:tc>
          <w:tcPr>
            <w:tcW w:w="786" w:type="pct"/>
            <w:vAlign w:val="center"/>
          </w:tcPr>
          <w:p w14:paraId="1B13088B" w14:textId="22238022" w:rsidR="00BC648B" w:rsidRPr="00386C2B" w:rsidRDefault="00BC648B" w:rsidP="00B16386">
            <w:pPr>
              <w:pStyle w:val="TableText"/>
            </w:pPr>
            <w:r w:rsidRPr="00386C2B">
              <w:t>$396</w:t>
            </w:r>
            <w:r w:rsidR="009C460A" w:rsidRPr="00386C2B">
              <w:t xml:space="preserve"> </w:t>
            </w:r>
            <w:r w:rsidR="009C460A" w:rsidRPr="00386C2B">
              <w:rPr>
                <w:color w:val="5B9BD5" w:themeColor="accent1"/>
              </w:rPr>
              <w:t>[</w:t>
            </w:r>
            <w:r w:rsidRPr="00386C2B">
              <w:rPr>
                <w:rStyle w:val="CommentaryemphasisTablesmid-paragraph"/>
                <w:sz w:val="20"/>
              </w:rPr>
              <w:t>$910</w:t>
            </w:r>
            <w:r w:rsidR="009C460A" w:rsidRPr="00386C2B">
              <w:rPr>
                <w:rStyle w:val="CommentaryemphasisTablesmid-paragraph"/>
                <w:sz w:val="20"/>
              </w:rPr>
              <w:t>]</w:t>
            </w:r>
          </w:p>
        </w:tc>
        <w:tc>
          <w:tcPr>
            <w:tcW w:w="708" w:type="pct"/>
            <w:vAlign w:val="center"/>
          </w:tcPr>
          <w:p w14:paraId="443B8E9E" w14:textId="1481A96F" w:rsidR="00BC648B" w:rsidRPr="00386C2B" w:rsidRDefault="00BC648B" w:rsidP="00B16386">
            <w:pPr>
              <w:pStyle w:val="TableText"/>
            </w:pPr>
            <w:r w:rsidRPr="00386C2B" w:rsidDel="004424DA">
              <w:t>0.08</w:t>
            </w:r>
            <w:r w:rsidR="009C460A" w:rsidRPr="00386C2B">
              <w:t xml:space="preserve"> </w:t>
            </w:r>
            <w:r w:rsidR="009C460A" w:rsidRPr="00386C2B">
              <w:rPr>
                <w:color w:val="5B9BD5" w:themeColor="accent1"/>
              </w:rPr>
              <w:t>[</w:t>
            </w:r>
            <w:r w:rsidRPr="00386C2B">
              <w:rPr>
                <w:rStyle w:val="CommentaryemphasisTablesmid-paragraph"/>
                <w:sz w:val="20"/>
              </w:rPr>
              <w:t>0.04</w:t>
            </w:r>
            <w:r w:rsidR="009C460A" w:rsidRPr="00386C2B">
              <w:rPr>
                <w:rStyle w:val="CommentaryemphasisTablesmid-paragraph"/>
                <w:sz w:val="20"/>
              </w:rPr>
              <w:t>]</w:t>
            </w:r>
          </w:p>
        </w:tc>
        <w:tc>
          <w:tcPr>
            <w:tcW w:w="943" w:type="pct"/>
            <w:vAlign w:val="center"/>
          </w:tcPr>
          <w:p w14:paraId="3BDB203C" w14:textId="27EEB093" w:rsidR="00BC648B" w:rsidRPr="00386C2B" w:rsidRDefault="00BC648B" w:rsidP="00B16386">
            <w:pPr>
              <w:pStyle w:val="TableText"/>
            </w:pPr>
            <w:r w:rsidRPr="00386C2B">
              <w:t>$5,061</w:t>
            </w:r>
            <w:r w:rsidR="009C460A" w:rsidRPr="00386C2B">
              <w:t xml:space="preserve"> </w:t>
            </w:r>
            <w:r w:rsidR="009C460A" w:rsidRPr="00386C2B">
              <w:rPr>
                <w:color w:val="5B9BD5" w:themeColor="accent1"/>
              </w:rPr>
              <w:t>[</w:t>
            </w:r>
            <w:r w:rsidRPr="00386C2B">
              <w:rPr>
                <w:rStyle w:val="CommentaryemphasisTablesmid-paragraph"/>
                <w:sz w:val="20"/>
              </w:rPr>
              <w:t>$23,416</w:t>
            </w:r>
            <w:r w:rsidR="009C460A" w:rsidRPr="00386C2B">
              <w:rPr>
                <w:rStyle w:val="CommentaryemphasisTablesmid-paragraph"/>
                <w:sz w:val="20"/>
              </w:rPr>
              <w:t>]</w:t>
            </w:r>
          </w:p>
        </w:tc>
        <w:tc>
          <w:tcPr>
            <w:tcW w:w="679" w:type="pct"/>
            <w:vAlign w:val="center"/>
          </w:tcPr>
          <w:p w14:paraId="00F9C63B" w14:textId="08E42E50" w:rsidR="00BC648B" w:rsidRPr="00386C2B" w:rsidRDefault="00BC648B" w:rsidP="00B16386">
            <w:pPr>
              <w:pStyle w:val="TableText"/>
            </w:pPr>
            <w:r w:rsidRPr="00386C2B">
              <w:t>-69</w:t>
            </w:r>
            <w:r w:rsidRPr="00386C2B" w:rsidDel="004424DA">
              <w:t>%</w:t>
            </w:r>
            <w:r w:rsidR="009C460A" w:rsidRPr="00386C2B">
              <w:t xml:space="preserve"> </w:t>
            </w:r>
            <w:r w:rsidR="009C460A" w:rsidRPr="00386C2B">
              <w:rPr>
                <w:color w:val="5B9BD5" w:themeColor="accent1"/>
              </w:rPr>
              <w:t>[</w:t>
            </w:r>
            <w:r w:rsidRPr="00386C2B">
              <w:rPr>
                <w:rStyle w:val="CommentaryemphasisTablesmid-paragraph"/>
                <w:sz w:val="20"/>
              </w:rPr>
              <w:t>-65%</w:t>
            </w:r>
            <w:r w:rsidR="009C460A" w:rsidRPr="00386C2B">
              <w:rPr>
                <w:rStyle w:val="CommentaryemphasisTablesmid-paragraph"/>
                <w:sz w:val="20"/>
              </w:rPr>
              <w:t>]</w:t>
            </w:r>
          </w:p>
        </w:tc>
      </w:tr>
      <w:tr w:rsidR="00386C2B" w:rsidRPr="00386C2B" w14:paraId="04FB0AF8" w14:textId="77777777" w:rsidTr="00B16386">
        <w:trPr>
          <w:cantSplit/>
          <w:trHeight w:val="283"/>
        </w:trPr>
        <w:tc>
          <w:tcPr>
            <w:tcW w:w="1884" w:type="pct"/>
            <w:tcBorders>
              <w:bottom w:val="single" w:sz="4" w:space="0" w:color="auto"/>
            </w:tcBorders>
          </w:tcPr>
          <w:p w14:paraId="564729AD" w14:textId="712FD408" w:rsidR="009C460A" w:rsidRPr="00386C2B" w:rsidRDefault="009C460A" w:rsidP="009C460A">
            <w:pPr>
              <w:pStyle w:val="TableText"/>
            </w:pPr>
            <w:r w:rsidRPr="00386C2B">
              <w:t xml:space="preserve">Mortality of TLR equal to all-population in hospital mortality of </w:t>
            </w:r>
            <w:r w:rsidRPr="00386C2B" w:rsidDel="004424DA">
              <w:t>PCI</w:t>
            </w:r>
          </w:p>
        </w:tc>
        <w:tc>
          <w:tcPr>
            <w:tcW w:w="786" w:type="pct"/>
            <w:tcBorders>
              <w:bottom w:val="single" w:sz="4" w:space="0" w:color="auto"/>
            </w:tcBorders>
            <w:vAlign w:val="center"/>
          </w:tcPr>
          <w:p w14:paraId="0316AE63" w14:textId="1C5DE707" w:rsidR="009C460A" w:rsidRPr="00386C2B" w:rsidRDefault="009C460A" w:rsidP="00B16386">
            <w:pPr>
              <w:pStyle w:val="TableText"/>
            </w:pPr>
            <w:r w:rsidRPr="00386C2B">
              <w:t xml:space="preserve">$1,009 </w:t>
            </w:r>
            <w:r w:rsidRPr="00386C2B">
              <w:rPr>
                <w:color w:val="5B9BD5" w:themeColor="accent1"/>
              </w:rPr>
              <w:t>[</w:t>
            </w:r>
            <w:r w:rsidRPr="00386C2B">
              <w:rPr>
                <w:rStyle w:val="CommentaryemphasisTablesmid-paragraph"/>
                <w:sz w:val="20"/>
              </w:rPr>
              <w:t>$1,425]</w:t>
            </w:r>
          </w:p>
        </w:tc>
        <w:tc>
          <w:tcPr>
            <w:tcW w:w="708" w:type="pct"/>
            <w:tcBorders>
              <w:bottom w:val="single" w:sz="4" w:space="0" w:color="auto"/>
            </w:tcBorders>
            <w:vAlign w:val="center"/>
          </w:tcPr>
          <w:p w14:paraId="182CCBF5" w14:textId="0D2A9CCE" w:rsidR="009C460A" w:rsidRPr="00386C2B" w:rsidRDefault="009C460A" w:rsidP="00B16386">
            <w:pPr>
              <w:pStyle w:val="TableText"/>
            </w:pPr>
            <w:r w:rsidRPr="00386C2B" w:rsidDel="004424DA">
              <w:t>0.05</w:t>
            </w:r>
            <w:r w:rsidRPr="00386C2B">
              <w:t xml:space="preserve"> </w:t>
            </w:r>
            <w:r w:rsidRPr="00386C2B">
              <w:rPr>
                <w:color w:val="5B9BD5" w:themeColor="accent1"/>
              </w:rPr>
              <w:t>[</w:t>
            </w:r>
            <w:r w:rsidRPr="00386C2B">
              <w:rPr>
                <w:rStyle w:val="CommentaryemphasisTablesmid-paragraph"/>
                <w:sz w:val="20"/>
              </w:rPr>
              <w:t>0.01]</w:t>
            </w:r>
          </w:p>
        </w:tc>
        <w:tc>
          <w:tcPr>
            <w:tcW w:w="943" w:type="pct"/>
            <w:tcBorders>
              <w:bottom w:val="single" w:sz="4" w:space="0" w:color="auto"/>
            </w:tcBorders>
            <w:vAlign w:val="center"/>
          </w:tcPr>
          <w:p w14:paraId="09992E22" w14:textId="7606586A" w:rsidR="009C460A" w:rsidRPr="00386C2B" w:rsidRDefault="009C460A" w:rsidP="00B16386">
            <w:pPr>
              <w:pStyle w:val="TableText"/>
            </w:pPr>
            <w:r w:rsidRPr="00386C2B">
              <w:t xml:space="preserve">$19,470 </w:t>
            </w:r>
            <w:r w:rsidRPr="00386C2B">
              <w:rPr>
                <w:color w:val="5B9BD5" w:themeColor="accent1"/>
              </w:rPr>
              <w:t>[</w:t>
            </w:r>
            <w:r w:rsidRPr="00386C2B">
              <w:rPr>
                <w:rStyle w:val="CommentaryemphasisTablesmid-paragraph"/>
                <w:sz w:val="20"/>
              </w:rPr>
              <w:t>$105,212]</w:t>
            </w:r>
          </w:p>
        </w:tc>
        <w:tc>
          <w:tcPr>
            <w:tcW w:w="679" w:type="pct"/>
            <w:vAlign w:val="center"/>
          </w:tcPr>
          <w:p w14:paraId="548B7457" w14:textId="4866E0B2" w:rsidR="009C460A" w:rsidRPr="00386C2B" w:rsidRDefault="009C460A" w:rsidP="00B16386">
            <w:pPr>
              <w:pStyle w:val="TableText"/>
            </w:pPr>
            <w:r w:rsidRPr="00386C2B" w:rsidDel="004424DA">
              <w:t>19%</w:t>
            </w:r>
            <w:r w:rsidRPr="00386C2B">
              <w:t xml:space="preserve"> </w:t>
            </w:r>
            <w:r w:rsidRPr="00386C2B">
              <w:rPr>
                <w:color w:val="5B9BD5" w:themeColor="accent1"/>
              </w:rPr>
              <w:t>[</w:t>
            </w:r>
            <w:r w:rsidRPr="00386C2B">
              <w:rPr>
                <w:rStyle w:val="CommentaryemphasisTablesmid-paragraph"/>
                <w:sz w:val="20"/>
              </w:rPr>
              <w:t>57%]</w:t>
            </w:r>
          </w:p>
        </w:tc>
      </w:tr>
      <w:tr w:rsidR="00386C2B" w:rsidRPr="00386C2B" w14:paraId="6D6CA9A3" w14:textId="77777777" w:rsidTr="00B16386">
        <w:trPr>
          <w:cantSplit/>
          <w:trHeight w:val="283"/>
        </w:trPr>
        <w:tc>
          <w:tcPr>
            <w:tcW w:w="1884" w:type="pct"/>
            <w:tcBorders>
              <w:right w:val="nil"/>
            </w:tcBorders>
          </w:tcPr>
          <w:p w14:paraId="2DE08C02" w14:textId="4430FA98" w:rsidR="001A4FC3" w:rsidRPr="00386C2B" w:rsidRDefault="001A4FC3" w:rsidP="00BC648B">
            <w:pPr>
              <w:pStyle w:val="TableText"/>
              <w:rPr>
                <w:b/>
                <w:bCs/>
              </w:rPr>
            </w:pPr>
            <w:r w:rsidRPr="00386C2B">
              <w:rPr>
                <w:b/>
                <w:bCs/>
              </w:rPr>
              <w:t>Complex anatomical characteristics</w:t>
            </w:r>
          </w:p>
        </w:tc>
        <w:tc>
          <w:tcPr>
            <w:tcW w:w="786" w:type="pct"/>
            <w:tcBorders>
              <w:left w:val="nil"/>
              <w:right w:val="nil"/>
            </w:tcBorders>
            <w:vAlign w:val="center"/>
          </w:tcPr>
          <w:p w14:paraId="1A68003F" w14:textId="77777777" w:rsidR="001A4FC3" w:rsidRPr="00386C2B" w:rsidRDefault="001A4FC3" w:rsidP="00B16386">
            <w:pPr>
              <w:pStyle w:val="TableText"/>
              <w:rPr>
                <w:rFonts w:eastAsia="Calibri"/>
                <w:b/>
                <w:bCs/>
              </w:rPr>
            </w:pPr>
          </w:p>
        </w:tc>
        <w:tc>
          <w:tcPr>
            <w:tcW w:w="708" w:type="pct"/>
            <w:tcBorders>
              <w:left w:val="nil"/>
              <w:right w:val="nil"/>
            </w:tcBorders>
            <w:vAlign w:val="center"/>
          </w:tcPr>
          <w:p w14:paraId="22DE2A5C" w14:textId="77777777" w:rsidR="001A4FC3" w:rsidRPr="00386C2B" w:rsidRDefault="001A4FC3" w:rsidP="00B16386">
            <w:pPr>
              <w:pStyle w:val="TableText"/>
              <w:rPr>
                <w:rFonts w:eastAsia="Calibri"/>
                <w:b/>
                <w:bCs/>
              </w:rPr>
            </w:pPr>
          </w:p>
        </w:tc>
        <w:tc>
          <w:tcPr>
            <w:tcW w:w="943" w:type="pct"/>
            <w:tcBorders>
              <w:left w:val="nil"/>
              <w:right w:val="nil"/>
            </w:tcBorders>
            <w:vAlign w:val="center"/>
          </w:tcPr>
          <w:p w14:paraId="400BCB1C" w14:textId="77777777" w:rsidR="001A4FC3" w:rsidRPr="00386C2B" w:rsidRDefault="001A4FC3" w:rsidP="00B16386">
            <w:pPr>
              <w:pStyle w:val="TableText"/>
              <w:rPr>
                <w:rFonts w:eastAsia="Calibri"/>
                <w:b/>
                <w:bCs/>
              </w:rPr>
            </w:pPr>
          </w:p>
        </w:tc>
        <w:tc>
          <w:tcPr>
            <w:tcW w:w="679" w:type="pct"/>
            <w:tcBorders>
              <w:left w:val="nil"/>
            </w:tcBorders>
            <w:vAlign w:val="center"/>
          </w:tcPr>
          <w:p w14:paraId="1F7BDA26" w14:textId="77777777" w:rsidR="001A4FC3" w:rsidRPr="00386C2B" w:rsidRDefault="001A4FC3" w:rsidP="00B16386">
            <w:pPr>
              <w:pStyle w:val="TableText"/>
              <w:rPr>
                <w:rFonts w:eastAsia="Calibri"/>
                <w:b/>
                <w:bCs/>
              </w:rPr>
            </w:pPr>
          </w:p>
        </w:tc>
      </w:tr>
      <w:tr w:rsidR="00386C2B" w:rsidRPr="00386C2B" w14:paraId="12474DC4" w14:textId="77777777" w:rsidTr="00B16386">
        <w:trPr>
          <w:cantSplit/>
          <w:trHeight w:val="283"/>
        </w:trPr>
        <w:tc>
          <w:tcPr>
            <w:tcW w:w="1884" w:type="pct"/>
          </w:tcPr>
          <w:p w14:paraId="63895BB0" w14:textId="7119198D" w:rsidR="001A4FC3" w:rsidRPr="0015426A" w:rsidRDefault="00BC648B" w:rsidP="00BC648B">
            <w:pPr>
              <w:pStyle w:val="TableText"/>
              <w:rPr>
                <w:bCs/>
              </w:rPr>
            </w:pPr>
            <w:r w:rsidRPr="00C13369">
              <w:rPr>
                <w:bCs/>
              </w:rPr>
              <w:t>Base case</w:t>
            </w:r>
          </w:p>
        </w:tc>
        <w:tc>
          <w:tcPr>
            <w:tcW w:w="786" w:type="pct"/>
            <w:vAlign w:val="center"/>
          </w:tcPr>
          <w:p w14:paraId="278F66C0" w14:textId="77777777" w:rsidR="001A4FC3" w:rsidRPr="00386C2B" w:rsidRDefault="001A4FC3" w:rsidP="00B16386">
            <w:pPr>
              <w:pStyle w:val="TableText"/>
              <w:rPr>
                <w:rFonts w:eastAsia="Calibri"/>
              </w:rPr>
            </w:pPr>
          </w:p>
        </w:tc>
        <w:tc>
          <w:tcPr>
            <w:tcW w:w="708" w:type="pct"/>
            <w:vAlign w:val="center"/>
          </w:tcPr>
          <w:p w14:paraId="4365983C" w14:textId="77777777" w:rsidR="001A4FC3" w:rsidRPr="00386C2B" w:rsidRDefault="001A4FC3" w:rsidP="00B16386">
            <w:pPr>
              <w:pStyle w:val="TableText"/>
              <w:rPr>
                <w:rFonts w:eastAsia="Calibri"/>
              </w:rPr>
            </w:pPr>
          </w:p>
        </w:tc>
        <w:tc>
          <w:tcPr>
            <w:tcW w:w="943" w:type="pct"/>
            <w:vAlign w:val="center"/>
          </w:tcPr>
          <w:p w14:paraId="2B8E1063" w14:textId="418727AF" w:rsidR="001A4FC3" w:rsidRPr="00C13369" w:rsidRDefault="00BC648B" w:rsidP="00B16386">
            <w:pPr>
              <w:pStyle w:val="TableText"/>
              <w:rPr>
                <w:rFonts w:eastAsia="Calibri"/>
              </w:rPr>
            </w:pPr>
            <w:r w:rsidRPr="00C13369">
              <w:t xml:space="preserve">$17,873 </w:t>
            </w:r>
            <w:r w:rsidRPr="00C13369">
              <w:rPr>
                <w:color w:val="5B9BD5" w:themeColor="accent1"/>
              </w:rPr>
              <w:t>[</w:t>
            </w:r>
            <w:r w:rsidRPr="00C13369">
              <w:rPr>
                <w:rStyle w:val="CommentaryemphasisTablesmid-paragraph"/>
                <w:sz w:val="20"/>
              </w:rPr>
              <w:t>$32,217]</w:t>
            </w:r>
          </w:p>
        </w:tc>
        <w:tc>
          <w:tcPr>
            <w:tcW w:w="679" w:type="pct"/>
            <w:vAlign w:val="center"/>
          </w:tcPr>
          <w:p w14:paraId="04177099" w14:textId="41D4FA90" w:rsidR="001A4FC3" w:rsidRPr="00386C2B" w:rsidRDefault="00C36FA7" w:rsidP="00B16386">
            <w:pPr>
              <w:pStyle w:val="TableText"/>
              <w:rPr>
                <w:rFonts w:eastAsia="Calibri"/>
              </w:rPr>
            </w:pPr>
            <w:r>
              <w:rPr>
                <w:rFonts w:eastAsia="Calibri"/>
              </w:rPr>
              <w:t>-</w:t>
            </w:r>
          </w:p>
        </w:tc>
      </w:tr>
      <w:tr w:rsidR="005C0BCE" w:rsidRPr="00386C2B" w14:paraId="56E7124B" w14:textId="77777777" w:rsidTr="00B16386">
        <w:trPr>
          <w:cantSplit/>
          <w:trHeight w:val="283"/>
        </w:trPr>
        <w:tc>
          <w:tcPr>
            <w:tcW w:w="1884" w:type="pct"/>
          </w:tcPr>
          <w:p w14:paraId="16110D99" w14:textId="6AE4A7E8" w:rsidR="005C0BCE" w:rsidRPr="00611907" w:rsidRDefault="005C0BCE" w:rsidP="00611907">
            <w:pPr>
              <w:pStyle w:val="TableText"/>
              <w:rPr>
                <w:rStyle w:val="CommentaryemphasisTablesmid-paragraph"/>
                <w:sz w:val="20"/>
              </w:rPr>
            </w:pPr>
            <w:r>
              <w:rPr>
                <w:rStyle w:val="CommentaryemphasisTablesmid-paragraph"/>
                <w:sz w:val="20"/>
              </w:rPr>
              <w:t>Incremental benefit in terms of MI retained for first 3 years</w:t>
            </w:r>
          </w:p>
        </w:tc>
        <w:tc>
          <w:tcPr>
            <w:tcW w:w="786" w:type="pct"/>
            <w:vAlign w:val="center"/>
          </w:tcPr>
          <w:p w14:paraId="274350FE" w14:textId="48212B5D" w:rsidR="005C0BCE" w:rsidRPr="00956D13" w:rsidRDefault="005C0BCE" w:rsidP="00611907">
            <w:pPr>
              <w:pStyle w:val="TableText"/>
              <w:rPr>
                <w:color w:val="5B9BD5" w:themeColor="accent1"/>
              </w:rPr>
            </w:pPr>
            <w:r w:rsidRPr="00956D13">
              <w:rPr>
                <w:color w:val="5B9BD5" w:themeColor="accent1"/>
              </w:rPr>
              <w:t>$8</w:t>
            </w:r>
            <w:r w:rsidR="009D2543">
              <w:rPr>
                <w:color w:val="5B9BD5" w:themeColor="accent1"/>
              </w:rPr>
              <w:t>76</w:t>
            </w:r>
          </w:p>
        </w:tc>
        <w:tc>
          <w:tcPr>
            <w:tcW w:w="708" w:type="pct"/>
            <w:vAlign w:val="center"/>
          </w:tcPr>
          <w:p w14:paraId="5C86F2C5" w14:textId="4FFDA9DC" w:rsidR="005C0BCE" w:rsidRPr="00956D13" w:rsidDel="00C31382" w:rsidRDefault="005C0BCE" w:rsidP="00611907">
            <w:pPr>
              <w:pStyle w:val="TableText"/>
              <w:rPr>
                <w:color w:val="5B9BD5" w:themeColor="accent1"/>
              </w:rPr>
            </w:pPr>
            <w:r w:rsidRPr="00956D13">
              <w:rPr>
                <w:color w:val="5B9BD5" w:themeColor="accent1"/>
              </w:rPr>
              <w:t>0.07</w:t>
            </w:r>
          </w:p>
        </w:tc>
        <w:tc>
          <w:tcPr>
            <w:tcW w:w="943" w:type="pct"/>
            <w:vAlign w:val="center"/>
          </w:tcPr>
          <w:p w14:paraId="401C48E2" w14:textId="3FB92174" w:rsidR="005C0BCE" w:rsidRPr="00956D13" w:rsidRDefault="005C0BCE" w:rsidP="00611907">
            <w:pPr>
              <w:pStyle w:val="TableText"/>
              <w:rPr>
                <w:color w:val="5B9BD5" w:themeColor="accent1"/>
              </w:rPr>
            </w:pPr>
            <w:r w:rsidRPr="00956D13">
              <w:rPr>
                <w:color w:val="5B9BD5" w:themeColor="accent1"/>
              </w:rPr>
              <w:t>$21,3</w:t>
            </w:r>
            <w:r w:rsidR="009D2543">
              <w:rPr>
                <w:color w:val="5B9BD5" w:themeColor="accent1"/>
              </w:rPr>
              <w:t>69</w:t>
            </w:r>
          </w:p>
        </w:tc>
        <w:tc>
          <w:tcPr>
            <w:tcW w:w="679" w:type="pct"/>
            <w:vAlign w:val="center"/>
          </w:tcPr>
          <w:p w14:paraId="1824CD5C" w14:textId="3BC7CC98" w:rsidR="005C0BCE" w:rsidRPr="00611907" w:rsidRDefault="009D2543" w:rsidP="00611907">
            <w:pPr>
              <w:pStyle w:val="TableText"/>
            </w:pPr>
            <w:r>
              <w:t>20</w:t>
            </w:r>
            <w:r w:rsidR="005C0BCE">
              <w:t xml:space="preserve">% </w:t>
            </w:r>
            <w:r w:rsidR="005C0BCE" w:rsidRPr="00956D13">
              <w:rPr>
                <w:color w:val="5B9BD5" w:themeColor="accent1"/>
              </w:rPr>
              <w:t>[-34%]</w:t>
            </w:r>
          </w:p>
        </w:tc>
      </w:tr>
      <w:tr w:rsidR="00611907" w:rsidRPr="00386C2B" w14:paraId="02008796" w14:textId="77777777" w:rsidTr="00B16386">
        <w:trPr>
          <w:cantSplit/>
          <w:trHeight w:val="283"/>
        </w:trPr>
        <w:tc>
          <w:tcPr>
            <w:tcW w:w="1884" w:type="pct"/>
          </w:tcPr>
          <w:p w14:paraId="11080287" w14:textId="164EA706" w:rsidR="00611907" w:rsidRPr="00611907" w:rsidRDefault="00611907" w:rsidP="00611907">
            <w:pPr>
              <w:pStyle w:val="TableText"/>
            </w:pPr>
            <w:r w:rsidRPr="00611907">
              <w:rPr>
                <w:rStyle w:val="CommentaryemphasisTablesmid-paragraph"/>
                <w:sz w:val="20"/>
              </w:rPr>
              <w:t>Time horizon 5 years (</w:t>
            </w:r>
            <w:r w:rsidR="009D2543">
              <w:rPr>
                <w:rStyle w:val="CommentaryemphasisTablesmid-paragraph"/>
                <w:sz w:val="20"/>
              </w:rPr>
              <w:t>also presented in stepped economic evaluation above</w:t>
            </w:r>
            <w:r w:rsidRPr="00611907">
              <w:rPr>
                <w:rStyle w:val="CommentaryemphasisTablesmid-paragraph"/>
                <w:sz w:val="20"/>
              </w:rPr>
              <w:t>)</w:t>
            </w:r>
          </w:p>
        </w:tc>
        <w:tc>
          <w:tcPr>
            <w:tcW w:w="786" w:type="pct"/>
            <w:vAlign w:val="center"/>
          </w:tcPr>
          <w:p w14:paraId="7B55AE82" w14:textId="25342C09" w:rsidR="00611907" w:rsidRPr="00611907" w:rsidRDefault="00611907" w:rsidP="00611907">
            <w:pPr>
              <w:pStyle w:val="TableText"/>
            </w:pPr>
            <w:r w:rsidRPr="00611907">
              <w:t xml:space="preserve">$842 </w:t>
            </w:r>
            <w:r w:rsidRPr="00611907">
              <w:rPr>
                <w:color w:val="5B9BD5" w:themeColor="accent1"/>
              </w:rPr>
              <w:t>[</w:t>
            </w:r>
            <w:r w:rsidRPr="00611907">
              <w:rPr>
                <w:rStyle w:val="CommentaryemphasisTablesmid-paragraph"/>
                <w:sz w:val="20"/>
              </w:rPr>
              <w:t>$1,08</w:t>
            </w:r>
            <w:r w:rsidR="009D2543">
              <w:rPr>
                <w:rStyle w:val="CommentaryemphasisTablesmid-paragraph"/>
                <w:sz w:val="20"/>
              </w:rPr>
              <w:t>9</w:t>
            </w:r>
            <w:r w:rsidRPr="00611907">
              <w:rPr>
                <w:rStyle w:val="CommentaryemphasisTablesmid-paragraph"/>
                <w:sz w:val="20"/>
              </w:rPr>
              <w:t>]</w:t>
            </w:r>
          </w:p>
        </w:tc>
        <w:tc>
          <w:tcPr>
            <w:tcW w:w="708" w:type="pct"/>
            <w:vAlign w:val="center"/>
          </w:tcPr>
          <w:p w14:paraId="2114BDA5" w14:textId="61042281" w:rsidR="00611907" w:rsidRPr="00611907" w:rsidRDefault="00611907" w:rsidP="00611907">
            <w:pPr>
              <w:pStyle w:val="TableText"/>
            </w:pPr>
            <w:r w:rsidRPr="00611907" w:rsidDel="00C31382">
              <w:t>0.0</w:t>
            </w:r>
            <w:r w:rsidRPr="00611907">
              <w:t xml:space="preserve">2 </w:t>
            </w:r>
            <w:r w:rsidRPr="00611907">
              <w:rPr>
                <w:color w:val="5B9BD5" w:themeColor="accent1"/>
              </w:rPr>
              <w:t>[</w:t>
            </w:r>
            <w:r w:rsidRPr="00611907">
              <w:rPr>
                <w:rStyle w:val="CommentaryemphasisTablesmid-paragraph"/>
                <w:sz w:val="20"/>
              </w:rPr>
              <w:t>0.01]</w:t>
            </w:r>
          </w:p>
        </w:tc>
        <w:tc>
          <w:tcPr>
            <w:tcW w:w="943" w:type="pct"/>
            <w:vAlign w:val="center"/>
          </w:tcPr>
          <w:p w14:paraId="33BC25B4" w14:textId="2B15F73F" w:rsidR="00611907" w:rsidRPr="00611907" w:rsidRDefault="00611907" w:rsidP="00611907">
            <w:pPr>
              <w:pStyle w:val="TableText"/>
            </w:pPr>
            <w:r w:rsidRPr="00611907">
              <w:t xml:space="preserve">$76,179 </w:t>
            </w:r>
            <w:r w:rsidRPr="00611907">
              <w:rPr>
                <w:color w:val="5B9BD5" w:themeColor="accent1"/>
              </w:rPr>
              <w:t>[</w:t>
            </w:r>
            <w:r w:rsidRPr="00611907">
              <w:rPr>
                <w:rStyle w:val="CommentaryemphasisTablesmid-paragraph"/>
                <w:sz w:val="20"/>
              </w:rPr>
              <w:t>$13</w:t>
            </w:r>
            <w:r w:rsidR="007F1F26">
              <w:rPr>
                <w:rStyle w:val="CommentaryemphasisTablesmid-paragraph"/>
                <w:sz w:val="20"/>
              </w:rPr>
              <w:t>2,299</w:t>
            </w:r>
            <w:r w:rsidRPr="00611907">
              <w:rPr>
                <w:rStyle w:val="CommentaryemphasisTablesmid-paragraph"/>
                <w:sz w:val="20"/>
              </w:rPr>
              <w:t>]</w:t>
            </w:r>
          </w:p>
        </w:tc>
        <w:tc>
          <w:tcPr>
            <w:tcW w:w="679" w:type="pct"/>
            <w:vAlign w:val="center"/>
          </w:tcPr>
          <w:p w14:paraId="53FF3E29" w14:textId="542D7140" w:rsidR="00611907" w:rsidRPr="00611907" w:rsidRDefault="00611907" w:rsidP="00611907">
            <w:pPr>
              <w:pStyle w:val="TableText"/>
            </w:pPr>
            <w:r w:rsidRPr="00611907">
              <w:t>326</w:t>
            </w:r>
            <w:r w:rsidRPr="00611907" w:rsidDel="004424DA">
              <w:t>%</w:t>
            </w:r>
            <w:r w:rsidRPr="00611907">
              <w:t xml:space="preserve"> </w:t>
            </w:r>
            <w:r w:rsidRPr="00611907">
              <w:rPr>
                <w:color w:val="5B9BD5" w:themeColor="accent1"/>
              </w:rPr>
              <w:t>[308</w:t>
            </w:r>
            <w:r w:rsidRPr="00611907">
              <w:rPr>
                <w:rStyle w:val="CommentaryemphasisTablesmid-paragraph"/>
                <w:sz w:val="20"/>
              </w:rPr>
              <w:t>%]</w:t>
            </w:r>
          </w:p>
        </w:tc>
      </w:tr>
      <w:tr w:rsidR="00611907" w:rsidRPr="00386C2B" w14:paraId="6EFC47B6" w14:textId="77777777" w:rsidTr="00B16386">
        <w:trPr>
          <w:cantSplit/>
          <w:trHeight w:val="283"/>
        </w:trPr>
        <w:tc>
          <w:tcPr>
            <w:tcW w:w="1884" w:type="pct"/>
          </w:tcPr>
          <w:p w14:paraId="3E6E2B44" w14:textId="6E5E90AB" w:rsidR="00611907" w:rsidRPr="00611907" w:rsidRDefault="00611907" w:rsidP="00611907">
            <w:pPr>
              <w:pStyle w:val="TableText"/>
            </w:pPr>
            <w:r w:rsidRPr="00611907">
              <w:rPr>
                <w:rStyle w:val="CommentaryemphasisTablesmid-paragraph"/>
                <w:sz w:val="20"/>
              </w:rPr>
              <w:t>Time horizon 10 years (added for commentary)</w:t>
            </w:r>
          </w:p>
        </w:tc>
        <w:tc>
          <w:tcPr>
            <w:tcW w:w="786" w:type="pct"/>
            <w:vAlign w:val="center"/>
          </w:tcPr>
          <w:p w14:paraId="237E965D" w14:textId="354778AE" w:rsidR="00611907" w:rsidRPr="00611907" w:rsidRDefault="00611907" w:rsidP="00611907">
            <w:pPr>
              <w:pStyle w:val="TableText"/>
            </w:pPr>
            <w:r w:rsidRPr="00611907">
              <w:t xml:space="preserve">$830 </w:t>
            </w:r>
            <w:r w:rsidRPr="00611907">
              <w:rPr>
                <w:color w:val="5B9BD5" w:themeColor="accent1"/>
              </w:rPr>
              <w:t>[</w:t>
            </w:r>
            <w:r w:rsidRPr="00611907">
              <w:rPr>
                <w:rStyle w:val="CommentaryemphasisTablesmid-paragraph"/>
                <w:sz w:val="20"/>
              </w:rPr>
              <w:t>$1,1</w:t>
            </w:r>
            <w:r w:rsidR="00D05EB0">
              <w:rPr>
                <w:rStyle w:val="CommentaryemphasisTablesmid-paragraph"/>
                <w:sz w:val="20"/>
              </w:rPr>
              <w:t>1</w:t>
            </w:r>
            <w:r w:rsidR="007F1F26">
              <w:rPr>
                <w:rStyle w:val="CommentaryemphasisTablesmid-paragraph"/>
                <w:sz w:val="20"/>
              </w:rPr>
              <w:t>0</w:t>
            </w:r>
            <w:r w:rsidRPr="00611907">
              <w:rPr>
                <w:rStyle w:val="CommentaryemphasisTablesmid-paragraph"/>
                <w:sz w:val="20"/>
              </w:rPr>
              <w:t>]</w:t>
            </w:r>
          </w:p>
        </w:tc>
        <w:tc>
          <w:tcPr>
            <w:tcW w:w="708" w:type="pct"/>
            <w:vAlign w:val="center"/>
          </w:tcPr>
          <w:p w14:paraId="4A5B2C46" w14:textId="1B7C1CF8" w:rsidR="00611907" w:rsidRPr="00611907" w:rsidRDefault="00611907" w:rsidP="00611907">
            <w:pPr>
              <w:pStyle w:val="TableText"/>
            </w:pPr>
            <w:r w:rsidRPr="00611907" w:rsidDel="00C31382">
              <w:t>0.0</w:t>
            </w:r>
            <w:r w:rsidRPr="00611907">
              <w:t xml:space="preserve">4 </w:t>
            </w:r>
            <w:r w:rsidRPr="00611907">
              <w:rPr>
                <w:color w:val="5B9BD5" w:themeColor="accent1"/>
              </w:rPr>
              <w:t>[</w:t>
            </w:r>
            <w:r w:rsidRPr="00611907">
              <w:rPr>
                <w:rStyle w:val="CommentaryemphasisTablesmid-paragraph"/>
                <w:sz w:val="20"/>
              </w:rPr>
              <w:t>0.02]</w:t>
            </w:r>
          </w:p>
        </w:tc>
        <w:tc>
          <w:tcPr>
            <w:tcW w:w="943" w:type="pct"/>
            <w:vAlign w:val="center"/>
          </w:tcPr>
          <w:p w14:paraId="26BE6601" w14:textId="5CD8C877" w:rsidR="00611907" w:rsidRPr="00611907" w:rsidRDefault="00611907" w:rsidP="00611907">
            <w:pPr>
              <w:pStyle w:val="TableText"/>
            </w:pPr>
            <w:r w:rsidRPr="00611907">
              <w:t xml:space="preserve">$39,358 </w:t>
            </w:r>
            <w:r w:rsidRPr="00611907">
              <w:rPr>
                <w:color w:val="5B9BD5" w:themeColor="accent1"/>
              </w:rPr>
              <w:t>[</w:t>
            </w:r>
            <w:r w:rsidRPr="00611907">
              <w:rPr>
                <w:rStyle w:val="CommentaryemphasisTablesmid-paragraph"/>
                <w:sz w:val="20"/>
              </w:rPr>
              <w:t>$7</w:t>
            </w:r>
            <w:r w:rsidR="007F1F26">
              <w:rPr>
                <w:rStyle w:val="CommentaryemphasisTablesmid-paragraph"/>
                <w:sz w:val="20"/>
              </w:rPr>
              <w:t>1,405</w:t>
            </w:r>
            <w:r w:rsidRPr="00611907">
              <w:rPr>
                <w:rStyle w:val="CommentaryemphasisTablesmid-paragraph"/>
                <w:sz w:val="20"/>
              </w:rPr>
              <w:t>]</w:t>
            </w:r>
          </w:p>
        </w:tc>
        <w:tc>
          <w:tcPr>
            <w:tcW w:w="679" w:type="pct"/>
            <w:vAlign w:val="center"/>
          </w:tcPr>
          <w:p w14:paraId="715BEF67" w14:textId="7EF1F7C4" w:rsidR="00611907" w:rsidRPr="00611907" w:rsidRDefault="00611907" w:rsidP="00611907">
            <w:pPr>
              <w:pStyle w:val="TableText"/>
            </w:pPr>
            <w:r w:rsidRPr="00611907">
              <w:t>120</w:t>
            </w:r>
            <w:r w:rsidRPr="00611907" w:rsidDel="004424DA">
              <w:t>%</w:t>
            </w:r>
            <w:r w:rsidRPr="00611907">
              <w:t xml:space="preserve"> </w:t>
            </w:r>
            <w:r w:rsidRPr="00611907">
              <w:rPr>
                <w:rStyle w:val="CommentaryemphasisTablesmid-paragraph"/>
              </w:rPr>
              <w:t>[120%]</w:t>
            </w:r>
          </w:p>
        </w:tc>
      </w:tr>
      <w:tr w:rsidR="00386C2B" w:rsidRPr="00386C2B" w14:paraId="4FE01BEA" w14:textId="77777777" w:rsidTr="00B16386">
        <w:trPr>
          <w:cantSplit/>
          <w:trHeight w:val="283"/>
        </w:trPr>
        <w:tc>
          <w:tcPr>
            <w:tcW w:w="1884" w:type="pct"/>
          </w:tcPr>
          <w:p w14:paraId="547F03CF" w14:textId="3CA8BBB0" w:rsidR="009C460A" w:rsidRPr="00386C2B" w:rsidRDefault="009C460A" w:rsidP="009C460A">
            <w:pPr>
              <w:pStyle w:val="TableText"/>
            </w:pPr>
            <w:r w:rsidRPr="00386C2B">
              <w:t>Time horizon 20 years</w:t>
            </w:r>
          </w:p>
        </w:tc>
        <w:tc>
          <w:tcPr>
            <w:tcW w:w="786" w:type="pct"/>
            <w:vAlign w:val="center"/>
          </w:tcPr>
          <w:p w14:paraId="27C21177" w14:textId="064366B3" w:rsidR="009C460A" w:rsidRPr="00386C2B" w:rsidRDefault="009C460A" w:rsidP="00B16386">
            <w:pPr>
              <w:pStyle w:val="TableText"/>
            </w:pPr>
            <w:r w:rsidRPr="00386C2B">
              <w:t>$824</w:t>
            </w:r>
            <w:r w:rsidR="00386C2B" w:rsidRPr="00386C2B">
              <w:t xml:space="preserve"> </w:t>
            </w:r>
            <w:r w:rsidR="00386C2B" w:rsidRPr="00386C2B">
              <w:rPr>
                <w:color w:val="5B9BD5" w:themeColor="accent1"/>
              </w:rPr>
              <w:t>[</w:t>
            </w:r>
            <w:r w:rsidRPr="00386C2B">
              <w:rPr>
                <w:rStyle w:val="CommentaryemphasisTablesmid-paragraph"/>
                <w:sz w:val="20"/>
              </w:rPr>
              <w:t>$1,1</w:t>
            </w:r>
            <w:r w:rsidR="007F1F26">
              <w:rPr>
                <w:rStyle w:val="CommentaryemphasisTablesmid-paragraph"/>
                <w:sz w:val="20"/>
              </w:rPr>
              <w:t>33</w:t>
            </w:r>
            <w:r w:rsidR="00386C2B" w:rsidRPr="00386C2B">
              <w:rPr>
                <w:rStyle w:val="CommentaryemphasisTablesmid-paragraph"/>
                <w:sz w:val="20"/>
              </w:rPr>
              <w:t>]</w:t>
            </w:r>
          </w:p>
        </w:tc>
        <w:tc>
          <w:tcPr>
            <w:tcW w:w="708" w:type="pct"/>
            <w:vAlign w:val="center"/>
          </w:tcPr>
          <w:p w14:paraId="5B24BFF8" w14:textId="38831A61" w:rsidR="009C460A" w:rsidRPr="00386C2B" w:rsidRDefault="009C460A" w:rsidP="00B16386">
            <w:pPr>
              <w:pStyle w:val="TableText"/>
            </w:pPr>
            <w:r w:rsidRPr="00386C2B">
              <w:t>0.06</w:t>
            </w:r>
            <w:r w:rsidR="00386C2B" w:rsidRPr="00386C2B">
              <w:t xml:space="preserve"> </w:t>
            </w:r>
            <w:r w:rsidR="00386C2B" w:rsidRPr="00386C2B">
              <w:rPr>
                <w:color w:val="5B9BD5" w:themeColor="accent1"/>
              </w:rPr>
              <w:t>[</w:t>
            </w:r>
            <w:r w:rsidRPr="00386C2B">
              <w:rPr>
                <w:rStyle w:val="CommentaryemphasisTablesmid-paragraph"/>
                <w:sz w:val="20"/>
              </w:rPr>
              <w:t>0.04</w:t>
            </w:r>
            <w:r w:rsidR="00386C2B" w:rsidRPr="00386C2B">
              <w:rPr>
                <w:rStyle w:val="CommentaryemphasisTablesmid-paragraph"/>
                <w:sz w:val="20"/>
              </w:rPr>
              <w:t>]</w:t>
            </w:r>
          </w:p>
        </w:tc>
        <w:tc>
          <w:tcPr>
            <w:tcW w:w="943" w:type="pct"/>
            <w:vAlign w:val="center"/>
          </w:tcPr>
          <w:p w14:paraId="2BE580B6" w14:textId="073B96C5" w:rsidR="009C460A" w:rsidRPr="00386C2B" w:rsidRDefault="009C460A" w:rsidP="00B16386">
            <w:pPr>
              <w:pStyle w:val="TableText"/>
            </w:pPr>
            <w:r w:rsidRPr="00386C2B">
              <w:t>$21,887</w:t>
            </w:r>
            <w:r w:rsidR="00386C2B" w:rsidRPr="00386C2B">
              <w:t xml:space="preserve"> </w:t>
            </w:r>
            <w:r w:rsidR="00386C2B" w:rsidRPr="00386C2B">
              <w:rPr>
                <w:color w:val="5B9BD5" w:themeColor="accent1"/>
              </w:rPr>
              <w:t>[</w:t>
            </w:r>
            <w:r w:rsidRPr="00386C2B">
              <w:rPr>
                <w:rStyle w:val="CommentaryemphasisTablesmid-paragraph"/>
                <w:sz w:val="20"/>
              </w:rPr>
              <w:t>$</w:t>
            </w:r>
            <w:r w:rsidR="007F1F26">
              <w:rPr>
                <w:rStyle w:val="CommentaryemphasisTablesmid-paragraph"/>
                <w:sz w:val="20"/>
              </w:rPr>
              <w:t>40,231</w:t>
            </w:r>
            <w:r w:rsidR="00386C2B" w:rsidRPr="00386C2B">
              <w:rPr>
                <w:rStyle w:val="CommentaryemphasisTablesmid-paragraph"/>
                <w:sz w:val="20"/>
              </w:rPr>
              <w:t>]</w:t>
            </w:r>
          </w:p>
        </w:tc>
        <w:tc>
          <w:tcPr>
            <w:tcW w:w="679" w:type="pct"/>
            <w:vAlign w:val="center"/>
          </w:tcPr>
          <w:p w14:paraId="1E878403" w14:textId="4B869202" w:rsidR="009C460A" w:rsidRPr="00386C2B" w:rsidRDefault="009C460A" w:rsidP="00B16386">
            <w:pPr>
              <w:pStyle w:val="TableText"/>
            </w:pPr>
            <w:r w:rsidRPr="00386C2B">
              <w:t>22%</w:t>
            </w:r>
            <w:r w:rsidR="00386C2B" w:rsidRPr="00386C2B">
              <w:t xml:space="preserve"> </w:t>
            </w:r>
            <w:r w:rsidR="00386C2B" w:rsidRPr="00611907">
              <w:rPr>
                <w:rStyle w:val="CommentaryemphasisTablesmid-paragraph"/>
              </w:rPr>
              <w:t>[</w:t>
            </w:r>
            <w:r w:rsidRPr="00611907">
              <w:rPr>
                <w:rStyle w:val="CommentaryemphasisTablesmid-paragraph"/>
              </w:rPr>
              <w:t>24%</w:t>
            </w:r>
            <w:r w:rsidR="00386C2B" w:rsidRPr="00611907">
              <w:rPr>
                <w:rStyle w:val="CommentaryemphasisTablesmid-paragraph"/>
              </w:rPr>
              <w:t>]</w:t>
            </w:r>
          </w:p>
        </w:tc>
      </w:tr>
      <w:tr w:rsidR="00386C2B" w:rsidRPr="00386C2B" w14:paraId="0F15F330" w14:textId="77777777" w:rsidTr="00B16386">
        <w:trPr>
          <w:cantSplit/>
          <w:trHeight w:val="283"/>
        </w:trPr>
        <w:tc>
          <w:tcPr>
            <w:tcW w:w="1884" w:type="pct"/>
          </w:tcPr>
          <w:p w14:paraId="639BBC05" w14:textId="0992E05A" w:rsidR="009C460A" w:rsidRPr="00386C2B" w:rsidRDefault="009C460A" w:rsidP="009C460A">
            <w:pPr>
              <w:pStyle w:val="TableText"/>
            </w:pPr>
            <w:r w:rsidRPr="00386C2B">
              <w:t>Benefit of IVUS held after 5 years for lifetime horizon</w:t>
            </w:r>
          </w:p>
        </w:tc>
        <w:tc>
          <w:tcPr>
            <w:tcW w:w="786" w:type="pct"/>
            <w:vAlign w:val="center"/>
          </w:tcPr>
          <w:p w14:paraId="6888E7C0" w14:textId="6ACF70FF" w:rsidR="009C460A" w:rsidRPr="00386C2B" w:rsidRDefault="009C460A" w:rsidP="00B16386">
            <w:pPr>
              <w:pStyle w:val="TableText"/>
            </w:pPr>
            <w:r w:rsidRPr="00386C2B">
              <w:t>$536</w:t>
            </w:r>
            <w:r w:rsidR="00386C2B" w:rsidRPr="00386C2B">
              <w:t xml:space="preserve"> </w:t>
            </w:r>
            <w:r w:rsidR="00386C2B" w:rsidRPr="00386C2B">
              <w:rPr>
                <w:color w:val="5B9BD5" w:themeColor="accent1"/>
              </w:rPr>
              <w:t>[</w:t>
            </w:r>
            <w:r w:rsidRPr="00386C2B">
              <w:rPr>
                <w:rStyle w:val="CommentaryemphasisTablesmid-paragraph"/>
                <w:sz w:val="20"/>
              </w:rPr>
              <w:t>$4</w:t>
            </w:r>
            <w:r w:rsidR="007F1F26">
              <w:rPr>
                <w:rStyle w:val="CommentaryemphasisTablesmid-paragraph"/>
                <w:sz w:val="20"/>
              </w:rPr>
              <w:t>54</w:t>
            </w:r>
            <w:r w:rsidR="00386C2B" w:rsidRPr="00386C2B">
              <w:rPr>
                <w:rStyle w:val="CommentaryemphasisTablesmid-paragraph"/>
                <w:sz w:val="20"/>
              </w:rPr>
              <w:t>]</w:t>
            </w:r>
          </w:p>
        </w:tc>
        <w:tc>
          <w:tcPr>
            <w:tcW w:w="708" w:type="pct"/>
            <w:vAlign w:val="center"/>
          </w:tcPr>
          <w:p w14:paraId="672FAC14" w14:textId="7713BC1A" w:rsidR="009C460A" w:rsidRPr="00386C2B" w:rsidRDefault="009C460A" w:rsidP="00B16386">
            <w:pPr>
              <w:pStyle w:val="TableText"/>
            </w:pPr>
            <w:r w:rsidRPr="00386C2B">
              <w:t>0.10</w:t>
            </w:r>
            <w:r w:rsidR="00386C2B" w:rsidRPr="00386C2B">
              <w:t xml:space="preserve"> </w:t>
            </w:r>
            <w:r w:rsidR="00386C2B" w:rsidRPr="00386C2B">
              <w:rPr>
                <w:color w:val="5B9BD5" w:themeColor="accent1"/>
              </w:rPr>
              <w:t>[</w:t>
            </w:r>
            <w:r w:rsidRPr="00386C2B">
              <w:rPr>
                <w:rStyle w:val="CommentaryemphasisTablesmid-paragraph"/>
                <w:sz w:val="20"/>
              </w:rPr>
              <w:t>0.00</w:t>
            </w:r>
            <w:r w:rsidR="00386C2B" w:rsidRPr="00386C2B">
              <w:rPr>
                <w:rStyle w:val="CommentaryemphasisTablesmid-paragraph"/>
                <w:sz w:val="20"/>
              </w:rPr>
              <w:t>]</w:t>
            </w:r>
          </w:p>
        </w:tc>
        <w:tc>
          <w:tcPr>
            <w:tcW w:w="943" w:type="pct"/>
            <w:vAlign w:val="center"/>
          </w:tcPr>
          <w:p w14:paraId="2AE97AB8" w14:textId="56A9710B" w:rsidR="009C460A" w:rsidRPr="00386C2B" w:rsidRDefault="009C460A" w:rsidP="00B16386">
            <w:pPr>
              <w:pStyle w:val="TableText"/>
            </w:pPr>
            <w:r w:rsidRPr="00386C2B">
              <w:t>$8,350</w:t>
            </w:r>
            <w:r w:rsidR="00386C2B" w:rsidRPr="00386C2B">
              <w:t xml:space="preserve"> </w:t>
            </w:r>
            <w:r w:rsidR="00386C2B" w:rsidRPr="00386C2B">
              <w:rPr>
                <w:color w:val="5B9BD5" w:themeColor="accent1"/>
              </w:rPr>
              <w:t>[</w:t>
            </w:r>
            <w:r w:rsidRPr="00386C2B">
              <w:rPr>
                <w:rStyle w:val="CommentaryemphasisTablesmid-paragraph"/>
                <w:sz w:val="20"/>
              </w:rPr>
              <w:t>$17,</w:t>
            </w:r>
            <w:r w:rsidR="007F1F26">
              <w:rPr>
                <w:rStyle w:val="CommentaryemphasisTablesmid-paragraph"/>
                <w:sz w:val="20"/>
              </w:rPr>
              <w:t>406</w:t>
            </w:r>
            <w:r w:rsidR="00386C2B" w:rsidRPr="00386C2B">
              <w:rPr>
                <w:rStyle w:val="CommentaryemphasisTablesmid-paragraph"/>
                <w:sz w:val="20"/>
              </w:rPr>
              <w:t>]</w:t>
            </w:r>
          </w:p>
        </w:tc>
        <w:tc>
          <w:tcPr>
            <w:tcW w:w="679" w:type="pct"/>
            <w:vAlign w:val="center"/>
          </w:tcPr>
          <w:p w14:paraId="5A15BD8F" w14:textId="6BC1594E" w:rsidR="009C460A" w:rsidRPr="00386C2B" w:rsidRDefault="009C460A" w:rsidP="00B16386">
            <w:pPr>
              <w:pStyle w:val="TableText"/>
            </w:pPr>
            <w:r w:rsidRPr="00386C2B">
              <w:t>-53%</w:t>
            </w:r>
            <w:r w:rsidR="00386C2B" w:rsidRPr="00386C2B">
              <w:t xml:space="preserve"> </w:t>
            </w:r>
            <w:r w:rsidR="00386C2B" w:rsidRPr="00386C2B">
              <w:rPr>
                <w:color w:val="5B9BD5" w:themeColor="accent1"/>
              </w:rPr>
              <w:t>[</w:t>
            </w:r>
            <w:r w:rsidRPr="00386C2B">
              <w:rPr>
                <w:rStyle w:val="CommentaryemphasisTablesmid-paragraph"/>
                <w:sz w:val="20"/>
              </w:rPr>
              <w:t>-46%</w:t>
            </w:r>
            <w:r w:rsidR="00386C2B" w:rsidRPr="00386C2B">
              <w:rPr>
                <w:rStyle w:val="CommentaryemphasisTablesmid-paragraph"/>
                <w:sz w:val="20"/>
              </w:rPr>
              <w:t>]</w:t>
            </w:r>
          </w:p>
        </w:tc>
      </w:tr>
      <w:tr w:rsidR="00386C2B" w:rsidRPr="00386C2B" w14:paraId="6C25B0EA" w14:textId="77777777" w:rsidTr="00B16386">
        <w:trPr>
          <w:cantSplit/>
          <w:trHeight w:val="283"/>
        </w:trPr>
        <w:tc>
          <w:tcPr>
            <w:tcW w:w="1884" w:type="pct"/>
          </w:tcPr>
          <w:p w14:paraId="581F42EA" w14:textId="2224ECC2" w:rsidR="009C460A" w:rsidRPr="00386C2B" w:rsidRDefault="009C460A" w:rsidP="009C460A">
            <w:pPr>
              <w:pStyle w:val="TableText"/>
            </w:pPr>
            <w:r w:rsidRPr="00386C2B">
              <w:t>Benefit of IVUS held after 5 years for 20</w:t>
            </w:r>
            <w:r w:rsidR="00386C2B" w:rsidRPr="00386C2B">
              <w:t>-</w:t>
            </w:r>
            <w:r w:rsidRPr="00386C2B">
              <w:t>year horizon</w:t>
            </w:r>
          </w:p>
        </w:tc>
        <w:tc>
          <w:tcPr>
            <w:tcW w:w="786" w:type="pct"/>
            <w:vAlign w:val="center"/>
          </w:tcPr>
          <w:p w14:paraId="4256F9FA" w14:textId="185DCB5C" w:rsidR="009C460A" w:rsidRPr="00386C2B" w:rsidRDefault="009C460A" w:rsidP="00B16386">
            <w:pPr>
              <w:pStyle w:val="TableText"/>
            </w:pPr>
            <w:r w:rsidRPr="00386C2B">
              <w:t>$564</w:t>
            </w:r>
            <w:r w:rsidR="00386C2B" w:rsidRPr="00386C2B">
              <w:t xml:space="preserve"> </w:t>
            </w:r>
            <w:r w:rsidR="00386C2B" w:rsidRPr="00386C2B">
              <w:rPr>
                <w:color w:val="5B9BD5" w:themeColor="accent1"/>
              </w:rPr>
              <w:t>[</w:t>
            </w:r>
            <w:r w:rsidRPr="00386C2B">
              <w:rPr>
                <w:rStyle w:val="CommentaryemphasisTablesmid-paragraph"/>
                <w:sz w:val="20"/>
              </w:rPr>
              <w:t>$4</w:t>
            </w:r>
            <w:r w:rsidR="007F1F26">
              <w:rPr>
                <w:rStyle w:val="CommentaryemphasisTablesmid-paragraph"/>
                <w:sz w:val="20"/>
              </w:rPr>
              <w:t>63</w:t>
            </w:r>
            <w:r w:rsidR="00386C2B" w:rsidRPr="00386C2B">
              <w:rPr>
                <w:rStyle w:val="CommentaryemphasisTablesmid-paragraph"/>
                <w:sz w:val="20"/>
              </w:rPr>
              <w:t>]</w:t>
            </w:r>
          </w:p>
        </w:tc>
        <w:tc>
          <w:tcPr>
            <w:tcW w:w="708" w:type="pct"/>
            <w:vAlign w:val="center"/>
          </w:tcPr>
          <w:p w14:paraId="1DC0C609" w14:textId="52673F2C" w:rsidR="009C460A" w:rsidRPr="00386C2B" w:rsidRDefault="009C460A" w:rsidP="00B16386">
            <w:pPr>
              <w:pStyle w:val="TableText"/>
            </w:pPr>
            <w:r w:rsidRPr="00386C2B">
              <w:t>0.07</w:t>
            </w:r>
            <w:r w:rsidR="00386C2B" w:rsidRPr="00386C2B">
              <w:t xml:space="preserve"> </w:t>
            </w:r>
            <w:r w:rsidR="00386C2B" w:rsidRPr="00386C2B">
              <w:rPr>
                <w:color w:val="5B9BD5" w:themeColor="accent1"/>
              </w:rPr>
              <w:t>[</w:t>
            </w:r>
            <w:r w:rsidRPr="00386C2B">
              <w:rPr>
                <w:rStyle w:val="CommentaryemphasisTablesmid-paragraph"/>
                <w:sz w:val="20"/>
              </w:rPr>
              <w:t>0.00</w:t>
            </w:r>
            <w:r w:rsidR="00386C2B" w:rsidRPr="00386C2B">
              <w:rPr>
                <w:rStyle w:val="CommentaryemphasisTablesmid-paragraph"/>
                <w:sz w:val="20"/>
              </w:rPr>
              <w:t>]</w:t>
            </w:r>
          </w:p>
        </w:tc>
        <w:tc>
          <w:tcPr>
            <w:tcW w:w="943" w:type="pct"/>
            <w:vAlign w:val="center"/>
          </w:tcPr>
          <w:p w14:paraId="077A156C" w14:textId="4E863A50" w:rsidR="009C460A" w:rsidRPr="00386C2B" w:rsidRDefault="009C460A" w:rsidP="00B16386">
            <w:pPr>
              <w:pStyle w:val="TableText"/>
            </w:pPr>
            <w:r w:rsidRPr="00386C2B">
              <w:t>$12,072</w:t>
            </w:r>
            <w:r w:rsidR="00386C2B" w:rsidRPr="00386C2B">
              <w:t xml:space="preserve"> </w:t>
            </w:r>
            <w:r w:rsidR="00386C2B" w:rsidRPr="00386C2B">
              <w:rPr>
                <w:color w:val="5B9BD5" w:themeColor="accent1"/>
              </w:rPr>
              <w:t>[</w:t>
            </w:r>
            <w:r w:rsidRPr="00386C2B">
              <w:rPr>
                <w:rStyle w:val="CommentaryemphasisTablesmid-paragraph"/>
                <w:sz w:val="20"/>
              </w:rPr>
              <w:t>$</w:t>
            </w:r>
            <w:r w:rsidR="007F1F26">
              <w:rPr>
                <w:rStyle w:val="CommentaryemphasisTablesmid-paragraph"/>
                <w:sz w:val="20"/>
              </w:rPr>
              <w:t>24,900</w:t>
            </w:r>
            <w:r w:rsidR="00386C2B" w:rsidRPr="00386C2B">
              <w:rPr>
                <w:rStyle w:val="CommentaryemphasisTablesmid-paragraph"/>
                <w:sz w:val="20"/>
              </w:rPr>
              <w:t>]</w:t>
            </w:r>
          </w:p>
        </w:tc>
        <w:tc>
          <w:tcPr>
            <w:tcW w:w="679" w:type="pct"/>
            <w:vAlign w:val="center"/>
          </w:tcPr>
          <w:p w14:paraId="71949504" w14:textId="3D0F5A9D" w:rsidR="009C460A" w:rsidRPr="00386C2B" w:rsidRDefault="009C460A" w:rsidP="00B16386">
            <w:pPr>
              <w:pStyle w:val="TableText"/>
            </w:pPr>
            <w:r w:rsidRPr="00386C2B">
              <w:t>-32%</w:t>
            </w:r>
            <w:r w:rsidR="00386C2B" w:rsidRPr="00386C2B">
              <w:t xml:space="preserve"> </w:t>
            </w:r>
            <w:r w:rsidR="00386C2B" w:rsidRPr="00386C2B">
              <w:rPr>
                <w:color w:val="5B9BD5" w:themeColor="accent1"/>
              </w:rPr>
              <w:t>[</w:t>
            </w:r>
            <w:r w:rsidRPr="00386C2B">
              <w:rPr>
                <w:rStyle w:val="CommentaryemphasisTablesmid-paragraph"/>
                <w:sz w:val="20"/>
              </w:rPr>
              <w:t>-23%</w:t>
            </w:r>
            <w:r w:rsidR="00386C2B" w:rsidRPr="00386C2B">
              <w:rPr>
                <w:rStyle w:val="CommentaryemphasisTablesmid-paragraph"/>
                <w:sz w:val="20"/>
              </w:rPr>
              <w:t>]</w:t>
            </w:r>
          </w:p>
        </w:tc>
      </w:tr>
      <w:tr w:rsidR="00386C2B" w:rsidRPr="00386C2B" w14:paraId="35CDC190" w14:textId="77777777" w:rsidTr="00B16386">
        <w:trPr>
          <w:cantSplit/>
          <w:trHeight w:val="283"/>
        </w:trPr>
        <w:tc>
          <w:tcPr>
            <w:tcW w:w="1884" w:type="pct"/>
          </w:tcPr>
          <w:p w14:paraId="45C85FC3" w14:textId="5F5185A0" w:rsidR="009C460A" w:rsidRPr="00386C2B" w:rsidRDefault="009C460A" w:rsidP="009C460A">
            <w:pPr>
              <w:pStyle w:val="TableText"/>
            </w:pPr>
            <w:r w:rsidRPr="00386C2B">
              <w:t>Mortality of TLR equal to all-population in hospital mortality of PCI</w:t>
            </w:r>
          </w:p>
        </w:tc>
        <w:tc>
          <w:tcPr>
            <w:tcW w:w="786" w:type="pct"/>
            <w:vAlign w:val="center"/>
          </w:tcPr>
          <w:p w14:paraId="330EA617" w14:textId="27882A9A" w:rsidR="009C460A" w:rsidRPr="00386C2B" w:rsidRDefault="009C460A" w:rsidP="00B16386">
            <w:pPr>
              <w:pStyle w:val="TableText"/>
            </w:pPr>
            <w:r w:rsidRPr="00386C2B">
              <w:t>$827</w:t>
            </w:r>
            <w:r w:rsidR="00386C2B" w:rsidRPr="00386C2B">
              <w:t xml:space="preserve"> </w:t>
            </w:r>
            <w:r w:rsidR="00386C2B" w:rsidRPr="00386C2B">
              <w:rPr>
                <w:color w:val="5B9BD5" w:themeColor="accent1"/>
              </w:rPr>
              <w:t>[</w:t>
            </w:r>
            <w:r w:rsidRPr="00386C2B">
              <w:rPr>
                <w:rStyle w:val="CommentaryemphasisTablesmid-paragraph"/>
                <w:sz w:val="20"/>
              </w:rPr>
              <w:t>$1,13</w:t>
            </w:r>
            <w:r w:rsidR="007F1F26">
              <w:rPr>
                <w:rStyle w:val="CommentaryemphasisTablesmid-paragraph"/>
                <w:sz w:val="20"/>
              </w:rPr>
              <w:t>9</w:t>
            </w:r>
            <w:r w:rsidR="00386C2B" w:rsidRPr="00386C2B">
              <w:rPr>
                <w:rStyle w:val="CommentaryemphasisTablesmid-paragraph"/>
                <w:sz w:val="20"/>
              </w:rPr>
              <w:t>]</w:t>
            </w:r>
          </w:p>
        </w:tc>
        <w:tc>
          <w:tcPr>
            <w:tcW w:w="708" w:type="pct"/>
            <w:vAlign w:val="center"/>
          </w:tcPr>
          <w:p w14:paraId="5406898F" w14:textId="7B4EB129" w:rsidR="009C460A" w:rsidRPr="00386C2B" w:rsidRDefault="009C460A" w:rsidP="00B16386">
            <w:pPr>
              <w:pStyle w:val="TableText"/>
            </w:pPr>
            <w:r w:rsidRPr="00386C2B">
              <w:t>0.06</w:t>
            </w:r>
            <w:r w:rsidR="00386C2B" w:rsidRPr="00386C2B">
              <w:t xml:space="preserve"> </w:t>
            </w:r>
            <w:r w:rsidR="00386C2B" w:rsidRPr="00386C2B">
              <w:rPr>
                <w:color w:val="5B9BD5" w:themeColor="accent1"/>
              </w:rPr>
              <w:t>[</w:t>
            </w:r>
            <w:r w:rsidRPr="00386C2B">
              <w:rPr>
                <w:rStyle w:val="CommentaryemphasisTablesmid-paragraph"/>
                <w:sz w:val="20"/>
              </w:rPr>
              <w:t>0.03</w:t>
            </w:r>
            <w:r w:rsidR="00386C2B" w:rsidRPr="00386C2B">
              <w:rPr>
                <w:rStyle w:val="CommentaryemphasisTablesmid-paragraph"/>
                <w:sz w:val="20"/>
              </w:rPr>
              <w:t>]</w:t>
            </w:r>
          </w:p>
        </w:tc>
        <w:tc>
          <w:tcPr>
            <w:tcW w:w="943" w:type="pct"/>
            <w:vAlign w:val="center"/>
          </w:tcPr>
          <w:p w14:paraId="19D81E8D" w14:textId="632545A8" w:rsidR="009C460A" w:rsidRPr="00386C2B" w:rsidRDefault="009C460A" w:rsidP="00B16386">
            <w:pPr>
              <w:pStyle w:val="TableText"/>
            </w:pPr>
            <w:r w:rsidRPr="00386C2B">
              <w:t>$23,604</w:t>
            </w:r>
            <w:r w:rsidR="00386C2B" w:rsidRPr="00386C2B">
              <w:t xml:space="preserve"> </w:t>
            </w:r>
            <w:r w:rsidR="00386C2B" w:rsidRPr="00386C2B">
              <w:rPr>
                <w:color w:val="5B9BD5" w:themeColor="accent1"/>
              </w:rPr>
              <w:t>[</w:t>
            </w:r>
            <w:r w:rsidRPr="00386C2B">
              <w:rPr>
                <w:rStyle w:val="CommentaryemphasisTablesmid-paragraph"/>
                <w:sz w:val="20"/>
              </w:rPr>
              <w:t>$50,</w:t>
            </w:r>
            <w:r w:rsidR="007F1F26">
              <w:rPr>
                <w:rStyle w:val="CommentaryemphasisTablesmid-paragraph"/>
                <w:sz w:val="20"/>
              </w:rPr>
              <w:t>638</w:t>
            </w:r>
            <w:r w:rsidR="00386C2B" w:rsidRPr="00386C2B">
              <w:rPr>
                <w:rStyle w:val="CommentaryemphasisTablesmid-paragraph"/>
                <w:sz w:val="20"/>
              </w:rPr>
              <w:t>]</w:t>
            </w:r>
          </w:p>
        </w:tc>
        <w:tc>
          <w:tcPr>
            <w:tcW w:w="679" w:type="pct"/>
            <w:vAlign w:val="center"/>
          </w:tcPr>
          <w:p w14:paraId="1318B468" w14:textId="092B6FA2" w:rsidR="009C460A" w:rsidRPr="00386C2B" w:rsidRDefault="009C460A" w:rsidP="00B16386">
            <w:pPr>
              <w:pStyle w:val="TableText"/>
            </w:pPr>
            <w:r w:rsidRPr="00386C2B">
              <w:t>32%</w:t>
            </w:r>
            <w:r w:rsidR="00386C2B" w:rsidRPr="00386C2B">
              <w:t xml:space="preserve"> </w:t>
            </w:r>
            <w:r w:rsidR="00386C2B" w:rsidRPr="00386C2B">
              <w:rPr>
                <w:color w:val="5B9BD5" w:themeColor="accent1"/>
              </w:rPr>
              <w:t>[</w:t>
            </w:r>
            <w:r w:rsidRPr="00386C2B">
              <w:rPr>
                <w:rStyle w:val="CommentaryemphasisTablesmid-paragraph"/>
                <w:sz w:val="20"/>
              </w:rPr>
              <w:t>56%</w:t>
            </w:r>
            <w:r w:rsidR="00386C2B" w:rsidRPr="00386C2B">
              <w:rPr>
                <w:rStyle w:val="CommentaryemphasisTablesmid-paragraph"/>
                <w:sz w:val="20"/>
              </w:rPr>
              <w:t>]</w:t>
            </w:r>
          </w:p>
        </w:tc>
      </w:tr>
      <w:tr w:rsidR="00386C2B" w:rsidRPr="00386C2B" w14:paraId="47BFBB87" w14:textId="77777777" w:rsidTr="00B16386">
        <w:trPr>
          <w:cantSplit/>
          <w:trHeight w:val="283"/>
        </w:trPr>
        <w:tc>
          <w:tcPr>
            <w:tcW w:w="1884" w:type="pct"/>
          </w:tcPr>
          <w:p w14:paraId="1E7BF0FE" w14:textId="1DD59DC4" w:rsidR="009C460A" w:rsidRPr="00386C2B" w:rsidRDefault="009C460A" w:rsidP="009C460A">
            <w:pPr>
              <w:pStyle w:val="TableText"/>
            </w:pPr>
            <w:r w:rsidRPr="00386C2B">
              <w:rPr>
                <w:rStyle w:val="CommentaryemphasisTablesmid-paragraph"/>
                <w:sz w:val="20"/>
              </w:rPr>
              <w:t xml:space="preserve">Left main data not extrapolated beyond maximal </w:t>
            </w:r>
            <w:r w:rsidR="00D52C2F">
              <w:rPr>
                <w:rStyle w:val="CommentaryemphasisTablesmid-paragraph"/>
                <w:sz w:val="20"/>
              </w:rPr>
              <w:t xml:space="preserve">trial </w:t>
            </w:r>
            <w:r w:rsidRPr="00386C2B">
              <w:rPr>
                <w:rStyle w:val="CommentaryemphasisTablesmid-paragraph"/>
                <w:sz w:val="20"/>
              </w:rPr>
              <w:t>follow-up of 2 years</w:t>
            </w:r>
          </w:p>
        </w:tc>
        <w:tc>
          <w:tcPr>
            <w:tcW w:w="786" w:type="pct"/>
            <w:vAlign w:val="center"/>
          </w:tcPr>
          <w:p w14:paraId="13D91266" w14:textId="7BBF796E" w:rsidR="009C460A" w:rsidRPr="00386C2B" w:rsidRDefault="009C460A" w:rsidP="00B16386">
            <w:pPr>
              <w:pStyle w:val="TableText"/>
            </w:pPr>
            <w:r w:rsidRPr="00386C2B">
              <w:rPr>
                <w:rStyle w:val="CommentaryemphasisTablesmid-paragraph"/>
                <w:sz w:val="20"/>
              </w:rPr>
              <w:t>-</w:t>
            </w:r>
          </w:p>
        </w:tc>
        <w:tc>
          <w:tcPr>
            <w:tcW w:w="708" w:type="pct"/>
            <w:vAlign w:val="center"/>
          </w:tcPr>
          <w:p w14:paraId="09A39508" w14:textId="7BA26A0B" w:rsidR="009C460A" w:rsidRPr="00386C2B" w:rsidRDefault="009C460A" w:rsidP="00B16386">
            <w:pPr>
              <w:pStyle w:val="TableText"/>
            </w:pPr>
            <w:r w:rsidRPr="00386C2B">
              <w:rPr>
                <w:rStyle w:val="CommentaryemphasisTablesmid-paragraph"/>
                <w:sz w:val="20"/>
              </w:rPr>
              <w:t>-</w:t>
            </w:r>
          </w:p>
        </w:tc>
        <w:tc>
          <w:tcPr>
            <w:tcW w:w="943" w:type="pct"/>
            <w:vAlign w:val="center"/>
          </w:tcPr>
          <w:p w14:paraId="6399180D" w14:textId="456D8E44" w:rsidR="009C460A" w:rsidRPr="00386C2B" w:rsidRDefault="009C460A" w:rsidP="00B16386">
            <w:pPr>
              <w:pStyle w:val="TableText"/>
            </w:pPr>
            <w:r w:rsidRPr="00386C2B">
              <w:rPr>
                <w:rStyle w:val="CommentaryemphasisTablesmid-paragraph"/>
                <w:sz w:val="20"/>
              </w:rPr>
              <w:t>$</w:t>
            </w:r>
            <w:r w:rsidR="007F1F26">
              <w:rPr>
                <w:rStyle w:val="CommentaryemphasisTablesmid-paragraph"/>
                <w:sz w:val="20"/>
              </w:rPr>
              <w:t>33,189</w:t>
            </w:r>
          </w:p>
        </w:tc>
        <w:tc>
          <w:tcPr>
            <w:tcW w:w="679" w:type="pct"/>
            <w:vAlign w:val="center"/>
          </w:tcPr>
          <w:p w14:paraId="033C9F81" w14:textId="16F7AC62" w:rsidR="009C460A" w:rsidRPr="00386C2B" w:rsidRDefault="009C460A" w:rsidP="00B16386">
            <w:pPr>
              <w:pStyle w:val="TableText"/>
            </w:pPr>
            <w:r w:rsidRPr="00386C2B">
              <w:rPr>
                <w:rStyle w:val="CommentaryemphasisTablesmid-paragraph"/>
                <w:sz w:val="20"/>
              </w:rPr>
              <w:t>2%</w:t>
            </w:r>
          </w:p>
        </w:tc>
      </w:tr>
    </w:tbl>
    <w:p w14:paraId="23436A85" w14:textId="1DF5DB74" w:rsidR="00C36FA7" w:rsidRPr="007973F4" w:rsidRDefault="00C36FA7" w:rsidP="00C36FA7">
      <w:pPr>
        <w:pStyle w:val="TableFigureFooter"/>
        <w:spacing w:before="60" w:after="0"/>
      </w:pPr>
      <w:bookmarkStart w:id="47" w:name="_Toc69491426"/>
      <w:bookmarkEnd w:id="46"/>
      <w:r>
        <w:t xml:space="preserve">DES = drug-eluting stent; ICER = incremental cost effectiveness ratio; IVUS = intravascular ultrasound; PCI = percutaneous coronary intervention; </w:t>
      </w:r>
      <w:r w:rsidRPr="00CE28E3">
        <w:t>QALY = quality-adjusted life year</w:t>
      </w:r>
      <w:r>
        <w:t>; TLR = target lesion revascularisation.</w:t>
      </w:r>
    </w:p>
    <w:p w14:paraId="6C5A3121" w14:textId="42D170E6" w:rsidR="00C36FA7" w:rsidRDefault="00C36FA7" w:rsidP="00C36FA7">
      <w:pPr>
        <w:pStyle w:val="TableFigureFooter"/>
        <w:spacing w:before="0"/>
      </w:pPr>
      <w:r>
        <w:t xml:space="preserve">Note: Data shown in blue text are derived from the </w:t>
      </w:r>
      <w:r w:rsidR="00745AEC">
        <w:t>alternat</w:t>
      </w:r>
      <w:r w:rsidR="003761AE">
        <w:t>ive</w:t>
      </w:r>
      <w:r w:rsidR="00745AEC">
        <w:t xml:space="preserve"> base case </w:t>
      </w:r>
      <w:r w:rsidR="00C01B4E">
        <w:t>proposed in</w:t>
      </w:r>
      <w:r>
        <w:t xml:space="preserve"> the Commentary.</w:t>
      </w:r>
    </w:p>
    <w:p w14:paraId="25AE2BAC" w14:textId="4B74B232" w:rsidR="00772829" w:rsidRPr="00CE28E3" w:rsidRDefault="00C36633" w:rsidP="002A18BE">
      <w:pPr>
        <w:pStyle w:val="Heading2"/>
        <w:numPr>
          <w:ilvl w:val="0"/>
          <w:numId w:val="0"/>
        </w:numPr>
      </w:pPr>
      <w:r>
        <w:t>1</w:t>
      </w:r>
      <w:r w:rsidR="005F6A3D">
        <w:t>4</w:t>
      </w:r>
      <w:r>
        <w:t>.</w:t>
      </w:r>
      <w:r>
        <w:tab/>
      </w:r>
      <w:r w:rsidR="00772829" w:rsidRPr="00CE28E3">
        <w:t>Financial/budgetary impacts</w:t>
      </w:r>
      <w:bookmarkEnd w:id="47"/>
    </w:p>
    <w:p w14:paraId="134393B5" w14:textId="17FFD5BD" w:rsidR="00A60E66" w:rsidRDefault="00443CE5" w:rsidP="00330A0A">
      <w:r w:rsidRPr="00443CE5">
        <w:t>An epidemiological approach was adopted to inform the utilisation estimates and financial implication to the Government upon MBS listing of IVUS as an adjunct to angiography in patients undergoing PCI with DES insertion in Australia. Sources used to estimate the extent of use include</w:t>
      </w:r>
      <w:r>
        <w:t>d</w:t>
      </w:r>
      <w:r w:rsidRPr="00443CE5">
        <w:t xml:space="preserve"> </w:t>
      </w:r>
      <w:r w:rsidR="007A21CC">
        <w:t xml:space="preserve">Medicare statistics </w:t>
      </w:r>
      <w:r w:rsidR="00A60E66">
        <w:t xml:space="preserve">(2016 to 2019) </w:t>
      </w:r>
      <w:r w:rsidR="007A21CC">
        <w:t>for</w:t>
      </w:r>
      <w:r w:rsidR="00247054">
        <w:t xml:space="preserve"> </w:t>
      </w:r>
      <w:r w:rsidRPr="00443CE5">
        <w:t xml:space="preserve">MBS item </w:t>
      </w:r>
      <w:r w:rsidR="00247054">
        <w:t xml:space="preserve">38306 </w:t>
      </w:r>
      <w:r w:rsidR="00A60E66">
        <w:t xml:space="preserve">(which was replaced in July 2021 with 12 new items for PCI with stent insertion) </w:t>
      </w:r>
      <w:r w:rsidRPr="00443CE5">
        <w:t>and the VCOR Annual Report</w:t>
      </w:r>
      <w:r w:rsidR="002C6261">
        <w:t xml:space="preserve"> </w:t>
      </w:r>
      <w:r w:rsidR="002C6261" w:rsidRPr="00443CE5">
        <w:t>2020</w:t>
      </w:r>
      <w:r w:rsidRPr="00443CE5">
        <w:t>.</w:t>
      </w:r>
    </w:p>
    <w:p w14:paraId="41795808" w14:textId="23D73CC8" w:rsidR="007A21CC" w:rsidRDefault="00247054" w:rsidP="00330A0A">
      <w:r w:rsidRPr="00247054">
        <w:t xml:space="preserve">The structure of the </w:t>
      </w:r>
      <w:r>
        <w:t>budget impact model</w:t>
      </w:r>
      <w:r w:rsidRPr="00247054">
        <w:t xml:space="preserve"> remain</w:t>
      </w:r>
      <w:r>
        <w:t>ed</w:t>
      </w:r>
      <w:r w:rsidRPr="00247054">
        <w:t xml:space="preserve"> largely unchanged from </w:t>
      </w:r>
      <w:r>
        <w:t>the previous application (</w:t>
      </w:r>
      <w:r w:rsidRPr="00247054">
        <w:t>1354</w:t>
      </w:r>
      <w:r>
        <w:t>)</w:t>
      </w:r>
      <w:r w:rsidRPr="00247054">
        <w:t>.</w:t>
      </w:r>
      <w:r w:rsidR="00834AAE">
        <w:t xml:space="preserve"> </w:t>
      </w:r>
      <w:r w:rsidR="007A21CC" w:rsidRPr="007A21CC">
        <w:t>The listing of IVUS as an adjunct to angiography-guided PCI is not expected to grow the market above existing market growth of PCI with stent insertion.</w:t>
      </w:r>
    </w:p>
    <w:p w14:paraId="3CF513A1" w14:textId="6C2A7457" w:rsidR="00E222D6" w:rsidRDefault="00E222D6" w:rsidP="00330A0A">
      <w:r w:rsidRPr="00E222D6">
        <w:lastRenderedPageBreak/>
        <w:t xml:space="preserve">The </w:t>
      </w:r>
      <w:r>
        <w:t xml:space="preserve">applicant claims that the </w:t>
      </w:r>
      <w:r w:rsidRPr="00E222D6">
        <w:t xml:space="preserve">speed of </w:t>
      </w:r>
      <w:r w:rsidR="002C6261">
        <w:t xml:space="preserve">IVUS </w:t>
      </w:r>
      <w:r w:rsidRPr="00E222D6">
        <w:t xml:space="preserve">uptake will be influenced by the level of training, experience and the learning curve associated with reading IVUS images by PCI operators across the healthcare sector. Given the smaller population size, </w:t>
      </w:r>
      <w:r>
        <w:t>the applicant</w:t>
      </w:r>
      <w:r w:rsidRPr="00E222D6">
        <w:t xml:space="preserve"> expect</w:t>
      </w:r>
      <w:r>
        <w:t>s</w:t>
      </w:r>
      <w:r w:rsidRPr="00E222D6">
        <w:t xml:space="preserve"> that the growth in uptake rate will be slightly lower for the complex anatomical characteristics populations</w:t>
      </w:r>
      <w:r w:rsidR="00B26086">
        <w:t>. However,</w:t>
      </w:r>
      <w:r w:rsidR="00834AAE">
        <w:t xml:space="preserve"> </w:t>
      </w:r>
      <w:r w:rsidR="00B26086">
        <w:t xml:space="preserve">the use of adjunct IVUS is </w:t>
      </w:r>
      <w:r w:rsidR="00445757">
        <w:t xml:space="preserve">expected to be </w:t>
      </w:r>
      <w:r w:rsidR="00B26086">
        <w:t>higher in these high</w:t>
      </w:r>
      <w:r w:rsidR="006E6A92">
        <w:t>-</w:t>
      </w:r>
      <w:r w:rsidR="00B26086">
        <w:t>risk patients compared with all-comers</w:t>
      </w:r>
      <w:r w:rsidR="00931289">
        <w:t xml:space="preserve"> (IVUS is used more frequently as an adjunct to angiography in patients with complex anatomical lesions)</w:t>
      </w:r>
      <w:r w:rsidRPr="00E222D6">
        <w:t>.</w:t>
      </w:r>
      <w:r w:rsidR="0091542D">
        <w:t xml:space="preserve"> However, the</w:t>
      </w:r>
      <w:r w:rsidR="00834AAE" w:rsidRPr="001D7659">
        <w:t xml:space="preserve"> uptake assumptions </w:t>
      </w:r>
      <w:r w:rsidR="006E6A92" w:rsidRPr="001D7659">
        <w:t xml:space="preserve">(shown in </w:t>
      </w:r>
      <w:r w:rsidR="006E6A92" w:rsidRPr="001D7659">
        <w:fldChar w:fldCharType="begin"/>
      </w:r>
      <w:r w:rsidR="006E6A92" w:rsidRPr="001D7659">
        <w:instrText xml:space="preserve"> REF _Ref69726382 \h </w:instrText>
      </w:r>
      <w:r w:rsidR="00445757" w:rsidRPr="001D7659">
        <w:instrText xml:space="preserve"> \* MERGEFORMAT </w:instrText>
      </w:r>
      <w:r w:rsidR="006E6A92" w:rsidRPr="001D7659">
        <w:fldChar w:fldCharType="separate"/>
      </w:r>
      <w:r w:rsidR="00F03488" w:rsidRPr="0091542D">
        <w:t>Table 19</w:t>
      </w:r>
      <w:r w:rsidR="006E6A92" w:rsidRPr="001D7659">
        <w:fldChar w:fldCharType="end"/>
      </w:r>
      <w:r w:rsidR="006E6A92" w:rsidRPr="001D7659">
        <w:t xml:space="preserve">) </w:t>
      </w:r>
      <w:r w:rsidR="00834AAE" w:rsidRPr="001D7659">
        <w:t xml:space="preserve">are not adequately justified and there is potential for the number of services to be greater than </w:t>
      </w:r>
      <w:r w:rsidR="00CF175F" w:rsidRPr="001D7659">
        <w:t xml:space="preserve">those estimated in </w:t>
      </w:r>
      <w:r w:rsidR="00CF175F" w:rsidRPr="001D7659">
        <w:fldChar w:fldCharType="begin"/>
      </w:r>
      <w:r w:rsidR="00CF175F" w:rsidRPr="001D7659">
        <w:instrText xml:space="preserve"> REF _Ref69726382 \h </w:instrText>
      </w:r>
      <w:r w:rsidR="0091542D">
        <w:instrText xml:space="preserve"> \* MERGEFORMAT </w:instrText>
      </w:r>
      <w:r w:rsidR="00CF175F" w:rsidRPr="001D7659">
        <w:fldChar w:fldCharType="separate"/>
      </w:r>
      <w:r w:rsidR="00CF175F" w:rsidRPr="0091542D">
        <w:t>Table </w:t>
      </w:r>
      <w:r w:rsidR="00CF175F" w:rsidRPr="0091542D">
        <w:rPr>
          <w:noProof/>
        </w:rPr>
        <w:t>19</w:t>
      </w:r>
      <w:r w:rsidR="00CF175F" w:rsidRPr="001D7659">
        <w:fldChar w:fldCharType="end"/>
      </w:r>
      <w:r w:rsidR="00834AAE" w:rsidRPr="001D7659">
        <w:t>.</w:t>
      </w:r>
    </w:p>
    <w:p w14:paraId="668B541A" w14:textId="2993278D" w:rsidR="00834AAE" w:rsidRDefault="00834AAE" w:rsidP="00330A0A">
      <w:r w:rsidRPr="00834AAE">
        <w:t xml:space="preserve">Given the nature of IVUS as an adjunctive procedure to be used alongside angiography, no changes to other MBS services are expected. </w:t>
      </w:r>
      <w:r w:rsidR="006E6A92">
        <w:t>In contrast to the economic evaluation, the financial analysis does not include any p</w:t>
      </w:r>
      <w:r w:rsidR="00D53187">
        <w:t>otential</w:t>
      </w:r>
      <w:r w:rsidRPr="00834AAE">
        <w:t xml:space="preserve"> cost savings associated with reduced </w:t>
      </w:r>
      <w:r w:rsidR="00961C07">
        <w:t xml:space="preserve">major cardiac </w:t>
      </w:r>
      <w:r w:rsidR="00D53187">
        <w:t>events</w:t>
      </w:r>
      <w:r w:rsidRPr="00834AAE">
        <w:t xml:space="preserve"> </w:t>
      </w:r>
      <w:r w:rsidR="00961C07">
        <w:t>in</w:t>
      </w:r>
      <w:r w:rsidRPr="00834AAE">
        <w:t xml:space="preserve"> patients </w:t>
      </w:r>
      <w:r w:rsidR="006E6A92">
        <w:t>who receive</w:t>
      </w:r>
      <w:r w:rsidRPr="00834AAE">
        <w:t xml:space="preserve"> IVUS</w:t>
      </w:r>
      <w:r w:rsidR="006E6A92">
        <w:t>-guided stent implantation</w:t>
      </w:r>
      <w:r w:rsidRPr="00834AAE">
        <w:t>.</w:t>
      </w:r>
    </w:p>
    <w:p w14:paraId="4FE2390F" w14:textId="0AEC0A54" w:rsidR="0072578A" w:rsidRDefault="00D428B9" w:rsidP="00330A0A">
      <w:r w:rsidRPr="00CE28E3">
        <w:t>The financial implications to the</w:t>
      </w:r>
      <w:r w:rsidR="00984973">
        <w:t xml:space="preserve"> MBS </w:t>
      </w:r>
      <w:r w:rsidRPr="00CE28E3">
        <w:t xml:space="preserve">resulting from the proposed listing of </w:t>
      </w:r>
      <w:r w:rsidR="00984973">
        <w:t xml:space="preserve">IVUS for </w:t>
      </w:r>
      <w:r w:rsidR="001A4EB2">
        <w:t>guidance of coronary stent insertion</w:t>
      </w:r>
      <w:r w:rsidRPr="00CE28E3">
        <w:t xml:space="preserve"> are summarised in </w:t>
      </w:r>
      <w:r w:rsidR="003571C2">
        <w:fldChar w:fldCharType="begin"/>
      </w:r>
      <w:r w:rsidR="003571C2">
        <w:instrText xml:space="preserve"> REF _Ref69726382 \h </w:instrText>
      </w:r>
      <w:r w:rsidR="003571C2">
        <w:fldChar w:fldCharType="separate"/>
      </w:r>
      <w:r w:rsidR="00F03488" w:rsidRPr="00CE28E3">
        <w:t>Table</w:t>
      </w:r>
      <w:r w:rsidR="00F03488">
        <w:t> </w:t>
      </w:r>
      <w:r w:rsidR="00F03488">
        <w:rPr>
          <w:noProof/>
        </w:rPr>
        <w:t>19</w:t>
      </w:r>
      <w:r w:rsidR="003571C2">
        <w:fldChar w:fldCharType="end"/>
      </w:r>
      <w:r w:rsidRPr="00CE28E3">
        <w:t>.</w:t>
      </w:r>
      <w:r w:rsidR="009B36FC">
        <w:t xml:space="preserve"> For reference, </w:t>
      </w:r>
      <w:r w:rsidR="009B36FC" w:rsidRPr="00E222D6">
        <w:t>VCOR</w:t>
      </w:r>
      <w:r w:rsidR="009B36FC">
        <w:t xml:space="preserve"> reported a</w:t>
      </w:r>
      <w:r w:rsidR="009B36FC" w:rsidRPr="00E222D6">
        <w:t xml:space="preserve"> total of </w:t>
      </w:r>
      <w:r w:rsidR="009B36FC">
        <w:t xml:space="preserve">327 </w:t>
      </w:r>
      <w:r w:rsidR="009B36FC" w:rsidRPr="00E222D6">
        <w:t xml:space="preserve">adjunctive IVUS </w:t>
      </w:r>
      <w:r w:rsidR="009B36FC">
        <w:t>procedures conducted in Victoria in 2020</w:t>
      </w:r>
      <w:r w:rsidR="009B36FC" w:rsidRPr="00E222D6">
        <w:t xml:space="preserve">, of which 127 </w:t>
      </w:r>
      <w:r w:rsidR="009B36FC">
        <w:t>procedures</w:t>
      </w:r>
      <w:r w:rsidR="009B36FC" w:rsidRPr="00E222D6">
        <w:t xml:space="preserve"> were in the private setting.</w:t>
      </w:r>
    </w:p>
    <w:p w14:paraId="33FCA9D4" w14:textId="4D45D8F5" w:rsidR="00D428B9" w:rsidRDefault="00D428B9" w:rsidP="00215AFB">
      <w:pPr>
        <w:pStyle w:val="Caption"/>
      </w:pPr>
      <w:bookmarkStart w:id="48" w:name="_Ref69726382"/>
      <w:r w:rsidRPr="00CE28E3">
        <w:t>Table</w:t>
      </w:r>
      <w:r w:rsidR="003571C2">
        <w:t> </w:t>
      </w:r>
      <w:fldSimple w:instr=" SEQ Table \* ARABIC ">
        <w:r w:rsidR="00F03488">
          <w:rPr>
            <w:noProof/>
          </w:rPr>
          <w:t>19</w:t>
        </w:r>
      </w:fldSimple>
      <w:bookmarkEnd w:id="48"/>
      <w:r w:rsidRPr="00CE28E3">
        <w:tab/>
        <w:t xml:space="preserve">Net financial implications </w:t>
      </w:r>
      <w:r w:rsidR="0031634D" w:rsidRPr="00CE28E3">
        <w:t xml:space="preserve">to </w:t>
      </w:r>
      <w:r w:rsidR="0031634D">
        <w:t>the MBS</w:t>
      </w:r>
      <w:r w:rsidR="0031634D" w:rsidRPr="00CE28E3">
        <w:t xml:space="preserve"> </w:t>
      </w:r>
      <w:r w:rsidRPr="00CE28E3">
        <w:t xml:space="preserve">of </w:t>
      </w:r>
      <w:r w:rsidR="00984973">
        <w:t>IVUS as an adjunct to angiography</w:t>
      </w:r>
      <w:r w:rsidR="0031634D">
        <w:t xml:space="preserve"> for coronary stent insertion</w:t>
      </w:r>
    </w:p>
    <w:tbl>
      <w:tblPr>
        <w:tblStyle w:val="TableGrid"/>
        <w:tblW w:w="5000" w:type="pct"/>
        <w:tblLook w:val="04A0" w:firstRow="1" w:lastRow="0" w:firstColumn="1" w:lastColumn="0" w:noHBand="0" w:noVBand="1"/>
        <w:tblCaption w:val="TABLE 102  COST TO MBS FOR IVUS-GUIDED STENT INSERTION FOR ALL-COMERS TO PCI WITH DES"/>
        <w:tblDescription w:val="TABLE 102  COST TO MBS FOR IVUS-GUIDED STENT INSERTION FOR ALL-COMERS TO PCI WITH DES"/>
      </w:tblPr>
      <w:tblGrid>
        <w:gridCol w:w="3822"/>
        <w:gridCol w:w="1038"/>
        <w:gridCol w:w="1039"/>
        <w:gridCol w:w="1039"/>
        <w:gridCol w:w="1039"/>
        <w:gridCol w:w="1039"/>
      </w:tblGrid>
      <w:tr w:rsidR="00CB49C0" w:rsidRPr="002C1697" w14:paraId="5C39156E" w14:textId="77777777" w:rsidTr="00CB49C0">
        <w:tc>
          <w:tcPr>
            <w:tcW w:w="2120" w:type="pct"/>
            <w:tcBorders>
              <w:bottom w:val="single" w:sz="4" w:space="0" w:color="auto"/>
            </w:tcBorders>
            <w:shd w:val="clear" w:color="auto" w:fill="auto"/>
            <w:vAlign w:val="center"/>
          </w:tcPr>
          <w:p w14:paraId="2305E3E6" w14:textId="703D5979" w:rsidR="001A4EB2" w:rsidRPr="002C1697" w:rsidRDefault="001A4EB2" w:rsidP="0031634D">
            <w:pPr>
              <w:pStyle w:val="TableHeading"/>
              <w:keepNext w:val="0"/>
              <w:ind w:left="22"/>
              <w:rPr>
                <w:b w:val="0"/>
                <w:bCs/>
              </w:rPr>
            </w:pPr>
          </w:p>
        </w:tc>
        <w:tc>
          <w:tcPr>
            <w:tcW w:w="576" w:type="pct"/>
            <w:tcBorders>
              <w:bottom w:val="single" w:sz="4" w:space="0" w:color="auto"/>
            </w:tcBorders>
            <w:shd w:val="clear" w:color="auto" w:fill="auto"/>
            <w:vAlign w:val="center"/>
          </w:tcPr>
          <w:p w14:paraId="3597273A" w14:textId="77777777" w:rsidR="001A4EB2" w:rsidRPr="002C1697" w:rsidRDefault="001A4EB2" w:rsidP="0031634D">
            <w:pPr>
              <w:pStyle w:val="TableHeading"/>
              <w:keepNext w:val="0"/>
              <w:ind w:left="22"/>
              <w:jc w:val="center"/>
              <w:rPr>
                <w:b w:val="0"/>
                <w:bCs/>
              </w:rPr>
            </w:pPr>
            <w:r w:rsidRPr="002C1697">
              <w:rPr>
                <w:bCs/>
              </w:rPr>
              <w:t>2022</w:t>
            </w:r>
          </w:p>
        </w:tc>
        <w:tc>
          <w:tcPr>
            <w:tcW w:w="576" w:type="pct"/>
            <w:tcBorders>
              <w:bottom w:val="single" w:sz="4" w:space="0" w:color="auto"/>
            </w:tcBorders>
            <w:shd w:val="clear" w:color="auto" w:fill="auto"/>
            <w:vAlign w:val="center"/>
          </w:tcPr>
          <w:p w14:paraId="02C8B65D" w14:textId="77777777" w:rsidR="001A4EB2" w:rsidRPr="002C1697" w:rsidRDefault="001A4EB2" w:rsidP="0031634D">
            <w:pPr>
              <w:pStyle w:val="TableHeading"/>
              <w:keepNext w:val="0"/>
              <w:ind w:left="22"/>
              <w:jc w:val="center"/>
              <w:rPr>
                <w:b w:val="0"/>
                <w:bCs/>
              </w:rPr>
            </w:pPr>
            <w:r w:rsidRPr="002C1697">
              <w:rPr>
                <w:bCs/>
              </w:rPr>
              <w:t>2023</w:t>
            </w:r>
          </w:p>
        </w:tc>
        <w:tc>
          <w:tcPr>
            <w:tcW w:w="576" w:type="pct"/>
            <w:tcBorders>
              <w:bottom w:val="single" w:sz="4" w:space="0" w:color="auto"/>
            </w:tcBorders>
            <w:shd w:val="clear" w:color="auto" w:fill="auto"/>
            <w:vAlign w:val="center"/>
          </w:tcPr>
          <w:p w14:paraId="6908BC8A" w14:textId="77777777" w:rsidR="001A4EB2" w:rsidRPr="002C1697" w:rsidRDefault="001A4EB2" w:rsidP="0031634D">
            <w:pPr>
              <w:pStyle w:val="TableHeading"/>
              <w:keepNext w:val="0"/>
              <w:ind w:left="22"/>
              <w:jc w:val="center"/>
              <w:rPr>
                <w:b w:val="0"/>
                <w:bCs/>
              </w:rPr>
            </w:pPr>
            <w:r w:rsidRPr="002C1697">
              <w:rPr>
                <w:bCs/>
              </w:rPr>
              <w:t>2024</w:t>
            </w:r>
          </w:p>
        </w:tc>
        <w:tc>
          <w:tcPr>
            <w:tcW w:w="576" w:type="pct"/>
            <w:tcBorders>
              <w:bottom w:val="single" w:sz="4" w:space="0" w:color="auto"/>
            </w:tcBorders>
            <w:shd w:val="clear" w:color="auto" w:fill="auto"/>
            <w:vAlign w:val="center"/>
          </w:tcPr>
          <w:p w14:paraId="0F35E12A" w14:textId="77777777" w:rsidR="001A4EB2" w:rsidRPr="002C1697" w:rsidRDefault="001A4EB2" w:rsidP="0031634D">
            <w:pPr>
              <w:pStyle w:val="TableHeading"/>
              <w:keepNext w:val="0"/>
              <w:ind w:left="22"/>
              <w:jc w:val="center"/>
              <w:rPr>
                <w:b w:val="0"/>
                <w:bCs/>
              </w:rPr>
            </w:pPr>
            <w:r w:rsidRPr="002C1697">
              <w:rPr>
                <w:bCs/>
              </w:rPr>
              <w:t>2025</w:t>
            </w:r>
          </w:p>
        </w:tc>
        <w:tc>
          <w:tcPr>
            <w:tcW w:w="576" w:type="pct"/>
            <w:shd w:val="clear" w:color="auto" w:fill="auto"/>
            <w:vAlign w:val="center"/>
          </w:tcPr>
          <w:p w14:paraId="210BC95F" w14:textId="77777777" w:rsidR="001A4EB2" w:rsidRPr="002C1697" w:rsidRDefault="001A4EB2" w:rsidP="0031634D">
            <w:pPr>
              <w:pStyle w:val="TableHeading"/>
              <w:keepNext w:val="0"/>
              <w:ind w:left="22"/>
              <w:jc w:val="center"/>
              <w:rPr>
                <w:b w:val="0"/>
                <w:bCs/>
              </w:rPr>
            </w:pPr>
            <w:r w:rsidRPr="002C1697">
              <w:rPr>
                <w:bCs/>
              </w:rPr>
              <w:t>2026</w:t>
            </w:r>
          </w:p>
        </w:tc>
      </w:tr>
      <w:tr w:rsidR="00CB49C0" w:rsidRPr="002C1697" w14:paraId="2D69A5A6" w14:textId="77777777" w:rsidTr="00CB49C0">
        <w:tc>
          <w:tcPr>
            <w:tcW w:w="2120" w:type="pct"/>
            <w:tcBorders>
              <w:right w:val="nil"/>
            </w:tcBorders>
            <w:vAlign w:val="center"/>
          </w:tcPr>
          <w:p w14:paraId="79B9D544" w14:textId="25B38300" w:rsidR="001A4EB2" w:rsidRPr="001A4EB2" w:rsidRDefault="001A4EB2" w:rsidP="0031634D">
            <w:pPr>
              <w:pStyle w:val="TableTextLeft"/>
              <w:keepNext w:val="0"/>
              <w:ind w:left="22"/>
              <w:rPr>
                <w:b/>
                <w:bCs/>
              </w:rPr>
            </w:pPr>
            <w:r w:rsidRPr="001A4EB2">
              <w:rPr>
                <w:b/>
                <w:bCs/>
              </w:rPr>
              <w:t>All-comers to PCI with DES</w:t>
            </w:r>
          </w:p>
        </w:tc>
        <w:tc>
          <w:tcPr>
            <w:tcW w:w="576" w:type="pct"/>
            <w:tcBorders>
              <w:left w:val="nil"/>
              <w:right w:val="nil"/>
            </w:tcBorders>
            <w:vAlign w:val="center"/>
          </w:tcPr>
          <w:p w14:paraId="69379DD1" w14:textId="77777777" w:rsidR="001A4EB2" w:rsidRPr="001A4EB2" w:rsidRDefault="001A4EB2" w:rsidP="0031634D">
            <w:pPr>
              <w:pStyle w:val="Tabletext0"/>
              <w:jc w:val="center"/>
              <w:rPr>
                <w:b/>
                <w:bCs/>
              </w:rPr>
            </w:pPr>
          </w:p>
        </w:tc>
        <w:tc>
          <w:tcPr>
            <w:tcW w:w="576" w:type="pct"/>
            <w:tcBorders>
              <w:left w:val="nil"/>
              <w:right w:val="nil"/>
            </w:tcBorders>
            <w:vAlign w:val="center"/>
          </w:tcPr>
          <w:p w14:paraId="15AE4E8B" w14:textId="77777777" w:rsidR="001A4EB2" w:rsidRPr="001A4EB2" w:rsidRDefault="001A4EB2" w:rsidP="0031634D">
            <w:pPr>
              <w:pStyle w:val="Tabletext0"/>
              <w:jc w:val="center"/>
              <w:rPr>
                <w:b/>
                <w:bCs/>
              </w:rPr>
            </w:pPr>
          </w:p>
        </w:tc>
        <w:tc>
          <w:tcPr>
            <w:tcW w:w="576" w:type="pct"/>
            <w:tcBorders>
              <w:left w:val="nil"/>
              <w:right w:val="nil"/>
            </w:tcBorders>
            <w:vAlign w:val="center"/>
          </w:tcPr>
          <w:p w14:paraId="5B07E863" w14:textId="77777777" w:rsidR="001A4EB2" w:rsidRPr="001A4EB2" w:rsidRDefault="001A4EB2" w:rsidP="0031634D">
            <w:pPr>
              <w:pStyle w:val="Tabletext0"/>
              <w:jc w:val="center"/>
              <w:rPr>
                <w:b/>
                <w:bCs/>
              </w:rPr>
            </w:pPr>
          </w:p>
        </w:tc>
        <w:tc>
          <w:tcPr>
            <w:tcW w:w="576" w:type="pct"/>
            <w:tcBorders>
              <w:left w:val="nil"/>
              <w:right w:val="nil"/>
            </w:tcBorders>
            <w:vAlign w:val="center"/>
          </w:tcPr>
          <w:p w14:paraId="596AF927" w14:textId="77777777" w:rsidR="001A4EB2" w:rsidRPr="001A4EB2" w:rsidRDefault="001A4EB2" w:rsidP="0031634D">
            <w:pPr>
              <w:pStyle w:val="Tabletext0"/>
              <w:jc w:val="center"/>
              <w:rPr>
                <w:b/>
                <w:bCs/>
              </w:rPr>
            </w:pPr>
          </w:p>
        </w:tc>
        <w:tc>
          <w:tcPr>
            <w:tcW w:w="576" w:type="pct"/>
            <w:tcBorders>
              <w:left w:val="nil"/>
            </w:tcBorders>
            <w:vAlign w:val="center"/>
          </w:tcPr>
          <w:p w14:paraId="77E5292D" w14:textId="77777777" w:rsidR="001A4EB2" w:rsidRPr="001A4EB2" w:rsidRDefault="001A4EB2" w:rsidP="0031634D">
            <w:pPr>
              <w:pStyle w:val="Tabletext0"/>
              <w:jc w:val="center"/>
              <w:rPr>
                <w:b/>
                <w:bCs/>
              </w:rPr>
            </w:pPr>
          </w:p>
        </w:tc>
      </w:tr>
      <w:tr w:rsidR="00CB49C0" w:rsidRPr="002C1697" w14:paraId="328B7E38" w14:textId="77777777" w:rsidTr="00CB49C0">
        <w:tc>
          <w:tcPr>
            <w:tcW w:w="2120" w:type="pct"/>
            <w:vAlign w:val="center"/>
          </w:tcPr>
          <w:p w14:paraId="13D1DF7B" w14:textId="1AD1CF0F" w:rsidR="00CB49C0" w:rsidRPr="002C1697" w:rsidRDefault="00CB49C0" w:rsidP="0031634D">
            <w:pPr>
              <w:pStyle w:val="TableTextLeft"/>
              <w:keepNext w:val="0"/>
              <w:ind w:left="22"/>
            </w:pPr>
            <w:r w:rsidRPr="00CA0C53">
              <w:t>Total number of PCI with DES procedures</w:t>
            </w:r>
          </w:p>
        </w:tc>
        <w:tc>
          <w:tcPr>
            <w:tcW w:w="576" w:type="pct"/>
            <w:vAlign w:val="center"/>
          </w:tcPr>
          <w:p w14:paraId="757739B0" w14:textId="7026086B" w:rsidR="00CB49C0" w:rsidRPr="002C1697" w:rsidRDefault="00CB49C0" w:rsidP="0031634D">
            <w:pPr>
              <w:pStyle w:val="Tabletext0"/>
              <w:jc w:val="center"/>
            </w:pPr>
            <w:r w:rsidRPr="002C1697">
              <w:t>33,117</w:t>
            </w:r>
          </w:p>
        </w:tc>
        <w:tc>
          <w:tcPr>
            <w:tcW w:w="576" w:type="pct"/>
            <w:vAlign w:val="center"/>
          </w:tcPr>
          <w:p w14:paraId="79ED0421" w14:textId="7E1DF724" w:rsidR="00CB49C0" w:rsidRPr="002C1697" w:rsidRDefault="00CB49C0" w:rsidP="0031634D">
            <w:pPr>
              <w:pStyle w:val="Tabletext0"/>
              <w:jc w:val="center"/>
            </w:pPr>
            <w:r w:rsidRPr="002C1697">
              <w:t>34,233</w:t>
            </w:r>
          </w:p>
        </w:tc>
        <w:tc>
          <w:tcPr>
            <w:tcW w:w="576" w:type="pct"/>
            <w:vAlign w:val="center"/>
          </w:tcPr>
          <w:p w14:paraId="14C4551C" w14:textId="5E9F0D19" w:rsidR="00CB49C0" w:rsidRPr="002C1697" w:rsidRDefault="00CB49C0" w:rsidP="0031634D">
            <w:pPr>
              <w:pStyle w:val="Tabletext0"/>
              <w:jc w:val="center"/>
            </w:pPr>
            <w:r w:rsidRPr="002C1697">
              <w:t>35,387</w:t>
            </w:r>
          </w:p>
        </w:tc>
        <w:tc>
          <w:tcPr>
            <w:tcW w:w="576" w:type="pct"/>
            <w:vAlign w:val="center"/>
          </w:tcPr>
          <w:p w14:paraId="4B01D509" w14:textId="16C65D03" w:rsidR="00CB49C0" w:rsidRPr="002C1697" w:rsidRDefault="00CB49C0" w:rsidP="0031634D">
            <w:pPr>
              <w:pStyle w:val="Tabletext0"/>
              <w:jc w:val="center"/>
            </w:pPr>
            <w:r w:rsidRPr="002C1697">
              <w:t>36,579</w:t>
            </w:r>
          </w:p>
        </w:tc>
        <w:tc>
          <w:tcPr>
            <w:tcW w:w="576" w:type="pct"/>
            <w:vAlign w:val="center"/>
          </w:tcPr>
          <w:p w14:paraId="20568726" w14:textId="52EB0944" w:rsidR="00CB49C0" w:rsidRPr="002C1697" w:rsidRDefault="00CB49C0" w:rsidP="0031634D">
            <w:pPr>
              <w:pStyle w:val="Tabletext0"/>
              <w:jc w:val="center"/>
            </w:pPr>
            <w:r w:rsidRPr="002C1697">
              <w:t>37,812</w:t>
            </w:r>
          </w:p>
        </w:tc>
      </w:tr>
      <w:tr w:rsidR="007F0719" w:rsidRPr="002C1697" w14:paraId="3C6A3F03" w14:textId="77777777" w:rsidTr="00CB49C0">
        <w:tc>
          <w:tcPr>
            <w:tcW w:w="2120" w:type="pct"/>
            <w:vAlign w:val="center"/>
          </w:tcPr>
          <w:p w14:paraId="2C75F3C6" w14:textId="6212C928" w:rsidR="007F0719" w:rsidRPr="002C1697" w:rsidRDefault="009B36FC" w:rsidP="0031634D">
            <w:pPr>
              <w:pStyle w:val="TableTextLeft"/>
              <w:keepNext w:val="0"/>
              <w:ind w:left="22"/>
            </w:pPr>
            <w:r>
              <w:t>Assumed u</w:t>
            </w:r>
            <w:r w:rsidR="007F0719">
              <w:t>ptake rate</w:t>
            </w:r>
            <w:r w:rsidR="00CB49C0">
              <w:t xml:space="preserve"> of IVUS</w:t>
            </w:r>
          </w:p>
        </w:tc>
        <w:tc>
          <w:tcPr>
            <w:tcW w:w="576" w:type="pct"/>
            <w:vAlign w:val="center"/>
          </w:tcPr>
          <w:p w14:paraId="4415CD12" w14:textId="0C0B385F" w:rsidR="007F0719" w:rsidRPr="002C1697" w:rsidRDefault="007F0719" w:rsidP="0031634D">
            <w:pPr>
              <w:pStyle w:val="Tabletext0"/>
              <w:jc w:val="center"/>
            </w:pPr>
            <w:r w:rsidRPr="002C1697">
              <w:t>5%</w:t>
            </w:r>
          </w:p>
        </w:tc>
        <w:tc>
          <w:tcPr>
            <w:tcW w:w="576" w:type="pct"/>
            <w:vAlign w:val="center"/>
          </w:tcPr>
          <w:p w14:paraId="1368F2B9" w14:textId="257E5121" w:rsidR="007F0719" w:rsidRPr="002C1697" w:rsidRDefault="007F0719" w:rsidP="0031634D">
            <w:pPr>
              <w:pStyle w:val="Tabletext0"/>
              <w:jc w:val="center"/>
            </w:pPr>
            <w:r w:rsidRPr="002C1697">
              <w:t>10%</w:t>
            </w:r>
          </w:p>
        </w:tc>
        <w:tc>
          <w:tcPr>
            <w:tcW w:w="576" w:type="pct"/>
            <w:vAlign w:val="center"/>
          </w:tcPr>
          <w:p w14:paraId="3C346C1D" w14:textId="79FB36CD" w:rsidR="007F0719" w:rsidRPr="002C1697" w:rsidRDefault="007F0719" w:rsidP="0031634D">
            <w:pPr>
              <w:pStyle w:val="Tabletext0"/>
              <w:jc w:val="center"/>
            </w:pPr>
            <w:r w:rsidRPr="002C1697">
              <w:t>15%</w:t>
            </w:r>
          </w:p>
        </w:tc>
        <w:tc>
          <w:tcPr>
            <w:tcW w:w="576" w:type="pct"/>
            <w:vAlign w:val="center"/>
          </w:tcPr>
          <w:p w14:paraId="42246442" w14:textId="3572522E" w:rsidR="007F0719" w:rsidRPr="002C1697" w:rsidRDefault="007F0719" w:rsidP="0031634D">
            <w:pPr>
              <w:pStyle w:val="Tabletext0"/>
              <w:jc w:val="center"/>
            </w:pPr>
            <w:r w:rsidRPr="002C1697">
              <w:t>20%</w:t>
            </w:r>
          </w:p>
        </w:tc>
        <w:tc>
          <w:tcPr>
            <w:tcW w:w="576" w:type="pct"/>
            <w:vAlign w:val="center"/>
          </w:tcPr>
          <w:p w14:paraId="09271C02" w14:textId="7DC7845A" w:rsidR="007F0719" w:rsidRPr="002C1697" w:rsidRDefault="007F0719" w:rsidP="0031634D">
            <w:pPr>
              <w:pStyle w:val="Tabletext0"/>
              <w:jc w:val="center"/>
            </w:pPr>
            <w:r w:rsidRPr="002C1697">
              <w:t>25%</w:t>
            </w:r>
          </w:p>
        </w:tc>
      </w:tr>
      <w:tr w:rsidR="0031634D" w:rsidRPr="002C1697" w14:paraId="47C80610" w14:textId="77777777" w:rsidTr="00CB49C0">
        <w:tc>
          <w:tcPr>
            <w:tcW w:w="2120" w:type="pct"/>
            <w:vAlign w:val="center"/>
          </w:tcPr>
          <w:p w14:paraId="0A47CB2E" w14:textId="7741E47F" w:rsidR="001A4EB2" w:rsidRPr="002C1697" w:rsidRDefault="009B36FC" w:rsidP="0031634D">
            <w:pPr>
              <w:pStyle w:val="TableTextLeft"/>
              <w:keepNext w:val="0"/>
              <w:ind w:left="22"/>
            </w:pPr>
            <w:r>
              <w:t>Estimated n</w:t>
            </w:r>
            <w:r w:rsidR="001A4EB2" w:rsidRPr="002C1697">
              <w:t xml:space="preserve">umber </w:t>
            </w:r>
            <w:r w:rsidR="001A4EB2">
              <w:t xml:space="preserve">of </w:t>
            </w:r>
            <w:r w:rsidR="001A4EB2" w:rsidRPr="002C1697">
              <w:t>IVUS-guided stent procedures</w:t>
            </w:r>
          </w:p>
        </w:tc>
        <w:tc>
          <w:tcPr>
            <w:tcW w:w="576" w:type="pct"/>
            <w:vAlign w:val="center"/>
          </w:tcPr>
          <w:p w14:paraId="61926306" w14:textId="77777777" w:rsidR="001A4EB2" w:rsidRPr="002C1697" w:rsidRDefault="001A4EB2" w:rsidP="0031634D">
            <w:pPr>
              <w:pStyle w:val="Tabletext0"/>
              <w:jc w:val="center"/>
            </w:pPr>
            <w:r w:rsidRPr="002C1697">
              <w:t>1,656</w:t>
            </w:r>
          </w:p>
        </w:tc>
        <w:tc>
          <w:tcPr>
            <w:tcW w:w="576" w:type="pct"/>
            <w:vAlign w:val="center"/>
          </w:tcPr>
          <w:p w14:paraId="47EDB9B7" w14:textId="77777777" w:rsidR="001A4EB2" w:rsidRPr="002C1697" w:rsidRDefault="001A4EB2" w:rsidP="0031634D">
            <w:pPr>
              <w:pStyle w:val="Tabletext0"/>
              <w:jc w:val="center"/>
            </w:pPr>
            <w:r w:rsidRPr="002C1697">
              <w:t>3,423</w:t>
            </w:r>
          </w:p>
        </w:tc>
        <w:tc>
          <w:tcPr>
            <w:tcW w:w="576" w:type="pct"/>
            <w:vAlign w:val="center"/>
          </w:tcPr>
          <w:p w14:paraId="05FA87D6" w14:textId="77777777" w:rsidR="001A4EB2" w:rsidRPr="002C1697" w:rsidRDefault="001A4EB2" w:rsidP="0031634D">
            <w:pPr>
              <w:pStyle w:val="Tabletext0"/>
              <w:jc w:val="center"/>
            </w:pPr>
            <w:r w:rsidRPr="002C1697">
              <w:t>5,308</w:t>
            </w:r>
          </w:p>
        </w:tc>
        <w:tc>
          <w:tcPr>
            <w:tcW w:w="576" w:type="pct"/>
            <w:vAlign w:val="center"/>
          </w:tcPr>
          <w:p w14:paraId="7739D4DC" w14:textId="77777777" w:rsidR="001A4EB2" w:rsidRPr="002C1697" w:rsidRDefault="001A4EB2" w:rsidP="0031634D">
            <w:pPr>
              <w:pStyle w:val="Tabletext0"/>
              <w:jc w:val="center"/>
            </w:pPr>
            <w:r w:rsidRPr="002C1697">
              <w:t>7,316</w:t>
            </w:r>
          </w:p>
        </w:tc>
        <w:tc>
          <w:tcPr>
            <w:tcW w:w="576" w:type="pct"/>
            <w:vAlign w:val="center"/>
          </w:tcPr>
          <w:p w14:paraId="00A7FE00" w14:textId="77777777" w:rsidR="001A4EB2" w:rsidRPr="002C1697" w:rsidRDefault="001A4EB2" w:rsidP="0031634D">
            <w:pPr>
              <w:pStyle w:val="Tabletext0"/>
              <w:jc w:val="center"/>
            </w:pPr>
            <w:r w:rsidRPr="002C1697">
              <w:t>9,453</w:t>
            </w:r>
          </w:p>
        </w:tc>
      </w:tr>
      <w:tr w:rsidR="0031634D" w:rsidRPr="002C1697" w14:paraId="593E1E59" w14:textId="77777777" w:rsidTr="00CB49C0">
        <w:tc>
          <w:tcPr>
            <w:tcW w:w="2120" w:type="pct"/>
            <w:vAlign w:val="center"/>
          </w:tcPr>
          <w:p w14:paraId="374208C2" w14:textId="10B7407A" w:rsidR="001A4EB2" w:rsidRPr="002C1697" w:rsidRDefault="001A4EB2" w:rsidP="0031634D">
            <w:pPr>
              <w:pStyle w:val="TableTextLeft"/>
              <w:keepNext w:val="0"/>
              <w:ind w:left="22"/>
            </w:pPr>
            <w:r w:rsidRPr="002C1697">
              <w:t>Total MBS cost for IVUS-guided stent insertion</w:t>
            </w:r>
          </w:p>
        </w:tc>
        <w:tc>
          <w:tcPr>
            <w:tcW w:w="576" w:type="pct"/>
            <w:vAlign w:val="center"/>
          </w:tcPr>
          <w:p w14:paraId="4DD9B090" w14:textId="77777777" w:rsidR="001A4EB2" w:rsidRPr="002C1697" w:rsidRDefault="001A4EB2" w:rsidP="0031634D">
            <w:pPr>
              <w:pStyle w:val="Tabletext0"/>
              <w:jc w:val="center"/>
            </w:pPr>
            <w:r w:rsidRPr="002C1697">
              <w:t>$606,905</w:t>
            </w:r>
          </w:p>
        </w:tc>
        <w:tc>
          <w:tcPr>
            <w:tcW w:w="576" w:type="pct"/>
            <w:vAlign w:val="center"/>
          </w:tcPr>
          <w:p w14:paraId="33575A42" w14:textId="77777777" w:rsidR="001A4EB2" w:rsidRPr="002C1697" w:rsidRDefault="001A4EB2" w:rsidP="0031634D">
            <w:pPr>
              <w:pStyle w:val="Tabletext0"/>
              <w:jc w:val="center"/>
            </w:pPr>
            <w:r w:rsidRPr="002C1697">
              <w:t>$1,254,719</w:t>
            </w:r>
          </w:p>
        </w:tc>
        <w:tc>
          <w:tcPr>
            <w:tcW w:w="576" w:type="pct"/>
            <w:vAlign w:val="center"/>
          </w:tcPr>
          <w:p w14:paraId="392E5691" w14:textId="77777777" w:rsidR="001A4EB2" w:rsidRPr="002C1697" w:rsidRDefault="001A4EB2" w:rsidP="0031634D">
            <w:pPr>
              <w:pStyle w:val="Tabletext0"/>
              <w:jc w:val="center"/>
            </w:pPr>
            <w:r w:rsidRPr="002C1697">
              <w:t>$1,945,510</w:t>
            </w:r>
          </w:p>
        </w:tc>
        <w:tc>
          <w:tcPr>
            <w:tcW w:w="576" w:type="pct"/>
            <w:vAlign w:val="center"/>
          </w:tcPr>
          <w:p w14:paraId="41BBC22E" w14:textId="77777777" w:rsidR="001A4EB2" w:rsidRPr="002C1697" w:rsidRDefault="001A4EB2" w:rsidP="0031634D">
            <w:pPr>
              <w:pStyle w:val="Tabletext0"/>
              <w:jc w:val="center"/>
            </w:pPr>
            <w:r w:rsidRPr="002C1697">
              <w:t>$2,681,438</w:t>
            </w:r>
          </w:p>
        </w:tc>
        <w:tc>
          <w:tcPr>
            <w:tcW w:w="576" w:type="pct"/>
            <w:vAlign w:val="center"/>
          </w:tcPr>
          <w:p w14:paraId="5B153FD1" w14:textId="77777777" w:rsidR="001A4EB2" w:rsidRPr="002C1697" w:rsidRDefault="001A4EB2" w:rsidP="0031634D">
            <w:pPr>
              <w:pStyle w:val="Tabletext0"/>
              <w:jc w:val="center"/>
            </w:pPr>
            <w:r w:rsidRPr="002C1697">
              <w:t>$3,464,761</w:t>
            </w:r>
          </w:p>
        </w:tc>
      </w:tr>
      <w:tr w:rsidR="007F0719" w:rsidRPr="002C1697" w14:paraId="13F0093C" w14:textId="77777777" w:rsidTr="00CB49C0">
        <w:tc>
          <w:tcPr>
            <w:tcW w:w="2120" w:type="pct"/>
            <w:tcBorders>
              <w:right w:val="nil"/>
            </w:tcBorders>
            <w:vAlign w:val="center"/>
          </w:tcPr>
          <w:p w14:paraId="72AC2CEB" w14:textId="77777777" w:rsidR="007F0719" w:rsidRPr="001A4EB2" w:rsidRDefault="007F0719" w:rsidP="0031634D">
            <w:pPr>
              <w:pStyle w:val="TableTextLeft"/>
              <w:keepNext w:val="0"/>
              <w:ind w:left="22"/>
              <w:rPr>
                <w:b/>
                <w:bCs/>
              </w:rPr>
            </w:pPr>
            <w:r>
              <w:rPr>
                <w:b/>
                <w:bCs/>
              </w:rPr>
              <w:t>Patients with complex anatomical characteristics</w:t>
            </w:r>
          </w:p>
        </w:tc>
        <w:tc>
          <w:tcPr>
            <w:tcW w:w="576" w:type="pct"/>
            <w:tcBorders>
              <w:left w:val="nil"/>
              <w:right w:val="nil"/>
            </w:tcBorders>
            <w:vAlign w:val="center"/>
          </w:tcPr>
          <w:p w14:paraId="524418D3" w14:textId="77777777" w:rsidR="007F0719" w:rsidRPr="001A4EB2" w:rsidRDefault="007F0719" w:rsidP="0031634D">
            <w:pPr>
              <w:pStyle w:val="Tabletext0"/>
              <w:jc w:val="center"/>
              <w:rPr>
                <w:b/>
                <w:bCs/>
              </w:rPr>
            </w:pPr>
          </w:p>
        </w:tc>
        <w:tc>
          <w:tcPr>
            <w:tcW w:w="576" w:type="pct"/>
            <w:tcBorders>
              <w:left w:val="nil"/>
              <w:right w:val="nil"/>
            </w:tcBorders>
            <w:vAlign w:val="center"/>
          </w:tcPr>
          <w:p w14:paraId="19792E65" w14:textId="77777777" w:rsidR="007F0719" w:rsidRPr="001A4EB2" w:rsidRDefault="007F0719" w:rsidP="0031634D">
            <w:pPr>
              <w:pStyle w:val="Tabletext0"/>
              <w:jc w:val="center"/>
              <w:rPr>
                <w:b/>
                <w:bCs/>
              </w:rPr>
            </w:pPr>
          </w:p>
        </w:tc>
        <w:tc>
          <w:tcPr>
            <w:tcW w:w="576" w:type="pct"/>
            <w:tcBorders>
              <w:left w:val="nil"/>
              <w:right w:val="nil"/>
            </w:tcBorders>
            <w:vAlign w:val="center"/>
          </w:tcPr>
          <w:p w14:paraId="58F5A711" w14:textId="77777777" w:rsidR="007F0719" w:rsidRPr="001A4EB2" w:rsidRDefault="007F0719" w:rsidP="0031634D">
            <w:pPr>
              <w:pStyle w:val="Tabletext0"/>
              <w:jc w:val="center"/>
              <w:rPr>
                <w:b/>
                <w:bCs/>
              </w:rPr>
            </w:pPr>
          </w:p>
        </w:tc>
        <w:tc>
          <w:tcPr>
            <w:tcW w:w="576" w:type="pct"/>
            <w:tcBorders>
              <w:left w:val="nil"/>
              <w:right w:val="nil"/>
            </w:tcBorders>
            <w:vAlign w:val="center"/>
          </w:tcPr>
          <w:p w14:paraId="631710DD" w14:textId="77777777" w:rsidR="007F0719" w:rsidRPr="001A4EB2" w:rsidRDefault="007F0719" w:rsidP="0031634D">
            <w:pPr>
              <w:pStyle w:val="Tabletext0"/>
              <w:jc w:val="center"/>
              <w:rPr>
                <w:b/>
                <w:bCs/>
              </w:rPr>
            </w:pPr>
          </w:p>
        </w:tc>
        <w:tc>
          <w:tcPr>
            <w:tcW w:w="576" w:type="pct"/>
            <w:tcBorders>
              <w:left w:val="nil"/>
            </w:tcBorders>
            <w:vAlign w:val="center"/>
          </w:tcPr>
          <w:p w14:paraId="06EED863" w14:textId="77777777" w:rsidR="007F0719" w:rsidRPr="001A4EB2" w:rsidRDefault="007F0719" w:rsidP="0031634D">
            <w:pPr>
              <w:pStyle w:val="Tabletext0"/>
              <w:jc w:val="center"/>
              <w:rPr>
                <w:b/>
                <w:bCs/>
              </w:rPr>
            </w:pPr>
          </w:p>
        </w:tc>
      </w:tr>
      <w:tr w:rsidR="007F0719" w:rsidRPr="002C1697" w14:paraId="3B6A6F6D" w14:textId="77777777" w:rsidTr="00CB49C0">
        <w:tc>
          <w:tcPr>
            <w:tcW w:w="2120" w:type="pct"/>
            <w:vAlign w:val="center"/>
          </w:tcPr>
          <w:p w14:paraId="5D4B1810" w14:textId="48FBBB04" w:rsidR="007F0719" w:rsidRPr="002C1697" w:rsidRDefault="007F0719" w:rsidP="0031634D">
            <w:pPr>
              <w:pStyle w:val="TableTextLeft"/>
              <w:keepNext w:val="0"/>
              <w:ind w:left="22"/>
            </w:pPr>
            <w:r w:rsidRPr="002C1697">
              <w:t xml:space="preserve">Number of coronary stent insertion services for </w:t>
            </w:r>
            <w:r w:rsidRPr="00217368">
              <w:t>patients</w:t>
            </w:r>
            <w:r w:rsidRPr="002C1697">
              <w:t xml:space="preserve"> with long lesions ≥ 28</w:t>
            </w:r>
            <w:r w:rsidR="009B36FC">
              <w:t xml:space="preserve"> </w:t>
            </w:r>
            <w:r w:rsidRPr="002C1697">
              <w:t>mm</w:t>
            </w:r>
          </w:p>
        </w:tc>
        <w:tc>
          <w:tcPr>
            <w:tcW w:w="576" w:type="pct"/>
            <w:vAlign w:val="center"/>
          </w:tcPr>
          <w:p w14:paraId="24E70BE2" w14:textId="22F803E3" w:rsidR="007F0719" w:rsidRPr="002C1697" w:rsidRDefault="007F0719" w:rsidP="0031634D">
            <w:pPr>
              <w:pStyle w:val="Tabletext0"/>
              <w:jc w:val="center"/>
            </w:pPr>
            <w:r w:rsidRPr="002C1697">
              <w:t>1,325</w:t>
            </w:r>
          </w:p>
        </w:tc>
        <w:tc>
          <w:tcPr>
            <w:tcW w:w="576" w:type="pct"/>
            <w:vAlign w:val="center"/>
          </w:tcPr>
          <w:p w14:paraId="4EBFB06C" w14:textId="1FB9CDBE" w:rsidR="007F0719" w:rsidRPr="00CC4FF5" w:rsidRDefault="007F0719" w:rsidP="0031634D">
            <w:pPr>
              <w:pStyle w:val="Tabletext0"/>
              <w:jc w:val="center"/>
            </w:pPr>
            <w:r w:rsidRPr="002C1697">
              <w:t>1,369</w:t>
            </w:r>
          </w:p>
        </w:tc>
        <w:tc>
          <w:tcPr>
            <w:tcW w:w="576" w:type="pct"/>
            <w:vAlign w:val="center"/>
          </w:tcPr>
          <w:p w14:paraId="2ADFF87A" w14:textId="3616C74B" w:rsidR="007F0719" w:rsidRPr="002C1697" w:rsidRDefault="007F0719" w:rsidP="0031634D">
            <w:pPr>
              <w:pStyle w:val="Tabletext0"/>
              <w:jc w:val="center"/>
            </w:pPr>
            <w:r w:rsidRPr="002C1697">
              <w:t>1,415</w:t>
            </w:r>
          </w:p>
        </w:tc>
        <w:tc>
          <w:tcPr>
            <w:tcW w:w="576" w:type="pct"/>
            <w:vAlign w:val="center"/>
          </w:tcPr>
          <w:p w14:paraId="6D4C209B" w14:textId="22E856D9" w:rsidR="007F0719" w:rsidRPr="002C1697" w:rsidRDefault="007F0719" w:rsidP="0031634D">
            <w:pPr>
              <w:pStyle w:val="Tabletext0"/>
              <w:jc w:val="center"/>
            </w:pPr>
            <w:r w:rsidRPr="002C1697">
              <w:t>1,463</w:t>
            </w:r>
          </w:p>
        </w:tc>
        <w:tc>
          <w:tcPr>
            <w:tcW w:w="576" w:type="pct"/>
            <w:vAlign w:val="center"/>
          </w:tcPr>
          <w:p w14:paraId="1C8BD4AB" w14:textId="46588B10" w:rsidR="007F0719" w:rsidRPr="002C1697" w:rsidRDefault="007F0719" w:rsidP="0031634D">
            <w:pPr>
              <w:pStyle w:val="Tabletext0"/>
              <w:jc w:val="center"/>
            </w:pPr>
            <w:r w:rsidRPr="002C1697">
              <w:t>1,512</w:t>
            </w:r>
          </w:p>
        </w:tc>
      </w:tr>
      <w:tr w:rsidR="007F0719" w:rsidRPr="002C1697" w14:paraId="1C4B38E0" w14:textId="77777777" w:rsidTr="00CB49C0">
        <w:tc>
          <w:tcPr>
            <w:tcW w:w="2120" w:type="pct"/>
            <w:vAlign w:val="center"/>
          </w:tcPr>
          <w:p w14:paraId="7D417120" w14:textId="27743877" w:rsidR="007F0719" w:rsidRPr="002C1697" w:rsidRDefault="007F0719" w:rsidP="0031634D">
            <w:pPr>
              <w:pStyle w:val="TableTextLeft"/>
              <w:keepNext w:val="0"/>
              <w:ind w:left="22"/>
            </w:pPr>
            <w:r w:rsidRPr="002C1697">
              <w:t>Number of coronary stent insertion services for patients with left main lesions</w:t>
            </w:r>
          </w:p>
        </w:tc>
        <w:tc>
          <w:tcPr>
            <w:tcW w:w="576" w:type="pct"/>
            <w:vAlign w:val="center"/>
          </w:tcPr>
          <w:p w14:paraId="529DD23C" w14:textId="4DDBC28C" w:rsidR="007F0719" w:rsidRPr="002C1697" w:rsidRDefault="007F0719" w:rsidP="0031634D">
            <w:pPr>
              <w:pStyle w:val="Tabletext0"/>
              <w:jc w:val="center"/>
            </w:pPr>
            <w:r w:rsidRPr="002C1697">
              <w:t>762</w:t>
            </w:r>
          </w:p>
        </w:tc>
        <w:tc>
          <w:tcPr>
            <w:tcW w:w="576" w:type="pct"/>
            <w:vAlign w:val="center"/>
          </w:tcPr>
          <w:p w14:paraId="0B971A26" w14:textId="02C3579E" w:rsidR="007F0719" w:rsidRPr="00CC4FF5" w:rsidRDefault="007F0719" w:rsidP="0031634D">
            <w:pPr>
              <w:pStyle w:val="Tabletext0"/>
              <w:jc w:val="center"/>
            </w:pPr>
            <w:r w:rsidRPr="002C1697">
              <w:t>787</w:t>
            </w:r>
          </w:p>
        </w:tc>
        <w:tc>
          <w:tcPr>
            <w:tcW w:w="576" w:type="pct"/>
            <w:vAlign w:val="center"/>
          </w:tcPr>
          <w:p w14:paraId="3ED2C8D2" w14:textId="1B050B50" w:rsidR="007F0719" w:rsidRPr="002C1697" w:rsidRDefault="007F0719" w:rsidP="0031634D">
            <w:pPr>
              <w:pStyle w:val="Tabletext0"/>
              <w:jc w:val="center"/>
            </w:pPr>
            <w:r w:rsidRPr="002C1697">
              <w:t>814</w:t>
            </w:r>
          </w:p>
        </w:tc>
        <w:tc>
          <w:tcPr>
            <w:tcW w:w="576" w:type="pct"/>
            <w:vAlign w:val="center"/>
          </w:tcPr>
          <w:p w14:paraId="376EEFCA" w14:textId="2B8FB769" w:rsidR="007F0719" w:rsidRPr="002C1697" w:rsidRDefault="007F0719" w:rsidP="0031634D">
            <w:pPr>
              <w:pStyle w:val="Tabletext0"/>
              <w:jc w:val="center"/>
            </w:pPr>
            <w:r w:rsidRPr="002C1697">
              <w:t>841</w:t>
            </w:r>
          </w:p>
        </w:tc>
        <w:tc>
          <w:tcPr>
            <w:tcW w:w="576" w:type="pct"/>
            <w:vAlign w:val="center"/>
          </w:tcPr>
          <w:p w14:paraId="35F1E782" w14:textId="437BFC3B" w:rsidR="007F0719" w:rsidRPr="002C1697" w:rsidRDefault="007F0719" w:rsidP="0031634D">
            <w:pPr>
              <w:pStyle w:val="Tabletext0"/>
              <w:jc w:val="center"/>
            </w:pPr>
            <w:r w:rsidRPr="002C1697">
              <w:t>870</w:t>
            </w:r>
          </w:p>
        </w:tc>
      </w:tr>
      <w:tr w:rsidR="007F0719" w:rsidRPr="002C1697" w14:paraId="37AD830C" w14:textId="77777777" w:rsidTr="00CB49C0">
        <w:tc>
          <w:tcPr>
            <w:tcW w:w="2120" w:type="pct"/>
            <w:vAlign w:val="center"/>
          </w:tcPr>
          <w:p w14:paraId="78595E27" w14:textId="5E88C74F" w:rsidR="007F0719" w:rsidRPr="002C1697" w:rsidRDefault="009B36FC" w:rsidP="0031634D">
            <w:pPr>
              <w:pStyle w:val="TableTextLeft"/>
              <w:keepNext w:val="0"/>
              <w:ind w:left="22"/>
            </w:pPr>
            <w:r>
              <w:t>Total n</w:t>
            </w:r>
            <w:r w:rsidR="007F0719" w:rsidRPr="002C1697">
              <w:t>umber of coronary stent insertion services for patients with complex anatomical characteristics</w:t>
            </w:r>
          </w:p>
        </w:tc>
        <w:tc>
          <w:tcPr>
            <w:tcW w:w="576" w:type="pct"/>
            <w:vAlign w:val="center"/>
          </w:tcPr>
          <w:p w14:paraId="177DF42F" w14:textId="79485168" w:rsidR="007F0719" w:rsidRPr="002C1697" w:rsidRDefault="007F0719" w:rsidP="0031634D">
            <w:pPr>
              <w:pStyle w:val="Tabletext0"/>
              <w:jc w:val="center"/>
            </w:pPr>
            <w:r w:rsidRPr="002C1697">
              <w:t>2,086</w:t>
            </w:r>
          </w:p>
        </w:tc>
        <w:tc>
          <w:tcPr>
            <w:tcW w:w="576" w:type="pct"/>
            <w:vAlign w:val="center"/>
          </w:tcPr>
          <w:p w14:paraId="560D65D9" w14:textId="666803A8" w:rsidR="007F0719" w:rsidRPr="002C1697" w:rsidRDefault="007F0719" w:rsidP="0031634D">
            <w:pPr>
              <w:pStyle w:val="Tabletext0"/>
              <w:jc w:val="center"/>
            </w:pPr>
            <w:r w:rsidRPr="002C1697">
              <w:t>2,157</w:t>
            </w:r>
          </w:p>
        </w:tc>
        <w:tc>
          <w:tcPr>
            <w:tcW w:w="576" w:type="pct"/>
            <w:vAlign w:val="center"/>
          </w:tcPr>
          <w:p w14:paraId="5B090734" w14:textId="3F612E0E" w:rsidR="007F0719" w:rsidRPr="002C1697" w:rsidRDefault="007F0719" w:rsidP="0031634D">
            <w:pPr>
              <w:pStyle w:val="Tabletext0"/>
              <w:jc w:val="center"/>
            </w:pPr>
            <w:r w:rsidRPr="002C1697">
              <w:t>2,229</w:t>
            </w:r>
          </w:p>
        </w:tc>
        <w:tc>
          <w:tcPr>
            <w:tcW w:w="576" w:type="pct"/>
            <w:vAlign w:val="center"/>
          </w:tcPr>
          <w:p w14:paraId="046639C6" w14:textId="0E30A9C1" w:rsidR="007F0719" w:rsidRPr="002C1697" w:rsidRDefault="007F0719" w:rsidP="0031634D">
            <w:pPr>
              <w:pStyle w:val="Tabletext0"/>
              <w:jc w:val="center"/>
            </w:pPr>
            <w:r w:rsidRPr="002C1697">
              <w:t>2,304</w:t>
            </w:r>
          </w:p>
        </w:tc>
        <w:tc>
          <w:tcPr>
            <w:tcW w:w="576" w:type="pct"/>
            <w:vAlign w:val="center"/>
          </w:tcPr>
          <w:p w14:paraId="60C31946" w14:textId="7BECFC58" w:rsidR="007F0719" w:rsidRPr="002C1697" w:rsidRDefault="007F0719" w:rsidP="0031634D">
            <w:pPr>
              <w:pStyle w:val="Tabletext0"/>
              <w:jc w:val="center"/>
            </w:pPr>
            <w:r w:rsidRPr="002C1697">
              <w:t>2,382</w:t>
            </w:r>
          </w:p>
        </w:tc>
      </w:tr>
      <w:tr w:rsidR="007F0719" w:rsidRPr="002C1697" w14:paraId="585385B6" w14:textId="77777777" w:rsidTr="00CB49C0">
        <w:tc>
          <w:tcPr>
            <w:tcW w:w="2120" w:type="pct"/>
            <w:vAlign w:val="center"/>
          </w:tcPr>
          <w:p w14:paraId="628FD940" w14:textId="2DA402B8" w:rsidR="007F0719" w:rsidRPr="002C1697" w:rsidRDefault="009B36FC" w:rsidP="0031634D">
            <w:pPr>
              <w:pStyle w:val="TableTextLeft"/>
              <w:keepNext w:val="0"/>
              <w:ind w:left="22"/>
            </w:pPr>
            <w:r>
              <w:t>Assumed u</w:t>
            </w:r>
            <w:r w:rsidR="007F0719">
              <w:t>ptake rate</w:t>
            </w:r>
            <w:r w:rsidR="00CB49C0">
              <w:t xml:space="preserve"> of IVUS</w:t>
            </w:r>
          </w:p>
        </w:tc>
        <w:tc>
          <w:tcPr>
            <w:tcW w:w="576" w:type="pct"/>
            <w:vAlign w:val="center"/>
          </w:tcPr>
          <w:p w14:paraId="438E5D21" w14:textId="11232C84" w:rsidR="007F0719" w:rsidRPr="002C1697" w:rsidRDefault="007F0719" w:rsidP="0031634D">
            <w:pPr>
              <w:pStyle w:val="Tabletext0"/>
              <w:jc w:val="center"/>
            </w:pPr>
            <w:r w:rsidRPr="002C1697">
              <w:t>40%</w:t>
            </w:r>
          </w:p>
        </w:tc>
        <w:tc>
          <w:tcPr>
            <w:tcW w:w="576" w:type="pct"/>
            <w:vAlign w:val="center"/>
          </w:tcPr>
          <w:p w14:paraId="47979A4C" w14:textId="0D6F87FE" w:rsidR="007F0719" w:rsidRPr="00CC4FF5" w:rsidRDefault="007F0719" w:rsidP="0031634D">
            <w:pPr>
              <w:pStyle w:val="Tabletext0"/>
              <w:jc w:val="center"/>
            </w:pPr>
            <w:r w:rsidRPr="0085130E">
              <w:t>43%</w:t>
            </w:r>
          </w:p>
        </w:tc>
        <w:tc>
          <w:tcPr>
            <w:tcW w:w="576" w:type="pct"/>
            <w:vAlign w:val="center"/>
          </w:tcPr>
          <w:p w14:paraId="1E073140" w14:textId="0AC0CC0E" w:rsidR="007F0719" w:rsidRPr="002C1697" w:rsidRDefault="007F0719" w:rsidP="0031634D">
            <w:pPr>
              <w:pStyle w:val="Tabletext0"/>
              <w:jc w:val="center"/>
            </w:pPr>
            <w:r w:rsidRPr="0085130E">
              <w:t>46%</w:t>
            </w:r>
          </w:p>
        </w:tc>
        <w:tc>
          <w:tcPr>
            <w:tcW w:w="576" w:type="pct"/>
            <w:vAlign w:val="center"/>
          </w:tcPr>
          <w:p w14:paraId="14F91D59" w14:textId="2160F214" w:rsidR="007F0719" w:rsidRPr="002C1697" w:rsidRDefault="007F0719" w:rsidP="0031634D">
            <w:pPr>
              <w:pStyle w:val="Tabletext0"/>
              <w:jc w:val="center"/>
            </w:pPr>
            <w:r w:rsidRPr="0085130E">
              <w:t>49%</w:t>
            </w:r>
          </w:p>
        </w:tc>
        <w:tc>
          <w:tcPr>
            <w:tcW w:w="576" w:type="pct"/>
            <w:vAlign w:val="center"/>
          </w:tcPr>
          <w:p w14:paraId="33E7A28B" w14:textId="1F33BD90" w:rsidR="007F0719" w:rsidRPr="002C1697" w:rsidRDefault="007F0719" w:rsidP="0031634D">
            <w:pPr>
              <w:pStyle w:val="Tabletext0"/>
              <w:jc w:val="center"/>
            </w:pPr>
            <w:r w:rsidRPr="0085130E">
              <w:t>52%</w:t>
            </w:r>
          </w:p>
        </w:tc>
      </w:tr>
      <w:tr w:rsidR="007F0719" w:rsidRPr="002C1697" w14:paraId="007F3210" w14:textId="77777777" w:rsidTr="00CB49C0">
        <w:tc>
          <w:tcPr>
            <w:tcW w:w="2120" w:type="pct"/>
            <w:vAlign w:val="center"/>
          </w:tcPr>
          <w:p w14:paraId="6C6E6890" w14:textId="092E86E7" w:rsidR="007F0719" w:rsidRPr="002C1697" w:rsidRDefault="009B36FC" w:rsidP="0031634D">
            <w:pPr>
              <w:pStyle w:val="TableTextLeft"/>
              <w:keepNext w:val="0"/>
              <w:ind w:left="22"/>
            </w:pPr>
            <w:r>
              <w:t>Estimated n</w:t>
            </w:r>
            <w:r w:rsidR="007F0719" w:rsidRPr="002C1697">
              <w:t xml:space="preserve">umber </w:t>
            </w:r>
            <w:r w:rsidR="007F0719">
              <w:t xml:space="preserve">of </w:t>
            </w:r>
            <w:r w:rsidR="007F0719" w:rsidRPr="002C1697">
              <w:t>IVUS-guided stent procedures</w:t>
            </w:r>
            <w:r w:rsidR="00CB49C0">
              <w:t xml:space="preserve"> </w:t>
            </w:r>
            <w:r w:rsidR="00CB49C0" w:rsidRPr="002C1697">
              <w:t>for patients with complex anatomical characteristics</w:t>
            </w:r>
          </w:p>
        </w:tc>
        <w:tc>
          <w:tcPr>
            <w:tcW w:w="576" w:type="pct"/>
            <w:vAlign w:val="center"/>
          </w:tcPr>
          <w:p w14:paraId="62AE3E64" w14:textId="73A43BB2" w:rsidR="007F0719" w:rsidRPr="002C1697" w:rsidRDefault="007F0719" w:rsidP="0031634D">
            <w:pPr>
              <w:pStyle w:val="Tabletext0"/>
              <w:jc w:val="center"/>
            </w:pPr>
            <w:r w:rsidRPr="002C1697">
              <w:t>835</w:t>
            </w:r>
          </w:p>
        </w:tc>
        <w:tc>
          <w:tcPr>
            <w:tcW w:w="576" w:type="pct"/>
            <w:vAlign w:val="center"/>
          </w:tcPr>
          <w:p w14:paraId="519C79B0" w14:textId="7E930396" w:rsidR="007F0719" w:rsidRPr="002C1697" w:rsidRDefault="007F0719" w:rsidP="0031634D">
            <w:pPr>
              <w:pStyle w:val="Tabletext0"/>
              <w:jc w:val="center"/>
            </w:pPr>
            <w:r w:rsidRPr="00CC4FF5">
              <w:t>927</w:t>
            </w:r>
          </w:p>
        </w:tc>
        <w:tc>
          <w:tcPr>
            <w:tcW w:w="576" w:type="pct"/>
            <w:vAlign w:val="center"/>
          </w:tcPr>
          <w:p w14:paraId="7AF53C56" w14:textId="68FD8F4B" w:rsidR="007F0719" w:rsidRPr="002C1697" w:rsidRDefault="007F0719" w:rsidP="0031634D">
            <w:pPr>
              <w:pStyle w:val="Tabletext0"/>
              <w:jc w:val="center"/>
            </w:pPr>
            <w:r w:rsidRPr="002C1697">
              <w:t>1,</w:t>
            </w:r>
            <w:r w:rsidRPr="00CC4FF5">
              <w:t>026</w:t>
            </w:r>
          </w:p>
        </w:tc>
        <w:tc>
          <w:tcPr>
            <w:tcW w:w="576" w:type="pct"/>
            <w:vAlign w:val="center"/>
          </w:tcPr>
          <w:p w14:paraId="2D18A28F" w14:textId="626F2F8C" w:rsidR="007F0719" w:rsidRPr="002C1697" w:rsidRDefault="007F0719" w:rsidP="0031634D">
            <w:pPr>
              <w:pStyle w:val="Tabletext0"/>
              <w:jc w:val="center"/>
            </w:pPr>
            <w:r w:rsidRPr="002C1697">
              <w:t>1,</w:t>
            </w:r>
            <w:r w:rsidRPr="00CC4FF5">
              <w:t>129</w:t>
            </w:r>
          </w:p>
        </w:tc>
        <w:tc>
          <w:tcPr>
            <w:tcW w:w="576" w:type="pct"/>
            <w:vAlign w:val="center"/>
          </w:tcPr>
          <w:p w14:paraId="25211068" w14:textId="5E7FFF00" w:rsidR="007F0719" w:rsidRPr="002C1697" w:rsidRDefault="007F0719" w:rsidP="0031634D">
            <w:pPr>
              <w:pStyle w:val="Tabletext0"/>
              <w:jc w:val="center"/>
            </w:pPr>
            <w:r w:rsidRPr="002C1697">
              <w:t>1,</w:t>
            </w:r>
            <w:r w:rsidRPr="00CC4FF5">
              <w:t>239</w:t>
            </w:r>
          </w:p>
        </w:tc>
      </w:tr>
      <w:tr w:rsidR="007F0719" w:rsidRPr="002C1697" w14:paraId="18847E9D" w14:textId="77777777" w:rsidTr="00CB49C0">
        <w:tc>
          <w:tcPr>
            <w:tcW w:w="2120" w:type="pct"/>
            <w:vAlign w:val="center"/>
          </w:tcPr>
          <w:p w14:paraId="2AB03FD8" w14:textId="4A561ADA" w:rsidR="007F0719" w:rsidRPr="002C1697" w:rsidRDefault="009B36FC" w:rsidP="0031634D">
            <w:pPr>
              <w:pStyle w:val="TableTextLeft"/>
              <w:keepNext w:val="0"/>
              <w:ind w:left="22"/>
            </w:pPr>
            <w:r>
              <w:t>T</w:t>
            </w:r>
            <w:r w:rsidR="007F0719" w:rsidRPr="002C1697">
              <w:t>otal MBS cost for IVUS-guided stent insertion</w:t>
            </w:r>
          </w:p>
        </w:tc>
        <w:tc>
          <w:tcPr>
            <w:tcW w:w="576" w:type="pct"/>
            <w:vAlign w:val="center"/>
          </w:tcPr>
          <w:p w14:paraId="468E0581" w14:textId="6F66877A" w:rsidR="007F0719" w:rsidRPr="002C1697" w:rsidRDefault="007F0719" w:rsidP="0031634D">
            <w:pPr>
              <w:pStyle w:val="Tabletext0"/>
              <w:jc w:val="center"/>
            </w:pPr>
            <w:r w:rsidRPr="002C1697">
              <w:t>$305,880</w:t>
            </w:r>
          </w:p>
        </w:tc>
        <w:tc>
          <w:tcPr>
            <w:tcW w:w="576" w:type="pct"/>
            <w:vAlign w:val="center"/>
          </w:tcPr>
          <w:p w14:paraId="51760881" w14:textId="4B68436A" w:rsidR="007F0719" w:rsidRPr="002C1697" w:rsidRDefault="007F0719" w:rsidP="0031634D">
            <w:pPr>
              <w:pStyle w:val="Tabletext0"/>
              <w:jc w:val="center"/>
            </w:pPr>
            <w:r w:rsidRPr="00C63257">
              <w:t>$339,903</w:t>
            </w:r>
          </w:p>
        </w:tc>
        <w:tc>
          <w:tcPr>
            <w:tcW w:w="576" w:type="pct"/>
            <w:vAlign w:val="center"/>
          </w:tcPr>
          <w:p w14:paraId="38312EE8" w14:textId="79EF0927" w:rsidR="007F0719" w:rsidRPr="002C1697" w:rsidRDefault="007F0719" w:rsidP="0031634D">
            <w:pPr>
              <w:pStyle w:val="Tabletext0"/>
              <w:jc w:val="center"/>
            </w:pPr>
            <w:r w:rsidRPr="00C63257">
              <w:t>$375,872</w:t>
            </w:r>
          </w:p>
        </w:tc>
        <w:tc>
          <w:tcPr>
            <w:tcW w:w="576" w:type="pct"/>
            <w:vAlign w:val="center"/>
          </w:tcPr>
          <w:p w14:paraId="51E13F4A" w14:textId="623F2097" w:rsidR="007F0719" w:rsidRPr="002C1697" w:rsidRDefault="007F0719" w:rsidP="0031634D">
            <w:pPr>
              <w:pStyle w:val="Tabletext0"/>
              <w:jc w:val="center"/>
            </w:pPr>
            <w:r w:rsidRPr="00C63257">
              <w:t>$413,880</w:t>
            </w:r>
          </w:p>
        </w:tc>
        <w:tc>
          <w:tcPr>
            <w:tcW w:w="576" w:type="pct"/>
            <w:vAlign w:val="center"/>
          </w:tcPr>
          <w:p w14:paraId="4945DEE3" w14:textId="2AD231C6" w:rsidR="007F0719" w:rsidRPr="002C1697" w:rsidRDefault="007F0719" w:rsidP="0031634D">
            <w:pPr>
              <w:pStyle w:val="Tabletext0"/>
              <w:jc w:val="center"/>
            </w:pPr>
            <w:r w:rsidRPr="00C63257">
              <w:t>$454,022</w:t>
            </w:r>
          </w:p>
        </w:tc>
      </w:tr>
    </w:tbl>
    <w:p w14:paraId="3BFA4394" w14:textId="080921E4" w:rsidR="00CB49C0" w:rsidRDefault="00CB49C0" w:rsidP="009B36FC">
      <w:pPr>
        <w:pStyle w:val="TableFigureFooter"/>
        <w:spacing w:before="60" w:after="0"/>
      </w:pPr>
      <w:r>
        <w:t>DES = drug-eluting stent; IVUS = intravascular ultrasound; MBS = Medica</w:t>
      </w:r>
      <w:r w:rsidR="0031634D">
        <w:t>re</w:t>
      </w:r>
      <w:r>
        <w:t xml:space="preserve"> </w:t>
      </w:r>
      <w:r w:rsidR="0031634D">
        <w:t xml:space="preserve">Benefits Schedule; </w:t>
      </w:r>
      <w:r>
        <w:t>PCI = percutaneous coronary intervention.</w:t>
      </w:r>
    </w:p>
    <w:p w14:paraId="6165E185" w14:textId="6A32BD4F" w:rsidR="009B36FC" w:rsidRPr="007973F4" w:rsidRDefault="009B36FC" w:rsidP="009B36FC">
      <w:pPr>
        <w:pStyle w:val="TableFigureFooter"/>
        <w:spacing w:before="0"/>
      </w:pPr>
      <w:r>
        <w:t>Note: Total cost to MBS has been calculated using 75% benefit but does not take into account the Multiple Operations Rule.</w:t>
      </w:r>
    </w:p>
    <w:p w14:paraId="33E5EF5D" w14:textId="1FCF22AF" w:rsidR="00A60E66" w:rsidRDefault="006554C7" w:rsidP="009179BF">
      <w:bookmarkStart w:id="49" w:name="_Hlk68276814"/>
      <w:r w:rsidRPr="006554C7">
        <w:t xml:space="preserve">MBS costs comprise a minor (less than </w:t>
      </w:r>
      <w:r w:rsidRPr="00DA12C1">
        <w:t>25</w:t>
      </w:r>
      <w:r w:rsidRPr="006554C7">
        <w:t xml:space="preserve">%) component of the overall financial costs. The majority of the costs of </w:t>
      </w:r>
      <w:r>
        <w:t>IVUS a</w:t>
      </w:r>
      <w:r w:rsidRPr="006554C7">
        <w:t>re borne by hospitals and health funds, including capital equipment and consumable costs, which are funded indirectly by the Federal Government through the funding of state level health budgets.</w:t>
      </w:r>
      <w:r>
        <w:t xml:space="preserve"> </w:t>
      </w:r>
      <w:r w:rsidRPr="006554C7">
        <w:t>The most significant cost is associated with the IVUS consumables</w:t>
      </w:r>
      <w:r w:rsidR="008218F0">
        <w:t xml:space="preserve"> (</w:t>
      </w:r>
      <w:r w:rsidR="008218F0" w:rsidRPr="008218F0">
        <w:t>an ima</w:t>
      </w:r>
      <w:r w:rsidR="008218F0" w:rsidRPr="00DA12C1">
        <w:t xml:space="preserve">ging catheter, mini-transducer and console), which is estimated </w:t>
      </w:r>
      <w:r w:rsidR="001E4CD3" w:rsidRPr="00DA12C1">
        <w:t xml:space="preserve">by the applicant </w:t>
      </w:r>
      <w:r w:rsidR="008218F0" w:rsidRPr="00DA12C1">
        <w:t>to be</w:t>
      </w:r>
      <w:r w:rsidR="00DA12C1" w:rsidRPr="00DA12C1">
        <w:t xml:space="preserve"> between $1,000 and $1,500</w:t>
      </w:r>
      <w:r w:rsidR="008218F0" w:rsidRPr="00DA12C1">
        <w:t xml:space="preserve"> </w:t>
      </w:r>
      <w:r w:rsidR="008218F0" w:rsidRPr="001D30F3">
        <w:t>per procedure</w:t>
      </w:r>
      <w:r w:rsidR="008218F0" w:rsidRPr="00DA12C1">
        <w:t xml:space="preserve">. </w:t>
      </w:r>
      <w:r w:rsidR="00593C13" w:rsidRPr="00DA12C1">
        <w:t xml:space="preserve">No breakdown of this cost </w:t>
      </w:r>
      <w:r w:rsidR="00C01612" w:rsidRPr="001D30F3">
        <w:t xml:space="preserve">was </w:t>
      </w:r>
      <w:r w:rsidR="00593C13" w:rsidRPr="001D30F3">
        <w:t xml:space="preserve">provided in the ADAR. </w:t>
      </w:r>
      <w:r w:rsidR="00593C13" w:rsidRPr="001D30F3">
        <w:rPr>
          <w:rStyle w:val="Commentaryemphasisformid-paragraphtext"/>
          <w:i w:val="0"/>
          <w:iCs/>
          <w:color w:val="auto"/>
        </w:rPr>
        <w:t>The imaging catheters are disposable whereas the mini-transducer and console are presumably reusable</w:t>
      </w:r>
      <w:r w:rsidR="00593C13" w:rsidRPr="001D30F3">
        <w:rPr>
          <w:rStyle w:val="Commentaryemphasisformid-paragraphtext"/>
          <w:color w:val="auto"/>
        </w:rPr>
        <w:t xml:space="preserve">. </w:t>
      </w:r>
      <w:r w:rsidR="009179BF" w:rsidRPr="001D30F3">
        <w:t xml:space="preserve">The capital equipment cost per procedure will occur on a per </w:t>
      </w:r>
      <w:r w:rsidR="009179BF" w:rsidRPr="001D30F3">
        <w:lastRenderedPageBreak/>
        <w:t xml:space="preserve">hospital basis, given that each hospital will be required to purchase its own generator. </w:t>
      </w:r>
      <w:r w:rsidR="00A60E66" w:rsidRPr="001D30F3">
        <w:t>The IVUS generator costs $</w:t>
      </w:r>
      <w:r w:rsidR="00652FBB" w:rsidRPr="00652FBB">
        <w:rPr>
          <w:b/>
          <w:bCs/>
        </w:rPr>
        <w:t>redacted</w:t>
      </w:r>
      <w:r w:rsidR="00A60E66" w:rsidRPr="001D30F3">
        <w:t xml:space="preserve"> and has an 8</w:t>
      </w:r>
      <w:r w:rsidR="00A60E66" w:rsidRPr="00DA12C1">
        <w:t>-year life span.</w:t>
      </w:r>
    </w:p>
    <w:p w14:paraId="4C0AD33D" w14:textId="394F29C2" w:rsidR="009179BF" w:rsidRDefault="009179BF" w:rsidP="009179BF">
      <w:r>
        <w:t xml:space="preserve">According to the ADAR, 77 hospitals (30 in the private setting) are </w:t>
      </w:r>
      <w:r w:rsidR="006E6A92">
        <w:t xml:space="preserve">currently </w:t>
      </w:r>
      <w:r>
        <w:t xml:space="preserve">using IVUS in Australia. Given the significant financial outlay required to purchase an IVUS generator, the applicant estimates that no more than </w:t>
      </w:r>
      <w:r w:rsidR="006E6A92">
        <w:t>five</w:t>
      </w:r>
      <w:r>
        <w:t xml:space="preserve"> new hospitals each year will purchase a new IVUS generator if IVUS is listed on the MBS. </w:t>
      </w:r>
      <w:r w:rsidRPr="001D7659">
        <w:t>This may be an underestimate as the cost of procurement may not be high compared to the benefit of MBS funding.</w:t>
      </w:r>
    </w:p>
    <w:p w14:paraId="4C1386CD" w14:textId="55B21088" w:rsidR="006554C7" w:rsidRDefault="009179BF" w:rsidP="009179BF">
      <w:r>
        <w:t xml:space="preserve">If an additional 25 private hospitals across Australia purchase an IVUS generator over the five-year period from 2022 to 2026, there will be a total of 55 generators in the private sector. Using the uptake rates assumed by the applicant, each generator would be used, on average, </w:t>
      </w:r>
      <w:r w:rsidR="00445757">
        <w:t>for</w:t>
      </w:r>
      <w:r>
        <w:t xml:space="preserve"> 172 procedures in 2026 </w:t>
      </w:r>
      <w:r w:rsidR="00445757">
        <w:t>in</w:t>
      </w:r>
      <w:r>
        <w:t xml:space="preserve"> all-comers or</w:t>
      </w:r>
      <w:r w:rsidR="00445757">
        <w:t xml:space="preserve">, alternatively, for </w:t>
      </w:r>
      <w:r>
        <w:t xml:space="preserve">23 procedures </w:t>
      </w:r>
      <w:r w:rsidR="00445757">
        <w:t>in</w:t>
      </w:r>
      <w:r>
        <w:t xml:space="preserve"> patients with complex anatomical characteristics.</w:t>
      </w:r>
    </w:p>
    <w:p w14:paraId="2926A9F4" w14:textId="2FB523FC" w:rsidR="00BD6E01" w:rsidRDefault="00BD6E01" w:rsidP="009179BF">
      <w:r w:rsidRPr="00BD6E01">
        <w:t xml:space="preserve">The estimated </w:t>
      </w:r>
      <w:r>
        <w:t xml:space="preserve">total </w:t>
      </w:r>
      <w:r w:rsidRPr="00BD6E01">
        <w:t xml:space="preserve">cost of IVUS </w:t>
      </w:r>
      <w:r>
        <w:t xml:space="preserve">to private hospitals </w:t>
      </w:r>
      <w:r w:rsidR="00445757" w:rsidRPr="00BD6E01">
        <w:t xml:space="preserve">for </w:t>
      </w:r>
      <w:r w:rsidR="00445757">
        <w:t xml:space="preserve">use in </w:t>
      </w:r>
      <w:r w:rsidR="00445757" w:rsidRPr="00BD6E01">
        <w:t xml:space="preserve">all-comers </w:t>
      </w:r>
      <w:r w:rsidRPr="00BD6E01">
        <w:t xml:space="preserve">is </w:t>
      </w:r>
      <w:r>
        <w:t xml:space="preserve">approximately </w:t>
      </w:r>
      <w:r w:rsidRPr="00BD6E01">
        <w:t>$2,100,</w:t>
      </w:r>
      <w:r>
        <w:t>800</w:t>
      </w:r>
      <w:r w:rsidRPr="00BD6E01">
        <w:t xml:space="preserve"> in 2022, increasing to $11,457,</w:t>
      </w:r>
      <w:r>
        <w:t>400</w:t>
      </w:r>
      <w:r w:rsidRPr="00BD6E01">
        <w:t xml:space="preserve"> in 2026. The estimated cost incurred by hospital budgets for IVUS </w:t>
      </w:r>
      <w:r w:rsidR="00445757">
        <w:t xml:space="preserve">use </w:t>
      </w:r>
      <w:r w:rsidRPr="00BD6E01">
        <w:t xml:space="preserve">in patients with complex anatomical characteristics is </w:t>
      </w:r>
      <w:r>
        <w:t xml:space="preserve">approximately </w:t>
      </w:r>
      <w:r w:rsidRPr="00BD6E01">
        <w:t>$1,115,200 in 2022, increasing to $1,600,2</w:t>
      </w:r>
      <w:r>
        <w:t>00</w:t>
      </w:r>
      <w:r w:rsidRPr="00BD6E01">
        <w:t xml:space="preserve"> in 2026.</w:t>
      </w:r>
    </w:p>
    <w:p w14:paraId="72EBFC63" w14:textId="785E8D4E" w:rsidR="006554C7" w:rsidRDefault="006554C7" w:rsidP="006554C7">
      <w:r>
        <w:t xml:space="preserve">The </w:t>
      </w:r>
      <w:r w:rsidR="00445757">
        <w:t>applicant expects</w:t>
      </w:r>
      <w:r>
        <w:t xml:space="preserve"> there will be cost savings to the PBS in the form of reduced medications due to a reduced incidence of </w:t>
      </w:r>
      <w:r w:rsidR="00961C07">
        <w:t>major cardiac</w:t>
      </w:r>
      <w:r>
        <w:t xml:space="preserve"> events</w:t>
      </w:r>
      <w:r w:rsidR="00445757">
        <w:t xml:space="preserve"> </w:t>
      </w:r>
      <w:r w:rsidR="00961C07">
        <w:t>in patients receiving</w:t>
      </w:r>
      <w:r w:rsidR="00445757">
        <w:t xml:space="preserve"> IVUS</w:t>
      </w:r>
      <w:r w:rsidR="00961C07">
        <w:t>-guided PCI</w:t>
      </w:r>
      <w:r>
        <w:t xml:space="preserve">. </w:t>
      </w:r>
      <w:r w:rsidRPr="00D53187">
        <w:t>It is unclear whether savings to the PBS will be realised in practice as the trials in Section B showed no statistically significant difference in MI between IVUS-guided and angiography-guided PCI. Based on the costs presented in Section D</w:t>
      </w:r>
      <w:r w:rsidR="002F4569">
        <w:t xml:space="preserve"> of the ADAR</w:t>
      </w:r>
      <w:r w:rsidRPr="00D53187">
        <w:t>, any potential reduction in PBS costs is expected to be small.</w:t>
      </w:r>
    </w:p>
    <w:p w14:paraId="174990F5" w14:textId="0423FC97" w:rsidR="006554C7" w:rsidRDefault="00BD6E01" w:rsidP="00D53187">
      <w:r>
        <w:t>Patient out-of-pocket costs were not considered in the ADAR.</w:t>
      </w:r>
    </w:p>
    <w:p w14:paraId="7838A9FF" w14:textId="2ABE6FB5" w:rsidR="00772829" w:rsidRDefault="00C36633" w:rsidP="002A18BE">
      <w:pPr>
        <w:pStyle w:val="Heading2"/>
        <w:numPr>
          <w:ilvl w:val="0"/>
          <w:numId w:val="0"/>
        </w:numPr>
      </w:pPr>
      <w:bookmarkStart w:id="50" w:name="_Toc69491427"/>
      <w:bookmarkEnd w:id="49"/>
      <w:r>
        <w:t>1</w:t>
      </w:r>
      <w:r w:rsidR="005F6A3D">
        <w:t>5</w:t>
      </w:r>
      <w:r>
        <w:t>.</w:t>
      </w:r>
      <w:r>
        <w:tab/>
      </w:r>
      <w:r w:rsidR="00772829" w:rsidRPr="00CE28E3">
        <w:t xml:space="preserve">Other relevant </w:t>
      </w:r>
      <w:bookmarkEnd w:id="50"/>
      <w:r w:rsidR="00FA5766">
        <w:t>information</w:t>
      </w:r>
    </w:p>
    <w:p w14:paraId="1B03F1AA" w14:textId="32AE94F2" w:rsidR="00EA65B7" w:rsidRPr="00674D98" w:rsidRDefault="00EA65B7" w:rsidP="00EA65B7">
      <w:bookmarkStart w:id="51" w:name="_Toc69491428"/>
      <w:r>
        <w:t>An independent scan of clinical trial registries identified two large ongoing RCTs in the United States, Canada and Europe that may be of interest to MSAC: IVUS-CHIP (</w:t>
      </w:r>
      <w:hyperlink r:id="rId45" w:tooltip="The link is to the ClinicalTrials.gov website entry for this trial" w:history="1">
        <w:r w:rsidRPr="00EA65B7">
          <w:rPr>
            <w:rStyle w:val="Hyperlink"/>
          </w:rPr>
          <w:t>NCT04854070</w:t>
        </w:r>
      </w:hyperlink>
      <w:r>
        <w:t>) and IMPROVE (</w:t>
      </w:r>
      <w:hyperlink r:id="rId46" w:tooltip="The link is to the CLinicalTrials.gov website entry for this trial" w:history="1">
        <w:r w:rsidRPr="00EA65B7">
          <w:rPr>
            <w:rStyle w:val="Hyperlink"/>
          </w:rPr>
          <w:t>NCT04221815</w:t>
        </w:r>
      </w:hyperlink>
      <w:r>
        <w:t xml:space="preserve">). These RCTs (which are both </w:t>
      </w:r>
      <w:r w:rsidR="00961C07">
        <w:t>expected</w:t>
      </w:r>
      <w:r>
        <w:t xml:space="preserve"> to be completed by 2025) compare IVUS-guided PCI with angiography-guided PCI in patients with high risk or complex coronary lesions (broader than long lesions and left main lesions). </w:t>
      </w:r>
      <w:r w:rsidR="001B7469">
        <w:t xml:space="preserve">Follow-up is at least 2 years. </w:t>
      </w:r>
      <w:r>
        <w:t>Of note, there are also several large-scale trials of OCT underway, either as an alternative to IVUS or comparing OCT with IVUS.</w:t>
      </w:r>
    </w:p>
    <w:p w14:paraId="60844D8D" w14:textId="6067B145" w:rsidR="005F6A3D" w:rsidRDefault="00487C85" w:rsidP="005F6A3D">
      <w:pPr>
        <w:pStyle w:val="Heading2"/>
        <w:numPr>
          <w:ilvl w:val="0"/>
          <w:numId w:val="0"/>
        </w:numPr>
        <w:rPr>
          <w:rFonts w:ascii="Arial" w:hAnsi="Arial"/>
        </w:rPr>
      </w:pPr>
      <w:r>
        <w:lastRenderedPageBreak/>
        <w:t>1</w:t>
      </w:r>
      <w:r w:rsidR="005F6A3D">
        <w:t>6</w:t>
      </w:r>
      <w:r>
        <w:t>.</w:t>
      </w:r>
      <w:r>
        <w:tab/>
      </w:r>
      <w:bookmarkEnd w:id="51"/>
      <w:r w:rsidR="005F6A3D">
        <w:t>Key issues from ESC to MSAC</w:t>
      </w:r>
    </w:p>
    <w:tbl>
      <w:tblPr>
        <w:tblStyle w:val="TableGrid"/>
        <w:tblW w:w="0" w:type="auto"/>
        <w:tblLook w:val="04A0" w:firstRow="1" w:lastRow="0" w:firstColumn="1" w:lastColumn="0" w:noHBand="0" w:noVBand="1"/>
      </w:tblPr>
      <w:tblGrid>
        <w:gridCol w:w="2258"/>
        <w:gridCol w:w="6758"/>
      </w:tblGrid>
      <w:tr w:rsidR="005F6A3D" w:rsidRPr="00D968CD" w14:paraId="556B54B4" w14:textId="77777777" w:rsidTr="005F6A3D">
        <w:tc>
          <w:tcPr>
            <w:tcW w:w="0" w:type="auto"/>
            <w:tcBorders>
              <w:top w:val="single" w:sz="4" w:space="0" w:color="auto"/>
              <w:left w:val="single" w:sz="4" w:space="0" w:color="auto"/>
              <w:bottom w:val="single" w:sz="4" w:space="0" w:color="auto"/>
              <w:right w:val="single" w:sz="4" w:space="0" w:color="auto"/>
            </w:tcBorders>
            <w:hideMark/>
          </w:tcPr>
          <w:p w14:paraId="4E9FF5EF" w14:textId="77777777" w:rsidR="005F6A3D" w:rsidRPr="00D968CD" w:rsidRDefault="005F6A3D" w:rsidP="005F6A3D">
            <w:pPr>
              <w:pStyle w:val="TableHeading"/>
              <w:rPr>
                <w:rFonts w:ascii="Franklin Gothic Book" w:hAnsi="Franklin Gothic Book" w:cs="Times New Roman"/>
                <w:sz w:val="21"/>
                <w:szCs w:val="21"/>
              </w:rPr>
            </w:pPr>
            <w:r w:rsidRPr="00D968CD">
              <w:rPr>
                <w:rFonts w:ascii="Franklin Gothic Book" w:hAnsi="Franklin Gothic Book" w:cs="Times New Roman"/>
                <w:sz w:val="21"/>
                <w:szCs w:val="21"/>
              </w:rPr>
              <w:t>ESC key issue</w:t>
            </w:r>
          </w:p>
        </w:tc>
        <w:tc>
          <w:tcPr>
            <w:tcW w:w="0" w:type="auto"/>
            <w:tcBorders>
              <w:top w:val="single" w:sz="4" w:space="0" w:color="auto"/>
              <w:left w:val="single" w:sz="4" w:space="0" w:color="auto"/>
              <w:bottom w:val="single" w:sz="4" w:space="0" w:color="auto"/>
              <w:right w:val="single" w:sz="4" w:space="0" w:color="auto"/>
            </w:tcBorders>
            <w:hideMark/>
          </w:tcPr>
          <w:p w14:paraId="69AAB840" w14:textId="77777777" w:rsidR="005F6A3D" w:rsidRPr="00D968CD" w:rsidRDefault="005F6A3D" w:rsidP="005F6A3D">
            <w:pPr>
              <w:pStyle w:val="TableHeading"/>
              <w:rPr>
                <w:rFonts w:ascii="Franklin Gothic Book" w:hAnsi="Franklin Gothic Book" w:cs="Times New Roman"/>
                <w:sz w:val="21"/>
                <w:szCs w:val="21"/>
              </w:rPr>
            </w:pPr>
            <w:r w:rsidRPr="00D968CD">
              <w:rPr>
                <w:rFonts w:ascii="Franklin Gothic Book" w:hAnsi="Franklin Gothic Book" w:cs="Times New Roman"/>
                <w:sz w:val="21"/>
                <w:szCs w:val="21"/>
              </w:rPr>
              <w:t>ESC advice to MSAC</w:t>
            </w:r>
          </w:p>
        </w:tc>
      </w:tr>
      <w:tr w:rsidR="005F6A3D" w:rsidRPr="00A80CC4" w14:paraId="2389307B" w14:textId="77777777" w:rsidTr="005F6A3D">
        <w:tc>
          <w:tcPr>
            <w:tcW w:w="0" w:type="auto"/>
            <w:tcBorders>
              <w:top w:val="single" w:sz="4" w:space="0" w:color="auto"/>
              <w:left w:val="single" w:sz="4" w:space="0" w:color="auto"/>
              <w:bottom w:val="single" w:sz="4" w:space="0" w:color="auto"/>
              <w:right w:val="single" w:sz="4" w:space="0" w:color="auto"/>
            </w:tcBorders>
          </w:tcPr>
          <w:p w14:paraId="119D54FC" w14:textId="77777777" w:rsidR="005F6A3D" w:rsidRPr="006837FC" w:rsidRDefault="005F6A3D" w:rsidP="005F6A3D">
            <w:pPr>
              <w:pStyle w:val="TableText1"/>
              <w:jc w:val="left"/>
              <w:rPr>
                <w:rFonts w:ascii="Franklin Gothic Book" w:hAnsi="Franklin Gothic Book" w:cs="Times New Roman"/>
                <w:sz w:val="21"/>
                <w:szCs w:val="21"/>
              </w:rPr>
            </w:pPr>
            <w:r w:rsidRPr="008805F8">
              <w:rPr>
                <w:rFonts w:ascii="Franklin Gothic Book" w:hAnsi="Franklin Gothic Book" w:cs="Times New Roman"/>
                <w:sz w:val="21"/>
                <w:szCs w:val="21"/>
              </w:rPr>
              <w:t>Restriction of clinical providers</w:t>
            </w:r>
          </w:p>
        </w:tc>
        <w:tc>
          <w:tcPr>
            <w:tcW w:w="0" w:type="auto"/>
            <w:tcBorders>
              <w:top w:val="single" w:sz="4" w:space="0" w:color="auto"/>
              <w:left w:val="single" w:sz="4" w:space="0" w:color="auto"/>
              <w:bottom w:val="single" w:sz="4" w:space="0" w:color="auto"/>
              <w:right w:val="single" w:sz="4" w:space="0" w:color="auto"/>
            </w:tcBorders>
          </w:tcPr>
          <w:p w14:paraId="5BD207FC" w14:textId="77777777" w:rsidR="005F6A3D" w:rsidRPr="006837FC" w:rsidRDefault="005F6A3D" w:rsidP="005F6A3D">
            <w:pPr>
              <w:pStyle w:val="TableText1"/>
              <w:jc w:val="left"/>
              <w:rPr>
                <w:rFonts w:ascii="Franklin Gothic Book" w:hAnsi="Franklin Gothic Book" w:cs="Times New Roman"/>
                <w:sz w:val="21"/>
                <w:szCs w:val="21"/>
              </w:rPr>
            </w:pPr>
            <w:r w:rsidRPr="008805F8">
              <w:rPr>
                <w:rFonts w:ascii="Franklin Gothic Book" w:hAnsi="Franklin Gothic Book" w:cs="Times New Roman"/>
                <w:sz w:val="21"/>
                <w:szCs w:val="21"/>
              </w:rPr>
              <w:t>The service should be restricted to accredited providers or those with specific training. The appropriate training standard needs to be confirmed and included in the item descriptor explanatory notes.</w:t>
            </w:r>
          </w:p>
        </w:tc>
      </w:tr>
      <w:tr w:rsidR="005F6A3D" w:rsidRPr="00A80CC4" w14:paraId="61388618" w14:textId="77777777" w:rsidTr="005F6A3D">
        <w:tc>
          <w:tcPr>
            <w:tcW w:w="0" w:type="auto"/>
            <w:tcBorders>
              <w:top w:val="single" w:sz="4" w:space="0" w:color="auto"/>
              <w:left w:val="single" w:sz="4" w:space="0" w:color="auto"/>
              <w:bottom w:val="single" w:sz="4" w:space="0" w:color="auto"/>
              <w:right w:val="single" w:sz="4" w:space="0" w:color="auto"/>
            </w:tcBorders>
            <w:hideMark/>
          </w:tcPr>
          <w:p w14:paraId="6115A1AB" w14:textId="77777777" w:rsidR="005F6A3D" w:rsidRPr="00C22BFD" w:rsidRDefault="005F6A3D" w:rsidP="005F6A3D">
            <w:pPr>
              <w:pStyle w:val="TableText1"/>
              <w:jc w:val="left"/>
              <w:rPr>
                <w:rFonts w:ascii="Franklin Gothic Book" w:hAnsi="Franklin Gothic Book" w:cs="Times New Roman"/>
                <w:sz w:val="21"/>
                <w:szCs w:val="21"/>
              </w:rPr>
            </w:pPr>
            <w:r w:rsidRPr="00C22BFD">
              <w:rPr>
                <w:rFonts w:ascii="Franklin Gothic Book" w:hAnsi="Franklin Gothic Book" w:cs="Times New Roman"/>
                <w:sz w:val="21"/>
                <w:szCs w:val="21"/>
              </w:rPr>
              <w:t>Item descriptor</w:t>
            </w:r>
          </w:p>
        </w:tc>
        <w:tc>
          <w:tcPr>
            <w:tcW w:w="0" w:type="auto"/>
            <w:tcBorders>
              <w:top w:val="single" w:sz="4" w:space="0" w:color="auto"/>
              <w:left w:val="single" w:sz="4" w:space="0" w:color="auto"/>
              <w:bottom w:val="single" w:sz="4" w:space="0" w:color="auto"/>
              <w:right w:val="single" w:sz="4" w:space="0" w:color="auto"/>
            </w:tcBorders>
            <w:hideMark/>
          </w:tcPr>
          <w:p w14:paraId="15E805CC" w14:textId="77777777" w:rsidR="005F6A3D" w:rsidRDefault="005F6A3D" w:rsidP="005F6A3D">
            <w:pPr>
              <w:pStyle w:val="TableText1"/>
              <w:jc w:val="left"/>
              <w:rPr>
                <w:rFonts w:ascii="Franklin Gothic Book" w:hAnsi="Franklin Gothic Book" w:cs="Times New Roman"/>
                <w:sz w:val="21"/>
                <w:szCs w:val="21"/>
              </w:rPr>
            </w:pPr>
            <w:r w:rsidRPr="00C22BFD">
              <w:rPr>
                <w:rFonts w:ascii="Franklin Gothic Book" w:hAnsi="Franklin Gothic Book" w:cs="Times New Roman"/>
                <w:sz w:val="21"/>
                <w:szCs w:val="21"/>
              </w:rPr>
              <w:t xml:space="preserve">The </w:t>
            </w:r>
            <w:r>
              <w:rPr>
                <w:rFonts w:ascii="Franklin Gothic Book" w:hAnsi="Franklin Gothic Book" w:cs="Times New Roman"/>
                <w:sz w:val="21"/>
                <w:szCs w:val="21"/>
              </w:rPr>
              <w:t xml:space="preserve">item </w:t>
            </w:r>
            <w:r w:rsidRPr="00C22BFD">
              <w:rPr>
                <w:rFonts w:ascii="Franklin Gothic Book" w:hAnsi="Franklin Gothic Book" w:cs="Times New Roman"/>
                <w:sz w:val="21"/>
                <w:szCs w:val="21"/>
              </w:rPr>
              <w:t>descriptor</w:t>
            </w:r>
            <w:r>
              <w:rPr>
                <w:rFonts w:ascii="Franklin Gothic Book" w:hAnsi="Franklin Gothic Book" w:cs="Times New Roman"/>
                <w:sz w:val="21"/>
                <w:szCs w:val="21"/>
              </w:rPr>
              <w:t>s</w:t>
            </w:r>
            <w:r w:rsidRPr="00C22BFD">
              <w:rPr>
                <w:rFonts w:ascii="Franklin Gothic Book" w:hAnsi="Franklin Gothic Book" w:cs="Times New Roman"/>
                <w:sz w:val="21"/>
                <w:szCs w:val="21"/>
              </w:rPr>
              <w:t xml:space="preserve"> should state that the service is claimable once in a single episode of care (for one or more lesions).</w:t>
            </w:r>
          </w:p>
          <w:p w14:paraId="01333370" w14:textId="77777777" w:rsidR="005F6A3D" w:rsidRPr="00C22BFD" w:rsidRDefault="005F6A3D" w:rsidP="005F6A3D">
            <w:pPr>
              <w:pStyle w:val="TableText1"/>
              <w:jc w:val="left"/>
              <w:rPr>
                <w:rFonts w:ascii="Franklin Gothic Book" w:hAnsi="Franklin Gothic Book" w:cs="Times New Roman"/>
                <w:sz w:val="21"/>
                <w:szCs w:val="21"/>
              </w:rPr>
            </w:pPr>
            <w:r>
              <w:rPr>
                <w:rFonts w:ascii="Franklin Gothic Book" w:hAnsi="Franklin Gothic Book" w:cs="Times New Roman"/>
                <w:sz w:val="21"/>
                <w:szCs w:val="21"/>
              </w:rPr>
              <w:t xml:space="preserve">For both items, MSAC could consider removal of invasive coronary angiogram, </w:t>
            </w:r>
            <w:r w:rsidRPr="00564116">
              <w:rPr>
                <w:rFonts w:ascii="Franklin Gothic Book" w:hAnsi="Franklin Gothic Book" w:cs="Times New Roman"/>
                <w:sz w:val="21"/>
                <w:szCs w:val="21"/>
              </w:rPr>
              <w:t>which may unintentionally preclude use of IVUS with standalone PCI where selective angiography has been performed in the previous 3 months</w:t>
            </w:r>
            <w:r>
              <w:rPr>
                <w:rFonts w:ascii="Franklin Gothic Book" w:hAnsi="Franklin Gothic Book" w:cs="Times New Roman"/>
                <w:sz w:val="21"/>
                <w:szCs w:val="21"/>
              </w:rPr>
              <w:t xml:space="preserve"> </w:t>
            </w:r>
          </w:p>
          <w:p w14:paraId="2448F860" w14:textId="77777777" w:rsidR="005F6A3D" w:rsidRPr="006E72B3" w:rsidRDefault="005F6A3D" w:rsidP="005F6A3D">
            <w:pPr>
              <w:pStyle w:val="TableText1"/>
              <w:jc w:val="left"/>
              <w:rPr>
                <w:rFonts w:ascii="Franklin Gothic Book" w:hAnsi="Franklin Gothic Book" w:cs="Times New Roman"/>
                <w:sz w:val="21"/>
                <w:szCs w:val="21"/>
              </w:rPr>
            </w:pPr>
            <w:r w:rsidRPr="00C22BFD">
              <w:rPr>
                <w:rFonts w:ascii="Franklin Gothic Book" w:hAnsi="Franklin Gothic Book" w:cs="Times New Roman"/>
                <w:sz w:val="21"/>
                <w:szCs w:val="21"/>
              </w:rPr>
              <w:t>The threshold of stenosis, defined as 50%</w:t>
            </w:r>
            <w:r>
              <w:rPr>
                <w:rFonts w:ascii="Franklin Gothic Book" w:hAnsi="Franklin Gothic Book" w:cs="Times New Roman"/>
                <w:sz w:val="21"/>
                <w:szCs w:val="21"/>
              </w:rPr>
              <w:t xml:space="preserve"> of the lumen</w:t>
            </w:r>
            <w:r w:rsidRPr="00C22BFD">
              <w:rPr>
                <w:rFonts w:ascii="Franklin Gothic Book" w:hAnsi="Franklin Gothic Book" w:cs="Times New Roman"/>
                <w:sz w:val="21"/>
                <w:szCs w:val="21"/>
              </w:rPr>
              <w:t xml:space="preserve"> or more, does not meet the threshold specified in MBS explanatory note TR.8.4 for stable PCI indications (70%). A stenosis threshold should be identified in the item descriptor for </w:t>
            </w:r>
            <w:r>
              <w:rPr>
                <w:rFonts w:ascii="Franklin Gothic Book" w:hAnsi="Franklin Gothic Book" w:cs="Times New Roman"/>
                <w:sz w:val="21"/>
                <w:szCs w:val="21"/>
              </w:rPr>
              <w:t xml:space="preserve">patients with </w:t>
            </w:r>
            <w:r w:rsidRPr="002C0D1E">
              <w:rPr>
                <w:rFonts w:ascii="Franklin Gothic Book" w:hAnsi="Franklin Gothic Book" w:cs="Times New Roman"/>
                <w:sz w:val="21"/>
                <w:szCs w:val="21"/>
              </w:rPr>
              <w:t>complex anatomical characteristics</w:t>
            </w:r>
            <w:r w:rsidRPr="006E72B3">
              <w:rPr>
                <w:rFonts w:ascii="Franklin Gothic Book" w:hAnsi="Franklin Gothic Book" w:cs="Times New Roman"/>
                <w:sz w:val="21"/>
                <w:szCs w:val="21"/>
              </w:rPr>
              <w:t>.</w:t>
            </w:r>
          </w:p>
          <w:p w14:paraId="1E6D468E" w14:textId="77777777" w:rsidR="005F6A3D" w:rsidRPr="006E72B3" w:rsidRDefault="005F6A3D" w:rsidP="005F6A3D">
            <w:pPr>
              <w:pStyle w:val="TableText1"/>
              <w:jc w:val="left"/>
              <w:rPr>
                <w:rFonts w:ascii="Franklin Gothic Book" w:hAnsi="Franklin Gothic Book" w:cs="Times New Roman"/>
                <w:sz w:val="21"/>
                <w:szCs w:val="21"/>
              </w:rPr>
            </w:pPr>
            <w:r w:rsidRPr="006E72B3">
              <w:rPr>
                <w:rFonts w:ascii="Franklin Gothic Book" w:hAnsi="Franklin Gothic Book" w:cs="Times New Roman"/>
                <w:sz w:val="21"/>
                <w:szCs w:val="21"/>
              </w:rPr>
              <w:t xml:space="preserve">In the item descriptor for </w:t>
            </w:r>
            <w:r w:rsidRPr="00AB4A51">
              <w:rPr>
                <w:rFonts w:ascii="Franklin Gothic Book" w:hAnsi="Franklin Gothic Book" w:cs="Times New Roman"/>
                <w:sz w:val="21"/>
                <w:szCs w:val="21"/>
              </w:rPr>
              <w:t>patients with complex anatomical characteristics</w:t>
            </w:r>
            <w:r w:rsidRPr="006E72B3">
              <w:rPr>
                <w:rFonts w:ascii="Franklin Gothic Book" w:hAnsi="Franklin Gothic Book" w:cs="Times New Roman"/>
                <w:sz w:val="21"/>
                <w:szCs w:val="21"/>
              </w:rPr>
              <w:t>, the requirement to have suitability for PCI determined by a heart team should be removed.</w:t>
            </w:r>
          </w:p>
        </w:tc>
      </w:tr>
      <w:tr w:rsidR="005F6A3D" w:rsidRPr="00A80CC4" w14:paraId="648DBF8C" w14:textId="77777777" w:rsidTr="005F6A3D">
        <w:tc>
          <w:tcPr>
            <w:tcW w:w="0" w:type="auto"/>
            <w:tcBorders>
              <w:top w:val="single" w:sz="4" w:space="0" w:color="auto"/>
              <w:left w:val="single" w:sz="4" w:space="0" w:color="auto"/>
              <w:bottom w:val="single" w:sz="4" w:space="0" w:color="auto"/>
              <w:right w:val="single" w:sz="4" w:space="0" w:color="auto"/>
            </w:tcBorders>
          </w:tcPr>
          <w:p w14:paraId="507D3A5F" w14:textId="77777777" w:rsidR="005F6A3D" w:rsidRPr="006837FC" w:rsidRDefault="005F6A3D" w:rsidP="005F6A3D">
            <w:pPr>
              <w:pStyle w:val="TableText1"/>
              <w:jc w:val="left"/>
              <w:rPr>
                <w:rFonts w:ascii="Franklin Gothic Book" w:hAnsi="Franklin Gothic Book" w:cs="Times New Roman"/>
                <w:sz w:val="21"/>
                <w:szCs w:val="21"/>
              </w:rPr>
            </w:pPr>
            <w:r>
              <w:rPr>
                <w:rFonts w:ascii="Franklin Gothic Book" w:hAnsi="Franklin Gothic Book" w:cs="Times New Roman"/>
                <w:sz w:val="21"/>
                <w:szCs w:val="21"/>
              </w:rPr>
              <w:t>Clinical trial data- all populations</w:t>
            </w:r>
          </w:p>
        </w:tc>
        <w:tc>
          <w:tcPr>
            <w:tcW w:w="0" w:type="auto"/>
            <w:tcBorders>
              <w:top w:val="single" w:sz="4" w:space="0" w:color="auto"/>
              <w:left w:val="single" w:sz="4" w:space="0" w:color="auto"/>
              <w:bottom w:val="single" w:sz="4" w:space="0" w:color="auto"/>
              <w:right w:val="single" w:sz="4" w:space="0" w:color="auto"/>
            </w:tcBorders>
          </w:tcPr>
          <w:p w14:paraId="6F352307" w14:textId="77777777" w:rsidR="005F6A3D" w:rsidRPr="006837FC" w:rsidRDefault="005F6A3D" w:rsidP="005F6A3D">
            <w:pPr>
              <w:pStyle w:val="TableText1"/>
              <w:jc w:val="left"/>
              <w:rPr>
                <w:rFonts w:ascii="Franklin Gothic Book" w:hAnsi="Franklin Gothic Book" w:cs="Times New Roman"/>
                <w:sz w:val="21"/>
                <w:szCs w:val="21"/>
              </w:rPr>
            </w:pPr>
            <w:r w:rsidRPr="007C41B3">
              <w:rPr>
                <w:rFonts w:ascii="Franklin Gothic Book" w:hAnsi="Franklin Gothic Book" w:cs="Times New Roman"/>
                <w:sz w:val="21"/>
                <w:szCs w:val="21"/>
              </w:rPr>
              <w:t>All trials were powered for composite outcomes and were unable to show statistically significant differences in cardiac mortality or myocardial infarction (MI) at any of the time points reported</w:t>
            </w:r>
            <w:r>
              <w:rPr>
                <w:rFonts w:ascii="Franklin Gothic Book" w:hAnsi="Franklin Gothic Book" w:cs="Times New Roman"/>
                <w:sz w:val="21"/>
                <w:szCs w:val="21"/>
              </w:rPr>
              <w:t xml:space="preserve">. </w:t>
            </w:r>
            <w:r w:rsidRPr="006837FC">
              <w:rPr>
                <w:rFonts w:ascii="Franklin Gothic Book" w:hAnsi="Franklin Gothic Book" w:cs="Times New Roman"/>
                <w:sz w:val="21"/>
                <w:szCs w:val="21"/>
              </w:rPr>
              <w:t>Nonetheless ESC noted the effect of IVUS on MI was sustained over trial follow-up</w:t>
            </w:r>
            <w:r>
              <w:rPr>
                <w:rFonts w:ascii="Franklin Gothic Book" w:hAnsi="Franklin Gothic Book" w:cs="Times New Roman"/>
                <w:sz w:val="21"/>
                <w:szCs w:val="21"/>
              </w:rPr>
              <w:t>.</w:t>
            </w:r>
          </w:p>
        </w:tc>
      </w:tr>
      <w:tr w:rsidR="005F6A3D" w:rsidRPr="00A80CC4" w14:paraId="0DE124DF" w14:textId="77777777" w:rsidTr="005F6A3D">
        <w:tc>
          <w:tcPr>
            <w:tcW w:w="0" w:type="auto"/>
            <w:tcBorders>
              <w:top w:val="single" w:sz="4" w:space="0" w:color="auto"/>
              <w:left w:val="single" w:sz="4" w:space="0" w:color="auto"/>
              <w:bottom w:val="single" w:sz="4" w:space="0" w:color="auto"/>
              <w:right w:val="single" w:sz="4" w:space="0" w:color="auto"/>
            </w:tcBorders>
            <w:hideMark/>
          </w:tcPr>
          <w:p w14:paraId="2CFA4F61" w14:textId="77777777" w:rsidR="005F6A3D" w:rsidRPr="00C22BFD" w:rsidRDefault="005F6A3D" w:rsidP="005F6A3D">
            <w:pPr>
              <w:pStyle w:val="TableText1"/>
              <w:jc w:val="left"/>
              <w:rPr>
                <w:rFonts w:ascii="Franklin Gothic Book" w:hAnsi="Franklin Gothic Book" w:cs="Times New Roman"/>
                <w:sz w:val="21"/>
                <w:szCs w:val="21"/>
              </w:rPr>
            </w:pPr>
            <w:r>
              <w:rPr>
                <w:rFonts w:ascii="Franklin Gothic Book" w:hAnsi="Franklin Gothic Book" w:cs="Times New Roman"/>
                <w:sz w:val="21"/>
                <w:szCs w:val="21"/>
              </w:rPr>
              <w:t xml:space="preserve">The </w:t>
            </w:r>
            <w:r w:rsidRPr="00C22BFD">
              <w:rPr>
                <w:rFonts w:ascii="Franklin Gothic Book" w:hAnsi="Franklin Gothic Book" w:cs="Times New Roman"/>
                <w:sz w:val="21"/>
                <w:szCs w:val="21"/>
              </w:rPr>
              <w:t>evidence</w:t>
            </w:r>
            <w:r>
              <w:rPr>
                <w:rFonts w:ascii="Franklin Gothic Book" w:hAnsi="Franklin Gothic Book" w:cs="Times New Roman"/>
                <w:sz w:val="21"/>
                <w:szCs w:val="21"/>
              </w:rPr>
              <w:t xml:space="preserve"> supporting the predominant use of IVUS (left main lesions)</w:t>
            </w:r>
          </w:p>
        </w:tc>
        <w:tc>
          <w:tcPr>
            <w:tcW w:w="0" w:type="auto"/>
            <w:tcBorders>
              <w:top w:val="single" w:sz="4" w:space="0" w:color="auto"/>
              <w:left w:val="single" w:sz="4" w:space="0" w:color="auto"/>
              <w:bottom w:val="single" w:sz="4" w:space="0" w:color="auto"/>
              <w:right w:val="single" w:sz="4" w:space="0" w:color="auto"/>
            </w:tcBorders>
            <w:hideMark/>
          </w:tcPr>
          <w:p w14:paraId="19C3F6D6" w14:textId="77777777" w:rsidR="005F6A3D" w:rsidRPr="00C22BFD" w:rsidRDefault="005F6A3D" w:rsidP="005F6A3D">
            <w:pPr>
              <w:pStyle w:val="TableText1"/>
              <w:jc w:val="left"/>
              <w:rPr>
                <w:rFonts w:ascii="Franklin Gothic Book" w:hAnsi="Franklin Gothic Book" w:cs="Times New Roman"/>
                <w:sz w:val="21"/>
                <w:szCs w:val="21"/>
              </w:rPr>
            </w:pPr>
            <w:r w:rsidRPr="00C22BFD">
              <w:rPr>
                <w:rFonts w:ascii="Franklin Gothic Book" w:hAnsi="Franklin Gothic Book" w:cs="Times New Roman"/>
                <w:sz w:val="21"/>
                <w:szCs w:val="21"/>
              </w:rPr>
              <w:t xml:space="preserve">The evidence provided for </w:t>
            </w:r>
            <w:r>
              <w:rPr>
                <w:rFonts w:ascii="Franklin Gothic Book" w:hAnsi="Franklin Gothic Book" w:cs="Times New Roman"/>
                <w:sz w:val="21"/>
                <w:szCs w:val="21"/>
              </w:rPr>
              <w:t xml:space="preserve">patients with left main lesions </w:t>
            </w:r>
            <w:r w:rsidRPr="00C22BFD">
              <w:rPr>
                <w:rFonts w:ascii="Franklin Gothic Book" w:hAnsi="Franklin Gothic Book" w:cs="Times New Roman"/>
                <w:sz w:val="21"/>
                <w:szCs w:val="21"/>
              </w:rPr>
              <w:t>comprised two RCTs with low participant numbers</w:t>
            </w:r>
            <w:r>
              <w:rPr>
                <w:rFonts w:ascii="Franklin Gothic Book" w:hAnsi="Franklin Gothic Book" w:cs="Times New Roman"/>
                <w:sz w:val="21"/>
                <w:szCs w:val="21"/>
              </w:rPr>
              <w:t>, and only 2-year trial follow-up.</w:t>
            </w:r>
            <w:r w:rsidRPr="00C22BFD">
              <w:rPr>
                <w:rFonts w:ascii="Franklin Gothic Book" w:hAnsi="Franklin Gothic Book" w:cs="Times New Roman"/>
                <w:sz w:val="21"/>
                <w:szCs w:val="21"/>
              </w:rPr>
              <w:t xml:space="preserve"> </w:t>
            </w:r>
            <w:r>
              <w:rPr>
                <w:rFonts w:ascii="Franklin Gothic Book" w:hAnsi="Franklin Gothic Book" w:cs="Times New Roman"/>
                <w:sz w:val="21"/>
                <w:szCs w:val="21"/>
              </w:rPr>
              <w:t>Overall, t</w:t>
            </w:r>
            <w:r w:rsidRPr="00C22BFD">
              <w:rPr>
                <w:rFonts w:ascii="Franklin Gothic Book" w:hAnsi="Franklin Gothic Book" w:cs="Times New Roman"/>
                <w:sz w:val="21"/>
                <w:szCs w:val="21"/>
              </w:rPr>
              <w:t xml:space="preserve">he quality of evidence was considered </w:t>
            </w:r>
            <w:r>
              <w:rPr>
                <w:rFonts w:ascii="Franklin Gothic Book" w:hAnsi="Franklin Gothic Book" w:cs="Times New Roman"/>
                <w:sz w:val="21"/>
                <w:szCs w:val="21"/>
              </w:rPr>
              <w:t xml:space="preserve">very </w:t>
            </w:r>
            <w:r w:rsidRPr="00C22BFD">
              <w:rPr>
                <w:rFonts w:ascii="Franklin Gothic Book" w:hAnsi="Franklin Gothic Book" w:cs="Times New Roman"/>
                <w:sz w:val="21"/>
                <w:szCs w:val="21"/>
              </w:rPr>
              <w:t>low.</w:t>
            </w:r>
          </w:p>
        </w:tc>
      </w:tr>
      <w:tr w:rsidR="005F6A3D" w:rsidRPr="00A80CC4" w14:paraId="73505BFB" w14:textId="77777777" w:rsidTr="005F6A3D">
        <w:tc>
          <w:tcPr>
            <w:tcW w:w="0" w:type="auto"/>
            <w:tcBorders>
              <w:top w:val="single" w:sz="4" w:space="0" w:color="auto"/>
              <w:left w:val="single" w:sz="4" w:space="0" w:color="auto"/>
              <w:bottom w:val="single" w:sz="4" w:space="0" w:color="auto"/>
              <w:right w:val="single" w:sz="4" w:space="0" w:color="auto"/>
            </w:tcBorders>
            <w:hideMark/>
          </w:tcPr>
          <w:p w14:paraId="11502A2C" w14:textId="77777777" w:rsidR="005F6A3D" w:rsidRPr="00C22BFD" w:rsidRDefault="005F6A3D" w:rsidP="005F6A3D">
            <w:pPr>
              <w:pStyle w:val="TableText1"/>
              <w:jc w:val="left"/>
              <w:rPr>
                <w:rFonts w:ascii="Franklin Gothic Book" w:hAnsi="Franklin Gothic Book" w:cs="Times New Roman"/>
                <w:sz w:val="21"/>
                <w:szCs w:val="21"/>
              </w:rPr>
            </w:pPr>
            <w:r w:rsidRPr="00C22BFD">
              <w:rPr>
                <w:rFonts w:ascii="Franklin Gothic Book" w:hAnsi="Franklin Gothic Book" w:cs="Times New Roman"/>
                <w:sz w:val="21"/>
                <w:szCs w:val="21"/>
              </w:rPr>
              <w:t>Time horizon</w:t>
            </w:r>
          </w:p>
        </w:tc>
        <w:tc>
          <w:tcPr>
            <w:tcW w:w="0" w:type="auto"/>
            <w:tcBorders>
              <w:top w:val="single" w:sz="4" w:space="0" w:color="auto"/>
              <w:left w:val="single" w:sz="4" w:space="0" w:color="auto"/>
              <w:bottom w:val="single" w:sz="4" w:space="0" w:color="auto"/>
              <w:right w:val="single" w:sz="4" w:space="0" w:color="auto"/>
            </w:tcBorders>
            <w:hideMark/>
          </w:tcPr>
          <w:p w14:paraId="4B6EA570" w14:textId="77777777" w:rsidR="005F6A3D" w:rsidRPr="00C22BFD" w:rsidRDefault="005F6A3D" w:rsidP="005F6A3D">
            <w:pPr>
              <w:pStyle w:val="TableText1"/>
              <w:jc w:val="left"/>
              <w:rPr>
                <w:rFonts w:ascii="Franklin Gothic Book" w:hAnsi="Franklin Gothic Book" w:cs="Times New Roman"/>
                <w:sz w:val="21"/>
                <w:szCs w:val="21"/>
              </w:rPr>
            </w:pPr>
            <w:r w:rsidRPr="008805F8">
              <w:rPr>
                <w:rFonts w:ascii="Franklin Gothic Book" w:hAnsi="Franklin Gothic Book" w:cs="Times New Roman"/>
                <w:sz w:val="21"/>
                <w:szCs w:val="21"/>
              </w:rPr>
              <w:t>The time horizon was the main driver of the model</w:t>
            </w:r>
            <w:r>
              <w:rPr>
                <w:rFonts w:ascii="Franklin Gothic Book" w:hAnsi="Franklin Gothic Book" w:cs="Times New Roman"/>
                <w:sz w:val="21"/>
                <w:szCs w:val="21"/>
              </w:rPr>
              <w:t xml:space="preserve">; it </w:t>
            </w:r>
            <w:r w:rsidRPr="00C22BFD">
              <w:rPr>
                <w:rFonts w:ascii="Franklin Gothic Book" w:hAnsi="Franklin Gothic Book" w:cs="Times New Roman"/>
                <w:sz w:val="21"/>
                <w:szCs w:val="21"/>
              </w:rPr>
              <w:t xml:space="preserve">has been changed to </w:t>
            </w:r>
            <w:r>
              <w:rPr>
                <w:rFonts w:ascii="Franklin Gothic Book" w:hAnsi="Franklin Gothic Book" w:cs="Times New Roman"/>
                <w:sz w:val="21"/>
                <w:szCs w:val="21"/>
              </w:rPr>
              <w:t xml:space="preserve">assume </w:t>
            </w:r>
            <w:r w:rsidRPr="00C22BFD">
              <w:rPr>
                <w:rFonts w:ascii="Franklin Gothic Book" w:hAnsi="Franklin Gothic Book" w:cs="Times New Roman"/>
                <w:sz w:val="21"/>
                <w:szCs w:val="21"/>
              </w:rPr>
              <w:t>no incremental benefit of IVUS after 5 years</w:t>
            </w:r>
            <w:r>
              <w:rPr>
                <w:rFonts w:ascii="Franklin Gothic Book" w:hAnsi="Franklin Gothic Book" w:cs="Times New Roman"/>
                <w:sz w:val="21"/>
                <w:szCs w:val="21"/>
              </w:rPr>
              <w:t xml:space="preserve">, </w:t>
            </w:r>
            <w:r w:rsidRPr="002F0F41">
              <w:rPr>
                <w:rFonts w:ascii="Franklin Gothic Book" w:hAnsi="Franklin Gothic Book" w:cs="Times New Roman"/>
                <w:sz w:val="21"/>
                <w:szCs w:val="21"/>
              </w:rPr>
              <w:t>aligning with RCT evidence from one subpopulation</w:t>
            </w:r>
            <w:r>
              <w:rPr>
                <w:rFonts w:ascii="Franklin Gothic Book" w:hAnsi="Franklin Gothic Book" w:cs="Times New Roman"/>
                <w:sz w:val="21"/>
                <w:szCs w:val="21"/>
              </w:rPr>
              <w:t xml:space="preserve"> (long lesions)</w:t>
            </w:r>
            <w:r w:rsidRPr="00C22BFD">
              <w:rPr>
                <w:rFonts w:ascii="Franklin Gothic Book" w:hAnsi="Franklin Gothic Book" w:cs="Times New Roman"/>
                <w:sz w:val="21"/>
                <w:szCs w:val="21"/>
              </w:rPr>
              <w:t xml:space="preserve">. Based on follow-up </w:t>
            </w:r>
            <w:r>
              <w:rPr>
                <w:rFonts w:ascii="Franklin Gothic Book" w:hAnsi="Franklin Gothic Book" w:cs="Times New Roman"/>
                <w:sz w:val="21"/>
                <w:szCs w:val="21"/>
              </w:rPr>
              <w:t xml:space="preserve">trial </w:t>
            </w:r>
            <w:r w:rsidRPr="00C22BFD">
              <w:rPr>
                <w:rFonts w:ascii="Franklin Gothic Book" w:hAnsi="Franklin Gothic Book" w:cs="Times New Roman"/>
                <w:sz w:val="21"/>
                <w:szCs w:val="21"/>
              </w:rPr>
              <w:t xml:space="preserve">data from the evidence, </w:t>
            </w:r>
            <w:r>
              <w:rPr>
                <w:rFonts w:ascii="Franklin Gothic Book" w:hAnsi="Franklin Gothic Book" w:cs="Times New Roman"/>
                <w:sz w:val="21"/>
                <w:szCs w:val="21"/>
              </w:rPr>
              <w:t xml:space="preserve">the base case economic evaluation should assume </w:t>
            </w:r>
            <w:r w:rsidRPr="00C22BFD">
              <w:rPr>
                <w:rFonts w:ascii="Franklin Gothic Book" w:hAnsi="Franklin Gothic Book" w:cs="Times New Roman"/>
                <w:sz w:val="21"/>
                <w:szCs w:val="21"/>
              </w:rPr>
              <w:t>no incremental benefit of IVUS after:</w:t>
            </w:r>
          </w:p>
          <w:p w14:paraId="6ECD9027" w14:textId="77777777" w:rsidR="005F6A3D" w:rsidRPr="00C22BFD" w:rsidRDefault="005F6A3D" w:rsidP="005F6A3D">
            <w:pPr>
              <w:pStyle w:val="TableBullet"/>
              <w:rPr>
                <w:rFonts w:ascii="Franklin Gothic Book" w:hAnsi="Franklin Gothic Book"/>
              </w:rPr>
            </w:pPr>
            <w:r w:rsidRPr="00C22BFD">
              <w:rPr>
                <w:rFonts w:ascii="Franklin Gothic Book" w:hAnsi="Franklin Gothic Book"/>
              </w:rPr>
              <w:t>3 years for all-comers</w:t>
            </w:r>
          </w:p>
          <w:p w14:paraId="5F201988" w14:textId="7594B6B0" w:rsidR="005F6A3D" w:rsidRPr="00C22BFD" w:rsidRDefault="005F6A3D" w:rsidP="005F6A3D">
            <w:pPr>
              <w:pStyle w:val="TableBullet"/>
              <w:rPr>
                <w:rFonts w:ascii="Franklin Gothic Book" w:hAnsi="Franklin Gothic Book"/>
              </w:rPr>
            </w:pPr>
            <w:r w:rsidRPr="00C22BFD">
              <w:rPr>
                <w:rFonts w:ascii="Franklin Gothic Book" w:hAnsi="Franklin Gothic Book"/>
              </w:rPr>
              <w:t xml:space="preserve">2 years for patients with a left main </w:t>
            </w:r>
            <w:r>
              <w:rPr>
                <w:rFonts w:ascii="Franklin Gothic Book" w:hAnsi="Franklin Gothic Book"/>
              </w:rPr>
              <w:t>lesion</w:t>
            </w:r>
          </w:p>
          <w:p w14:paraId="6D806FDD" w14:textId="77777777" w:rsidR="005F6A3D" w:rsidRPr="00C22BFD" w:rsidRDefault="005F6A3D" w:rsidP="005F6A3D">
            <w:pPr>
              <w:pStyle w:val="TableBullet"/>
              <w:rPr>
                <w:rFonts w:ascii="Franklin Gothic Book" w:hAnsi="Franklin Gothic Book"/>
              </w:rPr>
            </w:pPr>
            <w:r w:rsidRPr="00C22BFD">
              <w:rPr>
                <w:rFonts w:ascii="Franklin Gothic Book" w:hAnsi="Franklin Gothic Book"/>
              </w:rPr>
              <w:t xml:space="preserve">5 years for patients with </w:t>
            </w:r>
            <w:r>
              <w:rPr>
                <w:rFonts w:ascii="Franklin Gothic Book" w:hAnsi="Franklin Gothic Book"/>
              </w:rPr>
              <w:t>long lesions.</w:t>
            </w:r>
          </w:p>
        </w:tc>
      </w:tr>
      <w:tr w:rsidR="005F6A3D" w:rsidRPr="00A80CC4" w14:paraId="22E510CC" w14:textId="77777777" w:rsidTr="005F6A3D">
        <w:tc>
          <w:tcPr>
            <w:tcW w:w="0" w:type="auto"/>
            <w:tcBorders>
              <w:top w:val="single" w:sz="4" w:space="0" w:color="auto"/>
              <w:left w:val="single" w:sz="4" w:space="0" w:color="auto"/>
              <w:bottom w:val="single" w:sz="4" w:space="0" w:color="auto"/>
              <w:right w:val="single" w:sz="4" w:space="0" w:color="auto"/>
            </w:tcBorders>
            <w:hideMark/>
          </w:tcPr>
          <w:p w14:paraId="6CE59F32" w14:textId="77777777" w:rsidR="005F6A3D" w:rsidRPr="00C22BFD" w:rsidRDefault="005F6A3D" w:rsidP="005F6A3D">
            <w:pPr>
              <w:pStyle w:val="TableText1"/>
              <w:jc w:val="left"/>
              <w:rPr>
                <w:rFonts w:ascii="Franklin Gothic Book" w:hAnsi="Franklin Gothic Book" w:cs="Times New Roman"/>
                <w:sz w:val="21"/>
                <w:szCs w:val="21"/>
              </w:rPr>
            </w:pPr>
            <w:r>
              <w:rPr>
                <w:rFonts w:ascii="Franklin Gothic Book" w:hAnsi="Franklin Gothic Book" w:cs="Times New Roman"/>
                <w:sz w:val="21"/>
                <w:szCs w:val="21"/>
              </w:rPr>
              <w:t>Transition probabilities for MI</w:t>
            </w:r>
          </w:p>
        </w:tc>
        <w:tc>
          <w:tcPr>
            <w:tcW w:w="0" w:type="auto"/>
            <w:tcBorders>
              <w:top w:val="single" w:sz="4" w:space="0" w:color="auto"/>
              <w:left w:val="single" w:sz="4" w:space="0" w:color="auto"/>
              <w:bottom w:val="single" w:sz="4" w:space="0" w:color="auto"/>
              <w:right w:val="single" w:sz="4" w:space="0" w:color="auto"/>
            </w:tcBorders>
            <w:hideMark/>
          </w:tcPr>
          <w:p w14:paraId="40193A79" w14:textId="77777777" w:rsidR="005F6A3D" w:rsidRPr="00C22BFD" w:rsidRDefault="005F6A3D" w:rsidP="005F6A3D">
            <w:pPr>
              <w:pStyle w:val="TableText1"/>
              <w:jc w:val="left"/>
              <w:rPr>
                <w:rFonts w:ascii="Franklin Gothic Book" w:hAnsi="Franklin Gothic Book" w:cs="Times New Roman"/>
                <w:sz w:val="21"/>
                <w:szCs w:val="21"/>
              </w:rPr>
            </w:pPr>
            <w:r w:rsidRPr="00EA7BDA">
              <w:rPr>
                <w:rFonts w:ascii="Franklin Gothic Book" w:hAnsi="Franklin Gothic Book" w:cs="Times New Roman"/>
                <w:sz w:val="21"/>
                <w:szCs w:val="21"/>
              </w:rPr>
              <w:t xml:space="preserve">Transition probabilities for MI after IVUS or angiography alone were taken from trials that reported no statistically significant between-group differences for this outcome. </w:t>
            </w:r>
            <w:r w:rsidRPr="00C22BFD">
              <w:rPr>
                <w:rFonts w:ascii="Franklin Gothic Book" w:hAnsi="Franklin Gothic Book" w:cs="Times New Roman"/>
                <w:sz w:val="21"/>
                <w:szCs w:val="21"/>
              </w:rPr>
              <w:t>A more conservative approach</w:t>
            </w:r>
            <w:r w:rsidRPr="00EA7BDA">
              <w:rPr>
                <w:rFonts w:ascii="Franklin Gothic Book" w:hAnsi="Franklin Gothic Book" w:cs="Times New Roman"/>
                <w:sz w:val="21"/>
                <w:szCs w:val="21"/>
              </w:rPr>
              <w:t xml:space="preserve">– assuming no statistically significant difference in the rate of MI – </w:t>
            </w:r>
            <w:r>
              <w:rPr>
                <w:rFonts w:ascii="Franklin Gothic Book" w:hAnsi="Franklin Gothic Book" w:cs="Times New Roman"/>
                <w:sz w:val="21"/>
                <w:szCs w:val="21"/>
              </w:rPr>
              <w:t>is</w:t>
            </w:r>
            <w:r w:rsidRPr="00EA7BDA">
              <w:rPr>
                <w:rFonts w:ascii="Franklin Gothic Book" w:hAnsi="Franklin Gothic Book" w:cs="Times New Roman"/>
                <w:sz w:val="21"/>
                <w:szCs w:val="21"/>
              </w:rPr>
              <w:t xml:space="preserve"> more appropriate in the base case model.</w:t>
            </w:r>
          </w:p>
        </w:tc>
      </w:tr>
      <w:tr w:rsidR="005F6A3D" w:rsidRPr="00A80CC4" w14:paraId="6A7E68B1" w14:textId="77777777" w:rsidTr="005F6A3D">
        <w:tc>
          <w:tcPr>
            <w:tcW w:w="0" w:type="auto"/>
            <w:tcBorders>
              <w:top w:val="single" w:sz="4" w:space="0" w:color="auto"/>
              <w:left w:val="single" w:sz="4" w:space="0" w:color="auto"/>
              <w:bottom w:val="single" w:sz="4" w:space="0" w:color="auto"/>
              <w:right w:val="single" w:sz="4" w:space="0" w:color="auto"/>
            </w:tcBorders>
            <w:hideMark/>
          </w:tcPr>
          <w:p w14:paraId="48C2179C" w14:textId="77777777" w:rsidR="005F6A3D" w:rsidRPr="00C22BFD" w:rsidRDefault="005F6A3D" w:rsidP="005F6A3D">
            <w:pPr>
              <w:pStyle w:val="TableText1"/>
              <w:jc w:val="left"/>
              <w:rPr>
                <w:rFonts w:ascii="Franklin Gothic Book" w:hAnsi="Franklin Gothic Book" w:cs="Times New Roman"/>
                <w:sz w:val="21"/>
                <w:szCs w:val="21"/>
              </w:rPr>
            </w:pPr>
            <w:r w:rsidRPr="00C22BFD">
              <w:rPr>
                <w:rFonts w:ascii="Franklin Gothic Book" w:hAnsi="Franklin Gothic Book" w:cs="Times New Roman"/>
                <w:sz w:val="21"/>
                <w:szCs w:val="21"/>
              </w:rPr>
              <w:t>Rate of uptake and cost offsets</w:t>
            </w:r>
          </w:p>
        </w:tc>
        <w:tc>
          <w:tcPr>
            <w:tcW w:w="0" w:type="auto"/>
            <w:tcBorders>
              <w:top w:val="single" w:sz="4" w:space="0" w:color="auto"/>
              <w:left w:val="single" w:sz="4" w:space="0" w:color="auto"/>
              <w:bottom w:val="single" w:sz="4" w:space="0" w:color="auto"/>
              <w:right w:val="single" w:sz="4" w:space="0" w:color="auto"/>
            </w:tcBorders>
            <w:hideMark/>
          </w:tcPr>
          <w:p w14:paraId="591089AC" w14:textId="77777777" w:rsidR="005F6A3D" w:rsidRPr="00C22BFD" w:rsidRDefault="005F6A3D" w:rsidP="005F6A3D">
            <w:pPr>
              <w:pStyle w:val="TableText1"/>
              <w:jc w:val="left"/>
              <w:rPr>
                <w:rFonts w:ascii="Franklin Gothic Book" w:hAnsi="Franklin Gothic Book" w:cs="Times New Roman"/>
                <w:sz w:val="21"/>
                <w:szCs w:val="21"/>
              </w:rPr>
            </w:pPr>
            <w:r w:rsidRPr="00C22BFD">
              <w:rPr>
                <w:rFonts w:ascii="Franklin Gothic Book" w:hAnsi="Franklin Gothic Book" w:cs="Times New Roman"/>
                <w:sz w:val="21"/>
                <w:szCs w:val="21"/>
              </w:rPr>
              <w:t>There is potential for the number of services to be greater than estimated, as uptake was based on conservative assumptions based on high capital outlay.</w:t>
            </w:r>
          </w:p>
        </w:tc>
      </w:tr>
      <w:tr w:rsidR="005F6A3D" w:rsidRPr="00A80CC4" w14:paraId="25A12759" w14:textId="77777777" w:rsidTr="005F6A3D">
        <w:tc>
          <w:tcPr>
            <w:tcW w:w="0" w:type="auto"/>
            <w:tcBorders>
              <w:top w:val="single" w:sz="4" w:space="0" w:color="auto"/>
              <w:left w:val="single" w:sz="4" w:space="0" w:color="auto"/>
              <w:bottom w:val="single" w:sz="4" w:space="0" w:color="auto"/>
              <w:right w:val="single" w:sz="4" w:space="0" w:color="auto"/>
            </w:tcBorders>
            <w:hideMark/>
          </w:tcPr>
          <w:p w14:paraId="0E834D02" w14:textId="77777777" w:rsidR="005F6A3D" w:rsidRPr="00C22BFD" w:rsidRDefault="005F6A3D" w:rsidP="005F6A3D">
            <w:pPr>
              <w:pStyle w:val="TableText1"/>
              <w:jc w:val="left"/>
              <w:rPr>
                <w:rFonts w:ascii="Franklin Gothic Book" w:hAnsi="Franklin Gothic Book" w:cs="Times New Roman"/>
                <w:sz w:val="21"/>
                <w:szCs w:val="21"/>
              </w:rPr>
            </w:pPr>
            <w:r w:rsidRPr="00C22BFD">
              <w:rPr>
                <w:rFonts w:ascii="Franklin Gothic Book" w:hAnsi="Franklin Gothic Book" w:cs="Times New Roman"/>
                <w:sz w:val="21"/>
                <w:szCs w:val="21"/>
              </w:rPr>
              <w:t>Out-of-pocket costs</w:t>
            </w:r>
          </w:p>
        </w:tc>
        <w:tc>
          <w:tcPr>
            <w:tcW w:w="0" w:type="auto"/>
            <w:tcBorders>
              <w:top w:val="single" w:sz="4" w:space="0" w:color="auto"/>
              <w:left w:val="single" w:sz="4" w:space="0" w:color="auto"/>
              <w:bottom w:val="single" w:sz="4" w:space="0" w:color="auto"/>
              <w:right w:val="single" w:sz="4" w:space="0" w:color="auto"/>
            </w:tcBorders>
            <w:hideMark/>
          </w:tcPr>
          <w:p w14:paraId="5E2DFF1F" w14:textId="77777777" w:rsidR="005F6A3D" w:rsidRPr="00C22BFD" w:rsidRDefault="005F6A3D" w:rsidP="005F6A3D">
            <w:pPr>
              <w:pStyle w:val="TableText1"/>
              <w:jc w:val="left"/>
              <w:rPr>
                <w:rFonts w:ascii="Franklin Gothic Book" w:hAnsi="Franklin Gothic Book" w:cs="Times New Roman"/>
                <w:sz w:val="21"/>
                <w:szCs w:val="21"/>
              </w:rPr>
            </w:pPr>
            <w:r w:rsidRPr="00C22BFD">
              <w:rPr>
                <w:rFonts w:ascii="Franklin Gothic Book" w:hAnsi="Franklin Gothic Book" w:cs="Times New Roman"/>
                <w:sz w:val="21"/>
                <w:szCs w:val="21"/>
              </w:rPr>
              <w:t>The proposed services are unlikely to be bulk-billed and may incur significant out-of-pocket costs for patients. It is also unlikely that IVUS consumables will be included on the Protheses List</w:t>
            </w:r>
            <w:r>
              <w:rPr>
                <w:rFonts w:ascii="Franklin Gothic Book" w:hAnsi="Franklin Gothic Book" w:cs="Times New Roman"/>
                <w:sz w:val="21"/>
                <w:szCs w:val="21"/>
              </w:rPr>
              <w:t xml:space="preserve"> (does not fit the criteria for Prostheses Listing)</w:t>
            </w:r>
            <w:r w:rsidRPr="00C22BFD">
              <w:rPr>
                <w:rFonts w:ascii="Franklin Gothic Book" w:hAnsi="Franklin Gothic Book" w:cs="Times New Roman"/>
                <w:sz w:val="21"/>
                <w:szCs w:val="21"/>
              </w:rPr>
              <w:t>, so patients may also have to bear the cost of consumables for this service. Confirmation needs to be sought on how potential out-of-pocket costs will be managed.</w:t>
            </w:r>
          </w:p>
        </w:tc>
      </w:tr>
      <w:tr w:rsidR="005F6A3D" w:rsidRPr="00A80CC4" w14:paraId="2F43244E" w14:textId="77777777" w:rsidTr="005F6A3D">
        <w:tc>
          <w:tcPr>
            <w:tcW w:w="0" w:type="auto"/>
            <w:tcBorders>
              <w:top w:val="single" w:sz="4" w:space="0" w:color="auto"/>
              <w:left w:val="single" w:sz="4" w:space="0" w:color="auto"/>
              <w:bottom w:val="single" w:sz="4" w:space="0" w:color="auto"/>
              <w:right w:val="single" w:sz="4" w:space="0" w:color="auto"/>
            </w:tcBorders>
            <w:hideMark/>
          </w:tcPr>
          <w:p w14:paraId="326F4811" w14:textId="77777777" w:rsidR="005F6A3D" w:rsidRPr="00C22BFD" w:rsidRDefault="005F6A3D" w:rsidP="005F6A3D">
            <w:pPr>
              <w:pStyle w:val="TableText1"/>
              <w:jc w:val="left"/>
              <w:rPr>
                <w:rFonts w:ascii="Franklin Gothic Book" w:hAnsi="Franklin Gothic Book" w:cs="Times New Roman"/>
                <w:sz w:val="21"/>
                <w:szCs w:val="21"/>
              </w:rPr>
            </w:pPr>
            <w:r w:rsidRPr="00C22BFD">
              <w:rPr>
                <w:rFonts w:ascii="Franklin Gothic Book" w:hAnsi="Franklin Gothic Book" w:cs="Times New Roman"/>
                <w:sz w:val="21"/>
                <w:szCs w:val="21"/>
              </w:rPr>
              <w:t>Equity in access</w:t>
            </w:r>
          </w:p>
        </w:tc>
        <w:tc>
          <w:tcPr>
            <w:tcW w:w="0" w:type="auto"/>
            <w:tcBorders>
              <w:top w:val="single" w:sz="4" w:space="0" w:color="auto"/>
              <w:left w:val="single" w:sz="4" w:space="0" w:color="auto"/>
              <w:bottom w:val="single" w:sz="4" w:space="0" w:color="auto"/>
              <w:right w:val="single" w:sz="4" w:space="0" w:color="auto"/>
            </w:tcBorders>
            <w:hideMark/>
          </w:tcPr>
          <w:p w14:paraId="722C79A2" w14:textId="77777777" w:rsidR="005F6A3D" w:rsidRPr="00C22BFD" w:rsidRDefault="005F6A3D" w:rsidP="005F6A3D">
            <w:pPr>
              <w:pStyle w:val="TableText1"/>
              <w:jc w:val="left"/>
              <w:rPr>
                <w:rFonts w:ascii="Franklin Gothic Book" w:hAnsi="Franklin Gothic Book" w:cs="Times New Roman"/>
                <w:sz w:val="21"/>
                <w:szCs w:val="21"/>
              </w:rPr>
            </w:pPr>
            <w:r w:rsidRPr="00C22BFD">
              <w:rPr>
                <w:rFonts w:ascii="Franklin Gothic Book" w:hAnsi="Franklin Gothic Book" w:cs="Times New Roman"/>
                <w:sz w:val="21"/>
                <w:szCs w:val="21"/>
              </w:rPr>
              <w:t>Due to the additional training required for the proposed services, it is likely that IVUS will not be available in regional and rural centres.</w:t>
            </w:r>
          </w:p>
        </w:tc>
      </w:tr>
    </w:tbl>
    <w:p w14:paraId="1C3BAA45" w14:textId="77777777" w:rsidR="005F6A3D" w:rsidRPr="00D83DA2" w:rsidRDefault="005F6A3D" w:rsidP="005F6A3D">
      <w:pPr>
        <w:pStyle w:val="Heading2"/>
        <w:numPr>
          <w:ilvl w:val="0"/>
          <w:numId w:val="0"/>
        </w:numPr>
        <w:rPr>
          <w:sz w:val="24"/>
          <w:szCs w:val="24"/>
        </w:rPr>
      </w:pPr>
      <w:r w:rsidRPr="00D83DA2">
        <w:rPr>
          <w:sz w:val="24"/>
          <w:szCs w:val="24"/>
        </w:rPr>
        <w:lastRenderedPageBreak/>
        <w:t>ESC discussion</w:t>
      </w:r>
    </w:p>
    <w:p w14:paraId="37FFDB61" w14:textId="77777777" w:rsidR="005F6A3D" w:rsidRDefault="005F6A3D" w:rsidP="005F6A3D">
      <w:r>
        <w:t>ESC noted that this application was for Medicare Benefits Schedule (MBS) listing of intravascular ultrasound (IVUS) guided coronary stent insertion as an adjunct to invasive coronary angiogram for patients undergoing percutaneous coronary intervention (PCI). The service would be exclusively used in the catheterisation laboratory setting for the treatment of coronary artery disease.</w:t>
      </w:r>
    </w:p>
    <w:p w14:paraId="6D8FE88F" w14:textId="77777777" w:rsidR="005F6A3D" w:rsidRDefault="005F6A3D" w:rsidP="005F6A3D">
      <w:r>
        <w:t>ESC noted that there are 12 MBS items available for transluminal insertion of coronary stents, split according to whether PCI is performed within three months of selective coronary angiography (items 38316, 38317, 38319, 38320, 38322, 38323), or selective coronary angiography has not been completed in the previous three months (items 38307, 38308, 38310, 38311, 38313, 38314). Each category is then split based on whether patients meet the clinical indications for acute coronary syndrome or not, and how many vascular territories are treated.</w:t>
      </w:r>
    </w:p>
    <w:p w14:paraId="44D9AB5D" w14:textId="77777777" w:rsidR="005F6A3D" w:rsidRDefault="005F6A3D" w:rsidP="005F6A3D">
      <w:r>
        <w:t>ESC noted that there have been two previous applications to MSAC for IVUS. Application 1032 (2001) assessed IVUS as both a diagnostic and therapeutic tool for cardiac stent optimisation. ESC noted that this application was not supported by MSAC, as it deemed the clinical evidence and cost-effectiveness data to be insufficient. Application 1354 (2015) assessed IVUS as a therapeutic tool for optimisation of drug eluting stent (DES) or bare metal stent (BMS) placement. ESC noted that this application was not supported by MSAC due to wide and uncertain clinical effectiveness and cost-effectiveness estimates in the proposed patient populations. ESC noted that the current application is for the use of IVUS as a therapeutic tool.</w:t>
      </w:r>
    </w:p>
    <w:p w14:paraId="6D8FDA89" w14:textId="77777777" w:rsidR="005F6A3D" w:rsidRDefault="005F6A3D" w:rsidP="005F6A3D">
      <w:r>
        <w:t xml:space="preserve">ESC noted that there were two population group options included in the application: all-comers to PCI for DES insertion (i.e. all-comers; population 1); and an alternative option was patients with a coronary lesion with complex anatomical characteristics who would be eligible for DES insertion (population 2) with two subpopulations defined as either lesion length of 28 mm or more (i.e. long lesions) or left main coronary artery lesion (i.e. left main lesions). </w:t>
      </w:r>
    </w:p>
    <w:p w14:paraId="42BFAC1C" w14:textId="77777777" w:rsidR="005F6A3D" w:rsidRDefault="005F6A3D" w:rsidP="005F6A3D">
      <w:r>
        <w:t>ESC noted that there were two item descriptors proposed – one for each population group.</w:t>
      </w:r>
    </w:p>
    <w:p w14:paraId="4E3A8F34" w14:textId="77777777" w:rsidR="005F6A3D" w:rsidRDefault="005F6A3D" w:rsidP="005F6A3D">
      <w:r>
        <w:t>ESC noted that the proposed item descriptor for the all-comers population limited the use of IVUS to patients with significant stenoses, described as stenosis of 50% or more as defined by the diagnostic angiography. ESC considered that while a stenosis threshold of 50% may be appropriate for the left main lesion subpopulation, for other arteries this threshold is usually 70% (as described in MBS explanatory note TR.8.4 for stable PCI indications). However, the degree of vessel stenosis measured in two dimensions, alone, does not necessarily reflect the three-dimensional anatomy of the vessel (proposed to be determinable by IVUS) or consequent complexity of stent insertion. Therefore, despite the stenosis threshold of 50% mentioned in the proposed descriptor, IVUS could not be used unless the patient meets the stenosis threshold specified in explanatory note TR.8.4, which may be 70% depending on indication. ESC also noted that the proposed item descriptor for the all-comers population indicated a multiple services rule. ESC considered that this may be appropriate if IVUS was used as a diagnostic tool (category 2), but as it was proposed a therapeutic tool (category 3), the multiple operation rule would be more suitable.</w:t>
      </w:r>
    </w:p>
    <w:p w14:paraId="3794A059" w14:textId="65317A51" w:rsidR="005F6A3D" w:rsidRDefault="005F6A3D" w:rsidP="005F6A3D">
      <w:r>
        <w:t>ESC noted that the proposed item descriptor for patients with complex anatomical characteristics stated that suitability for PCI had to be appropriately determined by a heart team. ESC considered this to be an inappropriate inclusion, as the decision to perform PCI is made while the patient is on the operating table. ESC also noted that the proposed descriptor for the complex anatomical characteristics</w:t>
      </w:r>
      <w:r w:rsidDel="008835EC">
        <w:t xml:space="preserve"> </w:t>
      </w:r>
      <w:r>
        <w:t>population did not include a stenosis threshold and considered that this should be added.</w:t>
      </w:r>
    </w:p>
    <w:p w14:paraId="5BD843BB" w14:textId="77777777" w:rsidR="005F6A3D" w:rsidRDefault="005F6A3D" w:rsidP="005F6A3D">
      <w:r>
        <w:lastRenderedPageBreak/>
        <w:t>ESC considered that both item descriptors should state that the service is claimable once in a single episode of care (for one or more lesions). ESC also considered that the service should be restricted to accredited providers or those with specific training and noted the applicant’s pre-ESC response stating that they could provide specific training programs, in combination with regular case teaching by senior in-hospital IVUS-experienced physicians, to ensure an adequate preparation of operators before the use of IVUS. ESC considered that input could be sought from the Cardiac Society of Australia and New Zealand (CSANZ) on certifying training programs, and how to conduct the training program in hospitals.</w:t>
      </w:r>
    </w:p>
    <w:p w14:paraId="12AB4F21" w14:textId="77777777" w:rsidR="005F6A3D" w:rsidRDefault="005F6A3D" w:rsidP="005F6A3D">
      <w:r>
        <w:t>ESC noted that the Commentary raised concerns that the proposed MBS fee may need more justification, which is based on an existing item for coronary pressure wire used during selective coronary angiography. ESC agreed with the pre-ESC response that the use of a coronary pressure wire during selective coronary angiography to measure fractional flow reserve represents the most comparable interventions to the use of IVUS during invasive coronary angiogram and percutaneous angioplasty or transluminal insertion of stents, both in terms of complexity and time.</w:t>
      </w:r>
    </w:p>
    <w:p w14:paraId="51075192" w14:textId="3A88041E" w:rsidR="005F6A3D" w:rsidRDefault="005F6A3D" w:rsidP="005F6A3D">
      <w:r>
        <w:t>ESC also noted that the proposed services are unlikely to be bulk-billed and may incur significant out-of-pocket costs for patients (</w:t>
      </w:r>
      <w:r w:rsidRPr="001D30F3">
        <w:t>approximately 20% of the estimated MBS fee). ESC noted that the patient may bear the estimated cost of consumables (</w:t>
      </w:r>
      <w:r w:rsidR="00DA12C1" w:rsidRPr="001D30F3">
        <w:t>between $1,000 and $1,500</w:t>
      </w:r>
      <w:r w:rsidRPr="001D30F3">
        <w:t>),</w:t>
      </w:r>
      <w:r>
        <w:t xml:space="preserve"> particularly of the single-use catheter, as the catheter does not satisfy the criteria for listing on the Protheses List (PL). In addition, the Department is unaware that there is an intent to make imaging catheters or consumables eligible for listing on the PL. </w:t>
      </w:r>
    </w:p>
    <w:p w14:paraId="20D12ACD" w14:textId="77777777" w:rsidR="005F6A3D" w:rsidRDefault="005F6A3D" w:rsidP="005F6A3D">
      <w:r>
        <w:t>ESC noted that there was no consultation feedback received for this application. ESC discussed issues for consumers such as the risk of out-of-pocket costs due to the uncertainty with who will pay for the IVUS consumables. Thus, ESC considered the applicant should seek to clarify who will pay for the IVUS consumables.</w:t>
      </w:r>
    </w:p>
    <w:p w14:paraId="1363CF5F" w14:textId="77777777" w:rsidR="005F6A3D" w:rsidRDefault="005F6A3D" w:rsidP="005F6A3D">
      <w:r>
        <w:t>ESC also noted the potential issues around equity of access, due to the additional training required for the proposed services, it is likely that IVUS will not be available in regional and rural centres. Also, ESC confirmed that the proposed services can only be provided in-hospital, which may perpetuate issues with access.</w:t>
      </w:r>
    </w:p>
    <w:p w14:paraId="77171B44" w14:textId="77777777" w:rsidR="005F6A3D" w:rsidRDefault="005F6A3D" w:rsidP="005F6A3D">
      <w:r>
        <w:t>ESC noted that the safety and effectiveness outcomes outlined in the PICO were the same for both populations. ESC noted that the effectiveness outcomes were target vessel failure (TVF) or major adverse cardiac events (MACE), including cardiac death, target-vessel myocardial infarction (MI), and clinically driven target vessel revascularisation (TLR). ESC considered that the safety outcome stent thrombosis (ST) was reasonable.</w:t>
      </w:r>
    </w:p>
    <w:p w14:paraId="4C7E02E7" w14:textId="77777777" w:rsidR="005F6A3D" w:rsidRDefault="005F6A3D" w:rsidP="005F6A3D">
      <w:r>
        <w:t>ESC noted that the clinical claim for both population groups was that IVUS had superior effectiveness and non-inferior safety compared to guidance with angiography without IVUS.</w:t>
      </w:r>
    </w:p>
    <w:p w14:paraId="194233DC" w14:textId="77777777" w:rsidR="005F6A3D" w:rsidRDefault="005F6A3D" w:rsidP="005F6A3D">
      <w:r>
        <w:t>ESC noted that since the previous submission in 2015, there have been five RCTs (with extended follow-up) published that support the use of IVUS in the proposed patient populations– all demonstrated that IVUS-guided PCI is associated with reduced risk of MI and death, but differences between arms did not reach statistical significance. Nonetheless ESC noted the new evidence showed that the effect of IVUS on MI was sustained over trial follow-up.  ESC noted that these results was supported by a published meta-analysis, a real-world study, and a large-scale, prospective, multicentre, nonrandomised all-comers study.</w:t>
      </w:r>
    </w:p>
    <w:p w14:paraId="1BCC2D88" w14:textId="77777777" w:rsidR="005F6A3D" w:rsidRDefault="005F6A3D" w:rsidP="005F6A3D">
      <w:r>
        <w:lastRenderedPageBreak/>
        <w:t>ESC noted that for the all-comers population, the main source of data was the ULTIMATE trial</w:t>
      </w:r>
      <w:r>
        <w:rPr>
          <w:rStyle w:val="FootnoteReference"/>
        </w:rPr>
        <w:footnoteReference w:id="18"/>
      </w:r>
      <w:r>
        <w:t>, which was a multicentre RCT comprising around 1,500 patients but limited to one country (China). ESC noted that there were some concerns raised in the commentary about the potential risk of selection bias of the ULTIMATE trial. ESC acknowledged this concern, but also considered this risk could be low because participants were randomised using a valid, although old-fashioned, method. ESC considered that it is difficult to eliminate risk of performance bias in an ethical way, as patients and centres cannot be blinded from knowing that they are receiving IVUS.</w:t>
      </w:r>
    </w:p>
    <w:p w14:paraId="02FB6D23" w14:textId="77777777" w:rsidR="005F6A3D" w:rsidRDefault="005F6A3D" w:rsidP="005F6A3D">
      <w:r>
        <w:t>ESC noted further concerns raised in the commentary that the population in the ULTIMATE trial included relatively high-risk patients with complex coronary lesions and was not comparable to PCI all-comers in Australia. The commentary stated that subgroup analyses suggest that high-risk patients and those with complex PCI receive the greatest benefit from IVUS, so the trial may overestimate the efficacy of IVUS in Australian practice. ESC acknowledged this concern, and also considered that the results from the trial had well-defined clinical outcomes that reflect high-volume centres, and then the findings may be applicable to what would be found in high-volume centres in Australia. ESC also considered the high incidence of adverse outcomes reported from the ULTIMATE trial would be expected in high-volume centres. ESC considered this population may not be representative of all comers as they would be referred from low throughput centres to high throughput centres for speciality care.</w:t>
      </w:r>
    </w:p>
    <w:p w14:paraId="02968A12" w14:textId="77777777" w:rsidR="005F6A3D" w:rsidRDefault="005F6A3D" w:rsidP="005F6A3D">
      <w:r>
        <w:t>ESC noted that the ULTIMATE trial had 1- and 3-year follow-up data, which ESC noted the commentary considered the quality of evidence to be moderate. ESC noted that these data showed the use of IVUS improved outcomes for TVF over all timepoints, TLR (at 3 years) and ST (at 2-3 years) when compared to angiography alone.</w:t>
      </w:r>
    </w:p>
    <w:p w14:paraId="643B8A6A" w14:textId="77777777" w:rsidR="005F6A3D" w:rsidRDefault="005F6A3D" w:rsidP="005F6A3D">
      <w:r>
        <w:t>ESC noted that for the long lesion subpopulation, the evidence comprised two RCTs and a meta-analysis. ESC noted that the meta-analysis was not included in the economic analysis. ESC noted that the two RCTs were both open label studies and limited to one country (South Korea), but one study (the IVUS-XPL trial</w:t>
      </w:r>
      <w:r>
        <w:rPr>
          <w:rStyle w:val="FootnoteReference"/>
        </w:rPr>
        <w:footnoteReference w:id="19"/>
      </w:r>
      <w:r>
        <w:t>) was multicentred. ESC noted the quality of the evidence was low for all outcomes. ESC noted that the 1- and 5-year follow-up results showed an approximate 50% reduction in MACE, but no difference in the incidence of ST; however, ESC noted that the number of study participants with ST was low.</w:t>
      </w:r>
    </w:p>
    <w:p w14:paraId="5B39E5FC" w14:textId="77777777" w:rsidR="005F6A3D" w:rsidRDefault="005F6A3D" w:rsidP="005F6A3D">
      <w:r>
        <w:t>ESC noted that for the left main lesion subpopulation, the evidence comprised two RCTs. ESC noted that in Australia, IVUS is predominantly used in this indication. ESC noted that the 1- and 2-year follow-up data showed that the addition of IVUS in PCI improved incidences of MACE, TLR and ST; however, the number of participants for both studies was small, the quality of evidence was considered very low, and the improvements were not significant (except results for MACE at 1 year in Liu 2019).</w:t>
      </w:r>
    </w:p>
    <w:p w14:paraId="5738D2CE" w14:textId="77777777" w:rsidR="005F6A3D" w:rsidRDefault="005F6A3D" w:rsidP="005F6A3D">
      <w:r>
        <w:t>ESC noted that, according to the 2021 Guideline for Coronary Artery Revascularization by the American College of Cardiology and American Heart Association</w:t>
      </w:r>
      <w:r>
        <w:rPr>
          <w:rStyle w:val="FootnoteReference"/>
        </w:rPr>
        <w:footnoteReference w:id="20"/>
      </w:r>
      <w:r>
        <w:t>, IVUS is recommended as a class 2a (moderate) procedure, where the benefits are likely exceeding the risks. The guidelines recommend that:</w:t>
      </w:r>
    </w:p>
    <w:p w14:paraId="39FC1602" w14:textId="77777777" w:rsidR="005F6A3D" w:rsidRDefault="005F6A3D" w:rsidP="00D83DA2">
      <w:pPr>
        <w:pStyle w:val="Bullet"/>
        <w:numPr>
          <w:ilvl w:val="0"/>
          <w:numId w:val="14"/>
        </w:numPr>
        <w:spacing w:before="0"/>
        <w:ind w:left="720"/>
      </w:pPr>
      <w:r>
        <w:lastRenderedPageBreak/>
        <w:t>in patients undergoing coronary stent implantation, IVUS can be useful for procedural guidance, particularly in cases of left main or complex coronary artery stenting, to reduce ischemic events (based on moderate-quality evidence from 1 or more randomised control trials [RCTs])</w:t>
      </w:r>
    </w:p>
    <w:p w14:paraId="16E51728" w14:textId="77777777" w:rsidR="005F6A3D" w:rsidRDefault="005F6A3D" w:rsidP="005F6A3D">
      <w:pPr>
        <w:pStyle w:val="Bullet"/>
      </w:pPr>
      <w:r>
        <w:t>in patients with stent failure, IVUS (or optical coherence tomography) is reasonable to determine the mechanism of stent failure (based on limited data from randomised or nonrandomised observational or registry studies, or physiological or mechanistic studies in humans).</w:t>
      </w:r>
    </w:p>
    <w:p w14:paraId="6DB6177F" w14:textId="77777777" w:rsidR="005F6A3D" w:rsidRDefault="005F6A3D" w:rsidP="005F6A3D">
      <w:r>
        <w:t>ESC noted that the population with complex anatomical characteristics, and in particular left main lesions subpopulation is supported by these clinical guidelines.</w:t>
      </w:r>
    </w:p>
    <w:p w14:paraId="7DB0454A" w14:textId="77777777" w:rsidR="005F6A3D" w:rsidRDefault="005F6A3D" w:rsidP="005F6A3D">
      <w:r>
        <w:t>ESC noted that the economic evaluation included a cost-utility analysis to model the cost-effectiveness of IVUS in each population group, which ESC considered to be appropriate. ESC noted that there had been several changes made to the economic evaluation since the 2015 application and, overall, it had become more conservative – ESC considered this to be appropriate. Changes included:</w:t>
      </w:r>
    </w:p>
    <w:p w14:paraId="6E5F2649" w14:textId="77777777" w:rsidR="005F6A3D" w:rsidRDefault="005F6A3D" w:rsidP="00D83DA2">
      <w:pPr>
        <w:pStyle w:val="Bullet"/>
        <w:numPr>
          <w:ilvl w:val="0"/>
          <w:numId w:val="14"/>
        </w:numPr>
        <w:spacing w:before="0"/>
        <w:ind w:left="720"/>
      </w:pPr>
      <w:r>
        <w:t>the comparator being modified to remove BMS, aligning it with clinical practice and evidence</w:t>
      </w:r>
    </w:p>
    <w:p w14:paraId="534CA8D8" w14:textId="77777777" w:rsidR="005F6A3D" w:rsidRDefault="005F6A3D" w:rsidP="005F6A3D">
      <w:pPr>
        <w:pStyle w:val="Bullet"/>
      </w:pPr>
      <w:r>
        <w:t>the time horizon in the base case model being changed to assume no incremental benefit of IVUS after 5 years, aligning with RCT evidence from one subpopulation. ESC considered that:</w:t>
      </w:r>
    </w:p>
    <w:p w14:paraId="3EF636B8" w14:textId="77777777" w:rsidR="005F6A3D" w:rsidRDefault="005F6A3D" w:rsidP="00D83DA2">
      <w:pPr>
        <w:pStyle w:val="Dash"/>
        <w:numPr>
          <w:ilvl w:val="0"/>
          <w:numId w:val="15"/>
        </w:numPr>
        <w:tabs>
          <w:tab w:val="clear" w:pos="216"/>
          <w:tab w:val="left" w:pos="720"/>
        </w:tabs>
        <w:spacing w:before="0" w:after="0"/>
        <w:ind w:left="1080" w:hanging="360"/>
      </w:pPr>
      <w:r>
        <w:t>for the all-comers population, it may be appropriate to assume no incremental benefit beyond 3 years, based on follow-up data from the ULTIMATE trial</w:t>
      </w:r>
      <w:r>
        <w:rPr>
          <w:rStyle w:val="FootnoteReference"/>
        </w:rPr>
        <w:footnoteReference w:id="21"/>
      </w:r>
    </w:p>
    <w:p w14:paraId="069DF8EE" w14:textId="77777777" w:rsidR="005F6A3D" w:rsidRDefault="005F6A3D" w:rsidP="00D83DA2">
      <w:pPr>
        <w:pStyle w:val="Dash"/>
        <w:numPr>
          <w:ilvl w:val="0"/>
          <w:numId w:val="15"/>
        </w:numPr>
        <w:tabs>
          <w:tab w:val="clear" w:pos="216"/>
          <w:tab w:val="left" w:pos="720"/>
        </w:tabs>
        <w:spacing w:before="0" w:after="0"/>
        <w:ind w:left="1080" w:hanging="360"/>
      </w:pPr>
      <w:r>
        <w:t>for the left main lesions subpopulation, it may be appropriate to assume no incremental benefit beyond 2 years, based on follow-up data from Tan et al. (2015)</w:t>
      </w:r>
      <w:r>
        <w:rPr>
          <w:rStyle w:val="FootnoteReference"/>
        </w:rPr>
        <w:footnoteReference w:id="22"/>
      </w:r>
    </w:p>
    <w:p w14:paraId="75636BE5" w14:textId="77777777" w:rsidR="005F6A3D" w:rsidRDefault="005F6A3D" w:rsidP="00D83DA2">
      <w:pPr>
        <w:pStyle w:val="Dash"/>
        <w:numPr>
          <w:ilvl w:val="0"/>
          <w:numId w:val="15"/>
        </w:numPr>
        <w:tabs>
          <w:tab w:val="clear" w:pos="216"/>
          <w:tab w:val="left" w:pos="720"/>
        </w:tabs>
        <w:spacing w:before="0" w:after="0"/>
        <w:ind w:left="1080" w:hanging="360"/>
      </w:pPr>
      <w:r>
        <w:t>for the long lesions subpopulation, no incremental benefit beyond 5 years is reasonable, based on follow-up data from the IVUS-XPL trial</w:t>
      </w:r>
      <w:r>
        <w:rPr>
          <w:rStyle w:val="FootnoteReference"/>
        </w:rPr>
        <w:footnoteReference w:id="23"/>
      </w:r>
    </w:p>
    <w:p w14:paraId="022F1B31" w14:textId="77777777" w:rsidR="005F6A3D" w:rsidRPr="00C22BFD" w:rsidRDefault="005F6A3D" w:rsidP="00D83DA2">
      <w:pPr>
        <w:pStyle w:val="DashLast"/>
        <w:numPr>
          <w:ilvl w:val="0"/>
          <w:numId w:val="15"/>
        </w:numPr>
        <w:tabs>
          <w:tab w:val="clear" w:pos="216"/>
        </w:tabs>
        <w:ind w:left="1080" w:hanging="360"/>
        <w:rPr>
          <w:rFonts w:ascii="Franklin Gothic Book" w:hAnsi="Franklin Gothic Book"/>
          <w:sz w:val="22"/>
          <w:szCs w:val="18"/>
        </w:rPr>
      </w:pPr>
      <w:r w:rsidRPr="00C22BFD">
        <w:rPr>
          <w:rFonts w:ascii="Franklin Gothic Book" w:hAnsi="Franklin Gothic Book"/>
          <w:sz w:val="22"/>
          <w:szCs w:val="18"/>
        </w:rPr>
        <w:t>the pre-ESC response stated that there is no clinical reason as to why the effectiveness would not be maintained in all groups; however, given that</w:t>
      </w:r>
      <w:r>
        <w:rPr>
          <w:rFonts w:ascii="Franklin Gothic Book" w:hAnsi="Franklin Gothic Book"/>
          <w:sz w:val="22"/>
          <w:szCs w:val="18"/>
        </w:rPr>
        <w:t xml:space="preserve"> the</w:t>
      </w:r>
      <w:r w:rsidRPr="00C22BFD">
        <w:rPr>
          <w:rFonts w:ascii="Franklin Gothic Book" w:hAnsi="Franklin Gothic Book"/>
          <w:sz w:val="22"/>
          <w:szCs w:val="18"/>
        </w:rPr>
        <w:t xml:space="preserve"> time horizon is the main driver of the model, ESC considered a conservative estimate to be more appropriate</w:t>
      </w:r>
      <w:r>
        <w:rPr>
          <w:rFonts w:ascii="Franklin Gothic Book" w:hAnsi="Franklin Gothic Book"/>
          <w:sz w:val="22"/>
          <w:szCs w:val="18"/>
        </w:rPr>
        <w:t xml:space="preserve"> in the base case models.</w:t>
      </w:r>
    </w:p>
    <w:p w14:paraId="6432E8F6" w14:textId="77777777" w:rsidR="005F6A3D" w:rsidRDefault="005F6A3D" w:rsidP="00D83DA2">
      <w:pPr>
        <w:pStyle w:val="Bullet"/>
        <w:numPr>
          <w:ilvl w:val="0"/>
          <w:numId w:val="14"/>
        </w:numPr>
        <w:spacing w:before="0"/>
        <w:ind w:left="720"/>
      </w:pPr>
      <w:r>
        <w:t>revascularisation events being restricted to TLR data from RCTs, due to a lack of clarity around definitions of different revascularisation events</w:t>
      </w:r>
    </w:p>
    <w:p w14:paraId="10200E1F" w14:textId="77777777" w:rsidR="005F6A3D" w:rsidRDefault="005F6A3D" w:rsidP="00D83DA2">
      <w:pPr>
        <w:pStyle w:val="Bullet"/>
        <w:numPr>
          <w:ilvl w:val="0"/>
          <w:numId w:val="14"/>
        </w:numPr>
        <w:spacing w:before="0"/>
        <w:ind w:left="720"/>
      </w:pPr>
      <w:r>
        <w:t>the transitions between health states being derived from event rates from the IVUS and angiography arms of RCTs</w:t>
      </w:r>
    </w:p>
    <w:p w14:paraId="38CA8332" w14:textId="77777777" w:rsidR="005F6A3D" w:rsidRDefault="005F6A3D" w:rsidP="00D83DA2">
      <w:pPr>
        <w:pStyle w:val="Bullet"/>
        <w:numPr>
          <w:ilvl w:val="0"/>
          <w:numId w:val="14"/>
        </w:numPr>
        <w:spacing w:before="0"/>
        <w:ind w:left="720"/>
      </w:pPr>
      <w:r>
        <w:t>the transition between health states from post-MI to post-TLR being removed to align with RCT evidence</w:t>
      </w:r>
    </w:p>
    <w:p w14:paraId="4C17D707" w14:textId="77777777" w:rsidR="005F6A3D" w:rsidRPr="00C22BFD" w:rsidRDefault="005F6A3D" w:rsidP="00D83DA2">
      <w:pPr>
        <w:pStyle w:val="BulletLast"/>
        <w:numPr>
          <w:ilvl w:val="0"/>
          <w:numId w:val="14"/>
        </w:numPr>
        <w:spacing w:after="240"/>
        <w:ind w:left="720"/>
        <w:rPr>
          <w:rFonts w:ascii="Franklin Gothic Book" w:hAnsi="Franklin Gothic Book"/>
        </w:rPr>
      </w:pPr>
      <w:r w:rsidRPr="00C22BFD">
        <w:rPr>
          <w:rFonts w:ascii="Franklin Gothic Book" w:hAnsi="Franklin Gothic Book"/>
        </w:rPr>
        <w:t>all-cause and event-specific mortality being updated to reflect progressions in standard practice (no mortality between treatment arms).</w:t>
      </w:r>
    </w:p>
    <w:p w14:paraId="49A0F46B" w14:textId="77777777" w:rsidR="005F6A3D" w:rsidRDefault="005F6A3D" w:rsidP="005F6A3D">
      <w:r>
        <w:t>ESC noted that, similar to the 2015 application, a Markov model was used.</w:t>
      </w:r>
    </w:p>
    <w:p w14:paraId="3ECD94A6" w14:textId="77777777" w:rsidR="005F6A3D" w:rsidRDefault="005F6A3D" w:rsidP="005F6A3D">
      <w:r>
        <w:lastRenderedPageBreak/>
        <w:t>ESC noted that t</w:t>
      </w:r>
      <w:r w:rsidRPr="00EA7BDA">
        <w:t>ransition probabilities for MI after IVUS or angiography alone were taken from trials that reported no statistically significant between-group differences for this outcome</w:t>
      </w:r>
      <w:r>
        <w:t>. ESC noted the pre-ESC response stating that because the rate of MI is of high clinical significance it should be captured in the model.  ESC considered the real-world study (Mentias et al. [2020]</w:t>
      </w:r>
      <w:r>
        <w:rPr>
          <w:rStyle w:val="FootnoteReference"/>
        </w:rPr>
        <w:footnoteReference w:id="24"/>
      </w:r>
      <w:r>
        <w:t>) which was one of the studies used to support the effect of IVUS on mortality (and also cited in the pre-ESC response).  ESC noted the baseline characteristics of the participants in the study, which used American Medicare data, suggested that the intervention group had sicker patients with more co-morbidities and prior treatment. However, ESC noted that the sicker patients had a higher rate of stable disease, lower rates of MI, and much higher rates of complex coronary intervention. The results showed statistically significant lower MI with IVUS, even before propensity score matching. ESC considered that the underlying differences between the groups in the study introduced a potential for bias. Overall, ESC considered that using a more conservative approach – assuming no statistically significant difference in the rate of MI – was more appropriate in the base case model.</w:t>
      </w:r>
    </w:p>
    <w:p w14:paraId="6FCC6DBB" w14:textId="77777777" w:rsidR="005F6A3D" w:rsidRDefault="005F6A3D" w:rsidP="005F6A3D">
      <w:r>
        <w:t xml:space="preserve">ESC noted that the commentary adjusted the economic analysis to align with the trial-based evidence of follow-up for each population, creating the revised base case: </w:t>
      </w:r>
    </w:p>
    <w:p w14:paraId="109A9F70" w14:textId="77777777" w:rsidR="005F6A3D" w:rsidRDefault="005F6A3D" w:rsidP="00D83DA2">
      <w:pPr>
        <w:pStyle w:val="Bullet"/>
        <w:numPr>
          <w:ilvl w:val="0"/>
          <w:numId w:val="14"/>
        </w:numPr>
        <w:spacing w:before="0"/>
        <w:ind w:left="720"/>
      </w:pPr>
      <w:r>
        <w:t>For the all-comers population, ESC noted that assuming a 3-year incremental benefit and no statistically significant difference in the rate of MI increased the ICER estimates from $16,317 to $67,149 (for the lifetime time horizon).</w:t>
      </w:r>
    </w:p>
    <w:p w14:paraId="16E352F2" w14:textId="77777777" w:rsidR="005F6A3D" w:rsidRDefault="005F6A3D" w:rsidP="005F6A3D">
      <w:pPr>
        <w:pStyle w:val="Bullet"/>
      </w:pPr>
      <w:r>
        <w:t>For the complex anatomical characteristics population, assuming a 2-year incremental benefit for left main lesions, a 5-year incremental benefit for long lesions, and no statistically significant difference in the rate of MI increased the overall ICER from $17,873 to $32,425 (for the lifetime horizon).</w:t>
      </w:r>
    </w:p>
    <w:p w14:paraId="29F1DDCA" w14:textId="77777777" w:rsidR="005F6A3D" w:rsidRDefault="005F6A3D" w:rsidP="005F6A3D">
      <w:r>
        <w:t>ESC considered the commentary’s revised base case estimates were the appropriate base case for MSAC consideration. ESC noted the ICER for the all-comers population was highly sensitive to this model change but remained below $50,000 per QALY for the complex anatomical characteristics population.</w:t>
      </w:r>
    </w:p>
    <w:p w14:paraId="3ED659FC" w14:textId="77777777" w:rsidR="005F6A3D" w:rsidRDefault="005F6A3D" w:rsidP="005F6A3D">
      <w:r>
        <w:t>ESC noted that the time horizon was the main driver of the model. ESC also noted that including the incremental benefit of MI in the sensitivity analysis decreased the ICER for both populations, demonstrating why the applicant felt it was important to include it in the model.</w:t>
      </w:r>
    </w:p>
    <w:p w14:paraId="4046FCF3" w14:textId="77777777" w:rsidR="005F6A3D" w:rsidRDefault="005F6A3D" w:rsidP="005F6A3D">
      <w:r>
        <w:t xml:space="preserve">ESC noted commentary concerns about a lack of interrogation of the source of utilities. ESC agreed this would have been ideal; however, in this case omitting this was reasonable, given the revised utility weight estimates were more conservative than the previous submission, and not a main driver of the model. </w:t>
      </w:r>
    </w:p>
    <w:p w14:paraId="7E62DF66" w14:textId="34BB61AC" w:rsidR="005F6A3D" w:rsidRPr="001D30F3" w:rsidRDefault="005F6A3D" w:rsidP="005F6A3D">
      <w:r>
        <w:t xml:space="preserve">ESC noted that the estimated financial and budgetary impacts remained largely unchanged from the previous application. ESC noted that the estimated MBS costs (up to a total of approximately $4 million in </w:t>
      </w:r>
      <w:r w:rsidRPr="00DA12C1">
        <w:t xml:space="preserve">2026) comprise around 25% of the overall financial costs. ESC considered the cost of IVUS capital and consumables (a disposable imaging catheter, a mini transducer and a console), estimated to be </w:t>
      </w:r>
      <w:r w:rsidR="00DA12C1" w:rsidRPr="00DA12C1">
        <w:t xml:space="preserve">between $1,000 and $1,500 </w:t>
      </w:r>
      <w:r w:rsidRPr="00DA12C1">
        <w:t xml:space="preserve">per procedure, to be high, noting that the applicant-developed assessment report (ADAR) did not provide a breakdown for this cost. </w:t>
      </w:r>
    </w:p>
    <w:p w14:paraId="32214630" w14:textId="695454FF" w:rsidR="005F6A3D" w:rsidRDefault="005F6A3D" w:rsidP="005F6A3D">
      <w:r w:rsidRPr="001D30F3">
        <w:t>ESC noted that the financial implications were based on 77 hospitals (including 30 private hospitals) that currently use IVUS, and assumed that, because of the cost of the generator ($</w:t>
      </w:r>
      <w:r w:rsidR="00652FBB" w:rsidRPr="00652FBB">
        <w:rPr>
          <w:b/>
          <w:bCs/>
        </w:rPr>
        <w:t>redacted</w:t>
      </w:r>
      <w:r w:rsidRPr="001D30F3">
        <w:t xml:space="preserve"> with an 8-</w:t>
      </w:r>
      <w:r w:rsidRPr="00DA12C1">
        <w:t>year life span), the uptake</w:t>
      </w:r>
      <w:r>
        <w:t xml:space="preserve"> will be no more than five new hospitals per year. ESC noted concerns raised in the commentary about the estimated uptake of the service; ESC </w:t>
      </w:r>
      <w:r>
        <w:lastRenderedPageBreak/>
        <w:t xml:space="preserve">considered there was potential for the number of services to be greater than estimated, as uptake was based on conservative assumptions based on high capital outlay. In addition, ESC noted that the financial analysis did not include cost offsets to the MBS (reduced services for revascularisations) or the Pharmaceutical Benefits Scheme (reduced medical treatments) compared with the economic evaluation incorporating cost offsets through reduced revascularisation and MI in the IVUS-guided arm. </w:t>
      </w:r>
    </w:p>
    <w:p w14:paraId="7DF63796" w14:textId="1F952192" w:rsidR="005F6A3D" w:rsidRDefault="005F6A3D" w:rsidP="005F6A3D">
      <w:pPr>
        <w:pStyle w:val="Heading2"/>
        <w:numPr>
          <w:ilvl w:val="0"/>
          <w:numId w:val="0"/>
        </w:numPr>
      </w:pPr>
      <w:r>
        <w:t>1</w:t>
      </w:r>
      <w:r w:rsidR="009449D7">
        <w:t>7</w:t>
      </w:r>
      <w:r>
        <w:t>.</w:t>
      </w:r>
      <w:r>
        <w:tab/>
        <w:t>Applicant comments on MSAC’s Public Summary Document</w:t>
      </w:r>
    </w:p>
    <w:p w14:paraId="69BF7EFC" w14:textId="1A323851" w:rsidR="005F6A3D" w:rsidRPr="00652FBB" w:rsidRDefault="00652FBB" w:rsidP="005F6A3D">
      <w:pPr>
        <w:rPr>
          <w:rFonts w:ascii="Calibri" w:hAnsi="Calibri"/>
        </w:rPr>
      </w:pPr>
      <w:r>
        <w:t>The Applicant is pleased with the decision by the MSAC to recommend listing of IVUS in patients with complex anatomical characteristics.</w:t>
      </w:r>
    </w:p>
    <w:p w14:paraId="72776F5F" w14:textId="1D13A704" w:rsidR="005F6A3D" w:rsidRDefault="005F6A3D" w:rsidP="005F6A3D">
      <w:pPr>
        <w:pStyle w:val="Heading2"/>
        <w:numPr>
          <w:ilvl w:val="0"/>
          <w:numId w:val="0"/>
        </w:numPr>
      </w:pPr>
      <w:r>
        <w:t>1</w:t>
      </w:r>
      <w:r w:rsidR="009449D7">
        <w:t>8</w:t>
      </w:r>
      <w:r>
        <w:t>.</w:t>
      </w:r>
      <w:r>
        <w:tab/>
        <w:t>Further information on MSAC</w:t>
      </w:r>
    </w:p>
    <w:p w14:paraId="59E32AE1" w14:textId="49C8E7EE" w:rsidR="00773E8D" w:rsidRDefault="005F6A3D" w:rsidP="005F6A3D">
      <w:r>
        <w:t xml:space="preserve">MSAC Terms of Reference and other information are available on the MSAC Website: </w:t>
      </w:r>
      <w:hyperlink r:id="rId47" w:tooltip="Link to the MSAC website" w:history="1">
        <w:r w:rsidRPr="00D83DA2">
          <w:rPr>
            <w:rStyle w:val="Hyperlink"/>
          </w:rPr>
          <w:t>visit the MSAC website</w:t>
        </w:r>
      </w:hyperlink>
      <w:r w:rsidR="00773E8D">
        <w:br w:type="page"/>
      </w:r>
    </w:p>
    <w:p w14:paraId="46473DEF" w14:textId="2D024E93" w:rsidR="00D14207" w:rsidRDefault="00D14207" w:rsidP="00773E8D">
      <w:pPr>
        <w:pStyle w:val="Heading2"/>
        <w:numPr>
          <w:ilvl w:val="0"/>
          <w:numId w:val="0"/>
        </w:numPr>
        <w:ind w:left="1814" w:hanging="1814"/>
      </w:pPr>
      <w:bookmarkStart w:id="52" w:name="_Appendix_A_–"/>
      <w:bookmarkEnd w:id="52"/>
      <w:r w:rsidRPr="000B3108">
        <w:lastRenderedPageBreak/>
        <w:t xml:space="preserve">Appendix </w:t>
      </w:r>
      <w:r w:rsidR="000B3108" w:rsidRPr="000B3108">
        <w:t>A – MBS items for percutaneous coronary stent insertion</w:t>
      </w:r>
    </w:p>
    <w:p w14:paraId="4C8D3179" w14:textId="38FF0A19" w:rsidR="000B3108" w:rsidRDefault="00921C8D" w:rsidP="009238ED">
      <w:pPr>
        <w:pStyle w:val="Heading3"/>
      </w:pPr>
      <w:r>
        <w:t xml:space="preserve">MBS items for </w:t>
      </w:r>
      <w:r w:rsidR="009238ED">
        <w:t xml:space="preserve">PCI with </w:t>
      </w:r>
      <w:r w:rsidR="009238ED" w:rsidRPr="009238ED">
        <w:t>coronary</w:t>
      </w:r>
      <w:r w:rsidR="009238ED">
        <w:t xml:space="preserve"> stenting</w:t>
      </w:r>
      <w:r>
        <w:t xml:space="preserve"> (12 items)</w:t>
      </w:r>
    </w:p>
    <w:tbl>
      <w:tblPr>
        <w:tblStyle w:val="TableGrid"/>
        <w:tblW w:w="0" w:type="auto"/>
        <w:tblLook w:val="04A0" w:firstRow="1" w:lastRow="0" w:firstColumn="1" w:lastColumn="0" w:noHBand="0" w:noVBand="1"/>
      </w:tblPr>
      <w:tblGrid>
        <w:gridCol w:w="9016"/>
      </w:tblGrid>
      <w:tr w:rsidR="009238ED" w:rsidRPr="004D7E54" w14:paraId="59E4C59F" w14:textId="77777777" w:rsidTr="0009246B">
        <w:tc>
          <w:tcPr>
            <w:tcW w:w="9016" w:type="dxa"/>
          </w:tcPr>
          <w:p w14:paraId="72203D83" w14:textId="62F7B2D7" w:rsidR="009238ED" w:rsidRPr="004D7E54" w:rsidRDefault="00C61885" w:rsidP="0009246B">
            <w:pPr>
              <w:pStyle w:val="Tabletext0"/>
              <w:keepNext/>
              <w:keepLines/>
              <w:jc w:val="right"/>
              <w:rPr>
                <w:rFonts w:eastAsiaTheme="minorHAnsi"/>
                <w:b/>
                <w:bCs/>
                <w:sz w:val="16"/>
                <w:szCs w:val="16"/>
              </w:rPr>
            </w:pPr>
            <w:r w:rsidRPr="004D7E54">
              <w:rPr>
                <w:rFonts w:eastAsiaTheme="minorHAnsi"/>
                <w:b/>
                <w:bCs/>
                <w:sz w:val="16"/>
                <w:szCs w:val="16"/>
              </w:rPr>
              <w:t>Category 3 – THERAPEUTIC PROCEDURES</w:t>
            </w:r>
          </w:p>
        </w:tc>
      </w:tr>
      <w:tr w:rsidR="009238ED" w:rsidRPr="004D7E54" w14:paraId="27775C6E" w14:textId="77777777" w:rsidTr="0009246B">
        <w:tc>
          <w:tcPr>
            <w:tcW w:w="9016" w:type="dxa"/>
          </w:tcPr>
          <w:p w14:paraId="387E487E" w14:textId="77777777" w:rsidR="009238ED" w:rsidRPr="004D7E54" w:rsidRDefault="009238ED" w:rsidP="00921C8D">
            <w:pPr>
              <w:pStyle w:val="Tabletext0"/>
              <w:keepNext/>
              <w:keepLines/>
              <w:rPr>
                <w:rFonts w:eastAsiaTheme="minorHAnsi"/>
                <w:b/>
                <w:bCs/>
                <w:sz w:val="16"/>
                <w:szCs w:val="16"/>
              </w:rPr>
            </w:pPr>
            <w:r w:rsidRPr="004D7E54">
              <w:rPr>
                <w:rFonts w:eastAsiaTheme="minorHAnsi"/>
                <w:b/>
                <w:bCs/>
                <w:sz w:val="16"/>
                <w:szCs w:val="16"/>
              </w:rPr>
              <w:t>MBS 38307</w:t>
            </w:r>
          </w:p>
          <w:p w14:paraId="5FAFDA8B" w14:textId="77777777" w:rsidR="009238ED" w:rsidRPr="004D7E54" w:rsidRDefault="009238ED" w:rsidP="00921C8D">
            <w:pPr>
              <w:keepNext/>
              <w:keepLines/>
              <w:spacing w:before="40" w:after="40" w:line="259" w:lineRule="auto"/>
              <w:rPr>
                <w:rFonts w:cstheme="minorHAnsi"/>
                <w:sz w:val="16"/>
                <w:szCs w:val="16"/>
                <w:lang w:eastAsia="en-AU"/>
              </w:rPr>
            </w:pPr>
            <w:r w:rsidRPr="004D7E54">
              <w:rPr>
                <w:rFonts w:cstheme="minorHAnsi"/>
                <w:sz w:val="16"/>
                <w:szCs w:val="16"/>
                <w:lang w:eastAsia="en-AU"/>
              </w:rPr>
              <w:t>Note: (acute coronary syndrome - 1 coronary territory with selective coronary angiography) the service only applies if the patient meets the requirements of the descriptor and the requirements of Note: TR.8.2 and TR.8.5</w:t>
            </w:r>
          </w:p>
          <w:p w14:paraId="785FFF5A" w14:textId="77777777" w:rsidR="009238ED" w:rsidRPr="004D7E54" w:rsidRDefault="009238ED" w:rsidP="00921C8D">
            <w:pPr>
              <w:keepNext/>
              <w:keepLines/>
              <w:spacing w:before="40" w:after="40" w:line="259" w:lineRule="auto"/>
              <w:rPr>
                <w:rFonts w:cstheme="minorHAnsi"/>
                <w:sz w:val="16"/>
                <w:szCs w:val="16"/>
                <w:lang w:eastAsia="en-AU"/>
              </w:rPr>
            </w:pPr>
            <w:r w:rsidRPr="004D7E54">
              <w:rPr>
                <w:rFonts w:cstheme="minorHAnsi"/>
                <w:sz w:val="16"/>
                <w:szCs w:val="16"/>
                <w:lang w:eastAsia="en-AU"/>
              </w:rPr>
              <w:t>Percutaneous coronary intervention:</w:t>
            </w:r>
          </w:p>
          <w:p w14:paraId="15D41F60" w14:textId="77777777" w:rsidR="009238ED" w:rsidRPr="004D7E54" w:rsidRDefault="009238ED" w:rsidP="00921C8D">
            <w:pPr>
              <w:keepNext/>
              <w:keepLines/>
              <w:spacing w:before="40" w:after="40" w:line="259" w:lineRule="auto"/>
              <w:rPr>
                <w:rFonts w:cstheme="minorHAnsi"/>
                <w:sz w:val="16"/>
                <w:szCs w:val="16"/>
                <w:lang w:eastAsia="en-AU"/>
              </w:rPr>
            </w:pPr>
            <w:r w:rsidRPr="004D7E54">
              <w:rPr>
                <w:rFonts w:cstheme="minorHAnsi"/>
                <w:sz w:val="16"/>
                <w:szCs w:val="16"/>
                <w:lang w:eastAsia="en-AU"/>
              </w:rPr>
              <w:t>(a) for a patient:</w:t>
            </w:r>
          </w:p>
          <w:p w14:paraId="05C46D23" w14:textId="77777777" w:rsidR="009238ED" w:rsidRPr="004D7E54" w:rsidRDefault="009238ED" w:rsidP="00921C8D">
            <w:pPr>
              <w:keepNext/>
              <w:keepLines/>
              <w:spacing w:before="40" w:after="40" w:line="259" w:lineRule="auto"/>
              <w:ind w:left="284"/>
              <w:rPr>
                <w:rFonts w:cstheme="minorHAnsi"/>
                <w:sz w:val="16"/>
                <w:szCs w:val="16"/>
                <w:lang w:eastAsia="en-AU"/>
              </w:rPr>
            </w:pPr>
            <w:r w:rsidRPr="004D7E54">
              <w:rPr>
                <w:rFonts w:cstheme="minorHAnsi"/>
                <w:sz w:val="16"/>
                <w:szCs w:val="16"/>
                <w:lang w:eastAsia="en-AU"/>
              </w:rPr>
              <w:t>(i) eligible for the service under clause 5.10.17A; and</w:t>
            </w:r>
          </w:p>
          <w:p w14:paraId="5B9B8139" w14:textId="77777777" w:rsidR="009238ED" w:rsidRPr="004D7E54" w:rsidRDefault="009238ED" w:rsidP="00921C8D">
            <w:pPr>
              <w:keepNext/>
              <w:keepLines/>
              <w:spacing w:before="40" w:after="40" w:line="259" w:lineRule="auto"/>
              <w:ind w:left="284"/>
              <w:rPr>
                <w:rFonts w:cstheme="minorHAnsi"/>
                <w:sz w:val="16"/>
                <w:szCs w:val="16"/>
                <w:lang w:eastAsia="en-AU"/>
              </w:rPr>
            </w:pPr>
            <w:r w:rsidRPr="004D7E54">
              <w:rPr>
                <w:rFonts w:cstheme="minorHAnsi"/>
                <w:sz w:val="16"/>
                <w:szCs w:val="16"/>
                <w:lang w:eastAsia="en-AU"/>
              </w:rPr>
              <w:t>(ii) for whom selective coronary angiography has not been completed in the previous 3 months; and</w:t>
            </w:r>
          </w:p>
          <w:p w14:paraId="77B959AB" w14:textId="77777777" w:rsidR="009238ED" w:rsidRPr="004D7E54" w:rsidRDefault="009238ED" w:rsidP="00921C8D">
            <w:pPr>
              <w:keepNext/>
              <w:keepLines/>
              <w:spacing w:before="40" w:after="40" w:line="259" w:lineRule="auto"/>
              <w:rPr>
                <w:rFonts w:cstheme="minorHAnsi"/>
                <w:sz w:val="16"/>
                <w:szCs w:val="16"/>
                <w:lang w:eastAsia="en-AU"/>
              </w:rPr>
            </w:pPr>
            <w:r w:rsidRPr="004D7E54">
              <w:rPr>
                <w:rFonts w:cstheme="minorHAnsi"/>
                <w:sz w:val="16"/>
                <w:szCs w:val="16"/>
                <w:lang w:eastAsia="en-AU"/>
              </w:rPr>
              <w:t>(b) including selective coronary angiography and all associated imaging, catheter and contrast; and</w:t>
            </w:r>
          </w:p>
          <w:p w14:paraId="1CB1FFE4" w14:textId="77777777" w:rsidR="009238ED" w:rsidRPr="004D7E54" w:rsidRDefault="009238ED" w:rsidP="00921C8D">
            <w:pPr>
              <w:keepNext/>
              <w:keepLines/>
              <w:spacing w:before="40" w:after="40" w:line="259" w:lineRule="auto"/>
              <w:rPr>
                <w:rFonts w:cstheme="minorHAnsi"/>
                <w:sz w:val="16"/>
                <w:szCs w:val="16"/>
                <w:lang w:eastAsia="en-AU"/>
              </w:rPr>
            </w:pPr>
            <w:r w:rsidRPr="004D7E54">
              <w:rPr>
                <w:rFonts w:cstheme="minorHAnsi"/>
                <w:sz w:val="16"/>
                <w:szCs w:val="16"/>
                <w:lang w:eastAsia="en-AU"/>
              </w:rPr>
              <w:t>(c) including either or both:</w:t>
            </w:r>
          </w:p>
          <w:p w14:paraId="73B29096" w14:textId="77777777" w:rsidR="009238ED" w:rsidRPr="004D7E54" w:rsidRDefault="009238ED" w:rsidP="00921C8D">
            <w:pPr>
              <w:keepNext/>
              <w:keepLines/>
              <w:spacing w:before="40" w:after="40" w:line="259" w:lineRule="auto"/>
              <w:ind w:left="284"/>
              <w:rPr>
                <w:rFonts w:cstheme="minorHAnsi"/>
                <w:sz w:val="16"/>
                <w:szCs w:val="16"/>
                <w:lang w:eastAsia="en-AU"/>
              </w:rPr>
            </w:pPr>
            <w:r w:rsidRPr="004D7E54">
              <w:rPr>
                <w:rFonts w:cstheme="minorHAnsi"/>
                <w:sz w:val="16"/>
                <w:szCs w:val="16"/>
                <w:lang w:eastAsia="en-AU"/>
              </w:rPr>
              <w:t>(i) percutaneous angioplasty;</w:t>
            </w:r>
          </w:p>
          <w:p w14:paraId="2461C4A1" w14:textId="77777777" w:rsidR="009238ED" w:rsidRPr="004D7E54" w:rsidRDefault="009238ED" w:rsidP="00921C8D">
            <w:pPr>
              <w:keepNext/>
              <w:keepLines/>
              <w:spacing w:before="40" w:after="40" w:line="259" w:lineRule="auto"/>
              <w:ind w:left="284"/>
              <w:rPr>
                <w:rFonts w:cstheme="minorHAnsi"/>
                <w:sz w:val="16"/>
                <w:szCs w:val="16"/>
                <w:lang w:eastAsia="en-AU"/>
              </w:rPr>
            </w:pPr>
            <w:r w:rsidRPr="004D7E54">
              <w:rPr>
                <w:rFonts w:cstheme="minorHAnsi"/>
                <w:sz w:val="16"/>
                <w:szCs w:val="16"/>
                <w:lang w:eastAsia="en-AU"/>
              </w:rPr>
              <w:t>(ii) transluminal insertion of one or more stents; and</w:t>
            </w:r>
          </w:p>
          <w:p w14:paraId="55C10AF6" w14:textId="77777777" w:rsidR="009238ED" w:rsidRPr="004D7E54" w:rsidRDefault="009238ED" w:rsidP="00921C8D">
            <w:pPr>
              <w:keepNext/>
              <w:keepLines/>
              <w:spacing w:before="40" w:after="40" w:line="259" w:lineRule="auto"/>
              <w:rPr>
                <w:rFonts w:cstheme="minorHAnsi"/>
                <w:sz w:val="16"/>
                <w:szCs w:val="16"/>
                <w:lang w:eastAsia="en-AU"/>
              </w:rPr>
            </w:pPr>
            <w:r w:rsidRPr="004D7E54">
              <w:rPr>
                <w:rFonts w:cstheme="minorHAnsi"/>
                <w:sz w:val="16"/>
                <w:szCs w:val="16"/>
                <w:lang w:eastAsia="en-AU"/>
              </w:rPr>
              <w:t>(d) performed on one coronary vascular territory; and</w:t>
            </w:r>
          </w:p>
          <w:p w14:paraId="69CE5B3A" w14:textId="77777777" w:rsidR="009238ED" w:rsidRPr="004D7E54" w:rsidRDefault="009238ED" w:rsidP="00921C8D">
            <w:pPr>
              <w:keepNext/>
              <w:keepLines/>
              <w:spacing w:before="40" w:after="40" w:line="259" w:lineRule="auto"/>
              <w:rPr>
                <w:rFonts w:cstheme="minorHAnsi"/>
                <w:sz w:val="16"/>
                <w:szCs w:val="16"/>
                <w:lang w:eastAsia="en-AU"/>
              </w:rPr>
            </w:pPr>
            <w:r w:rsidRPr="004D7E54">
              <w:rPr>
                <w:rFonts w:cstheme="minorHAnsi"/>
                <w:sz w:val="16"/>
                <w:szCs w:val="16"/>
                <w:lang w:eastAsia="en-AU"/>
              </w:rPr>
              <w:t>(e) excluding aftercare;</w:t>
            </w:r>
          </w:p>
          <w:p w14:paraId="2C8EB46F" w14:textId="77777777" w:rsidR="009238ED" w:rsidRPr="004D7E54" w:rsidRDefault="009238ED" w:rsidP="00921C8D">
            <w:pPr>
              <w:keepNext/>
              <w:keepLines/>
              <w:spacing w:before="40" w:after="40" w:line="259" w:lineRule="auto"/>
              <w:rPr>
                <w:rFonts w:cstheme="minorHAnsi"/>
                <w:sz w:val="16"/>
                <w:szCs w:val="16"/>
                <w:lang w:eastAsia="en-AU"/>
              </w:rPr>
            </w:pPr>
            <w:r w:rsidRPr="004D7E54">
              <w:rPr>
                <w:rFonts w:cstheme="minorHAnsi"/>
                <w:sz w:val="16"/>
                <w:szCs w:val="16"/>
                <w:lang w:eastAsia="en-AU"/>
              </w:rPr>
              <w:t xml:space="preserve">other than a service associated with a service to which item 38200, 38203, 38206, 38244, 38247, 38248, 38249, 38251, 38252, 38308, 38310, 38311, 38313, 38314, 38316, 38317, 38319, 38320, 38322 or 38323 applies </w:t>
            </w:r>
          </w:p>
          <w:p w14:paraId="79ACE388" w14:textId="77777777" w:rsidR="009238ED" w:rsidRPr="004D7E54" w:rsidRDefault="009238ED" w:rsidP="00921C8D">
            <w:pPr>
              <w:keepNext/>
              <w:keepLines/>
              <w:spacing w:before="40" w:after="40" w:line="259" w:lineRule="auto"/>
              <w:rPr>
                <w:rFonts w:cstheme="minorHAnsi"/>
                <w:sz w:val="16"/>
                <w:szCs w:val="16"/>
                <w:lang w:eastAsia="en-AU"/>
              </w:rPr>
            </w:pPr>
            <w:r w:rsidRPr="004D7E54">
              <w:rPr>
                <w:rFonts w:cstheme="minorHAnsi"/>
                <w:sz w:val="16"/>
                <w:szCs w:val="16"/>
                <w:lang w:eastAsia="en-AU"/>
              </w:rPr>
              <w:t>Multiple Operation Rule</w:t>
            </w:r>
          </w:p>
          <w:p w14:paraId="78A1D71B" w14:textId="2679F9F8" w:rsidR="009238ED" w:rsidRPr="004D7E54" w:rsidRDefault="009238ED" w:rsidP="00921C8D">
            <w:pPr>
              <w:keepNext/>
              <w:keepLines/>
              <w:spacing w:before="40" w:after="40" w:line="259" w:lineRule="auto"/>
              <w:rPr>
                <w:rFonts w:cstheme="minorHAnsi"/>
                <w:sz w:val="16"/>
                <w:szCs w:val="16"/>
                <w:lang w:eastAsia="en-AU"/>
              </w:rPr>
            </w:pPr>
            <w:r w:rsidRPr="004D7E54">
              <w:rPr>
                <w:rFonts w:cstheme="minorHAnsi"/>
                <w:sz w:val="16"/>
                <w:szCs w:val="16"/>
                <w:lang w:eastAsia="en-AU"/>
              </w:rPr>
              <w:t>(Anaes.) (Assist.)</w:t>
            </w:r>
            <w:r w:rsidR="00FA4D10">
              <w:rPr>
                <w:rFonts w:cstheme="minorHAnsi"/>
                <w:sz w:val="16"/>
                <w:szCs w:val="16"/>
                <w:lang w:eastAsia="en-AU"/>
              </w:rPr>
              <w:t>f</w:t>
            </w:r>
          </w:p>
          <w:p w14:paraId="73C62D01" w14:textId="77777777" w:rsidR="009238ED" w:rsidRPr="004D7E54" w:rsidRDefault="009238ED" w:rsidP="00921C8D">
            <w:pPr>
              <w:keepNext/>
              <w:keepLines/>
              <w:spacing w:before="40" w:after="40" w:line="259" w:lineRule="auto"/>
              <w:rPr>
                <w:rFonts w:cstheme="minorHAnsi"/>
                <w:sz w:val="16"/>
                <w:szCs w:val="16"/>
                <w:lang w:eastAsia="en-AU"/>
              </w:rPr>
            </w:pPr>
            <w:r w:rsidRPr="004D7E54">
              <w:rPr>
                <w:rFonts w:cstheme="minorHAnsi"/>
                <w:sz w:val="16"/>
                <w:szCs w:val="16"/>
                <w:lang w:eastAsia="en-AU"/>
              </w:rPr>
              <w:t>Fee: $1,844.60 Benefit: 75% = $1,383.45 85% = $1,759.90</w:t>
            </w:r>
          </w:p>
          <w:p w14:paraId="14B9657E" w14:textId="77777777" w:rsidR="009238ED" w:rsidRPr="004D7E54" w:rsidRDefault="009238ED" w:rsidP="00921C8D">
            <w:pPr>
              <w:pStyle w:val="Tabletext0"/>
              <w:keepNext/>
              <w:keepLines/>
              <w:ind w:firstLine="22"/>
              <w:rPr>
                <w:sz w:val="16"/>
                <w:szCs w:val="16"/>
              </w:rPr>
            </w:pPr>
            <w:r w:rsidRPr="004D7E54">
              <w:rPr>
                <w:rFonts w:cstheme="minorHAnsi"/>
                <w:sz w:val="16"/>
                <w:szCs w:val="16"/>
              </w:rPr>
              <w:t>(See para TN.8.217, TN.8.225, TR.8.2, TR.8.5 of explanatory notes to this Category)</w:t>
            </w:r>
          </w:p>
        </w:tc>
      </w:tr>
      <w:tr w:rsidR="009238ED" w:rsidRPr="004D7E54" w14:paraId="03FA34A6" w14:textId="77777777" w:rsidTr="009238ED">
        <w:tc>
          <w:tcPr>
            <w:tcW w:w="9016" w:type="dxa"/>
          </w:tcPr>
          <w:p w14:paraId="714BCCBC" w14:textId="110B6A43" w:rsidR="009238ED" w:rsidRPr="004D7E54" w:rsidRDefault="00C61885" w:rsidP="00921C8D">
            <w:pPr>
              <w:pStyle w:val="Tabletext0"/>
              <w:keepNext/>
              <w:jc w:val="right"/>
              <w:rPr>
                <w:rFonts w:eastAsiaTheme="minorHAnsi"/>
                <w:b/>
                <w:bCs/>
                <w:sz w:val="16"/>
                <w:szCs w:val="16"/>
              </w:rPr>
            </w:pPr>
            <w:r w:rsidRPr="004D7E54">
              <w:rPr>
                <w:rFonts w:eastAsiaTheme="minorHAnsi"/>
                <w:b/>
                <w:bCs/>
                <w:sz w:val="16"/>
                <w:szCs w:val="16"/>
              </w:rPr>
              <w:t>Category 3 – THERAPEUTIC PROCEDURES</w:t>
            </w:r>
          </w:p>
        </w:tc>
      </w:tr>
      <w:tr w:rsidR="009238ED" w:rsidRPr="004D7E54" w14:paraId="456E8F24" w14:textId="77777777" w:rsidTr="009238ED">
        <w:tc>
          <w:tcPr>
            <w:tcW w:w="9016" w:type="dxa"/>
          </w:tcPr>
          <w:p w14:paraId="30C28186" w14:textId="77777777" w:rsidR="009238ED" w:rsidRPr="004D7E54" w:rsidRDefault="009238ED" w:rsidP="00921C8D">
            <w:pPr>
              <w:pStyle w:val="Tabletext0"/>
              <w:rPr>
                <w:rFonts w:eastAsiaTheme="minorHAnsi"/>
                <w:b/>
                <w:bCs/>
                <w:sz w:val="16"/>
                <w:szCs w:val="16"/>
              </w:rPr>
            </w:pPr>
            <w:r w:rsidRPr="004D7E54">
              <w:rPr>
                <w:rFonts w:eastAsiaTheme="minorHAnsi"/>
                <w:b/>
                <w:bCs/>
                <w:sz w:val="16"/>
                <w:szCs w:val="16"/>
              </w:rPr>
              <w:t>MBS 38308</w:t>
            </w:r>
          </w:p>
          <w:p w14:paraId="30EFB484"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Note: (acute coronary syndrome - 2 coronary territories with selective coronary angiography) the service only applies if the patient meets the requirements of the descriptor and the requirements of Note: TR.8.2 and TR.8.5</w:t>
            </w:r>
          </w:p>
          <w:p w14:paraId="76ED06B0"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Percutaneous coronary intervention:</w:t>
            </w:r>
          </w:p>
          <w:p w14:paraId="7E268CDD"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(a) for a patient:</w:t>
            </w:r>
          </w:p>
          <w:p w14:paraId="27F6EF1A"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 eligible for the service under clause 5.10.17A; and</w:t>
            </w:r>
          </w:p>
          <w:p w14:paraId="473F72D0"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(ii) for whom selective coronary angiography has not been completed in the previous 3 months; and</w:t>
            </w:r>
          </w:p>
          <w:p w14:paraId="68248282"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(b) including selective coronary angiography and all associated imaging, catheter and contrast; and</w:t>
            </w:r>
          </w:p>
          <w:p w14:paraId="5BAF931C"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(c) including either or both:</w:t>
            </w:r>
          </w:p>
          <w:p w14:paraId="79AB89DC"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 percutaneous angioplasty; and</w:t>
            </w:r>
          </w:p>
          <w:p w14:paraId="44D4C451"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(ii) transluminal insertion of one or more stents; and</w:t>
            </w:r>
          </w:p>
          <w:p w14:paraId="317C39F5"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(d) performed on 2 coronary vascular territories; and</w:t>
            </w:r>
          </w:p>
          <w:p w14:paraId="05C84061"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(e) excluding aftercare;</w:t>
            </w:r>
          </w:p>
          <w:p w14:paraId="6E5A6A94"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other than a service associated with a service to which item 38200, 38203, 38206, 38244, 38247, 38248, 38249, 38251, 38252, 38307, 38310, 38311, 38313, 38314, 38316, 38317, 38319, 38320, 38322 or 38323 applies</w:t>
            </w:r>
          </w:p>
          <w:p w14:paraId="1DB7A974"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Multiple Operation Rule</w:t>
            </w:r>
          </w:p>
          <w:p w14:paraId="29EC7A05"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(Anaes.) (Assist.)</w:t>
            </w:r>
          </w:p>
          <w:p w14:paraId="7011D21A"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Fee: $2,122.25 Benefit: 75% = $1,591.70 85% = $2,037.55</w:t>
            </w:r>
          </w:p>
          <w:p w14:paraId="76B629CD" w14:textId="77777777" w:rsidR="009238ED" w:rsidRPr="004D7E54" w:rsidRDefault="009238ED" w:rsidP="00921C8D">
            <w:pPr>
              <w:pStyle w:val="Tabletext0"/>
              <w:ind w:firstLine="22"/>
              <w:rPr>
                <w:sz w:val="16"/>
                <w:szCs w:val="16"/>
              </w:rPr>
            </w:pPr>
            <w:r w:rsidRPr="004D7E54">
              <w:rPr>
                <w:rFonts w:cstheme="minorHAnsi"/>
                <w:sz w:val="16"/>
                <w:szCs w:val="16"/>
              </w:rPr>
              <w:t>(See para TN.8.217, TN.8.225, TR.8.2, TR.8.5 of explanatory notes to this Category)</w:t>
            </w:r>
          </w:p>
        </w:tc>
      </w:tr>
      <w:tr w:rsidR="009238ED" w:rsidRPr="004D7E54" w14:paraId="451652CC" w14:textId="77777777" w:rsidTr="009238ED">
        <w:tc>
          <w:tcPr>
            <w:tcW w:w="9016" w:type="dxa"/>
          </w:tcPr>
          <w:p w14:paraId="3E7FBA2E" w14:textId="3AD142C6" w:rsidR="009238ED" w:rsidRPr="004D7E54" w:rsidRDefault="00C61885" w:rsidP="00921C8D">
            <w:pPr>
              <w:pStyle w:val="Tabletext0"/>
              <w:keepNext/>
              <w:jc w:val="right"/>
              <w:rPr>
                <w:rFonts w:eastAsiaTheme="minorHAnsi"/>
                <w:b/>
                <w:bCs/>
                <w:sz w:val="16"/>
                <w:szCs w:val="16"/>
              </w:rPr>
            </w:pPr>
            <w:r w:rsidRPr="004D7E54">
              <w:rPr>
                <w:rFonts w:eastAsiaTheme="minorHAnsi"/>
                <w:b/>
                <w:bCs/>
                <w:sz w:val="16"/>
                <w:szCs w:val="16"/>
              </w:rPr>
              <w:t>Category 3 – THERAPEUTIC PROCEDURES</w:t>
            </w:r>
          </w:p>
        </w:tc>
      </w:tr>
      <w:tr w:rsidR="009238ED" w:rsidRPr="004D7E54" w14:paraId="3C2A4BAA" w14:textId="77777777" w:rsidTr="009238ED">
        <w:tc>
          <w:tcPr>
            <w:tcW w:w="9016" w:type="dxa"/>
          </w:tcPr>
          <w:p w14:paraId="04733F05" w14:textId="77777777" w:rsidR="009238ED" w:rsidRPr="004D7E54" w:rsidRDefault="009238ED" w:rsidP="00921C8D">
            <w:pPr>
              <w:pStyle w:val="Tabletext0"/>
              <w:rPr>
                <w:rFonts w:eastAsiaTheme="minorHAnsi"/>
                <w:b/>
                <w:bCs/>
                <w:sz w:val="16"/>
                <w:szCs w:val="16"/>
              </w:rPr>
            </w:pPr>
            <w:r w:rsidRPr="004D7E54">
              <w:rPr>
                <w:rFonts w:eastAsiaTheme="minorHAnsi"/>
                <w:b/>
                <w:bCs/>
                <w:sz w:val="16"/>
                <w:szCs w:val="16"/>
              </w:rPr>
              <w:t>MBS 38310</w:t>
            </w:r>
          </w:p>
          <w:p w14:paraId="54454D4D"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Note: (acute coronary syndrome - 3 coronary territories with selective coronary angiography) the service only applies if the patient meets the requirements of the descriptor and the requirements of Note: TR.8.2 and TR.8.5</w:t>
            </w:r>
          </w:p>
          <w:p w14:paraId="01B35C71"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Percutaneous coronary intervention:</w:t>
            </w:r>
          </w:p>
          <w:p w14:paraId="58EE09E1"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(a) for a patient:</w:t>
            </w:r>
          </w:p>
          <w:p w14:paraId="3EFDEABC"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 eligible for the service under clause 5.10.17A; and</w:t>
            </w:r>
          </w:p>
          <w:p w14:paraId="2E2311A7"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(ii) for whom selective coronary angiography has not been completed in the previous 3 months; and</w:t>
            </w:r>
          </w:p>
          <w:p w14:paraId="126907F7"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(b) including selective coronary angiography and all associated imaging, catheter and contrast; and</w:t>
            </w:r>
          </w:p>
          <w:p w14:paraId="62634F77"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(c) including either or both:</w:t>
            </w:r>
          </w:p>
          <w:p w14:paraId="16EC860A"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 percutaneous angioplasty; and</w:t>
            </w:r>
          </w:p>
          <w:p w14:paraId="0ADEE023"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(ii) transluminal insertion of one or more stents; and</w:t>
            </w:r>
          </w:p>
          <w:p w14:paraId="23496287"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lastRenderedPageBreak/>
              <w:t>(d) performed on 3 coronary vascular territories; and</w:t>
            </w:r>
          </w:p>
          <w:p w14:paraId="51559747"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(e) excluding aftercare;</w:t>
            </w:r>
          </w:p>
          <w:p w14:paraId="5B996E82"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 xml:space="preserve">other than a service associated with a service to which item 38200, 38203, 38206, 38244, 38247, 38248, 38249, 38251, 38252, 38307, 38308, 38311, 38313, 38314, 38316, 38317, 38319, 38320, 38322 or 38323 applies </w:t>
            </w:r>
          </w:p>
          <w:p w14:paraId="28316AC3"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Multiple Operation Rule</w:t>
            </w:r>
          </w:p>
          <w:p w14:paraId="0AD98625"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(Anaes.) (Assist.)</w:t>
            </w:r>
          </w:p>
          <w:p w14:paraId="55FC01F9"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Fee: $2,399.90 Benefit: 75% = $1,799.95 85% = $2,315.20</w:t>
            </w:r>
          </w:p>
          <w:p w14:paraId="3FE480B4" w14:textId="77777777" w:rsidR="009238ED" w:rsidRPr="004D7E54" w:rsidRDefault="009238ED" w:rsidP="00921C8D">
            <w:pPr>
              <w:pStyle w:val="Tabletext0"/>
              <w:ind w:firstLine="22"/>
              <w:rPr>
                <w:sz w:val="16"/>
                <w:szCs w:val="16"/>
              </w:rPr>
            </w:pPr>
            <w:r w:rsidRPr="004D7E54">
              <w:rPr>
                <w:rFonts w:cstheme="minorHAnsi"/>
                <w:sz w:val="16"/>
                <w:szCs w:val="16"/>
              </w:rPr>
              <w:t>(See para TN.8.217, TN.8.225, TR.8.2, TR.8.5 of explanatory notes to this Category)</w:t>
            </w:r>
          </w:p>
        </w:tc>
      </w:tr>
      <w:tr w:rsidR="009238ED" w:rsidRPr="004D7E54" w14:paraId="555FB4B4" w14:textId="77777777" w:rsidTr="009238ED">
        <w:tc>
          <w:tcPr>
            <w:tcW w:w="9016" w:type="dxa"/>
          </w:tcPr>
          <w:p w14:paraId="477E5A6C" w14:textId="34BA6AB8" w:rsidR="009238ED" w:rsidRPr="004D7E54" w:rsidRDefault="00C61885" w:rsidP="00921C8D">
            <w:pPr>
              <w:pStyle w:val="Tabletext0"/>
              <w:keepNext/>
              <w:jc w:val="right"/>
              <w:rPr>
                <w:rFonts w:eastAsiaTheme="minorHAnsi"/>
                <w:b/>
                <w:bCs/>
                <w:sz w:val="16"/>
                <w:szCs w:val="16"/>
              </w:rPr>
            </w:pPr>
            <w:r w:rsidRPr="004D7E54">
              <w:rPr>
                <w:rFonts w:eastAsiaTheme="minorHAnsi"/>
                <w:b/>
                <w:bCs/>
                <w:sz w:val="16"/>
                <w:szCs w:val="16"/>
              </w:rPr>
              <w:lastRenderedPageBreak/>
              <w:t>Category 3 – THERAPEUTIC PROCEDURES</w:t>
            </w:r>
          </w:p>
        </w:tc>
      </w:tr>
      <w:tr w:rsidR="009238ED" w:rsidRPr="004D7E54" w14:paraId="27BBD667" w14:textId="77777777" w:rsidTr="009238ED">
        <w:tc>
          <w:tcPr>
            <w:tcW w:w="9016" w:type="dxa"/>
          </w:tcPr>
          <w:p w14:paraId="53A44491" w14:textId="77777777" w:rsidR="009238ED" w:rsidRPr="004D7E54" w:rsidRDefault="009238ED" w:rsidP="00921C8D">
            <w:pPr>
              <w:pStyle w:val="Tabletext0"/>
              <w:rPr>
                <w:rFonts w:eastAsiaTheme="minorHAnsi"/>
                <w:b/>
                <w:bCs/>
                <w:sz w:val="16"/>
                <w:szCs w:val="16"/>
              </w:rPr>
            </w:pPr>
            <w:r w:rsidRPr="004D7E54">
              <w:rPr>
                <w:rFonts w:eastAsiaTheme="minorHAnsi"/>
                <w:b/>
                <w:bCs/>
                <w:sz w:val="16"/>
                <w:szCs w:val="16"/>
              </w:rPr>
              <w:t>MBS 38311</w:t>
            </w:r>
          </w:p>
          <w:p w14:paraId="5FE74D15"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Note: (stable multi-vessel disease - 1 coronary territory with selective angiography) the service only applies if the patient meets the requirements of the descriptor and the requirements of Note: TR.8.4 and TR.8.5</w:t>
            </w:r>
          </w:p>
          <w:p w14:paraId="478519BC"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Percutaneous coronary intervention:</w:t>
            </w:r>
          </w:p>
          <w:p w14:paraId="58392BD8"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(a) for a patient:</w:t>
            </w:r>
          </w:p>
          <w:p w14:paraId="2453E28D"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 eligible under clause 5.10.17C for the service and a service to which item 38314 applies; and</w:t>
            </w:r>
          </w:p>
          <w:p w14:paraId="4126EFF9"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(ii) for whom selective coronary angiography has not been completed in the previous 3 months; and</w:t>
            </w:r>
          </w:p>
          <w:p w14:paraId="0DD0F881"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(b) including selective coronary angiography and all associated imaging, catheter and contrast; and</w:t>
            </w:r>
          </w:p>
          <w:p w14:paraId="24DA268F"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(c) including either or both:</w:t>
            </w:r>
          </w:p>
          <w:p w14:paraId="6006108B"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 percutaneous angioplasty; and</w:t>
            </w:r>
          </w:p>
          <w:p w14:paraId="63B5811B"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(ii) transluminal insertion of one or more stents; and</w:t>
            </w:r>
          </w:p>
          <w:p w14:paraId="4526D621"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(d) performed on one coronary vascular territory; and</w:t>
            </w:r>
          </w:p>
          <w:p w14:paraId="7DF18A59"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(e) excluding aftercare;</w:t>
            </w:r>
          </w:p>
          <w:p w14:paraId="36557AC8"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 xml:space="preserve">other than a service associated with a service to which item 38200, 38203, 38206, 38244, 38247, 38248, 38249, 38251, 38252, 38307, 38308, 38310, 38313, 38314, 38316, 38317, 38319, 38320, 38322 or 38323 applies </w:t>
            </w:r>
          </w:p>
          <w:p w14:paraId="08542DA4"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Multiple Operation Rule</w:t>
            </w:r>
          </w:p>
          <w:p w14:paraId="20679E08"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(Anaes.) (Assist.)</w:t>
            </w:r>
          </w:p>
          <w:p w14:paraId="42266E40"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Fee: $1,844.60 Benefit: 75% = $1,383.45 85% = $1,759.90</w:t>
            </w:r>
          </w:p>
          <w:p w14:paraId="576062D1" w14:textId="77777777" w:rsidR="009238ED" w:rsidRPr="004D7E54" w:rsidRDefault="009238ED" w:rsidP="00921C8D">
            <w:pPr>
              <w:pStyle w:val="Tabletext0"/>
              <w:ind w:firstLine="22"/>
              <w:rPr>
                <w:sz w:val="16"/>
                <w:szCs w:val="16"/>
              </w:rPr>
            </w:pPr>
            <w:r w:rsidRPr="004D7E54">
              <w:rPr>
                <w:rFonts w:cstheme="minorHAnsi"/>
                <w:sz w:val="16"/>
                <w:szCs w:val="16"/>
              </w:rPr>
              <w:t>(See para TN.8.218, TN.8.226, TR.8.4, TR.8.5, TR.8.6 of explanatory notes to this Category)</w:t>
            </w:r>
          </w:p>
        </w:tc>
      </w:tr>
      <w:tr w:rsidR="009238ED" w:rsidRPr="004D7E54" w14:paraId="67DE9783" w14:textId="77777777" w:rsidTr="009238ED">
        <w:tc>
          <w:tcPr>
            <w:tcW w:w="9016" w:type="dxa"/>
          </w:tcPr>
          <w:p w14:paraId="5963E1E9" w14:textId="160D3AC8" w:rsidR="009238ED" w:rsidRPr="004D7E54" w:rsidRDefault="00C61885" w:rsidP="00921C8D">
            <w:pPr>
              <w:pStyle w:val="Tabletext0"/>
              <w:keepNext/>
              <w:jc w:val="right"/>
              <w:rPr>
                <w:rFonts w:eastAsiaTheme="minorHAnsi"/>
                <w:b/>
                <w:bCs/>
                <w:sz w:val="16"/>
                <w:szCs w:val="16"/>
              </w:rPr>
            </w:pPr>
            <w:r w:rsidRPr="004D7E54">
              <w:rPr>
                <w:rFonts w:eastAsiaTheme="minorHAnsi"/>
                <w:b/>
                <w:bCs/>
                <w:sz w:val="16"/>
                <w:szCs w:val="16"/>
              </w:rPr>
              <w:t>Category 3 – THERAPEUTIC PROCEDURES</w:t>
            </w:r>
          </w:p>
        </w:tc>
      </w:tr>
      <w:tr w:rsidR="009238ED" w:rsidRPr="004D7E54" w14:paraId="6EBA1A03" w14:textId="77777777" w:rsidTr="009238ED">
        <w:tc>
          <w:tcPr>
            <w:tcW w:w="9016" w:type="dxa"/>
          </w:tcPr>
          <w:p w14:paraId="61675DB2" w14:textId="77777777" w:rsidR="009238ED" w:rsidRPr="004D7E54" w:rsidRDefault="009238ED" w:rsidP="00921C8D">
            <w:pPr>
              <w:pStyle w:val="Tabletext0"/>
              <w:rPr>
                <w:rFonts w:eastAsiaTheme="minorHAnsi"/>
                <w:b/>
                <w:bCs/>
                <w:sz w:val="16"/>
                <w:szCs w:val="16"/>
              </w:rPr>
            </w:pPr>
            <w:r w:rsidRPr="004D7E54">
              <w:rPr>
                <w:rFonts w:eastAsiaTheme="minorHAnsi"/>
                <w:b/>
                <w:bCs/>
                <w:sz w:val="16"/>
                <w:szCs w:val="16"/>
              </w:rPr>
              <w:t>MBS 38313</w:t>
            </w:r>
          </w:p>
          <w:p w14:paraId="55825F16"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Note: (stable multi-vessel disease - 2 coronary territories with selective angiography) the service only applies if the patient meets the requirements of the descriptor and the requirements of Note: TR.8.4 and TR.8.5</w:t>
            </w:r>
          </w:p>
          <w:p w14:paraId="0586BEA4"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Percutaneous coronary intervention:</w:t>
            </w:r>
          </w:p>
          <w:p w14:paraId="1D4C3F6B"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(a) for a patient:</w:t>
            </w:r>
          </w:p>
          <w:p w14:paraId="1129BB4C"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 eligible under clause 5.10.17C for the service and a service to which item 38314 applies; and</w:t>
            </w:r>
          </w:p>
          <w:p w14:paraId="09031AC5"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(ii) for whom selective coronary angiography has not been completed in the previous 3 months; and</w:t>
            </w:r>
          </w:p>
          <w:p w14:paraId="5726A7F8"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(b) including selective coronary angiography and all associated imaging, catheter and contrast; and</w:t>
            </w:r>
          </w:p>
          <w:p w14:paraId="0106BBF9"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(c) including either or both:</w:t>
            </w:r>
          </w:p>
          <w:p w14:paraId="7A6601FD"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 percutaneous angioplasty; and</w:t>
            </w:r>
          </w:p>
          <w:p w14:paraId="36675281"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(ii) transluminal insertion of one or more stents; and</w:t>
            </w:r>
          </w:p>
          <w:p w14:paraId="34D4ED2A"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(d) performed on 2 coronary vascular territories; and</w:t>
            </w:r>
          </w:p>
          <w:p w14:paraId="679B36FA"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(e) excluding aftercare;</w:t>
            </w:r>
          </w:p>
          <w:p w14:paraId="4899030A"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 xml:space="preserve">other than a service associated with a service to which item 38200, 38203, 38206, 38244, 38247, 38248, 38249, 38251, 38252, 38307, 38308, 38310, 38311, 38314, 38316, 38317, 38319, 38320, 38322 or 38323 applies </w:t>
            </w:r>
          </w:p>
          <w:p w14:paraId="311677E4"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Multiple Operation Rule</w:t>
            </w:r>
          </w:p>
          <w:p w14:paraId="460236D3"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(Anaes.) (Assist.)</w:t>
            </w:r>
          </w:p>
          <w:p w14:paraId="5DFE240D"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Fee: $2,122.25 Benefit: 75% = $1,591.70 85% = $2,037.55</w:t>
            </w:r>
          </w:p>
          <w:p w14:paraId="79B9FA09"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(See para TN.8.218, TN.8.226, TR.8.4, TR.8.5, TR.8.6 of explanatory notes to this Category)</w:t>
            </w:r>
          </w:p>
        </w:tc>
      </w:tr>
      <w:tr w:rsidR="009238ED" w:rsidRPr="004D7E54" w14:paraId="68789EF9" w14:textId="77777777" w:rsidTr="009238ED">
        <w:tc>
          <w:tcPr>
            <w:tcW w:w="9016" w:type="dxa"/>
          </w:tcPr>
          <w:p w14:paraId="7ABE0FFF" w14:textId="2CDB4728" w:rsidR="009238ED" w:rsidRPr="004D7E54" w:rsidRDefault="00C61885" w:rsidP="00921C8D">
            <w:pPr>
              <w:pStyle w:val="Tabletext0"/>
              <w:keepNext/>
              <w:jc w:val="right"/>
              <w:rPr>
                <w:rFonts w:eastAsiaTheme="minorHAnsi"/>
                <w:b/>
                <w:bCs/>
                <w:sz w:val="16"/>
                <w:szCs w:val="16"/>
              </w:rPr>
            </w:pPr>
            <w:r w:rsidRPr="004D7E54">
              <w:rPr>
                <w:rFonts w:eastAsiaTheme="minorHAnsi"/>
                <w:b/>
                <w:bCs/>
                <w:sz w:val="16"/>
                <w:szCs w:val="16"/>
              </w:rPr>
              <w:t>Category 3 – THERAPEUTIC PROCEDURES</w:t>
            </w:r>
          </w:p>
        </w:tc>
      </w:tr>
      <w:tr w:rsidR="009238ED" w:rsidRPr="004D7E54" w14:paraId="08272B09" w14:textId="77777777" w:rsidTr="009238ED">
        <w:tc>
          <w:tcPr>
            <w:tcW w:w="9016" w:type="dxa"/>
          </w:tcPr>
          <w:p w14:paraId="7677A1AD" w14:textId="77777777" w:rsidR="009238ED" w:rsidRPr="004D7E54" w:rsidRDefault="009238ED" w:rsidP="00921C8D">
            <w:pPr>
              <w:pStyle w:val="Tabletext0"/>
              <w:rPr>
                <w:rFonts w:eastAsiaTheme="minorHAnsi"/>
                <w:b/>
                <w:bCs/>
                <w:sz w:val="16"/>
                <w:szCs w:val="16"/>
              </w:rPr>
            </w:pPr>
            <w:r w:rsidRPr="004D7E54">
              <w:rPr>
                <w:rFonts w:eastAsiaTheme="minorHAnsi"/>
                <w:b/>
                <w:bCs/>
                <w:sz w:val="16"/>
                <w:szCs w:val="16"/>
              </w:rPr>
              <w:t>MBS 38314</w:t>
            </w:r>
          </w:p>
          <w:p w14:paraId="66826747"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Note: (stable multi-vessel disease - 3 coronary territory with selective angiography) the service only applies if the patient meets the requirements of the descriptor and the requirements of Note: TR.8.4 and TR.8.5</w:t>
            </w:r>
          </w:p>
          <w:p w14:paraId="33C0EB55"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Percutaneous coronary intervention:</w:t>
            </w:r>
          </w:p>
          <w:p w14:paraId="0B10DBDF"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(a) for a patient:</w:t>
            </w:r>
          </w:p>
          <w:p w14:paraId="20CFB223" w14:textId="77777777" w:rsidR="009238ED" w:rsidRPr="004D7E54" w:rsidRDefault="009238ED" w:rsidP="00921C8D">
            <w:pPr>
              <w:spacing w:before="40" w:after="40" w:line="259" w:lineRule="auto"/>
              <w:ind w:left="426" w:hanging="142"/>
              <w:rPr>
                <w:rFonts w:cstheme="minorHAnsi"/>
                <w:sz w:val="16"/>
                <w:szCs w:val="16"/>
                <w:lang w:eastAsia="en-AU"/>
              </w:rPr>
            </w:pPr>
            <w:r w:rsidRPr="004D7E54">
              <w:rPr>
                <w:rFonts w:cstheme="minorHAnsi"/>
                <w:sz w:val="16"/>
                <w:szCs w:val="16"/>
                <w:lang w:eastAsia="en-AU"/>
              </w:rPr>
              <w:t>(i) eligible for the service under clause 5.10.17C; and</w:t>
            </w:r>
          </w:p>
          <w:p w14:paraId="5AF19E10" w14:textId="77777777" w:rsidR="009238ED" w:rsidRPr="004D7E54" w:rsidRDefault="009238ED" w:rsidP="00921C8D">
            <w:pPr>
              <w:spacing w:before="40" w:after="40" w:line="259" w:lineRule="auto"/>
              <w:ind w:left="426" w:hanging="142"/>
              <w:rPr>
                <w:rFonts w:cstheme="minorHAnsi"/>
                <w:sz w:val="16"/>
                <w:szCs w:val="16"/>
                <w:lang w:eastAsia="en-AU"/>
              </w:rPr>
            </w:pPr>
            <w:r w:rsidRPr="004D7E54">
              <w:rPr>
                <w:rFonts w:cstheme="minorHAnsi"/>
                <w:sz w:val="16"/>
                <w:szCs w:val="16"/>
                <w:lang w:eastAsia="en-AU"/>
              </w:rPr>
              <w:t>(ii) for whom selective coronary angiography has not been completed in the previous 3 months; and</w:t>
            </w:r>
          </w:p>
          <w:p w14:paraId="0249B23E"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(b) including selective coronary angiography and all associated imaging, catheter and contrast; and</w:t>
            </w:r>
          </w:p>
          <w:p w14:paraId="6047B39D"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(c) including either or both:</w:t>
            </w:r>
          </w:p>
          <w:p w14:paraId="39C265A1"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 percutaneous angioplasty; and</w:t>
            </w:r>
          </w:p>
          <w:p w14:paraId="71C1A8ED"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lastRenderedPageBreak/>
              <w:t>(ii) transluminal insertion of one or more stents; and</w:t>
            </w:r>
          </w:p>
          <w:p w14:paraId="2D7A8B54"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(d) performed on 3 coronary vascular territories; and</w:t>
            </w:r>
          </w:p>
          <w:p w14:paraId="513FD97A"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(e) excluding aftercare;</w:t>
            </w:r>
          </w:p>
          <w:p w14:paraId="1986ED7F"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other than a service associated with a service to which item 38200, 38203, 38206, 38244, 38247, 38248, 38249, 38251, 38252, 38307, 38308, 38310, 38311, 38313, 38316, 38317, 38319, 38320, 38322 or 38323 applies</w:t>
            </w:r>
          </w:p>
          <w:p w14:paraId="6851E23F"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Multiple Operation Rule</w:t>
            </w:r>
          </w:p>
          <w:p w14:paraId="2861852C"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(Anaes.) (Assist.)</w:t>
            </w:r>
          </w:p>
          <w:p w14:paraId="403EAD3F"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Fee: $2,399.90 Benefit: 75% = $1,799.95 85% = $2,315.20</w:t>
            </w:r>
          </w:p>
          <w:p w14:paraId="3F890F92" w14:textId="77777777" w:rsidR="009238ED" w:rsidRPr="004D7E54" w:rsidRDefault="009238ED" w:rsidP="00921C8D">
            <w:pPr>
              <w:pStyle w:val="Tabletext0"/>
              <w:ind w:firstLine="22"/>
              <w:rPr>
                <w:sz w:val="16"/>
                <w:szCs w:val="16"/>
              </w:rPr>
            </w:pPr>
            <w:r w:rsidRPr="004D7E54">
              <w:rPr>
                <w:rFonts w:cstheme="minorHAnsi"/>
                <w:sz w:val="16"/>
                <w:szCs w:val="16"/>
              </w:rPr>
              <w:t>(See para TN.8.218, TN.8.219, TN.8.226, TR.8.4, TR.8.5, TR.8.7 of explanatory notes to this Category)</w:t>
            </w:r>
          </w:p>
        </w:tc>
      </w:tr>
      <w:tr w:rsidR="009238ED" w:rsidRPr="004D7E54" w14:paraId="5B6BE67D" w14:textId="77777777" w:rsidTr="009238ED">
        <w:tc>
          <w:tcPr>
            <w:tcW w:w="9016" w:type="dxa"/>
          </w:tcPr>
          <w:p w14:paraId="0ED6A45B" w14:textId="51D88256" w:rsidR="009238ED" w:rsidRPr="004D7E54" w:rsidRDefault="00C61885" w:rsidP="00921C8D">
            <w:pPr>
              <w:pStyle w:val="Tabletext0"/>
              <w:keepNext/>
              <w:jc w:val="right"/>
              <w:rPr>
                <w:rFonts w:eastAsiaTheme="minorHAnsi"/>
                <w:b/>
                <w:bCs/>
                <w:sz w:val="16"/>
                <w:szCs w:val="16"/>
              </w:rPr>
            </w:pPr>
            <w:r w:rsidRPr="004D7E54">
              <w:rPr>
                <w:rFonts w:eastAsiaTheme="minorHAnsi"/>
                <w:b/>
                <w:bCs/>
                <w:sz w:val="16"/>
                <w:szCs w:val="16"/>
              </w:rPr>
              <w:lastRenderedPageBreak/>
              <w:t>Category 3 – THERAPEUTIC PROCEDURES</w:t>
            </w:r>
          </w:p>
        </w:tc>
      </w:tr>
      <w:tr w:rsidR="009238ED" w:rsidRPr="004D7E54" w14:paraId="2CBED44A" w14:textId="77777777" w:rsidTr="009238ED">
        <w:tc>
          <w:tcPr>
            <w:tcW w:w="9016" w:type="dxa"/>
          </w:tcPr>
          <w:p w14:paraId="5576226D" w14:textId="77777777" w:rsidR="009238ED" w:rsidRPr="004D7E54" w:rsidRDefault="009238ED" w:rsidP="00921C8D">
            <w:pPr>
              <w:pStyle w:val="Tabletext0"/>
              <w:rPr>
                <w:rFonts w:eastAsiaTheme="minorHAnsi"/>
                <w:b/>
                <w:bCs/>
                <w:sz w:val="16"/>
                <w:szCs w:val="16"/>
              </w:rPr>
            </w:pPr>
            <w:r w:rsidRPr="004D7E54">
              <w:rPr>
                <w:rFonts w:eastAsiaTheme="minorHAnsi"/>
                <w:b/>
                <w:bCs/>
                <w:sz w:val="16"/>
                <w:szCs w:val="16"/>
              </w:rPr>
              <w:t>MBS 38316</w:t>
            </w:r>
          </w:p>
          <w:p w14:paraId="30138159"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Note: (acute coronary syndrome - 1 coronary territory without selective angiography) the service only applies if the patient meets the requirements of the descriptor and the requirements of Note: TR.8.2 and TR.8.5</w:t>
            </w:r>
          </w:p>
          <w:p w14:paraId="7755ED53"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Percutaneous coronary intervention:</w:t>
            </w:r>
          </w:p>
          <w:p w14:paraId="367E799F"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(a) for a patient:</w:t>
            </w:r>
          </w:p>
          <w:p w14:paraId="2D0C94F7"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 eligible for the service under clause 5.10.17A; and</w:t>
            </w:r>
          </w:p>
          <w:p w14:paraId="56BB9727"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(ii) for whom selective coronary angiography has been completed in the previous 3 months; and</w:t>
            </w:r>
          </w:p>
          <w:p w14:paraId="75A2A1AF"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(b) including any associated coronary angiography; and</w:t>
            </w:r>
          </w:p>
          <w:p w14:paraId="7B21B3B4"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(c) including either or both:</w:t>
            </w:r>
          </w:p>
          <w:p w14:paraId="56F7E76A"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 percutaneous angioplasty; and</w:t>
            </w:r>
          </w:p>
          <w:p w14:paraId="7F75C46A"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(ii) transluminal insertion of one or more stents; and</w:t>
            </w:r>
          </w:p>
          <w:p w14:paraId="63FD20D3"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(d) performed on one coronary vascular territory; and</w:t>
            </w:r>
          </w:p>
          <w:p w14:paraId="00E1247C"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(e) excluding aftercare;</w:t>
            </w:r>
          </w:p>
          <w:p w14:paraId="584156C1"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 xml:space="preserve">other than a service associated with a service to which item 38200, 38203, 38206, 38244, 38247, 38248, 38249, 38251, 38252, 38307, 38308, 38310, 38311, 38313, 38314, 38317, 38319, 38320, 38322 or 38323 applies </w:t>
            </w:r>
          </w:p>
          <w:p w14:paraId="5DA9FC4F"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Multiple Operation Rule</w:t>
            </w:r>
          </w:p>
          <w:p w14:paraId="5D4151F7"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(Anaes.) (Assist.)</w:t>
            </w:r>
          </w:p>
          <w:p w14:paraId="2DF266D2"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Fee: $1,648.95 Benefit: 75% = $1,236.75 85% = $1,564.25</w:t>
            </w:r>
          </w:p>
          <w:p w14:paraId="475F43F4" w14:textId="77777777" w:rsidR="009238ED" w:rsidRPr="004D7E54" w:rsidRDefault="009238ED" w:rsidP="00921C8D">
            <w:pPr>
              <w:pStyle w:val="Tabletext0"/>
              <w:ind w:firstLine="22"/>
              <w:rPr>
                <w:sz w:val="16"/>
                <w:szCs w:val="16"/>
              </w:rPr>
            </w:pPr>
            <w:r w:rsidRPr="004D7E54">
              <w:rPr>
                <w:rFonts w:cstheme="minorHAnsi"/>
                <w:sz w:val="16"/>
                <w:szCs w:val="16"/>
              </w:rPr>
              <w:t>(See para TN.8.217, TN.8.225, TR.8.2, TR.8.5 of explanatory notes to this Category)</w:t>
            </w:r>
          </w:p>
        </w:tc>
      </w:tr>
      <w:tr w:rsidR="009238ED" w:rsidRPr="004D7E54" w14:paraId="3911CE83" w14:textId="77777777" w:rsidTr="009238ED">
        <w:tc>
          <w:tcPr>
            <w:tcW w:w="9016" w:type="dxa"/>
          </w:tcPr>
          <w:p w14:paraId="6FDE2A83" w14:textId="620788EA" w:rsidR="009238ED" w:rsidRPr="004D7E54" w:rsidRDefault="00C61885" w:rsidP="00921C8D">
            <w:pPr>
              <w:pStyle w:val="Tabletext0"/>
              <w:keepNext/>
              <w:jc w:val="right"/>
              <w:rPr>
                <w:rFonts w:eastAsiaTheme="minorHAnsi"/>
                <w:b/>
                <w:bCs/>
                <w:sz w:val="16"/>
                <w:szCs w:val="16"/>
              </w:rPr>
            </w:pPr>
            <w:r w:rsidRPr="004D7E54">
              <w:rPr>
                <w:rFonts w:eastAsiaTheme="minorHAnsi"/>
                <w:b/>
                <w:bCs/>
                <w:sz w:val="16"/>
                <w:szCs w:val="16"/>
              </w:rPr>
              <w:t>Category 3 – THERAPEUTIC PROCEDURES</w:t>
            </w:r>
          </w:p>
        </w:tc>
      </w:tr>
      <w:tr w:rsidR="009238ED" w:rsidRPr="004D7E54" w14:paraId="6CBEC57C" w14:textId="77777777" w:rsidTr="009238ED">
        <w:tc>
          <w:tcPr>
            <w:tcW w:w="9016" w:type="dxa"/>
          </w:tcPr>
          <w:p w14:paraId="7B2C5938" w14:textId="77777777" w:rsidR="009238ED" w:rsidRPr="004D7E54" w:rsidRDefault="009238ED" w:rsidP="00921C8D">
            <w:pPr>
              <w:pStyle w:val="Tabletext0"/>
              <w:rPr>
                <w:rFonts w:eastAsiaTheme="minorHAnsi"/>
                <w:b/>
                <w:bCs/>
                <w:sz w:val="16"/>
                <w:szCs w:val="16"/>
              </w:rPr>
            </w:pPr>
            <w:r w:rsidRPr="004D7E54">
              <w:rPr>
                <w:rFonts w:eastAsiaTheme="minorHAnsi"/>
                <w:b/>
                <w:bCs/>
                <w:sz w:val="16"/>
                <w:szCs w:val="16"/>
              </w:rPr>
              <w:t>MBS 38317</w:t>
            </w:r>
          </w:p>
          <w:p w14:paraId="6F67AD2E"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Note: (acute coronary syndrome - 2 coronary territories without selective angiography) the service only applies if the patient meets the requirements of the descriptor and the requirements of Note: TR.8.2 and TR.8.5</w:t>
            </w:r>
          </w:p>
          <w:p w14:paraId="776BB704"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Percutaneous coronary intervention:</w:t>
            </w:r>
          </w:p>
          <w:p w14:paraId="7A5917A6"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(a) for a patient:</w:t>
            </w:r>
          </w:p>
          <w:p w14:paraId="46ED3D9B"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 eligible for the service under clause 5.10.17A; and</w:t>
            </w:r>
          </w:p>
          <w:p w14:paraId="1661385B"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(ii) for whom selective coronary angiography has been completed in the previous 3 months; and</w:t>
            </w:r>
          </w:p>
          <w:p w14:paraId="2ABBB4C1"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(b) including any associated coronary angiography; and</w:t>
            </w:r>
          </w:p>
          <w:p w14:paraId="7E1224B4"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(c) including either or both:</w:t>
            </w:r>
          </w:p>
          <w:p w14:paraId="1917105E"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 percutaneous angioplasty; and</w:t>
            </w:r>
          </w:p>
          <w:p w14:paraId="24DBAD1C"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(ii) transluminal insertion of one or more stents; and</w:t>
            </w:r>
          </w:p>
          <w:p w14:paraId="1A8CBF2D"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(d) performed on 2 coronary vascular territories; and</w:t>
            </w:r>
          </w:p>
          <w:p w14:paraId="248ED713"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(e) excluding aftercare;</w:t>
            </w:r>
          </w:p>
          <w:p w14:paraId="16DDB072"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 xml:space="preserve">other than a service associated with a service to which item 38200, 38203, 38206, 38244, 38247, 38248, 38249, 38251, 38252, 38307, 3808, 38310, 38311, 38313, 38314, 38316, 38319, 38320, 38322 or 38323 applies </w:t>
            </w:r>
          </w:p>
          <w:p w14:paraId="51C6D643"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Multiple Operation Rule</w:t>
            </w:r>
          </w:p>
          <w:p w14:paraId="5416A1CE"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(Anaes.) (Assist.)</w:t>
            </w:r>
          </w:p>
          <w:p w14:paraId="034A3109"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Fee: $2,088.80 Benefit: 75% = $1,566.60 85% = $2,004.10</w:t>
            </w:r>
          </w:p>
          <w:p w14:paraId="5047C789" w14:textId="77777777" w:rsidR="009238ED" w:rsidRPr="004D7E54" w:rsidRDefault="009238ED" w:rsidP="00921C8D">
            <w:pPr>
              <w:pStyle w:val="Tabletext0"/>
              <w:ind w:firstLine="22"/>
              <w:rPr>
                <w:sz w:val="16"/>
                <w:szCs w:val="16"/>
              </w:rPr>
            </w:pPr>
            <w:r w:rsidRPr="004D7E54">
              <w:rPr>
                <w:rFonts w:cstheme="minorHAnsi"/>
                <w:sz w:val="16"/>
                <w:szCs w:val="16"/>
              </w:rPr>
              <w:t>(See para TN.8.217, TN.8.225, TR.8.2, TR.8.5 of explanatory notes to this Category)</w:t>
            </w:r>
          </w:p>
        </w:tc>
      </w:tr>
      <w:tr w:rsidR="009238ED" w:rsidRPr="004D7E54" w14:paraId="15C8D9D7" w14:textId="77777777" w:rsidTr="009238ED">
        <w:tc>
          <w:tcPr>
            <w:tcW w:w="9016" w:type="dxa"/>
          </w:tcPr>
          <w:p w14:paraId="7E942E80" w14:textId="1B2F77A4" w:rsidR="009238ED" w:rsidRPr="004D7E54" w:rsidRDefault="00C61885" w:rsidP="00921C8D">
            <w:pPr>
              <w:pStyle w:val="Tabletext0"/>
              <w:keepNext/>
              <w:jc w:val="right"/>
              <w:rPr>
                <w:rFonts w:eastAsiaTheme="minorHAnsi"/>
                <w:b/>
                <w:bCs/>
                <w:sz w:val="16"/>
                <w:szCs w:val="16"/>
              </w:rPr>
            </w:pPr>
            <w:r w:rsidRPr="004D7E54">
              <w:rPr>
                <w:rFonts w:eastAsiaTheme="minorHAnsi"/>
                <w:b/>
                <w:bCs/>
                <w:sz w:val="16"/>
                <w:szCs w:val="16"/>
              </w:rPr>
              <w:t>Category 3 – THERAPEUTIC PROCEDURES</w:t>
            </w:r>
          </w:p>
        </w:tc>
      </w:tr>
      <w:tr w:rsidR="009238ED" w:rsidRPr="004D7E54" w14:paraId="2CB957FB" w14:textId="77777777" w:rsidTr="009238ED">
        <w:tc>
          <w:tcPr>
            <w:tcW w:w="9016" w:type="dxa"/>
          </w:tcPr>
          <w:p w14:paraId="5559D1F7" w14:textId="77777777" w:rsidR="009238ED" w:rsidRPr="004D7E54" w:rsidRDefault="009238ED" w:rsidP="00921C8D">
            <w:pPr>
              <w:pStyle w:val="Tabletext0"/>
              <w:rPr>
                <w:rFonts w:eastAsiaTheme="minorHAnsi"/>
                <w:b/>
                <w:bCs/>
                <w:sz w:val="16"/>
                <w:szCs w:val="16"/>
              </w:rPr>
            </w:pPr>
            <w:r w:rsidRPr="004D7E54">
              <w:rPr>
                <w:rFonts w:eastAsiaTheme="minorHAnsi"/>
                <w:b/>
                <w:bCs/>
                <w:sz w:val="16"/>
                <w:szCs w:val="16"/>
              </w:rPr>
              <w:t>MBS 38319</w:t>
            </w:r>
          </w:p>
          <w:p w14:paraId="71D8C7CB"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Note: (acute coronary syndrome - 3 coronary territories without selective angiography) the service only applies if the patient meets the requirements of the descriptor and the requirements of Note: TR.8.2 and TR.8.5</w:t>
            </w:r>
          </w:p>
          <w:p w14:paraId="2475B97F"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Percutaneous coronary intervention:</w:t>
            </w:r>
          </w:p>
          <w:p w14:paraId="535A15A0"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(a) for a patient:</w:t>
            </w:r>
          </w:p>
          <w:p w14:paraId="41FC88D2"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 eligible for the service under clause 5.10.17A; and</w:t>
            </w:r>
          </w:p>
          <w:p w14:paraId="1019B722"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(ii) for whom selective coronary angiography has been completed in the previous 3 months; and</w:t>
            </w:r>
          </w:p>
          <w:p w14:paraId="45935AD5"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(b) including any associated coronary angiography; and</w:t>
            </w:r>
          </w:p>
          <w:p w14:paraId="41108228"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(c) including either or both:</w:t>
            </w:r>
          </w:p>
          <w:p w14:paraId="315E1E23"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lastRenderedPageBreak/>
              <w:t>(i) percutaneous angioplasty; and</w:t>
            </w:r>
          </w:p>
          <w:p w14:paraId="02B6E3E2" w14:textId="77777777" w:rsidR="009238ED" w:rsidRPr="004D7E54" w:rsidRDefault="009238ED" w:rsidP="00921C8D">
            <w:pPr>
              <w:spacing w:before="40" w:after="40" w:line="259" w:lineRule="auto"/>
              <w:ind w:left="284"/>
              <w:rPr>
                <w:rFonts w:cstheme="minorHAnsi"/>
                <w:sz w:val="16"/>
                <w:szCs w:val="16"/>
                <w:lang w:eastAsia="en-AU"/>
              </w:rPr>
            </w:pPr>
            <w:r w:rsidRPr="004D7E54">
              <w:rPr>
                <w:rFonts w:cstheme="minorHAnsi"/>
                <w:sz w:val="16"/>
                <w:szCs w:val="16"/>
                <w:lang w:eastAsia="en-AU"/>
              </w:rPr>
              <w:t>(ii) transluminal insertion of one or more stents; and</w:t>
            </w:r>
          </w:p>
          <w:p w14:paraId="3D510D4C"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(d) performed on 3 coronary vascular territories; and</w:t>
            </w:r>
          </w:p>
          <w:p w14:paraId="6977FF4A"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(e) excluding aftercare;</w:t>
            </w:r>
          </w:p>
          <w:p w14:paraId="3B89B331"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 xml:space="preserve">other than a service associated with a service to which item 38200, 38203, 38206, 38244, 38247, 38248, 38249, 38251, 38252, 38307, 38308, 38310, 38311, 38313, 38314, 38316, 38317, 38320, 38322 or 38323 applies </w:t>
            </w:r>
          </w:p>
          <w:p w14:paraId="2CAC3B90"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Multiple Operation Rule</w:t>
            </w:r>
          </w:p>
          <w:p w14:paraId="6675D834"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(Anaes.) (Assist.)</w:t>
            </w:r>
          </w:p>
          <w:p w14:paraId="51F43B60" w14:textId="77777777" w:rsidR="009238ED" w:rsidRPr="004D7E54" w:rsidRDefault="009238ED" w:rsidP="00921C8D">
            <w:pPr>
              <w:spacing w:before="40" w:after="40" w:line="259" w:lineRule="auto"/>
              <w:rPr>
                <w:rFonts w:cstheme="minorHAnsi"/>
                <w:sz w:val="16"/>
                <w:szCs w:val="16"/>
                <w:lang w:eastAsia="en-AU"/>
              </w:rPr>
            </w:pPr>
            <w:r w:rsidRPr="004D7E54">
              <w:rPr>
                <w:rFonts w:cstheme="minorHAnsi"/>
                <w:sz w:val="16"/>
                <w:szCs w:val="16"/>
                <w:lang w:eastAsia="en-AU"/>
              </w:rPr>
              <w:t>Fee: $2,366.45 Benefit: 75% = $1,774.85 85% = $2,281.75</w:t>
            </w:r>
          </w:p>
          <w:p w14:paraId="2196AEB7" w14:textId="77777777" w:rsidR="009238ED" w:rsidRPr="004D7E54" w:rsidRDefault="009238ED" w:rsidP="00921C8D">
            <w:pPr>
              <w:pStyle w:val="Tabletext0"/>
              <w:ind w:firstLine="22"/>
              <w:rPr>
                <w:sz w:val="16"/>
                <w:szCs w:val="16"/>
              </w:rPr>
            </w:pPr>
            <w:r w:rsidRPr="004D7E54">
              <w:rPr>
                <w:rFonts w:cstheme="minorHAnsi"/>
                <w:sz w:val="16"/>
                <w:szCs w:val="16"/>
              </w:rPr>
              <w:t>(See para TN.8.217, TN.8.225, TR.8.2, TR.8.5 of explanatory notes to this Category)</w:t>
            </w:r>
          </w:p>
        </w:tc>
      </w:tr>
      <w:tr w:rsidR="00921C8D" w:rsidRPr="004D7E54" w14:paraId="6296B966" w14:textId="77777777" w:rsidTr="00921C8D">
        <w:tc>
          <w:tcPr>
            <w:tcW w:w="9016" w:type="dxa"/>
          </w:tcPr>
          <w:p w14:paraId="53A4567C" w14:textId="2C8261EA" w:rsidR="00921C8D" w:rsidRPr="004D7E54" w:rsidRDefault="00C61885" w:rsidP="00921C8D">
            <w:pPr>
              <w:pStyle w:val="Tabletext0"/>
              <w:keepNext/>
              <w:jc w:val="right"/>
              <w:rPr>
                <w:rFonts w:eastAsiaTheme="minorHAnsi"/>
                <w:b/>
                <w:bCs/>
                <w:sz w:val="16"/>
                <w:szCs w:val="16"/>
              </w:rPr>
            </w:pPr>
            <w:r w:rsidRPr="004D7E54">
              <w:rPr>
                <w:rFonts w:eastAsiaTheme="minorHAnsi"/>
                <w:b/>
                <w:bCs/>
                <w:sz w:val="16"/>
                <w:szCs w:val="16"/>
              </w:rPr>
              <w:lastRenderedPageBreak/>
              <w:t>Category 3 – THERAPEUTIC PROCEDURES</w:t>
            </w:r>
          </w:p>
        </w:tc>
      </w:tr>
      <w:tr w:rsidR="00921C8D" w:rsidRPr="004D7E54" w14:paraId="091DF7D4" w14:textId="77777777" w:rsidTr="00921C8D">
        <w:tc>
          <w:tcPr>
            <w:tcW w:w="9016" w:type="dxa"/>
          </w:tcPr>
          <w:p w14:paraId="4B535C8A" w14:textId="77777777" w:rsidR="00921C8D" w:rsidRPr="004D7E54" w:rsidRDefault="00921C8D" w:rsidP="00921C8D">
            <w:pPr>
              <w:pStyle w:val="Tabletext0"/>
              <w:rPr>
                <w:rFonts w:eastAsiaTheme="minorHAnsi"/>
                <w:b/>
                <w:bCs/>
                <w:sz w:val="16"/>
                <w:szCs w:val="16"/>
              </w:rPr>
            </w:pPr>
            <w:r w:rsidRPr="004D7E54">
              <w:rPr>
                <w:rFonts w:eastAsiaTheme="minorHAnsi"/>
                <w:b/>
                <w:bCs/>
                <w:sz w:val="16"/>
                <w:szCs w:val="16"/>
              </w:rPr>
              <w:t>MBS 38320</w:t>
            </w:r>
          </w:p>
          <w:p w14:paraId="5811F5D8"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Note: (stable multi-vessel disease - 1 coronary territory without selective angiography) the service only applies if the patient meets the requirements of the descriptor and the requirements of Note: TR.8.4 and TR.8.5</w:t>
            </w:r>
          </w:p>
          <w:p w14:paraId="441145E5"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Percutaneous coronary intervention:</w:t>
            </w:r>
          </w:p>
          <w:p w14:paraId="65B347A4"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(a) for a patient:</w:t>
            </w:r>
          </w:p>
          <w:p w14:paraId="29D05C89" w14:textId="77777777" w:rsidR="00921C8D" w:rsidRPr="004D7E54" w:rsidRDefault="00921C8D" w:rsidP="00921C8D">
            <w:pPr>
              <w:spacing w:before="40" w:after="40" w:line="259" w:lineRule="auto"/>
              <w:ind w:left="284"/>
              <w:rPr>
                <w:rFonts w:cstheme="minorHAnsi"/>
                <w:sz w:val="16"/>
                <w:szCs w:val="16"/>
                <w:lang w:eastAsia="en-AU"/>
              </w:rPr>
            </w:pPr>
            <w:r w:rsidRPr="004D7E54">
              <w:rPr>
                <w:rFonts w:cstheme="minorHAnsi"/>
                <w:sz w:val="16"/>
                <w:szCs w:val="16"/>
                <w:lang w:eastAsia="en-AU"/>
              </w:rPr>
              <w:t>(i) eligible under clause 5.10.17C for the service and a service to which item 38323 applies; and</w:t>
            </w:r>
          </w:p>
          <w:p w14:paraId="397AB435" w14:textId="77777777" w:rsidR="00921C8D" w:rsidRPr="004D7E54" w:rsidRDefault="00921C8D" w:rsidP="00921C8D">
            <w:pPr>
              <w:spacing w:before="40" w:after="40" w:line="259" w:lineRule="auto"/>
              <w:ind w:left="284"/>
              <w:rPr>
                <w:rFonts w:cstheme="minorHAnsi"/>
                <w:sz w:val="16"/>
                <w:szCs w:val="16"/>
                <w:lang w:eastAsia="en-AU"/>
              </w:rPr>
            </w:pPr>
            <w:r w:rsidRPr="004D7E54">
              <w:rPr>
                <w:rFonts w:cstheme="minorHAnsi"/>
                <w:sz w:val="16"/>
                <w:szCs w:val="16"/>
                <w:lang w:eastAsia="en-AU"/>
              </w:rPr>
              <w:t>(ii) for whom selective coronary angiography has been completed in the previous 3 months; and</w:t>
            </w:r>
          </w:p>
          <w:p w14:paraId="33603730"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(b) including any associated coronary angiography; and</w:t>
            </w:r>
          </w:p>
          <w:p w14:paraId="0D31EF6D"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(c) including either or both:</w:t>
            </w:r>
          </w:p>
          <w:p w14:paraId="4FBAEAE9" w14:textId="77777777" w:rsidR="00921C8D" w:rsidRPr="004D7E54" w:rsidRDefault="00921C8D" w:rsidP="00921C8D">
            <w:pPr>
              <w:spacing w:before="40" w:after="40" w:line="259" w:lineRule="auto"/>
              <w:ind w:left="284"/>
              <w:rPr>
                <w:rFonts w:cstheme="minorHAnsi"/>
                <w:sz w:val="16"/>
                <w:szCs w:val="16"/>
                <w:lang w:eastAsia="en-AU"/>
              </w:rPr>
            </w:pPr>
            <w:r w:rsidRPr="004D7E54">
              <w:rPr>
                <w:rFonts w:cstheme="minorHAnsi"/>
                <w:sz w:val="16"/>
                <w:szCs w:val="16"/>
                <w:lang w:eastAsia="en-AU"/>
              </w:rPr>
              <w:t>(i) percutaneous angioplasty; and</w:t>
            </w:r>
          </w:p>
          <w:p w14:paraId="50D2BCF8" w14:textId="77777777" w:rsidR="00921C8D" w:rsidRPr="004D7E54" w:rsidRDefault="00921C8D" w:rsidP="00921C8D">
            <w:pPr>
              <w:spacing w:before="40" w:after="40" w:line="259" w:lineRule="auto"/>
              <w:ind w:left="284"/>
              <w:rPr>
                <w:rFonts w:cstheme="minorHAnsi"/>
                <w:sz w:val="16"/>
                <w:szCs w:val="16"/>
                <w:lang w:eastAsia="en-AU"/>
              </w:rPr>
            </w:pPr>
            <w:r w:rsidRPr="004D7E54">
              <w:rPr>
                <w:rFonts w:cstheme="minorHAnsi"/>
                <w:sz w:val="16"/>
                <w:szCs w:val="16"/>
                <w:lang w:eastAsia="en-AU"/>
              </w:rPr>
              <w:t>(ii) transluminal insertion of one or more stents; and</w:t>
            </w:r>
          </w:p>
          <w:p w14:paraId="3FA84525"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(d) performed on one coronary vascular territory; and</w:t>
            </w:r>
          </w:p>
          <w:p w14:paraId="3571681F"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(e) excluding aftercare;</w:t>
            </w:r>
          </w:p>
          <w:p w14:paraId="5AB43245"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 xml:space="preserve">other than a service associated with a service to which item 38200, 38203, 38206, 38244, 38247, 38248, 38249, 38251, 38252, 38307, 38308, 38310, 38311, 38313, 38314, 38316, 38317, 38319, 38322 or 38323 applies </w:t>
            </w:r>
          </w:p>
          <w:p w14:paraId="4DF96612"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Multiple Operation Rule</w:t>
            </w:r>
          </w:p>
          <w:p w14:paraId="73CD94AE"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(Anaes.) (Assist.)</w:t>
            </w:r>
          </w:p>
          <w:p w14:paraId="30CDD6BD"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Fee: $1,648.95 Benefit: 75% = $1,236.75 85% = $1,564.25</w:t>
            </w:r>
          </w:p>
          <w:p w14:paraId="63B3F07E"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(See para TN.8.218, TN.8.226, TR.8.4, TR.8.5, TR.8.6 of explanatory notes to this Category)</w:t>
            </w:r>
          </w:p>
        </w:tc>
      </w:tr>
      <w:tr w:rsidR="00921C8D" w:rsidRPr="004D7E54" w14:paraId="4F99C3C0" w14:textId="77777777" w:rsidTr="00921C8D">
        <w:tc>
          <w:tcPr>
            <w:tcW w:w="9016" w:type="dxa"/>
          </w:tcPr>
          <w:p w14:paraId="378A4C31" w14:textId="29249A56" w:rsidR="00921C8D" w:rsidRPr="004D7E54" w:rsidRDefault="00C61885" w:rsidP="00921C8D">
            <w:pPr>
              <w:pStyle w:val="Tabletext0"/>
              <w:keepNext/>
              <w:jc w:val="right"/>
              <w:rPr>
                <w:rFonts w:eastAsiaTheme="minorHAnsi"/>
                <w:b/>
                <w:bCs/>
                <w:sz w:val="16"/>
                <w:szCs w:val="16"/>
              </w:rPr>
            </w:pPr>
            <w:r w:rsidRPr="004D7E54">
              <w:rPr>
                <w:rFonts w:eastAsiaTheme="minorHAnsi"/>
                <w:b/>
                <w:bCs/>
                <w:sz w:val="16"/>
                <w:szCs w:val="16"/>
              </w:rPr>
              <w:t>Category 3 – THERAPEUTIC PROCEDURES</w:t>
            </w:r>
          </w:p>
        </w:tc>
      </w:tr>
      <w:tr w:rsidR="00921C8D" w:rsidRPr="004D7E54" w14:paraId="09AC5461" w14:textId="77777777" w:rsidTr="00921C8D">
        <w:tc>
          <w:tcPr>
            <w:tcW w:w="9016" w:type="dxa"/>
          </w:tcPr>
          <w:p w14:paraId="58F76F52" w14:textId="77777777" w:rsidR="00921C8D" w:rsidRPr="004D7E54" w:rsidRDefault="00921C8D" w:rsidP="00921C8D">
            <w:pPr>
              <w:pStyle w:val="Tabletext0"/>
              <w:rPr>
                <w:rFonts w:eastAsiaTheme="minorHAnsi"/>
                <w:b/>
                <w:bCs/>
                <w:sz w:val="16"/>
                <w:szCs w:val="16"/>
              </w:rPr>
            </w:pPr>
            <w:r w:rsidRPr="004D7E54">
              <w:rPr>
                <w:rFonts w:eastAsiaTheme="minorHAnsi"/>
                <w:b/>
                <w:bCs/>
                <w:sz w:val="16"/>
                <w:szCs w:val="16"/>
              </w:rPr>
              <w:t>MBS 38322</w:t>
            </w:r>
          </w:p>
          <w:p w14:paraId="27767D13"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Note: (stable multi-vessel disease - 2 coronary territories with selective angiography) the service only applies if the patient meets the requirements of the descriptor and the requirements of Note: TR.8.4 and TR.8.5</w:t>
            </w:r>
          </w:p>
          <w:p w14:paraId="07A9050B"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Percutaneous coronary intervention:</w:t>
            </w:r>
          </w:p>
          <w:p w14:paraId="7A3320E1"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(a) for a patient:</w:t>
            </w:r>
          </w:p>
          <w:p w14:paraId="1681462F" w14:textId="77777777" w:rsidR="00921C8D" w:rsidRPr="004D7E54" w:rsidRDefault="00921C8D" w:rsidP="00921C8D">
            <w:pPr>
              <w:spacing w:before="40" w:after="40" w:line="259" w:lineRule="auto"/>
              <w:ind w:left="284"/>
              <w:rPr>
                <w:rFonts w:cstheme="minorHAnsi"/>
                <w:sz w:val="16"/>
                <w:szCs w:val="16"/>
                <w:lang w:eastAsia="en-AU"/>
              </w:rPr>
            </w:pPr>
            <w:r w:rsidRPr="004D7E54">
              <w:rPr>
                <w:rFonts w:cstheme="minorHAnsi"/>
                <w:sz w:val="16"/>
                <w:szCs w:val="16"/>
                <w:lang w:eastAsia="en-AU"/>
              </w:rPr>
              <w:t>(i) eligible under clause 5.10.17C for the service and a service to which item 38323 applies; and</w:t>
            </w:r>
          </w:p>
          <w:p w14:paraId="786E4905" w14:textId="77777777" w:rsidR="00921C8D" w:rsidRPr="004D7E54" w:rsidRDefault="00921C8D" w:rsidP="00921C8D">
            <w:pPr>
              <w:spacing w:before="40" w:after="40" w:line="259" w:lineRule="auto"/>
              <w:ind w:left="284"/>
              <w:rPr>
                <w:rFonts w:cstheme="minorHAnsi"/>
                <w:sz w:val="16"/>
                <w:szCs w:val="16"/>
                <w:lang w:eastAsia="en-AU"/>
              </w:rPr>
            </w:pPr>
            <w:r w:rsidRPr="004D7E54">
              <w:rPr>
                <w:rFonts w:cstheme="minorHAnsi"/>
                <w:sz w:val="16"/>
                <w:szCs w:val="16"/>
                <w:lang w:eastAsia="en-AU"/>
              </w:rPr>
              <w:t>(ii) for whom selective coronary angiography has been completed in the previous 3 months; and</w:t>
            </w:r>
          </w:p>
          <w:p w14:paraId="39F43DC0"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(b) including any associated coronary angiography; and</w:t>
            </w:r>
          </w:p>
          <w:p w14:paraId="69F1CF2E"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(c) including either or both:</w:t>
            </w:r>
          </w:p>
          <w:p w14:paraId="7CA60F25" w14:textId="77777777" w:rsidR="00921C8D" w:rsidRPr="004D7E54" w:rsidRDefault="00921C8D" w:rsidP="00921C8D">
            <w:pPr>
              <w:spacing w:before="40" w:after="40" w:line="259" w:lineRule="auto"/>
              <w:ind w:left="284"/>
              <w:rPr>
                <w:rFonts w:cstheme="minorHAnsi"/>
                <w:sz w:val="16"/>
                <w:szCs w:val="16"/>
                <w:lang w:eastAsia="en-AU"/>
              </w:rPr>
            </w:pPr>
            <w:r w:rsidRPr="004D7E54">
              <w:rPr>
                <w:rFonts w:cstheme="minorHAnsi"/>
                <w:sz w:val="16"/>
                <w:szCs w:val="16"/>
                <w:lang w:eastAsia="en-AU"/>
              </w:rPr>
              <w:t>(i) percutaneous angioplasty; and</w:t>
            </w:r>
          </w:p>
          <w:p w14:paraId="099FECD0" w14:textId="77777777" w:rsidR="00921C8D" w:rsidRPr="004D7E54" w:rsidRDefault="00921C8D" w:rsidP="00921C8D">
            <w:pPr>
              <w:spacing w:before="40" w:after="40" w:line="259" w:lineRule="auto"/>
              <w:ind w:left="284"/>
              <w:rPr>
                <w:rFonts w:cstheme="minorHAnsi"/>
                <w:sz w:val="16"/>
                <w:szCs w:val="16"/>
                <w:lang w:eastAsia="en-AU"/>
              </w:rPr>
            </w:pPr>
            <w:r w:rsidRPr="004D7E54">
              <w:rPr>
                <w:rFonts w:cstheme="minorHAnsi"/>
                <w:sz w:val="16"/>
                <w:szCs w:val="16"/>
                <w:lang w:eastAsia="en-AU"/>
              </w:rPr>
              <w:t>(ii) transluminal insertion of one or more stents; and</w:t>
            </w:r>
          </w:p>
          <w:p w14:paraId="574CB077"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(d) performed on 2 coronary vascular territories; and</w:t>
            </w:r>
          </w:p>
          <w:p w14:paraId="341ABB52"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(e) excluding aftercare;</w:t>
            </w:r>
          </w:p>
          <w:p w14:paraId="0090F676"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 xml:space="preserve">other than a service associated with a service to which item 38200, 38203, 38206, 38244, 38247, 38248, 38249, 38251, 38252, 38307, 38308, 38310, 38311, 38313, 38314, 38316, 38317, 38319, 38320 or 38323 applies </w:t>
            </w:r>
          </w:p>
          <w:p w14:paraId="544BACC9"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Multiple Operation Rule</w:t>
            </w:r>
          </w:p>
          <w:p w14:paraId="76308365"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(Anaes.) (Assist.)</w:t>
            </w:r>
          </w:p>
          <w:p w14:paraId="3E2D9FF8"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Fee: $2,088.80 Benefit: 75% = $1,566.60 85% = $2,004.10</w:t>
            </w:r>
          </w:p>
          <w:p w14:paraId="775EC4AF" w14:textId="77777777" w:rsidR="00921C8D" w:rsidRPr="004D7E54" w:rsidRDefault="00921C8D" w:rsidP="00921C8D">
            <w:pPr>
              <w:pStyle w:val="Tabletext0"/>
              <w:ind w:firstLine="22"/>
              <w:rPr>
                <w:sz w:val="16"/>
                <w:szCs w:val="16"/>
              </w:rPr>
            </w:pPr>
            <w:r w:rsidRPr="004D7E54">
              <w:rPr>
                <w:rFonts w:cstheme="minorHAnsi"/>
                <w:sz w:val="16"/>
                <w:szCs w:val="16"/>
              </w:rPr>
              <w:t>(See para TN.8.218, TN.8.226, TR.8.4, TR.8.5, TR.8.6 of explanatory notes to this Category)</w:t>
            </w:r>
          </w:p>
        </w:tc>
      </w:tr>
      <w:tr w:rsidR="00921C8D" w:rsidRPr="004D7E54" w14:paraId="3C588BFC" w14:textId="77777777" w:rsidTr="00921C8D">
        <w:tc>
          <w:tcPr>
            <w:tcW w:w="9016" w:type="dxa"/>
          </w:tcPr>
          <w:p w14:paraId="3AE9F493" w14:textId="7CAD63E7" w:rsidR="00921C8D" w:rsidRPr="004D7E54" w:rsidRDefault="00C61885" w:rsidP="00921C8D">
            <w:pPr>
              <w:pStyle w:val="Tabletext0"/>
              <w:keepNext/>
              <w:jc w:val="right"/>
              <w:rPr>
                <w:rFonts w:eastAsiaTheme="minorHAnsi"/>
                <w:b/>
                <w:bCs/>
                <w:sz w:val="16"/>
                <w:szCs w:val="16"/>
              </w:rPr>
            </w:pPr>
            <w:r w:rsidRPr="004D7E54">
              <w:rPr>
                <w:rFonts w:eastAsiaTheme="minorHAnsi"/>
                <w:b/>
                <w:bCs/>
                <w:sz w:val="16"/>
                <w:szCs w:val="16"/>
              </w:rPr>
              <w:t>Category 3 – THERAPEUTIC PROCEDURES</w:t>
            </w:r>
          </w:p>
        </w:tc>
      </w:tr>
      <w:tr w:rsidR="00921C8D" w:rsidRPr="004D7E54" w14:paraId="56A2CB30" w14:textId="77777777" w:rsidTr="00921C8D">
        <w:tc>
          <w:tcPr>
            <w:tcW w:w="9016" w:type="dxa"/>
          </w:tcPr>
          <w:p w14:paraId="2BFF218F" w14:textId="77777777" w:rsidR="00921C8D" w:rsidRPr="004D7E54" w:rsidRDefault="00921C8D" w:rsidP="00921C8D">
            <w:pPr>
              <w:pStyle w:val="Tabletext0"/>
              <w:rPr>
                <w:rFonts w:eastAsiaTheme="minorHAnsi"/>
                <w:b/>
                <w:bCs/>
                <w:sz w:val="16"/>
                <w:szCs w:val="16"/>
              </w:rPr>
            </w:pPr>
            <w:r w:rsidRPr="004D7E54">
              <w:rPr>
                <w:rFonts w:eastAsiaTheme="minorHAnsi"/>
                <w:b/>
                <w:bCs/>
                <w:sz w:val="16"/>
                <w:szCs w:val="16"/>
              </w:rPr>
              <w:t>MBS 38323</w:t>
            </w:r>
          </w:p>
          <w:p w14:paraId="75B72AB6"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Note: (stable multi-vessel disease - 3 coronary territories with selective angiography) the service only applies if the patient meets the requirements of the descriptor and the requirements of Note: TR.8.4 and TR.8.5</w:t>
            </w:r>
          </w:p>
          <w:p w14:paraId="0EEE7810"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Percutaneous coronary intervention:</w:t>
            </w:r>
          </w:p>
          <w:p w14:paraId="6D80BFAC"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(a) for a patient:</w:t>
            </w:r>
          </w:p>
          <w:p w14:paraId="7F461CB8" w14:textId="77777777" w:rsidR="00921C8D" w:rsidRPr="004D7E54" w:rsidRDefault="00921C8D" w:rsidP="00921C8D">
            <w:pPr>
              <w:spacing w:before="40" w:after="40" w:line="259" w:lineRule="auto"/>
              <w:ind w:left="284"/>
              <w:rPr>
                <w:rFonts w:cstheme="minorHAnsi"/>
                <w:sz w:val="16"/>
                <w:szCs w:val="16"/>
                <w:lang w:eastAsia="en-AU"/>
              </w:rPr>
            </w:pPr>
            <w:r w:rsidRPr="004D7E54">
              <w:rPr>
                <w:rFonts w:cstheme="minorHAnsi"/>
                <w:sz w:val="16"/>
                <w:szCs w:val="16"/>
                <w:lang w:eastAsia="en-AU"/>
              </w:rPr>
              <w:t>(i) eligible for the service under clause 5.10.17C; and</w:t>
            </w:r>
          </w:p>
          <w:p w14:paraId="3FC8CD22" w14:textId="77777777" w:rsidR="00921C8D" w:rsidRPr="004D7E54" w:rsidRDefault="00921C8D" w:rsidP="00921C8D">
            <w:pPr>
              <w:spacing w:before="40" w:after="40" w:line="259" w:lineRule="auto"/>
              <w:ind w:left="284"/>
              <w:rPr>
                <w:rFonts w:cstheme="minorHAnsi"/>
                <w:sz w:val="16"/>
                <w:szCs w:val="16"/>
                <w:lang w:eastAsia="en-AU"/>
              </w:rPr>
            </w:pPr>
            <w:r w:rsidRPr="004D7E54">
              <w:rPr>
                <w:rFonts w:cstheme="minorHAnsi"/>
                <w:sz w:val="16"/>
                <w:szCs w:val="16"/>
                <w:lang w:eastAsia="en-AU"/>
              </w:rPr>
              <w:t>(ii) for whom selective coronary angiography has been completed in the previous 3 months; and</w:t>
            </w:r>
          </w:p>
          <w:p w14:paraId="157268CC"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(b) including any associated coronary angiography; and</w:t>
            </w:r>
          </w:p>
          <w:p w14:paraId="612B0C9C"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lastRenderedPageBreak/>
              <w:t>(c) including either or both:</w:t>
            </w:r>
          </w:p>
          <w:p w14:paraId="4B8FA6D8" w14:textId="77777777" w:rsidR="00921C8D" w:rsidRPr="004D7E54" w:rsidRDefault="00921C8D" w:rsidP="00921C8D">
            <w:pPr>
              <w:spacing w:before="40" w:after="40" w:line="259" w:lineRule="auto"/>
              <w:ind w:left="284"/>
              <w:rPr>
                <w:rFonts w:cstheme="minorHAnsi"/>
                <w:sz w:val="16"/>
                <w:szCs w:val="16"/>
                <w:lang w:eastAsia="en-AU"/>
              </w:rPr>
            </w:pPr>
            <w:r w:rsidRPr="004D7E54">
              <w:rPr>
                <w:rFonts w:cstheme="minorHAnsi"/>
                <w:sz w:val="16"/>
                <w:szCs w:val="16"/>
                <w:lang w:eastAsia="en-AU"/>
              </w:rPr>
              <w:t>(i) percutaneous angioplasty; and</w:t>
            </w:r>
          </w:p>
          <w:p w14:paraId="61009511" w14:textId="77777777" w:rsidR="00921C8D" w:rsidRPr="004D7E54" w:rsidRDefault="00921C8D" w:rsidP="00921C8D">
            <w:pPr>
              <w:spacing w:before="40" w:after="40" w:line="259" w:lineRule="auto"/>
              <w:ind w:left="284"/>
              <w:rPr>
                <w:rFonts w:cstheme="minorHAnsi"/>
                <w:sz w:val="16"/>
                <w:szCs w:val="16"/>
                <w:lang w:eastAsia="en-AU"/>
              </w:rPr>
            </w:pPr>
            <w:r w:rsidRPr="004D7E54">
              <w:rPr>
                <w:rFonts w:cstheme="minorHAnsi"/>
                <w:sz w:val="16"/>
                <w:szCs w:val="16"/>
                <w:lang w:eastAsia="en-AU"/>
              </w:rPr>
              <w:t>(ii) transluminal insertion of one or more stents; and</w:t>
            </w:r>
          </w:p>
          <w:p w14:paraId="6E639CE4"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(d) performed on 3 coronary vascular territories; and</w:t>
            </w:r>
          </w:p>
          <w:p w14:paraId="7E86D05C"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(e) excluding aftercare;</w:t>
            </w:r>
          </w:p>
          <w:p w14:paraId="14F44B3E"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 xml:space="preserve">other than a service associated with a service to which item 38200, 38203, 38206, 38244, 38247, 38248, 38249, 38251, 38252, 38307, 38308, 38310, 38311, 38313, 38314, 38316, 38317, 38319, 38320 or 38322 applies </w:t>
            </w:r>
          </w:p>
          <w:p w14:paraId="7AF739B3"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Multiple Operation Rule</w:t>
            </w:r>
          </w:p>
          <w:p w14:paraId="796D805C"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(Anaes.) (Assist.)</w:t>
            </w:r>
          </w:p>
          <w:p w14:paraId="78E23ED5" w14:textId="77777777" w:rsidR="00921C8D" w:rsidRPr="004D7E54" w:rsidRDefault="00921C8D" w:rsidP="00921C8D">
            <w:pPr>
              <w:spacing w:before="40" w:after="40" w:line="259" w:lineRule="auto"/>
              <w:rPr>
                <w:rFonts w:cstheme="minorHAnsi"/>
                <w:sz w:val="16"/>
                <w:szCs w:val="16"/>
                <w:lang w:eastAsia="en-AU"/>
              </w:rPr>
            </w:pPr>
            <w:r w:rsidRPr="004D7E54">
              <w:rPr>
                <w:rFonts w:cstheme="minorHAnsi"/>
                <w:sz w:val="16"/>
                <w:szCs w:val="16"/>
                <w:lang w:eastAsia="en-AU"/>
              </w:rPr>
              <w:t>Fee: $2,366.45 Benefit: 75% = $1,774.85 85% = $2,281.75</w:t>
            </w:r>
          </w:p>
          <w:p w14:paraId="1A91637F" w14:textId="77777777" w:rsidR="00921C8D" w:rsidRPr="004D7E54" w:rsidRDefault="00921C8D" w:rsidP="00921C8D">
            <w:pPr>
              <w:pStyle w:val="Tabletext0"/>
              <w:ind w:firstLine="22"/>
              <w:rPr>
                <w:sz w:val="16"/>
                <w:szCs w:val="16"/>
              </w:rPr>
            </w:pPr>
            <w:r w:rsidRPr="004D7E54">
              <w:rPr>
                <w:rFonts w:cstheme="minorHAnsi"/>
                <w:sz w:val="16"/>
                <w:szCs w:val="16"/>
              </w:rPr>
              <w:t>(See para TN.8.218, TN.8.219, TN.8.226, TR.8.4, TR.8.5, TR.8.7 of explanatory notes to this Category)</w:t>
            </w:r>
          </w:p>
        </w:tc>
      </w:tr>
    </w:tbl>
    <w:p w14:paraId="3B9165BC" w14:textId="072B69C4" w:rsidR="009238ED" w:rsidRDefault="009238ED" w:rsidP="004D7E54">
      <w:pPr>
        <w:pStyle w:val="TableFigNoteLast"/>
        <w:spacing w:before="0" w:after="240"/>
      </w:pPr>
    </w:p>
    <w:p w14:paraId="27852BB1" w14:textId="0AEFA7B8" w:rsidR="00921C8D" w:rsidRDefault="00921C8D" w:rsidP="00921C8D">
      <w:pPr>
        <w:pStyle w:val="Heading3"/>
      </w:pPr>
      <w:r>
        <w:t>MBS item for transluminal rotational atherectomy</w:t>
      </w:r>
    </w:p>
    <w:tbl>
      <w:tblPr>
        <w:tblStyle w:val="TableGrid"/>
        <w:tblW w:w="0" w:type="auto"/>
        <w:tblLook w:val="04A0" w:firstRow="1" w:lastRow="0" w:firstColumn="1" w:lastColumn="0" w:noHBand="0" w:noVBand="1"/>
      </w:tblPr>
      <w:tblGrid>
        <w:gridCol w:w="9016"/>
      </w:tblGrid>
      <w:tr w:rsidR="00C675B9" w:rsidRPr="004D7E54" w14:paraId="71BA46FA" w14:textId="77777777" w:rsidTr="0009246B">
        <w:tc>
          <w:tcPr>
            <w:tcW w:w="9016" w:type="dxa"/>
          </w:tcPr>
          <w:p w14:paraId="2FF1FE6C" w14:textId="518706F0" w:rsidR="00C675B9" w:rsidRPr="004D7E54" w:rsidRDefault="00C61885" w:rsidP="0024559A">
            <w:pPr>
              <w:pStyle w:val="Tabletext0"/>
              <w:keepNext/>
              <w:jc w:val="right"/>
              <w:rPr>
                <w:rFonts w:eastAsiaTheme="minorHAnsi"/>
                <w:b/>
                <w:bCs/>
                <w:sz w:val="16"/>
                <w:szCs w:val="16"/>
              </w:rPr>
            </w:pPr>
            <w:bookmarkStart w:id="53" w:name="_Hlk79756599"/>
            <w:r w:rsidRPr="004D7E54">
              <w:rPr>
                <w:rFonts w:eastAsiaTheme="minorHAnsi"/>
                <w:b/>
                <w:bCs/>
                <w:sz w:val="16"/>
                <w:szCs w:val="16"/>
              </w:rPr>
              <w:t>Category 3 – THERAPEUTIC PROCEDURES</w:t>
            </w:r>
          </w:p>
        </w:tc>
      </w:tr>
      <w:tr w:rsidR="00C675B9" w:rsidRPr="004D7E54" w14:paraId="0C2E3DB7" w14:textId="77777777" w:rsidTr="0009246B">
        <w:tc>
          <w:tcPr>
            <w:tcW w:w="9016" w:type="dxa"/>
          </w:tcPr>
          <w:p w14:paraId="1241EB8B" w14:textId="77777777" w:rsidR="00C675B9" w:rsidRPr="004D7E54" w:rsidRDefault="00C675B9" w:rsidP="0024559A">
            <w:pPr>
              <w:pStyle w:val="Tabletext0"/>
              <w:keepNext/>
              <w:rPr>
                <w:rFonts w:eastAsiaTheme="minorHAnsi"/>
                <w:b/>
                <w:bCs/>
                <w:sz w:val="16"/>
                <w:szCs w:val="16"/>
              </w:rPr>
            </w:pPr>
            <w:r w:rsidRPr="004D7E54">
              <w:rPr>
                <w:rFonts w:eastAsiaTheme="minorHAnsi"/>
                <w:b/>
                <w:bCs/>
                <w:sz w:val="16"/>
                <w:szCs w:val="16"/>
              </w:rPr>
              <w:t>MBS 38309</w:t>
            </w:r>
          </w:p>
          <w:p w14:paraId="05F5FDC1" w14:textId="77777777" w:rsidR="00C675B9" w:rsidRPr="004D7E54" w:rsidRDefault="00C675B9" w:rsidP="0024559A">
            <w:pPr>
              <w:keepNext/>
              <w:spacing w:before="40" w:after="160" w:line="259" w:lineRule="auto"/>
              <w:rPr>
                <w:rFonts w:cstheme="minorHAnsi"/>
                <w:sz w:val="16"/>
                <w:szCs w:val="16"/>
                <w:lang w:eastAsia="en-AU"/>
              </w:rPr>
            </w:pPr>
            <w:r w:rsidRPr="004D7E54">
              <w:rPr>
                <w:rFonts w:cstheme="minorHAnsi"/>
                <w:sz w:val="16"/>
                <w:szCs w:val="16"/>
                <w:lang w:eastAsia="en-AU"/>
              </w:rPr>
              <w:t>Percutaneous transluminal rotational atherectomy of one or more coronary arteries, including all associated imaging, if:</w:t>
            </w:r>
          </w:p>
          <w:p w14:paraId="491488D0" w14:textId="77777777" w:rsidR="00C675B9" w:rsidRPr="004D7E54" w:rsidRDefault="00C675B9" w:rsidP="0024559A">
            <w:pPr>
              <w:keepNext/>
              <w:spacing w:before="40" w:after="160" w:line="259" w:lineRule="auto"/>
              <w:rPr>
                <w:rFonts w:cstheme="minorHAnsi"/>
                <w:sz w:val="16"/>
                <w:szCs w:val="16"/>
                <w:lang w:eastAsia="en-AU"/>
              </w:rPr>
            </w:pPr>
            <w:r w:rsidRPr="004D7E54">
              <w:rPr>
                <w:rFonts w:cstheme="minorHAnsi"/>
                <w:sz w:val="16"/>
                <w:szCs w:val="16"/>
                <w:lang w:eastAsia="en-AU"/>
              </w:rPr>
              <w:t>(a) the target stenosis within at least one coronary artery is heavily calcified and balloon angioplasty with or without stenting is not feasible without rotational atherectomy; and</w:t>
            </w:r>
          </w:p>
          <w:p w14:paraId="33D17A24" w14:textId="77777777" w:rsidR="00C675B9" w:rsidRPr="004D7E54" w:rsidRDefault="00C675B9" w:rsidP="0024559A">
            <w:pPr>
              <w:keepNext/>
              <w:spacing w:before="40" w:after="160" w:line="259" w:lineRule="auto"/>
              <w:rPr>
                <w:rFonts w:cstheme="minorHAnsi"/>
                <w:sz w:val="16"/>
                <w:szCs w:val="16"/>
                <w:lang w:eastAsia="en-AU"/>
              </w:rPr>
            </w:pPr>
            <w:r w:rsidRPr="004D7E54">
              <w:rPr>
                <w:rFonts w:cstheme="minorHAnsi"/>
                <w:sz w:val="16"/>
                <w:szCs w:val="16"/>
                <w:lang w:eastAsia="en-AU"/>
              </w:rPr>
              <w:t>(b) the service is performed in conjunction with a service to which item 38307, 38308, 38310, 38311, 38313, 38314, 38316, 38317, 38319, 38320, 38322 or 38323 applies</w:t>
            </w:r>
          </w:p>
          <w:p w14:paraId="0647841C" w14:textId="77777777" w:rsidR="00C675B9" w:rsidRPr="004D7E54" w:rsidRDefault="00C675B9" w:rsidP="0024559A">
            <w:pPr>
              <w:keepNext/>
              <w:spacing w:before="40" w:after="160" w:line="259" w:lineRule="auto"/>
              <w:rPr>
                <w:rFonts w:cstheme="minorHAnsi"/>
                <w:sz w:val="16"/>
                <w:szCs w:val="16"/>
                <w:lang w:eastAsia="en-AU"/>
              </w:rPr>
            </w:pPr>
            <w:r w:rsidRPr="004D7E54">
              <w:rPr>
                <w:rFonts w:cstheme="minorHAnsi"/>
                <w:sz w:val="16"/>
                <w:szCs w:val="16"/>
                <w:lang w:eastAsia="en-AU"/>
              </w:rPr>
              <w:t>Applicable only once on each occasion the service is performed</w:t>
            </w:r>
          </w:p>
          <w:p w14:paraId="00A3CF29" w14:textId="77777777" w:rsidR="00C675B9" w:rsidRPr="004D7E54" w:rsidRDefault="00C675B9" w:rsidP="0024559A">
            <w:pPr>
              <w:keepNext/>
              <w:rPr>
                <w:rFonts w:asciiTheme="minorHAnsi" w:hAnsiTheme="minorHAnsi" w:cstheme="minorHAnsi"/>
                <w:sz w:val="16"/>
                <w:szCs w:val="16"/>
              </w:rPr>
            </w:pPr>
            <w:r w:rsidRPr="004D7E54">
              <w:rPr>
                <w:rFonts w:asciiTheme="minorHAnsi" w:hAnsiTheme="minorHAnsi" w:cstheme="minorHAnsi"/>
                <w:sz w:val="16"/>
                <w:szCs w:val="16"/>
              </w:rPr>
              <w:t>Multiple Operation Rule</w:t>
            </w:r>
          </w:p>
          <w:p w14:paraId="274F1915" w14:textId="77777777" w:rsidR="00C675B9" w:rsidRPr="004D7E54" w:rsidRDefault="00C675B9" w:rsidP="0024559A">
            <w:pPr>
              <w:keepNext/>
              <w:rPr>
                <w:rFonts w:asciiTheme="minorHAnsi" w:hAnsiTheme="minorHAnsi" w:cstheme="minorHAnsi"/>
                <w:sz w:val="16"/>
                <w:szCs w:val="16"/>
              </w:rPr>
            </w:pPr>
            <w:r w:rsidRPr="004D7E54">
              <w:rPr>
                <w:rFonts w:asciiTheme="minorHAnsi" w:hAnsiTheme="minorHAnsi" w:cstheme="minorHAnsi"/>
                <w:sz w:val="16"/>
                <w:szCs w:val="16"/>
              </w:rPr>
              <w:t>(Anaes.) (Assist.)</w:t>
            </w:r>
          </w:p>
          <w:p w14:paraId="20821585" w14:textId="77777777" w:rsidR="00C675B9" w:rsidRPr="004D7E54" w:rsidRDefault="00C675B9" w:rsidP="0024559A">
            <w:pPr>
              <w:keepNext/>
              <w:spacing w:before="40" w:after="160" w:line="259" w:lineRule="auto"/>
              <w:rPr>
                <w:rFonts w:cstheme="minorHAnsi"/>
                <w:sz w:val="16"/>
                <w:szCs w:val="16"/>
                <w:lang w:eastAsia="en-AU"/>
              </w:rPr>
            </w:pPr>
            <w:r w:rsidRPr="004D7E54">
              <w:rPr>
                <w:rFonts w:cstheme="minorHAnsi"/>
                <w:b/>
                <w:bCs/>
                <w:sz w:val="16"/>
                <w:szCs w:val="16"/>
                <w:lang w:eastAsia="en-AU"/>
              </w:rPr>
              <w:t>Fee:</w:t>
            </w:r>
            <w:r w:rsidRPr="004D7E54">
              <w:rPr>
                <w:rFonts w:cstheme="minorHAnsi"/>
                <w:sz w:val="16"/>
                <w:szCs w:val="16"/>
                <w:lang w:eastAsia="en-AU"/>
              </w:rPr>
              <w:t> $1,250.70 </w:t>
            </w:r>
            <w:r w:rsidRPr="004D7E54">
              <w:rPr>
                <w:rFonts w:cstheme="minorHAnsi"/>
                <w:b/>
                <w:bCs/>
                <w:sz w:val="16"/>
                <w:szCs w:val="16"/>
                <w:lang w:eastAsia="en-AU"/>
              </w:rPr>
              <w:t>Benefit:</w:t>
            </w:r>
            <w:r w:rsidRPr="004D7E54">
              <w:rPr>
                <w:rFonts w:cstheme="minorHAnsi"/>
                <w:sz w:val="16"/>
                <w:szCs w:val="16"/>
                <w:lang w:eastAsia="en-AU"/>
              </w:rPr>
              <w:t> 75% = $938.05 85% = $1,166.00</w:t>
            </w:r>
          </w:p>
          <w:p w14:paraId="39805AF5" w14:textId="386604B8" w:rsidR="00C675B9" w:rsidRPr="004D7E54" w:rsidRDefault="00C675B9" w:rsidP="0024559A">
            <w:pPr>
              <w:pStyle w:val="Tabletext0"/>
              <w:keepNext/>
              <w:ind w:firstLine="22"/>
              <w:rPr>
                <w:sz w:val="16"/>
                <w:szCs w:val="16"/>
              </w:rPr>
            </w:pPr>
            <w:r w:rsidRPr="004D7E54">
              <w:rPr>
                <w:rFonts w:cstheme="minorHAnsi"/>
                <w:sz w:val="16"/>
                <w:szCs w:val="16"/>
              </w:rPr>
              <w:t>(See para</w:t>
            </w:r>
            <w:r w:rsidR="00C61885" w:rsidRPr="004D7E54">
              <w:rPr>
                <w:rFonts w:cstheme="minorHAnsi"/>
                <w:sz w:val="16"/>
                <w:szCs w:val="16"/>
              </w:rPr>
              <w:t xml:space="preserve"> </w:t>
            </w:r>
            <w:r w:rsidRPr="004D7E54">
              <w:rPr>
                <w:rFonts w:cstheme="minorHAnsi"/>
                <w:sz w:val="16"/>
                <w:szCs w:val="16"/>
              </w:rPr>
              <w:t> TN.8.222 of explanatory notes to this Category)</w:t>
            </w:r>
          </w:p>
        </w:tc>
      </w:tr>
      <w:bookmarkEnd w:id="53"/>
    </w:tbl>
    <w:p w14:paraId="4BCAE5D1" w14:textId="41DF6096" w:rsidR="00921C8D" w:rsidRDefault="00921C8D" w:rsidP="004D7E54">
      <w:pPr>
        <w:pStyle w:val="TableFigNoteLast"/>
        <w:spacing w:before="0" w:after="240"/>
      </w:pPr>
    </w:p>
    <w:p w14:paraId="31893648" w14:textId="5ADAB05E" w:rsidR="00921C8D" w:rsidRDefault="00C675B9" w:rsidP="00C675B9">
      <w:pPr>
        <w:pStyle w:val="Heading3"/>
      </w:pPr>
      <w:r>
        <w:t xml:space="preserve">Explanatory notes with indications for transluminal stent insertion </w:t>
      </w:r>
      <w:r w:rsidR="001253A0">
        <w:t>or</w:t>
      </w:r>
      <w:r>
        <w:t xml:space="preserve"> rotational atherectomy</w:t>
      </w:r>
    </w:p>
    <w:tbl>
      <w:tblPr>
        <w:tblStyle w:val="TableGrid"/>
        <w:tblW w:w="0" w:type="auto"/>
        <w:tblLook w:val="04A0" w:firstRow="1" w:lastRow="0" w:firstColumn="1" w:lastColumn="0" w:noHBand="0" w:noVBand="1"/>
      </w:tblPr>
      <w:tblGrid>
        <w:gridCol w:w="9016"/>
      </w:tblGrid>
      <w:tr w:rsidR="00C675B9" w:rsidRPr="0024559A" w14:paraId="7475AB31" w14:textId="77777777" w:rsidTr="0009246B">
        <w:tc>
          <w:tcPr>
            <w:tcW w:w="9016" w:type="dxa"/>
          </w:tcPr>
          <w:p w14:paraId="067292C8" w14:textId="77777777" w:rsidR="00C675B9" w:rsidRPr="004D7E54" w:rsidRDefault="00C675B9" w:rsidP="0009246B">
            <w:pPr>
              <w:pStyle w:val="Tabletext0"/>
              <w:jc w:val="right"/>
              <w:rPr>
                <w:rFonts w:eastAsiaTheme="minorHAnsi"/>
                <w:b/>
                <w:bCs/>
                <w:sz w:val="16"/>
                <w:szCs w:val="16"/>
              </w:rPr>
            </w:pPr>
            <w:r w:rsidRPr="004D7E54">
              <w:rPr>
                <w:rFonts w:eastAsiaTheme="minorHAnsi"/>
                <w:b/>
                <w:bCs/>
                <w:sz w:val="16"/>
                <w:szCs w:val="16"/>
              </w:rPr>
              <w:t>Category 3 – THERAPEUTIC PROCEDURES</w:t>
            </w:r>
          </w:p>
        </w:tc>
      </w:tr>
      <w:tr w:rsidR="00C675B9" w:rsidRPr="0024559A" w14:paraId="0879961E" w14:textId="77777777" w:rsidTr="0009246B">
        <w:tc>
          <w:tcPr>
            <w:tcW w:w="9016" w:type="dxa"/>
          </w:tcPr>
          <w:p w14:paraId="61355AE7" w14:textId="77777777" w:rsidR="00C675B9" w:rsidRPr="004D7E54" w:rsidRDefault="00C675B9" w:rsidP="0009246B">
            <w:pPr>
              <w:pStyle w:val="Tabletext0"/>
              <w:spacing w:before="120"/>
              <w:rPr>
                <w:b/>
                <w:bCs/>
                <w:sz w:val="16"/>
                <w:szCs w:val="16"/>
                <w:u w:val="single"/>
              </w:rPr>
            </w:pPr>
            <w:r w:rsidRPr="004D7E54">
              <w:rPr>
                <w:b/>
                <w:bCs/>
                <w:sz w:val="16"/>
                <w:szCs w:val="16"/>
                <w:u w:val="single"/>
              </w:rPr>
              <w:t>TR.8.2</w:t>
            </w:r>
          </w:p>
          <w:p w14:paraId="56ED4388" w14:textId="77777777" w:rsidR="00C675B9" w:rsidRPr="004D7E54" w:rsidRDefault="00C675B9" w:rsidP="0009246B">
            <w:pPr>
              <w:pStyle w:val="Tabletext0"/>
              <w:spacing w:before="0"/>
              <w:jc w:val="center"/>
              <w:rPr>
                <w:b/>
                <w:bCs/>
                <w:sz w:val="16"/>
                <w:szCs w:val="16"/>
              </w:rPr>
            </w:pPr>
            <w:r w:rsidRPr="004D7E54">
              <w:rPr>
                <w:b/>
                <w:bCs/>
                <w:sz w:val="16"/>
                <w:szCs w:val="16"/>
              </w:rPr>
              <w:t>Selective Coronary Angiography Indications</w:t>
            </w:r>
          </w:p>
          <w:p w14:paraId="67449CA9" w14:textId="77777777" w:rsidR="00C675B9" w:rsidRPr="004D7E54" w:rsidRDefault="00C675B9" w:rsidP="0009246B">
            <w:pPr>
              <w:pStyle w:val="Tabletext0"/>
              <w:spacing w:before="0"/>
              <w:rPr>
                <w:sz w:val="16"/>
                <w:szCs w:val="16"/>
              </w:rPr>
            </w:pPr>
            <w:r w:rsidRPr="004D7E54">
              <w:rPr>
                <w:sz w:val="16"/>
                <w:szCs w:val="16"/>
              </w:rPr>
              <w:t>Clause 5.10.17A Items 38244, 38247, 38307, 38308, 38310, 38316, 38317 and 38319—patient eligibility and timing</w:t>
            </w:r>
          </w:p>
          <w:p w14:paraId="4E3ADA95" w14:textId="77777777" w:rsidR="00C675B9" w:rsidRPr="004D7E54" w:rsidRDefault="00C675B9" w:rsidP="0009246B">
            <w:pPr>
              <w:pStyle w:val="Tabletext0"/>
              <w:spacing w:before="0"/>
              <w:rPr>
                <w:sz w:val="16"/>
                <w:szCs w:val="16"/>
              </w:rPr>
            </w:pPr>
            <w:r w:rsidRPr="004D7E54">
              <w:rPr>
                <w:sz w:val="16"/>
                <w:szCs w:val="16"/>
              </w:rPr>
              <w:t>(1) A patient is eligible for a service to which item 38244, 38247, 38307, 38308, 38310, 38316, 38317 or 38319 applies if:</w:t>
            </w:r>
          </w:p>
          <w:p w14:paraId="42E06224" w14:textId="77777777" w:rsidR="00C675B9" w:rsidRPr="004D7E54" w:rsidRDefault="00C675B9" w:rsidP="0009246B">
            <w:pPr>
              <w:pStyle w:val="Tabletext0"/>
              <w:spacing w:before="0"/>
              <w:ind w:left="426"/>
              <w:rPr>
                <w:sz w:val="16"/>
                <w:szCs w:val="16"/>
              </w:rPr>
            </w:pPr>
            <w:r w:rsidRPr="004D7E54">
              <w:rPr>
                <w:sz w:val="16"/>
                <w:szCs w:val="16"/>
              </w:rPr>
              <w:t>(a) subclause (2) applies to the patient; and</w:t>
            </w:r>
          </w:p>
          <w:p w14:paraId="3521DB04" w14:textId="77777777" w:rsidR="00C675B9" w:rsidRPr="004D7E54" w:rsidRDefault="00C675B9" w:rsidP="0009246B">
            <w:pPr>
              <w:pStyle w:val="Tabletext0"/>
              <w:spacing w:before="0"/>
              <w:ind w:left="426"/>
              <w:rPr>
                <w:sz w:val="16"/>
                <w:szCs w:val="16"/>
              </w:rPr>
            </w:pPr>
            <w:r w:rsidRPr="004D7E54">
              <w:rPr>
                <w:sz w:val="16"/>
                <w:szCs w:val="16"/>
              </w:rPr>
              <w:t>(b) a service to which the item applies has not been provided to the patient in the previous 3 months, unless:</w:t>
            </w:r>
          </w:p>
          <w:p w14:paraId="6EDBFD6B" w14:textId="77777777" w:rsidR="00C675B9" w:rsidRPr="004D7E54" w:rsidRDefault="00C675B9" w:rsidP="0009246B">
            <w:pPr>
              <w:pStyle w:val="Tabletext0"/>
              <w:spacing w:before="0"/>
              <w:ind w:left="709"/>
              <w:rPr>
                <w:sz w:val="16"/>
                <w:szCs w:val="16"/>
              </w:rPr>
            </w:pPr>
            <w:r w:rsidRPr="004D7E54">
              <w:rPr>
                <w:sz w:val="16"/>
                <w:szCs w:val="16"/>
              </w:rPr>
              <w:t>(i) the patient experiences a new acute coronary syndrome or angina, as described in paragraph (2)(a), (b) or (c), in that period; or</w:t>
            </w:r>
          </w:p>
          <w:p w14:paraId="0895F154" w14:textId="77777777" w:rsidR="00C675B9" w:rsidRPr="004D7E54" w:rsidRDefault="00C675B9" w:rsidP="0009246B">
            <w:pPr>
              <w:pStyle w:val="Tabletext0"/>
              <w:spacing w:before="0"/>
              <w:ind w:left="709"/>
              <w:rPr>
                <w:sz w:val="16"/>
                <w:szCs w:val="16"/>
              </w:rPr>
            </w:pPr>
            <w:r w:rsidRPr="004D7E54">
              <w:rPr>
                <w:sz w:val="16"/>
                <w:szCs w:val="16"/>
              </w:rPr>
              <w:t>(ii) for a service to which item 38316, 38317 or 38319 applies—the service was provided to the patient in that period as a subsequent stage following an initial primary percutaneous coronary intervention procedure.</w:t>
            </w:r>
          </w:p>
          <w:p w14:paraId="7B57D5F0" w14:textId="77777777" w:rsidR="00C675B9" w:rsidRPr="004D7E54" w:rsidRDefault="00C675B9" w:rsidP="0009246B">
            <w:pPr>
              <w:pStyle w:val="Tabletext0"/>
              <w:spacing w:before="0"/>
              <w:rPr>
                <w:sz w:val="16"/>
                <w:szCs w:val="16"/>
              </w:rPr>
            </w:pPr>
            <w:r w:rsidRPr="004D7E54">
              <w:rPr>
                <w:sz w:val="16"/>
                <w:szCs w:val="16"/>
              </w:rPr>
              <w:t>(2) This subclause applies to a patient who has:</w:t>
            </w:r>
          </w:p>
          <w:p w14:paraId="73B761C1" w14:textId="77777777" w:rsidR="00C675B9" w:rsidRPr="004D7E54" w:rsidRDefault="00C675B9" w:rsidP="0009246B">
            <w:pPr>
              <w:pStyle w:val="Tabletext0"/>
              <w:spacing w:before="0"/>
              <w:ind w:left="426"/>
              <w:rPr>
                <w:sz w:val="16"/>
                <w:szCs w:val="16"/>
              </w:rPr>
            </w:pPr>
            <w:r w:rsidRPr="004D7E54">
              <w:rPr>
                <w:sz w:val="16"/>
                <w:szCs w:val="16"/>
              </w:rPr>
              <w:t>(a) an acute coronary syndrome evidenced by any of the following:</w:t>
            </w:r>
          </w:p>
          <w:p w14:paraId="5D2E15D5" w14:textId="77777777" w:rsidR="00C675B9" w:rsidRPr="004D7E54" w:rsidRDefault="00C675B9" w:rsidP="0009246B">
            <w:pPr>
              <w:pStyle w:val="Tabletext0"/>
              <w:spacing w:before="0"/>
              <w:ind w:left="709"/>
              <w:rPr>
                <w:sz w:val="16"/>
                <w:szCs w:val="16"/>
              </w:rPr>
            </w:pPr>
            <w:r w:rsidRPr="004D7E54">
              <w:rPr>
                <w:sz w:val="16"/>
                <w:szCs w:val="16"/>
              </w:rPr>
              <w:t>(i) ST segment elevation;</w:t>
            </w:r>
          </w:p>
          <w:p w14:paraId="4C087BCC" w14:textId="77777777" w:rsidR="00C675B9" w:rsidRPr="004D7E54" w:rsidRDefault="00C675B9" w:rsidP="0009246B">
            <w:pPr>
              <w:pStyle w:val="Tabletext0"/>
              <w:spacing w:before="0"/>
              <w:ind w:left="709"/>
              <w:rPr>
                <w:sz w:val="16"/>
                <w:szCs w:val="16"/>
              </w:rPr>
            </w:pPr>
            <w:r w:rsidRPr="004D7E54">
              <w:rPr>
                <w:sz w:val="16"/>
                <w:szCs w:val="16"/>
              </w:rPr>
              <w:t>(ii) new left bundle branch block;</w:t>
            </w:r>
          </w:p>
          <w:p w14:paraId="7C821EC4" w14:textId="77777777" w:rsidR="00C675B9" w:rsidRPr="004D7E54" w:rsidRDefault="00C675B9" w:rsidP="0009246B">
            <w:pPr>
              <w:pStyle w:val="Tabletext0"/>
              <w:spacing w:before="0"/>
              <w:ind w:left="709"/>
              <w:rPr>
                <w:sz w:val="16"/>
                <w:szCs w:val="16"/>
              </w:rPr>
            </w:pPr>
            <w:r w:rsidRPr="004D7E54">
              <w:rPr>
                <w:sz w:val="16"/>
                <w:szCs w:val="16"/>
              </w:rPr>
              <w:t>(iii) troponin elevation above the local upper reference limit;</w:t>
            </w:r>
          </w:p>
          <w:p w14:paraId="26E3475B" w14:textId="77777777" w:rsidR="00C675B9" w:rsidRPr="004D7E54" w:rsidRDefault="00C675B9" w:rsidP="0009246B">
            <w:pPr>
              <w:pStyle w:val="Tabletext0"/>
              <w:spacing w:before="0"/>
              <w:ind w:left="709"/>
              <w:rPr>
                <w:sz w:val="16"/>
                <w:szCs w:val="16"/>
              </w:rPr>
            </w:pPr>
            <w:r w:rsidRPr="004D7E54">
              <w:rPr>
                <w:sz w:val="16"/>
                <w:szCs w:val="16"/>
              </w:rPr>
              <w:t>(iv) new resting wall motion abnormality or perfusion defect;</w:t>
            </w:r>
          </w:p>
          <w:p w14:paraId="7835352A" w14:textId="77777777" w:rsidR="00C675B9" w:rsidRPr="004D7E54" w:rsidRDefault="00C675B9" w:rsidP="0009246B">
            <w:pPr>
              <w:pStyle w:val="Tabletext0"/>
              <w:spacing w:before="0"/>
              <w:ind w:left="709"/>
              <w:rPr>
                <w:sz w:val="16"/>
                <w:szCs w:val="16"/>
              </w:rPr>
            </w:pPr>
            <w:r w:rsidRPr="004D7E54">
              <w:rPr>
                <w:sz w:val="16"/>
                <w:szCs w:val="16"/>
              </w:rPr>
              <w:t>(v) cardiogenic shock;</w:t>
            </w:r>
          </w:p>
          <w:p w14:paraId="2C45748F" w14:textId="77777777" w:rsidR="00C675B9" w:rsidRPr="004D7E54" w:rsidRDefault="00C675B9" w:rsidP="0009246B">
            <w:pPr>
              <w:pStyle w:val="Tabletext0"/>
              <w:spacing w:before="0"/>
              <w:ind w:left="709"/>
              <w:rPr>
                <w:sz w:val="16"/>
                <w:szCs w:val="16"/>
              </w:rPr>
            </w:pPr>
            <w:r w:rsidRPr="004D7E54">
              <w:rPr>
                <w:sz w:val="16"/>
                <w:szCs w:val="16"/>
              </w:rPr>
              <w:t>(vi) resuscitated cardiac arrest;</w:t>
            </w:r>
          </w:p>
          <w:p w14:paraId="7F9565CA" w14:textId="77777777" w:rsidR="00C675B9" w:rsidRPr="004D7E54" w:rsidRDefault="00C675B9" w:rsidP="0009246B">
            <w:pPr>
              <w:pStyle w:val="Tabletext0"/>
              <w:spacing w:before="0"/>
              <w:ind w:left="709"/>
              <w:rPr>
                <w:sz w:val="16"/>
                <w:szCs w:val="16"/>
              </w:rPr>
            </w:pPr>
            <w:r w:rsidRPr="004D7E54">
              <w:rPr>
                <w:sz w:val="16"/>
                <w:szCs w:val="16"/>
              </w:rPr>
              <w:t>(vii) ventricular fibrillation;</w:t>
            </w:r>
          </w:p>
          <w:p w14:paraId="216F0067" w14:textId="77777777" w:rsidR="00C675B9" w:rsidRPr="004D7E54" w:rsidRDefault="00C675B9" w:rsidP="0009246B">
            <w:pPr>
              <w:pStyle w:val="Tabletext0"/>
              <w:spacing w:before="0"/>
              <w:ind w:left="709"/>
              <w:rPr>
                <w:sz w:val="16"/>
                <w:szCs w:val="16"/>
              </w:rPr>
            </w:pPr>
            <w:r w:rsidRPr="004D7E54">
              <w:rPr>
                <w:sz w:val="16"/>
                <w:szCs w:val="16"/>
              </w:rPr>
              <w:t>(viii) sustained ventricular tachycardia; or</w:t>
            </w:r>
          </w:p>
          <w:p w14:paraId="3A6F395F" w14:textId="77777777" w:rsidR="00C675B9" w:rsidRPr="004D7E54" w:rsidRDefault="00C675B9" w:rsidP="0009246B">
            <w:pPr>
              <w:pStyle w:val="Tabletext0"/>
              <w:spacing w:before="0"/>
              <w:ind w:left="426"/>
              <w:rPr>
                <w:sz w:val="16"/>
                <w:szCs w:val="16"/>
              </w:rPr>
            </w:pPr>
            <w:r w:rsidRPr="004D7E54">
              <w:rPr>
                <w:sz w:val="16"/>
                <w:szCs w:val="16"/>
              </w:rPr>
              <w:t>(b) unstable angina or angina equivalent with a crescendo pattern, rest pain or other high-risk clinical features, such as hypotension, dizziness, pallor, diaphoresis or syncope occurring at a low threshold; or</w:t>
            </w:r>
          </w:p>
          <w:p w14:paraId="57F8D610" w14:textId="77777777" w:rsidR="00C675B9" w:rsidRPr="004D7E54" w:rsidRDefault="00C675B9" w:rsidP="0009246B">
            <w:pPr>
              <w:pStyle w:val="Tabletext0"/>
              <w:spacing w:before="0"/>
              <w:ind w:left="426"/>
              <w:rPr>
                <w:sz w:val="16"/>
                <w:szCs w:val="16"/>
              </w:rPr>
            </w:pPr>
            <w:r w:rsidRPr="004D7E54">
              <w:rPr>
                <w:sz w:val="16"/>
                <w:szCs w:val="16"/>
              </w:rPr>
              <w:t>(c) either of the following, detected on computed tomography coronary angiography:</w:t>
            </w:r>
          </w:p>
          <w:p w14:paraId="00391AE1" w14:textId="77777777" w:rsidR="00C675B9" w:rsidRPr="004D7E54" w:rsidRDefault="00C675B9" w:rsidP="0009246B">
            <w:pPr>
              <w:pStyle w:val="Tabletext0"/>
              <w:spacing w:before="0"/>
              <w:ind w:left="709"/>
              <w:rPr>
                <w:sz w:val="16"/>
                <w:szCs w:val="16"/>
              </w:rPr>
            </w:pPr>
            <w:r w:rsidRPr="004D7E54">
              <w:rPr>
                <w:sz w:val="16"/>
                <w:szCs w:val="16"/>
              </w:rPr>
              <w:t>(i) significant left main coronary artery disease with greater than 50% stenosis or a cross-sectional area of less than 6 mm2;</w:t>
            </w:r>
          </w:p>
          <w:p w14:paraId="29C8CEE8" w14:textId="77777777" w:rsidR="00C675B9" w:rsidRPr="004D7E54" w:rsidRDefault="00C675B9" w:rsidP="0009246B">
            <w:pPr>
              <w:pStyle w:val="Tabletext0"/>
              <w:spacing w:before="0"/>
              <w:ind w:left="709"/>
              <w:rPr>
                <w:sz w:val="16"/>
                <w:szCs w:val="16"/>
              </w:rPr>
            </w:pPr>
            <w:r w:rsidRPr="004D7E54">
              <w:rPr>
                <w:sz w:val="16"/>
                <w:szCs w:val="16"/>
              </w:rPr>
              <w:lastRenderedPageBreak/>
              <w:t>(ii) severe proximal left anterior descending coronary artery disease (with stenosis of more than 70% or a cross-sectional area of less than 4 mm2 before the first major diagonal branch).</w:t>
            </w:r>
          </w:p>
          <w:p w14:paraId="17B6515C" w14:textId="77777777" w:rsidR="00C675B9" w:rsidRPr="004D7E54" w:rsidRDefault="00C675B9" w:rsidP="0009246B">
            <w:pPr>
              <w:pStyle w:val="Tabletext0"/>
              <w:spacing w:before="0"/>
              <w:rPr>
                <w:sz w:val="16"/>
                <w:szCs w:val="16"/>
              </w:rPr>
            </w:pPr>
          </w:p>
          <w:p w14:paraId="485BE554" w14:textId="77777777" w:rsidR="00C675B9" w:rsidRPr="004D7E54" w:rsidRDefault="00C675B9" w:rsidP="0009246B">
            <w:pPr>
              <w:pStyle w:val="Tabletext0"/>
              <w:spacing w:before="0"/>
              <w:rPr>
                <w:sz w:val="16"/>
                <w:szCs w:val="16"/>
              </w:rPr>
            </w:pPr>
            <w:r w:rsidRPr="004D7E54">
              <w:rPr>
                <w:sz w:val="16"/>
                <w:szCs w:val="16"/>
              </w:rPr>
              <w:t xml:space="preserve">Related Items: </w:t>
            </w:r>
            <w:r w:rsidRPr="004D7E54">
              <w:rPr>
                <w:b/>
                <w:bCs/>
                <w:sz w:val="16"/>
                <w:szCs w:val="16"/>
              </w:rPr>
              <w:t>38244  38247  38307  38308  38310  38316  38317  38319  57364</w:t>
            </w:r>
          </w:p>
        </w:tc>
      </w:tr>
      <w:tr w:rsidR="00C675B9" w:rsidRPr="0024559A" w14:paraId="715B75DD" w14:textId="77777777" w:rsidTr="0009246B">
        <w:tc>
          <w:tcPr>
            <w:tcW w:w="9016" w:type="dxa"/>
          </w:tcPr>
          <w:p w14:paraId="3B80C521" w14:textId="77777777" w:rsidR="00C675B9" w:rsidRPr="004D7E54" w:rsidRDefault="00C675B9" w:rsidP="0024559A">
            <w:pPr>
              <w:pStyle w:val="Tabletext0"/>
              <w:keepNext/>
              <w:spacing w:before="120"/>
              <w:rPr>
                <w:b/>
                <w:bCs/>
                <w:sz w:val="16"/>
                <w:szCs w:val="16"/>
                <w:u w:val="single"/>
              </w:rPr>
            </w:pPr>
            <w:r w:rsidRPr="004D7E54">
              <w:rPr>
                <w:b/>
                <w:bCs/>
                <w:sz w:val="16"/>
                <w:szCs w:val="16"/>
                <w:u w:val="single"/>
              </w:rPr>
              <w:lastRenderedPageBreak/>
              <w:t>TR.8.4</w:t>
            </w:r>
          </w:p>
          <w:p w14:paraId="561760B9" w14:textId="77777777" w:rsidR="00C675B9" w:rsidRPr="004D7E54" w:rsidRDefault="00C675B9" w:rsidP="0024559A">
            <w:pPr>
              <w:pStyle w:val="Tabletext0"/>
              <w:keepNext/>
              <w:spacing w:before="0"/>
              <w:jc w:val="center"/>
              <w:rPr>
                <w:b/>
                <w:bCs/>
                <w:sz w:val="16"/>
                <w:szCs w:val="16"/>
              </w:rPr>
            </w:pPr>
            <w:r w:rsidRPr="004D7E54">
              <w:rPr>
                <w:b/>
                <w:bCs/>
                <w:sz w:val="16"/>
                <w:szCs w:val="16"/>
              </w:rPr>
              <w:t>Stable - Percutaneous Coronary Intervention Indications</w:t>
            </w:r>
          </w:p>
          <w:p w14:paraId="59E67BF6" w14:textId="77777777" w:rsidR="00C675B9" w:rsidRPr="004D7E54" w:rsidRDefault="00C675B9" w:rsidP="0009246B">
            <w:pPr>
              <w:pStyle w:val="Tabletext0"/>
              <w:spacing w:before="0"/>
              <w:rPr>
                <w:sz w:val="16"/>
                <w:szCs w:val="16"/>
              </w:rPr>
            </w:pPr>
            <w:r w:rsidRPr="004D7E54">
              <w:rPr>
                <w:sz w:val="16"/>
                <w:szCs w:val="16"/>
              </w:rPr>
              <w:t>Clause 5.10.17C Items 38311, 38313, 38314, 38320, 38322 and 38323—patient eligibility</w:t>
            </w:r>
          </w:p>
          <w:p w14:paraId="7A2E75A3" w14:textId="77777777" w:rsidR="00C675B9" w:rsidRPr="004D7E54" w:rsidRDefault="00C675B9" w:rsidP="0009246B">
            <w:pPr>
              <w:pStyle w:val="Tabletext0"/>
              <w:spacing w:before="0"/>
              <w:rPr>
                <w:sz w:val="16"/>
                <w:szCs w:val="16"/>
              </w:rPr>
            </w:pPr>
            <w:r w:rsidRPr="004D7E54">
              <w:rPr>
                <w:sz w:val="16"/>
                <w:szCs w:val="16"/>
              </w:rPr>
              <w:t>(1) A patient is eligible for a service to which item 38311, 38313, 38314, 38320, 38322 or 38323 applies if:</w:t>
            </w:r>
          </w:p>
          <w:p w14:paraId="6363F648" w14:textId="77777777" w:rsidR="00C675B9" w:rsidRPr="004D7E54" w:rsidRDefault="00C675B9" w:rsidP="0009246B">
            <w:pPr>
              <w:pStyle w:val="Tabletext0"/>
              <w:spacing w:before="0"/>
              <w:ind w:left="284"/>
              <w:rPr>
                <w:sz w:val="16"/>
                <w:szCs w:val="16"/>
              </w:rPr>
            </w:pPr>
            <w:r w:rsidRPr="004D7E54">
              <w:rPr>
                <w:sz w:val="16"/>
                <w:szCs w:val="16"/>
              </w:rPr>
              <w:t>(a) subclause (2) applies to the patient; or</w:t>
            </w:r>
          </w:p>
          <w:p w14:paraId="0CEC22F8" w14:textId="77777777" w:rsidR="00C675B9" w:rsidRPr="004D7E54" w:rsidRDefault="00C675B9" w:rsidP="0009246B">
            <w:pPr>
              <w:pStyle w:val="Tabletext0"/>
              <w:spacing w:before="0"/>
              <w:ind w:left="284"/>
              <w:rPr>
                <w:sz w:val="16"/>
                <w:szCs w:val="16"/>
              </w:rPr>
            </w:pPr>
            <w:r w:rsidRPr="004D7E54">
              <w:rPr>
                <w:sz w:val="16"/>
                <w:szCs w:val="16"/>
              </w:rPr>
              <w:t>(b) the patient is recommended for the service as a result of a heart team conference that meets the requirements of subclause (4).</w:t>
            </w:r>
          </w:p>
          <w:p w14:paraId="5A062C67" w14:textId="77777777" w:rsidR="00C675B9" w:rsidRPr="004D7E54" w:rsidRDefault="00C675B9" w:rsidP="0009246B">
            <w:pPr>
              <w:pStyle w:val="Tabletext0"/>
              <w:spacing w:before="0"/>
              <w:rPr>
                <w:sz w:val="16"/>
                <w:szCs w:val="16"/>
              </w:rPr>
            </w:pPr>
            <w:r w:rsidRPr="004D7E54">
              <w:rPr>
                <w:sz w:val="16"/>
                <w:szCs w:val="16"/>
              </w:rPr>
              <w:t>(2) This subclause applies to a patient if:</w:t>
            </w:r>
          </w:p>
          <w:p w14:paraId="39E260FB" w14:textId="77777777" w:rsidR="00C675B9" w:rsidRPr="004D7E54" w:rsidRDefault="00C675B9" w:rsidP="0009246B">
            <w:pPr>
              <w:pStyle w:val="Tabletext0"/>
              <w:spacing w:before="0"/>
              <w:ind w:left="284"/>
              <w:rPr>
                <w:sz w:val="16"/>
                <w:szCs w:val="16"/>
              </w:rPr>
            </w:pPr>
            <w:r w:rsidRPr="004D7E54">
              <w:rPr>
                <w:sz w:val="16"/>
                <w:szCs w:val="16"/>
              </w:rPr>
              <w:t>(a) the patient has any of the following:</w:t>
            </w:r>
          </w:p>
          <w:p w14:paraId="3CAF56CC" w14:textId="77777777" w:rsidR="00C675B9" w:rsidRPr="004D7E54" w:rsidRDefault="00C675B9" w:rsidP="0009246B">
            <w:pPr>
              <w:pStyle w:val="Tabletext0"/>
              <w:spacing w:before="0"/>
              <w:ind w:left="567"/>
              <w:rPr>
                <w:sz w:val="16"/>
                <w:szCs w:val="16"/>
              </w:rPr>
            </w:pPr>
            <w:r w:rsidRPr="004D7E54">
              <w:rPr>
                <w:sz w:val="16"/>
                <w:szCs w:val="16"/>
              </w:rPr>
              <w:t>(i) limiting angina or angina equivalent despite an adequate trial of optimal medical therapy;</w:t>
            </w:r>
          </w:p>
          <w:p w14:paraId="2DA1B33E" w14:textId="77777777" w:rsidR="00C675B9" w:rsidRPr="004D7E54" w:rsidRDefault="00C675B9" w:rsidP="0009246B">
            <w:pPr>
              <w:pStyle w:val="Tabletext0"/>
              <w:spacing w:before="0"/>
              <w:ind w:left="567"/>
              <w:rPr>
                <w:sz w:val="16"/>
                <w:szCs w:val="16"/>
              </w:rPr>
            </w:pPr>
            <w:r w:rsidRPr="004D7E54">
              <w:rPr>
                <w:sz w:val="16"/>
                <w:szCs w:val="16"/>
              </w:rPr>
              <w:t>(ii) myocardial ischaemia demonstrated on functional imaging;</w:t>
            </w:r>
          </w:p>
          <w:p w14:paraId="2F6610EA" w14:textId="77777777" w:rsidR="00C675B9" w:rsidRPr="004D7E54" w:rsidRDefault="00C675B9" w:rsidP="0009246B">
            <w:pPr>
              <w:pStyle w:val="Tabletext0"/>
              <w:spacing w:before="0"/>
              <w:ind w:left="567"/>
              <w:rPr>
                <w:sz w:val="16"/>
                <w:szCs w:val="16"/>
              </w:rPr>
            </w:pPr>
            <w:r w:rsidRPr="004D7E54">
              <w:rPr>
                <w:sz w:val="16"/>
                <w:szCs w:val="16"/>
              </w:rPr>
              <w:t>(iii) high risk features such as ST segment elevation, sustained ST depression, hypotension or a Duke treadmill score of minus 11 or less, demonstrated by stress electrocardiogram testing; and</w:t>
            </w:r>
          </w:p>
          <w:p w14:paraId="79A3AE1B" w14:textId="77777777" w:rsidR="00C675B9" w:rsidRPr="004D7E54" w:rsidRDefault="00C675B9" w:rsidP="0009246B">
            <w:pPr>
              <w:pStyle w:val="Tabletext0"/>
              <w:spacing w:before="0"/>
              <w:ind w:left="284"/>
              <w:rPr>
                <w:sz w:val="16"/>
                <w:szCs w:val="16"/>
              </w:rPr>
            </w:pPr>
            <w:r w:rsidRPr="004D7E54">
              <w:rPr>
                <w:sz w:val="16"/>
                <w:szCs w:val="16"/>
              </w:rPr>
              <w:t>(b) the patient has either of the following in a vascular territory treated:</w:t>
            </w:r>
          </w:p>
          <w:p w14:paraId="175B3E7E" w14:textId="77777777" w:rsidR="00C675B9" w:rsidRPr="004D7E54" w:rsidRDefault="00C675B9" w:rsidP="0009246B">
            <w:pPr>
              <w:pStyle w:val="Tabletext0"/>
              <w:spacing w:before="0"/>
              <w:ind w:left="567"/>
              <w:rPr>
                <w:sz w:val="16"/>
                <w:szCs w:val="16"/>
              </w:rPr>
            </w:pPr>
            <w:r w:rsidRPr="004D7E54">
              <w:rPr>
                <w:sz w:val="16"/>
                <w:szCs w:val="16"/>
              </w:rPr>
              <w:t>(i) a stenosis of 70% or more;</w:t>
            </w:r>
          </w:p>
          <w:p w14:paraId="227924D8" w14:textId="77777777" w:rsidR="00C675B9" w:rsidRPr="004D7E54" w:rsidRDefault="00C675B9" w:rsidP="0009246B">
            <w:pPr>
              <w:pStyle w:val="Tabletext0"/>
              <w:spacing w:before="0"/>
              <w:ind w:left="567"/>
              <w:rPr>
                <w:sz w:val="16"/>
                <w:szCs w:val="16"/>
              </w:rPr>
            </w:pPr>
            <w:r w:rsidRPr="004D7E54">
              <w:rPr>
                <w:sz w:val="16"/>
                <w:szCs w:val="16"/>
              </w:rPr>
              <w:t>(ii) a fractional flow reserve of 0.80 or less, or non-hyperaemic pressure ratios distal to the lesions of 0.89 or less; and</w:t>
            </w:r>
          </w:p>
          <w:p w14:paraId="1C87275F" w14:textId="77777777" w:rsidR="00C675B9" w:rsidRPr="004D7E54" w:rsidRDefault="00C675B9" w:rsidP="0009246B">
            <w:pPr>
              <w:pStyle w:val="Tabletext0"/>
              <w:spacing w:before="0"/>
              <w:ind w:left="284"/>
              <w:rPr>
                <w:sz w:val="16"/>
                <w:szCs w:val="16"/>
              </w:rPr>
            </w:pPr>
            <w:r w:rsidRPr="004D7E54">
              <w:rPr>
                <w:sz w:val="16"/>
                <w:szCs w:val="16"/>
              </w:rPr>
              <w:t>(c) for items 38314 and 38323—either:</w:t>
            </w:r>
          </w:p>
          <w:p w14:paraId="07FE2422" w14:textId="77777777" w:rsidR="00C675B9" w:rsidRPr="004D7E54" w:rsidRDefault="00C675B9" w:rsidP="0009246B">
            <w:pPr>
              <w:pStyle w:val="Tabletext0"/>
              <w:spacing w:before="0"/>
              <w:ind w:left="567"/>
              <w:rPr>
                <w:sz w:val="16"/>
                <w:szCs w:val="16"/>
              </w:rPr>
            </w:pPr>
            <w:r w:rsidRPr="004D7E54">
              <w:rPr>
                <w:sz w:val="16"/>
                <w:szCs w:val="16"/>
              </w:rPr>
              <w:t>(i) the patient does not have diabetes mellitus and the multi-vessel coronary artery disease of the patient meets the criterion in subclause (3); or</w:t>
            </w:r>
          </w:p>
          <w:p w14:paraId="3BBCDDCE" w14:textId="77777777" w:rsidR="00C675B9" w:rsidRPr="004D7E54" w:rsidRDefault="00C675B9" w:rsidP="0009246B">
            <w:pPr>
              <w:pStyle w:val="Tabletext0"/>
              <w:spacing w:before="0"/>
              <w:ind w:left="567"/>
              <w:rPr>
                <w:sz w:val="16"/>
                <w:szCs w:val="16"/>
              </w:rPr>
            </w:pPr>
            <w:r w:rsidRPr="004D7E54">
              <w:rPr>
                <w:sz w:val="16"/>
                <w:szCs w:val="16"/>
              </w:rPr>
              <w:t>(ii) despite a recommendation that surgery is preferable, the patient has expressed a preference for catheter-based intervention.</w:t>
            </w:r>
          </w:p>
          <w:p w14:paraId="5795FD2E" w14:textId="77777777" w:rsidR="00C675B9" w:rsidRPr="004D7E54" w:rsidRDefault="00C675B9" w:rsidP="0009246B">
            <w:pPr>
              <w:pStyle w:val="Tabletext0"/>
              <w:spacing w:before="0"/>
              <w:rPr>
                <w:sz w:val="16"/>
                <w:szCs w:val="16"/>
              </w:rPr>
            </w:pPr>
            <w:r w:rsidRPr="004D7E54">
              <w:rPr>
                <w:sz w:val="16"/>
                <w:szCs w:val="16"/>
              </w:rPr>
              <w:t>(3) For the purposes of subparagraph (2)(c)(i), the criterion for the multi-vessel coronary artery disease is that the disease does not involve any of the following:</w:t>
            </w:r>
          </w:p>
          <w:p w14:paraId="301EA348" w14:textId="77777777" w:rsidR="00C675B9" w:rsidRPr="004D7E54" w:rsidRDefault="00C675B9" w:rsidP="0009246B">
            <w:pPr>
              <w:pStyle w:val="Tabletext0"/>
              <w:spacing w:before="0"/>
              <w:ind w:left="284"/>
              <w:rPr>
                <w:sz w:val="16"/>
                <w:szCs w:val="16"/>
              </w:rPr>
            </w:pPr>
            <w:r w:rsidRPr="004D7E54">
              <w:rPr>
                <w:sz w:val="16"/>
                <w:szCs w:val="16"/>
              </w:rPr>
              <w:t>(a) stenosis of more than 50% in the left main coronary artery;</w:t>
            </w:r>
          </w:p>
          <w:p w14:paraId="226AC545" w14:textId="77777777" w:rsidR="00C675B9" w:rsidRPr="004D7E54" w:rsidRDefault="00C675B9" w:rsidP="0009246B">
            <w:pPr>
              <w:pStyle w:val="Tabletext0"/>
              <w:spacing w:before="0"/>
              <w:ind w:left="284"/>
              <w:rPr>
                <w:sz w:val="16"/>
                <w:szCs w:val="16"/>
              </w:rPr>
            </w:pPr>
            <w:r w:rsidRPr="004D7E54">
              <w:rPr>
                <w:sz w:val="16"/>
                <w:szCs w:val="16"/>
              </w:rPr>
              <w:t xml:space="preserve">(b) bifurcation lesions involving side branches with a diameter of more than 2.75 mm; </w:t>
            </w:r>
          </w:p>
          <w:p w14:paraId="751E9FCF" w14:textId="77777777" w:rsidR="00C675B9" w:rsidRPr="004D7E54" w:rsidRDefault="00C675B9" w:rsidP="0009246B">
            <w:pPr>
              <w:pStyle w:val="Tabletext0"/>
              <w:spacing w:before="0"/>
              <w:ind w:left="284"/>
              <w:rPr>
                <w:sz w:val="16"/>
                <w:szCs w:val="16"/>
              </w:rPr>
            </w:pPr>
            <w:r w:rsidRPr="004D7E54">
              <w:rPr>
                <w:sz w:val="16"/>
                <w:szCs w:val="16"/>
              </w:rPr>
              <w:t>(c) chronic vessel occlusions for more than 3 months;</w:t>
            </w:r>
          </w:p>
          <w:p w14:paraId="32E5CDCC" w14:textId="77777777" w:rsidR="00C675B9" w:rsidRPr="004D7E54" w:rsidRDefault="00C675B9" w:rsidP="0009246B">
            <w:pPr>
              <w:pStyle w:val="Tabletext0"/>
              <w:spacing w:before="0"/>
              <w:ind w:left="284"/>
              <w:rPr>
                <w:sz w:val="16"/>
                <w:szCs w:val="16"/>
              </w:rPr>
            </w:pPr>
            <w:r w:rsidRPr="004D7E54">
              <w:rPr>
                <w:sz w:val="16"/>
                <w:szCs w:val="16"/>
              </w:rPr>
              <w:t>(d) severely angulated or calcified lesions;</w:t>
            </w:r>
          </w:p>
          <w:p w14:paraId="3514DFDB" w14:textId="77777777" w:rsidR="00C675B9" w:rsidRPr="004D7E54" w:rsidRDefault="00C675B9" w:rsidP="0009246B">
            <w:pPr>
              <w:pStyle w:val="Tabletext0"/>
              <w:spacing w:before="0"/>
              <w:ind w:left="284"/>
              <w:rPr>
                <w:sz w:val="16"/>
                <w:szCs w:val="16"/>
              </w:rPr>
            </w:pPr>
            <w:r w:rsidRPr="004D7E54">
              <w:rPr>
                <w:sz w:val="16"/>
                <w:szCs w:val="16"/>
              </w:rPr>
              <w:t>(e) a SYNTAX score of more than 23.</w:t>
            </w:r>
          </w:p>
          <w:p w14:paraId="7CDC98BD" w14:textId="77777777" w:rsidR="00C675B9" w:rsidRPr="004D7E54" w:rsidRDefault="00C675B9" w:rsidP="0009246B">
            <w:pPr>
              <w:pStyle w:val="Tabletext0"/>
              <w:spacing w:before="0"/>
              <w:rPr>
                <w:sz w:val="16"/>
                <w:szCs w:val="16"/>
              </w:rPr>
            </w:pPr>
            <w:r w:rsidRPr="004D7E54">
              <w:rPr>
                <w:sz w:val="16"/>
                <w:szCs w:val="16"/>
              </w:rPr>
              <w:t>(4) For the purposes of paragraph (1)(b), the requirements for a heart team conference are as follows:</w:t>
            </w:r>
          </w:p>
          <w:p w14:paraId="35DC961A" w14:textId="77777777" w:rsidR="00C675B9" w:rsidRPr="004D7E54" w:rsidRDefault="00C675B9" w:rsidP="0009246B">
            <w:pPr>
              <w:pStyle w:val="Tabletext0"/>
              <w:spacing w:before="0"/>
              <w:ind w:left="284"/>
              <w:rPr>
                <w:sz w:val="16"/>
                <w:szCs w:val="16"/>
              </w:rPr>
            </w:pPr>
            <w:r w:rsidRPr="004D7E54">
              <w:rPr>
                <w:sz w:val="16"/>
                <w:szCs w:val="16"/>
              </w:rPr>
              <w:t>(a) the conference must be conducted by a team of specialists or consultant physicians practising in the speciality of cardiology or cardiothoracic surgery, including each of the following:</w:t>
            </w:r>
          </w:p>
          <w:p w14:paraId="6A773EA1" w14:textId="77777777" w:rsidR="00C675B9" w:rsidRPr="004D7E54" w:rsidRDefault="00C675B9" w:rsidP="0009246B">
            <w:pPr>
              <w:pStyle w:val="Tabletext0"/>
              <w:spacing w:before="0"/>
              <w:ind w:left="567"/>
              <w:rPr>
                <w:sz w:val="16"/>
                <w:szCs w:val="16"/>
              </w:rPr>
            </w:pPr>
            <w:r w:rsidRPr="004D7E54">
              <w:rPr>
                <w:sz w:val="16"/>
                <w:szCs w:val="16"/>
              </w:rPr>
              <w:t>(i) an interventional cardiologist;</w:t>
            </w:r>
          </w:p>
          <w:p w14:paraId="7BAAA8DC" w14:textId="77777777" w:rsidR="00C675B9" w:rsidRPr="004D7E54" w:rsidRDefault="00C675B9" w:rsidP="0009246B">
            <w:pPr>
              <w:pStyle w:val="Tabletext0"/>
              <w:spacing w:before="0"/>
              <w:ind w:left="567"/>
              <w:rPr>
                <w:sz w:val="16"/>
                <w:szCs w:val="16"/>
              </w:rPr>
            </w:pPr>
            <w:r w:rsidRPr="004D7E54">
              <w:rPr>
                <w:sz w:val="16"/>
                <w:szCs w:val="16"/>
              </w:rPr>
              <w:t>(ii) a specialist or consultant physician;</w:t>
            </w:r>
          </w:p>
          <w:p w14:paraId="5D1D0239" w14:textId="77777777" w:rsidR="00C675B9" w:rsidRPr="004D7E54" w:rsidRDefault="00C675B9" w:rsidP="0009246B">
            <w:pPr>
              <w:pStyle w:val="Tabletext0"/>
              <w:spacing w:before="0"/>
              <w:ind w:left="567"/>
              <w:rPr>
                <w:sz w:val="16"/>
                <w:szCs w:val="16"/>
              </w:rPr>
            </w:pPr>
            <w:r w:rsidRPr="004D7E54">
              <w:rPr>
                <w:sz w:val="16"/>
                <w:szCs w:val="16"/>
              </w:rPr>
              <w:t>(iii) for items 38314 and 38323—a cardiothoracic surgeon;</w:t>
            </w:r>
          </w:p>
          <w:p w14:paraId="3CEB19C0" w14:textId="77777777" w:rsidR="00C675B9" w:rsidRPr="004D7E54" w:rsidRDefault="00C675B9" w:rsidP="0009246B">
            <w:pPr>
              <w:pStyle w:val="Tabletext0"/>
              <w:spacing w:before="0"/>
              <w:ind w:left="567"/>
              <w:rPr>
                <w:sz w:val="16"/>
                <w:szCs w:val="16"/>
              </w:rPr>
            </w:pPr>
            <w:r w:rsidRPr="004D7E54">
              <w:rPr>
                <w:sz w:val="16"/>
                <w:szCs w:val="16"/>
              </w:rPr>
              <w:t>(iv) for items 38311, 38313, 38320 and 38322—a cardiothoracic surgeon or a non-interventional cardiologist; and</w:t>
            </w:r>
          </w:p>
          <w:p w14:paraId="2247BACF" w14:textId="77777777" w:rsidR="00C675B9" w:rsidRPr="004D7E54" w:rsidRDefault="00C675B9" w:rsidP="0009246B">
            <w:pPr>
              <w:pStyle w:val="Tabletext0"/>
              <w:spacing w:before="0"/>
              <w:ind w:left="284"/>
              <w:rPr>
                <w:sz w:val="16"/>
                <w:szCs w:val="16"/>
              </w:rPr>
            </w:pPr>
            <w:r w:rsidRPr="004D7E54">
              <w:rPr>
                <w:sz w:val="16"/>
                <w:szCs w:val="16"/>
              </w:rPr>
              <w:t>(b) the team must:</w:t>
            </w:r>
          </w:p>
          <w:p w14:paraId="34D66BCB" w14:textId="77777777" w:rsidR="00C675B9" w:rsidRPr="004D7E54" w:rsidRDefault="00C675B9" w:rsidP="0009246B">
            <w:pPr>
              <w:pStyle w:val="Tabletext0"/>
              <w:spacing w:before="0"/>
              <w:ind w:left="567"/>
              <w:rPr>
                <w:sz w:val="16"/>
                <w:szCs w:val="16"/>
              </w:rPr>
            </w:pPr>
            <w:r w:rsidRPr="004D7E54">
              <w:rPr>
                <w:sz w:val="16"/>
                <w:szCs w:val="16"/>
              </w:rPr>
              <w:t>(i) assess the patient’s risk and technical suitability to receive the service; and</w:t>
            </w:r>
          </w:p>
          <w:p w14:paraId="20F2275C" w14:textId="77777777" w:rsidR="00C675B9" w:rsidRPr="004D7E54" w:rsidRDefault="00C675B9" w:rsidP="0009246B">
            <w:pPr>
              <w:pStyle w:val="Tabletext0"/>
              <w:spacing w:before="0"/>
              <w:ind w:left="567"/>
              <w:rPr>
                <w:sz w:val="16"/>
                <w:szCs w:val="16"/>
              </w:rPr>
            </w:pPr>
            <w:r w:rsidRPr="004D7E54">
              <w:rPr>
                <w:sz w:val="16"/>
                <w:szCs w:val="16"/>
              </w:rPr>
              <w:t>(ii) make a recommendation about whether or not the patient is suitable for percutaneous coronary intervention; and</w:t>
            </w:r>
          </w:p>
          <w:p w14:paraId="04DCBB62" w14:textId="77777777" w:rsidR="00C675B9" w:rsidRPr="004D7E54" w:rsidRDefault="00C675B9" w:rsidP="0009246B">
            <w:pPr>
              <w:pStyle w:val="Tabletext0"/>
              <w:spacing w:before="0"/>
              <w:ind w:left="284"/>
              <w:rPr>
                <w:sz w:val="16"/>
                <w:szCs w:val="16"/>
              </w:rPr>
            </w:pPr>
            <w:r w:rsidRPr="004D7E54">
              <w:rPr>
                <w:sz w:val="16"/>
                <w:szCs w:val="16"/>
              </w:rPr>
              <w:t>(c) a record of the conference must be created, and must include the following:</w:t>
            </w:r>
          </w:p>
          <w:p w14:paraId="230D529B" w14:textId="77777777" w:rsidR="00C675B9" w:rsidRPr="004D7E54" w:rsidRDefault="00C675B9" w:rsidP="0009246B">
            <w:pPr>
              <w:pStyle w:val="Tabletext0"/>
              <w:spacing w:before="0"/>
              <w:ind w:left="567"/>
              <w:rPr>
                <w:sz w:val="16"/>
                <w:szCs w:val="16"/>
              </w:rPr>
            </w:pPr>
            <w:r w:rsidRPr="004D7E54">
              <w:rPr>
                <w:sz w:val="16"/>
                <w:szCs w:val="16"/>
              </w:rPr>
              <w:t>(i) the particulars of the assessment of the patient during the conference;</w:t>
            </w:r>
          </w:p>
          <w:p w14:paraId="5126BA08" w14:textId="77777777" w:rsidR="00C675B9" w:rsidRPr="004D7E54" w:rsidRDefault="00C675B9" w:rsidP="0009246B">
            <w:pPr>
              <w:pStyle w:val="Tabletext0"/>
              <w:spacing w:before="0"/>
              <w:ind w:left="567"/>
              <w:rPr>
                <w:sz w:val="16"/>
                <w:szCs w:val="16"/>
              </w:rPr>
            </w:pPr>
            <w:r w:rsidRPr="004D7E54">
              <w:rPr>
                <w:sz w:val="16"/>
                <w:szCs w:val="16"/>
              </w:rPr>
              <w:t>(ii) the recommendations made as a result of the conference;</w:t>
            </w:r>
          </w:p>
          <w:p w14:paraId="55BBA7D0" w14:textId="77777777" w:rsidR="00C675B9" w:rsidRPr="004D7E54" w:rsidRDefault="00C675B9" w:rsidP="0009246B">
            <w:pPr>
              <w:pStyle w:val="Tabletext0"/>
              <w:spacing w:before="0"/>
              <w:ind w:left="567"/>
              <w:rPr>
                <w:sz w:val="16"/>
                <w:szCs w:val="16"/>
              </w:rPr>
            </w:pPr>
            <w:r w:rsidRPr="004D7E54">
              <w:rPr>
                <w:sz w:val="16"/>
                <w:szCs w:val="16"/>
              </w:rPr>
              <w:t>(iii) the names of the members of the team making the recommendations.</w:t>
            </w:r>
          </w:p>
          <w:p w14:paraId="1B21A76A" w14:textId="77777777" w:rsidR="00C675B9" w:rsidRPr="004D7E54" w:rsidRDefault="00C675B9" w:rsidP="0009246B">
            <w:pPr>
              <w:pStyle w:val="Tabletext0"/>
              <w:spacing w:before="0"/>
              <w:rPr>
                <w:sz w:val="16"/>
                <w:szCs w:val="16"/>
              </w:rPr>
            </w:pPr>
          </w:p>
          <w:p w14:paraId="7520409B" w14:textId="77777777" w:rsidR="00C675B9" w:rsidRPr="004D7E54" w:rsidRDefault="00C675B9" w:rsidP="0009246B">
            <w:pPr>
              <w:pStyle w:val="Tabletext0"/>
              <w:spacing w:before="0"/>
              <w:rPr>
                <w:sz w:val="16"/>
                <w:szCs w:val="16"/>
              </w:rPr>
            </w:pPr>
            <w:r w:rsidRPr="004D7E54">
              <w:rPr>
                <w:sz w:val="16"/>
                <w:szCs w:val="16"/>
              </w:rPr>
              <w:t xml:space="preserve">Related Items: </w:t>
            </w:r>
            <w:r w:rsidRPr="004D7E54">
              <w:rPr>
                <w:b/>
                <w:bCs/>
                <w:sz w:val="16"/>
                <w:szCs w:val="16"/>
              </w:rPr>
              <w:t>38311  38313  38314  38320  38322  38323</w:t>
            </w:r>
          </w:p>
        </w:tc>
      </w:tr>
      <w:tr w:rsidR="00C61885" w:rsidRPr="0024559A" w14:paraId="0654225D" w14:textId="77777777" w:rsidTr="0009246B">
        <w:tc>
          <w:tcPr>
            <w:tcW w:w="9016" w:type="dxa"/>
          </w:tcPr>
          <w:p w14:paraId="65C282A2" w14:textId="77777777" w:rsidR="00C61885" w:rsidRPr="004D7E54" w:rsidRDefault="00C61885" w:rsidP="0009246B">
            <w:pPr>
              <w:pStyle w:val="Tabletext0"/>
              <w:spacing w:before="120"/>
              <w:rPr>
                <w:b/>
                <w:bCs/>
                <w:sz w:val="16"/>
                <w:szCs w:val="16"/>
                <w:u w:val="single"/>
              </w:rPr>
            </w:pPr>
            <w:r w:rsidRPr="004D7E54">
              <w:rPr>
                <w:b/>
                <w:bCs/>
                <w:sz w:val="16"/>
                <w:szCs w:val="16"/>
                <w:u w:val="single"/>
              </w:rPr>
              <w:t>TN.8.222</w:t>
            </w:r>
          </w:p>
          <w:p w14:paraId="77168810" w14:textId="77777777" w:rsidR="00C61885" w:rsidRPr="004D7E54" w:rsidRDefault="00C61885" w:rsidP="00C61885">
            <w:pPr>
              <w:pStyle w:val="Tabletext0"/>
              <w:spacing w:before="120"/>
              <w:jc w:val="center"/>
              <w:rPr>
                <w:b/>
                <w:bCs/>
                <w:sz w:val="16"/>
                <w:szCs w:val="16"/>
              </w:rPr>
            </w:pPr>
            <w:r w:rsidRPr="004D7E54">
              <w:rPr>
                <w:b/>
                <w:bCs/>
                <w:sz w:val="16"/>
                <w:szCs w:val="16"/>
              </w:rPr>
              <w:t>Indications for Percutaneous transluminal coronary rotational atherectomy</w:t>
            </w:r>
          </w:p>
          <w:p w14:paraId="6DD28C8F" w14:textId="77777777" w:rsidR="00C61885" w:rsidRPr="004D7E54" w:rsidRDefault="00C61885" w:rsidP="00C61885">
            <w:pPr>
              <w:pStyle w:val="Tabletext0"/>
              <w:rPr>
                <w:sz w:val="16"/>
                <w:szCs w:val="16"/>
              </w:rPr>
            </w:pPr>
            <w:r w:rsidRPr="004D7E54">
              <w:rPr>
                <w:sz w:val="16"/>
                <w:szCs w:val="16"/>
              </w:rPr>
              <w:t>Percutaneous transluminal coronary rotational atherectomy is suitable for revascularisation of stenoses in heavily calcified coronary arteries in the absence of significant lesion angulation or vessel tortuosity in patients for whom coronary artery bypass graft surgery is not indicated.</w:t>
            </w:r>
          </w:p>
          <w:p w14:paraId="784A1818" w14:textId="77777777" w:rsidR="00C61885" w:rsidRPr="004D7E54" w:rsidRDefault="00C61885" w:rsidP="00C61885">
            <w:pPr>
              <w:pStyle w:val="Tabletext0"/>
              <w:spacing w:before="120"/>
              <w:rPr>
                <w:sz w:val="16"/>
                <w:szCs w:val="16"/>
              </w:rPr>
            </w:pPr>
            <w:r w:rsidRPr="004D7E54">
              <w:rPr>
                <w:sz w:val="16"/>
                <w:szCs w:val="16"/>
              </w:rPr>
              <w:t>Item 38309 describes an episode of care and can only be claimed once in a single episode.</w:t>
            </w:r>
          </w:p>
          <w:p w14:paraId="73A6AB2C" w14:textId="77777777" w:rsidR="00C61885" w:rsidRPr="004D7E54" w:rsidRDefault="00C61885" w:rsidP="00C61885">
            <w:pPr>
              <w:pStyle w:val="Tabletext0"/>
              <w:spacing w:before="0"/>
              <w:rPr>
                <w:sz w:val="16"/>
                <w:szCs w:val="16"/>
              </w:rPr>
            </w:pPr>
          </w:p>
          <w:p w14:paraId="0AEECDA6" w14:textId="51F0474B" w:rsidR="00C61885" w:rsidRPr="004D7E54" w:rsidRDefault="00C61885" w:rsidP="00C61885">
            <w:pPr>
              <w:pStyle w:val="Tabletext0"/>
              <w:spacing w:before="120"/>
              <w:rPr>
                <w:sz w:val="16"/>
                <w:szCs w:val="16"/>
              </w:rPr>
            </w:pPr>
            <w:r w:rsidRPr="004D7E54">
              <w:rPr>
                <w:sz w:val="16"/>
                <w:szCs w:val="16"/>
              </w:rPr>
              <w:t xml:space="preserve">Related Items: </w:t>
            </w:r>
            <w:r w:rsidRPr="004D7E54">
              <w:rPr>
                <w:b/>
                <w:bCs/>
                <w:sz w:val="16"/>
                <w:szCs w:val="16"/>
              </w:rPr>
              <w:t>38309</w:t>
            </w:r>
          </w:p>
        </w:tc>
      </w:tr>
    </w:tbl>
    <w:p w14:paraId="33D7C016" w14:textId="12ACF066" w:rsidR="00C675B9" w:rsidRDefault="00C675B9" w:rsidP="00132301">
      <w:pPr>
        <w:pStyle w:val="TableFigNoteLast"/>
        <w:spacing w:before="0" w:after="240"/>
      </w:pPr>
    </w:p>
    <w:p w14:paraId="0F8F4243" w14:textId="1922B814" w:rsidR="001253A0" w:rsidRDefault="001253A0" w:rsidP="001253A0">
      <w:pPr>
        <w:pStyle w:val="Heading3"/>
      </w:pPr>
      <w:r>
        <w:lastRenderedPageBreak/>
        <w:t>Explanatory notes with staging rules and disease definitions</w:t>
      </w:r>
    </w:p>
    <w:tbl>
      <w:tblPr>
        <w:tblStyle w:val="TableGrid"/>
        <w:tblW w:w="0" w:type="auto"/>
        <w:tblLook w:val="04A0" w:firstRow="1" w:lastRow="0" w:firstColumn="1" w:lastColumn="0" w:noHBand="0" w:noVBand="1"/>
      </w:tblPr>
      <w:tblGrid>
        <w:gridCol w:w="9016"/>
      </w:tblGrid>
      <w:tr w:rsidR="001253A0" w:rsidRPr="005811E8" w14:paraId="22F53404" w14:textId="77777777" w:rsidTr="0009246B">
        <w:tc>
          <w:tcPr>
            <w:tcW w:w="9016" w:type="dxa"/>
          </w:tcPr>
          <w:p w14:paraId="29FB2633" w14:textId="77777777" w:rsidR="001253A0" w:rsidRPr="00BB2E61" w:rsidRDefault="001253A0" w:rsidP="0009246B">
            <w:pPr>
              <w:pStyle w:val="Tabletext0"/>
              <w:keepNext/>
              <w:jc w:val="right"/>
              <w:rPr>
                <w:rFonts w:eastAsiaTheme="minorHAnsi"/>
                <w:b/>
                <w:bCs/>
                <w:sz w:val="16"/>
                <w:szCs w:val="16"/>
              </w:rPr>
            </w:pPr>
            <w:r w:rsidRPr="00BB2E61">
              <w:rPr>
                <w:rFonts w:eastAsiaTheme="minorHAnsi"/>
                <w:b/>
                <w:bCs/>
                <w:sz w:val="16"/>
                <w:szCs w:val="16"/>
              </w:rPr>
              <w:t>Category 3 – THERAPEUTIC PROCEDURES</w:t>
            </w:r>
          </w:p>
        </w:tc>
      </w:tr>
      <w:tr w:rsidR="001253A0" w:rsidRPr="005811E8" w14:paraId="6336F916" w14:textId="77777777" w:rsidTr="0009246B">
        <w:tc>
          <w:tcPr>
            <w:tcW w:w="9016" w:type="dxa"/>
          </w:tcPr>
          <w:p w14:paraId="33D94DDA" w14:textId="77777777" w:rsidR="001253A0" w:rsidRPr="00132301" w:rsidRDefault="001253A0" w:rsidP="00F03488">
            <w:pPr>
              <w:pStyle w:val="Tabletext0"/>
              <w:keepNext/>
              <w:spacing w:before="120"/>
              <w:rPr>
                <w:rFonts w:eastAsiaTheme="minorHAnsi"/>
                <w:b/>
                <w:bCs/>
                <w:sz w:val="16"/>
                <w:szCs w:val="16"/>
                <w:u w:val="single"/>
              </w:rPr>
            </w:pPr>
            <w:r w:rsidRPr="00132301">
              <w:rPr>
                <w:rFonts w:eastAsiaTheme="minorHAnsi"/>
                <w:b/>
                <w:bCs/>
                <w:sz w:val="16"/>
                <w:szCs w:val="16"/>
                <w:u w:val="single"/>
              </w:rPr>
              <w:t>TN.8.217</w:t>
            </w:r>
          </w:p>
          <w:p w14:paraId="328C7A37" w14:textId="77777777" w:rsidR="001253A0" w:rsidRPr="00132301" w:rsidRDefault="001253A0" w:rsidP="00F03488">
            <w:pPr>
              <w:pStyle w:val="Tabletext0"/>
              <w:keepNext/>
              <w:spacing w:before="0"/>
              <w:jc w:val="center"/>
              <w:rPr>
                <w:rFonts w:eastAsiaTheme="minorHAnsi"/>
                <w:b/>
                <w:bCs/>
                <w:sz w:val="16"/>
                <w:szCs w:val="16"/>
              </w:rPr>
            </w:pPr>
            <w:r w:rsidRPr="00132301">
              <w:rPr>
                <w:rFonts w:eastAsiaTheme="minorHAnsi"/>
                <w:b/>
                <w:bCs/>
                <w:sz w:val="16"/>
                <w:szCs w:val="16"/>
              </w:rPr>
              <w:t>Staging rules for PCI for acute</w:t>
            </w:r>
          </w:p>
          <w:p w14:paraId="52395789" w14:textId="77777777" w:rsidR="001253A0" w:rsidRPr="00132301" w:rsidRDefault="001253A0" w:rsidP="00F03488">
            <w:pPr>
              <w:pStyle w:val="Tabletext0"/>
              <w:keepNext/>
              <w:spacing w:before="0"/>
              <w:ind w:firstLine="22"/>
              <w:rPr>
                <w:b/>
                <w:bCs/>
                <w:sz w:val="16"/>
                <w:szCs w:val="16"/>
              </w:rPr>
            </w:pPr>
            <w:r w:rsidRPr="00132301">
              <w:rPr>
                <w:b/>
                <w:bCs/>
                <w:sz w:val="16"/>
                <w:szCs w:val="16"/>
              </w:rPr>
              <w:t>Staging</w:t>
            </w:r>
          </w:p>
          <w:p w14:paraId="7CE00E83" w14:textId="77777777" w:rsidR="001253A0" w:rsidRPr="00132301" w:rsidRDefault="001253A0" w:rsidP="00D83DA2">
            <w:pPr>
              <w:pStyle w:val="Tabletext0"/>
              <w:keepNext/>
              <w:numPr>
                <w:ilvl w:val="0"/>
                <w:numId w:val="12"/>
              </w:numPr>
              <w:spacing w:before="0"/>
              <w:ind w:left="567" w:right="113" w:hanging="207"/>
              <w:jc w:val="left"/>
              <w:rPr>
                <w:sz w:val="16"/>
                <w:szCs w:val="16"/>
              </w:rPr>
            </w:pPr>
            <w:r w:rsidRPr="00132301">
              <w:rPr>
                <w:sz w:val="16"/>
                <w:szCs w:val="16"/>
              </w:rPr>
              <w:t>If a staged procedure is appropriately performed over multiple days, items 38316, 38317 or 38319 must be used for subsequent stages.</w:t>
            </w:r>
          </w:p>
          <w:p w14:paraId="3A99BF6F" w14:textId="77777777" w:rsidR="001253A0" w:rsidRPr="00132301" w:rsidRDefault="001253A0" w:rsidP="00D83DA2">
            <w:pPr>
              <w:pStyle w:val="Tabletext0"/>
              <w:keepNext/>
              <w:numPr>
                <w:ilvl w:val="0"/>
                <w:numId w:val="12"/>
              </w:numPr>
              <w:spacing w:before="0"/>
              <w:ind w:left="567" w:right="113" w:hanging="207"/>
              <w:jc w:val="left"/>
              <w:rPr>
                <w:sz w:val="16"/>
                <w:szCs w:val="16"/>
              </w:rPr>
            </w:pPr>
            <w:r w:rsidRPr="00132301">
              <w:rPr>
                <w:sz w:val="16"/>
                <w:szCs w:val="16"/>
              </w:rPr>
              <w:t>For subsequent stages of an acute percutaneous coronary intervention completed up to 3 months after the initial procedure, it is expected that the patient would receive the subsequent stage/s of the intervention based on the qualifying indication for the initial procedure</w:t>
            </w:r>
          </w:p>
          <w:p w14:paraId="3751EB4D" w14:textId="77777777" w:rsidR="001253A0" w:rsidRPr="00132301" w:rsidRDefault="001253A0" w:rsidP="00F03488">
            <w:pPr>
              <w:pStyle w:val="Tabletext0"/>
              <w:keepNext/>
              <w:spacing w:before="0"/>
              <w:ind w:firstLine="22"/>
              <w:rPr>
                <w:sz w:val="16"/>
                <w:szCs w:val="16"/>
              </w:rPr>
            </w:pPr>
          </w:p>
          <w:p w14:paraId="5CBCCAFA" w14:textId="77777777" w:rsidR="001253A0" w:rsidRPr="00132301" w:rsidRDefault="001253A0" w:rsidP="00F03488">
            <w:pPr>
              <w:pStyle w:val="Tabletext0"/>
              <w:keepNext/>
              <w:spacing w:before="0"/>
              <w:ind w:firstLine="22"/>
              <w:rPr>
                <w:b/>
                <w:bCs/>
                <w:sz w:val="16"/>
                <w:szCs w:val="16"/>
              </w:rPr>
            </w:pPr>
            <w:r w:rsidRPr="00132301">
              <w:rPr>
                <w:b/>
                <w:bCs/>
                <w:sz w:val="16"/>
                <w:szCs w:val="16"/>
              </w:rPr>
              <w:t>Vascular Territories</w:t>
            </w:r>
          </w:p>
          <w:p w14:paraId="51C3C923" w14:textId="77777777" w:rsidR="001253A0" w:rsidRPr="00132301" w:rsidRDefault="001253A0" w:rsidP="00D83DA2">
            <w:pPr>
              <w:pStyle w:val="Tabletext0"/>
              <w:keepNext/>
              <w:numPr>
                <w:ilvl w:val="0"/>
                <w:numId w:val="12"/>
              </w:numPr>
              <w:spacing w:before="0"/>
              <w:ind w:left="567" w:right="113" w:hanging="207"/>
              <w:jc w:val="left"/>
              <w:rPr>
                <w:sz w:val="16"/>
                <w:szCs w:val="16"/>
              </w:rPr>
            </w:pPr>
            <w:r w:rsidRPr="00132301">
              <w:rPr>
                <w:sz w:val="16"/>
                <w:szCs w:val="16"/>
              </w:rPr>
              <w:t>The item number claimed should reflect the number of coronary vascular territories (Left Anterior Descending, Circumflex or Right Coronary Artery distribution) that are treated during the procedure, not the total number of treated territories the patient has received to date.</w:t>
            </w:r>
          </w:p>
          <w:p w14:paraId="5F082844" w14:textId="77777777" w:rsidR="001253A0" w:rsidRPr="00132301" w:rsidRDefault="001253A0" w:rsidP="00D83DA2">
            <w:pPr>
              <w:pStyle w:val="Tabletext0"/>
              <w:keepNext/>
              <w:numPr>
                <w:ilvl w:val="0"/>
                <w:numId w:val="12"/>
              </w:numPr>
              <w:spacing w:before="0"/>
              <w:ind w:left="567" w:right="113" w:hanging="207"/>
              <w:jc w:val="left"/>
              <w:rPr>
                <w:sz w:val="16"/>
                <w:szCs w:val="16"/>
              </w:rPr>
            </w:pPr>
            <w:r w:rsidRPr="00132301">
              <w:rPr>
                <w:sz w:val="16"/>
                <w:szCs w:val="16"/>
              </w:rPr>
              <w:t>For isolated Left Main (no involvement of the bifurcation), a single territory should be claimed but if the treated segment involves the bifurcation then 2 territories should be claimed.</w:t>
            </w:r>
          </w:p>
          <w:p w14:paraId="56FDAFC3" w14:textId="77777777" w:rsidR="001253A0" w:rsidRPr="00132301" w:rsidRDefault="001253A0" w:rsidP="00D83DA2">
            <w:pPr>
              <w:pStyle w:val="Tabletext0"/>
              <w:keepNext/>
              <w:numPr>
                <w:ilvl w:val="0"/>
                <w:numId w:val="12"/>
              </w:numPr>
              <w:spacing w:before="0"/>
              <w:ind w:left="567" w:right="113" w:hanging="207"/>
              <w:jc w:val="left"/>
              <w:rPr>
                <w:sz w:val="16"/>
                <w:szCs w:val="16"/>
              </w:rPr>
            </w:pPr>
            <w:r w:rsidRPr="00132301">
              <w:rPr>
                <w:sz w:val="16"/>
                <w:szCs w:val="16"/>
              </w:rPr>
              <w:t>The Intermediate Artery when treated in isolation is single territory, when treated with the Left Anterior Descending or Circumflex or both, should be claimed as two territories.</w:t>
            </w:r>
          </w:p>
          <w:p w14:paraId="5D4CBDBB" w14:textId="77777777" w:rsidR="001253A0" w:rsidRPr="00132301" w:rsidRDefault="001253A0" w:rsidP="00D83DA2">
            <w:pPr>
              <w:pStyle w:val="Tabletext0"/>
              <w:keepNext/>
              <w:numPr>
                <w:ilvl w:val="0"/>
                <w:numId w:val="12"/>
              </w:numPr>
              <w:spacing w:before="0"/>
              <w:ind w:left="567" w:right="113" w:hanging="207"/>
              <w:jc w:val="left"/>
              <w:rPr>
                <w:sz w:val="16"/>
                <w:szCs w:val="16"/>
              </w:rPr>
            </w:pPr>
            <w:r w:rsidRPr="00132301">
              <w:rPr>
                <w:sz w:val="16"/>
                <w:szCs w:val="16"/>
              </w:rPr>
              <w:t>A single lesion in a bypass graft should be claimed as single territory regardless of how many vascular territories are supplied by that graft. If the graft has multiple lesions and those lesions are in separate skip portions to a different territory, then an additional territory may be claimed.</w:t>
            </w:r>
          </w:p>
          <w:p w14:paraId="64178C5E" w14:textId="77777777" w:rsidR="001253A0" w:rsidRPr="00132301" w:rsidRDefault="001253A0" w:rsidP="00F03488">
            <w:pPr>
              <w:pStyle w:val="Tabletext0"/>
              <w:keepNext/>
              <w:spacing w:before="0"/>
              <w:rPr>
                <w:sz w:val="16"/>
                <w:szCs w:val="16"/>
              </w:rPr>
            </w:pPr>
          </w:p>
          <w:p w14:paraId="7670DF64" w14:textId="77777777" w:rsidR="001253A0" w:rsidRPr="00132301" w:rsidRDefault="001253A0" w:rsidP="00F03488">
            <w:pPr>
              <w:pStyle w:val="Tabletext0"/>
              <w:keepNext/>
              <w:spacing w:before="0"/>
              <w:ind w:firstLine="22"/>
              <w:rPr>
                <w:sz w:val="16"/>
                <w:szCs w:val="16"/>
              </w:rPr>
            </w:pPr>
            <w:r w:rsidRPr="00132301">
              <w:rPr>
                <w:sz w:val="16"/>
                <w:szCs w:val="16"/>
              </w:rPr>
              <w:t xml:space="preserve">Related Items: </w:t>
            </w:r>
            <w:r w:rsidRPr="00132301">
              <w:rPr>
                <w:b/>
                <w:bCs/>
                <w:sz w:val="16"/>
                <w:szCs w:val="16"/>
              </w:rPr>
              <w:t>38307  38308  38310  38316  38317  38319</w:t>
            </w:r>
          </w:p>
        </w:tc>
      </w:tr>
      <w:tr w:rsidR="001253A0" w:rsidRPr="005811E8" w14:paraId="3B8B52B3" w14:textId="77777777" w:rsidTr="0009246B">
        <w:tc>
          <w:tcPr>
            <w:tcW w:w="9016" w:type="dxa"/>
          </w:tcPr>
          <w:p w14:paraId="4EFEA146" w14:textId="77777777" w:rsidR="001253A0" w:rsidRPr="00132301" w:rsidRDefault="001253A0" w:rsidP="0009246B">
            <w:pPr>
              <w:pStyle w:val="Tabletext0"/>
              <w:spacing w:before="120"/>
              <w:rPr>
                <w:rFonts w:eastAsiaTheme="minorHAnsi"/>
                <w:b/>
                <w:bCs/>
                <w:sz w:val="16"/>
                <w:szCs w:val="16"/>
                <w:u w:val="single"/>
              </w:rPr>
            </w:pPr>
            <w:r w:rsidRPr="00132301">
              <w:rPr>
                <w:rFonts w:eastAsiaTheme="minorHAnsi"/>
                <w:b/>
                <w:bCs/>
                <w:sz w:val="16"/>
                <w:szCs w:val="16"/>
                <w:u w:val="single"/>
              </w:rPr>
              <w:t>TN.8.218</w:t>
            </w:r>
          </w:p>
          <w:p w14:paraId="197DE3EE" w14:textId="77777777" w:rsidR="001253A0" w:rsidRPr="00132301" w:rsidRDefault="001253A0" w:rsidP="0009246B">
            <w:pPr>
              <w:pStyle w:val="Tabletext0"/>
              <w:spacing w:before="0"/>
              <w:jc w:val="center"/>
              <w:rPr>
                <w:rFonts w:eastAsiaTheme="minorHAnsi"/>
                <w:b/>
                <w:bCs/>
                <w:sz w:val="16"/>
                <w:szCs w:val="16"/>
              </w:rPr>
            </w:pPr>
            <w:r w:rsidRPr="00132301">
              <w:rPr>
                <w:rFonts w:eastAsiaTheme="minorHAnsi"/>
                <w:b/>
                <w:bCs/>
                <w:sz w:val="16"/>
                <w:szCs w:val="16"/>
              </w:rPr>
              <w:t>Percutaneous Coronary Intervention (PCI) for stable patients</w:t>
            </w:r>
          </w:p>
          <w:p w14:paraId="0D9DF1B6" w14:textId="77777777" w:rsidR="001253A0" w:rsidRPr="00132301" w:rsidRDefault="001253A0" w:rsidP="0009246B">
            <w:pPr>
              <w:pStyle w:val="Tabletext0"/>
              <w:spacing w:before="0"/>
              <w:ind w:firstLine="22"/>
              <w:rPr>
                <w:b/>
                <w:bCs/>
                <w:sz w:val="16"/>
                <w:szCs w:val="16"/>
              </w:rPr>
            </w:pPr>
            <w:r w:rsidRPr="00132301">
              <w:rPr>
                <w:b/>
                <w:bCs/>
                <w:sz w:val="16"/>
                <w:szCs w:val="16"/>
              </w:rPr>
              <w:t>Stable Angina or Angina Equivalent</w:t>
            </w:r>
          </w:p>
          <w:p w14:paraId="7F4E9B32"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Stable angina or angina equivalent includes chest pain, chest discomfort and/or shortness of breath due to myocardial ischaemia.</w:t>
            </w:r>
          </w:p>
          <w:p w14:paraId="05A4C354"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Limiting angina includes patients with symptoms that are Canadian Cardiovascular Society (CCS) class II, III or IV.</w:t>
            </w:r>
          </w:p>
          <w:p w14:paraId="1CE6323A" w14:textId="77777777" w:rsidR="001253A0" w:rsidRPr="00132301" w:rsidRDefault="001253A0" w:rsidP="0009246B">
            <w:pPr>
              <w:pStyle w:val="Tabletext0"/>
              <w:spacing w:before="0"/>
              <w:ind w:firstLine="22"/>
              <w:rPr>
                <w:sz w:val="16"/>
                <w:szCs w:val="16"/>
              </w:rPr>
            </w:pPr>
          </w:p>
          <w:p w14:paraId="4621A433" w14:textId="77777777" w:rsidR="001253A0" w:rsidRPr="00132301" w:rsidRDefault="001253A0" w:rsidP="0009246B">
            <w:pPr>
              <w:pStyle w:val="Tabletext0"/>
              <w:spacing w:before="0"/>
              <w:ind w:firstLine="22"/>
              <w:rPr>
                <w:b/>
                <w:bCs/>
                <w:sz w:val="16"/>
                <w:szCs w:val="16"/>
              </w:rPr>
            </w:pPr>
            <w:r w:rsidRPr="00132301">
              <w:rPr>
                <w:b/>
                <w:bCs/>
                <w:sz w:val="16"/>
                <w:szCs w:val="16"/>
              </w:rPr>
              <w:t>Staging</w:t>
            </w:r>
          </w:p>
          <w:p w14:paraId="13A51D29" w14:textId="77777777" w:rsidR="001253A0" w:rsidRPr="00132301" w:rsidRDefault="001253A0" w:rsidP="00D83DA2">
            <w:pPr>
              <w:pStyle w:val="Tabletext0"/>
              <w:numPr>
                <w:ilvl w:val="0"/>
                <w:numId w:val="12"/>
              </w:numPr>
              <w:spacing w:before="0"/>
              <w:ind w:right="113"/>
              <w:jc w:val="left"/>
              <w:rPr>
                <w:sz w:val="16"/>
                <w:szCs w:val="16"/>
              </w:rPr>
            </w:pPr>
            <w:r w:rsidRPr="00132301">
              <w:rPr>
                <w:sz w:val="16"/>
                <w:szCs w:val="16"/>
              </w:rPr>
              <w:t>If a staged procedure is appropriately performed over multiple days, items 38320, 38322 or 38323 should be used for subsequent stages.</w:t>
            </w:r>
          </w:p>
          <w:p w14:paraId="405C5F33" w14:textId="77777777" w:rsidR="001253A0" w:rsidRPr="00132301" w:rsidRDefault="001253A0" w:rsidP="00D83DA2">
            <w:pPr>
              <w:pStyle w:val="Tabletext0"/>
              <w:numPr>
                <w:ilvl w:val="0"/>
                <w:numId w:val="12"/>
              </w:numPr>
              <w:spacing w:before="0"/>
              <w:ind w:right="113"/>
              <w:jc w:val="left"/>
              <w:rPr>
                <w:sz w:val="16"/>
                <w:szCs w:val="16"/>
              </w:rPr>
            </w:pPr>
            <w:r w:rsidRPr="00132301">
              <w:rPr>
                <w:sz w:val="16"/>
                <w:szCs w:val="16"/>
              </w:rPr>
              <w:t>For subsequent stages of a stable percutaneous coronary intervention completed up to 3 months after the initial procedure, it is expected that the patient would receive the subsequent stage/s of the intervention based on the qualifying indication for the initial procedure</w:t>
            </w:r>
          </w:p>
          <w:p w14:paraId="32BCEEEF" w14:textId="77777777" w:rsidR="001253A0" w:rsidRPr="00132301" w:rsidRDefault="001253A0" w:rsidP="0009246B">
            <w:pPr>
              <w:pStyle w:val="Tabletext0"/>
              <w:spacing w:before="0"/>
              <w:ind w:firstLine="22"/>
              <w:rPr>
                <w:sz w:val="16"/>
                <w:szCs w:val="16"/>
              </w:rPr>
            </w:pPr>
          </w:p>
          <w:p w14:paraId="152724A3" w14:textId="77777777" w:rsidR="001253A0" w:rsidRPr="00132301" w:rsidRDefault="001253A0" w:rsidP="0009246B">
            <w:pPr>
              <w:pStyle w:val="Tabletext0"/>
              <w:spacing w:before="0"/>
              <w:ind w:firstLine="22"/>
              <w:rPr>
                <w:b/>
                <w:bCs/>
                <w:sz w:val="16"/>
                <w:szCs w:val="16"/>
              </w:rPr>
            </w:pPr>
            <w:r w:rsidRPr="00132301">
              <w:rPr>
                <w:b/>
                <w:bCs/>
                <w:sz w:val="16"/>
                <w:szCs w:val="16"/>
              </w:rPr>
              <w:t>Coronary Vascular Territories</w:t>
            </w:r>
          </w:p>
          <w:p w14:paraId="19B54494"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The item number claimed should reflect the number of coronary vascular territories (Left Anterior Descending, Circumflex or Right Coronary Artery distribution) that are treated during the procedure, not the total number of treated territories the patient has received to date.</w:t>
            </w:r>
          </w:p>
          <w:p w14:paraId="5A14A08E"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The number of coronary vascular territory refers to any of the 3 major arteries (Left Anterior Descending, Circumflex or Right Coronary Artery) or their branches. The item number claimed should reflect the number of coronary vascular territories that are treated during the procedure, not the total number of diseased territories.</w:t>
            </w:r>
          </w:p>
          <w:p w14:paraId="646049AA"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For isolated Left Main (no involvement of the bifurcation), a single territory should be claimed but if the treated segment involves the bifurcation then 2 territories should be claimed.</w:t>
            </w:r>
          </w:p>
          <w:p w14:paraId="5CF6F60B"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The immediate artery when treated in isolation is considered a single territory, however when treated with the Left Anterior Descending or Circumflex or both, it can be claimed as two territories.</w:t>
            </w:r>
          </w:p>
          <w:p w14:paraId="0949E46F"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A single lesion in a bypass graft should be claimed as a single territory regardless of how many vascular territories are supplied by that graft. If the graft has multiple lesions and those lesions are in separate skip portions to a different territory, then an additional territory may be claimed.</w:t>
            </w:r>
          </w:p>
          <w:p w14:paraId="72CD2108" w14:textId="77777777" w:rsidR="001253A0" w:rsidRPr="00132301" w:rsidRDefault="001253A0" w:rsidP="0009246B">
            <w:pPr>
              <w:pStyle w:val="Tabletext0"/>
              <w:spacing w:before="0"/>
              <w:rPr>
                <w:sz w:val="16"/>
                <w:szCs w:val="16"/>
              </w:rPr>
            </w:pPr>
          </w:p>
          <w:p w14:paraId="42791E47" w14:textId="77777777" w:rsidR="001253A0" w:rsidRPr="00132301" w:rsidRDefault="001253A0" w:rsidP="0009246B">
            <w:pPr>
              <w:pStyle w:val="Tabletext0"/>
              <w:spacing w:before="0"/>
              <w:rPr>
                <w:rFonts w:eastAsiaTheme="minorHAnsi"/>
                <w:sz w:val="16"/>
                <w:szCs w:val="16"/>
              </w:rPr>
            </w:pPr>
            <w:r w:rsidRPr="00132301">
              <w:rPr>
                <w:sz w:val="16"/>
                <w:szCs w:val="16"/>
              </w:rPr>
              <w:t xml:space="preserve">Related Items: </w:t>
            </w:r>
            <w:r w:rsidRPr="00132301">
              <w:rPr>
                <w:b/>
                <w:bCs/>
                <w:sz w:val="16"/>
                <w:szCs w:val="16"/>
              </w:rPr>
              <w:t>38311  38313  38314  38320  38322  38323</w:t>
            </w:r>
          </w:p>
        </w:tc>
      </w:tr>
      <w:tr w:rsidR="001253A0" w:rsidRPr="005811E8" w14:paraId="66B0DFB2" w14:textId="77777777" w:rsidTr="0009246B">
        <w:tc>
          <w:tcPr>
            <w:tcW w:w="9016" w:type="dxa"/>
          </w:tcPr>
          <w:p w14:paraId="6AF06CC0" w14:textId="77777777" w:rsidR="001253A0" w:rsidRPr="00132301" w:rsidRDefault="001253A0" w:rsidP="00132301">
            <w:pPr>
              <w:pStyle w:val="Tabletext0"/>
              <w:spacing w:before="120"/>
              <w:rPr>
                <w:rFonts w:eastAsiaTheme="minorHAnsi"/>
                <w:b/>
                <w:bCs/>
                <w:sz w:val="16"/>
                <w:szCs w:val="16"/>
                <w:u w:val="single"/>
              </w:rPr>
            </w:pPr>
            <w:r w:rsidRPr="00132301">
              <w:rPr>
                <w:rFonts w:eastAsiaTheme="minorHAnsi"/>
                <w:b/>
                <w:bCs/>
                <w:sz w:val="16"/>
                <w:szCs w:val="16"/>
                <w:u w:val="single"/>
              </w:rPr>
              <w:t>TN.8.219</w:t>
            </w:r>
          </w:p>
          <w:p w14:paraId="2488E5C8" w14:textId="77777777" w:rsidR="001253A0" w:rsidRPr="00132301" w:rsidRDefault="001253A0" w:rsidP="00132301">
            <w:pPr>
              <w:pStyle w:val="Tabletext0"/>
              <w:spacing w:before="0"/>
              <w:jc w:val="center"/>
              <w:rPr>
                <w:rFonts w:eastAsiaTheme="minorHAnsi"/>
                <w:b/>
                <w:bCs/>
                <w:sz w:val="16"/>
                <w:szCs w:val="16"/>
              </w:rPr>
            </w:pPr>
            <w:r w:rsidRPr="00132301">
              <w:rPr>
                <w:rFonts w:eastAsiaTheme="minorHAnsi"/>
                <w:b/>
                <w:bCs/>
                <w:sz w:val="16"/>
                <w:szCs w:val="16"/>
              </w:rPr>
              <w:t>Complex coronary artery disease definition</w:t>
            </w:r>
          </w:p>
          <w:p w14:paraId="32E3F004" w14:textId="77777777" w:rsidR="001253A0" w:rsidRPr="00132301" w:rsidRDefault="001253A0" w:rsidP="00132301">
            <w:pPr>
              <w:pStyle w:val="Tabletext0"/>
              <w:spacing w:before="0"/>
              <w:ind w:firstLine="22"/>
              <w:rPr>
                <w:b/>
                <w:bCs/>
                <w:sz w:val="16"/>
                <w:szCs w:val="16"/>
              </w:rPr>
            </w:pPr>
            <w:r w:rsidRPr="00132301">
              <w:rPr>
                <w:b/>
                <w:bCs/>
                <w:sz w:val="16"/>
                <w:szCs w:val="16"/>
              </w:rPr>
              <w:t>Complex Coronary Artery Disease</w:t>
            </w:r>
          </w:p>
          <w:p w14:paraId="6D7B926E" w14:textId="77777777" w:rsidR="001253A0" w:rsidRPr="00132301" w:rsidRDefault="001253A0" w:rsidP="00132301">
            <w:pPr>
              <w:pStyle w:val="Tabletext0"/>
              <w:spacing w:before="0"/>
              <w:ind w:firstLine="22"/>
              <w:rPr>
                <w:sz w:val="16"/>
                <w:szCs w:val="16"/>
              </w:rPr>
            </w:pPr>
            <w:r w:rsidRPr="00132301">
              <w:rPr>
                <w:sz w:val="16"/>
                <w:szCs w:val="16"/>
              </w:rPr>
              <w:t>Complex coronary artery disease is defined as</w:t>
            </w:r>
          </w:p>
          <w:p w14:paraId="38AD8304" w14:textId="77777777" w:rsidR="001253A0" w:rsidRPr="00132301" w:rsidRDefault="001253A0" w:rsidP="00132301">
            <w:pPr>
              <w:pStyle w:val="Tabletext0"/>
              <w:spacing w:before="0"/>
              <w:ind w:firstLine="171"/>
              <w:rPr>
                <w:sz w:val="16"/>
                <w:szCs w:val="16"/>
              </w:rPr>
            </w:pPr>
            <w:r w:rsidRPr="00132301">
              <w:rPr>
                <w:sz w:val="16"/>
                <w:szCs w:val="16"/>
              </w:rPr>
              <w:t>a. a stenosis &gt;50% in the left main coronary artery; or</w:t>
            </w:r>
          </w:p>
          <w:p w14:paraId="7388106F" w14:textId="77777777" w:rsidR="001253A0" w:rsidRPr="00132301" w:rsidRDefault="001253A0" w:rsidP="00132301">
            <w:pPr>
              <w:pStyle w:val="Tabletext0"/>
              <w:spacing w:before="0"/>
              <w:ind w:firstLine="171"/>
              <w:rPr>
                <w:sz w:val="16"/>
                <w:szCs w:val="16"/>
              </w:rPr>
            </w:pPr>
            <w:r w:rsidRPr="00132301">
              <w:rPr>
                <w:sz w:val="16"/>
                <w:szCs w:val="16"/>
              </w:rPr>
              <w:t>b. &gt;90% in the proximal left anterior coronary artery; or</w:t>
            </w:r>
          </w:p>
          <w:p w14:paraId="45EB6650" w14:textId="77777777" w:rsidR="001253A0" w:rsidRPr="00132301" w:rsidRDefault="001253A0" w:rsidP="00132301">
            <w:pPr>
              <w:pStyle w:val="Tabletext0"/>
              <w:spacing w:before="0"/>
              <w:ind w:firstLine="171"/>
              <w:rPr>
                <w:sz w:val="16"/>
                <w:szCs w:val="16"/>
              </w:rPr>
            </w:pPr>
            <w:r w:rsidRPr="00132301">
              <w:rPr>
                <w:sz w:val="16"/>
                <w:szCs w:val="16"/>
              </w:rPr>
              <w:t>c. bifurcation lesions involving side branches with a diameter &gt;2.75mm; or</w:t>
            </w:r>
          </w:p>
          <w:p w14:paraId="72C0EBCB" w14:textId="77777777" w:rsidR="001253A0" w:rsidRPr="00132301" w:rsidRDefault="001253A0" w:rsidP="00132301">
            <w:pPr>
              <w:pStyle w:val="Tabletext0"/>
              <w:spacing w:before="0"/>
              <w:ind w:firstLine="171"/>
              <w:rPr>
                <w:sz w:val="16"/>
                <w:szCs w:val="16"/>
              </w:rPr>
            </w:pPr>
            <w:r w:rsidRPr="00132301">
              <w:rPr>
                <w:sz w:val="16"/>
                <w:szCs w:val="16"/>
              </w:rPr>
              <w:t>d. chronic vessel occlusions (&gt;3 months); or</w:t>
            </w:r>
          </w:p>
          <w:p w14:paraId="6E22B7B0" w14:textId="77777777" w:rsidR="001253A0" w:rsidRPr="00132301" w:rsidRDefault="001253A0" w:rsidP="00132301">
            <w:pPr>
              <w:pStyle w:val="Tabletext0"/>
              <w:spacing w:before="0"/>
              <w:ind w:firstLine="171"/>
              <w:rPr>
                <w:sz w:val="16"/>
                <w:szCs w:val="16"/>
              </w:rPr>
            </w:pPr>
            <w:r w:rsidRPr="00132301">
              <w:rPr>
                <w:sz w:val="16"/>
                <w:szCs w:val="16"/>
              </w:rPr>
              <w:t>e. severely angulated or severely calcified lesions; or</w:t>
            </w:r>
          </w:p>
          <w:p w14:paraId="44EDDF56" w14:textId="77777777" w:rsidR="001253A0" w:rsidRPr="00132301" w:rsidRDefault="001253A0" w:rsidP="00132301">
            <w:pPr>
              <w:pStyle w:val="Tabletext0"/>
              <w:spacing w:before="0"/>
              <w:ind w:firstLine="171"/>
              <w:rPr>
                <w:sz w:val="16"/>
                <w:szCs w:val="16"/>
              </w:rPr>
            </w:pPr>
            <w:r w:rsidRPr="00132301">
              <w:rPr>
                <w:sz w:val="16"/>
                <w:szCs w:val="16"/>
              </w:rPr>
              <w:t>f. SYNTAX score &gt;23.</w:t>
            </w:r>
          </w:p>
          <w:p w14:paraId="749DBE94" w14:textId="77777777" w:rsidR="001253A0" w:rsidRPr="00132301" w:rsidRDefault="001253A0" w:rsidP="00132301">
            <w:pPr>
              <w:pStyle w:val="Tabletext0"/>
              <w:spacing w:before="0"/>
              <w:rPr>
                <w:sz w:val="16"/>
                <w:szCs w:val="16"/>
              </w:rPr>
            </w:pPr>
            <w:r w:rsidRPr="00132301">
              <w:rPr>
                <w:sz w:val="16"/>
                <w:szCs w:val="16"/>
              </w:rPr>
              <w:t>Such disease should only undergo PCI with a documented recommendation from a Heart Team Conference.</w:t>
            </w:r>
          </w:p>
          <w:p w14:paraId="62A539E3" w14:textId="77777777" w:rsidR="001253A0" w:rsidRPr="00132301" w:rsidRDefault="001253A0" w:rsidP="00132301">
            <w:pPr>
              <w:pStyle w:val="Tabletext0"/>
              <w:spacing w:before="0"/>
              <w:rPr>
                <w:sz w:val="16"/>
                <w:szCs w:val="16"/>
              </w:rPr>
            </w:pPr>
          </w:p>
          <w:p w14:paraId="77AA98B2" w14:textId="77777777" w:rsidR="001253A0" w:rsidRPr="00132301" w:rsidRDefault="001253A0" w:rsidP="00132301">
            <w:pPr>
              <w:pStyle w:val="Tabletext0"/>
              <w:spacing w:before="0"/>
              <w:rPr>
                <w:rFonts w:eastAsiaTheme="minorHAnsi"/>
                <w:sz w:val="16"/>
                <w:szCs w:val="16"/>
              </w:rPr>
            </w:pPr>
            <w:r w:rsidRPr="00132301">
              <w:rPr>
                <w:sz w:val="16"/>
                <w:szCs w:val="16"/>
              </w:rPr>
              <w:t xml:space="preserve">Related Items: </w:t>
            </w:r>
            <w:r w:rsidRPr="00132301">
              <w:rPr>
                <w:b/>
                <w:bCs/>
                <w:sz w:val="16"/>
                <w:szCs w:val="16"/>
              </w:rPr>
              <w:t>38314  38323</w:t>
            </w:r>
          </w:p>
        </w:tc>
      </w:tr>
      <w:tr w:rsidR="001253A0" w:rsidRPr="005811E8" w14:paraId="51A16E8D" w14:textId="77777777" w:rsidTr="0009246B">
        <w:tc>
          <w:tcPr>
            <w:tcW w:w="9016" w:type="dxa"/>
          </w:tcPr>
          <w:p w14:paraId="2A829365" w14:textId="77777777" w:rsidR="001253A0" w:rsidRPr="00132301" w:rsidRDefault="001253A0" w:rsidP="0009246B">
            <w:pPr>
              <w:pStyle w:val="Tabletext0"/>
              <w:spacing w:before="120"/>
              <w:rPr>
                <w:rFonts w:eastAsiaTheme="minorHAnsi"/>
                <w:b/>
                <w:bCs/>
                <w:sz w:val="16"/>
                <w:szCs w:val="16"/>
                <w:u w:val="single"/>
              </w:rPr>
            </w:pPr>
            <w:r w:rsidRPr="00132301">
              <w:rPr>
                <w:rFonts w:eastAsiaTheme="minorHAnsi"/>
                <w:b/>
                <w:bCs/>
                <w:sz w:val="16"/>
                <w:szCs w:val="16"/>
                <w:u w:val="single"/>
              </w:rPr>
              <w:lastRenderedPageBreak/>
              <w:t>TN.8.225</w:t>
            </w:r>
          </w:p>
          <w:p w14:paraId="6E5D5A76" w14:textId="77777777" w:rsidR="001253A0" w:rsidRPr="00132301" w:rsidRDefault="001253A0" w:rsidP="0009246B">
            <w:pPr>
              <w:pStyle w:val="Tabletext0"/>
              <w:spacing w:before="0"/>
              <w:jc w:val="center"/>
              <w:rPr>
                <w:rFonts w:eastAsiaTheme="minorHAnsi"/>
                <w:b/>
                <w:bCs/>
                <w:sz w:val="16"/>
                <w:szCs w:val="16"/>
              </w:rPr>
            </w:pPr>
            <w:r w:rsidRPr="00132301">
              <w:rPr>
                <w:rFonts w:eastAsiaTheme="minorHAnsi"/>
                <w:b/>
                <w:bCs/>
                <w:sz w:val="16"/>
                <w:szCs w:val="16"/>
              </w:rPr>
              <w:t>Percutaneous Coronary Intervention (PCI) Acute/Unstable</w:t>
            </w:r>
          </w:p>
          <w:p w14:paraId="0E6459BB" w14:textId="77777777" w:rsidR="001253A0" w:rsidRPr="00132301" w:rsidRDefault="001253A0" w:rsidP="0009246B">
            <w:pPr>
              <w:pStyle w:val="Tabletext0"/>
              <w:spacing w:before="0"/>
              <w:rPr>
                <w:rFonts w:eastAsiaTheme="minorHAnsi"/>
                <w:b/>
                <w:bCs/>
                <w:sz w:val="16"/>
                <w:szCs w:val="16"/>
              </w:rPr>
            </w:pPr>
            <w:r w:rsidRPr="00132301">
              <w:rPr>
                <w:rFonts w:eastAsiaTheme="minorHAnsi"/>
                <w:b/>
                <w:bCs/>
                <w:sz w:val="16"/>
                <w:szCs w:val="16"/>
              </w:rPr>
              <w:t>Staging of acute/unstable PCI</w:t>
            </w:r>
          </w:p>
          <w:p w14:paraId="3AD30DF6"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Staging of acute PCI is permissible when clinically appropriate.</w:t>
            </w:r>
          </w:p>
          <w:p w14:paraId="4DCB6498"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An example of appropriate Acute Coronary Syndrome (ACS) staging could include intervention on an occluded proximal lesion in the context of an ST elevation myocardial infarction (STEMI) and a decision is made not to intervene on a distal lesion as it is difficult to determine whether it is a real lesion (possibly a thrombus) or the patient’s haemodynamic status remains compromised (clinically unsafe to continue).</w:t>
            </w:r>
          </w:p>
          <w:p w14:paraId="0EDEE6F9" w14:textId="77777777" w:rsidR="001253A0" w:rsidRPr="00132301" w:rsidRDefault="001253A0" w:rsidP="0009246B">
            <w:pPr>
              <w:pStyle w:val="Tabletext0"/>
              <w:spacing w:before="0"/>
              <w:rPr>
                <w:rFonts w:eastAsiaTheme="minorHAnsi"/>
                <w:b/>
                <w:bCs/>
                <w:sz w:val="16"/>
                <w:szCs w:val="16"/>
              </w:rPr>
            </w:pPr>
            <w:r w:rsidRPr="00132301">
              <w:rPr>
                <w:rFonts w:eastAsiaTheme="minorHAnsi"/>
                <w:b/>
                <w:bCs/>
                <w:sz w:val="16"/>
                <w:szCs w:val="16"/>
              </w:rPr>
              <w:t>Requirements of subsequent stages of a staged acute/unstable PCI</w:t>
            </w:r>
          </w:p>
          <w:p w14:paraId="184FAA70"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The qualifying indication for the initial procedure is to be used as the qualifier for the relevant subsequent stages.</w:t>
            </w:r>
          </w:p>
          <w:p w14:paraId="434A4535"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Subsequent stages are required to be completed within 3 months of the initial procedure otherwise the patient will need to requalify under the appropriate indication (if applicable).</w:t>
            </w:r>
          </w:p>
          <w:p w14:paraId="134DD6C7"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It would generally be expected that subsequent stages would be completed as soon as is practicable proceeding the initial intervention.</w:t>
            </w:r>
          </w:p>
          <w:p w14:paraId="2C353F93"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For subsequent stages of an acute/unstable PCI it is implied that diagnostic angiography has been completed in the previous 3 months and therefore it is only permissible to claim items 38316, 38317 or 38319 for subsequent stages.</w:t>
            </w:r>
          </w:p>
          <w:p w14:paraId="11D4B57C" w14:textId="77777777" w:rsidR="001253A0" w:rsidRPr="00132301" w:rsidRDefault="001253A0" w:rsidP="0009246B">
            <w:pPr>
              <w:pStyle w:val="Tabletext0"/>
              <w:spacing w:before="0"/>
              <w:rPr>
                <w:rFonts w:eastAsiaTheme="minorHAnsi"/>
                <w:b/>
                <w:bCs/>
                <w:sz w:val="16"/>
                <w:szCs w:val="16"/>
              </w:rPr>
            </w:pPr>
            <w:r w:rsidRPr="00132301">
              <w:rPr>
                <w:rFonts w:eastAsiaTheme="minorHAnsi"/>
                <w:b/>
                <w:bCs/>
                <w:sz w:val="16"/>
                <w:szCs w:val="16"/>
              </w:rPr>
              <w:t>Multiple Providers of one episode of care (acute/unstable or stable) PCI – Separate interventional sites or Same interventional site</w:t>
            </w:r>
          </w:p>
          <w:p w14:paraId="284309AD" w14:textId="77777777" w:rsidR="001253A0" w:rsidRPr="00132301" w:rsidRDefault="001253A0" w:rsidP="0009246B">
            <w:pPr>
              <w:pStyle w:val="Tabletext0"/>
              <w:spacing w:before="0"/>
              <w:rPr>
                <w:rFonts w:eastAsiaTheme="minorHAnsi"/>
                <w:sz w:val="16"/>
                <w:szCs w:val="16"/>
              </w:rPr>
            </w:pPr>
            <w:r w:rsidRPr="00132301">
              <w:rPr>
                <w:rFonts w:eastAsiaTheme="minorHAnsi"/>
                <w:sz w:val="16"/>
                <w:szCs w:val="16"/>
              </w:rPr>
              <w:t>One of the primary intentions of the changes to selective coronary angiography and PCI items, is to encourage the provision of the entire intervention in a single episode of care. Therefore, the provider should consider that there will be a reasonable need to intervene (revascularise), noting that in some cases intervention is not required (e.g. pressure testing – FFR result does not support the need for stenting).</w:t>
            </w:r>
          </w:p>
          <w:p w14:paraId="2ED6EB18" w14:textId="77777777" w:rsidR="001253A0" w:rsidRPr="00132301" w:rsidRDefault="001253A0" w:rsidP="0009246B">
            <w:pPr>
              <w:pStyle w:val="Tabletext0"/>
              <w:spacing w:before="0"/>
              <w:rPr>
                <w:rFonts w:eastAsiaTheme="minorHAnsi"/>
                <w:sz w:val="16"/>
                <w:szCs w:val="16"/>
              </w:rPr>
            </w:pPr>
            <w:r w:rsidRPr="00132301">
              <w:rPr>
                <w:rFonts w:eastAsiaTheme="minorHAnsi"/>
                <w:sz w:val="16"/>
                <w:szCs w:val="16"/>
              </w:rPr>
              <w:t>However, it is recognised that some providers of interventional cardiology services only provide selective coronary angiography (diagnostic) and require a secondary provider to undertake angioplasty, stenting and/or atherectomy.</w:t>
            </w:r>
          </w:p>
          <w:p w14:paraId="0605C8DF" w14:textId="77777777" w:rsidR="001253A0" w:rsidRPr="00132301" w:rsidRDefault="001253A0" w:rsidP="0009246B">
            <w:pPr>
              <w:pStyle w:val="Tabletext0"/>
              <w:keepNext/>
              <w:spacing w:before="0"/>
              <w:rPr>
                <w:rFonts w:eastAsiaTheme="minorHAnsi"/>
                <w:b/>
                <w:bCs/>
                <w:sz w:val="16"/>
                <w:szCs w:val="16"/>
              </w:rPr>
            </w:pPr>
            <w:r w:rsidRPr="00132301">
              <w:rPr>
                <w:rFonts w:eastAsiaTheme="minorHAnsi"/>
                <w:b/>
                <w:bCs/>
                <w:sz w:val="16"/>
                <w:szCs w:val="16"/>
              </w:rPr>
              <w:t>Non-interventional – selective angiography providers (clinical assessment suggests intervention required)</w:t>
            </w:r>
          </w:p>
          <w:p w14:paraId="26F7BBA0" w14:textId="77777777" w:rsidR="001253A0" w:rsidRPr="00132301" w:rsidRDefault="001253A0" w:rsidP="0009246B">
            <w:pPr>
              <w:pStyle w:val="Tabletext0"/>
              <w:keepNext/>
              <w:spacing w:before="0"/>
              <w:rPr>
                <w:rFonts w:eastAsiaTheme="minorHAnsi"/>
                <w:i/>
                <w:iCs/>
                <w:sz w:val="16"/>
                <w:szCs w:val="16"/>
              </w:rPr>
            </w:pPr>
            <w:r w:rsidRPr="00132301">
              <w:rPr>
                <w:rFonts w:eastAsiaTheme="minorHAnsi"/>
                <w:i/>
                <w:iCs/>
                <w:sz w:val="16"/>
                <w:szCs w:val="16"/>
              </w:rPr>
              <w:t>Acute/Unstable patients</w:t>
            </w:r>
          </w:p>
          <w:p w14:paraId="08E5ADD7"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Acute/Unstable patients should undergo both selective coronary angiography and PCI by an accredited PCI provider in a single episode of care, unless staging is clinically required.</w:t>
            </w:r>
          </w:p>
          <w:p w14:paraId="6E4AB3DF"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Rare exceptions might include rural or remote sites that offer diagnostic angiography as a triage service prior to limited availability PCI.</w:t>
            </w:r>
          </w:p>
          <w:p w14:paraId="42E356A4"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It would be expected that the non-interventional cardiologist (non-PCI accredited) has a limited role in the management of acute/unstable patients.</w:t>
            </w:r>
          </w:p>
          <w:p w14:paraId="267FA952" w14:textId="77777777" w:rsidR="001253A0" w:rsidRPr="00132301" w:rsidRDefault="001253A0" w:rsidP="0009246B">
            <w:pPr>
              <w:pStyle w:val="Tabletext0"/>
              <w:spacing w:before="0"/>
              <w:rPr>
                <w:rFonts w:eastAsiaTheme="minorHAnsi"/>
                <w:b/>
                <w:bCs/>
                <w:sz w:val="16"/>
                <w:szCs w:val="16"/>
              </w:rPr>
            </w:pPr>
            <w:r w:rsidRPr="00132301">
              <w:rPr>
                <w:rFonts w:eastAsiaTheme="minorHAnsi"/>
                <w:b/>
                <w:bCs/>
                <w:sz w:val="16"/>
                <w:szCs w:val="16"/>
              </w:rPr>
              <w:t>Separate hospital/procedural sites (Acute/Unstable or Stable)</w:t>
            </w:r>
          </w:p>
          <w:p w14:paraId="0A8F7D2B"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 xml:space="preserve">The first provider undertakes the diagnostic angiography and either makes an independent decision or following discussion with the interventional cardiologist refers to the secondary provider at another site for the purposes of revascularisation (e.g. referral from a rural or regional hospital to a metropolitan hospital); therefore </w:t>
            </w:r>
          </w:p>
          <w:p w14:paraId="3DC18DF3"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In this scenario there is a clear delineation between the angiography and revascularisation services due to the different geographical locations (separate episodes of care). Example claiming is as follows:</w:t>
            </w:r>
          </w:p>
          <w:p w14:paraId="456F6703" w14:textId="77777777" w:rsidR="001253A0" w:rsidRPr="00132301" w:rsidRDefault="001253A0" w:rsidP="0009246B">
            <w:pPr>
              <w:pStyle w:val="Tabletext0"/>
              <w:spacing w:before="0"/>
              <w:rPr>
                <w:rFonts w:eastAsiaTheme="minorHAnsi"/>
                <w:i/>
                <w:iCs/>
                <w:sz w:val="16"/>
                <w:szCs w:val="16"/>
              </w:rPr>
            </w:pPr>
            <w:r w:rsidRPr="00132301">
              <w:rPr>
                <w:rFonts w:eastAsiaTheme="minorHAnsi"/>
                <w:i/>
                <w:iCs/>
                <w:sz w:val="16"/>
                <w:szCs w:val="16"/>
              </w:rPr>
              <w:t>Acute (ACS) - claiming example</w:t>
            </w:r>
          </w:p>
          <w:p w14:paraId="5DCFBFB8"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Provider 1 – site 1 (diagnostic angiography) claims item 38244 (ACS – selective angiography). Provider 2 – site 2 (PCI) claims item 38316 (ACS – PCI single territory)</w:t>
            </w:r>
          </w:p>
          <w:p w14:paraId="05FAE9B0" w14:textId="77777777" w:rsidR="001253A0" w:rsidRPr="00132301" w:rsidRDefault="001253A0" w:rsidP="0009246B">
            <w:pPr>
              <w:pStyle w:val="Tabletext0"/>
              <w:spacing w:before="0"/>
              <w:rPr>
                <w:rFonts w:eastAsiaTheme="minorHAnsi"/>
                <w:b/>
                <w:bCs/>
                <w:sz w:val="16"/>
                <w:szCs w:val="16"/>
              </w:rPr>
            </w:pPr>
            <w:r w:rsidRPr="00132301">
              <w:rPr>
                <w:rFonts w:eastAsiaTheme="minorHAnsi"/>
                <w:b/>
                <w:bCs/>
                <w:sz w:val="16"/>
                <w:szCs w:val="16"/>
              </w:rPr>
              <w:t>Abandoned T8 Surgical Procedures and Acute or Stable Percutaneous Coronary Intervention (PCI) – Excluding appropriate staging</w:t>
            </w:r>
          </w:p>
          <w:p w14:paraId="05E3B160" w14:textId="77777777" w:rsidR="001253A0" w:rsidRPr="00132301" w:rsidRDefault="001253A0" w:rsidP="0009246B">
            <w:pPr>
              <w:pStyle w:val="Tabletext0"/>
              <w:spacing w:before="0"/>
              <w:rPr>
                <w:rFonts w:eastAsiaTheme="minorHAnsi"/>
                <w:sz w:val="16"/>
                <w:szCs w:val="16"/>
              </w:rPr>
            </w:pPr>
            <w:r w:rsidRPr="00132301">
              <w:rPr>
                <w:rFonts w:eastAsiaTheme="minorHAnsi"/>
                <w:sz w:val="16"/>
                <w:szCs w:val="16"/>
              </w:rPr>
              <w:t>The new acute PCI items have time restrictions applied whether claimed by the same or different providers. It is important for the patient that if a provider cannot complete (abandoned) the PCI and rescue PCI needs to be conducted by another provider, item 30001 is claimed. This will allow claiming by the provider who subsequently completes the rescue PCI, taking into consideration the time restrictions for each of the selective angiography items.</w:t>
            </w:r>
          </w:p>
          <w:p w14:paraId="0B185857" w14:textId="77777777" w:rsidR="001253A0" w:rsidRPr="00132301" w:rsidRDefault="001253A0" w:rsidP="0009246B">
            <w:pPr>
              <w:pStyle w:val="Tabletext0"/>
              <w:spacing w:before="0"/>
              <w:rPr>
                <w:rFonts w:eastAsiaTheme="minorHAnsi"/>
                <w:sz w:val="16"/>
                <w:szCs w:val="16"/>
              </w:rPr>
            </w:pPr>
            <w:r w:rsidRPr="00132301">
              <w:rPr>
                <w:rFonts w:eastAsiaTheme="minorHAnsi"/>
                <w:sz w:val="16"/>
                <w:szCs w:val="16"/>
              </w:rPr>
              <w:t>The new stable PCI items do not have time restrictions. However, it is important for the patient that if a provider cannot complete (abandoned) the PCI and rescue PCI needs to be conducted by another provider, item 30001 is claimed. This will allow claiming by the provider who subsequently completes the rescue PCI, taking into consideration the time restrictions for each of the selective angiography items.</w:t>
            </w:r>
          </w:p>
          <w:p w14:paraId="4001B861" w14:textId="77777777" w:rsidR="001253A0" w:rsidRPr="00132301" w:rsidRDefault="001253A0" w:rsidP="0009246B">
            <w:pPr>
              <w:pStyle w:val="Tabletext0"/>
              <w:spacing w:before="0"/>
              <w:rPr>
                <w:rFonts w:eastAsiaTheme="minorHAnsi"/>
                <w:sz w:val="16"/>
                <w:szCs w:val="16"/>
              </w:rPr>
            </w:pPr>
          </w:p>
          <w:p w14:paraId="1D0B329D" w14:textId="77777777" w:rsidR="001253A0" w:rsidRPr="00132301" w:rsidRDefault="001253A0" w:rsidP="0009246B">
            <w:pPr>
              <w:pStyle w:val="Tabletext0"/>
              <w:spacing w:before="0"/>
              <w:rPr>
                <w:rFonts w:eastAsiaTheme="minorHAnsi"/>
                <w:sz w:val="16"/>
                <w:szCs w:val="16"/>
              </w:rPr>
            </w:pPr>
            <w:r w:rsidRPr="00132301">
              <w:rPr>
                <w:rFonts w:eastAsiaTheme="minorHAnsi"/>
                <w:sz w:val="16"/>
                <w:szCs w:val="16"/>
              </w:rPr>
              <w:t xml:space="preserve">Related Items: </w:t>
            </w:r>
            <w:r w:rsidRPr="00132301">
              <w:rPr>
                <w:rFonts w:eastAsiaTheme="minorHAnsi"/>
                <w:b/>
                <w:bCs/>
                <w:sz w:val="16"/>
                <w:szCs w:val="16"/>
              </w:rPr>
              <w:t>38307  38308  38310  38316  38317  38319</w:t>
            </w:r>
          </w:p>
        </w:tc>
      </w:tr>
      <w:tr w:rsidR="001253A0" w:rsidRPr="005811E8" w14:paraId="3E6F15E7" w14:textId="77777777" w:rsidTr="0009246B">
        <w:tc>
          <w:tcPr>
            <w:tcW w:w="9016" w:type="dxa"/>
          </w:tcPr>
          <w:p w14:paraId="391AF5EF" w14:textId="77777777" w:rsidR="001253A0" w:rsidRPr="00132301" w:rsidRDefault="001253A0" w:rsidP="0009246B">
            <w:pPr>
              <w:pStyle w:val="Tabletext0"/>
              <w:spacing w:before="120"/>
              <w:rPr>
                <w:rFonts w:eastAsiaTheme="minorHAnsi"/>
                <w:b/>
                <w:bCs/>
                <w:sz w:val="16"/>
                <w:szCs w:val="16"/>
                <w:u w:val="single"/>
              </w:rPr>
            </w:pPr>
            <w:r w:rsidRPr="00132301">
              <w:rPr>
                <w:rFonts w:eastAsiaTheme="minorHAnsi"/>
                <w:b/>
                <w:bCs/>
                <w:sz w:val="16"/>
                <w:szCs w:val="16"/>
                <w:u w:val="single"/>
              </w:rPr>
              <w:t>TN.8.226</w:t>
            </w:r>
          </w:p>
          <w:p w14:paraId="5A599C14" w14:textId="77777777" w:rsidR="001253A0" w:rsidRPr="00132301" w:rsidRDefault="001253A0" w:rsidP="0009246B">
            <w:pPr>
              <w:pStyle w:val="Tabletext0"/>
              <w:spacing w:before="0"/>
              <w:jc w:val="center"/>
              <w:rPr>
                <w:rFonts w:eastAsiaTheme="minorHAnsi"/>
                <w:b/>
                <w:bCs/>
                <w:sz w:val="16"/>
                <w:szCs w:val="16"/>
              </w:rPr>
            </w:pPr>
            <w:r w:rsidRPr="00132301">
              <w:rPr>
                <w:rFonts w:eastAsiaTheme="minorHAnsi"/>
                <w:b/>
                <w:bCs/>
                <w:sz w:val="16"/>
                <w:szCs w:val="16"/>
              </w:rPr>
              <w:t>Staging Rules for Stable PCI</w:t>
            </w:r>
          </w:p>
          <w:p w14:paraId="3AC58554" w14:textId="77777777" w:rsidR="001253A0" w:rsidRPr="00132301" w:rsidRDefault="001253A0" w:rsidP="0009246B">
            <w:pPr>
              <w:pStyle w:val="Tabletext0"/>
              <w:spacing w:before="0"/>
              <w:rPr>
                <w:rFonts w:eastAsiaTheme="minorHAnsi"/>
                <w:b/>
                <w:bCs/>
                <w:sz w:val="16"/>
                <w:szCs w:val="16"/>
              </w:rPr>
            </w:pPr>
            <w:r w:rsidRPr="00132301">
              <w:rPr>
                <w:rFonts w:eastAsiaTheme="minorHAnsi"/>
                <w:b/>
                <w:bCs/>
                <w:sz w:val="16"/>
                <w:szCs w:val="16"/>
              </w:rPr>
              <w:t>Staging of non-acute (stable) PCI</w:t>
            </w:r>
          </w:p>
          <w:p w14:paraId="4698CE18"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Staging of stable PCI is permissible when clinically appropriate. An example of appropriate stable staging could include intervention on the primary target lesion and a decision is made not to intervene on secondary lesions (in triple vessel disease) due to the patient’s deteriorating haemodynamic status (clinically unsafe to continue).</w:t>
            </w:r>
          </w:p>
          <w:p w14:paraId="6F273BBE" w14:textId="77777777" w:rsidR="001253A0" w:rsidRPr="00132301" w:rsidRDefault="001253A0" w:rsidP="0009246B">
            <w:pPr>
              <w:pStyle w:val="Tabletext0"/>
              <w:spacing w:before="0"/>
              <w:rPr>
                <w:rFonts w:eastAsiaTheme="minorHAnsi"/>
                <w:b/>
                <w:bCs/>
                <w:sz w:val="16"/>
                <w:szCs w:val="16"/>
              </w:rPr>
            </w:pPr>
            <w:r w:rsidRPr="00132301">
              <w:rPr>
                <w:rFonts w:eastAsiaTheme="minorHAnsi"/>
                <w:b/>
                <w:bCs/>
                <w:sz w:val="16"/>
                <w:szCs w:val="16"/>
              </w:rPr>
              <w:t>Requirements of subsequent stages of a staged stable PCI</w:t>
            </w:r>
          </w:p>
          <w:p w14:paraId="4F2BDDBC"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The qualifying indication for the initial procedure is to be used as the qualifier for the relevant subsequent stages. Subsequent stages are expected to be completed within a reasonable time period following the initial intervention.</w:t>
            </w:r>
          </w:p>
          <w:p w14:paraId="60E65CEC"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For subsequent stages of a stable PCI it is implied that diagnostic angiography has been completed in the previous 3 months and therefore it is only permissible to claim items 38320, 38322 or 38323 (standalone PCI items) for subsequent stages.</w:t>
            </w:r>
          </w:p>
          <w:p w14:paraId="0087AB98"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Note: For patients who meet the criteria in subclause (2)(b) of note TR.8.4 in 3 vascular territories (triple vessel disease), whether treated in an initial procedure (items 38314 or 38323) or in subsequent stages (items 38311, 38313, 38320 or 38322) it is expected that the patient must meet the criteria for (2)(b) of note TR.8.4 for each territory for each subsequent stage. This requirement ensures that the patient who has triple vessel disease must meet the criteria for (2)(b) for each territory when staged or completed in an initial procedure.</w:t>
            </w:r>
          </w:p>
          <w:p w14:paraId="6FCEA23C" w14:textId="77777777" w:rsidR="001253A0" w:rsidRPr="00132301" w:rsidRDefault="001253A0" w:rsidP="0009246B">
            <w:pPr>
              <w:pStyle w:val="Tabletext0"/>
              <w:spacing w:before="0"/>
              <w:rPr>
                <w:rFonts w:eastAsiaTheme="minorHAnsi"/>
                <w:sz w:val="16"/>
                <w:szCs w:val="16"/>
              </w:rPr>
            </w:pPr>
            <w:r w:rsidRPr="00132301">
              <w:rPr>
                <w:rFonts w:eastAsiaTheme="minorHAnsi"/>
                <w:sz w:val="16"/>
                <w:szCs w:val="16"/>
              </w:rPr>
              <w:t>The Department will be closely monitoring claiming patterns for staged procedures, particularly where volumes for staged procedures at the same site are not consistent with the broader provider claiming base.</w:t>
            </w:r>
          </w:p>
          <w:p w14:paraId="6532C498" w14:textId="77777777" w:rsidR="001253A0" w:rsidRPr="00132301" w:rsidRDefault="001253A0" w:rsidP="0009246B">
            <w:pPr>
              <w:pStyle w:val="Tabletext0"/>
              <w:spacing w:before="0"/>
              <w:rPr>
                <w:rFonts w:eastAsiaTheme="minorHAnsi"/>
                <w:b/>
                <w:bCs/>
                <w:sz w:val="16"/>
                <w:szCs w:val="16"/>
              </w:rPr>
            </w:pPr>
            <w:r w:rsidRPr="00132301">
              <w:rPr>
                <w:rFonts w:eastAsiaTheme="minorHAnsi"/>
                <w:b/>
                <w:bCs/>
                <w:sz w:val="16"/>
                <w:szCs w:val="16"/>
              </w:rPr>
              <w:t>Multiple Providers of one episode of care (stable) PCI – Separate interventional sites or Same interventional site.</w:t>
            </w:r>
          </w:p>
          <w:p w14:paraId="67ACD6B4" w14:textId="77777777" w:rsidR="001253A0" w:rsidRPr="00132301" w:rsidRDefault="001253A0" w:rsidP="0009246B">
            <w:pPr>
              <w:pStyle w:val="Tabletext0"/>
              <w:spacing w:before="0"/>
              <w:rPr>
                <w:rFonts w:eastAsiaTheme="minorHAnsi"/>
                <w:sz w:val="16"/>
                <w:szCs w:val="16"/>
              </w:rPr>
            </w:pPr>
            <w:r w:rsidRPr="00132301">
              <w:rPr>
                <w:rFonts w:eastAsiaTheme="minorHAnsi"/>
                <w:sz w:val="16"/>
                <w:szCs w:val="16"/>
              </w:rPr>
              <w:lastRenderedPageBreak/>
              <w:t>One of the primary intentions of the changes to selective coronary angiography and PCI items, is to encourage the provision of the entire intervention in a single episode of care. Therefore, the provider should consider that there will be a reasonable need to intervene (revascularise), noting that in some cases intervention is not required (e.g. pressure testing – FFR result does not support the need for stenting).</w:t>
            </w:r>
          </w:p>
          <w:p w14:paraId="6CB5AF46" w14:textId="77777777" w:rsidR="001253A0" w:rsidRPr="00132301" w:rsidRDefault="001253A0" w:rsidP="0009246B">
            <w:pPr>
              <w:pStyle w:val="Tabletext0"/>
              <w:spacing w:before="0"/>
              <w:rPr>
                <w:rFonts w:eastAsiaTheme="minorHAnsi"/>
                <w:sz w:val="16"/>
                <w:szCs w:val="16"/>
              </w:rPr>
            </w:pPr>
            <w:r w:rsidRPr="00132301">
              <w:rPr>
                <w:rFonts w:eastAsiaTheme="minorHAnsi"/>
                <w:sz w:val="16"/>
                <w:szCs w:val="16"/>
              </w:rPr>
              <w:t>It is recognised that some providers of interventional cardiology services only provide selective coronary angiography (diagnostic) and require a secondary provider to undertake angioplasty, stenting and/or atherectomy.</w:t>
            </w:r>
          </w:p>
          <w:p w14:paraId="11120240" w14:textId="77777777" w:rsidR="001253A0" w:rsidRPr="00132301" w:rsidRDefault="001253A0" w:rsidP="0009246B">
            <w:pPr>
              <w:pStyle w:val="Tabletext0"/>
              <w:spacing w:before="0"/>
              <w:rPr>
                <w:rFonts w:eastAsiaTheme="minorHAnsi"/>
                <w:b/>
                <w:bCs/>
                <w:sz w:val="16"/>
                <w:szCs w:val="16"/>
              </w:rPr>
            </w:pPr>
            <w:r w:rsidRPr="00132301">
              <w:rPr>
                <w:rFonts w:eastAsiaTheme="minorHAnsi"/>
                <w:b/>
                <w:bCs/>
                <w:sz w:val="16"/>
                <w:szCs w:val="16"/>
              </w:rPr>
              <w:t>Non-interventional – selective angiography providers (clinical assessment suggests intervention required)</w:t>
            </w:r>
          </w:p>
          <w:p w14:paraId="7AED016D" w14:textId="77777777" w:rsidR="001253A0" w:rsidRPr="00132301" w:rsidRDefault="001253A0" w:rsidP="0009246B">
            <w:pPr>
              <w:pStyle w:val="Tabletext0"/>
              <w:spacing w:before="0"/>
              <w:rPr>
                <w:rFonts w:eastAsiaTheme="minorHAnsi"/>
                <w:i/>
                <w:iCs/>
                <w:sz w:val="16"/>
                <w:szCs w:val="16"/>
              </w:rPr>
            </w:pPr>
            <w:r w:rsidRPr="00132301">
              <w:rPr>
                <w:rFonts w:eastAsiaTheme="minorHAnsi"/>
                <w:i/>
                <w:iCs/>
                <w:sz w:val="16"/>
                <w:szCs w:val="16"/>
              </w:rPr>
              <w:t>Stable patients</w:t>
            </w:r>
          </w:p>
          <w:p w14:paraId="715CAAEE" w14:textId="77777777" w:rsidR="001253A0" w:rsidRPr="00132301" w:rsidRDefault="001253A0" w:rsidP="0009246B">
            <w:pPr>
              <w:pStyle w:val="Tabletext0"/>
              <w:spacing w:before="0"/>
              <w:rPr>
                <w:rFonts w:eastAsiaTheme="minorHAnsi"/>
                <w:sz w:val="16"/>
                <w:szCs w:val="16"/>
              </w:rPr>
            </w:pPr>
            <w:r w:rsidRPr="00132301">
              <w:rPr>
                <w:rFonts w:eastAsiaTheme="minorHAnsi"/>
                <w:sz w:val="16"/>
                <w:szCs w:val="16"/>
              </w:rPr>
              <w:t>It is accepted clinical practice that the following patient pathways for stable PCI service provision (other than a complete service by an accredited PCI cardiologist) may occur when considering the role of the non-interventional cardiologist (non-PCI accredited) as follows:</w:t>
            </w:r>
          </w:p>
          <w:p w14:paraId="0B1661E1" w14:textId="77777777" w:rsidR="001253A0" w:rsidRPr="00132301" w:rsidRDefault="001253A0" w:rsidP="0009246B">
            <w:pPr>
              <w:pStyle w:val="Tabletext0"/>
              <w:keepNext/>
              <w:spacing w:before="0"/>
              <w:rPr>
                <w:rFonts w:eastAsiaTheme="minorHAnsi"/>
                <w:b/>
                <w:bCs/>
                <w:sz w:val="16"/>
                <w:szCs w:val="16"/>
              </w:rPr>
            </w:pPr>
            <w:r w:rsidRPr="00132301">
              <w:rPr>
                <w:rFonts w:eastAsiaTheme="minorHAnsi"/>
                <w:b/>
                <w:bCs/>
                <w:sz w:val="16"/>
                <w:szCs w:val="16"/>
              </w:rPr>
              <w:t>Ad-hoc PCI:</w:t>
            </w:r>
          </w:p>
          <w:p w14:paraId="74B59A20"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Provider 1 completes the selective angiography and hands over to provider 2 to perform the PCI while the patient is still on the cardiac catheterisation table with the arterial access still in place.</w:t>
            </w:r>
          </w:p>
          <w:p w14:paraId="75E6AFF6"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Similar to the acute items, this scenario would likely be rare for e.g. dissection of a coronary artery caused by the angiography catheter that may convert the patient from stable to unstable.</w:t>
            </w:r>
          </w:p>
          <w:p w14:paraId="2DF977C4"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It is current accepted practice that the selective coronary angiography component of the service can be performed by a non-interventional cardiologist and the PCI component (when required) completed by a PCI accredited provider.</w:t>
            </w:r>
          </w:p>
          <w:p w14:paraId="5674565F"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Ideally ad-hoc stable PCI should be completed by a PCI accredited provider and therefore consideration should be given to current practice site arrangements going forward.</w:t>
            </w:r>
          </w:p>
          <w:p w14:paraId="48224EE1" w14:textId="77777777" w:rsidR="001253A0" w:rsidRPr="00132301" w:rsidRDefault="001253A0" w:rsidP="0009246B">
            <w:pPr>
              <w:pStyle w:val="Tabletext0"/>
              <w:spacing w:before="0"/>
              <w:rPr>
                <w:rFonts w:eastAsiaTheme="minorHAnsi"/>
                <w:b/>
                <w:bCs/>
                <w:sz w:val="16"/>
                <w:szCs w:val="16"/>
              </w:rPr>
            </w:pPr>
            <w:r w:rsidRPr="00132301">
              <w:rPr>
                <w:rFonts w:eastAsiaTheme="minorHAnsi"/>
                <w:b/>
                <w:bCs/>
                <w:sz w:val="16"/>
                <w:szCs w:val="16"/>
              </w:rPr>
              <w:t>Delayed PCI:</w:t>
            </w:r>
          </w:p>
          <w:p w14:paraId="6738FBCE"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Provider 1 completes ICA and refers the patient to provider 2, who performs the PCI later on the same day.</w:t>
            </w:r>
          </w:p>
          <w:p w14:paraId="10210786"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In the stable patient this scenario presents the opportunity to pause and consider whether optimal medical therapy, PCI or coronary artery bypass may be the preferred option in consultation with a PCI accredited cardiologist and/or cardiothoracic surgeon; and</w:t>
            </w:r>
          </w:p>
          <w:p w14:paraId="5E2A528E"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It also allows for a further opportunity to obtain informed consent from the patient for the proposed intervention.</w:t>
            </w:r>
          </w:p>
          <w:p w14:paraId="18ADF83E"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In most cases this would involve maintaining the arterial access with an indwelling arterial sheath to avoid repuncture.</w:t>
            </w:r>
          </w:p>
          <w:p w14:paraId="65191027" w14:textId="77777777" w:rsidR="001253A0" w:rsidRPr="00132301" w:rsidRDefault="001253A0" w:rsidP="0009246B">
            <w:pPr>
              <w:pStyle w:val="Tabletext0"/>
              <w:spacing w:before="0"/>
              <w:rPr>
                <w:rFonts w:eastAsiaTheme="minorHAnsi"/>
                <w:b/>
                <w:bCs/>
                <w:sz w:val="16"/>
                <w:szCs w:val="16"/>
              </w:rPr>
            </w:pPr>
            <w:r w:rsidRPr="00132301">
              <w:rPr>
                <w:rFonts w:eastAsiaTheme="minorHAnsi"/>
                <w:b/>
                <w:bCs/>
                <w:sz w:val="16"/>
                <w:szCs w:val="16"/>
              </w:rPr>
              <w:t>Elective PCI:</w:t>
            </w:r>
          </w:p>
          <w:p w14:paraId="0D8D99C3"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Provider 1 completes ICA and refers the patient to provider 2, who performs the PCI on the next day, or any subsequent day.</w:t>
            </w:r>
          </w:p>
          <w:p w14:paraId="0C508F68"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Similar to delayed PCI, however the PCI accredited cardiologist may not be available on the same day as when the selective coronary angiography was completed; or</w:t>
            </w:r>
          </w:p>
          <w:p w14:paraId="099A39CA"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A short trial of optimal medical therapy is recommended; or</w:t>
            </w:r>
          </w:p>
          <w:p w14:paraId="7CA7A5EA"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Further non-invasive functional testing is recommended.</w:t>
            </w:r>
          </w:p>
          <w:p w14:paraId="4694F04D" w14:textId="77777777" w:rsidR="001253A0" w:rsidRPr="00132301" w:rsidRDefault="001253A0" w:rsidP="0009246B">
            <w:pPr>
              <w:pStyle w:val="Tabletext0"/>
              <w:spacing w:before="0"/>
              <w:rPr>
                <w:rFonts w:eastAsiaTheme="minorHAnsi"/>
                <w:sz w:val="16"/>
                <w:szCs w:val="16"/>
              </w:rPr>
            </w:pPr>
            <w:r w:rsidRPr="00132301">
              <w:rPr>
                <w:rFonts w:eastAsiaTheme="minorHAnsi"/>
                <w:sz w:val="16"/>
                <w:szCs w:val="16"/>
              </w:rPr>
              <w:t>The Department will be closely monitoring claiming patterns, particularly at the same site where selective angiography is completed by a non-accredited cardiologist and the PCI component completed by a PCI accredited provider.</w:t>
            </w:r>
          </w:p>
          <w:p w14:paraId="5AD3A232" w14:textId="77777777" w:rsidR="001253A0" w:rsidRPr="00132301" w:rsidRDefault="001253A0" w:rsidP="0009246B">
            <w:pPr>
              <w:pStyle w:val="Tabletext0"/>
              <w:spacing w:before="0"/>
              <w:rPr>
                <w:rFonts w:eastAsiaTheme="minorHAnsi"/>
                <w:b/>
                <w:bCs/>
                <w:sz w:val="16"/>
                <w:szCs w:val="16"/>
              </w:rPr>
            </w:pPr>
            <w:r w:rsidRPr="00132301">
              <w:rPr>
                <w:rFonts w:eastAsiaTheme="minorHAnsi"/>
                <w:b/>
                <w:bCs/>
                <w:sz w:val="16"/>
                <w:szCs w:val="16"/>
              </w:rPr>
              <w:t>The following provides guidance for when the provider can only undertake the selective angiography component of a complete PCI service (PCI non-accredited provider):</w:t>
            </w:r>
          </w:p>
          <w:p w14:paraId="04024B68" w14:textId="77777777" w:rsidR="001253A0" w:rsidRPr="00132301" w:rsidRDefault="001253A0" w:rsidP="0009246B">
            <w:pPr>
              <w:pStyle w:val="Tabletext0"/>
              <w:spacing w:before="0"/>
              <w:rPr>
                <w:rFonts w:eastAsiaTheme="minorHAnsi"/>
                <w:i/>
                <w:iCs/>
                <w:sz w:val="16"/>
                <w:szCs w:val="16"/>
              </w:rPr>
            </w:pPr>
            <w:r w:rsidRPr="00132301">
              <w:rPr>
                <w:rFonts w:eastAsiaTheme="minorHAnsi"/>
                <w:i/>
                <w:iCs/>
                <w:sz w:val="16"/>
                <w:szCs w:val="16"/>
              </w:rPr>
              <w:t>Separate hospital/procedural sites (Stable)</w:t>
            </w:r>
          </w:p>
          <w:p w14:paraId="67139631" w14:textId="77777777" w:rsidR="001253A0" w:rsidRPr="00132301" w:rsidRDefault="001253A0" w:rsidP="0009246B">
            <w:pPr>
              <w:pStyle w:val="Tabletext0"/>
              <w:spacing w:before="0"/>
              <w:rPr>
                <w:rFonts w:eastAsiaTheme="minorHAnsi"/>
                <w:sz w:val="16"/>
                <w:szCs w:val="16"/>
              </w:rPr>
            </w:pPr>
            <w:r w:rsidRPr="00132301">
              <w:rPr>
                <w:rFonts w:eastAsiaTheme="minorHAnsi"/>
                <w:sz w:val="16"/>
                <w:szCs w:val="16"/>
              </w:rPr>
              <w:t>The first provider undertakes the diagnostic angiography and either makes an independent decision or following discussion with the interventional cardiologist refers to the secondary provider at another site for the purposes of revascularisation (e.g. referral from a rural or regional hospital to a metropolitan hospital). In this scenario there is a clear delineation between the angiography and revascularisation services due to the different geographical locations (separate episodes of care). Example claiming is as follows:</w:t>
            </w:r>
          </w:p>
          <w:p w14:paraId="7575C597"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Stable - example</w:t>
            </w:r>
          </w:p>
          <w:p w14:paraId="422A325C" w14:textId="77777777" w:rsidR="001253A0" w:rsidRPr="00132301" w:rsidRDefault="001253A0" w:rsidP="0009246B">
            <w:pPr>
              <w:pStyle w:val="Tabletext0"/>
              <w:spacing w:before="0"/>
              <w:ind w:left="567"/>
              <w:rPr>
                <w:sz w:val="16"/>
                <w:szCs w:val="16"/>
              </w:rPr>
            </w:pPr>
            <w:r w:rsidRPr="00132301">
              <w:rPr>
                <w:sz w:val="16"/>
                <w:szCs w:val="16"/>
              </w:rPr>
              <w:t>Provider 1 – site 1 (diagnostic angiography) claims item 38248 stable – selective angiography). Provider 2 – site 2 (PCI) claims item 38320 (stable – PCI single territory)</w:t>
            </w:r>
          </w:p>
          <w:p w14:paraId="67DABAAD" w14:textId="77777777" w:rsidR="001253A0" w:rsidRPr="00132301" w:rsidRDefault="001253A0" w:rsidP="0009246B">
            <w:pPr>
              <w:pStyle w:val="Tabletext0"/>
              <w:spacing w:before="0"/>
              <w:rPr>
                <w:rFonts w:eastAsiaTheme="minorHAnsi"/>
                <w:i/>
                <w:iCs/>
                <w:sz w:val="16"/>
                <w:szCs w:val="16"/>
              </w:rPr>
            </w:pPr>
            <w:r w:rsidRPr="00132301">
              <w:rPr>
                <w:rFonts w:eastAsiaTheme="minorHAnsi"/>
                <w:i/>
                <w:iCs/>
                <w:sz w:val="16"/>
                <w:szCs w:val="16"/>
              </w:rPr>
              <w:t>Same hospital/procedural site (Stable)</w:t>
            </w:r>
          </w:p>
          <w:p w14:paraId="4D387516"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The first provider undertakes the diagnostic angiography and either makes an independent decision or following discussion with the interventional cardiologist requesting that the secondary provider undertakes the revascularisation component.</w:t>
            </w:r>
          </w:p>
          <w:p w14:paraId="09F09899" w14:textId="77777777" w:rsidR="001253A0" w:rsidRPr="00132301" w:rsidRDefault="001253A0" w:rsidP="00D83DA2">
            <w:pPr>
              <w:pStyle w:val="Tabletext0"/>
              <w:numPr>
                <w:ilvl w:val="0"/>
                <w:numId w:val="12"/>
              </w:numPr>
              <w:spacing w:before="0"/>
              <w:ind w:left="567" w:right="113" w:hanging="207"/>
              <w:jc w:val="left"/>
              <w:rPr>
                <w:sz w:val="16"/>
                <w:szCs w:val="16"/>
              </w:rPr>
            </w:pPr>
            <w:r w:rsidRPr="00132301">
              <w:rPr>
                <w:sz w:val="16"/>
                <w:szCs w:val="16"/>
              </w:rPr>
              <w:t>Please note that the underlying intention of a complete PCI service is that the entire service, including diagnostic angiography is completed by a single provider where possible.</w:t>
            </w:r>
          </w:p>
          <w:p w14:paraId="6E1AE39F" w14:textId="77777777" w:rsidR="001253A0" w:rsidRPr="00132301" w:rsidRDefault="001253A0" w:rsidP="0009246B">
            <w:pPr>
              <w:pStyle w:val="Tabletext0"/>
              <w:spacing w:before="0"/>
              <w:rPr>
                <w:rFonts w:eastAsiaTheme="minorHAnsi"/>
                <w:b/>
                <w:bCs/>
                <w:sz w:val="16"/>
                <w:szCs w:val="16"/>
              </w:rPr>
            </w:pPr>
            <w:r w:rsidRPr="00132301">
              <w:rPr>
                <w:rFonts w:eastAsiaTheme="minorHAnsi"/>
                <w:b/>
                <w:bCs/>
                <w:sz w:val="16"/>
                <w:szCs w:val="16"/>
              </w:rPr>
              <w:t>Abandoned T8 Surgical Procedures and Acute or Stable Percutaneous Coronary Intervention (PCI) – Excluding appropriate staging</w:t>
            </w:r>
          </w:p>
          <w:p w14:paraId="189B33E4" w14:textId="77777777" w:rsidR="001253A0" w:rsidRPr="00132301" w:rsidRDefault="001253A0" w:rsidP="0009246B">
            <w:pPr>
              <w:pStyle w:val="Tabletext0"/>
              <w:spacing w:before="0"/>
              <w:rPr>
                <w:rFonts w:eastAsiaTheme="minorHAnsi"/>
                <w:sz w:val="16"/>
                <w:szCs w:val="16"/>
              </w:rPr>
            </w:pPr>
            <w:r w:rsidRPr="00132301">
              <w:rPr>
                <w:rFonts w:eastAsiaTheme="minorHAnsi"/>
                <w:sz w:val="16"/>
                <w:szCs w:val="16"/>
              </w:rPr>
              <w:t>The new acute PCI items have time restrictions applied whether claimed by the same or different providers. It is important for the patient that if a provider cannot complete (abandoned) the PCI and rescue PCI needs to be conducted by another provider, item 30001 is claimed. This will allow claiming by the provider who subsequently completes the rescue PCI, taking into consideration the time restrictions for each of the selective angiography items.</w:t>
            </w:r>
          </w:p>
          <w:p w14:paraId="15225F50" w14:textId="77777777" w:rsidR="001253A0" w:rsidRPr="00132301" w:rsidRDefault="001253A0" w:rsidP="0009246B">
            <w:pPr>
              <w:pStyle w:val="Tabletext0"/>
              <w:spacing w:before="0"/>
              <w:rPr>
                <w:rFonts w:eastAsiaTheme="minorHAnsi"/>
                <w:sz w:val="16"/>
                <w:szCs w:val="16"/>
              </w:rPr>
            </w:pPr>
            <w:r w:rsidRPr="00132301">
              <w:rPr>
                <w:rFonts w:eastAsiaTheme="minorHAnsi"/>
                <w:sz w:val="16"/>
                <w:szCs w:val="16"/>
              </w:rPr>
              <w:t>The new stable PCI items do not have time restrictions. However, it is important for the patient that if a provider cannot complete (abandoned) the PCI and rescue PCI needs to be conducted by another provider, item 30001 is claimed. This will allow claiming by the provider who subsequently completes the rescue PCI, taking into consideration the time restrictions for each of the selective angiography items.</w:t>
            </w:r>
          </w:p>
          <w:p w14:paraId="62AF3D5A" w14:textId="77777777" w:rsidR="001253A0" w:rsidRPr="00132301" w:rsidRDefault="001253A0" w:rsidP="0009246B">
            <w:pPr>
              <w:pStyle w:val="Tabletext0"/>
              <w:spacing w:before="0"/>
              <w:rPr>
                <w:rFonts w:eastAsiaTheme="minorHAnsi"/>
                <w:sz w:val="16"/>
                <w:szCs w:val="16"/>
              </w:rPr>
            </w:pPr>
          </w:p>
          <w:p w14:paraId="77D195DC" w14:textId="77777777" w:rsidR="001253A0" w:rsidRPr="00132301" w:rsidRDefault="001253A0" w:rsidP="0009246B">
            <w:pPr>
              <w:pStyle w:val="Tabletext0"/>
              <w:spacing w:before="0"/>
              <w:rPr>
                <w:rFonts w:eastAsiaTheme="minorHAnsi"/>
                <w:sz w:val="16"/>
                <w:szCs w:val="16"/>
              </w:rPr>
            </w:pPr>
            <w:r w:rsidRPr="00132301">
              <w:rPr>
                <w:rFonts w:eastAsiaTheme="minorHAnsi"/>
                <w:sz w:val="16"/>
                <w:szCs w:val="16"/>
              </w:rPr>
              <w:t xml:space="preserve">Related Items: </w:t>
            </w:r>
            <w:r w:rsidRPr="00132301">
              <w:rPr>
                <w:rFonts w:eastAsiaTheme="minorHAnsi"/>
                <w:b/>
                <w:bCs/>
                <w:sz w:val="16"/>
                <w:szCs w:val="16"/>
              </w:rPr>
              <w:t>38311  38313  38314  38320  38322  38323</w:t>
            </w:r>
          </w:p>
        </w:tc>
      </w:tr>
    </w:tbl>
    <w:p w14:paraId="0E5ADFF3" w14:textId="77777777" w:rsidR="001253A0" w:rsidRPr="000B3108" w:rsidRDefault="001253A0" w:rsidP="009238ED"/>
    <w:sectPr w:rsidR="001253A0" w:rsidRPr="000B3108" w:rsidSect="00EE53BC">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56942" w14:textId="77777777" w:rsidR="00E30E49" w:rsidRDefault="00E30E49" w:rsidP="00B62DF2">
      <w:pPr>
        <w:spacing w:after="0" w:line="240" w:lineRule="auto"/>
      </w:pPr>
      <w:r>
        <w:separator/>
      </w:r>
    </w:p>
  </w:endnote>
  <w:endnote w:type="continuationSeparator" w:id="0">
    <w:p w14:paraId="0D9C5BA9" w14:textId="77777777" w:rsidR="00E30E49" w:rsidRDefault="00E30E49" w:rsidP="00B62DF2">
      <w:pPr>
        <w:spacing w:after="0" w:line="240" w:lineRule="auto"/>
      </w:pPr>
      <w:r>
        <w:continuationSeparator/>
      </w:r>
    </w:p>
  </w:endnote>
  <w:endnote w:type="continuationNotice" w:id="1">
    <w:p w14:paraId="0236FA53" w14:textId="77777777" w:rsidR="00E30E49" w:rsidRDefault="00E30E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460831"/>
      <w:docPartObj>
        <w:docPartGallery w:val="Page Numbers (Bottom of Page)"/>
        <w:docPartUnique/>
      </w:docPartObj>
    </w:sdtPr>
    <w:sdtEndPr>
      <w:rPr>
        <w:noProof/>
      </w:rPr>
    </w:sdtEndPr>
    <w:sdtContent>
      <w:p w14:paraId="6E76D499" w14:textId="27EA75B1" w:rsidR="00E30E49" w:rsidRDefault="00E30E49">
        <w:pPr>
          <w:pStyle w:val="Footer"/>
        </w:pPr>
        <w:r>
          <w:fldChar w:fldCharType="begin"/>
        </w:r>
        <w:r>
          <w:instrText xml:space="preserve"> PAGE   \* MERGEFORMAT </w:instrText>
        </w:r>
        <w:r>
          <w:fldChar w:fldCharType="separate"/>
        </w:r>
        <w:r>
          <w:rPr>
            <w:noProof/>
          </w:rPr>
          <w:t>22</w:t>
        </w:r>
        <w:r>
          <w:rPr>
            <w:noProof/>
          </w:rPr>
          <w:fldChar w:fldCharType="end"/>
        </w:r>
        <w:r>
          <w:rPr>
            <w:noProof/>
          </w:rPr>
          <w:tab/>
        </w:r>
        <w:r>
          <w:rPr>
            <w:noProof/>
          </w:rPr>
          <w:tab/>
        </w:r>
        <w:r>
          <w:t xml:space="preserve">MSAC </w:t>
        </w:r>
        <w:r w:rsidRPr="00807A3E">
          <w:t xml:space="preserve">assessment </w:t>
        </w:r>
        <w:r w:rsidRPr="00EC72A9">
          <w:t>report 1354.1 – IVUS</w:t>
        </w:r>
        <w:r>
          <w:t>-guided coronary stent insertion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11700"/>
      <w:docPartObj>
        <w:docPartGallery w:val="Page Numbers (Bottom of Page)"/>
        <w:docPartUnique/>
      </w:docPartObj>
    </w:sdtPr>
    <w:sdtEndPr>
      <w:rPr>
        <w:noProof/>
      </w:rPr>
    </w:sdtEndPr>
    <w:sdtContent>
      <w:p w14:paraId="46B1F1EB" w14:textId="617B61D3" w:rsidR="00E30E49" w:rsidRPr="00EE53BC" w:rsidRDefault="00E30E49" w:rsidP="00EE53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6EE75" w14:textId="77777777" w:rsidR="00E30E49" w:rsidRDefault="00E30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FA016" w14:textId="77777777" w:rsidR="00E30E49" w:rsidRDefault="00E30E49" w:rsidP="00B62DF2">
      <w:pPr>
        <w:spacing w:after="0" w:line="240" w:lineRule="auto"/>
      </w:pPr>
      <w:r>
        <w:separator/>
      </w:r>
    </w:p>
  </w:footnote>
  <w:footnote w:type="continuationSeparator" w:id="0">
    <w:p w14:paraId="088272D7" w14:textId="77777777" w:rsidR="00E30E49" w:rsidRDefault="00E30E49" w:rsidP="00B62DF2">
      <w:pPr>
        <w:spacing w:after="0" w:line="240" w:lineRule="auto"/>
      </w:pPr>
      <w:r>
        <w:continuationSeparator/>
      </w:r>
    </w:p>
  </w:footnote>
  <w:footnote w:type="continuationNotice" w:id="1">
    <w:p w14:paraId="1E20E91F" w14:textId="77777777" w:rsidR="00E30E49" w:rsidRDefault="00E30E49">
      <w:pPr>
        <w:spacing w:before="0" w:after="0" w:line="240" w:lineRule="auto"/>
      </w:pPr>
    </w:p>
  </w:footnote>
  <w:footnote w:id="2">
    <w:p w14:paraId="51CB3899" w14:textId="44271563" w:rsidR="00E30E49" w:rsidRDefault="00E30E49">
      <w:pPr>
        <w:pStyle w:val="FootnoteText"/>
      </w:pPr>
      <w:r>
        <w:rPr>
          <w:rStyle w:val="FootnoteReference"/>
        </w:rPr>
        <w:footnoteRef/>
      </w:r>
      <w:r>
        <w:t xml:space="preserve"> </w:t>
      </w:r>
      <w:r w:rsidRPr="00387168">
        <w:t xml:space="preserve">Elgendy IY, Gad M, Jain A, </w:t>
      </w:r>
      <w:r>
        <w:t>Mahmoud AN, Mintz GS</w:t>
      </w:r>
      <w:r w:rsidRPr="00387168">
        <w:t xml:space="preserve"> </w:t>
      </w:r>
      <w:r>
        <w:t>(</w:t>
      </w:r>
      <w:r w:rsidRPr="00387168">
        <w:t>2019</w:t>
      </w:r>
      <w:r>
        <w:t>)</w:t>
      </w:r>
      <w:r w:rsidRPr="00387168">
        <w:t xml:space="preserve">. Outcomes </w:t>
      </w:r>
      <w:r>
        <w:t>w</w:t>
      </w:r>
      <w:r w:rsidRPr="00387168">
        <w:t xml:space="preserve">ith </w:t>
      </w:r>
      <w:r>
        <w:t>i</w:t>
      </w:r>
      <w:r w:rsidRPr="00387168">
        <w:t xml:space="preserve">ntravascular </w:t>
      </w:r>
      <w:r>
        <w:t>u</w:t>
      </w:r>
      <w:r w:rsidRPr="00387168">
        <w:t>ltrasound-</w:t>
      </w:r>
      <w:r>
        <w:t>g</w:t>
      </w:r>
      <w:r w:rsidRPr="00387168">
        <w:t xml:space="preserve">uided </w:t>
      </w:r>
      <w:r>
        <w:t>d</w:t>
      </w:r>
      <w:r w:rsidRPr="00387168">
        <w:t xml:space="preserve">rug </w:t>
      </w:r>
      <w:r>
        <w:t>e</w:t>
      </w:r>
      <w:r w:rsidRPr="00387168">
        <w:t xml:space="preserve">luting </w:t>
      </w:r>
      <w:r>
        <w:t>s</w:t>
      </w:r>
      <w:r w:rsidRPr="00387168">
        <w:t xml:space="preserve">tent </w:t>
      </w:r>
      <w:r>
        <w:t>i</w:t>
      </w:r>
      <w:r w:rsidRPr="00387168">
        <w:t xml:space="preserve">mplantation for </w:t>
      </w:r>
      <w:r>
        <w:t>u</w:t>
      </w:r>
      <w:r w:rsidRPr="00387168">
        <w:t xml:space="preserve">nprotected </w:t>
      </w:r>
      <w:r>
        <w:t>l</w:t>
      </w:r>
      <w:r w:rsidRPr="00387168">
        <w:t xml:space="preserve">eft </w:t>
      </w:r>
      <w:r>
        <w:t>m</w:t>
      </w:r>
      <w:r w:rsidRPr="00387168">
        <w:t xml:space="preserve">ain </w:t>
      </w:r>
      <w:r>
        <w:t>c</w:t>
      </w:r>
      <w:r w:rsidRPr="00387168">
        <w:t xml:space="preserve">oronary </w:t>
      </w:r>
      <w:r>
        <w:t>l</w:t>
      </w:r>
      <w:r w:rsidRPr="00387168">
        <w:t xml:space="preserve">esions: </w:t>
      </w:r>
      <w:r>
        <w:t>a</w:t>
      </w:r>
      <w:r w:rsidRPr="00387168">
        <w:t xml:space="preserve"> </w:t>
      </w:r>
      <w:r>
        <w:t>m</w:t>
      </w:r>
      <w:r w:rsidRPr="00387168">
        <w:t xml:space="preserve">eta-analysis. </w:t>
      </w:r>
      <w:r w:rsidRPr="00387168">
        <w:rPr>
          <w:i/>
        </w:rPr>
        <w:t>Am J Cardiol,</w:t>
      </w:r>
      <w:r w:rsidRPr="00387168">
        <w:t xml:space="preserve"> </w:t>
      </w:r>
      <w:r w:rsidRPr="0033269C">
        <w:rPr>
          <w:b/>
          <w:bCs/>
        </w:rPr>
        <w:t>124</w:t>
      </w:r>
      <w:r>
        <w:rPr>
          <w:bCs/>
        </w:rPr>
        <w:t>(10):</w:t>
      </w:r>
      <w:r w:rsidRPr="00387168">
        <w:t>1652-1653.</w:t>
      </w:r>
    </w:p>
  </w:footnote>
  <w:footnote w:id="3">
    <w:p w14:paraId="5E6F1E01" w14:textId="40333FF5" w:rsidR="00E30E49" w:rsidRDefault="00E30E49">
      <w:pPr>
        <w:pStyle w:val="FootnoteText"/>
      </w:pPr>
      <w:r>
        <w:rPr>
          <w:rStyle w:val="FootnoteReference"/>
        </w:rPr>
        <w:footnoteRef/>
      </w:r>
      <w:r>
        <w:t xml:space="preserve"> </w:t>
      </w:r>
      <w:r w:rsidRPr="0061173B">
        <w:t xml:space="preserve">Mentias A, Sarrazin MV, Saad M, Panaich S, Kapadia S, Horwitz PA et al. (2020). Long-term outcomes of coronary stenting with and without use of intravascular ultrasound. </w:t>
      </w:r>
      <w:r w:rsidRPr="0061173B">
        <w:rPr>
          <w:i/>
          <w:iCs/>
        </w:rPr>
        <w:t>JACC Cardiovasc Interv</w:t>
      </w:r>
      <w:r w:rsidRPr="0061173B">
        <w:t xml:space="preserve">, </w:t>
      </w:r>
      <w:r w:rsidRPr="0061173B">
        <w:rPr>
          <w:b/>
          <w:bCs/>
        </w:rPr>
        <w:t>13</w:t>
      </w:r>
      <w:r w:rsidRPr="0061173B">
        <w:t>(16):1880-1890.</w:t>
      </w:r>
    </w:p>
  </w:footnote>
  <w:footnote w:id="4">
    <w:p w14:paraId="0CD067F6" w14:textId="77777777" w:rsidR="00E30E49" w:rsidRDefault="00E30E49" w:rsidP="004A2599">
      <w:pPr>
        <w:pStyle w:val="FootnoteText"/>
      </w:pPr>
      <w:r>
        <w:rPr>
          <w:rStyle w:val="FootnoteReference"/>
        </w:rPr>
        <w:footnoteRef/>
      </w:r>
      <w:r>
        <w:t xml:space="preserve"> Zhang J, Gao X, Kan J, Ge Z, Han L, Lu S et al. (2018). Intravascular ultrasound versus angiography-guided drug-eluting stent implantation: the ULTIMATE trial. </w:t>
      </w:r>
      <w:r>
        <w:rPr>
          <w:i/>
          <w:iCs/>
        </w:rPr>
        <w:t>J Am Coll Cardiol</w:t>
      </w:r>
      <w:r>
        <w:t xml:space="preserve">, </w:t>
      </w:r>
      <w:r>
        <w:rPr>
          <w:b/>
          <w:bCs/>
        </w:rPr>
        <w:t>72</w:t>
      </w:r>
      <w:r>
        <w:t>(24):3126-3137.</w:t>
      </w:r>
    </w:p>
  </w:footnote>
  <w:footnote w:id="5">
    <w:p w14:paraId="1E202949" w14:textId="77777777" w:rsidR="00E30E49" w:rsidRPr="00C96FB8" w:rsidRDefault="00E30E49" w:rsidP="004A2599">
      <w:pPr>
        <w:pStyle w:val="FootnoteText"/>
      </w:pPr>
      <w:r>
        <w:rPr>
          <w:rStyle w:val="FootnoteReference"/>
        </w:rPr>
        <w:footnoteRef/>
      </w:r>
      <w:r w:rsidRPr="0061173B">
        <w:t xml:space="preserve"> Mentias A, Sarrazin MV, Saad M, Panaich S, Kapadia S, Horwitz PA et al. (2020). Long-term outcomes of coronary stenting with and without use of intravascular ultrasound. </w:t>
      </w:r>
      <w:r w:rsidRPr="0061173B">
        <w:rPr>
          <w:i/>
          <w:iCs/>
        </w:rPr>
        <w:t>JACC Cardiovasc Interv</w:t>
      </w:r>
      <w:r w:rsidRPr="0061173B">
        <w:t xml:space="preserve">, </w:t>
      </w:r>
      <w:r w:rsidRPr="0061173B">
        <w:rPr>
          <w:b/>
          <w:bCs/>
        </w:rPr>
        <w:t>13</w:t>
      </w:r>
      <w:r w:rsidRPr="0061173B">
        <w:t>(16):1880-1890.</w:t>
      </w:r>
    </w:p>
  </w:footnote>
  <w:footnote w:id="6">
    <w:p w14:paraId="58D06DE3" w14:textId="77777777" w:rsidR="00E30E49" w:rsidRPr="0033269C" w:rsidRDefault="00E30E49" w:rsidP="00631EAA">
      <w:pPr>
        <w:pStyle w:val="FootnoteText"/>
        <w:rPr>
          <w:bCs/>
        </w:rPr>
      </w:pPr>
      <w:r>
        <w:rPr>
          <w:rStyle w:val="FootnoteReference"/>
        </w:rPr>
        <w:footnoteRef/>
      </w:r>
      <w:r>
        <w:t xml:space="preserve"> </w:t>
      </w:r>
      <w:r w:rsidRPr="00387168">
        <w:t xml:space="preserve">Elgendy IY, Gad M, Jain A, </w:t>
      </w:r>
      <w:r>
        <w:t>Mahmoud AN, Mintz GS</w:t>
      </w:r>
      <w:r w:rsidRPr="00387168">
        <w:t xml:space="preserve"> </w:t>
      </w:r>
      <w:r>
        <w:t>(</w:t>
      </w:r>
      <w:r w:rsidRPr="00387168">
        <w:t>2019</w:t>
      </w:r>
      <w:r>
        <w:t>)</w:t>
      </w:r>
      <w:r w:rsidRPr="00387168">
        <w:t xml:space="preserve">. Outcomes </w:t>
      </w:r>
      <w:r>
        <w:t>w</w:t>
      </w:r>
      <w:r w:rsidRPr="00387168">
        <w:t xml:space="preserve">ith </w:t>
      </w:r>
      <w:r>
        <w:t>i</w:t>
      </w:r>
      <w:r w:rsidRPr="00387168">
        <w:t xml:space="preserve">ntravascular </w:t>
      </w:r>
      <w:r>
        <w:t>u</w:t>
      </w:r>
      <w:r w:rsidRPr="00387168">
        <w:t>ltrasound-</w:t>
      </w:r>
      <w:r>
        <w:t>g</w:t>
      </w:r>
      <w:r w:rsidRPr="00387168">
        <w:t xml:space="preserve">uided </w:t>
      </w:r>
      <w:r>
        <w:t>d</w:t>
      </w:r>
      <w:r w:rsidRPr="00387168">
        <w:t xml:space="preserve">rug </w:t>
      </w:r>
      <w:r>
        <w:t>e</w:t>
      </w:r>
      <w:r w:rsidRPr="00387168">
        <w:t xml:space="preserve">luting </w:t>
      </w:r>
      <w:r>
        <w:t>s</w:t>
      </w:r>
      <w:r w:rsidRPr="00387168">
        <w:t xml:space="preserve">tent </w:t>
      </w:r>
      <w:r>
        <w:t>i</w:t>
      </w:r>
      <w:r w:rsidRPr="00387168">
        <w:t xml:space="preserve">mplantation for </w:t>
      </w:r>
      <w:r>
        <w:t>u</w:t>
      </w:r>
      <w:r w:rsidRPr="00387168">
        <w:t xml:space="preserve">nprotected </w:t>
      </w:r>
      <w:r>
        <w:t>l</w:t>
      </w:r>
      <w:r w:rsidRPr="00387168">
        <w:t xml:space="preserve">eft </w:t>
      </w:r>
      <w:r>
        <w:t>m</w:t>
      </w:r>
      <w:r w:rsidRPr="00387168">
        <w:t xml:space="preserve">ain </w:t>
      </w:r>
      <w:r>
        <w:t>c</w:t>
      </w:r>
      <w:r w:rsidRPr="00387168">
        <w:t xml:space="preserve">oronary </w:t>
      </w:r>
      <w:r>
        <w:t>l</w:t>
      </w:r>
      <w:r w:rsidRPr="00387168">
        <w:t xml:space="preserve">esions: </w:t>
      </w:r>
      <w:r>
        <w:t>a</w:t>
      </w:r>
      <w:r w:rsidRPr="00387168">
        <w:t xml:space="preserve"> </w:t>
      </w:r>
      <w:r>
        <w:t>m</w:t>
      </w:r>
      <w:r w:rsidRPr="00387168">
        <w:t xml:space="preserve">eta-analysis. </w:t>
      </w:r>
      <w:r w:rsidRPr="00387168">
        <w:rPr>
          <w:i/>
        </w:rPr>
        <w:t>Am J Cardiol,</w:t>
      </w:r>
      <w:r w:rsidRPr="00387168">
        <w:t xml:space="preserve"> </w:t>
      </w:r>
      <w:r w:rsidRPr="0033269C">
        <w:rPr>
          <w:b/>
          <w:bCs/>
        </w:rPr>
        <w:t>124</w:t>
      </w:r>
      <w:r>
        <w:rPr>
          <w:bCs/>
        </w:rPr>
        <w:t>(10):</w:t>
      </w:r>
      <w:r w:rsidRPr="00387168">
        <w:t>1652-1653.</w:t>
      </w:r>
    </w:p>
  </w:footnote>
  <w:footnote w:id="7">
    <w:p w14:paraId="52DCA8FD" w14:textId="77777777" w:rsidR="00E30E49" w:rsidRDefault="00E30E49" w:rsidP="004A2599">
      <w:pPr>
        <w:pStyle w:val="FootnoteText"/>
      </w:pPr>
      <w:r>
        <w:rPr>
          <w:rStyle w:val="FootnoteReference"/>
        </w:rPr>
        <w:footnoteRef/>
      </w:r>
      <w:r>
        <w:t xml:space="preserve"> </w:t>
      </w:r>
      <w:r w:rsidRPr="00F41637">
        <w:t xml:space="preserve">Gao XF, Ge Z, Kong XQ, Kan J, Han L et al. (2021). 3-year outcomes of the ULTIMATE trial comparing intravascular ultrasound versus angiography-guided drug-eluting stent implantation. </w:t>
      </w:r>
      <w:r w:rsidRPr="00F41637">
        <w:rPr>
          <w:i/>
          <w:iCs/>
        </w:rPr>
        <w:t>JACC Cardiovasc Interv</w:t>
      </w:r>
      <w:r w:rsidRPr="00F41637">
        <w:t xml:space="preserve">, </w:t>
      </w:r>
      <w:r w:rsidRPr="00F41637">
        <w:rPr>
          <w:b/>
          <w:bCs/>
        </w:rPr>
        <w:t>14</w:t>
      </w:r>
      <w:r w:rsidRPr="00F41637">
        <w:t>(3):247-257.</w:t>
      </w:r>
    </w:p>
  </w:footnote>
  <w:footnote w:id="8">
    <w:p w14:paraId="33316968" w14:textId="66432FDA" w:rsidR="00E30E49" w:rsidRDefault="00E30E49">
      <w:pPr>
        <w:pStyle w:val="FootnoteText"/>
      </w:pPr>
      <w:r>
        <w:rPr>
          <w:rStyle w:val="FootnoteReference"/>
        </w:rPr>
        <w:footnoteRef/>
      </w:r>
      <w:r>
        <w:t xml:space="preserve"> </w:t>
      </w:r>
      <w:r w:rsidRPr="00F41637">
        <w:t xml:space="preserve">Tan Q, Wang Q, Liu D, Zhang S, Zhang Y, Li Y (2015). Intravascular ultrasound-guided unprotected left main coronary artery stenting in the elderly. </w:t>
      </w:r>
      <w:r w:rsidRPr="00F41637">
        <w:rPr>
          <w:i/>
          <w:iCs/>
        </w:rPr>
        <w:t>Saudi Med J</w:t>
      </w:r>
      <w:r w:rsidRPr="00F41637">
        <w:t xml:space="preserve">, </w:t>
      </w:r>
      <w:r w:rsidRPr="00F41637">
        <w:rPr>
          <w:b/>
          <w:bCs/>
        </w:rPr>
        <w:t>36</w:t>
      </w:r>
      <w:r w:rsidRPr="00F41637">
        <w:t>(5):549-553.</w:t>
      </w:r>
    </w:p>
  </w:footnote>
  <w:footnote w:id="9">
    <w:p w14:paraId="56D3FF67" w14:textId="77777777" w:rsidR="00E30E49" w:rsidRDefault="00E30E49" w:rsidP="004A2599">
      <w:pPr>
        <w:pStyle w:val="FootnoteText"/>
      </w:pPr>
      <w:r>
        <w:rPr>
          <w:rStyle w:val="FootnoteReference"/>
        </w:rPr>
        <w:footnoteRef/>
      </w:r>
      <w:r>
        <w:t xml:space="preserve"> Hong SJ, Mintz GS, Ahn CM, Kim JS, Kim BK, Ko YG et al. (2020). Effect of intravascular ultrasound-guided drug-eluting stent implantation: 5-year follow-up of the IVUS-XPL randomized trial. </w:t>
      </w:r>
      <w:r>
        <w:rPr>
          <w:i/>
          <w:iCs/>
        </w:rPr>
        <w:t>JACC Cardiovasc Interv</w:t>
      </w:r>
      <w:r>
        <w:t xml:space="preserve">, </w:t>
      </w:r>
      <w:r>
        <w:rPr>
          <w:b/>
          <w:bCs/>
        </w:rPr>
        <w:t>13</w:t>
      </w:r>
      <w:r>
        <w:t>(1):62-71.</w:t>
      </w:r>
    </w:p>
  </w:footnote>
  <w:footnote w:id="10">
    <w:p w14:paraId="54480846" w14:textId="77777777" w:rsidR="00E30E49" w:rsidRPr="0033269C" w:rsidRDefault="00E30E49" w:rsidP="00282390">
      <w:pPr>
        <w:pStyle w:val="FootnoteText"/>
        <w:rPr>
          <w:bCs/>
        </w:rPr>
      </w:pPr>
      <w:r>
        <w:rPr>
          <w:rStyle w:val="FootnoteReference"/>
        </w:rPr>
        <w:footnoteRef/>
      </w:r>
      <w:r>
        <w:t xml:space="preserve"> </w:t>
      </w:r>
      <w:r w:rsidRPr="00387168">
        <w:t xml:space="preserve">Elgendy IY, Gad M, Jain A, </w:t>
      </w:r>
      <w:r>
        <w:t>Mahmoud AN, Mintz GS</w:t>
      </w:r>
      <w:r w:rsidRPr="00387168">
        <w:t xml:space="preserve"> </w:t>
      </w:r>
      <w:r>
        <w:t>(</w:t>
      </w:r>
      <w:r w:rsidRPr="00387168">
        <w:t>2019</w:t>
      </w:r>
      <w:r>
        <w:t>)</w:t>
      </w:r>
      <w:r w:rsidRPr="00387168">
        <w:t xml:space="preserve">. Outcomes </w:t>
      </w:r>
      <w:r>
        <w:t>w</w:t>
      </w:r>
      <w:r w:rsidRPr="00387168">
        <w:t xml:space="preserve">ith </w:t>
      </w:r>
      <w:r>
        <w:t>i</w:t>
      </w:r>
      <w:r w:rsidRPr="00387168">
        <w:t xml:space="preserve">ntravascular </w:t>
      </w:r>
      <w:r>
        <w:t>u</w:t>
      </w:r>
      <w:r w:rsidRPr="00387168">
        <w:t>ltrasound-</w:t>
      </w:r>
      <w:r>
        <w:t>g</w:t>
      </w:r>
      <w:r w:rsidRPr="00387168">
        <w:t xml:space="preserve">uided </w:t>
      </w:r>
      <w:r>
        <w:t>d</w:t>
      </w:r>
      <w:r w:rsidRPr="00387168">
        <w:t xml:space="preserve">rug </w:t>
      </w:r>
      <w:r>
        <w:t>e</w:t>
      </w:r>
      <w:r w:rsidRPr="00387168">
        <w:t xml:space="preserve">luting </w:t>
      </w:r>
      <w:r>
        <w:t>s</w:t>
      </w:r>
      <w:r w:rsidRPr="00387168">
        <w:t xml:space="preserve">tent </w:t>
      </w:r>
      <w:r>
        <w:t>i</w:t>
      </w:r>
      <w:r w:rsidRPr="00387168">
        <w:t xml:space="preserve">mplantation for </w:t>
      </w:r>
      <w:r>
        <w:t>u</w:t>
      </w:r>
      <w:r w:rsidRPr="00387168">
        <w:t xml:space="preserve">nprotected </w:t>
      </w:r>
      <w:r>
        <w:t>l</w:t>
      </w:r>
      <w:r w:rsidRPr="00387168">
        <w:t xml:space="preserve">eft </w:t>
      </w:r>
      <w:r>
        <w:t>m</w:t>
      </w:r>
      <w:r w:rsidRPr="00387168">
        <w:t xml:space="preserve">ain </w:t>
      </w:r>
      <w:r>
        <w:t>c</w:t>
      </w:r>
      <w:r w:rsidRPr="00387168">
        <w:t xml:space="preserve">oronary </w:t>
      </w:r>
      <w:r>
        <w:t>l</w:t>
      </w:r>
      <w:r w:rsidRPr="00387168">
        <w:t xml:space="preserve">esions: </w:t>
      </w:r>
      <w:r>
        <w:t>a</w:t>
      </w:r>
      <w:r w:rsidRPr="00387168">
        <w:t xml:space="preserve"> </w:t>
      </w:r>
      <w:r>
        <w:t>m</w:t>
      </w:r>
      <w:r w:rsidRPr="00387168">
        <w:t xml:space="preserve">eta-analysis. </w:t>
      </w:r>
      <w:r w:rsidRPr="00387168">
        <w:rPr>
          <w:i/>
        </w:rPr>
        <w:t>Am J Cardiol,</w:t>
      </w:r>
      <w:r w:rsidRPr="00387168">
        <w:t xml:space="preserve"> </w:t>
      </w:r>
      <w:r w:rsidRPr="0033269C">
        <w:rPr>
          <w:b/>
          <w:bCs/>
        </w:rPr>
        <w:t>124</w:t>
      </w:r>
      <w:r>
        <w:rPr>
          <w:bCs/>
        </w:rPr>
        <w:t>(10):</w:t>
      </w:r>
      <w:r w:rsidRPr="00387168">
        <w:t>1652-1653.</w:t>
      </w:r>
    </w:p>
  </w:footnote>
  <w:footnote w:id="11">
    <w:p w14:paraId="2DC04189" w14:textId="1206E371" w:rsidR="00E30E49" w:rsidRDefault="00E30E49">
      <w:pPr>
        <w:pStyle w:val="FootnoteText"/>
      </w:pPr>
      <w:r>
        <w:rPr>
          <w:rStyle w:val="FootnoteReference"/>
        </w:rPr>
        <w:footnoteRef/>
      </w:r>
      <w:r>
        <w:t xml:space="preserve"> </w:t>
      </w:r>
      <w:r w:rsidRPr="00201CFC">
        <w:t>Lefkovits, J. et al. The Victorian Cardiac Outcomes Registry Annual Report 2021. (Monash University, Melbourne, Victoria, 2021).</w:t>
      </w:r>
    </w:p>
  </w:footnote>
  <w:footnote w:id="12">
    <w:p w14:paraId="06374CAE" w14:textId="3B514CD5" w:rsidR="00E30E49" w:rsidRDefault="00E30E49">
      <w:pPr>
        <w:pStyle w:val="FootnoteText"/>
      </w:pPr>
      <w:r>
        <w:rPr>
          <w:rStyle w:val="FootnoteReference"/>
        </w:rPr>
        <w:footnoteRef/>
      </w:r>
      <w:r>
        <w:t xml:space="preserve"> </w:t>
      </w:r>
      <w:r w:rsidRPr="00201CFC">
        <w:t>Liu, X. M. et al. Intravascular ultrasound-guided drug-eluting stent implantation for patients with unprotected left main coronary artery lesions: A single-center randomized trial. Anatol J Cardiol 21, 83-90, doi:10.14744/AnatolJCardiol.2018.21447 (2019).</w:t>
      </w:r>
    </w:p>
  </w:footnote>
  <w:footnote w:id="13">
    <w:p w14:paraId="6B2E5706" w14:textId="5A226820" w:rsidR="00E30E49" w:rsidRDefault="00E30E49">
      <w:pPr>
        <w:pStyle w:val="FootnoteText"/>
      </w:pPr>
      <w:r>
        <w:rPr>
          <w:rStyle w:val="FootnoteReference"/>
        </w:rPr>
        <w:footnoteRef/>
      </w:r>
      <w:r>
        <w:t xml:space="preserve"> </w:t>
      </w:r>
      <w:r w:rsidRPr="00201CFC">
        <w:t>Tan, Q. et al. Intravascular ultrasound-guided unprotected left main coronary artery stenting in the elderly. Saudi Med J 36, 549-553, doi:10.15537/smj.2015.5.11251 (2015).</w:t>
      </w:r>
    </w:p>
  </w:footnote>
  <w:footnote w:id="14">
    <w:p w14:paraId="25C458BA" w14:textId="73B9EF76" w:rsidR="00E30E49" w:rsidRDefault="00E30E49">
      <w:pPr>
        <w:pStyle w:val="FootnoteText"/>
      </w:pPr>
      <w:r>
        <w:rPr>
          <w:rStyle w:val="FootnoteReference"/>
        </w:rPr>
        <w:footnoteRef/>
      </w:r>
      <w:r>
        <w:t xml:space="preserve"> D</w:t>
      </w:r>
      <w:r w:rsidRPr="00E03226">
        <w:t xml:space="preserve">efined as a composite of multivessel disease, bifurcation with </w:t>
      </w:r>
      <w:r>
        <w:t>2</w:t>
      </w:r>
      <w:r w:rsidRPr="00E03226">
        <w:t xml:space="preserve"> stents implanted, </w:t>
      </w:r>
      <w:r>
        <w:rPr>
          <w:rFonts w:cstheme="minorHAnsi"/>
        </w:rPr>
        <w:t>≥</w:t>
      </w:r>
      <w:r>
        <w:t xml:space="preserve"> </w:t>
      </w:r>
      <w:r w:rsidRPr="00E03226">
        <w:t xml:space="preserve">moderate calcification, chronic total occlusion, </w:t>
      </w:r>
      <w:r>
        <w:t>&gt;3</w:t>
      </w:r>
      <w:r w:rsidRPr="00E03226">
        <w:t xml:space="preserve"> stents implanted, and total stent length </w:t>
      </w:r>
      <w:r>
        <w:t>&gt;</w:t>
      </w:r>
      <w:r w:rsidRPr="00E03226">
        <w:t xml:space="preserve"> 90 mm</w:t>
      </w:r>
    </w:p>
  </w:footnote>
  <w:footnote w:id="15">
    <w:p w14:paraId="12FB9D7C" w14:textId="7153F764" w:rsidR="00E30E49" w:rsidRDefault="00E30E49" w:rsidP="0062163A">
      <w:pPr>
        <w:pStyle w:val="FootnoteText"/>
      </w:pPr>
      <w:r>
        <w:rPr>
          <w:rStyle w:val="FootnoteReference"/>
        </w:rPr>
        <w:footnoteRef/>
      </w:r>
      <w:r>
        <w:t xml:space="preserve"> In ULTIMATE, IVUS-defined ‘optimal’ procedures were identified if three criteria were simultaneously met: 1) minimum luminal area in the stented segment more than 5.0 mm</w:t>
      </w:r>
      <w:r w:rsidRPr="0062163A">
        <w:rPr>
          <w:vertAlign w:val="superscript"/>
        </w:rPr>
        <w:t>2</w:t>
      </w:r>
      <w:r>
        <w:t xml:space="preserve"> or 90% of the minimal luminal area at the distal reference segments; 2) plaque burden 5 mm proximal or distal to the stent edge &lt;50%; and 3) no edge dissection involving the media with length more than 3 mm. In the IVUS-XPL trial an ‘optimal’ IVUS-guided stenting procedure was defined as the attainment of a minimal luminal cross-sectional area greater than the luminal cross-sectional area at the distal reference segments (i.e., expansion index &gt;1.0).</w:t>
      </w:r>
    </w:p>
  </w:footnote>
  <w:footnote w:id="16">
    <w:p w14:paraId="37E8FB3E" w14:textId="34A900E9" w:rsidR="00E30E49" w:rsidRDefault="00E30E49">
      <w:pPr>
        <w:pStyle w:val="FootnoteText"/>
      </w:pPr>
      <w:r>
        <w:rPr>
          <w:rStyle w:val="FootnoteReference"/>
        </w:rPr>
        <w:footnoteRef/>
      </w:r>
      <w:r>
        <w:t xml:space="preserve"> Kim, J.-S.</w:t>
      </w:r>
      <w:r>
        <w:rPr>
          <w:i/>
        </w:rPr>
        <w:t xml:space="preserve"> et al.</w:t>
      </w:r>
      <w:r>
        <w:t xml:space="preserve"> Randomized Comparison of Clinical Outcomes Between Intravascular Ultrasound and Angiography-Guided Drug-Eluting Stent Implantation for Long Coronary Artery Stenoses. </w:t>
      </w:r>
      <w:r>
        <w:rPr>
          <w:i/>
        </w:rPr>
        <w:t>JACC Cardiovasc Interv</w:t>
      </w:r>
      <w:r>
        <w:t xml:space="preserve"> </w:t>
      </w:r>
      <w:r>
        <w:rPr>
          <w:b/>
        </w:rPr>
        <w:t>6</w:t>
      </w:r>
      <w:r>
        <w:t xml:space="preserve">, 369-376, doi: </w:t>
      </w:r>
      <w:hyperlink r:id="rId1" w:history="1">
        <w:r>
          <w:rPr>
            <w:rStyle w:val="Hyperlink"/>
          </w:rPr>
          <w:t>https://doi.org/10.1016/j.jcin.2012.11.009</w:t>
        </w:r>
      </w:hyperlink>
      <w:r>
        <w:t xml:space="preserve"> (2013).</w:t>
      </w:r>
    </w:p>
  </w:footnote>
  <w:footnote w:id="17">
    <w:p w14:paraId="797235DA" w14:textId="77777777" w:rsidR="00E30E49" w:rsidRDefault="00E30E49" w:rsidP="00CF175F">
      <w:pPr>
        <w:pStyle w:val="FootnoteText"/>
      </w:pPr>
      <w:r>
        <w:rPr>
          <w:rStyle w:val="FootnoteReference"/>
        </w:rPr>
        <w:footnoteRef/>
      </w:r>
      <w:r>
        <w:t xml:space="preserve"> Zhou, J.</w:t>
      </w:r>
      <w:r>
        <w:rPr>
          <w:i/>
        </w:rPr>
        <w:t xml:space="preserve"> et al.</w:t>
      </w:r>
      <w:r>
        <w:t xml:space="preserve"> Intravascular Ultrasound Versus Angiography-Guided Drug-Eluting Stent Implantation: A Health Economic Analysis. </w:t>
      </w:r>
      <w:r>
        <w:rPr>
          <w:i/>
        </w:rPr>
        <w:t>Circ Cardiovasc Qual Outcomes</w:t>
      </w:r>
      <w:r>
        <w:t xml:space="preserve"> </w:t>
      </w:r>
      <w:r>
        <w:rPr>
          <w:b/>
        </w:rPr>
        <w:t>14</w:t>
      </w:r>
      <w:r>
        <w:t>, e006789, doi:10.1161/circoutcomes.120.006789 (2021)</w:t>
      </w:r>
    </w:p>
  </w:footnote>
  <w:footnote w:id="18">
    <w:p w14:paraId="1242654B" w14:textId="77777777" w:rsidR="00E30E49" w:rsidRDefault="00E30E49" w:rsidP="005F6A3D">
      <w:pPr>
        <w:pStyle w:val="FootnoteText"/>
      </w:pPr>
      <w:r>
        <w:rPr>
          <w:rStyle w:val="FootnoteReference"/>
        </w:rPr>
        <w:footnoteRef/>
      </w:r>
      <w:r>
        <w:t xml:space="preserve"> Zhang J, Gao X, Kan J, Ge Z, Han L, Lu S et al. (2018). Intravascular ultrasound versus angiography-guided drug-eluting stent implantation: the ULTIMATE trial. </w:t>
      </w:r>
      <w:r>
        <w:rPr>
          <w:i/>
          <w:iCs/>
        </w:rPr>
        <w:t>J Am Coll Cardiol</w:t>
      </w:r>
      <w:r>
        <w:t xml:space="preserve">, </w:t>
      </w:r>
      <w:r>
        <w:rPr>
          <w:b/>
          <w:bCs/>
        </w:rPr>
        <w:t>72</w:t>
      </w:r>
      <w:r>
        <w:t>(24):3126-3137.</w:t>
      </w:r>
    </w:p>
  </w:footnote>
  <w:footnote w:id="19">
    <w:p w14:paraId="1834BC40" w14:textId="77777777" w:rsidR="00E30E49" w:rsidRDefault="00E30E49" w:rsidP="005F6A3D">
      <w:pPr>
        <w:pStyle w:val="FootnoteText"/>
      </w:pPr>
      <w:r>
        <w:rPr>
          <w:rStyle w:val="FootnoteReference"/>
        </w:rPr>
        <w:footnoteRef/>
      </w:r>
      <w:r>
        <w:t xml:space="preserve"> Hong SJ, Kim BK, Shin DH, Nam CM, Kim JS, Ko YG et al. (2015). Effect of intravascular ultrasound-guided vs angiography-guided everolimus-eluting stent implantation: the IVUS-XPL randomized clinical trial. </w:t>
      </w:r>
      <w:r>
        <w:rPr>
          <w:i/>
          <w:iCs/>
        </w:rPr>
        <w:t>JAMA</w:t>
      </w:r>
      <w:r>
        <w:t xml:space="preserve">, </w:t>
      </w:r>
      <w:r>
        <w:rPr>
          <w:b/>
          <w:bCs/>
        </w:rPr>
        <w:t>314</w:t>
      </w:r>
      <w:r>
        <w:t>(20):2155-2163.</w:t>
      </w:r>
    </w:p>
  </w:footnote>
  <w:footnote w:id="20">
    <w:p w14:paraId="3A269A19" w14:textId="77777777" w:rsidR="00E30E49" w:rsidRDefault="00E30E49" w:rsidP="005F6A3D">
      <w:pPr>
        <w:pStyle w:val="FootnoteText"/>
        <w:rPr>
          <w:color w:val="000000"/>
        </w:rPr>
      </w:pPr>
      <w:r>
        <w:rPr>
          <w:rStyle w:val="FootnoteReference"/>
        </w:rPr>
        <w:footnoteRef/>
      </w:r>
      <w:r>
        <w:t xml:space="preserve"> American College of Cardiology and American Heart Association Joint Committee on Clinical Practice Guidelines (2022). 2021 ACC/AHA/SCAI Guideline for Coronary Artery Revascularization. </w:t>
      </w:r>
      <w:r>
        <w:rPr>
          <w:i/>
          <w:iCs/>
        </w:rPr>
        <w:t>JACC</w:t>
      </w:r>
      <w:r>
        <w:t xml:space="preserve">, </w:t>
      </w:r>
      <w:r>
        <w:rPr>
          <w:b/>
          <w:bCs/>
        </w:rPr>
        <w:t>79</w:t>
      </w:r>
      <w:r>
        <w:t>(2):e21-e129.</w:t>
      </w:r>
    </w:p>
  </w:footnote>
  <w:footnote w:id="21">
    <w:p w14:paraId="75F2896B" w14:textId="77777777" w:rsidR="00E30E49" w:rsidRDefault="00E30E49" w:rsidP="005F6A3D">
      <w:pPr>
        <w:pStyle w:val="FootnoteText"/>
      </w:pPr>
      <w:r>
        <w:rPr>
          <w:rStyle w:val="FootnoteReference"/>
        </w:rPr>
        <w:footnoteRef/>
      </w:r>
      <w:r>
        <w:t xml:space="preserve"> Gao XF, Ge Z, Kong XQ, Kan J, Han L et al. (2021). 3-year outcomes of the ULTIMATE trial comparing intravascular ultrasound versus angiography-guided drug-eluting stent implantation. </w:t>
      </w:r>
      <w:r>
        <w:rPr>
          <w:i/>
          <w:iCs/>
        </w:rPr>
        <w:t>JACC Cardiovasc Interv</w:t>
      </w:r>
      <w:r>
        <w:t xml:space="preserve">, </w:t>
      </w:r>
      <w:r>
        <w:rPr>
          <w:b/>
          <w:bCs/>
        </w:rPr>
        <w:t>14</w:t>
      </w:r>
      <w:r>
        <w:t>(3):247-257.</w:t>
      </w:r>
    </w:p>
  </w:footnote>
  <w:footnote w:id="22">
    <w:p w14:paraId="748ED3FD" w14:textId="77777777" w:rsidR="00E30E49" w:rsidRDefault="00E30E49" w:rsidP="005F6A3D">
      <w:pPr>
        <w:pStyle w:val="FootnoteText"/>
      </w:pPr>
      <w:r>
        <w:rPr>
          <w:rStyle w:val="FootnoteReference"/>
        </w:rPr>
        <w:footnoteRef/>
      </w:r>
      <w:r>
        <w:t xml:space="preserve"> Tan Q, Wang Q, Liu D, Zhang S, Zhang Y, Li Y (2015). Intravascular ultrasound-guided unprotected left main coronary artery stenting in the elderly. </w:t>
      </w:r>
      <w:r>
        <w:rPr>
          <w:i/>
          <w:iCs/>
        </w:rPr>
        <w:t>Saudi Med J</w:t>
      </w:r>
      <w:r>
        <w:t xml:space="preserve">, </w:t>
      </w:r>
      <w:r>
        <w:rPr>
          <w:b/>
          <w:bCs/>
        </w:rPr>
        <w:t>36</w:t>
      </w:r>
      <w:r>
        <w:t>(5):549-553.</w:t>
      </w:r>
    </w:p>
  </w:footnote>
  <w:footnote w:id="23">
    <w:p w14:paraId="26679682" w14:textId="77777777" w:rsidR="00E30E49" w:rsidRDefault="00E30E49" w:rsidP="005F6A3D">
      <w:pPr>
        <w:pStyle w:val="FootnoteText"/>
      </w:pPr>
      <w:r>
        <w:rPr>
          <w:rStyle w:val="FootnoteReference"/>
        </w:rPr>
        <w:footnoteRef/>
      </w:r>
      <w:r>
        <w:t xml:space="preserve"> Hong SJ, Mintz GS, Ahn CM, Kim JS, Kim BK, Ko YG et al. (2020). Effect of intravascular ultrasound-guided drug-eluting stent implantation: 5-year follow-up of the IVUS-XPL randomized trial. </w:t>
      </w:r>
      <w:r>
        <w:rPr>
          <w:i/>
          <w:iCs/>
        </w:rPr>
        <w:t>JACC Cardiovasc Interv</w:t>
      </w:r>
      <w:r>
        <w:t xml:space="preserve">, </w:t>
      </w:r>
      <w:r>
        <w:rPr>
          <w:b/>
          <w:bCs/>
        </w:rPr>
        <w:t>13</w:t>
      </w:r>
      <w:r>
        <w:t>(1):62-71.</w:t>
      </w:r>
    </w:p>
  </w:footnote>
  <w:footnote w:id="24">
    <w:p w14:paraId="6F05CDF8" w14:textId="77777777" w:rsidR="00E30E49" w:rsidRDefault="00E30E49" w:rsidP="005F6A3D">
      <w:pPr>
        <w:pStyle w:val="FootnoteText"/>
      </w:pPr>
      <w:r>
        <w:rPr>
          <w:rStyle w:val="FootnoteReference"/>
        </w:rPr>
        <w:footnoteRef/>
      </w:r>
      <w:r>
        <w:t xml:space="preserve"> Mentias A, Sarrazin MV, Saad M, Panaich S, Kapadia S, Horwitz PA et al. (2020). Long-term outcomes of coronary stenting with and without use of intravascular ultrasound. </w:t>
      </w:r>
      <w:r>
        <w:rPr>
          <w:i/>
          <w:iCs/>
        </w:rPr>
        <w:t>JACC Cardiovasc Interv</w:t>
      </w:r>
      <w:r>
        <w:t xml:space="preserve">, </w:t>
      </w:r>
      <w:r>
        <w:rPr>
          <w:b/>
          <w:bCs/>
        </w:rPr>
        <w:t>13</w:t>
      </w:r>
      <w:r>
        <w:t>(16):1880-1890.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45272" w14:textId="77777777" w:rsidR="00E30E49" w:rsidRDefault="00E30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0336B" w14:textId="77777777" w:rsidR="00E30E49" w:rsidRDefault="00E30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D3280" w14:textId="77777777" w:rsidR="00E30E49" w:rsidRDefault="00E30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348"/>
    <w:multiLevelType w:val="hybridMultilevel"/>
    <w:tmpl w:val="BF780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467FE"/>
    <w:multiLevelType w:val="hybridMultilevel"/>
    <w:tmpl w:val="BD201D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8429E"/>
    <w:multiLevelType w:val="hybridMultilevel"/>
    <w:tmpl w:val="7076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1783E"/>
    <w:multiLevelType w:val="hybridMultilevel"/>
    <w:tmpl w:val="52086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1247DC"/>
    <w:multiLevelType w:val="hybridMultilevel"/>
    <w:tmpl w:val="E7F0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8641F"/>
    <w:multiLevelType w:val="hybridMultilevel"/>
    <w:tmpl w:val="786EB1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47909"/>
    <w:multiLevelType w:val="hybridMultilevel"/>
    <w:tmpl w:val="2C4E3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D81344"/>
    <w:multiLevelType w:val="hybridMultilevel"/>
    <w:tmpl w:val="D6E0C87C"/>
    <w:lvl w:ilvl="0" w:tplc="0C090001">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1"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BF440B"/>
    <w:multiLevelType w:val="hybridMultilevel"/>
    <w:tmpl w:val="3230E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8D1632"/>
    <w:multiLevelType w:val="hybridMultilevel"/>
    <w:tmpl w:val="527CF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00E3F51"/>
    <w:multiLevelType w:val="hybridMultilevel"/>
    <w:tmpl w:val="9F24A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4A5BB2"/>
    <w:multiLevelType w:val="hybridMultilevel"/>
    <w:tmpl w:val="0A2EC3E2"/>
    <w:lvl w:ilvl="0" w:tplc="DF183732">
      <w:start w:val="1"/>
      <w:numFmt w:val="bulle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C71D76"/>
    <w:multiLevelType w:val="hybridMultilevel"/>
    <w:tmpl w:val="D39CA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C05552"/>
    <w:multiLevelType w:val="hybridMultilevel"/>
    <w:tmpl w:val="663C9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4"/>
  </w:num>
  <w:num w:numId="2">
    <w:abstractNumId w:val="9"/>
  </w:num>
  <w:num w:numId="3">
    <w:abstractNumId w:val="25"/>
  </w:num>
  <w:num w:numId="4">
    <w:abstractNumId w:val="4"/>
  </w:num>
  <w:num w:numId="5">
    <w:abstractNumId w:val="10"/>
  </w:num>
  <w:num w:numId="6">
    <w:abstractNumId w:val="21"/>
  </w:num>
  <w:num w:numId="7">
    <w:abstractNumId w:val="11"/>
  </w:num>
  <w:num w:numId="8">
    <w:abstractNumId w:val="12"/>
  </w:num>
  <w:num w:numId="9">
    <w:abstractNumId w:val="13"/>
  </w:num>
  <w:num w:numId="10">
    <w:abstractNumId w:val="18"/>
  </w:num>
  <w:num w:numId="11">
    <w:abstractNumId w:val="1"/>
  </w:num>
  <w:num w:numId="12">
    <w:abstractNumId w:val="3"/>
  </w:num>
  <w:num w:numId="13">
    <w:abstractNumId w:val="17"/>
  </w:num>
  <w:num w:numId="14">
    <w:abstractNumId w:val="22"/>
  </w:num>
  <w:num w:numId="15">
    <w:abstractNumId w:val="2"/>
  </w:num>
  <w:num w:numId="16">
    <w:abstractNumId w:val="16"/>
  </w:num>
  <w:num w:numId="17">
    <w:abstractNumId w:val="14"/>
  </w:num>
  <w:num w:numId="18">
    <w:abstractNumId w:val="20"/>
  </w:num>
  <w:num w:numId="19">
    <w:abstractNumId w:val="5"/>
  </w:num>
  <w:num w:numId="20">
    <w:abstractNumId w:val="15"/>
  </w:num>
  <w:num w:numId="21">
    <w:abstractNumId w:val="7"/>
  </w:num>
  <w:num w:numId="22">
    <w:abstractNumId w:val="0"/>
  </w:num>
  <w:num w:numId="23">
    <w:abstractNumId w:val="14"/>
  </w:num>
  <w:num w:numId="24">
    <w:abstractNumId w:val="23"/>
  </w:num>
  <w:num w:numId="25">
    <w:abstractNumId w:val="19"/>
  </w:num>
  <w:num w:numId="26">
    <w:abstractNumId w:val="6"/>
  </w:num>
  <w:num w:numId="27">
    <w:abstractNumId w:val="8"/>
  </w:num>
  <w:num w:numId="28">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1EA"/>
    <w:rsid w:val="00001AE6"/>
    <w:rsid w:val="00001D55"/>
    <w:rsid w:val="000044F6"/>
    <w:rsid w:val="00004D69"/>
    <w:rsid w:val="00004F7F"/>
    <w:rsid w:val="000054C9"/>
    <w:rsid w:val="000066A0"/>
    <w:rsid w:val="00007824"/>
    <w:rsid w:val="00011568"/>
    <w:rsid w:val="00014974"/>
    <w:rsid w:val="000158EE"/>
    <w:rsid w:val="000178AD"/>
    <w:rsid w:val="000228B8"/>
    <w:rsid w:val="0002381B"/>
    <w:rsid w:val="00024EA5"/>
    <w:rsid w:val="00025A47"/>
    <w:rsid w:val="0002755F"/>
    <w:rsid w:val="00032B94"/>
    <w:rsid w:val="0003423A"/>
    <w:rsid w:val="0003477F"/>
    <w:rsid w:val="00036AD8"/>
    <w:rsid w:val="00036B28"/>
    <w:rsid w:val="00037037"/>
    <w:rsid w:val="00037302"/>
    <w:rsid w:val="00037654"/>
    <w:rsid w:val="0004005D"/>
    <w:rsid w:val="000402CC"/>
    <w:rsid w:val="00040AB5"/>
    <w:rsid w:val="00040ADF"/>
    <w:rsid w:val="00040FB4"/>
    <w:rsid w:val="0004178C"/>
    <w:rsid w:val="00041DAE"/>
    <w:rsid w:val="00041F5D"/>
    <w:rsid w:val="00043E0F"/>
    <w:rsid w:val="000443A6"/>
    <w:rsid w:val="0004472E"/>
    <w:rsid w:val="000449D1"/>
    <w:rsid w:val="00044BB7"/>
    <w:rsid w:val="00045093"/>
    <w:rsid w:val="00045B8D"/>
    <w:rsid w:val="00045CC5"/>
    <w:rsid w:val="00046B6A"/>
    <w:rsid w:val="00047146"/>
    <w:rsid w:val="000472D4"/>
    <w:rsid w:val="00050EF1"/>
    <w:rsid w:val="00051B4B"/>
    <w:rsid w:val="00052DD3"/>
    <w:rsid w:val="0005326D"/>
    <w:rsid w:val="00053F6C"/>
    <w:rsid w:val="00054C03"/>
    <w:rsid w:val="00061475"/>
    <w:rsid w:val="0006339C"/>
    <w:rsid w:val="00064348"/>
    <w:rsid w:val="00064783"/>
    <w:rsid w:val="000647C2"/>
    <w:rsid w:val="0007021F"/>
    <w:rsid w:val="000709A0"/>
    <w:rsid w:val="00074199"/>
    <w:rsid w:val="000777FC"/>
    <w:rsid w:val="00080241"/>
    <w:rsid w:val="00080535"/>
    <w:rsid w:val="00081642"/>
    <w:rsid w:val="00081778"/>
    <w:rsid w:val="00082CD2"/>
    <w:rsid w:val="00084007"/>
    <w:rsid w:val="000859C7"/>
    <w:rsid w:val="00086513"/>
    <w:rsid w:val="000870B6"/>
    <w:rsid w:val="00090613"/>
    <w:rsid w:val="00090BD1"/>
    <w:rsid w:val="00091857"/>
    <w:rsid w:val="00091C59"/>
    <w:rsid w:val="0009246B"/>
    <w:rsid w:val="000928FF"/>
    <w:rsid w:val="00092A21"/>
    <w:rsid w:val="00093D9A"/>
    <w:rsid w:val="00094656"/>
    <w:rsid w:val="000957FB"/>
    <w:rsid w:val="00096B52"/>
    <w:rsid w:val="000A06A2"/>
    <w:rsid w:val="000A10BF"/>
    <w:rsid w:val="000A2ACD"/>
    <w:rsid w:val="000A2B65"/>
    <w:rsid w:val="000A2DA8"/>
    <w:rsid w:val="000A33FE"/>
    <w:rsid w:val="000A3C6C"/>
    <w:rsid w:val="000A4015"/>
    <w:rsid w:val="000A438F"/>
    <w:rsid w:val="000A4BEC"/>
    <w:rsid w:val="000A5C47"/>
    <w:rsid w:val="000A5FCB"/>
    <w:rsid w:val="000A629E"/>
    <w:rsid w:val="000A6B30"/>
    <w:rsid w:val="000B2EC8"/>
    <w:rsid w:val="000B3108"/>
    <w:rsid w:val="000B3330"/>
    <w:rsid w:val="000B6CF0"/>
    <w:rsid w:val="000B720C"/>
    <w:rsid w:val="000B7665"/>
    <w:rsid w:val="000C494C"/>
    <w:rsid w:val="000C5918"/>
    <w:rsid w:val="000C7C46"/>
    <w:rsid w:val="000D1B52"/>
    <w:rsid w:val="000D2E14"/>
    <w:rsid w:val="000D33E6"/>
    <w:rsid w:val="000D3869"/>
    <w:rsid w:val="000D4C1B"/>
    <w:rsid w:val="000D5523"/>
    <w:rsid w:val="000D5CFE"/>
    <w:rsid w:val="000D78AA"/>
    <w:rsid w:val="000E03DC"/>
    <w:rsid w:val="000E1124"/>
    <w:rsid w:val="000E1660"/>
    <w:rsid w:val="000E53CE"/>
    <w:rsid w:val="000E5531"/>
    <w:rsid w:val="000E6410"/>
    <w:rsid w:val="000E678B"/>
    <w:rsid w:val="000F1FEA"/>
    <w:rsid w:val="000F2E01"/>
    <w:rsid w:val="000F2FA3"/>
    <w:rsid w:val="000F5A54"/>
    <w:rsid w:val="000F62ED"/>
    <w:rsid w:val="000F7987"/>
    <w:rsid w:val="0010051C"/>
    <w:rsid w:val="00102D46"/>
    <w:rsid w:val="001040A5"/>
    <w:rsid w:val="00104244"/>
    <w:rsid w:val="0010448B"/>
    <w:rsid w:val="0010521F"/>
    <w:rsid w:val="0010625A"/>
    <w:rsid w:val="0010698F"/>
    <w:rsid w:val="00107524"/>
    <w:rsid w:val="00107DCD"/>
    <w:rsid w:val="00107EF0"/>
    <w:rsid w:val="00111417"/>
    <w:rsid w:val="0011333D"/>
    <w:rsid w:val="00113C60"/>
    <w:rsid w:val="001148F0"/>
    <w:rsid w:val="001149C9"/>
    <w:rsid w:val="00114C3B"/>
    <w:rsid w:val="00115691"/>
    <w:rsid w:val="00117039"/>
    <w:rsid w:val="00117647"/>
    <w:rsid w:val="00117F04"/>
    <w:rsid w:val="00120BD3"/>
    <w:rsid w:val="00122AE3"/>
    <w:rsid w:val="00122EE1"/>
    <w:rsid w:val="00123658"/>
    <w:rsid w:val="001237AF"/>
    <w:rsid w:val="00124621"/>
    <w:rsid w:val="001247EB"/>
    <w:rsid w:val="00124A8C"/>
    <w:rsid w:val="00124F3C"/>
    <w:rsid w:val="001253A0"/>
    <w:rsid w:val="00125B61"/>
    <w:rsid w:val="00126122"/>
    <w:rsid w:val="00131725"/>
    <w:rsid w:val="00131D45"/>
    <w:rsid w:val="001320F0"/>
    <w:rsid w:val="00132301"/>
    <w:rsid w:val="001336E0"/>
    <w:rsid w:val="00133F34"/>
    <w:rsid w:val="00135273"/>
    <w:rsid w:val="0013580F"/>
    <w:rsid w:val="00135FC9"/>
    <w:rsid w:val="00136C81"/>
    <w:rsid w:val="00141491"/>
    <w:rsid w:val="00143478"/>
    <w:rsid w:val="00143F2F"/>
    <w:rsid w:val="00146624"/>
    <w:rsid w:val="00150376"/>
    <w:rsid w:val="0015133A"/>
    <w:rsid w:val="00151DBB"/>
    <w:rsid w:val="00151DBD"/>
    <w:rsid w:val="001531D6"/>
    <w:rsid w:val="0015426A"/>
    <w:rsid w:val="00155434"/>
    <w:rsid w:val="00155BDA"/>
    <w:rsid w:val="00156FA7"/>
    <w:rsid w:val="0015769B"/>
    <w:rsid w:val="0016023A"/>
    <w:rsid w:val="001622C4"/>
    <w:rsid w:val="00162DBF"/>
    <w:rsid w:val="00164CF8"/>
    <w:rsid w:val="001653AE"/>
    <w:rsid w:val="00165B82"/>
    <w:rsid w:val="001662AE"/>
    <w:rsid w:val="00166DF9"/>
    <w:rsid w:val="00170D5B"/>
    <w:rsid w:val="00172B8F"/>
    <w:rsid w:val="001736F8"/>
    <w:rsid w:val="00173C35"/>
    <w:rsid w:val="00173D85"/>
    <w:rsid w:val="00174FD4"/>
    <w:rsid w:val="0017620D"/>
    <w:rsid w:val="0017627D"/>
    <w:rsid w:val="00177916"/>
    <w:rsid w:val="00180ABB"/>
    <w:rsid w:val="00181016"/>
    <w:rsid w:val="00182474"/>
    <w:rsid w:val="00182FE8"/>
    <w:rsid w:val="00184BAE"/>
    <w:rsid w:val="001853EE"/>
    <w:rsid w:val="001861A4"/>
    <w:rsid w:val="00190D2D"/>
    <w:rsid w:val="001914C7"/>
    <w:rsid w:val="00191A35"/>
    <w:rsid w:val="0019362A"/>
    <w:rsid w:val="001939FD"/>
    <w:rsid w:val="0019474E"/>
    <w:rsid w:val="001949DD"/>
    <w:rsid w:val="00195728"/>
    <w:rsid w:val="0019575F"/>
    <w:rsid w:val="00196F28"/>
    <w:rsid w:val="001970C0"/>
    <w:rsid w:val="001A129B"/>
    <w:rsid w:val="001A1CB7"/>
    <w:rsid w:val="001A420B"/>
    <w:rsid w:val="001A4B97"/>
    <w:rsid w:val="001A4EB2"/>
    <w:rsid w:val="001A4F7D"/>
    <w:rsid w:val="001A4FC3"/>
    <w:rsid w:val="001A62A6"/>
    <w:rsid w:val="001A6D40"/>
    <w:rsid w:val="001A7B42"/>
    <w:rsid w:val="001A7D8F"/>
    <w:rsid w:val="001B04E5"/>
    <w:rsid w:val="001B0AEE"/>
    <w:rsid w:val="001B2A97"/>
    <w:rsid w:val="001B2CD4"/>
    <w:rsid w:val="001B44D1"/>
    <w:rsid w:val="001B5ADA"/>
    <w:rsid w:val="001B7329"/>
    <w:rsid w:val="001B7469"/>
    <w:rsid w:val="001C174A"/>
    <w:rsid w:val="001C19ED"/>
    <w:rsid w:val="001C1D05"/>
    <w:rsid w:val="001C2A48"/>
    <w:rsid w:val="001C66EA"/>
    <w:rsid w:val="001C69E3"/>
    <w:rsid w:val="001C6DFD"/>
    <w:rsid w:val="001D0E83"/>
    <w:rsid w:val="001D2CA6"/>
    <w:rsid w:val="001D30F3"/>
    <w:rsid w:val="001D32C0"/>
    <w:rsid w:val="001D3A64"/>
    <w:rsid w:val="001D5425"/>
    <w:rsid w:val="001D5793"/>
    <w:rsid w:val="001D5A38"/>
    <w:rsid w:val="001D73AE"/>
    <w:rsid w:val="001D74A7"/>
    <w:rsid w:val="001D7659"/>
    <w:rsid w:val="001D77F6"/>
    <w:rsid w:val="001E15F2"/>
    <w:rsid w:val="001E22F7"/>
    <w:rsid w:val="001E2F8F"/>
    <w:rsid w:val="001E3643"/>
    <w:rsid w:val="001E465F"/>
    <w:rsid w:val="001E4CD3"/>
    <w:rsid w:val="001E5B51"/>
    <w:rsid w:val="001F1F56"/>
    <w:rsid w:val="001F2902"/>
    <w:rsid w:val="001F3F36"/>
    <w:rsid w:val="001F42E9"/>
    <w:rsid w:val="001F658C"/>
    <w:rsid w:val="001F675C"/>
    <w:rsid w:val="001F6AE9"/>
    <w:rsid w:val="001F6F44"/>
    <w:rsid w:val="001F7563"/>
    <w:rsid w:val="00201CFC"/>
    <w:rsid w:val="00207F59"/>
    <w:rsid w:val="002105B2"/>
    <w:rsid w:val="00211DC3"/>
    <w:rsid w:val="0021210D"/>
    <w:rsid w:val="0021249F"/>
    <w:rsid w:val="00214CAC"/>
    <w:rsid w:val="002155B6"/>
    <w:rsid w:val="002157E4"/>
    <w:rsid w:val="00215AFB"/>
    <w:rsid w:val="00215DEA"/>
    <w:rsid w:val="002200D8"/>
    <w:rsid w:val="00223664"/>
    <w:rsid w:val="00223A56"/>
    <w:rsid w:val="00225833"/>
    <w:rsid w:val="00225A3E"/>
    <w:rsid w:val="00226095"/>
    <w:rsid w:val="00227B89"/>
    <w:rsid w:val="00227F43"/>
    <w:rsid w:val="00230996"/>
    <w:rsid w:val="002339D6"/>
    <w:rsid w:val="00234640"/>
    <w:rsid w:val="00234C01"/>
    <w:rsid w:val="00236615"/>
    <w:rsid w:val="00240106"/>
    <w:rsid w:val="002401AB"/>
    <w:rsid w:val="00240382"/>
    <w:rsid w:val="002411C7"/>
    <w:rsid w:val="00242F4E"/>
    <w:rsid w:val="002452A0"/>
    <w:rsid w:val="0024559A"/>
    <w:rsid w:val="002463A6"/>
    <w:rsid w:val="00246ADB"/>
    <w:rsid w:val="00247054"/>
    <w:rsid w:val="00247B90"/>
    <w:rsid w:val="0025038D"/>
    <w:rsid w:val="002517A5"/>
    <w:rsid w:val="00251AEF"/>
    <w:rsid w:val="00251C8E"/>
    <w:rsid w:val="00251F6C"/>
    <w:rsid w:val="00252160"/>
    <w:rsid w:val="0025249C"/>
    <w:rsid w:val="002539ED"/>
    <w:rsid w:val="00253DF8"/>
    <w:rsid w:val="0025440D"/>
    <w:rsid w:val="002544C5"/>
    <w:rsid w:val="0025450E"/>
    <w:rsid w:val="00255152"/>
    <w:rsid w:val="0025554E"/>
    <w:rsid w:val="002638F4"/>
    <w:rsid w:val="0027104A"/>
    <w:rsid w:val="0027160C"/>
    <w:rsid w:val="00274871"/>
    <w:rsid w:val="00274E82"/>
    <w:rsid w:val="002751D1"/>
    <w:rsid w:val="00275209"/>
    <w:rsid w:val="0027573C"/>
    <w:rsid w:val="00282390"/>
    <w:rsid w:val="00284340"/>
    <w:rsid w:val="00287E78"/>
    <w:rsid w:val="00290676"/>
    <w:rsid w:val="00291028"/>
    <w:rsid w:val="00291462"/>
    <w:rsid w:val="00291572"/>
    <w:rsid w:val="00291D98"/>
    <w:rsid w:val="0029241D"/>
    <w:rsid w:val="00294BF8"/>
    <w:rsid w:val="002960A6"/>
    <w:rsid w:val="00296DBA"/>
    <w:rsid w:val="0029766B"/>
    <w:rsid w:val="002A04B4"/>
    <w:rsid w:val="002A145B"/>
    <w:rsid w:val="002A18BE"/>
    <w:rsid w:val="002A36F6"/>
    <w:rsid w:val="002A4084"/>
    <w:rsid w:val="002A4AD6"/>
    <w:rsid w:val="002A6BF8"/>
    <w:rsid w:val="002A7196"/>
    <w:rsid w:val="002A76AE"/>
    <w:rsid w:val="002B1384"/>
    <w:rsid w:val="002B1E98"/>
    <w:rsid w:val="002B3681"/>
    <w:rsid w:val="002B4643"/>
    <w:rsid w:val="002B667C"/>
    <w:rsid w:val="002B762D"/>
    <w:rsid w:val="002C0D1E"/>
    <w:rsid w:val="002C115D"/>
    <w:rsid w:val="002C11A3"/>
    <w:rsid w:val="002C11CA"/>
    <w:rsid w:val="002C276C"/>
    <w:rsid w:val="002C29F1"/>
    <w:rsid w:val="002C2B3C"/>
    <w:rsid w:val="002C45E8"/>
    <w:rsid w:val="002C6261"/>
    <w:rsid w:val="002C70CE"/>
    <w:rsid w:val="002D3222"/>
    <w:rsid w:val="002D5097"/>
    <w:rsid w:val="002D55E4"/>
    <w:rsid w:val="002D690D"/>
    <w:rsid w:val="002D6DAC"/>
    <w:rsid w:val="002E3A03"/>
    <w:rsid w:val="002E3E09"/>
    <w:rsid w:val="002E63BE"/>
    <w:rsid w:val="002E7775"/>
    <w:rsid w:val="002E7AD2"/>
    <w:rsid w:val="002F0F41"/>
    <w:rsid w:val="002F1399"/>
    <w:rsid w:val="002F32FB"/>
    <w:rsid w:val="002F4569"/>
    <w:rsid w:val="002F5611"/>
    <w:rsid w:val="002F5C78"/>
    <w:rsid w:val="002F5F5E"/>
    <w:rsid w:val="002F5F85"/>
    <w:rsid w:val="002F693F"/>
    <w:rsid w:val="003008CC"/>
    <w:rsid w:val="003010CB"/>
    <w:rsid w:val="00301763"/>
    <w:rsid w:val="00302252"/>
    <w:rsid w:val="00303C60"/>
    <w:rsid w:val="00304A39"/>
    <w:rsid w:val="00304FB8"/>
    <w:rsid w:val="00307299"/>
    <w:rsid w:val="00307E06"/>
    <w:rsid w:val="00310B9B"/>
    <w:rsid w:val="00310C3F"/>
    <w:rsid w:val="00311EFE"/>
    <w:rsid w:val="003140D2"/>
    <w:rsid w:val="0031634D"/>
    <w:rsid w:val="00317714"/>
    <w:rsid w:val="00320A17"/>
    <w:rsid w:val="00320D28"/>
    <w:rsid w:val="003220C1"/>
    <w:rsid w:val="00322DA9"/>
    <w:rsid w:val="00323AF6"/>
    <w:rsid w:val="003251C2"/>
    <w:rsid w:val="00325FA0"/>
    <w:rsid w:val="00326F1C"/>
    <w:rsid w:val="00327162"/>
    <w:rsid w:val="00330A0A"/>
    <w:rsid w:val="003328A9"/>
    <w:rsid w:val="00333DFE"/>
    <w:rsid w:val="003371B5"/>
    <w:rsid w:val="00337BAF"/>
    <w:rsid w:val="00340341"/>
    <w:rsid w:val="00340AF0"/>
    <w:rsid w:val="00340DE3"/>
    <w:rsid w:val="003417CB"/>
    <w:rsid w:val="003435A9"/>
    <w:rsid w:val="00344649"/>
    <w:rsid w:val="00345496"/>
    <w:rsid w:val="00345A75"/>
    <w:rsid w:val="00345BCF"/>
    <w:rsid w:val="00345D78"/>
    <w:rsid w:val="003466F9"/>
    <w:rsid w:val="003467AF"/>
    <w:rsid w:val="00350092"/>
    <w:rsid w:val="003519AD"/>
    <w:rsid w:val="00351E0E"/>
    <w:rsid w:val="00353D52"/>
    <w:rsid w:val="00354EB4"/>
    <w:rsid w:val="003550EF"/>
    <w:rsid w:val="00356D29"/>
    <w:rsid w:val="003571C2"/>
    <w:rsid w:val="0036113E"/>
    <w:rsid w:val="00363048"/>
    <w:rsid w:val="003640A7"/>
    <w:rsid w:val="00365447"/>
    <w:rsid w:val="00365DB7"/>
    <w:rsid w:val="0036794E"/>
    <w:rsid w:val="003761AE"/>
    <w:rsid w:val="0038146C"/>
    <w:rsid w:val="00382609"/>
    <w:rsid w:val="00384CD3"/>
    <w:rsid w:val="00386124"/>
    <w:rsid w:val="00386355"/>
    <w:rsid w:val="003864D5"/>
    <w:rsid w:val="00386C2B"/>
    <w:rsid w:val="00387B6A"/>
    <w:rsid w:val="0039005A"/>
    <w:rsid w:val="00390567"/>
    <w:rsid w:val="003912C4"/>
    <w:rsid w:val="00392424"/>
    <w:rsid w:val="003966F6"/>
    <w:rsid w:val="0039677D"/>
    <w:rsid w:val="003A0660"/>
    <w:rsid w:val="003A0D52"/>
    <w:rsid w:val="003A1BC5"/>
    <w:rsid w:val="003A2ED1"/>
    <w:rsid w:val="003A4C47"/>
    <w:rsid w:val="003A6724"/>
    <w:rsid w:val="003A6E1A"/>
    <w:rsid w:val="003B0158"/>
    <w:rsid w:val="003B0408"/>
    <w:rsid w:val="003B0BA1"/>
    <w:rsid w:val="003B312A"/>
    <w:rsid w:val="003B3CF6"/>
    <w:rsid w:val="003B4599"/>
    <w:rsid w:val="003B611F"/>
    <w:rsid w:val="003B61B7"/>
    <w:rsid w:val="003B7C7F"/>
    <w:rsid w:val="003C101B"/>
    <w:rsid w:val="003C1AE2"/>
    <w:rsid w:val="003C4B95"/>
    <w:rsid w:val="003C4F8F"/>
    <w:rsid w:val="003C5474"/>
    <w:rsid w:val="003C6B59"/>
    <w:rsid w:val="003C76DB"/>
    <w:rsid w:val="003D299E"/>
    <w:rsid w:val="003D55E1"/>
    <w:rsid w:val="003D641A"/>
    <w:rsid w:val="003D71EB"/>
    <w:rsid w:val="003E04BD"/>
    <w:rsid w:val="003E1CA5"/>
    <w:rsid w:val="003E22CB"/>
    <w:rsid w:val="003E2343"/>
    <w:rsid w:val="003E406B"/>
    <w:rsid w:val="003E4F96"/>
    <w:rsid w:val="003E518D"/>
    <w:rsid w:val="003E5CCA"/>
    <w:rsid w:val="003E689D"/>
    <w:rsid w:val="003E7773"/>
    <w:rsid w:val="003F115E"/>
    <w:rsid w:val="003F14C2"/>
    <w:rsid w:val="003F1C4F"/>
    <w:rsid w:val="003F2210"/>
    <w:rsid w:val="003F3623"/>
    <w:rsid w:val="003F51B0"/>
    <w:rsid w:val="003F535C"/>
    <w:rsid w:val="003F7099"/>
    <w:rsid w:val="003F7196"/>
    <w:rsid w:val="004008AF"/>
    <w:rsid w:val="00400B5F"/>
    <w:rsid w:val="004012A4"/>
    <w:rsid w:val="004017E4"/>
    <w:rsid w:val="00401DBF"/>
    <w:rsid w:val="004033D9"/>
    <w:rsid w:val="0040346B"/>
    <w:rsid w:val="004037BD"/>
    <w:rsid w:val="00404A94"/>
    <w:rsid w:val="0040551F"/>
    <w:rsid w:val="0040771F"/>
    <w:rsid w:val="004111F7"/>
    <w:rsid w:val="00411872"/>
    <w:rsid w:val="0041217D"/>
    <w:rsid w:val="0041227F"/>
    <w:rsid w:val="004125C6"/>
    <w:rsid w:val="0041275F"/>
    <w:rsid w:val="00413A53"/>
    <w:rsid w:val="00421A89"/>
    <w:rsid w:val="00421EBC"/>
    <w:rsid w:val="0042304B"/>
    <w:rsid w:val="00424084"/>
    <w:rsid w:val="0042702D"/>
    <w:rsid w:val="0042707F"/>
    <w:rsid w:val="004273AD"/>
    <w:rsid w:val="00427A1F"/>
    <w:rsid w:val="004305AE"/>
    <w:rsid w:val="00431800"/>
    <w:rsid w:val="004323B3"/>
    <w:rsid w:val="00433541"/>
    <w:rsid w:val="004350B5"/>
    <w:rsid w:val="00435794"/>
    <w:rsid w:val="00436514"/>
    <w:rsid w:val="00436F7C"/>
    <w:rsid w:val="004423F7"/>
    <w:rsid w:val="00442A49"/>
    <w:rsid w:val="00443CE5"/>
    <w:rsid w:val="00445757"/>
    <w:rsid w:val="004462C2"/>
    <w:rsid w:val="0044690B"/>
    <w:rsid w:val="00446BBE"/>
    <w:rsid w:val="0044782C"/>
    <w:rsid w:val="0045093D"/>
    <w:rsid w:val="00451645"/>
    <w:rsid w:val="00454CEF"/>
    <w:rsid w:val="00454EA4"/>
    <w:rsid w:val="00454F8E"/>
    <w:rsid w:val="004578AA"/>
    <w:rsid w:val="00460A67"/>
    <w:rsid w:val="0046104C"/>
    <w:rsid w:val="00462778"/>
    <w:rsid w:val="00464F6C"/>
    <w:rsid w:val="0046600C"/>
    <w:rsid w:val="00466483"/>
    <w:rsid w:val="00471D0D"/>
    <w:rsid w:val="00473644"/>
    <w:rsid w:val="00474E01"/>
    <w:rsid w:val="00475D78"/>
    <w:rsid w:val="00476C51"/>
    <w:rsid w:val="0047702D"/>
    <w:rsid w:val="00482804"/>
    <w:rsid w:val="00482B47"/>
    <w:rsid w:val="0048323E"/>
    <w:rsid w:val="00484DC5"/>
    <w:rsid w:val="004852D9"/>
    <w:rsid w:val="0048535A"/>
    <w:rsid w:val="00485675"/>
    <w:rsid w:val="00487C85"/>
    <w:rsid w:val="00490DC4"/>
    <w:rsid w:val="00494F64"/>
    <w:rsid w:val="00496134"/>
    <w:rsid w:val="00496E52"/>
    <w:rsid w:val="00497B9F"/>
    <w:rsid w:val="004A2084"/>
    <w:rsid w:val="004A2599"/>
    <w:rsid w:val="004A4430"/>
    <w:rsid w:val="004A4FDF"/>
    <w:rsid w:val="004A5489"/>
    <w:rsid w:val="004A5E73"/>
    <w:rsid w:val="004A6DB9"/>
    <w:rsid w:val="004A70BE"/>
    <w:rsid w:val="004A750E"/>
    <w:rsid w:val="004A7A52"/>
    <w:rsid w:val="004B07E9"/>
    <w:rsid w:val="004B19FE"/>
    <w:rsid w:val="004B2A4D"/>
    <w:rsid w:val="004B2A82"/>
    <w:rsid w:val="004B2F45"/>
    <w:rsid w:val="004B3018"/>
    <w:rsid w:val="004B33C2"/>
    <w:rsid w:val="004B4143"/>
    <w:rsid w:val="004B4214"/>
    <w:rsid w:val="004B4F31"/>
    <w:rsid w:val="004B66A7"/>
    <w:rsid w:val="004B689D"/>
    <w:rsid w:val="004C0E97"/>
    <w:rsid w:val="004C2F1C"/>
    <w:rsid w:val="004C31EC"/>
    <w:rsid w:val="004C4141"/>
    <w:rsid w:val="004C48C8"/>
    <w:rsid w:val="004C598D"/>
    <w:rsid w:val="004C6EE3"/>
    <w:rsid w:val="004D3897"/>
    <w:rsid w:val="004D4425"/>
    <w:rsid w:val="004D67E2"/>
    <w:rsid w:val="004D7E54"/>
    <w:rsid w:val="004E2BD6"/>
    <w:rsid w:val="004E4A05"/>
    <w:rsid w:val="004F6AD3"/>
    <w:rsid w:val="00501386"/>
    <w:rsid w:val="005017C4"/>
    <w:rsid w:val="00501BD9"/>
    <w:rsid w:val="00501C25"/>
    <w:rsid w:val="0050256D"/>
    <w:rsid w:val="005027A6"/>
    <w:rsid w:val="00502DAE"/>
    <w:rsid w:val="00502FFB"/>
    <w:rsid w:val="005036C2"/>
    <w:rsid w:val="005038A0"/>
    <w:rsid w:val="00503B80"/>
    <w:rsid w:val="00504147"/>
    <w:rsid w:val="00504A82"/>
    <w:rsid w:val="00505E19"/>
    <w:rsid w:val="005103C5"/>
    <w:rsid w:val="00510D7C"/>
    <w:rsid w:val="00512EAA"/>
    <w:rsid w:val="005131D3"/>
    <w:rsid w:val="0051352C"/>
    <w:rsid w:val="00513C97"/>
    <w:rsid w:val="0051440C"/>
    <w:rsid w:val="00514FC2"/>
    <w:rsid w:val="00515BFA"/>
    <w:rsid w:val="00516BCB"/>
    <w:rsid w:val="00517435"/>
    <w:rsid w:val="00517A86"/>
    <w:rsid w:val="00521608"/>
    <w:rsid w:val="00522635"/>
    <w:rsid w:val="0052349D"/>
    <w:rsid w:val="00524BE8"/>
    <w:rsid w:val="0052575D"/>
    <w:rsid w:val="00526C92"/>
    <w:rsid w:val="00526FE9"/>
    <w:rsid w:val="005275FC"/>
    <w:rsid w:val="0052768C"/>
    <w:rsid w:val="0053008D"/>
    <w:rsid w:val="00530896"/>
    <w:rsid w:val="005310AF"/>
    <w:rsid w:val="0053244E"/>
    <w:rsid w:val="005342C3"/>
    <w:rsid w:val="005362F5"/>
    <w:rsid w:val="0053725B"/>
    <w:rsid w:val="00540C57"/>
    <w:rsid w:val="00543F89"/>
    <w:rsid w:val="00544A1D"/>
    <w:rsid w:val="0054791A"/>
    <w:rsid w:val="00550AA4"/>
    <w:rsid w:val="005531BD"/>
    <w:rsid w:val="005567B2"/>
    <w:rsid w:val="00557003"/>
    <w:rsid w:val="00557870"/>
    <w:rsid w:val="00560277"/>
    <w:rsid w:val="00560938"/>
    <w:rsid w:val="00560AF1"/>
    <w:rsid w:val="00561562"/>
    <w:rsid w:val="00563155"/>
    <w:rsid w:val="00563DE6"/>
    <w:rsid w:val="00564116"/>
    <w:rsid w:val="0056528D"/>
    <w:rsid w:val="0056628B"/>
    <w:rsid w:val="00566298"/>
    <w:rsid w:val="00566AAC"/>
    <w:rsid w:val="00567CEA"/>
    <w:rsid w:val="0057091E"/>
    <w:rsid w:val="005723D6"/>
    <w:rsid w:val="00574A6E"/>
    <w:rsid w:val="00577145"/>
    <w:rsid w:val="005773BE"/>
    <w:rsid w:val="00580303"/>
    <w:rsid w:val="00580CEF"/>
    <w:rsid w:val="00582365"/>
    <w:rsid w:val="00584885"/>
    <w:rsid w:val="00585C1B"/>
    <w:rsid w:val="00585DF0"/>
    <w:rsid w:val="00587639"/>
    <w:rsid w:val="00590AEC"/>
    <w:rsid w:val="00591702"/>
    <w:rsid w:val="00592638"/>
    <w:rsid w:val="00592706"/>
    <w:rsid w:val="00593138"/>
    <w:rsid w:val="00593A33"/>
    <w:rsid w:val="00593C13"/>
    <w:rsid w:val="005945A7"/>
    <w:rsid w:val="005947B5"/>
    <w:rsid w:val="00596064"/>
    <w:rsid w:val="005960BB"/>
    <w:rsid w:val="00596B58"/>
    <w:rsid w:val="00597049"/>
    <w:rsid w:val="00597407"/>
    <w:rsid w:val="005A0496"/>
    <w:rsid w:val="005A4047"/>
    <w:rsid w:val="005A4384"/>
    <w:rsid w:val="005A7012"/>
    <w:rsid w:val="005A7A5E"/>
    <w:rsid w:val="005B0D66"/>
    <w:rsid w:val="005B1C07"/>
    <w:rsid w:val="005B211E"/>
    <w:rsid w:val="005B3432"/>
    <w:rsid w:val="005B3BD6"/>
    <w:rsid w:val="005B3E0C"/>
    <w:rsid w:val="005B7D6C"/>
    <w:rsid w:val="005C0BCE"/>
    <w:rsid w:val="005C1283"/>
    <w:rsid w:val="005C1336"/>
    <w:rsid w:val="005C7215"/>
    <w:rsid w:val="005C73C4"/>
    <w:rsid w:val="005D00EA"/>
    <w:rsid w:val="005D023B"/>
    <w:rsid w:val="005D02C4"/>
    <w:rsid w:val="005D075D"/>
    <w:rsid w:val="005D0F62"/>
    <w:rsid w:val="005D2259"/>
    <w:rsid w:val="005D2304"/>
    <w:rsid w:val="005D3A04"/>
    <w:rsid w:val="005D48FE"/>
    <w:rsid w:val="005D56B8"/>
    <w:rsid w:val="005D56E0"/>
    <w:rsid w:val="005D7471"/>
    <w:rsid w:val="005D749D"/>
    <w:rsid w:val="005E2702"/>
    <w:rsid w:val="005E5240"/>
    <w:rsid w:val="005E5874"/>
    <w:rsid w:val="005E5F69"/>
    <w:rsid w:val="005E6115"/>
    <w:rsid w:val="005E6C2E"/>
    <w:rsid w:val="005E6E3F"/>
    <w:rsid w:val="005E75D5"/>
    <w:rsid w:val="005F1555"/>
    <w:rsid w:val="005F1C7D"/>
    <w:rsid w:val="005F2978"/>
    <w:rsid w:val="005F4721"/>
    <w:rsid w:val="005F6A3D"/>
    <w:rsid w:val="005F720A"/>
    <w:rsid w:val="005F7752"/>
    <w:rsid w:val="00602F43"/>
    <w:rsid w:val="00603B08"/>
    <w:rsid w:val="00603BF7"/>
    <w:rsid w:val="00605776"/>
    <w:rsid w:val="00610162"/>
    <w:rsid w:val="00610ABA"/>
    <w:rsid w:val="00610C94"/>
    <w:rsid w:val="00611907"/>
    <w:rsid w:val="00612B32"/>
    <w:rsid w:val="00613037"/>
    <w:rsid w:val="006135AB"/>
    <w:rsid w:val="006138E4"/>
    <w:rsid w:val="00613F83"/>
    <w:rsid w:val="006144F6"/>
    <w:rsid w:val="00616407"/>
    <w:rsid w:val="00616956"/>
    <w:rsid w:val="0061736D"/>
    <w:rsid w:val="00620E5A"/>
    <w:rsid w:val="0062163A"/>
    <w:rsid w:val="00622D3B"/>
    <w:rsid w:val="006243BC"/>
    <w:rsid w:val="006250E9"/>
    <w:rsid w:val="006258C7"/>
    <w:rsid w:val="00631EAA"/>
    <w:rsid w:val="006326EA"/>
    <w:rsid w:val="0063300B"/>
    <w:rsid w:val="00633419"/>
    <w:rsid w:val="00633B2F"/>
    <w:rsid w:val="00633EA1"/>
    <w:rsid w:val="00634634"/>
    <w:rsid w:val="00640086"/>
    <w:rsid w:val="00640C31"/>
    <w:rsid w:val="00642FB2"/>
    <w:rsid w:val="00643226"/>
    <w:rsid w:val="0064551E"/>
    <w:rsid w:val="006459EF"/>
    <w:rsid w:val="006465F3"/>
    <w:rsid w:val="00647E6E"/>
    <w:rsid w:val="00652FBB"/>
    <w:rsid w:val="006534BF"/>
    <w:rsid w:val="006537D7"/>
    <w:rsid w:val="0065444A"/>
    <w:rsid w:val="00654764"/>
    <w:rsid w:val="00654F68"/>
    <w:rsid w:val="006554C7"/>
    <w:rsid w:val="0065574A"/>
    <w:rsid w:val="00655CF9"/>
    <w:rsid w:val="00655D45"/>
    <w:rsid w:val="006566A7"/>
    <w:rsid w:val="0065714C"/>
    <w:rsid w:val="00660A74"/>
    <w:rsid w:val="00661AB7"/>
    <w:rsid w:val="006622F6"/>
    <w:rsid w:val="00662E5F"/>
    <w:rsid w:val="00664434"/>
    <w:rsid w:val="0066561F"/>
    <w:rsid w:val="006661EB"/>
    <w:rsid w:val="00666A58"/>
    <w:rsid w:val="00670650"/>
    <w:rsid w:val="006712C0"/>
    <w:rsid w:val="006744AC"/>
    <w:rsid w:val="00674C7D"/>
    <w:rsid w:val="00674D98"/>
    <w:rsid w:val="006750EF"/>
    <w:rsid w:val="00677FE3"/>
    <w:rsid w:val="00680B40"/>
    <w:rsid w:val="00681BA0"/>
    <w:rsid w:val="00681DC9"/>
    <w:rsid w:val="00681EC9"/>
    <w:rsid w:val="006822FA"/>
    <w:rsid w:val="0068288C"/>
    <w:rsid w:val="006837FC"/>
    <w:rsid w:val="00683F36"/>
    <w:rsid w:val="00685589"/>
    <w:rsid w:val="00685DF6"/>
    <w:rsid w:val="006863B9"/>
    <w:rsid w:val="0068682C"/>
    <w:rsid w:val="0068694D"/>
    <w:rsid w:val="00691978"/>
    <w:rsid w:val="006926F3"/>
    <w:rsid w:val="00692BF1"/>
    <w:rsid w:val="006938AA"/>
    <w:rsid w:val="0069474B"/>
    <w:rsid w:val="0069475D"/>
    <w:rsid w:val="006978CC"/>
    <w:rsid w:val="00697966"/>
    <w:rsid w:val="006A3A2B"/>
    <w:rsid w:val="006A6BF1"/>
    <w:rsid w:val="006B04AB"/>
    <w:rsid w:val="006B3032"/>
    <w:rsid w:val="006B4B4A"/>
    <w:rsid w:val="006B75C6"/>
    <w:rsid w:val="006C1BD8"/>
    <w:rsid w:val="006C354C"/>
    <w:rsid w:val="006C3B76"/>
    <w:rsid w:val="006C4572"/>
    <w:rsid w:val="006C7B03"/>
    <w:rsid w:val="006C7C3C"/>
    <w:rsid w:val="006D0EC2"/>
    <w:rsid w:val="006D4C72"/>
    <w:rsid w:val="006D4E4C"/>
    <w:rsid w:val="006D5585"/>
    <w:rsid w:val="006D5F76"/>
    <w:rsid w:val="006D61ED"/>
    <w:rsid w:val="006D6D96"/>
    <w:rsid w:val="006D7211"/>
    <w:rsid w:val="006D75C8"/>
    <w:rsid w:val="006D7F13"/>
    <w:rsid w:val="006E1384"/>
    <w:rsid w:val="006E15D4"/>
    <w:rsid w:val="006E2261"/>
    <w:rsid w:val="006E26F3"/>
    <w:rsid w:val="006E2BB9"/>
    <w:rsid w:val="006E36D4"/>
    <w:rsid w:val="006E6A92"/>
    <w:rsid w:val="006E72B3"/>
    <w:rsid w:val="006E792B"/>
    <w:rsid w:val="006F0D46"/>
    <w:rsid w:val="006F18E8"/>
    <w:rsid w:val="006F23DD"/>
    <w:rsid w:val="006F5158"/>
    <w:rsid w:val="00700950"/>
    <w:rsid w:val="00701136"/>
    <w:rsid w:val="00701AE7"/>
    <w:rsid w:val="0070319A"/>
    <w:rsid w:val="00703CB4"/>
    <w:rsid w:val="007068CC"/>
    <w:rsid w:val="00707C18"/>
    <w:rsid w:val="007103A9"/>
    <w:rsid w:val="007150AD"/>
    <w:rsid w:val="00716024"/>
    <w:rsid w:val="00716AD2"/>
    <w:rsid w:val="007203CA"/>
    <w:rsid w:val="00721001"/>
    <w:rsid w:val="0072101E"/>
    <w:rsid w:val="00722625"/>
    <w:rsid w:val="007226F5"/>
    <w:rsid w:val="0072351D"/>
    <w:rsid w:val="00723B2C"/>
    <w:rsid w:val="00724ED0"/>
    <w:rsid w:val="00724F92"/>
    <w:rsid w:val="007253D6"/>
    <w:rsid w:val="0072578A"/>
    <w:rsid w:val="0072597A"/>
    <w:rsid w:val="0073107B"/>
    <w:rsid w:val="00731CB3"/>
    <w:rsid w:val="0073425E"/>
    <w:rsid w:val="0073792C"/>
    <w:rsid w:val="0074257A"/>
    <w:rsid w:val="00742AAB"/>
    <w:rsid w:val="00742F90"/>
    <w:rsid w:val="00743E8E"/>
    <w:rsid w:val="00745AEC"/>
    <w:rsid w:val="00747434"/>
    <w:rsid w:val="0074788B"/>
    <w:rsid w:val="0075137C"/>
    <w:rsid w:val="00753435"/>
    <w:rsid w:val="00753D02"/>
    <w:rsid w:val="0075418A"/>
    <w:rsid w:val="007542EA"/>
    <w:rsid w:val="00762510"/>
    <w:rsid w:val="0076260D"/>
    <w:rsid w:val="00763B77"/>
    <w:rsid w:val="00763FBE"/>
    <w:rsid w:val="00764645"/>
    <w:rsid w:val="0076702C"/>
    <w:rsid w:val="00767216"/>
    <w:rsid w:val="00767F6C"/>
    <w:rsid w:val="00770450"/>
    <w:rsid w:val="007705E4"/>
    <w:rsid w:val="00771494"/>
    <w:rsid w:val="00772829"/>
    <w:rsid w:val="00773532"/>
    <w:rsid w:val="00773E8D"/>
    <w:rsid w:val="007772DA"/>
    <w:rsid w:val="0077740F"/>
    <w:rsid w:val="00777848"/>
    <w:rsid w:val="00777893"/>
    <w:rsid w:val="00781376"/>
    <w:rsid w:val="00781DDF"/>
    <w:rsid w:val="00784341"/>
    <w:rsid w:val="007852E9"/>
    <w:rsid w:val="00785BFF"/>
    <w:rsid w:val="00785C65"/>
    <w:rsid w:val="00790975"/>
    <w:rsid w:val="00790B15"/>
    <w:rsid w:val="00790F49"/>
    <w:rsid w:val="007923AA"/>
    <w:rsid w:val="007931CB"/>
    <w:rsid w:val="007951D4"/>
    <w:rsid w:val="0079679E"/>
    <w:rsid w:val="007973F4"/>
    <w:rsid w:val="00797534"/>
    <w:rsid w:val="00797C46"/>
    <w:rsid w:val="007A0C68"/>
    <w:rsid w:val="007A19F6"/>
    <w:rsid w:val="007A21CC"/>
    <w:rsid w:val="007A29CA"/>
    <w:rsid w:val="007A2B65"/>
    <w:rsid w:val="007A5617"/>
    <w:rsid w:val="007B01EF"/>
    <w:rsid w:val="007B0245"/>
    <w:rsid w:val="007B083F"/>
    <w:rsid w:val="007B0880"/>
    <w:rsid w:val="007B0D01"/>
    <w:rsid w:val="007B0F45"/>
    <w:rsid w:val="007B1639"/>
    <w:rsid w:val="007B2085"/>
    <w:rsid w:val="007B27B6"/>
    <w:rsid w:val="007B2FDC"/>
    <w:rsid w:val="007B3180"/>
    <w:rsid w:val="007B38A0"/>
    <w:rsid w:val="007B38B7"/>
    <w:rsid w:val="007B3ED9"/>
    <w:rsid w:val="007B4F7B"/>
    <w:rsid w:val="007B583D"/>
    <w:rsid w:val="007B6585"/>
    <w:rsid w:val="007B6684"/>
    <w:rsid w:val="007B6B21"/>
    <w:rsid w:val="007B7024"/>
    <w:rsid w:val="007B7924"/>
    <w:rsid w:val="007B7999"/>
    <w:rsid w:val="007C0105"/>
    <w:rsid w:val="007C0390"/>
    <w:rsid w:val="007C14A2"/>
    <w:rsid w:val="007C300E"/>
    <w:rsid w:val="007C328D"/>
    <w:rsid w:val="007C336F"/>
    <w:rsid w:val="007C41B1"/>
    <w:rsid w:val="007C41B3"/>
    <w:rsid w:val="007C431B"/>
    <w:rsid w:val="007C4A51"/>
    <w:rsid w:val="007C6F73"/>
    <w:rsid w:val="007D30B7"/>
    <w:rsid w:val="007E15AD"/>
    <w:rsid w:val="007E17D9"/>
    <w:rsid w:val="007E17DA"/>
    <w:rsid w:val="007E25ED"/>
    <w:rsid w:val="007E2BC0"/>
    <w:rsid w:val="007E3A47"/>
    <w:rsid w:val="007E6C58"/>
    <w:rsid w:val="007F0719"/>
    <w:rsid w:val="007F1F26"/>
    <w:rsid w:val="007F55FF"/>
    <w:rsid w:val="007F67E9"/>
    <w:rsid w:val="007F7C7B"/>
    <w:rsid w:val="007F7F52"/>
    <w:rsid w:val="008008BE"/>
    <w:rsid w:val="00801576"/>
    <w:rsid w:val="008040A2"/>
    <w:rsid w:val="00804632"/>
    <w:rsid w:val="008054D9"/>
    <w:rsid w:val="00806688"/>
    <w:rsid w:val="00807A3E"/>
    <w:rsid w:val="00810338"/>
    <w:rsid w:val="00812282"/>
    <w:rsid w:val="0081331F"/>
    <w:rsid w:val="008148E4"/>
    <w:rsid w:val="008157F1"/>
    <w:rsid w:val="00816EC2"/>
    <w:rsid w:val="00817856"/>
    <w:rsid w:val="008218F0"/>
    <w:rsid w:val="008230D5"/>
    <w:rsid w:val="008236E1"/>
    <w:rsid w:val="00824458"/>
    <w:rsid w:val="008249F7"/>
    <w:rsid w:val="00824A5B"/>
    <w:rsid w:val="00824B74"/>
    <w:rsid w:val="00827027"/>
    <w:rsid w:val="0082770A"/>
    <w:rsid w:val="00830FC4"/>
    <w:rsid w:val="00831F4A"/>
    <w:rsid w:val="0083213C"/>
    <w:rsid w:val="008326A0"/>
    <w:rsid w:val="00834AAE"/>
    <w:rsid w:val="00835CA4"/>
    <w:rsid w:val="00835EC9"/>
    <w:rsid w:val="00836C34"/>
    <w:rsid w:val="00840B31"/>
    <w:rsid w:val="00840D49"/>
    <w:rsid w:val="00841388"/>
    <w:rsid w:val="00841EFB"/>
    <w:rsid w:val="00841F44"/>
    <w:rsid w:val="00842C82"/>
    <w:rsid w:val="008436D7"/>
    <w:rsid w:val="008440FE"/>
    <w:rsid w:val="00846119"/>
    <w:rsid w:val="00846564"/>
    <w:rsid w:val="008474E3"/>
    <w:rsid w:val="00847D9F"/>
    <w:rsid w:val="0085076B"/>
    <w:rsid w:val="00850787"/>
    <w:rsid w:val="008527ED"/>
    <w:rsid w:val="008537F7"/>
    <w:rsid w:val="008546BE"/>
    <w:rsid w:val="00854847"/>
    <w:rsid w:val="00856074"/>
    <w:rsid w:val="00856E21"/>
    <w:rsid w:val="0085705F"/>
    <w:rsid w:val="00857949"/>
    <w:rsid w:val="00862C9B"/>
    <w:rsid w:val="008719C2"/>
    <w:rsid w:val="0087277A"/>
    <w:rsid w:val="00872A47"/>
    <w:rsid w:val="008736E2"/>
    <w:rsid w:val="00874565"/>
    <w:rsid w:val="00877247"/>
    <w:rsid w:val="008801AE"/>
    <w:rsid w:val="00880AA3"/>
    <w:rsid w:val="00881AC7"/>
    <w:rsid w:val="0088249B"/>
    <w:rsid w:val="0088301E"/>
    <w:rsid w:val="008835EC"/>
    <w:rsid w:val="0088421C"/>
    <w:rsid w:val="0088445B"/>
    <w:rsid w:val="00886D47"/>
    <w:rsid w:val="00887C0D"/>
    <w:rsid w:val="00891AF6"/>
    <w:rsid w:val="00891BC3"/>
    <w:rsid w:val="00893724"/>
    <w:rsid w:val="008937C8"/>
    <w:rsid w:val="00894122"/>
    <w:rsid w:val="00894650"/>
    <w:rsid w:val="00896300"/>
    <w:rsid w:val="008967C4"/>
    <w:rsid w:val="0089723F"/>
    <w:rsid w:val="008A0D2A"/>
    <w:rsid w:val="008A1693"/>
    <w:rsid w:val="008A254F"/>
    <w:rsid w:val="008A259E"/>
    <w:rsid w:val="008A2630"/>
    <w:rsid w:val="008A5833"/>
    <w:rsid w:val="008A7429"/>
    <w:rsid w:val="008B3A88"/>
    <w:rsid w:val="008B4BFC"/>
    <w:rsid w:val="008B51B4"/>
    <w:rsid w:val="008B5B67"/>
    <w:rsid w:val="008B5D7A"/>
    <w:rsid w:val="008B66E3"/>
    <w:rsid w:val="008B6704"/>
    <w:rsid w:val="008B7848"/>
    <w:rsid w:val="008C1E05"/>
    <w:rsid w:val="008C34BB"/>
    <w:rsid w:val="008C45E2"/>
    <w:rsid w:val="008C6FCE"/>
    <w:rsid w:val="008D3726"/>
    <w:rsid w:val="008D4CB0"/>
    <w:rsid w:val="008D6397"/>
    <w:rsid w:val="008D7230"/>
    <w:rsid w:val="008D73C9"/>
    <w:rsid w:val="008E16BF"/>
    <w:rsid w:val="008E3049"/>
    <w:rsid w:val="008E35A3"/>
    <w:rsid w:val="008E70BA"/>
    <w:rsid w:val="008E7274"/>
    <w:rsid w:val="008E7A3D"/>
    <w:rsid w:val="008E7E0E"/>
    <w:rsid w:val="008F0562"/>
    <w:rsid w:val="008F260B"/>
    <w:rsid w:val="008F5BCD"/>
    <w:rsid w:val="008F6EAE"/>
    <w:rsid w:val="0090041A"/>
    <w:rsid w:val="00906821"/>
    <w:rsid w:val="00906E65"/>
    <w:rsid w:val="00911F26"/>
    <w:rsid w:val="0091213E"/>
    <w:rsid w:val="009128D0"/>
    <w:rsid w:val="009144D5"/>
    <w:rsid w:val="0091542D"/>
    <w:rsid w:val="00915F98"/>
    <w:rsid w:val="00915FA3"/>
    <w:rsid w:val="009179BF"/>
    <w:rsid w:val="009217F8"/>
    <w:rsid w:val="0092199B"/>
    <w:rsid w:val="00921C8D"/>
    <w:rsid w:val="009235A6"/>
    <w:rsid w:val="009238ED"/>
    <w:rsid w:val="009239CE"/>
    <w:rsid w:val="0092470E"/>
    <w:rsid w:val="00925187"/>
    <w:rsid w:val="009261D9"/>
    <w:rsid w:val="0092709C"/>
    <w:rsid w:val="0092717F"/>
    <w:rsid w:val="00927744"/>
    <w:rsid w:val="00927B05"/>
    <w:rsid w:val="00930F4E"/>
    <w:rsid w:val="00931289"/>
    <w:rsid w:val="00932406"/>
    <w:rsid w:val="009325BA"/>
    <w:rsid w:val="0093455C"/>
    <w:rsid w:val="00934C15"/>
    <w:rsid w:val="0093550E"/>
    <w:rsid w:val="00936062"/>
    <w:rsid w:val="00937CBE"/>
    <w:rsid w:val="00944087"/>
    <w:rsid w:val="00944295"/>
    <w:rsid w:val="009449D7"/>
    <w:rsid w:val="00944E74"/>
    <w:rsid w:val="00945C2D"/>
    <w:rsid w:val="00946A88"/>
    <w:rsid w:val="0095012E"/>
    <w:rsid w:val="00951934"/>
    <w:rsid w:val="0095207B"/>
    <w:rsid w:val="00954C8C"/>
    <w:rsid w:val="00954D58"/>
    <w:rsid w:val="00955FB7"/>
    <w:rsid w:val="00956ACE"/>
    <w:rsid w:val="00956B19"/>
    <w:rsid w:val="00956BB0"/>
    <w:rsid w:val="00956D13"/>
    <w:rsid w:val="009572A0"/>
    <w:rsid w:val="00957D24"/>
    <w:rsid w:val="00960DCF"/>
    <w:rsid w:val="00961B53"/>
    <w:rsid w:val="00961C07"/>
    <w:rsid w:val="00963264"/>
    <w:rsid w:val="00963894"/>
    <w:rsid w:val="0096389D"/>
    <w:rsid w:val="00965D2B"/>
    <w:rsid w:val="00966E6A"/>
    <w:rsid w:val="009671C9"/>
    <w:rsid w:val="009676C0"/>
    <w:rsid w:val="0097040D"/>
    <w:rsid w:val="00970F92"/>
    <w:rsid w:val="009713FD"/>
    <w:rsid w:val="00972573"/>
    <w:rsid w:val="0097277A"/>
    <w:rsid w:val="00973294"/>
    <w:rsid w:val="0097427F"/>
    <w:rsid w:val="00974D41"/>
    <w:rsid w:val="00975CA6"/>
    <w:rsid w:val="00975CB2"/>
    <w:rsid w:val="00976586"/>
    <w:rsid w:val="009803A9"/>
    <w:rsid w:val="009803CB"/>
    <w:rsid w:val="009803D4"/>
    <w:rsid w:val="009807A2"/>
    <w:rsid w:val="0098199C"/>
    <w:rsid w:val="00984204"/>
    <w:rsid w:val="00984953"/>
    <w:rsid w:val="00984973"/>
    <w:rsid w:val="00985C44"/>
    <w:rsid w:val="0098643B"/>
    <w:rsid w:val="009873F3"/>
    <w:rsid w:val="00992FC1"/>
    <w:rsid w:val="0099487C"/>
    <w:rsid w:val="00995E98"/>
    <w:rsid w:val="00996F15"/>
    <w:rsid w:val="00997BA8"/>
    <w:rsid w:val="009A06F4"/>
    <w:rsid w:val="009A36F9"/>
    <w:rsid w:val="009A3778"/>
    <w:rsid w:val="009A39AD"/>
    <w:rsid w:val="009A3E2E"/>
    <w:rsid w:val="009A5F0B"/>
    <w:rsid w:val="009A7F34"/>
    <w:rsid w:val="009B2245"/>
    <w:rsid w:val="009B258E"/>
    <w:rsid w:val="009B36FC"/>
    <w:rsid w:val="009B4BC9"/>
    <w:rsid w:val="009B5997"/>
    <w:rsid w:val="009B6B23"/>
    <w:rsid w:val="009B7ABD"/>
    <w:rsid w:val="009C0990"/>
    <w:rsid w:val="009C0B66"/>
    <w:rsid w:val="009C0F5F"/>
    <w:rsid w:val="009C1D27"/>
    <w:rsid w:val="009C3BD9"/>
    <w:rsid w:val="009C460A"/>
    <w:rsid w:val="009C4D68"/>
    <w:rsid w:val="009C5B82"/>
    <w:rsid w:val="009C756E"/>
    <w:rsid w:val="009D21BE"/>
    <w:rsid w:val="009D2543"/>
    <w:rsid w:val="009D3C3D"/>
    <w:rsid w:val="009D42A8"/>
    <w:rsid w:val="009D5288"/>
    <w:rsid w:val="009D56C7"/>
    <w:rsid w:val="009D64E9"/>
    <w:rsid w:val="009D6505"/>
    <w:rsid w:val="009E0C33"/>
    <w:rsid w:val="009E10AE"/>
    <w:rsid w:val="009E2264"/>
    <w:rsid w:val="009E2AD3"/>
    <w:rsid w:val="009E3377"/>
    <w:rsid w:val="009E35B1"/>
    <w:rsid w:val="009E47E5"/>
    <w:rsid w:val="009F146F"/>
    <w:rsid w:val="009F326B"/>
    <w:rsid w:val="009F3C75"/>
    <w:rsid w:val="009F709B"/>
    <w:rsid w:val="00A0037E"/>
    <w:rsid w:val="00A01303"/>
    <w:rsid w:val="00A015FB"/>
    <w:rsid w:val="00A029E3"/>
    <w:rsid w:val="00A02C4F"/>
    <w:rsid w:val="00A04A09"/>
    <w:rsid w:val="00A05821"/>
    <w:rsid w:val="00A05D1D"/>
    <w:rsid w:val="00A05EA2"/>
    <w:rsid w:val="00A076CC"/>
    <w:rsid w:val="00A1165C"/>
    <w:rsid w:val="00A125D6"/>
    <w:rsid w:val="00A14BD9"/>
    <w:rsid w:val="00A14E53"/>
    <w:rsid w:val="00A15580"/>
    <w:rsid w:val="00A1564D"/>
    <w:rsid w:val="00A16449"/>
    <w:rsid w:val="00A178D1"/>
    <w:rsid w:val="00A22EFC"/>
    <w:rsid w:val="00A24F5D"/>
    <w:rsid w:val="00A26389"/>
    <w:rsid w:val="00A303B8"/>
    <w:rsid w:val="00A30898"/>
    <w:rsid w:val="00A30BA1"/>
    <w:rsid w:val="00A30E1F"/>
    <w:rsid w:val="00A317D0"/>
    <w:rsid w:val="00A326C4"/>
    <w:rsid w:val="00A34735"/>
    <w:rsid w:val="00A361C3"/>
    <w:rsid w:val="00A411FA"/>
    <w:rsid w:val="00A44EC1"/>
    <w:rsid w:val="00A454B3"/>
    <w:rsid w:val="00A45E52"/>
    <w:rsid w:val="00A46652"/>
    <w:rsid w:val="00A46D15"/>
    <w:rsid w:val="00A4713D"/>
    <w:rsid w:val="00A513B1"/>
    <w:rsid w:val="00A5323B"/>
    <w:rsid w:val="00A53673"/>
    <w:rsid w:val="00A53DDA"/>
    <w:rsid w:val="00A54FB4"/>
    <w:rsid w:val="00A55135"/>
    <w:rsid w:val="00A56DE0"/>
    <w:rsid w:val="00A60E66"/>
    <w:rsid w:val="00A618A4"/>
    <w:rsid w:val="00A63C18"/>
    <w:rsid w:val="00A662DC"/>
    <w:rsid w:val="00A6741B"/>
    <w:rsid w:val="00A74226"/>
    <w:rsid w:val="00A74ACE"/>
    <w:rsid w:val="00A75668"/>
    <w:rsid w:val="00A757B0"/>
    <w:rsid w:val="00A769AB"/>
    <w:rsid w:val="00A776A4"/>
    <w:rsid w:val="00A8049D"/>
    <w:rsid w:val="00A80CC4"/>
    <w:rsid w:val="00A819E1"/>
    <w:rsid w:val="00A822C2"/>
    <w:rsid w:val="00A82990"/>
    <w:rsid w:val="00A82B1C"/>
    <w:rsid w:val="00A86E2C"/>
    <w:rsid w:val="00A90401"/>
    <w:rsid w:val="00A921E3"/>
    <w:rsid w:val="00A947A3"/>
    <w:rsid w:val="00A94D20"/>
    <w:rsid w:val="00A9752B"/>
    <w:rsid w:val="00AA2461"/>
    <w:rsid w:val="00AA2865"/>
    <w:rsid w:val="00AA2D56"/>
    <w:rsid w:val="00AA39DC"/>
    <w:rsid w:val="00AA3A9B"/>
    <w:rsid w:val="00AA3BF1"/>
    <w:rsid w:val="00AA5317"/>
    <w:rsid w:val="00AA5410"/>
    <w:rsid w:val="00AB21C6"/>
    <w:rsid w:val="00AB2841"/>
    <w:rsid w:val="00AB2B31"/>
    <w:rsid w:val="00AB2E7F"/>
    <w:rsid w:val="00AB4A51"/>
    <w:rsid w:val="00AB60E7"/>
    <w:rsid w:val="00AC2FFF"/>
    <w:rsid w:val="00AC30F5"/>
    <w:rsid w:val="00AC313E"/>
    <w:rsid w:val="00AC3954"/>
    <w:rsid w:val="00AC41BC"/>
    <w:rsid w:val="00AC4740"/>
    <w:rsid w:val="00AC5872"/>
    <w:rsid w:val="00AC6835"/>
    <w:rsid w:val="00AC6F7D"/>
    <w:rsid w:val="00AC720A"/>
    <w:rsid w:val="00AD36CF"/>
    <w:rsid w:val="00AD4780"/>
    <w:rsid w:val="00AD5D43"/>
    <w:rsid w:val="00AD6060"/>
    <w:rsid w:val="00AD60EA"/>
    <w:rsid w:val="00AD67D4"/>
    <w:rsid w:val="00AE1428"/>
    <w:rsid w:val="00AE1DA5"/>
    <w:rsid w:val="00AE2CEF"/>
    <w:rsid w:val="00AE4331"/>
    <w:rsid w:val="00AE5598"/>
    <w:rsid w:val="00AE614D"/>
    <w:rsid w:val="00AE7849"/>
    <w:rsid w:val="00AE7977"/>
    <w:rsid w:val="00AF1F10"/>
    <w:rsid w:val="00AF35A8"/>
    <w:rsid w:val="00AF3D39"/>
    <w:rsid w:val="00AF497B"/>
    <w:rsid w:val="00AF6A4C"/>
    <w:rsid w:val="00B020C0"/>
    <w:rsid w:val="00B02183"/>
    <w:rsid w:val="00B024B9"/>
    <w:rsid w:val="00B02BD6"/>
    <w:rsid w:val="00B02CD1"/>
    <w:rsid w:val="00B03617"/>
    <w:rsid w:val="00B04001"/>
    <w:rsid w:val="00B047C2"/>
    <w:rsid w:val="00B04CB1"/>
    <w:rsid w:val="00B05635"/>
    <w:rsid w:val="00B07620"/>
    <w:rsid w:val="00B07E17"/>
    <w:rsid w:val="00B118CA"/>
    <w:rsid w:val="00B122C2"/>
    <w:rsid w:val="00B1314F"/>
    <w:rsid w:val="00B151CF"/>
    <w:rsid w:val="00B16386"/>
    <w:rsid w:val="00B20445"/>
    <w:rsid w:val="00B247AD"/>
    <w:rsid w:val="00B2507F"/>
    <w:rsid w:val="00B25D05"/>
    <w:rsid w:val="00B26086"/>
    <w:rsid w:val="00B261C2"/>
    <w:rsid w:val="00B262EF"/>
    <w:rsid w:val="00B26622"/>
    <w:rsid w:val="00B26669"/>
    <w:rsid w:val="00B276B4"/>
    <w:rsid w:val="00B303F6"/>
    <w:rsid w:val="00B307B7"/>
    <w:rsid w:val="00B33127"/>
    <w:rsid w:val="00B336D9"/>
    <w:rsid w:val="00B347EC"/>
    <w:rsid w:val="00B36028"/>
    <w:rsid w:val="00B36CEA"/>
    <w:rsid w:val="00B37ECD"/>
    <w:rsid w:val="00B40064"/>
    <w:rsid w:val="00B427E7"/>
    <w:rsid w:val="00B50A44"/>
    <w:rsid w:val="00B535E9"/>
    <w:rsid w:val="00B55524"/>
    <w:rsid w:val="00B57239"/>
    <w:rsid w:val="00B575BF"/>
    <w:rsid w:val="00B60488"/>
    <w:rsid w:val="00B612EA"/>
    <w:rsid w:val="00B61C66"/>
    <w:rsid w:val="00B62604"/>
    <w:rsid w:val="00B62DF2"/>
    <w:rsid w:val="00B657F7"/>
    <w:rsid w:val="00B66A87"/>
    <w:rsid w:val="00B70A2D"/>
    <w:rsid w:val="00B70F00"/>
    <w:rsid w:val="00B712D0"/>
    <w:rsid w:val="00B72259"/>
    <w:rsid w:val="00B72988"/>
    <w:rsid w:val="00B757E5"/>
    <w:rsid w:val="00B7678F"/>
    <w:rsid w:val="00B81F38"/>
    <w:rsid w:val="00B83B62"/>
    <w:rsid w:val="00B8535F"/>
    <w:rsid w:val="00B85CD9"/>
    <w:rsid w:val="00B869DD"/>
    <w:rsid w:val="00B8754F"/>
    <w:rsid w:val="00B878CD"/>
    <w:rsid w:val="00B91CB1"/>
    <w:rsid w:val="00B9249B"/>
    <w:rsid w:val="00B93AF3"/>
    <w:rsid w:val="00B9536C"/>
    <w:rsid w:val="00BA1BAF"/>
    <w:rsid w:val="00BA1FFB"/>
    <w:rsid w:val="00BA265E"/>
    <w:rsid w:val="00BA2B3F"/>
    <w:rsid w:val="00BA46A0"/>
    <w:rsid w:val="00BA4E45"/>
    <w:rsid w:val="00BA59FB"/>
    <w:rsid w:val="00BA7148"/>
    <w:rsid w:val="00BB14A3"/>
    <w:rsid w:val="00BB2E61"/>
    <w:rsid w:val="00BB3DD4"/>
    <w:rsid w:val="00BB608E"/>
    <w:rsid w:val="00BB6249"/>
    <w:rsid w:val="00BB793B"/>
    <w:rsid w:val="00BC15DE"/>
    <w:rsid w:val="00BC17C8"/>
    <w:rsid w:val="00BC369C"/>
    <w:rsid w:val="00BC4972"/>
    <w:rsid w:val="00BC648B"/>
    <w:rsid w:val="00BC6874"/>
    <w:rsid w:val="00BC6897"/>
    <w:rsid w:val="00BD1B8D"/>
    <w:rsid w:val="00BD1E14"/>
    <w:rsid w:val="00BD2021"/>
    <w:rsid w:val="00BD33D4"/>
    <w:rsid w:val="00BD3C62"/>
    <w:rsid w:val="00BD40B1"/>
    <w:rsid w:val="00BD6E01"/>
    <w:rsid w:val="00BE074F"/>
    <w:rsid w:val="00BE2978"/>
    <w:rsid w:val="00BE40B1"/>
    <w:rsid w:val="00BE47BF"/>
    <w:rsid w:val="00BE4D8B"/>
    <w:rsid w:val="00BE5374"/>
    <w:rsid w:val="00BE627A"/>
    <w:rsid w:val="00BE6CE8"/>
    <w:rsid w:val="00BF4B0E"/>
    <w:rsid w:val="00BF7C54"/>
    <w:rsid w:val="00C01612"/>
    <w:rsid w:val="00C01B4E"/>
    <w:rsid w:val="00C01D5F"/>
    <w:rsid w:val="00C0345A"/>
    <w:rsid w:val="00C03511"/>
    <w:rsid w:val="00C04C3A"/>
    <w:rsid w:val="00C05700"/>
    <w:rsid w:val="00C05F41"/>
    <w:rsid w:val="00C07319"/>
    <w:rsid w:val="00C074CD"/>
    <w:rsid w:val="00C107C3"/>
    <w:rsid w:val="00C13369"/>
    <w:rsid w:val="00C13520"/>
    <w:rsid w:val="00C135A9"/>
    <w:rsid w:val="00C1374A"/>
    <w:rsid w:val="00C14F9B"/>
    <w:rsid w:val="00C14FAB"/>
    <w:rsid w:val="00C15E07"/>
    <w:rsid w:val="00C15F42"/>
    <w:rsid w:val="00C1610B"/>
    <w:rsid w:val="00C1611D"/>
    <w:rsid w:val="00C16C9A"/>
    <w:rsid w:val="00C175E4"/>
    <w:rsid w:val="00C22851"/>
    <w:rsid w:val="00C22BFD"/>
    <w:rsid w:val="00C22D28"/>
    <w:rsid w:val="00C232E0"/>
    <w:rsid w:val="00C24B5E"/>
    <w:rsid w:val="00C2534F"/>
    <w:rsid w:val="00C30058"/>
    <w:rsid w:val="00C30E5D"/>
    <w:rsid w:val="00C317A2"/>
    <w:rsid w:val="00C343FC"/>
    <w:rsid w:val="00C3651F"/>
    <w:rsid w:val="00C36633"/>
    <w:rsid w:val="00C36B90"/>
    <w:rsid w:val="00C36E9D"/>
    <w:rsid w:val="00C36FA7"/>
    <w:rsid w:val="00C37C86"/>
    <w:rsid w:val="00C407C0"/>
    <w:rsid w:val="00C409E6"/>
    <w:rsid w:val="00C412B1"/>
    <w:rsid w:val="00C44178"/>
    <w:rsid w:val="00C4436C"/>
    <w:rsid w:val="00C461B2"/>
    <w:rsid w:val="00C46D83"/>
    <w:rsid w:val="00C47C8E"/>
    <w:rsid w:val="00C50610"/>
    <w:rsid w:val="00C51F10"/>
    <w:rsid w:val="00C52FD1"/>
    <w:rsid w:val="00C5359B"/>
    <w:rsid w:val="00C53AF7"/>
    <w:rsid w:val="00C554B5"/>
    <w:rsid w:val="00C569C3"/>
    <w:rsid w:val="00C56EF2"/>
    <w:rsid w:val="00C570A6"/>
    <w:rsid w:val="00C579F3"/>
    <w:rsid w:val="00C600B3"/>
    <w:rsid w:val="00C60DE1"/>
    <w:rsid w:val="00C61464"/>
    <w:rsid w:val="00C61885"/>
    <w:rsid w:val="00C675B9"/>
    <w:rsid w:val="00C67E8E"/>
    <w:rsid w:val="00C72177"/>
    <w:rsid w:val="00C74B8C"/>
    <w:rsid w:val="00C74F38"/>
    <w:rsid w:val="00C75543"/>
    <w:rsid w:val="00C76233"/>
    <w:rsid w:val="00C76541"/>
    <w:rsid w:val="00C8268F"/>
    <w:rsid w:val="00C83535"/>
    <w:rsid w:val="00C83D84"/>
    <w:rsid w:val="00C849D0"/>
    <w:rsid w:val="00C87436"/>
    <w:rsid w:val="00C90796"/>
    <w:rsid w:val="00C908FA"/>
    <w:rsid w:val="00C91651"/>
    <w:rsid w:val="00C917A4"/>
    <w:rsid w:val="00C922A2"/>
    <w:rsid w:val="00C94831"/>
    <w:rsid w:val="00C960E2"/>
    <w:rsid w:val="00C96FCC"/>
    <w:rsid w:val="00C97CEE"/>
    <w:rsid w:val="00CA03BF"/>
    <w:rsid w:val="00CA26EA"/>
    <w:rsid w:val="00CA2FB2"/>
    <w:rsid w:val="00CA3D3A"/>
    <w:rsid w:val="00CA42D6"/>
    <w:rsid w:val="00CA4C94"/>
    <w:rsid w:val="00CA528A"/>
    <w:rsid w:val="00CA7C5C"/>
    <w:rsid w:val="00CB15E9"/>
    <w:rsid w:val="00CB22EE"/>
    <w:rsid w:val="00CB2BD5"/>
    <w:rsid w:val="00CB49C0"/>
    <w:rsid w:val="00CB5C55"/>
    <w:rsid w:val="00CB6E36"/>
    <w:rsid w:val="00CB7F3B"/>
    <w:rsid w:val="00CC12DE"/>
    <w:rsid w:val="00CC1910"/>
    <w:rsid w:val="00CC19E6"/>
    <w:rsid w:val="00CC1D1A"/>
    <w:rsid w:val="00CC2571"/>
    <w:rsid w:val="00CC3555"/>
    <w:rsid w:val="00CC4481"/>
    <w:rsid w:val="00CC49D4"/>
    <w:rsid w:val="00CC5956"/>
    <w:rsid w:val="00CC6260"/>
    <w:rsid w:val="00CD06DD"/>
    <w:rsid w:val="00CD1404"/>
    <w:rsid w:val="00CD2E5C"/>
    <w:rsid w:val="00CD4DF8"/>
    <w:rsid w:val="00CD6CAB"/>
    <w:rsid w:val="00CE25BC"/>
    <w:rsid w:val="00CE28E3"/>
    <w:rsid w:val="00CE77D6"/>
    <w:rsid w:val="00CF175F"/>
    <w:rsid w:val="00CF1A2D"/>
    <w:rsid w:val="00CF21B6"/>
    <w:rsid w:val="00CF2913"/>
    <w:rsid w:val="00CF439F"/>
    <w:rsid w:val="00CF6FB6"/>
    <w:rsid w:val="00CF7058"/>
    <w:rsid w:val="00CF7120"/>
    <w:rsid w:val="00CF724C"/>
    <w:rsid w:val="00D001B4"/>
    <w:rsid w:val="00D003B7"/>
    <w:rsid w:val="00D00E36"/>
    <w:rsid w:val="00D02F4F"/>
    <w:rsid w:val="00D044FE"/>
    <w:rsid w:val="00D04CB3"/>
    <w:rsid w:val="00D05EB0"/>
    <w:rsid w:val="00D06B8C"/>
    <w:rsid w:val="00D078ED"/>
    <w:rsid w:val="00D104DE"/>
    <w:rsid w:val="00D10A5B"/>
    <w:rsid w:val="00D13027"/>
    <w:rsid w:val="00D14207"/>
    <w:rsid w:val="00D14E59"/>
    <w:rsid w:val="00D20031"/>
    <w:rsid w:val="00D21A0C"/>
    <w:rsid w:val="00D311A6"/>
    <w:rsid w:val="00D3126B"/>
    <w:rsid w:val="00D313B3"/>
    <w:rsid w:val="00D31BB8"/>
    <w:rsid w:val="00D3253C"/>
    <w:rsid w:val="00D3292B"/>
    <w:rsid w:val="00D33F02"/>
    <w:rsid w:val="00D35490"/>
    <w:rsid w:val="00D358F7"/>
    <w:rsid w:val="00D36376"/>
    <w:rsid w:val="00D36E67"/>
    <w:rsid w:val="00D37216"/>
    <w:rsid w:val="00D37EF5"/>
    <w:rsid w:val="00D419C9"/>
    <w:rsid w:val="00D428B9"/>
    <w:rsid w:val="00D42973"/>
    <w:rsid w:val="00D43246"/>
    <w:rsid w:val="00D451D0"/>
    <w:rsid w:val="00D45750"/>
    <w:rsid w:val="00D457EA"/>
    <w:rsid w:val="00D45A9C"/>
    <w:rsid w:val="00D45C42"/>
    <w:rsid w:val="00D50155"/>
    <w:rsid w:val="00D52C2F"/>
    <w:rsid w:val="00D52E54"/>
    <w:rsid w:val="00D52FF5"/>
    <w:rsid w:val="00D53187"/>
    <w:rsid w:val="00D5595D"/>
    <w:rsid w:val="00D56DFA"/>
    <w:rsid w:val="00D6031C"/>
    <w:rsid w:val="00D60E22"/>
    <w:rsid w:val="00D61302"/>
    <w:rsid w:val="00D62890"/>
    <w:rsid w:val="00D62F4D"/>
    <w:rsid w:val="00D64906"/>
    <w:rsid w:val="00D64B8F"/>
    <w:rsid w:val="00D64E44"/>
    <w:rsid w:val="00D652D9"/>
    <w:rsid w:val="00D70DDA"/>
    <w:rsid w:val="00D72C6E"/>
    <w:rsid w:val="00D73AD9"/>
    <w:rsid w:val="00D80C29"/>
    <w:rsid w:val="00D8149D"/>
    <w:rsid w:val="00D8316D"/>
    <w:rsid w:val="00D83B51"/>
    <w:rsid w:val="00D83DA2"/>
    <w:rsid w:val="00D84ECA"/>
    <w:rsid w:val="00D8525E"/>
    <w:rsid w:val="00D86BA7"/>
    <w:rsid w:val="00D9041B"/>
    <w:rsid w:val="00D90DBB"/>
    <w:rsid w:val="00D912F8"/>
    <w:rsid w:val="00D9141D"/>
    <w:rsid w:val="00D915D2"/>
    <w:rsid w:val="00D917DA"/>
    <w:rsid w:val="00D91BE9"/>
    <w:rsid w:val="00D92C71"/>
    <w:rsid w:val="00D946C9"/>
    <w:rsid w:val="00D94CF3"/>
    <w:rsid w:val="00D967A8"/>
    <w:rsid w:val="00D968CD"/>
    <w:rsid w:val="00DA058E"/>
    <w:rsid w:val="00DA0CC0"/>
    <w:rsid w:val="00DA12C1"/>
    <w:rsid w:val="00DA1981"/>
    <w:rsid w:val="00DA512C"/>
    <w:rsid w:val="00DA5A34"/>
    <w:rsid w:val="00DA6765"/>
    <w:rsid w:val="00DB003C"/>
    <w:rsid w:val="00DB1E91"/>
    <w:rsid w:val="00DB4410"/>
    <w:rsid w:val="00DB5117"/>
    <w:rsid w:val="00DB51A1"/>
    <w:rsid w:val="00DB552C"/>
    <w:rsid w:val="00DB5AF6"/>
    <w:rsid w:val="00DB6031"/>
    <w:rsid w:val="00DB664A"/>
    <w:rsid w:val="00DB7463"/>
    <w:rsid w:val="00DC09C4"/>
    <w:rsid w:val="00DC14AF"/>
    <w:rsid w:val="00DC1720"/>
    <w:rsid w:val="00DC22C1"/>
    <w:rsid w:val="00DC2AF0"/>
    <w:rsid w:val="00DC3633"/>
    <w:rsid w:val="00DC4108"/>
    <w:rsid w:val="00DC4A96"/>
    <w:rsid w:val="00DC4EC7"/>
    <w:rsid w:val="00DC4F64"/>
    <w:rsid w:val="00DC50C5"/>
    <w:rsid w:val="00DC64A7"/>
    <w:rsid w:val="00DD0953"/>
    <w:rsid w:val="00DD1A95"/>
    <w:rsid w:val="00DD2C81"/>
    <w:rsid w:val="00DD3C2C"/>
    <w:rsid w:val="00DD57EE"/>
    <w:rsid w:val="00DE2496"/>
    <w:rsid w:val="00DE7099"/>
    <w:rsid w:val="00DF0FAA"/>
    <w:rsid w:val="00DF27A0"/>
    <w:rsid w:val="00DF341B"/>
    <w:rsid w:val="00DF39E9"/>
    <w:rsid w:val="00DF3CD2"/>
    <w:rsid w:val="00DF431B"/>
    <w:rsid w:val="00DF45D6"/>
    <w:rsid w:val="00DF5A44"/>
    <w:rsid w:val="00DF74D9"/>
    <w:rsid w:val="00DF78BE"/>
    <w:rsid w:val="00E0117C"/>
    <w:rsid w:val="00E013CE"/>
    <w:rsid w:val="00E02A07"/>
    <w:rsid w:val="00E03226"/>
    <w:rsid w:val="00E0360B"/>
    <w:rsid w:val="00E03A96"/>
    <w:rsid w:val="00E04DF9"/>
    <w:rsid w:val="00E05D56"/>
    <w:rsid w:val="00E079B8"/>
    <w:rsid w:val="00E105A9"/>
    <w:rsid w:val="00E1132D"/>
    <w:rsid w:val="00E15056"/>
    <w:rsid w:val="00E15DB1"/>
    <w:rsid w:val="00E17552"/>
    <w:rsid w:val="00E21B03"/>
    <w:rsid w:val="00E21EAB"/>
    <w:rsid w:val="00E222D6"/>
    <w:rsid w:val="00E22445"/>
    <w:rsid w:val="00E260A3"/>
    <w:rsid w:val="00E26D15"/>
    <w:rsid w:val="00E27AF4"/>
    <w:rsid w:val="00E27DDB"/>
    <w:rsid w:val="00E30396"/>
    <w:rsid w:val="00E309BC"/>
    <w:rsid w:val="00E30E49"/>
    <w:rsid w:val="00E31702"/>
    <w:rsid w:val="00E31B75"/>
    <w:rsid w:val="00E3242E"/>
    <w:rsid w:val="00E330C9"/>
    <w:rsid w:val="00E3330E"/>
    <w:rsid w:val="00E3351F"/>
    <w:rsid w:val="00E33992"/>
    <w:rsid w:val="00E36C39"/>
    <w:rsid w:val="00E378C5"/>
    <w:rsid w:val="00E40DAE"/>
    <w:rsid w:val="00E40F62"/>
    <w:rsid w:val="00E42C5E"/>
    <w:rsid w:val="00E43249"/>
    <w:rsid w:val="00E436A2"/>
    <w:rsid w:val="00E43A6D"/>
    <w:rsid w:val="00E43DA0"/>
    <w:rsid w:val="00E458D8"/>
    <w:rsid w:val="00E4595F"/>
    <w:rsid w:val="00E45EE4"/>
    <w:rsid w:val="00E47180"/>
    <w:rsid w:val="00E518A7"/>
    <w:rsid w:val="00E51F28"/>
    <w:rsid w:val="00E529F5"/>
    <w:rsid w:val="00E52C33"/>
    <w:rsid w:val="00E5356B"/>
    <w:rsid w:val="00E536A1"/>
    <w:rsid w:val="00E53E00"/>
    <w:rsid w:val="00E54221"/>
    <w:rsid w:val="00E54BCD"/>
    <w:rsid w:val="00E5650A"/>
    <w:rsid w:val="00E574EC"/>
    <w:rsid w:val="00E5798A"/>
    <w:rsid w:val="00E57F9C"/>
    <w:rsid w:val="00E609E8"/>
    <w:rsid w:val="00E615F9"/>
    <w:rsid w:val="00E6193C"/>
    <w:rsid w:val="00E62659"/>
    <w:rsid w:val="00E62BC2"/>
    <w:rsid w:val="00E62F3A"/>
    <w:rsid w:val="00E6358F"/>
    <w:rsid w:val="00E63DAA"/>
    <w:rsid w:val="00E66D56"/>
    <w:rsid w:val="00E713A7"/>
    <w:rsid w:val="00E7221D"/>
    <w:rsid w:val="00E74CA5"/>
    <w:rsid w:val="00E755F3"/>
    <w:rsid w:val="00E7615F"/>
    <w:rsid w:val="00E763DD"/>
    <w:rsid w:val="00E76AE0"/>
    <w:rsid w:val="00E81007"/>
    <w:rsid w:val="00E81042"/>
    <w:rsid w:val="00E81A87"/>
    <w:rsid w:val="00E83948"/>
    <w:rsid w:val="00E83CF9"/>
    <w:rsid w:val="00E90577"/>
    <w:rsid w:val="00E92974"/>
    <w:rsid w:val="00E92F98"/>
    <w:rsid w:val="00E9331D"/>
    <w:rsid w:val="00E9339D"/>
    <w:rsid w:val="00E94925"/>
    <w:rsid w:val="00E95322"/>
    <w:rsid w:val="00E95490"/>
    <w:rsid w:val="00E968C1"/>
    <w:rsid w:val="00E971F6"/>
    <w:rsid w:val="00EA0E54"/>
    <w:rsid w:val="00EA1240"/>
    <w:rsid w:val="00EA1769"/>
    <w:rsid w:val="00EA3671"/>
    <w:rsid w:val="00EA417E"/>
    <w:rsid w:val="00EA65B7"/>
    <w:rsid w:val="00EA65CD"/>
    <w:rsid w:val="00EA7BDA"/>
    <w:rsid w:val="00EB0DEA"/>
    <w:rsid w:val="00EB1ADA"/>
    <w:rsid w:val="00EB1F63"/>
    <w:rsid w:val="00EB27BC"/>
    <w:rsid w:val="00EB2F6E"/>
    <w:rsid w:val="00EB3BFE"/>
    <w:rsid w:val="00EB463D"/>
    <w:rsid w:val="00EB6511"/>
    <w:rsid w:val="00EB6A32"/>
    <w:rsid w:val="00EC33A0"/>
    <w:rsid w:val="00EC3896"/>
    <w:rsid w:val="00EC4836"/>
    <w:rsid w:val="00EC5088"/>
    <w:rsid w:val="00EC72A9"/>
    <w:rsid w:val="00EC7748"/>
    <w:rsid w:val="00ED016F"/>
    <w:rsid w:val="00ED365B"/>
    <w:rsid w:val="00ED5058"/>
    <w:rsid w:val="00ED5E38"/>
    <w:rsid w:val="00EE4490"/>
    <w:rsid w:val="00EE4EEF"/>
    <w:rsid w:val="00EE53BC"/>
    <w:rsid w:val="00EE6832"/>
    <w:rsid w:val="00EF1755"/>
    <w:rsid w:val="00EF2603"/>
    <w:rsid w:val="00EF3D58"/>
    <w:rsid w:val="00EF52AC"/>
    <w:rsid w:val="00EF7063"/>
    <w:rsid w:val="00EF7084"/>
    <w:rsid w:val="00F03488"/>
    <w:rsid w:val="00F03B39"/>
    <w:rsid w:val="00F04052"/>
    <w:rsid w:val="00F04FED"/>
    <w:rsid w:val="00F050D2"/>
    <w:rsid w:val="00F05817"/>
    <w:rsid w:val="00F06673"/>
    <w:rsid w:val="00F06961"/>
    <w:rsid w:val="00F0737C"/>
    <w:rsid w:val="00F1066F"/>
    <w:rsid w:val="00F118ED"/>
    <w:rsid w:val="00F11C11"/>
    <w:rsid w:val="00F1415F"/>
    <w:rsid w:val="00F14201"/>
    <w:rsid w:val="00F14392"/>
    <w:rsid w:val="00F1508C"/>
    <w:rsid w:val="00F1578E"/>
    <w:rsid w:val="00F17E21"/>
    <w:rsid w:val="00F20763"/>
    <w:rsid w:val="00F227C8"/>
    <w:rsid w:val="00F22D6E"/>
    <w:rsid w:val="00F23CB7"/>
    <w:rsid w:val="00F257B5"/>
    <w:rsid w:val="00F2720E"/>
    <w:rsid w:val="00F2776D"/>
    <w:rsid w:val="00F27BC4"/>
    <w:rsid w:val="00F3033F"/>
    <w:rsid w:val="00F30EB8"/>
    <w:rsid w:val="00F34219"/>
    <w:rsid w:val="00F344CF"/>
    <w:rsid w:val="00F346E6"/>
    <w:rsid w:val="00F37215"/>
    <w:rsid w:val="00F40864"/>
    <w:rsid w:val="00F4250C"/>
    <w:rsid w:val="00F429E1"/>
    <w:rsid w:val="00F44895"/>
    <w:rsid w:val="00F50585"/>
    <w:rsid w:val="00F516E3"/>
    <w:rsid w:val="00F531A3"/>
    <w:rsid w:val="00F54832"/>
    <w:rsid w:val="00F57885"/>
    <w:rsid w:val="00F60FE8"/>
    <w:rsid w:val="00F61942"/>
    <w:rsid w:val="00F66144"/>
    <w:rsid w:val="00F6713F"/>
    <w:rsid w:val="00F71D06"/>
    <w:rsid w:val="00F72B52"/>
    <w:rsid w:val="00F74B51"/>
    <w:rsid w:val="00F8133B"/>
    <w:rsid w:val="00F81362"/>
    <w:rsid w:val="00F815DC"/>
    <w:rsid w:val="00F82DDF"/>
    <w:rsid w:val="00F854EE"/>
    <w:rsid w:val="00F85E43"/>
    <w:rsid w:val="00F91353"/>
    <w:rsid w:val="00F934F1"/>
    <w:rsid w:val="00F95D21"/>
    <w:rsid w:val="00F9684A"/>
    <w:rsid w:val="00F96D51"/>
    <w:rsid w:val="00F97D23"/>
    <w:rsid w:val="00FA0825"/>
    <w:rsid w:val="00FA08AD"/>
    <w:rsid w:val="00FA26A3"/>
    <w:rsid w:val="00FA2F27"/>
    <w:rsid w:val="00FA4150"/>
    <w:rsid w:val="00FA4D10"/>
    <w:rsid w:val="00FA5766"/>
    <w:rsid w:val="00FA7D7D"/>
    <w:rsid w:val="00FB2623"/>
    <w:rsid w:val="00FB4CDA"/>
    <w:rsid w:val="00FB620D"/>
    <w:rsid w:val="00FB6F67"/>
    <w:rsid w:val="00FC0AD7"/>
    <w:rsid w:val="00FC0B6D"/>
    <w:rsid w:val="00FC10DE"/>
    <w:rsid w:val="00FC2D5F"/>
    <w:rsid w:val="00FC5603"/>
    <w:rsid w:val="00FC694A"/>
    <w:rsid w:val="00FD0B28"/>
    <w:rsid w:val="00FD1767"/>
    <w:rsid w:val="00FD17BA"/>
    <w:rsid w:val="00FD1F26"/>
    <w:rsid w:val="00FD2C9D"/>
    <w:rsid w:val="00FD2F74"/>
    <w:rsid w:val="00FD3B94"/>
    <w:rsid w:val="00FD3E3A"/>
    <w:rsid w:val="00FD40DD"/>
    <w:rsid w:val="00FD43B3"/>
    <w:rsid w:val="00FD5732"/>
    <w:rsid w:val="00FD6295"/>
    <w:rsid w:val="00FD680E"/>
    <w:rsid w:val="00FD6F40"/>
    <w:rsid w:val="00FE1118"/>
    <w:rsid w:val="00FE40E5"/>
    <w:rsid w:val="00FE4739"/>
    <w:rsid w:val="00FE4DB2"/>
    <w:rsid w:val="00FE681D"/>
    <w:rsid w:val="00FE74DF"/>
    <w:rsid w:val="00FF0176"/>
    <w:rsid w:val="00FF0DBD"/>
    <w:rsid w:val="00FF2100"/>
    <w:rsid w:val="00FF3A07"/>
    <w:rsid w:val="00FF3CF9"/>
    <w:rsid w:val="00FF3ED4"/>
    <w:rsid w:val="00FF3FEA"/>
    <w:rsid w:val="00FF4C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DD3C2C"/>
    <w:pPr>
      <w:spacing w:before="0"/>
      <w:outlineLvl w:val="3"/>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DB552C"/>
    <w:pPr>
      <w:keepNext/>
      <w:spacing w:before="360" w:after="120" w:line="240" w:lineRule="auto"/>
      <w:ind w:left="794" w:hanging="794"/>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DB552C"/>
    <w:rPr>
      <w:rFonts w:ascii="Arial Narrow" w:eastAsia="Times New Roman" w:hAnsi="Arial Narrow" w:cs="Times New Roman"/>
      <w:b/>
      <w:bCs/>
      <w:sz w:val="20"/>
      <w:szCs w:val="20"/>
    </w:rPr>
  </w:style>
  <w:style w:type="table" w:styleId="TableGrid">
    <w:name w:val="Table Grid"/>
    <w:aliases w:val="Summary box,Table Gridbeth,RTI AMCP Table,new style,ASD Table,HTAtableplain"/>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DD3C2C"/>
    <w:rPr>
      <w:rFonts w:ascii="Franklin Gothic Medium" w:eastAsiaTheme="majorEastAsia" w:hAnsi="Franklin Gothic Medium" w:cstheme="majorBidi"/>
      <w:i/>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3"/>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3F1C4F"/>
    <w:pPr>
      <w:numPr>
        <w:numId w:val="4"/>
      </w:numPr>
      <w:spacing w:after="120" w:line="240" w:lineRule="auto"/>
    </w:p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5"/>
      </w:numPr>
    </w:pPr>
  </w:style>
  <w:style w:type="paragraph" w:customStyle="1" w:styleId="2-SectionHeading">
    <w:name w:val="2-Section Heading"/>
    <w:qFormat/>
    <w:rsid w:val="005131D3"/>
    <w:pPr>
      <w:keepNext/>
      <w:numPr>
        <w:numId w:val="6"/>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6"/>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7"/>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8"/>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9"/>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0"/>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EA65B7"/>
    <w:rPr>
      <w:color w:val="605E5C"/>
      <w:shd w:val="clear" w:color="auto" w:fill="E1DFDD"/>
    </w:rPr>
  </w:style>
  <w:style w:type="character" w:customStyle="1" w:styleId="Commentaryemphasisformid-paragraphtext">
    <w:name w:val="Commentary emphasis for mid-paragraph text"/>
    <w:basedOn w:val="DefaultParagraphFont"/>
    <w:uiPriority w:val="1"/>
    <w:qFormat/>
    <w:rsid w:val="00881AC7"/>
    <w:rPr>
      <w:i/>
      <w:color w:val="5B9BD5" w:themeColor="accent1"/>
    </w:rPr>
  </w:style>
  <w:style w:type="character" w:customStyle="1" w:styleId="CommentaryemphasisTablesmid-paragraph">
    <w:name w:val="Commentary emphasis Tables mid-paragraph"/>
    <w:basedOn w:val="DefaultParagraphFont"/>
    <w:uiPriority w:val="1"/>
    <w:qFormat/>
    <w:rsid w:val="00C960E2"/>
    <w:rPr>
      <w:rFonts w:ascii="Arial Narrow" w:hAnsi="Arial Narrow"/>
      <w:color w:val="5B9BD5" w:themeColor="accent1"/>
      <w:sz w:val="18"/>
    </w:rPr>
  </w:style>
  <w:style w:type="paragraph" w:customStyle="1" w:styleId="TableTextLeft">
    <w:name w:val="Table Text Left"/>
    <w:basedOn w:val="TableText"/>
    <w:link w:val="TableTextLeftChar"/>
    <w:rsid w:val="001A4EB2"/>
    <w:pPr>
      <w:keepNext/>
    </w:pPr>
    <w:rPr>
      <w:rFonts w:eastAsiaTheme="minorEastAsia"/>
      <w:sz w:val="18"/>
      <w:szCs w:val="20"/>
    </w:rPr>
  </w:style>
  <w:style w:type="character" w:customStyle="1" w:styleId="TableTextLeftChar">
    <w:name w:val="Table Text Left Char"/>
    <w:link w:val="TableTextLeft"/>
    <w:rsid w:val="001A4EB2"/>
    <w:rPr>
      <w:rFonts w:ascii="Arial Narrow" w:eastAsiaTheme="minorEastAsia" w:hAnsi="Arial Narrow"/>
      <w:sz w:val="18"/>
      <w:szCs w:val="20"/>
    </w:rPr>
  </w:style>
  <w:style w:type="paragraph" w:customStyle="1" w:styleId="TOCHeading1">
    <w:name w:val="TOC Heading1"/>
    <w:basedOn w:val="Heading1"/>
    <w:next w:val="Normal"/>
    <w:uiPriority w:val="39"/>
    <w:unhideWhenUsed/>
    <w:qFormat/>
    <w:rsid w:val="002C276C"/>
    <w:pPr>
      <w:numPr>
        <w:numId w:val="0"/>
      </w:numPr>
      <w:pBdr>
        <w:bottom w:val="none" w:sz="0" w:space="0" w:color="auto"/>
      </w:pBdr>
      <w:spacing w:before="240" w:after="0" w:line="259" w:lineRule="auto"/>
      <w:outlineLvl w:val="9"/>
    </w:pPr>
    <w:rPr>
      <w:rFonts w:ascii="Calibri Light" w:hAnsi="Calibri Light"/>
      <w:color w:val="2E74B5"/>
      <w:sz w:val="32"/>
      <w:lang w:val="en-US"/>
    </w:rPr>
  </w:style>
  <w:style w:type="table" w:customStyle="1" w:styleId="TableGrid3">
    <w:name w:val="Table Grid3"/>
    <w:basedOn w:val="TableNormal"/>
    <w:next w:val="TableGrid"/>
    <w:uiPriority w:val="59"/>
    <w:rsid w:val="002C276C"/>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Bullet"/>
    <w:basedOn w:val="TableText1"/>
    <w:rsid w:val="00E309BC"/>
    <w:pPr>
      <w:numPr>
        <w:numId w:val="13"/>
      </w:numPr>
      <w:tabs>
        <w:tab w:val="left" w:pos="216"/>
      </w:tabs>
      <w:spacing w:before="60" w:after="60" w:line="240" w:lineRule="auto"/>
      <w:ind w:left="216" w:hanging="216"/>
      <w:jc w:val="left"/>
    </w:pPr>
    <w:rPr>
      <w:rFonts w:ascii="Times New Roman" w:hAnsi="Times New Roman" w:cs="Times New Roman"/>
      <w:color w:val="000000"/>
      <w:sz w:val="21"/>
      <w:szCs w:val="21"/>
    </w:rPr>
  </w:style>
  <w:style w:type="paragraph" w:customStyle="1" w:styleId="BulletBeforeDash">
    <w:name w:val="BulletBeforeDash"/>
    <w:basedOn w:val="Normal"/>
    <w:rsid w:val="00E309BC"/>
    <w:pPr>
      <w:numPr>
        <w:numId w:val="14"/>
      </w:numPr>
      <w:spacing w:before="0" w:after="0" w:line="240" w:lineRule="auto"/>
      <w:ind w:left="720"/>
    </w:pPr>
    <w:rPr>
      <w:rFonts w:ascii="Times New Roman" w:eastAsia="Times New Roman" w:hAnsi="Times New Roman" w:cs="Times New Roman"/>
      <w:color w:val="000000"/>
      <w:sz w:val="24"/>
      <w:szCs w:val="20"/>
      <w:lang w:eastAsia="en-AU"/>
    </w:rPr>
  </w:style>
  <w:style w:type="paragraph" w:customStyle="1" w:styleId="BulletLast">
    <w:name w:val="BulletLast"/>
    <w:basedOn w:val="Bullet"/>
    <w:qFormat/>
    <w:rsid w:val="00E309BC"/>
    <w:pPr>
      <w:numPr>
        <w:numId w:val="2"/>
      </w:numPr>
      <w:spacing w:before="0"/>
    </w:pPr>
    <w:rPr>
      <w:rFonts w:ascii="Times New Roman" w:eastAsia="Times New Roman" w:hAnsi="Times New Roman" w:cs="Times New Roman"/>
      <w:color w:val="000000"/>
      <w:sz w:val="24"/>
      <w:szCs w:val="20"/>
      <w:lang w:eastAsia="en-AU"/>
    </w:rPr>
  </w:style>
  <w:style w:type="paragraph" w:customStyle="1" w:styleId="DashLast">
    <w:name w:val="DashLast"/>
    <w:basedOn w:val="Dash"/>
    <w:rsid w:val="00E309BC"/>
    <w:pPr>
      <w:tabs>
        <w:tab w:val="left" w:pos="720"/>
      </w:tabs>
      <w:spacing w:before="0" w:after="120"/>
      <w:ind w:left="1080" w:hanging="360"/>
    </w:pPr>
    <w:rPr>
      <w:rFonts w:ascii="Times New Roman" w:eastAsia="Times New Roman" w:hAnsi="Times New Roman" w:cs="Times New Roman"/>
      <w:color w:val="000000"/>
      <w:sz w:val="24"/>
      <w:szCs w:val="20"/>
      <w:lang w:eastAsia="en-AU"/>
    </w:rPr>
  </w:style>
  <w:style w:type="paragraph" w:customStyle="1" w:styleId="NormalBeforeBullet0">
    <w:name w:val="NormalBeforeBullet"/>
    <w:basedOn w:val="Normal"/>
    <w:qFormat/>
    <w:rsid w:val="00E309BC"/>
    <w:pPr>
      <w:keepNext/>
      <w:spacing w:before="0" w:after="120" w:line="240" w:lineRule="auto"/>
    </w:pPr>
    <w:rPr>
      <w:rFonts w:ascii="Times New Roman" w:eastAsia="Times New Roman" w:hAnsi="Times New Roman" w:cs="Times New Roman"/>
      <w:color w:val="000000"/>
      <w:sz w:val="24"/>
      <w:szCs w:val="20"/>
      <w:lang w:eastAsia="en-AU"/>
    </w:rPr>
  </w:style>
  <w:style w:type="paragraph" w:customStyle="1" w:styleId="acthead5">
    <w:name w:val="acthead5"/>
    <w:basedOn w:val="Normal"/>
    <w:rsid w:val="00516BC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516BCB"/>
  </w:style>
  <w:style w:type="paragraph" w:customStyle="1" w:styleId="subsection">
    <w:name w:val="subsection"/>
    <w:basedOn w:val="Normal"/>
    <w:rsid w:val="00516B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516B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516B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5F6A3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60935225">
      <w:bodyDiv w:val="1"/>
      <w:marLeft w:val="0"/>
      <w:marRight w:val="0"/>
      <w:marTop w:val="0"/>
      <w:marBottom w:val="0"/>
      <w:divBdr>
        <w:top w:val="none" w:sz="0" w:space="0" w:color="auto"/>
        <w:left w:val="none" w:sz="0" w:space="0" w:color="auto"/>
        <w:bottom w:val="none" w:sz="0" w:space="0" w:color="auto"/>
        <w:right w:val="none" w:sz="0" w:space="0" w:color="auto"/>
      </w:divBdr>
    </w:div>
    <w:div w:id="699476751">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63190959">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21737975">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55126806">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06909144">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07032547">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bs.tga.gov.au/servlet/xmlmillr6?dbid=ebs/PublicHTML/pdfStore.nsf&amp;docid=60F3253900EC4DC3CA2583CC003CCE0C&amp;agid=(PrintDetailsPublic)&amp;actionid=1" TargetMode="External"/><Relationship Id="rId18" Type="http://schemas.openxmlformats.org/officeDocument/2006/relationships/hyperlink" Target="https://www.ebs.tga.gov.au/servlet/xmlmillr6?dbid=ebs/PublicHTML/pdfStore.nsf&amp;docid=79DB03AE88CF0B8ACA25813A00422D85&amp;agid=(PrintDetailsPublic)&amp;actionid=1" TargetMode="External"/><Relationship Id="rId26" Type="http://schemas.microsoft.com/office/2007/relationships/hdphoto" Target="media/hdphoto1.wdp"/><Relationship Id="rId39" Type="http://schemas.openxmlformats.org/officeDocument/2006/relationships/hyperlink" Target="https://www.clinicaltrials.gov/ct2/show/NCT02215915" TargetMode="External"/><Relationship Id="rId21" Type="http://schemas.openxmlformats.org/officeDocument/2006/relationships/hyperlink" Target="https://www.ebs.tga.gov.au/servlet/xmlmillr6?dbid=ebs/PublicHTML/pdfStore.nsf&amp;docid=9C816C6C944BCC4ACA258234003C9F00&amp;agid=(PrintDetailsPublic)&amp;actionid=1" TargetMode="External"/><Relationship Id="rId34" Type="http://schemas.openxmlformats.org/officeDocument/2006/relationships/hyperlink" Target="http://www9.health.gov.au/mbs/fullDisplay.cfm?type=note&amp;q=TN.8.219&amp;qt=noteID" TargetMode="External"/><Relationship Id="rId42" Type="http://schemas.openxmlformats.org/officeDocument/2006/relationships/hyperlink" Target="https://clinicaltrials.gov/ct2/show/NCT01145079" TargetMode="External"/><Relationship Id="rId47" Type="http://schemas.openxmlformats.org/officeDocument/2006/relationships/hyperlink" Target="http://msac.gov.au/internet/msac/publishing.nsf/Content/Home-1"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bs.tga.gov.au/servlet/xmlmillr6?dbid=ebs/PublicHTML/pdfStore.nsf&amp;docid=B8BB536D9032612FCA2583CC003CCE0E&amp;agid=(PrintDetailsPublic)&amp;actionid=1" TargetMode="External"/><Relationship Id="rId17" Type="http://schemas.openxmlformats.org/officeDocument/2006/relationships/hyperlink" Target="https://www.ebs.tga.gov.au/servlet/xmlmillr6?dbid=ebs/PublicHTML/pdfStore.nsf&amp;docid=48EAB10B50FBB78ECA2577DD0002B5F6&amp;agid=(PrintDetailsPublic)&amp;actionid=1" TargetMode="External"/><Relationship Id="rId25" Type="http://schemas.openxmlformats.org/officeDocument/2006/relationships/image" Target="media/image2.png"/><Relationship Id="rId33" Type="http://schemas.openxmlformats.org/officeDocument/2006/relationships/hyperlink" Target="http://www9.health.gov.au/mbs/fullDisplay.cfm?type=note&amp;q=TN.8.218&amp;qt=noteID" TargetMode="External"/><Relationship Id="rId38" Type="http://schemas.openxmlformats.org/officeDocument/2006/relationships/hyperlink" Target="http://www.msac.gov.au/internet/msac/publishing.nsf/Content/E306F4EC31317690CA25801000123BE3/$File/1354Final-PSD-Accessible.pdf" TargetMode="External"/><Relationship Id="rId46" Type="http://schemas.openxmlformats.org/officeDocument/2006/relationships/hyperlink" Target="https://clinicaltrials.gov/ct2/show/NCT04221815" TargetMode="External"/><Relationship Id="rId2" Type="http://schemas.openxmlformats.org/officeDocument/2006/relationships/numbering" Target="numbering.xml"/><Relationship Id="rId16" Type="http://schemas.openxmlformats.org/officeDocument/2006/relationships/hyperlink" Target="https://www.ebs.tga.gov.au/servlet/xmlmillr6?dbid=ebs/PublicHTML/pdfStore.nsf&amp;docid=3F96CF3B4A0F80BDCA2577DD0002B5F5&amp;agid=(PrintDetailsPublic)&amp;actionid=1" TargetMode="External"/><Relationship Id="rId20" Type="http://schemas.openxmlformats.org/officeDocument/2006/relationships/hyperlink" Target="https://www.ebs.tga.gov.au/servlet/xmlmillr6?dbid=ebs/PublicHTML/pdfStore.nsf&amp;docid=2BCA3EFD5F44C001CA25844900421F53&amp;agid=(PrintDetailsPublic)&amp;actionid=1" TargetMode="External"/><Relationship Id="rId29" Type="http://schemas.openxmlformats.org/officeDocument/2006/relationships/hyperlink" Target="http://www9.health.gov.au/mbs/fullDisplay.cfm?type=note&amp;q=TR.8.5&amp;qt=noteID&amp;criteria=TR%2E8%2E5" TargetMode="External"/><Relationship Id="rId41" Type="http://schemas.openxmlformats.org/officeDocument/2006/relationships/hyperlink" Target="https://clinicaltrials.gov/ct2/show/NCT0386648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E306F4EC31317690CA25801000123BE3/$File/1354Final-PSD-Accessible.pdf" TargetMode="External"/><Relationship Id="rId24" Type="http://schemas.openxmlformats.org/officeDocument/2006/relationships/hyperlink" Target="http://www9.health.gov.au/mbs/fullDisplay.cfm?type=note&amp;q=TR.8.4&amp;qt=noteID&amp;criteria=TR%2E8%2E4" TargetMode="External"/><Relationship Id="rId32" Type="http://schemas.openxmlformats.org/officeDocument/2006/relationships/hyperlink" Target="http://www9.health.gov.au/mbs/fullDisplay.cfm?type=note&amp;q=TN.8.217&amp;qt=noteID&amp;criteria=TN%2E8%2E217" TargetMode="External"/><Relationship Id="rId37" Type="http://schemas.openxmlformats.org/officeDocument/2006/relationships/hyperlink" Target="http://www9.health.gov.au/mbs/fullDisplay.cfm?type=note&amp;q=TN.8.222&amp;qt=noteID" TargetMode="External"/><Relationship Id="rId40" Type="http://schemas.openxmlformats.org/officeDocument/2006/relationships/hyperlink" Target="https://clinicaltrials.gov/ct2/show/NCT01308281" TargetMode="External"/><Relationship Id="rId45" Type="http://schemas.openxmlformats.org/officeDocument/2006/relationships/hyperlink" Target="https://clinicaltrials.gov/ct2/show/NCT04854070"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bs.tga.gov.au/servlet/xmlmillr6?dbid=ebs/PublicHTML/pdfStore.nsf&amp;docid=9ED8D92C68AD910FCA2577DD00028F2A&amp;agid=(PrintDetailsPublic)&amp;actionid=1" TargetMode="External"/><Relationship Id="rId23" Type="http://schemas.openxmlformats.org/officeDocument/2006/relationships/hyperlink" Target="https://vcor.org.au/sites/default/files/2020%20VCOR%20Annual%20Report%20Final.pdf" TargetMode="External"/><Relationship Id="rId28" Type="http://schemas.openxmlformats.org/officeDocument/2006/relationships/hyperlink" Target="http://www9.health.gov.au/mbs/fullDisplay.cfm?type=note&amp;q=TR.8.4&amp;qt=noteID&amp;criteria=TR%2E8%2E4" TargetMode="External"/><Relationship Id="rId36" Type="http://schemas.openxmlformats.org/officeDocument/2006/relationships/hyperlink" Target="http://www9.health.gov.au/mbs/fullDisplay.cfm?type=note&amp;q=TN.8.226&amp;qt=noteID" TargetMode="External"/><Relationship Id="rId49" Type="http://schemas.openxmlformats.org/officeDocument/2006/relationships/header" Target="header2.xml"/><Relationship Id="rId10" Type="http://schemas.openxmlformats.org/officeDocument/2006/relationships/hyperlink" Target="http://www.msac.gov.au/internet/msac/publishing.nsf/Content/E306F4EC31317690CA25801000123BE3/$File/1354Final-PSD-Accessible.pdf" TargetMode="External"/><Relationship Id="rId19" Type="http://schemas.openxmlformats.org/officeDocument/2006/relationships/hyperlink" Target="https://www.ebs.tga.gov.au/servlet/xmlmillr6?dbid=ebs/PublicHTML/pdfStore.nsf&amp;docid=90C1D31A16CABB54CA25844900421F54&amp;agid=(PrintDetailsPublic)&amp;actionid=1" TargetMode="External"/><Relationship Id="rId31" Type="http://schemas.openxmlformats.org/officeDocument/2006/relationships/hyperlink" Target="http://www9.health.gov.au/mbs/fullDisplay.cfm?type=note&amp;q=TR.8.7&amp;qt=noteID&amp;criteria=Tr%2E8%2E7" TargetMode="External"/><Relationship Id="rId44" Type="http://schemas.openxmlformats.org/officeDocument/2006/relationships/image" Target="media/image4.PNG"/><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msac.gov.au/internet/msac/publishing.nsf/Content/1188595EB993AF94CA25801000123B4B/$File/1032-Intravascular-ultrasound-One-page-summary.pdf" TargetMode="External"/><Relationship Id="rId14" Type="http://schemas.openxmlformats.org/officeDocument/2006/relationships/hyperlink" Target="https://www.ebs.tga.gov.au/servlet/xmlmillr6?dbid=ebs/PublicHTML/pdfStore.nsf&amp;docid=61E330357D2BEC88CA257C5C003CA6A6&amp;agid=(PrintDetailsPublic)&amp;actionid=1" TargetMode="External"/><Relationship Id="rId22" Type="http://schemas.openxmlformats.org/officeDocument/2006/relationships/hyperlink" Target="https://www.ebs.tga.gov.au/servlet/xmlmillr6?dbid=ebs/PublicHTML/pdfStore.nsf&amp;docid=429C95A025AD0FDDCA258234003C9EFD&amp;agid=(PrintDetailsPublic)&amp;actionid=1" TargetMode="External"/><Relationship Id="rId27" Type="http://schemas.openxmlformats.org/officeDocument/2006/relationships/hyperlink" Target="http://www9.health.gov.au/mbs/fullDisplay.cfm?type=note&amp;q=TR.8.2&amp;qt=noteID&amp;criteria=TR%2E8%2E2" TargetMode="External"/><Relationship Id="rId30" Type="http://schemas.openxmlformats.org/officeDocument/2006/relationships/hyperlink" Target="http://www9.health.gov.au/mbs/fullDisplay.cfm?type=note&amp;q=TR.8.6&amp;qt=noteID&amp;criteria=TR%2E8%2E6" TargetMode="External"/><Relationship Id="rId35" Type="http://schemas.openxmlformats.org/officeDocument/2006/relationships/hyperlink" Target="http://www9.health.gov.au/mbs/fullDisplay.cfm?type=note&amp;q=TN.8.225&amp;qt=noteID" TargetMode="External"/><Relationship Id="rId43" Type="http://schemas.openxmlformats.org/officeDocument/2006/relationships/image" Target="media/image3.PNG"/><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16/j.jcin.2012.11.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23789</Words>
  <Characters>135601</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2022-05-26T23:17:00Z</dcterms:created>
  <dcterms:modified xsi:type="dcterms:W3CDTF">2022-05-31T22:29:00Z</dcterms:modified>
  <cp:category/>
</cp:coreProperties>
</file>